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1B237">
      <w:pPr>
        <w:pStyle w:val="10"/>
        <w:rPr>
          <w:rFonts w:ascii="Times New Roman"/>
          <w:sz w:val="20"/>
        </w:rPr>
      </w:pPr>
      <w:r>
        <w:pict>
          <v:group id="_x0000_s1026" o:spid="_x0000_s1026" o:spt="203" style="position:absolute;left:0pt;margin-left:77pt;margin-top:0pt;height:836pt;width:518pt;mso-position-horizontal-relative:page;mso-position-vertical-relative:page;z-index:-251652096;mso-width-relative:page;mso-height-relative:page;" coordorigin="1540,0" coordsize="10360,16720">
            <o:lock v:ext="edit"/>
            <v:shape id="_x0000_s1027" o:spid="_x0000_s1027" o:spt="75" type="#_x0000_t75" style="position:absolute;left:1540;top:0;height:16720;width:10360;" filled="f" stroked="f" coordsize="21600,21600">
              <v:path/>
              <v:fill on="f" focussize="0,0"/>
              <v:stroke on="f"/>
              <v:imagedata r:id="rId52" o:title=""/>
              <o:lock v:ext="edit" aspectratio="t"/>
            </v:shape>
            <v:shape id="_x0000_s1028" o:spid="_x0000_s1028" o:spt="75" type="#_x0000_t75" style="position:absolute;left:10190;top:16040;height:630;width:1530;" filled="f" stroked="f" coordsize="21600,21600">
              <v:path/>
              <v:fill on="f" focussize="0,0"/>
              <v:stroke on="f"/>
              <v:imagedata r:id="rId53" o:title=""/>
              <o:lock v:ext="edit" aspectratio="t"/>
            </v:shape>
            <v:shape id="_x0000_s1029" o:spid="_x0000_s1029" o:spt="75" type="#_x0000_t75" style="position:absolute;left:7490;top:9710;height:2480;width:2290;" filled="f" stroked="f" coordsize="21600,21600">
              <v:path/>
              <v:fill on="f" focussize="0,0"/>
              <v:stroke on="f"/>
              <v:imagedata r:id="rId54" o:title=""/>
              <o:lock v:ext="edit" aspectratio="t"/>
            </v:shape>
          </v:group>
        </w:pict>
      </w:r>
    </w:p>
    <w:p w14:paraId="028CB922">
      <w:pPr>
        <w:pStyle w:val="10"/>
        <w:rPr>
          <w:rFonts w:ascii="Times New Roman"/>
          <w:sz w:val="20"/>
        </w:rPr>
      </w:pPr>
    </w:p>
    <w:p w14:paraId="1F38FD7E">
      <w:pPr>
        <w:pStyle w:val="10"/>
        <w:rPr>
          <w:rFonts w:ascii="Times New Roman"/>
          <w:sz w:val="20"/>
        </w:rPr>
      </w:pPr>
    </w:p>
    <w:p w14:paraId="4C75F33B">
      <w:pPr>
        <w:pStyle w:val="10"/>
        <w:spacing w:before="1"/>
        <w:rPr>
          <w:rFonts w:ascii="Times New Roman"/>
          <w:sz w:val="28"/>
        </w:rPr>
      </w:pPr>
    </w:p>
    <w:p w14:paraId="2DE94F5D">
      <w:pPr>
        <w:spacing w:before="276" w:line="288" w:lineRule="auto"/>
        <w:ind w:left="688" w:right="628" w:firstLine="0"/>
        <w:jc w:val="center"/>
        <w:rPr>
          <w:sz w:val="54"/>
        </w:rPr>
      </w:pPr>
      <w:r>
        <w:rPr>
          <w:spacing w:val="-82"/>
          <w:sz w:val="53"/>
        </w:rPr>
        <w:t>湖南鑫诚复合材料有限公司年产</w:t>
      </w:r>
      <w:r>
        <w:rPr>
          <w:spacing w:val="-228"/>
          <w:sz w:val="53"/>
        </w:rPr>
        <w:t>1</w:t>
      </w:r>
      <w:r>
        <w:rPr>
          <w:sz w:val="53"/>
        </w:rPr>
        <w:t>万</w:t>
      </w:r>
      <w:r>
        <w:rPr>
          <w:spacing w:val="-81"/>
          <w:sz w:val="54"/>
        </w:rPr>
        <w:t>吨塑料排水板系列产品建设项目 环</w:t>
      </w:r>
      <w:r>
        <w:rPr>
          <w:spacing w:val="-70"/>
          <w:w w:val="105"/>
          <w:sz w:val="54"/>
        </w:rPr>
        <w:t>境影响报告书</w:t>
      </w:r>
    </w:p>
    <w:p w14:paraId="57277D83">
      <w:pPr>
        <w:pStyle w:val="10"/>
        <w:rPr>
          <w:sz w:val="54"/>
        </w:rPr>
      </w:pPr>
    </w:p>
    <w:p w14:paraId="38DBB276">
      <w:pPr>
        <w:pStyle w:val="10"/>
        <w:rPr>
          <w:sz w:val="54"/>
        </w:rPr>
      </w:pPr>
    </w:p>
    <w:p w14:paraId="5AFABC1B">
      <w:pPr>
        <w:pStyle w:val="10"/>
        <w:rPr>
          <w:sz w:val="54"/>
        </w:rPr>
      </w:pPr>
    </w:p>
    <w:p w14:paraId="27A3AE48">
      <w:pPr>
        <w:pStyle w:val="10"/>
        <w:rPr>
          <w:sz w:val="54"/>
        </w:rPr>
      </w:pPr>
    </w:p>
    <w:p w14:paraId="21A44437">
      <w:pPr>
        <w:pStyle w:val="10"/>
        <w:rPr>
          <w:sz w:val="54"/>
        </w:rPr>
      </w:pPr>
    </w:p>
    <w:p w14:paraId="424817DF">
      <w:pPr>
        <w:pStyle w:val="10"/>
        <w:rPr>
          <w:sz w:val="54"/>
        </w:rPr>
      </w:pPr>
    </w:p>
    <w:p w14:paraId="0C2A5ECC">
      <w:pPr>
        <w:pStyle w:val="10"/>
        <w:spacing w:before="12"/>
        <w:rPr>
          <w:sz w:val="59"/>
        </w:rPr>
      </w:pPr>
    </w:p>
    <w:p w14:paraId="4E7DC092">
      <w:pPr>
        <w:spacing w:before="0" w:line="316" w:lineRule="auto"/>
        <w:ind w:left="1829" w:right="1524" w:hanging="29"/>
        <w:jc w:val="center"/>
        <w:rPr>
          <w:sz w:val="39"/>
        </w:rPr>
      </w:pPr>
      <w:r>
        <w:rPr>
          <w:spacing w:val="-69"/>
          <w:w w:val="95"/>
          <w:sz w:val="37"/>
        </w:rPr>
        <w:t xml:space="preserve">建设单位：湖南鑫诚复合材料有限公司 </w:t>
      </w:r>
      <w:r>
        <w:rPr>
          <w:spacing w:val="-80"/>
          <w:sz w:val="38"/>
        </w:rPr>
        <w:t>编制单位：湖南隆宇环保科技有限公司</w:t>
      </w:r>
      <w:r>
        <w:rPr>
          <w:spacing w:val="-78"/>
          <w:sz w:val="39"/>
        </w:rPr>
        <w:t>二零二四年八月</w:t>
      </w:r>
    </w:p>
    <w:p w14:paraId="74C9504C">
      <w:pPr>
        <w:spacing w:after="0" w:line="316" w:lineRule="auto"/>
        <w:jc w:val="center"/>
        <w:rPr>
          <w:sz w:val="39"/>
        </w:rPr>
        <w:sectPr>
          <w:type w:val="continuous"/>
          <w:pgSz w:w="11900" w:h="16840"/>
          <w:pgMar w:top="1600" w:right="1680" w:bottom="280" w:left="1680" w:header="720" w:footer="720" w:gutter="0"/>
          <w:cols w:space="720" w:num="1"/>
        </w:sectPr>
      </w:pPr>
    </w:p>
    <w:p w14:paraId="55A48EF1">
      <w:pPr>
        <w:tabs>
          <w:tab w:val="left" w:pos="801"/>
        </w:tabs>
        <w:spacing w:before="30"/>
        <w:ind w:left="0" w:right="142" w:firstLine="0"/>
        <w:jc w:val="center"/>
        <w:rPr>
          <w:b/>
          <w:sz w:val="32"/>
        </w:rPr>
      </w:pPr>
      <w:r>
        <w:rPr>
          <w:b/>
          <w:sz w:val="32"/>
        </w:rPr>
        <w:t>目</w:t>
      </w:r>
      <w:r>
        <w:rPr>
          <w:b/>
          <w:sz w:val="32"/>
        </w:rPr>
        <w:tab/>
      </w:r>
      <w:r>
        <w:rPr>
          <w:b/>
          <w:sz w:val="32"/>
        </w:rPr>
        <w:t>录</w:t>
      </w:r>
    </w:p>
    <w:p w14:paraId="58D80A9B">
      <w:pPr>
        <w:spacing w:after="0"/>
        <w:jc w:val="center"/>
        <w:rPr>
          <w:sz w:val="32"/>
        </w:rPr>
        <w:sectPr>
          <w:pgSz w:w="11910" w:h="16840"/>
          <w:pgMar w:top="1500" w:right="1440" w:bottom="1730" w:left="1580" w:header="720" w:footer="720" w:gutter="0"/>
          <w:cols w:space="720" w:num="1"/>
        </w:sectPr>
      </w:pPr>
    </w:p>
    <w:sdt>
      <w:sdtPr>
        <w:id w:val="147475608"/>
        <w:docPartObj>
          <w:docPartGallery w:val="Table of Contents"/>
          <w:docPartUnique/>
        </w:docPartObj>
      </w:sdtPr>
      <w:sdtContent>
        <w:p w14:paraId="67133604">
          <w:pPr>
            <w:pStyle w:val="11"/>
            <w:tabs>
              <w:tab w:val="right" w:leader="dot" w:pos="8526"/>
            </w:tabs>
            <w:spacing w:before="186"/>
            <w:ind w:left="220" w:firstLine="0"/>
            <w:rPr>
              <w:rFonts w:ascii="Times New Roman" w:eastAsia="Times New Roman"/>
            </w:rPr>
          </w:pPr>
          <w:r>
            <w:fldChar w:fldCharType="begin"/>
          </w:r>
          <w:r>
            <w:instrText xml:space="preserve"> HYPERLINK \l "_TOC_250055" </w:instrText>
          </w:r>
          <w:r>
            <w:fldChar w:fldCharType="separate"/>
          </w:r>
          <w:r>
            <w:t>概述</w:t>
          </w:r>
          <w:r>
            <w:tab/>
          </w:r>
          <w:r>
            <w:rPr>
              <w:rFonts w:ascii="Times New Roman" w:eastAsia="Times New Roman"/>
            </w:rPr>
            <w:t>1</w:t>
          </w:r>
          <w:r>
            <w:rPr>
              <w:rFonts w:ascii="Times New Roman" w:eastAsia="Times New Roman"/>
            </w:rPr>
            <w:fldChar w:fldCharType="end"/>
          </w:r>
        </w:p>
        <w:p w14:paraId="56B0F3B0">
          <w:pPr>
            <w:pStyle w:val="12"/>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"_TOC_250054" </w:instrText>
          </w:r>
          <w:r>
            <w:fldChar w:fldCharType="separate"/>
          </w:r>
          <w:r>
            <w:t>项目由来</w:t>
          </w:r>
          <w:r>
            <w:tab/>
          </w:r>
          <w:r>
            <w:rPr>
              <w:rFonts w:ascii="Times New Roman" w:eastAsia="Times New Roman"/>
            </w:rPr>
            <w:t>1</w:t>
          </w:r>
          <w:r>
            <w:rPr>
              <w:rFonts w:ascii="Times New Roman" w:eastAsia="Times New Roman"/>
            </w:rPr>
            <w:fldChar w:fldCharType="end"/>
          </w:r>
        </w:p>
        <w:p w14:paraId="099CAF2B">
          <w:pPr>
            <w:pStyle w:val="12"/>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"_TOC_250053" </w:instrText>
          </w:r>
          <w:r>
            <w:fldChar w:fldCharType="separate"/>
          </w:r>
          <w:r>
            <w:t>项目特点</w:t>
          </w:r>
          <w:r>
            <w:tab/>
          </w:r>
          <w:r>
            <w:rPr>
              <w:rFonts w:ascii="Times New Roman" w:eastAsia="Times New Roman"/>
            </w:rPr>
            <w:t>2</w:t>
          </w:r>
          <w:r>
            <w:rPr>
              <w:rFonts w:ascii="Times New Roman" w:eastAsia="Times New Roman"/>
            </w:rPr>
            <w:fldChar w:fldCharType="end"/>
          </w:r>
        </w:p>
        <w:p w14:paraId="2E75D67A">
          <w:pPr>
            <w:pStyle w:val="12"/>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"_TOC_250052" </w:instrText>
          </w:r>
          <w:r>
            <w:fldChar w:fldCharType="separate"/>
          </w:r>
          <w:r>
            <w:t>环境影响评价的工作过程</w:t>
          </w:r>
          <w:r>
            <w:tab/>
          </w:r>
          <w:r>
            <w:rPr>
              <w:rFonts w:ascii="Times New Roman" w:eastAsia="Times New Roman"/>
            </w:rPr>
            <w:t>3</w:t>
          </w:r>
          <w:r>
            <w:rPr>
              <w:rFonts w:ascii="Times New Roman" w:eastAsia="Times New Roman"/>
            </w:rPr>
            <w:fldChar w:fldCharType="end"/>
          </w:r>
        </w:p>
        <w:p w14:paraId="0D2CAF3A">
          <w:pPr>
            <w:pStyle w:val="12"/>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"_TOC_250051" </w:instrText>
          </w:r>
          <w:r>
            <w:fldChar w:fldCharType="separate"/>
          </w:r>
          <w:r>
            <w:t>分析判定相关环保政策</w:t>
          </w:r>
          <w:r>
            <w:tab/>
          </w:r>
          <w:r>
            <w:rPr>
              <w:rFonts w:ascii="Times New Roman" w:eastAsia="Times New Roman"/>
            </w:rPr>
            <w:t>3</w:t>
          </w:r>
          <w:r>
            <w:rPr>
              <w:rFonts w:ascii="Times New Roman" w:eastAsia="Times New Roman"/>
            </w:rPr>
            <w:fldChar w:fldCharType="end"/>
          </w:r>
        </w:p>
        <w:p w14:paraId="4341D380">
          <w:pPr>
            <w:pStyle w:val="12"/>
            <w:numPr>
              <w:ilvl w:val="0"/>
              <w:numId w:val="1"/>
            </w:numPr>
            <w:tabs>
              <w:tab w:val="left" w:pos="820"/>
              <w:tab w:val="right" w:leader="dot" w:pos="8526"/>
            </w:tabs>
            <w:spacing w:before="160" w:after="0" w:line="240" w:lineRule="auto"/>
            <w:ind w:left="820" w:right="0" w:hanging="180"/>
            <w:jc w:val="left"/>
            <w:rPr>
              <w:rFonts w:ascii="Times New Roman" w:eastAsia="Times New Roman"/>
            </w:rPr>
          </w:pPr>
          <w:r>
            <w:fldChar w:fldCharType="begin"/>
          </w:r>
          <w:r>
            <w:instrText xml:space="preserve"> HYPERLINK \l "_TOC_250050" </w:instrText>
          </w:r>
          <w:r>
            <w:fldChar w:fldCharType="separate"/>
          </w:r>
          <w:r>
            <w:t>主要环境问题及环境影响</w:t>
          </w:r>
          <w:r>
            <w:tab/>
          </w:r>
          <w:r>
            <w:rPr>
              <w:rFonts w:ascii="Times New Roman" w:eastAsia="Times New Roman"/>
            </w:rPr>
            <w:t>26</w:t>
          </w:r>
          <w:r>
            <w:rPr>
              <w:rFonts w:ascii="Times New Roman" w:eastAsia="Times New Roman"/>
            </w:rPr>
            <w:fldChar w:fldCharType="end"/>
          </w:r>
        </w:p>
        <w:p w14:paraId="3B919596">
          <w:pPr>
            <w:pStyle w:val="12"/>
            <w:numPr>
              <w:ilvl w:val="0"/>
              <w:numId w:val="1"/>
            </w:numPr>
            <w:tabs>
              <w:tab w:val="left" w:pos="820"/>
              <w:tab w:val="right" w:leader="dot" w:pos="8526"/>
            </w:tabs>
            <w:spacing w:before="161" w:after="0" w:line="240" w:lineRule="auto"/>
            <w:ind w:left="820" w:right="0" w:hanging="180"/>
            <w:jc w:val="left"/>
            <w:rPr>
              <w:rFonts w:ascii="Times New Roman" w:eastAsia="Times New Roman"/>
            </w:rPr>
          </w:pPr>
          <w:r>
            <w:fldChar w:fldCharType="begin"/>
          </w:r>
          <w:r>
            <w:instrText xml:space="preserve"> HYPERLINK \l "_TOC_250049" </w:instrText>
          </w:r>
          <w:r>
            <w:fldChar w:fldCharType="separate"/>
          </w:r>
          <w:r>
            <w:t>环境影响评价主要结论</w:t>
          </w:r>
          <w:r>
            <w:tab/>
          </w:r>
          <w:r>
            <w:rPr>
              <w:rFonts w:ascii="Times New Roman" w:eastAsia="Times New Roman"/>
            </w:rPr>
            <w:t>26</w:t>
          </w:r>
          <w:r>
            <w:rPr>
              <w:rFonts w:ascii="Times New Roman" w:eastAsia="Times New Roman"/>
            </w:rPr>
            <w:fldChar w:fldCharType="end"/>
          </w:r>
        </w:p>
        <w:p w14:paraId="12BB2E30">
          <w:pPr>
            <w:pStyle w:val="11"/>
            <w:tabs>
              <w:tab w:val="right" w:leader="dot" w:pos="8526"/>
            </w:tabs>
            <w:spacing w:before="160"/>
            <w:ind w:left="220" w:firstLine="0"/>
            <w:rPr>
              <w:rFonts w:ascii="Times New Roman" w:eastAsia="Times New Roman"/>
            </w:rPr>
          </w:pPr>
          <w:r>
            <w:fldChar w:fldCharType="begin"/>
          </w:r>
          <w:r>
            <w:instrText xml:space="preserve"> HYPERLINK \l "_TOC_250048" </w:instrText>
          </w:r>
          <w:r>
            <w:fldChar w:fldCharType="separate"/>
          </w:r>
          <w:r>
            <w:rPr>
              <w:rFonts w:ascii="Times New Roman" w:eastAsia="Times New Roman"/>
            </w:rPr>
            <w:t xml:space="preserve">1  </w:t>
          </w:r>
          <w:r>
            <w:t>总则</w:t>
          </w:r>
          <w:r>
            <w:tab/>
          </w:r>
          <w:r>
            <w:rPr>
              <w:rFonts w:ascii="Times New Roman" w:eastAsia="Times New Roman"/>
            </w:rPr>
            <w:t>27</w:t>
          </w:r>
          <w:r>
            <w:rPr>
              <w:rFonts w:ascii="Times New Roman" w:eastAsia="Times New Roman"/>
            </w:rPr>
            <w:fldChar w:fldCharType="end"/>
          </w:r>
        </w:p>
        <w:p w14:paraId="4E7C5D49">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"_TOC_250047" </w:instrText>
          </w:r>
          <w:r>
            <w:fldChar w:fldCharType="separate"/>
          </w:r>
          <w:r>
            <w:t>编制依据</w:t>
          </w:r>
          <w:r>
            <w:tab/>
          </w:r>
          <w:r>
            <w:rPr>
              <w:rFonts w:ascii="Times New Roman" w:eastAsia="Times New Roman"/>
            </w:rPr>
            <w:t>27</w:t>
          </w:r>
          <w:r>
            <w:rPr>
              <w:rFonts w:ascii="Times New Roman" w:eastAsia="Times New Roman"/>
            </w:rPr>
            <w:fldChar w:fldCharType="end"/>
          </w:r>
        </w:p>
        <w:p w14:paraId="74DF1917">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"_TOC_250046" </w:instrText>
          </w:r>
          <w:r>
            <w:fldChar w:fldCharType="separate"/>
          </w:r>
          <w:r>
            <w:t>环境影响要素识别和评价因子筛选</w:t>
          </w:r>
          <w:r>
            <w:tab/>
          </w:r>
          <w:r>
            <w:rPr>
              <w:rFonts w:ascii="Times New Roman" w:eastAsia="Times New Roman"/>
            </w:rPr>
            <w:t>30</w:t>
          </w:r>
          <w:r>
            <w:rPr>
              <w:rFonts w:ascii="Times New Roman" w:eastAsia="Times New Roman"/>
            </w:rPr>
            <w:fldChar w:fldCharType="end"/>
          </w:r>
        </w:p>
        <w:p w14:paraId="1C2F4DC8">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"_TOC_250045" </w:instrText>
          </w:r>
          <w:r>
            <w:fldChar w:fldCharType="separate"/>
          </w:r>
          <w:r>
            <w:t>环境功能区划</w:t>
          </w:r>
          <w:r>
            <w:tab/>
          </w:r>
          <w:r>
            <w:rPr>
              <w:rFonts w:ascii="Times New Roman" w:eastAsia="Times New Roman"/>
            </w:rPr>
            <w:t>31</w:t>
          </w:r>
          <w:r>
            <w:rPr>
              <w:rFonts w:ascii="Times New Roman" w:eastAsia="Times New Roman"/>
            </w:rPr>
            <w:fldChar w:fldCharType="end"/>
          </w:r>
        </w:p>
        <w:p w14:paraId="78CEA149">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"_TOC_250044" </w:instrText>
          </w:r>
          <w:r>
            <w:fldChar w:fldCharType="separate"/>
          </w:r>
          <w:r>
            <w:t>评价标准</w:t>
          </w:r>
          <w:r>
            <w:tab/>
          </w:r>
          <w:r>
            <w:rPr>
              <w:rFonts w:ascii="Times New Roman" w:eastAsia="Times New Roman"/>
            </w:rPr>
            <w:t>32</w:t>
          </w:r>
          <w:r>
            <w:rPr>
              <w:rFonts w:ascii="Times New Roman" w:eastAsia="Times New Roman"/>
            </w:rPr>
            <w:fldChar w:fldCharType="end"/>
          </w:r>
        </w:p>
        <w:p w14:paraId="1195EB6B">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"_TOC_250043" </w:instrText>
          </w:r>
          <w:r>
            <w:fldChar w:fldCharType="separate"/>
          </w:r>
          <w:r>
            <w:t>评价工作等级及评价范围</w:t>
          </w:r>
          <w:r>
            <w:tab/>
          </w:r>
          <w:r>
            <w:rPr>
              <w:rFonts w:ascii="Times New Roman" w:eastAsia="Times New Roman"/>
            </w:rPr>
            <w:t>36</w:t>
          </w:r>
          <w:r>
            <w:rPr>
              <w:rFonts w:ascii="Times New Roman" w:eastAsia="Times New Roman"/>
            </w:rPr>
            <w:fldChar w:fldCharType="end"/>
          </w:r>
        </w:p>
        <w:p w14:paraId="039C051A">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"_TOC_250042" </w:instrText>
          </w:r>
          <w:r>
            <w:fldChar w:fldCharType="separate"/>
          </w:r>
          <w:r>
            <w:t>评价时段与评价重点</w:t>
          </w:r>
          <w:r>
            <w:tab/>
          </w:r>
          <w:r>
            <w:rPr>
              <w:rFonts w:ascii="Times New Roman" w:eastAsia="Times New Roman"/>
            </w:rPr>
            <w:t>40</w:t>
          </w:r>
          <w:r>
            <w:rPr>
              <w:rFonts w:ascii="Times New Roman" w:eastAsia="Times New Roman"/>
            </w:rPr>
            <w:fldChar w:fldCharType="end"/>
          </w:r>
        </w:p>
        <w:p w14:paraId="1C926688">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"_TOC_250041" </w:instrText>
          </w:r>
          <w:r>
            <w:fldChar w:fldCharType="separate"/>
          </w:r>
          <w:r>
            <w:t>环境保护目标</w:t>
          </w:r>
          <w:r>
            <w:tab/>
          </w:r>
          <w:r>
            <w:rPr>
              <w:rFonts w:ascii="Times New Roman" w:eastAsia="Times New Roman"/>
            </w:rPr>
            <w:t>40</w:t>
          </w:r>
          <w:r>
            <w:rPr>
              <w:rFonts w:ascii="Times New Roman" w:eastAsia="Times New Roman"/>
            </w:rPr>
            <w:fldChar w:fldCharType="end"/>
          </w:r>
        </w:p>
        <w:p w14:paraId="2048DC21">
          <w:pPr>
            <w:pStyle w:val="11"/>
            <w:numPr>
              <w:ilvl w:val="0"/>
              <w:numId w:val="2"/>
            </w:numPr>
            <w:tabs>
              <w:tab w:val="left" w:pos="460"/>
              <w:tab w:val="right" w:leader="dot" w:pos="8526"/>
            </w:tabs>
            <w:spacing w:before="160" w:after="0" w:line="240" w:lineRule="auto"/>
            <w:ind w:left="460" w:right="0" w:hanging="240"/>
            <w:jc w:val="left"/>
            <w:rPr>
              <w:rFonts w:ascii="Times New Roman" w:eastAsia="Times New Roman"/>
            </w:rPr>
          </w:pPr>
          <w:r>
            <w:fldChar w:fldCharType="begin"/>
          </w:r>
          <w:r>
            <w:instrText xml:space="preserve"> HYPERLINK \l "_TOC_250040" </w:instrText>
          </w:r>
          <w:r>
            <w:fldChar w:fldCharType="separate"/>
          </w:r>
          <w:r>
            <w:t>建设项目工程分析</w:t>
          </w:r>
          <w:r>
            <w:tab/>
          </w:r>
          <w:r>
            <w:rPr>
              <w:rFonts w:ascii="Times New Roman" w:eastAsia="Times New Roman"/>
            </w:rPr>
            <w:t>42</w:t>
          </w:r>
          <w:r>
            <w:rPr>
              <w:rFonts w:ascii="Times New Roman" w:eastAsia="Times New Roman"/>
            </w:rPr>
            <w:fldChar w:fldCharType="end"/>
          </w:r>
        </w:p>
        <w:p w14:paraId="0EAC02EA">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"_TOC_250039" </w:instrText>
          </w:r>
          <w:r>
            <w:fldChar w:fldCharType="separate"/>
          </w:r>
          <w:r>
            <w:t>拟建项目概况</w:t>
          </w:r>
          <w:r>
            <w:tab/>
          </w:r>
          <w:r>
            <w:rPr>
              <w:rFonts w:ascii="Times New Roman" w:eastAsia="Times New Roman"/>
            </w:rPr>
            <w:t>42</w:t>
          </w:r>
          <w:r>
            <w:rPr>
              <w:rFonts w:ascii="Times New Roman" w:eastAsia="Times New Roman"/>
            </w:rPr>
            <w:fldChar w:fldCharType="end"/>
          </w:r>
        </w:p>
        <w:p w14:paraId="753E5D32">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"_TOC_250038" </w:instrText>
          </w:r>
          <w:r>
            <w:fldChar w:fldCharType="separate"/>
          </w:r>
          <w:r>
            <w:t>拟建项目影响因素分析</w:t>
          </w:r>
          <w:r>
            <w:tab/>
          </w:r>
          <w:r>
            <w:rPr>
              <w:rFonts w:ascii="Times New Roman" w:eastAsia="Times New Roman"/>
            </w:rPr>
            <w:t>47</w:t>
          </w:r>
          <w:r>
            <w:rPr>
              <w:rFonts w:ascii="Times New Roman" w:eastAsia="Times New Roman"/>
            </w:rPr>
            <w:fldChar w:fldCharType="end"/>
          </w:r>
        </w:p>
        <w:p w14:paraId="65911FA9">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"_TOC_250037" </w:instrText>
          </w:r>
          <w:r>
            <w:fldChar w:fldCharType="separate"/>
          </w:r>
          <w:r>
            <w:t>平衡分析</w:t>
          </w:r>
          <w:r>
            <w:tab/>
          </w:r>
          <w:r>
            <w:rPr>
              <w:rFonts w:ascii="Times New Roman" w:eastAsia="Times New Roman"/>
            </w:rPr>
            <w:t>50</w:t>
          </w:r>
          <w:r>
            <w:rPr>
              <w:rFonts w:ascii="Times New Roman" w:eastAsia="Times New Roman"/>
            </w:rPr>
            <w:fldChar w:fldCharType="end"/>
          </w:r>
        </w:p>
        <w:p w14:paraId="295F596C">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t>污染源强核算</w:t>
          </w:r>
          <w:r>
            <w:tab/>
          </w:r>
          <w:r>
            <w:rPr>
              <w:rFonts w:ascii="Times New Roman" w:eastAsia="Times New Roman"/>
            </w:rPr>
            <w:t>52</w:t>
          </w:r>
        </w:p>
        <w:p w14:paraId="1D1EC8B0">
          <w:pPr>
            <w:pStyle w:val="11"/>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"_TOC_250036" </w:instrText>
          </w:r>
          <w:r>
            <w:fldChar w:fldCharType="separate"/>
          </w:r>
          <w:r>
            <w:t>环境现状调查与评价</w:t>
          </w:r>
          <w:r>
            <w:tab/>
          </w:r>
          <w:r>
            <w:rPr>
              <w:rFonts w:ascii="Times New Roman" w:eastAsia="Times New Roman"/>
            </w:rPr>
            <w:t>63</w:t>
          </w:r>
          <w:r>
            <w:rPr>
              <w:rFonts w:ascii="Times New Roman" w:eastAsia="Times New Roman"/>
            </w:rPr>
            <w:fldChar w:fldCharType="end"/>
          </w:r>
        </w:p>
        <w:p w14:paraId="26392A49">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"_TOC_250035" </w:instrText>
          </w:r>
          <w:r>
            <w:fldChar w:fldCharType="separate"/>
          </w:r>
          <w:r>
            <w:t>自然环境概况</w:t>
          </w:r>
          <w:r>
            <w:tab/>
          </w:r>
          <w:r>
            <w:rPr>
              <w:rFonts w:ascii="Times New Roman" w:eastAsia="Times New Roman"/>
            </w:rPr>
            <w:t>63</w:t>
          </w:r>
          <w:r>
            <w:rPr>
              <w:rFonts w:ascii="Times New Roman" w:eastAsia="Times New Roman"/>
            </w:rPr>
            <w:fldChar w:fldCharType="end"/>
          </w:r>
        </w:p>
        <w:p w14:paraId="076B4AB4">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"_TOC_250034" </w:instrText>
          </w:r>
          <w:r>
            <w:fldChar w:fldCharType="separate"/>
          </w:r>
          <w:r>
            <w:t>汨罗高新技术产业开发区概况</w:t>
          </w:r>
          <w:r>
            <w:tab/>
          </w:r>
          <w:r>
            <w:rPr>
              <w:rFonts w:ascii="Times New Roman" w:eastAsia="Times New Roman"/>
            </w:rPr>
            <w:t>67</w:t>
          </w:r>
          <w:r>
            <w:rPr>
              <w:rFonts w:ascii="Times New Roman" w:eastAsia="Times New Roman"/>
            </w:rPr>
            <w:fldChar w:fldCharType="end"/>
          </w:r>
        </w:p>
        <w:p w14:paraId="28BDA7B4">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"_TOC_250033" </w:instrText>
          </w:r>
          <w:r>
            <w:fldChar w:fldCharType="separate"/>
          </w:r>
          <w:r>
            <w:t>区域环境质量现状评价</w:t>
          </w:r>
          <w:r>
            <w:tab/>
          </w:r>
          <w:r>
            <w:rPr>
              <w:rFonts w:ascii="Times New Roman" w:eastAsia="Times New Roman"/>
            </w:rPr>
            <w:t>75</w:t>
          </w:r>
          <w:r>
            <w:rPr>
              <w:rFonts w:ascii="Times New Roman" w:eastAsia="Times New Roman"/>
            </w:rPr>
            <w:fldChar w:fldCharType="end"/>
          </w:r>
        </w:p>
        <w:p w14:paraId="5E86B847">
          <w:pPr>
            <w:pStyle w:val="11"/>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"_TOC_250032" </w:instrText>
          </w:r>
          <w:r>
            <w:fldChar w:fldCharType="separate"/>
          </w:r>
          <w:r>
            <w:t>环境影响预测与评价</w:t>
          </w:r>
          <w:r>
            <w:tab/>
          </w:r>
          <w:r>
            <w:rPr>
              <w:rFonts w:ascii="Times New Roman" w:eastAsia="Times New Roman"/>
            </w:rPr>
            <w:t>88</w:t>
          </w:r>
          <w:r>
            <w:rPr>
              <w:rFonts w:ascii="Times New Roman" w:eastAsia="Times New Roman"/>
            </w:rPr>
            <w:fldChar w:fldCharType="end"/>
          </w:r>
        </w:p>
        <w:p w14:paraId="66D809FF">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"_TOC_250031" </w:instrText>
          </w:r>
          <w:r>
            <w:fldChar w:fldCharType="separate"/>
          </w:r>
          <w:r>
            <w:t>大气环境影响预测与评价</w:t>
          </w:r>
          <w:r>
            <w:tab/>
          </w:r>
          <w:r>
            <w:rPr>
              <w:rFonts w:ascii="Times New Roman" w:eastAsia="Times New Roman"/>
            </w:rPr>
            <w:t>88</w:t>
          </w:r>
          <w:r>
            <w:rPr>
              <w:rFonts w:ascii="Times New Roman" w:eastAsia="Times New Roman"/>
            </w:rPr>
            <w:fldChar w:fldCharType="end"/>
          </w:r>
        </w:p>
        <w:p w14:paraId="3A4404A2">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"_TOC_250030" </w:instrText>
          </w:r>
          <w:r>
            <w:fldChar w:fldCharType="separate"/>
          </w:r>
          <w:r>
            <w:t>地表水环境影响预测与分析</w:t>
          </w:r>
          <w:r>
            <w:tab/>
          </w:r>
          <w:r>
            <w:rPr>
              <w:rFonts w:ascii="Times New Roman" w:eastAsia="Times New Roman"/>
            </w:rPr>
            <w:t>131</w:t>
          </w:r>
          <w:r>
            <w:rPr>
              <w:rFonts w:ascii="Times New Roman" w:eastAsia="Times New Roman"/>
            </w:rPr>
            <w:fldChar w:fldCharType="end"/>
          </w:r>
        </w:p>
        <w:p w14:paraId="0C514981">
          <w:pPr>
            <w:pStyle w:val="12"/>
            <w:numPr>
              <w:ilvl w:val="1"/>
              <w:numId w:val="2"/>
            </w:numPr>
            <w:tabs>
              <w:tab w:val="left" w:pos="1000"/>
              <w:tab w:val="right" w:leader="dot" w:pos="8526"/>
            </w:tabs>
            <w:spacing w:before="160" w:after="20" w:line="240" w:lineRule="auto"/>
            <w:ind w:left="1000" w:right="0" w:hanging="360"/>
            <w:jc w:val="left"/>
            <w:rPr>
              <w:rFonts w:ascii="Times New Roman" w:eastAsia="Times New Roman"/>
            </w:rPr>
          </w:pPr>
          <w:r>
            <w:fldChar w:fldCharType="begin"/>
          </w:r>
          <w:r>
            <w:instrText xml:space="preserve"> HYPERLINK \l "_TOC_250029" </w:instrText>
          </w:r>
          <w:r>
            <w:fldChar w:fldCharType="separate"/>
          </w:r>
          <w:r>
            <w:t>地下水环境影响分析</w:t>
          </w:r>
          <w:r>
            <w:tab/>
          </w:r>
          <w:r>
            <w:rPr>
              <w:rFonts w:ascii="Times New Roman" w:eastAsia="Times New Roman"/>
            </w:rPr>
            <w:t>134</w:t>
          </w:r>
          <w:r>
            <w:rPr>
              <w:rFonts w:ascii="Times New Roman" w:eastAsia="Times New Roman"/>
            </w:rPr>
            <w:fldChar w:fldCharType="end"/>
          </w:r>
        </w:p>
        <w:p w14:paraId="0596631B">
          <w:pPr>
            <w:pStyle w:val="12"/>
            <w:numPr>
              <w:ilvl w:val="1"/>
              <w:numId w:val="2"/>
            </w:numPr>
            <w:tabs>
              <w:tab w:val="left" w:pos="1000"/>
              <w:tab w:val="right" w:leader="dot" w:pos="8526"/>
            </w:tabs>
            <w:spacing w:before="62" w:after="0" w:line="240" w:lineRule="auto"/>
            <w:ind w:left="1000" w:right="0" w:hanging="360"/>
            <w:jc w:val="left"/>
            <w:rPr>
              <w:rFonts w:ascii="Times New Roman" w:eastAsia="Times New Roman"/>
            </w:rPr>
          </w:pPr>
          <w:r>
            <w:fldChar w:fldCharType="begin"/>
          </w:r>
          <w:r>
            <w:instrText xml:space="preserve"> HYPERLINK \l "_TOC_250028" </w:instrText>
          </w:r>
          <w:r>
            <w:fldChar w:fldCharType="separate"/>
          </w:r>
          <w:r>
            <w:t>声环境影响预测与评价</w:t>
          </w:r>
          <w:r>
            <w:tab/>
          </w:r>
          <w:r>
            <w:rPr>
              <w:rFonts w:ascii="Times New Roman" w:eastAsia="Times New Roman"/>
            </w:rPr>
            <w:t>138</w:t>
          </w:r>
          <w:r>
            <w:rPr>
              <w:rFonts w:ascii="Times New Roman" w:eastAsia="Times New Roman"/>
            </w:rPr>
            <w:fldChar w:fldCharType="end"/>
          </w:r>
        </w:p>
        <w:p w14:paraId="7E25489B">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"_TOC_250027" </w:instrText>
          </w:r>
          <w:r>
            <w:fldChar w:fldCharType="separate"/>
          </w:r>
          <w:r>
            <w:t>固体废物环境影响评价</w:t>
          </w:r>
          <w:r>
            <w:tab/>
          </w:r>
          <w:r>
            <w:rPr>
              <w:rFonts w:ascii="Times New Roman" w:eastAsia="Times New Roman"/>
            </w:rPr>
            <w:t>141</w:t>
          </w:r>
          <w:r>
            <w:rPr>
              <w:rFonts w:ascii="Times New Roman" w:eastAsia="Times New Roman"/>
            </w:rPr>
            <w:fldChar w:fldCharType="end"/>
          </w:r>
        </w:p>
        <w:p w14:paraId="7954DB1E">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"_TOC_250026" </w:instrText>
          </w:r>
          <w:r>
            <w:fldChar w:fldCharType="separate"/>
          </w:r>
          <w:r>
            <w:t>环境风险评价</w:t>
          </w:r>
          <w:r>
            <w:tab/>
          </w:r>
          <w:r>
            <w:rPr>
              <w:rFonts w:ascii="Times New Roman" w:eastAsia="Times New Roman"/>
            </w:rPr>
            <w:t>143</w:t>
          </w:r>
          <w:r>
            <w:rPr>
              <w:rFonts w:ascii="Times New Roman" w:eastAsia="Times New Roman"/>
            </w:rPr>
            <w:fldChar w:fldCharType="end"/>
          </w:r>
        </w:p>
        <w:p w14:paraId="14BCBAA5">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"_TOC_250025" </w:instrText>
          </w:r>
          <w:r>
            <w:fldChar w:fldCharType="separate"/>
          </w:r>
          <w:r>
            <w:t>生态环境影响分析</w:t>
          </w:r>
          <w:r>
            <w:tab/>
          </w:r>
          <w:r>
            <w:rPr>
              <w:rFonts w:ascii="Times New Roman" w:eastAsia="Times New Roman"/>
            </w:rPr>
            <w:t>155</w:t>
          </w:r>
          <w:r>
            <w:rPr>
              <w:rFonts w:ascii="Times New Roman" w:eastAsia="Times New Roman"/>
            </w:rPr>
            <w:fldChar w:fldCharType="end"/>
          </w:r>
        </w:p>
        <w:p w14:paraId="7852AA2F">
          <w:pPr>
            <w:pStyle w:val="11"/>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"_TOC_250024" </w:instrText>
          </w:r>
          <w:r>
            <w:fldChar w:fldCharType="separate"/>
          </w:r>
          <w:r>
            <w:t>环境保护措施及其可行性论证</w:t>
          </w:r>
          <w:r>
            <w:tab/>
          </w:r>
          <w:r>
            <w:rPr>
              <w:rFonts w:ascii="Times New Roman" w:eastAsia="Times New Roman"/>
            </w:rPr>
            <w:t>156</w:t>
          </w:r>
          <w:r>
            <w:rPr>
              <w:rFonts w:ascii="Times New Roman" w:eastAsia="Times New Roman"/>
            </w:rPr>
            <w:fldChar w:fldCharType="end"/>
          </w:r>
        </w:p>
        <w:p w14:paraId="26596645">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"_TOC_250023" </w:instrText>
          </w:r>
          <w:r>
            <w:fldChar w:fldCharType="separate"/>
          </w:r>
          <w:r>
            <w:t>大气污染防治措施</w:t>
          </w:r>
          <w:r>
            <w:tab/>
          </w:r>
          <w:r>
            <w:rPr>
              <w:rFonts w:ascii="Times New Roman" w:eastAsia="Times New Roman"/>
            </w:rPr>
            <w:t>156</w:t>
          </w:r>
          <w:r>
            <w:rPr>
              <w:rFonts w:ascii="Times New Roman" w:eastAsia="Times New Roman"/>
            </w:rPr>
            <w:fldChar w:fldCharType="end"/>
          </w:r>
        </w:p>
        <w:p w14:paraId="40BC4310">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"_TOC_250022" </w:instrText>
          </w:r>
          <w:r>
            <w:fldChar w:fldCharType="separate"/>
          </w:r>
          <w:r>
            <w:t>废水污染防治措施</w:t>
          </w:r>
          <w:r>
            <w:tab/>
          </w:r>
          <w:r>
            <w:rPr>
              <w:rFonts w:ascii="Times New Roman" w:eastAsia="Times New Roman"/>
            </w:rPr>
            <w:t>165</w:t>
          </w:r>
          <w:r>
            <w:rPr>
              <w:rFonts w:ascii="Times New Roman" w:eastAsia="Times New Roman"/>
            </w:rPr>
            <w:fldChar w:fldCharType="end"/>
          </w:r>
        </w:p>
        <w:p w14:paraId="78BF13F7">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"_TOC_250021" </w:instrText>
          </w:r>
          <w:r>
            <w:fldChar w:fldCharType="separate"/>
          </w:r>
          <w:r>
            <w:t>噪声污染防治措施</w:t>
          </w:r>
          <w:r>
            <w:tab/>
          </w:r>
          <w:r>
            <w:rPr>
              <w:rFonts w:ascii="Times New Roman" w:eastAsia="Times New Roman"/>
            </w:rPr>
            <w:t>166</w:t>
          </w:r>
          <w:r>
            <w:rPr>
              <w:rFonts w:ascii="Times New Roman" w:eastAsia="Times New Roman"/>
            </w:rPr>
            <w:fldChar w:fldCharType="end"/>
          </w:r>
        </w:p>
        <w:p w14:paraId="7BB94F4A">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"_TOC_250020" </w:instrText>
          </w:r>
          <w:r>
            <w:fldChar w:fldCharType="separate"/>
          </w:r>
          <w:r>
            <w:t>固体废物污染防治措施</w:t>
          </w:r>
          <w:r>
            <w:tab/>
          </w:r>
          <w:r>
            <w:rPr>
              <w:rFonts w:ascii="Times New Roman" w:eastAsia="Times New Roman"/>
            </w:rPr>
            <w:t>167</w:t>
          </w:r>
          <w:r>
            <w:rPr>
              <w:rFonts w:ascii="Times New Roman" w:eastAsia="Times New Roman"/>
            </w:rPr>
            <w:fldChar w:fldCharType="end"/>
          </w:r>
        </w:p>
        <w:p w14:paraId="69B8C011">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"_TOC_250019" </w:instrText>
          </w:r>
          <w:r>
            <w:fldChar w:fldCharType="separate"/>
          </w:r>
          <w:r>
            <w:t>地下水和土壤污染防治措施</w:t>
          </w:r>
          <w:r>
            <w:tab/>
          </w:r>
          <w:r>
            <w:rPr>
              <w:rFonts w:ascii="Times New Roman" w:eastAsia="Times New Roman"/>
            </w:rPr>
            <w:t>170</w:t>
          </w:r>
          <w:r>
            <w:rPr>
              <w:rFonts w:ascii="Times New Roman" w:eastAsia="Times New Roman"/>
            </w:rPr>
            <w:fldChar w:fldCharType="end"/>
          </w:r>
        </w:p>
        <w:p w14:paraId="03E32D44">
          <w:pPr>
            <w:pStyle w:val="11"/>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"_TOC_250018" </w:instrText>
          </w:r>
          <w:r>
            <w:fldChar w:fldCharType="separate"/>
          </w:r>
          <w:r>
            <w:t>环境经济损益分析及总量控制</w:t>
          </w:r>
          <w:r>
            <w:tab/>
          </w:r>
          <w:r>
            <w:rPr>
              <w:rFonts w:ascii="Times New Roman" w:eastAsia="Times New Roman"/>
            </w:rPr>
            <w:t>172</w:t>
          </w:r>
          <w:r>
            <w:rPr>
              <w:rFonts w:ascii="Times New Roman" w:eastAsia="Times New Roman"/>
            </w:rPr>
            <w:fldChar w:fldCharType="end"/>
          </w:r>
        </w:p>
        <w:p w14:paraId="6E027E26">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"_TOC_250017" </w:instrText>
          </w:r>
          <w:r>
            <w:fldChar w:fldCharType="separate"/>
          </w:r>
          <w:r>
            <w:t>环境效益分析</w:t>
          </w:r>
          <w:r>
            <w:tab/>
          </w:r>
          <w:r>
            <w:rPr>
              <w:rFonts w:ascii="Times New Roman" w:eastAsia="Times New Roman"/>
            </w:rPr>
            <w:t>172</w:t>
          </w:r>
          <w:r>
            <w:rPr>
              <w:rFonts w:ascii="Times New Roman" w:eastAsia="Times New Roman"/>
            </w:rPr>
            <w:fldChar w:fldCharType="end"/>
          </w:r>
        </w:p>
        <w:p w14:paraId="55376B94">
          <w:pPr>
            <w:pStyle w:val="12"/>
            <w:numPr>
              <w:ilvl w:val="1"/>
              <w:numId w:val="2"/>
            </w:numPr>
            <w:tabs>
              <w:tab w:val="left" w:pos="1060"/>
              <w:tab w:val="right" w:leader="dot" w:pos="8526"/>
            </w:tabs>
            <w:spacing w:before="161" w:after="0" w:line="240" w:lineRule="auto"/>
            <w:ind w:left="1060" w:right="0" w:hanging="420"/>
            <w:jc w:val="left"/>
            <w:rPr>
              <w:rFonts w:ascii="Times New Roman" w:eastAsia="Times New Roman"/>
            </w:rPr>
          </w:pPr>
          <w:r>
            <w:fldChar w:fldCharType="begin"/>
          </w:r>
          <w:r>
            <w:instrText xml:space="preserve"> HYPERLINK \l "_TOC_250016" </w:instrText>
          </w:r>
          <w:r>
            <w:fldChar w:fldCharType="separate"/>
          </w:r>
          <w:r>
            <w:t>总量控制</w:t>
          </w:r>
          <w:r>
            <w:tab/>
          </w:r>
          <w:r>
            <w:rPr>
              <w:rFonts w:ascii="Times New Roman" w:eastAsia="Times New Roman"/>
            </w:rPr>
            <w:t>173</w:t>
          </w:r>
          <w:r>
            <w:rPr>
              <w:rFonts w:ascii="Times New Roman" w:eastAsia="Times New Roman"/>
            </w:rPr>
            <w:fldChar w:fldCharType="end"/>
          </w:r>
        </w:p>
        <w:p w14:paraId="5C9A1D29">
          <w:pPr>
            <w:pStyle w:val="11"/>
            <w:numPr>
              <w:ilvl w:val="0"/>
              <w:numId w:val="2"/>
            </w:numPr>
            <w:tabs>
              <w:tab w:val="left" w:pos="400"/>
              <w:tab w:val="right" w:leader="dot" w:pos="8526"/>
            </w:tabs>
            <w:spacing w:before="160" w:after="0" w:line="240" w:lineRule="auto"/>
            <w:ind w:left="400" w:right="0" w:hanging="180"/>
            <w:jc w:val="left"/>
            <w:rPr>
              <w:rFonts w:ascii="Times New Roman" w:eastAsia="Times New Roman"/>
            </w:rPr>
          </w:pPr>
          <w:r>
            <w:fldChar w:fldCharType="begin"/>
          </w:r>
          <w:r>
            <w:instrText xml:space="preserve"> HYPERLINK \l "_TOC_250015" </w:instrText>
          </w:r>
          <w:r>
            <w:fldChar w:fldCharType="separate"/>
          </w:r>
          <w:r>
            <w:t>环境管理与监测计划</w:t>
          </w:r>
          <w:r>
            <w:tab/>
          </w:r>
          <w:r>
            <w:rPr>
              <w:rFonts w:ascii="Times New Roman" w:eastAsia="Times New Roman"/>
            </w:rPr>
            <w:t>174</w:t>
          </w:r>
          <w:r>
            <w:rPr>
              <w:rFonts w:ascii="Times New Roman" w:eastAsia="Times New Roman"/>
            </w:rPr>
            <w:fldChar w:fldCharType="end"/>
          </w:r>
        </w:p>
        <w:p w14:paraId="5DB1A6F7">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"_TOC_250014" </w:instrText>
          </w:r>
          <w:r>
            <w:fldChar w:fldCharType="separate"/>
          </w:r>
          <w:r>
            <w:t>环境管理</w:t>
          </w:r>
          <w:r>
            <w:tab/>
          </w:r>
          <w:r>
            <w:rPr>
              <w:rFonts w:ascii="Times New Roman" w:eastAsia="Times New Roman"/>
            </w:rPr>
            <w:t>174</w:t>
          </w:r>
          <w:r>
            <w:rPr>
              <w:rFonts w:ascii="Times New Roman" w:eastAsia="Times New Roman"/>
            </w:rPr>
            <w:fldChar w:fldCharType="end"/>
          </w:r>
        </w:p>
        <w:p w14:paraId="72AE868E">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"_TOC_250013" </w:instrText>
          </w:r>
          <w:r>
            <w:fldChar w:fldCharType="separate"/>
          </w:r>
          <w:r>
            <w:t>监测计划</w:t>
          </w:r>
          <w:r>
            <w:tab/>
          </w:r>
          <w:r>
            <w:rPr>
              <w:rFonts w:ascii="Times New Roman" w:eastAsia="Times New Roman"/>
            </w:rPr>
            <w:t>177</w:t>
          </w:r>
          <w:r>
            <w:rPr>
              <w:rFonts w:ascii="Times New Roman" w:eastAsia="Times New Roman"/>
            </w:rPr>
            <w:fldChar w:fldCharType="end"/>
          </w:r>
        </w:p>
        <w:p w14:paraId="45B9EF59">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"_TOC_250012" </w:instrText>
          </w:r>
          <w:r>
            <w:fldChar w:fldCharType="separate"/>
          </w:r>
          <w:r>
            <w:t>排污口规范化设置</w:t>
          </w:r>
          <w:r>
            <w:tab/>
          </w:r>
          <w:r>
            <w:rPr>
              <w:rFonts w:ascii="Times New Roman" w:eastAsia="Times New Roman"/>
            </w:rPr>
            <w:t>180</w:t>
          </w:r>
          <w:r>
            <w:rPr>
              <w:rFonts w:ascii="Times New Roman" w:eastAsia="Times New Roman"/>
            </w:rPr>
            <w:fldChar w:fldCharType="end"/>
          </w:r>
        </w:p>
        <w:p w14:paraId="091D96A3">
          <w:pPr>
            <w:pStyle w:val="12"/>
            <w:numPr>
              <w:ilvl w:val="1"/>
              <w:numId w:val="2"/>
            </w:numPr>
            <w:tabs>
              <w:tab w:val="left" w:pos="1060"/>
              <w:tab w:val="right" w:leader="dot" w:pos="8526"/>
            </w:tabs>
            <w:spacing w:before="160" w:after="0" w:line="240" w:lineRule="auto"/>
            <w:ind w:left="1060" w:right="0" w:hanging="420"/>
            <w:jc w:val="left"/>
            <w:rPr>
              <w:rFonts w:ascii="Times New Roman" w:eastAsia="Times New Roman"/>
            </w:rPr>
          </w:pPr>
          <w:r>
            <w:fldChar w:fldCharType="begin"/>
          </w:r>
          <w:r>
            <w:instrText xml:space="preserve"> HYPERLINK \l "_TOC_250011" </w:instrText>
          </w:r>
          <w:r>
            <w:fldChar w:fldCharType="separate"/>
          </w:r>
          <w:r>
            <w:t>排污许可与信息公开</w:t>
          </w:r>
          <w:r>
            <w:tab/>
          </w:r>
          <w:r>
            <w:rPr>
              <w:rFonts w:ascii="Times New Roman" w:eastAsia="Times New Roman"/>
            </w:rPr>
            <w:t>182</w:t>
          </w:r>
          <w:r>
            <w:rPr>
              <w:rFonts w:ascii="Times New Roman" w:eastAsia="Times New Roman"/>
            </w:rPr>
            <w:fldChar w:fldCharType="end"/>
          </w:r>
        </w:p>
        <w:p w14:paraId="7809DBB1">
          <w:pPr>
            <w:pStyle w:val="12"/>
            <w:numPr>
              <w:ilvl w:val="1"/>
              <w:numId w:val="2"/>
            </w:numPr>
            <w:tabs>
              <w:tab w:val="left" w:pos="1060"/>
              <w:tab w:val="right" w:leader="dot" w:pos="8526"/>
            </w:tabs>
            <w:spacing w:before="161" w:after="0" w:line="240" w:lineRule="auto"/>
            <w:ind w:left="1060" w:right="0" w:hanging="420"/>
            <w:jc w:val="left"/>
            <w:rPr>
              <w:rFonts w:ascii="Times New Roman" w:eastAsia="Times New Roman"/>
            </w:rPr>
          </w:pPr>
          <w:r>
            <w:fldChar w:fldCharType="begin"/>
          </w:r>
          <w:r>
            <w:instrText xml:space="preserve"> HYPERLINK \l "_TOC_250010" </w:instrText>
          </w:r>
          <w:r>
            <w:fldChar w:fldCharType="separate"/>
          </w:r>
          <w:r>
            <w:t>竣工环境保护验收</w:t>
          </w:r>
          <w:r>
            <w:tab/>
          </w:r>
          <w:r>
            <w:rPr>
              <w:rFonts w:ascii="Times New Roman" w:eastAsia="Times New Roman"/>
            </w:rPr>
            <w:t>183</w:t>
          </w:r>
          <w:r>
            <w:rPr>
              <w:rFonts w:ascii="Times New Roman" w:eastAsia="Times New Roman"/>
            </w:rPr>
            <w:fldChar w:fldCharType="end"/>
          </w:r>
        </w:p>
        <w:p w14:paraId="0349E2BE">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"_TOC_250009" </w:instrText>
          </w:r>
          <w:r>
            <w:fldChar w:fldCharType="separate"/>
          </w:r>
          <w:r>
            <w:t>污染物排放清单及管理要求</w:t>
          </w:r>
          <w:r>
            <w:tab/>
          </w:r>
          <w:r>
            <w:rPr>
              <w:rFonts w:ascii="Times New Roman" w:eastAsia="Times New Roman"/>
            </w:rPr>
            <w:t>185</w:t>
          </w:r>
          <w:r>
            <w:rPr>
              <w:rFonts w:ascii="Times New Roman" w:eastAsia="Times New Roman"/>
            </w:rPr>
            <w:fldChar w:fldCharType="end"/>
          </w:r>
        </w:p>
        <w:p w14:paraId="006025CB">
          <w:pPr>
            <w:pStyle w:val="11"/>
            <w:numPr>
              <w:ilvl w:val="0"/>
              <w:numId w:val="2"/>
            </w:numPr>
            <w:tabs>
              <w:tab w:val="left" w:pos="400"/>
              <w:tab w:val="right" w:leader="dot" w:pos="8526"/>
            </w:tabs>
            <w:spacing w:before="161" w:after="0" w:line="240" w:lineRule="auto"/>
            <w:ind w:left="400" w:right="0" w:hanging="180"/>
            <w:jc w:val="left"/>
            <w:rPr>
              <w:rFonts w:ascii="Times New Roman" w:eastAsia="Times New Roman"/>
            </w:rPr>
          </w:pPr>
          <w:r>
            <w:fldChar w:fldCharType="begin"/>
          </w:r>
          <w:r>
            <w:instrText xml:space="preserve"> HYPERLINK \l "_TOC_250008" </w:instrText>
          </w:r>
          <w:r>
            <w:fldChar w:fldCharType="separate"/>
          </w:r>
          <w:r>
            <w:t>建议及结论</w:t>
          </w:r>
          <w:r>
            <w:tab/>
          </w:r>
          <w:r>
            <w:rPr>
              <w:rFonts w:ascii="Times New Roman" w:eastAsia="Times New Roman"/>
            </w:rPr>
            <w:t>189</w:t>
          </w:r>
          <w:r>
            <w:rPr>
              <w:rFonts w:ascii="Times New Roman" w:eastAsia="Times New Roman"/>
            </w:rPr>
            <w:fldChar w:fldCharType="end"/>
          </w:r>
        </w:p>
        <w:p w14:paraId="16EB3AA2">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"_TOC_250007" </w:instrText>
          </w:r>
          <w:r>
            <w:fldChar w:fldCharType="separate"/>
          </w:r>
          <w:r>
            <w:t>项目概况</w:t>
          </w:r>
          <w:r>
            <w:tab/>
          </w:r>
          <w:r>
            <w:rPr>
              <w:rFonts w:ascii="Times New Roman" w:eastAsia="Times New Roman"/>
            </w:rPr>
            <w:t>189</w:t>
          </w:r>
          <w:r>
            <w:rPr>
              <w:rFonts w:ascii="Times New Roman" w:eastAsia="Times New Roman"/>
            </w:rPr>
            <w:fldChar w:fldCharType="end"/>
          </w:r>
        </w:p>
        <w:p w14:paraId="3FB2F1DF">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"_TOC_250006" </w:instrText>
          </w:r>
          <w:r>
            <w:fldChar w:fldCharType="separate"/>
          </w:r>
          <w:r>
            <w:t>环境质量现状</w:t>
          </w:r>
          <w:r>
            <w:tab/>
          </w:r>
          <w:r>
            <w:rPr>
              <w:rFonts w:ascii="Times New Roman" w:eastAsia="Times New Roman"/>
            </w:rPr>
            <w:t>189</w:t>
          </w:r>
          <w:r>
            <w:rPr>
              <w:rFonts w:ascii="Times New Roman" w:eastAsia="Times New Roman"/>
            </w:rPr>
            <w:fldChar w:fldCharType="end"/>
          </w:r>
        </w:p>
        <w:p w14:paraId="40FE3C3D">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"_TOC_250005" </w:instrText>
          </w:r>
          <w:r>
            <w:fldChar w:fldCharType="separate"/>
          </w:r>
          <w:r>
            <w:t>环境影响及环保措施</w:t>
          </w:r>
          <w:r>
            <w:tab/>
          </w:r>
          <w:r>
            <w:rPr>
              <w:rFonts w:ascii="Times New Roman" w:eastAsia="Times New Roman"/>
            </w:rPr>
            <w:t>190</w:t>
          </w:r>
          <w:r>
            <w:rPr>
              <w:rFonts w:ascii="Times New Roman" w:eastAsia="Times New Roman"/>
            </w:rPr>
            <w:fldChar w:fldCharType="end"/>
          </w:r>
        </w:p>
        <w:p w14:paraId="55100184">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"_TOC_250004" </w:instrText>
          </w:r>
          <w:r>
            <w:fldChar w:fldCharType="separate"/>
          </w:r>
          <w:r>
            <w:t>环境影响经济损益分析</w:t>
          </w:r>
          <w:r>
            <w:tab/>
          </w:r>
          <w:r>
            <w:rPr>
              <w:rFonts w:ascii="Times New Roman" w:eastAsia="Times New Roman"/>
            </w:rPr>
            <w:t>191</w:t>
          </w:r>
          <w:r>
            <w:rPr>
              <w:rFonts w:ascii="Times New Roman" w:eastAsia="Times New Roman"/>
            </w:rPr>
            <w:fldChar w:fldCharType="end"/>
          </w:r>
        </w:p>
        <w:p w14:paraId="69A7C6DB">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"_TOC_250003" </w:instrText>
          </w:r>
          <w:r>
            <w:fldChar w:fldCharType="separate"/>
          </w:r>
          <w:r>
            <w:t>环境管理与环境监测计划</w:t>
          </w:r>
          <w:r>
            <w:tab/>
          </w:r>
          <w:r>
            <w:rPr>
              <w:rFonts w:ascii="Times New Roman" w:eastAsia="Times New Roman"/>
            </w:rPr>
            <w:t>192</w:t>
          </w:r>
          <w:r>
            <w:rPr>
              <w:rFonts w:ascii="Times New Roman" w:eastAsia="Times New Roman"/>
            </w:rPr>
            <w:fldChar w:fldCharType="end"/>
          </w:r>
        </w:p>
        <w:p w14:paraId="0E2890C2">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"_TOC_250002" </w:instrText>
          </w:r>
          <w:r>
            <w:fldChar w:fldCharType="separate"/>
          </w:r>
          <w:r>
            <w:t>总量控制</w:t>
          </w:r>
          <w:r>
            <w:tab/>
          </w:r>
          <w:r>
            <w:rPr>
              <w:rFonts w:ascii="Times New Roman" w:eastAsia="Times New Roman"/>
            </w:rPr>
            <w:t>192</w:t>
          </w:r>
          <w:r>
            <w:rPr>
              <w:rFonts w:ascii="Times New Roman" w:eastAsia="Times New Roman"/>
            </w:rPr>
            <w:fldChar w:fldCharType="end"/>
          </w:r>
        </w:p>
        <w:p w14:paraId="12950A32">
          <w:pPr>
            <w:pStyle w:val="12"/>
            <w:numPr>
              <w:ilvl w:val="1"/>
              <w:numId w:val="2"/>
            </w:numPr>
            <w:tabs>
              <w:tab w:val="left" w:pos="1000"/>
              <w:tab w:val="right" w:leader="dot" w:pos="8526"/>
            </w:tabs>
            <w:spacing w:before="160" w:after="0" w:line="240" w:lineRule="auto"/>
            <w:ind w:left="1000" w:right="0" w:hanging="360"/>
            <w:jc w:val="left"/>
            <w:rPr>
              <w:rFonts w:ascii="Times New Roman" w:eastAsia="Times New Roman"/>
            </w:rPr>
          </w:pPr>
          <w:r>
            <w:fldChar w:fldCharType="begin"/>
          </w:r>
          <w:r>
            <w:instrText xml:space="preserve"> HYPERLINK \l "_TOC_250001" </w:instrText>
          </w:r>
          <w:r>
            <w:fldChar w:fldCharType="separate"/>
          </w:r>
          <w:r>
            <w:t>公众参与</w:t>
          </w:r>
          <w:r>
            <w:tab/>
          </w:r>
          <w:r>
            <w:rPr>
              <w:rFonts w:ascii="Times New Roman" w:eastAsia="Times New Roman"/>
            </w:rPr>
            <w:t>192</w:t>
          </w:r>
          <w:r>
            <w:rPr>
              <w:rFonts w:ascii="Times New Roman" w:eastAsia="Times New Roman"/>
            </w:rPr>
            <w:fldChar w:fldCharType="end"/>
          </w:r>
        </w:p>
        <w:p w14:paraId="53D6C2DF">
          <w:pPr>
            <w:pStyle w:val="12"/>
            <w:numPr>
              <w:ilvl w:val="1"/>
              <w:numId w:val="2"/>
            </w:numPr>
            <w:tabs>
              <w:tab w:val="left" w:pos="1000"/>
              <w:tab w:val="right" w:leader="dot" w:pos="8526"/>
            </w:tabs>
            <w:spacing w:before="161" w:after="0" w:line="240" w:lineRule="auto"/>
            <w:ind w:left="1000" w:right="0" w:hanging="360"/>
            <w:jc w:val="left"/>
            <w:rPr>
              <w:rFonts w:ascii="Times New Roman" w:eastAsia="Times New Roman"/>
            </w:rPr>
          </w:pPr>
          <w:r>
            <w:fldChar w:fldCharType="begin"/>
          </w:r>
          <w:r>
            <w:instrText xml:space="preserve"> HYPERLINK \l "_TOC_250000" </w:instrText>
          </w:r>
          <w:r>
            <w:fldChar w:fldCharType="separate"/>
          </w:r>
          <w:r>
            <w:t>综合结论</w:t>
          </w:r>
          <w:r>
            <w:tab/>
          </w:r>
          <w:r>
            <w:rPr>
              <w:rFonts w:ascii="Times New Roman" w:eastAsia="Times New Roman"/>
            </w:rPr>
            <w:t>192</w:t>
          </w:r>
          <w:r>
            <w:rPr>
              <w:rFonts w:ascii="Times New Roman" w:eastAsia="Times New Roman"/>
            </w:rPr>
            <w:fldChar w:fldCharType="end"/>
          </w:r>
        </w:p>
      </w:sdtContent>
    </w:sdt>
    <w:p w14:paraId="388A822C">
      <w:pPr>
        <w:spacing w:after="0" w:line="240" w:lineRule="auto"/>
        <w:jc w:val="left"/>
        <w:rPr>
          <w:rFonts w:ascii="Times New Roman" w:eastAsia="Times New Roman"/>
        </w:rPr>
        <w:sectPr>
          <w:type w:val="continuous"/>
          <w:pgSz w:w="11910" w:h="16840"/>
          <w:pgMar w:top="1460" w:right="1440" w:bottom="1730" w:left="1580" w:header="720" w:footer="720" w:gutter="0"/>
          <w:cols w:space="720" w:num="1"/>
        </w:sectPr>
      </w:pPr>
    </w:p>
    <w:p w14:paraId="7C1D7B19">
      <w:pPr>
        <w:pStyle w:val="9"/>
        <w:spacing w:before="43"/>
        <w:ind w:left="220"/>
      </w:pPr>
      <w:r>
        <w:t>附件：</w:t>
      </w:r>
    </w:p>
    <w:p w14:paraId="687DB0B0">
      <w:pPr>
        <w:pStyle w:val="10"/>
        <w:spacing w:before="4"/>
        <w:ind w:left="220"/>
      </w:pPr>
      <w:r>
        <w:t xml:space="preserve">附件 </w:t>
      </w:r>
      <w:r>
        <w:rPr>
          <w:rFonts w:ascii="Times New Roman" w:eastAsia="Times New Roman"/>
        </w:rPr>
        <w:t xml:space="preserve">1 </w:t>
      </w:r>
      <w:r>
        <w:t>环评委托书</w:t>
      </w:r>
    </w:p>
    <w:p w14:paraId="3B9A5ADE">
      <w:pPr>
        <w:pStyle w:val="10"/>
        <w:tabs>
          <w:tab w:val="left" w:pos="1119"/>
        </w:tabs>
        <w:spacing w:before="5"/>
        <w:ind w:left="220"/>
      </w:pPr>
      <w:r>
        <w:t>附件</w:t>
      </w:r>
      <w:r>
        <w:rPr>
          <w:spacing w:val="-60"/>
        </w:rPr>
        <w:t xml:space="preserve"> </w:t>
      </w:r>
      <w:r>
        <w:rPr>
          <w:rFonts w:ascii="Times New Roman" w:eastAsia="Times New Roman"/>
        </w:rPr>
        <w:t>2</w:t>
      </w:r>
      <w:r>
        <w:rPr>
          <w:rFonts w:ascii="Times New Roman" w:eastAsia="Times New Roman"/>
        </w:rPr>
        <w:tab/>
      </w:r>
      <w:r>
        <w:t>营业执照</w:t>
      </w:r>
    </w:p>
    <w:p w14:paraId="05198C61">
      <w:pPr>
        <w:pStyle w:val="10"/>
        <w:spacing w:before="2"/>
        <w:ind w:left="220"/>
      </w:pPr>
      <w:r>
        <w:t xml:space="preserve">附件 </w:t>
      </w:r>
      <w:r>
        <w:rPr>
          <w:rFonts w:ascii="Times New Roman" w:eastAsia="Times New Roman"/>
        </w:rPr>
        <w:t xml:space="preserve">3 </w:t>
      </w:r>
      <w:r>
        <w:t>厂房租赁合同</w:t>
      </w:r>
    </w:p>
    <w:p w14:paraId="366BF9D1">
      <w:pPr>
        <w:pStyle w:val="10"/>
        <w:spacing w:before="4"/>
        <w:ind w:left="220"/>
      </w:pPr>
      <w:r>
        <w:t xml:space="preserve">附件 </w:t>
      </w:r>
      <w:r>
        <w:rPr>
          <w:rFonts w:ascii="Times New Roman" w:eastAsia="Times New Roman"/>
        </w:rPr>
        <w:t xml:space="preserve">4 </w:t>
      </w:r>
      <w:r>
        <w:t>园区规划环评批复</w:t>
      </w:r>
    </w:p>
    <w:p w14:paraId="69D296D6">
      <w:pPr>
        <w:pStyle w:val="10"/>
        <w:spacing w:before="5"/>
        <w:ind w:left="220"/>
      </w:pPr>
      <w:r>
        <w:t xml:space="preserve">附件 </w:t>
      </w:r>
      <w:r>
        <w:rPr>
          <w:rFonts w:ascii="Times New Roman" w:eastAsia="Times New Roman"/>
        </w:rPr>
        <w:t xml:space="preserve">5  </w:t>
      </w:r>
      <w:r>
        <w:t>项目备案批复</w:t>
      </w:r>
    </w:p>
    <w:p w14:paraId="23DDA90F">
      <w:pPr>
        <w:pStyle w:val="10"/>
        <w:spacing w:before="2"/>
        <w:ind w:left="220"/>
      </w:pPr>
      <w:r>
        <w:t xml:space="preserve">附件 </w:t>
      </w:r>
      <w:r>
        <w:rPr>
          <w:rFonts w:ascii="Times New Roman" w:eastAsia="Times New Roman"/>
        </w:rPr>
        <w:t xml:space="preserve">6  </w:t>
      </w:r>
      <w:r>
        <w:t>引用监测报告</w:t>
      </w:r>
    </w:p>
    <w:p w14:paraId="4D3AFEB5">
      <w:pPr>
        <w:pStyle w:val="10"/>
        <w:spacing w:before="4"/>
        <w:ind w:left="220"/>
      </w:pPr>
      <w:r>
        <w:t xml:space="preserve">附件 </w:t>
      </w:r>
      <w:r>
        <w:rPr>
          <w:rFonts w:ascii="Times New Roman" w:eastAsia="Times New Roman"/>
        </w:rPr>
        <w:t xml:space="preserve">7  </w:t>
      </w:r>
      <w:r>
        <w:t>项目噪声补充监测报告</w:t>
      </w:r>
    </w:p>
    <w:p w14:paraId="4FF54A57">
      <w:pPr>
        <w:pStyle w:val="10"/>
        <w:spacing w:before="5"/>
        <w:ind w:left="220"/>
      </w:pPr>
      <w:r>
        <w:t xml:space="preserve">附件 </w:t>
      </w:r>
      <w:r>
        <w:rPr>
          <w:rFonts w:ascii="Times New Roman" w:eastAsia="Times New Roman"/>
        </w:rPr>
        <w:t xml:space="preserve">8  </w:t>
      </w:r>
      <w:r>
        <w:t>项目大气补充监测报告</w:t>
      </w:r>
    </w:p>
    <w:p w14:paraId="02396317">
      <w:pPr>
        <w:pStyle w:val="10"/>
        <w:spacing w:before="2"/>
        <w:ind w:left="220"/>
      </w:pPr>
      <w:r>
        <w:t xml:space="preserve">附件 </w:t>
      </w:r>
      <w:r>
        <w:rPr>
          <w:rFonts w:ascii="Times New Roman" w:eastAsia="Times New Roman"/>
        </w:rPr>
        <w:t xml:space="preserve">9 </w:t>
      </w:r>
      <w:r>
        <w:t>标准函</w:t>
      </w:r>
    </w:p>
    <w:p w14:paraId="6DD89C96">
      <w:pPr>
        <w:pStyle w:val="10"/>
        <w:spacing w:before="4"/>
        <w:ind w:left="220"/>
      </w:pPr>
      <w:r>
        <w:t xml:space="preserve">附件 </w:t>
      </w:r>
      <w:r>
        <w:rPr>
          <w:rFonts w:ascii="Times New Roman" w:eastAsia="Times New Roman"/>
        </w:rPr>
        <w:t xml:space="preserve">10 </w:t>
      </w:r>
      <w:r>
        <w:t>预审意见</w:t>
      </w:r>
    </w:p>
    <w:p w14:paraId="00AF0E0F">
      <w:pPr>
        <w:pStyle w:val="10"/>
        <w:spacing w:before="5" w:line="242" w:lineRule="auto"/>
        <w:ind w:left="220" w:right="6321"/>
        <w:rPr>
          <w:rFonts w:ascii="Times New Roman" w:eastAsia="Times New Roman"/>
          <w:b/>
        </w:rPr>
      </w:pPr>
      <w:r>
        <w:t xml:space="preserve">附件 </w:t>
      </w:r>
      <w:r>
        <w:rPr>
          <w:rFonts w:ascii="Times New Roman" w:eastAsia="Times New Roman"/>
        </w:rPr>
        <w:t xml:space="preserve">11 </w:t>
      </w:r>
      <w:r>
        <w:t>专家评估意见</w:t>
      </w:r>
      <w:r>
        <w:rPr>
          <w:b/>
        </w:rPr>
        <w:t>附图</w:t>
      </w:r>
      <w:r>
        <w:rPr>
          <w:rFonts w:ascii="Times New Roman" w:eastAsia="Times New Roman"/>
          <w:b/>
        </w:rPr>
        <w:t>:</w:t>
      </w:r>
    </w:p>
    <w:p w14:paraId="037F3626">
      <w:pPr>
        <w:pStyle w:val="10"/>
        <w:ind w:left="220"/>
      </w:pPr>
      <w:r>
        <w:t xml:space="preserve">附图 </w:t>
      </w:r>
      <w:r>
        <w:rPr>
          <w:rFonts w:ascii="Times New Roman" w:eastAsia="Times New Roman"/>
        </w:rPr>
        <w:t xml:space="preserve">1 </w:t>
      </w:r>
      <w:r>
        <w:t>项目地理位置图</w:t>
      </w:r>
    </w:p>
    <w:p w14:paraId="2E35D018">
      <w:pPr>
        <w:pStyle w:val="10"/>
        <w:spacing w:before="5"/>
        <w:ind w:left="220"/>
      </w:pPr>
      <w:r>
        <w:t xml:space="preserve">附图 </w:t>
      </w:r>
      <w:r>
        <w:rPr>
          <w:rFonts w:ascii="Times New Roman" w:eastAsia="Times New Roman"/>
        </w:rPr>
        <w:t xml:space="preserve">2 </w:t>
      </w:r>
      <w:r>
        <w:t>项目大气、声环境保护目标示意图</w:t>
      </w:r>
    </w:p>
    <w:p w14:paraId="4B4963C1">
      <w:pPr>
        <w:pStyle w:val="10"/>
        <w:spacing w:before="2"/>
        <w:ind w:left="220"/>
      </w:pPr>
      <w:r>
        <w:t xml:space="preserve">附图 </w:t>
      </w:r>
      <w:r>
        <w:rPr>
          <w:rFonts w:ascii="Times New Roman" w:eastAsia="Times New Roman"/>
        </w:rPr>
        <w:t xml:space="preserve">3 </w:t>
      </w:r>
      <w:r>
        <w:t>项目地下水调查评价范围及引用地下水监测点位示意图</w:t>
      </w:r>
    </w:p>
    <w:p w14:paraId="3E65B4DB">
      <w:pPr>
        <w:pStyle w:val="10"/>
        <w:spacing w:before="5"/>
        <w:ind w:left="220"/>
      </w:pPr>
      <w:r>
        <w:t xml:space="preserve">附图 </w:t>
      </w:r>
      <w:r>
        <w:rPr>
          <w:rFonts w:ascii="Times New Roman" w:eastAsia="Times New Roman"/>
        </w:rPr>
        <w:t xml:space="preserve">4 </w:t>
      </w:r>
      <w:r>
        <w:t>项目地表水环境保护目标、区域水系分布及引用地表水监测点位示意图</w:t>
      </w:r>
    </w:p>
    <w:p w14:paraId="065A4855">
      <w:pPr>
        <w:pStyle w:val="10"/>
        <w:spacing w:before="4"/>
        <w:ind w:left="220"/>
      </w:pPr>
      <w:r>
        <w:t xml:space="preserve">附图 </w:t>
      </w:r>
      <w:r>
        <w:rPr>
          <w:rFonts w:ascii="Times New Roman" w:eastAsia="Times New Roman"/>
        </w:rPr>
        <w:t xml:space="preserve">5 </w:t>
      </w:r>
      <w:r>
        <w:t>项目总平面布置及分区防渗示意图</w:t>
      </w:r>
    </w:p>
    <w:p w14:paraId="4A232ED3">
      <w:pPr>
        <w:pStyle w:val="10"/>
        <w:spacing w:before="5"/>
        <w:ind w:left="220"/>
      </w:pPr>
      <w:r>
        <w:t xml:space="preserve">附图 </w:t>
      </w:r>
      <w:r>
        <w:rPr>
          <w:rFonts w:ascii="Times New Roman" w:eastAsia="Times New Roman"/>
        </w:rPr>
        <w:t xml:space="preserve">6  </w:t>
      </w:r>
      <w:r>
        <w:t>项目大气环境质量现状监测点位示意图</w:t>
      </w:r>
    </w:p>
    <w:p w14:paraId="6A3D939E">
      <w:pPr>
        <w:pStyle w:val="10"/>
        <w:spacing w:before="2"/>
        <w:ind w:left="220"/>
      </w:pPr>
      <w:r>
        <w:t xml:space="preserve">附图 </w:t>
      </w:r>
      <w:r>
        <w:rPr>
          <w:rFonts w:ascii="Times New Roman" w:eastAsia="Times New Roman"/>
        </w:rPr>
        <w:t xml:space="preserve">7  </w:t>
      </w:r>
      <w:r>
        <w:t>湖南汨罗高新技术产业园区用地规划图</w:t>
      </w:r>
    </w:p>
    <w:p w14:paraId="1B686680">
      <w:pPr>
        <w:pStyle w:val="10"/>
        <w:spacing w:before="4"/>
        <w:ind w:left="220"/>
      </w:pPr>
      <w:r>
        <w:t xml:space="preserve">附图 </w:t>
      </w:r>
      <w:r>
        <w:rPr>
          <w:rFonts w:ascii="Times New Roman" w:eastAsia="Times New Roman"/>
        </w:rPr>
        <w:t xml:space="preserve">8 </w:t>
      </w:r>
      <w:r>
        <w:t>湖南汨罗高新技术产业开发区总体规划图</w:t>
      </w:r>
    </w:p>
    <w:p w14:paraId="43B3FAFC">
      <w:pPr>
        <w:pStyle w:val="10"/>
        <w:spacing w:before="5"/>
        <w:ind w:left="220"/>
      </w:pPr>
      <w:r>
        <w:t xml:space="preserve">附图 </w:t>
      </w:r>
      <w:r>
        <w:rPr>
          <w:rFonts w:ascii="Times New Roman" w:eastAsia="Times New Roman"/>
        </w:rPr>
        <w:t xml:space="preserve">9 </w:t>
      </w:r>
      <w:r>
        <w:t>岳阳市环境管控单元图</w:t>
      </w:r>
    </w:p>
    <w:p w14:paraId="29EDC8CE">
      <w:pPr>
        <w:pStyle w:val="10"/>
        <w:spacing w:before="2"/>
        <w:ind w:left="220"/>
      </w:pPr>
      <w:r>
        <w:t xml:space="preserve">附图 </w:t>
      </w:r>
      <w:r>
        <w:rPr>
          <w:rFonts w:ascii="Times New Roman" w:hAnsi="Times New Roman" w:eastAsia="Times New Roman"/>
        </w:rPr>
        <w:t xml:space="preserve">10 </w:t>
      </w:r>
      <w:r>
        <w:t>汨罗市“三线”分布图</w:t>
      </w:r>
    </w:p>
    <w:p w14:paraId="163D6DD9">
      <w:pPr>
        <w:pStyle w:val="10"/>
        <w:spacing w:before="4"/>
        <w:ind w:left="220"/>
      </w:pPr>
      <w:r>
        <w:t xml:space="preserve">附图 </w:t>
      </w:r>
      <w:r>
        <w:rPr>
          <w:rFonts w:ascii="Times New Roman" w:eastAsia="Times New Roman"/>
        </w:rPr>
        <w:t xml:space="preserve">11 </w:t>
      </w:r>
      <w:r>
        <w:t>项目区域污水管网示意图</w:t>
      </w:r>
    </w:p>
    <w:p w14:paraId="2D9D99E6">
      <w:pPr>
        <w:spacing w:before="5" w:line="242" w:lineRule="auto"/>
        <w:ind w:left="220" w:right="6797" w:firstLine="0"/>
        <w:jc w:val="left"/>
        <w:rPr>
          <w:b/>
          <w:sz w:val="24"/>
        </w:rPr>
      </w:pPr>
      <w:r>
        <w:rPr>
          <w:sz w:val="24"/>
        </w:rPr>
        <w:t xml:space="preserve">附图 </w:t>
      </w:r>
      <w:r>
        <w:rPr>
          <w:rFonts w:ascii="Times New Roman" w:eastAsia="Times New Roman"/>
          <w:sz w:val="24"/>
        </w:rPr>
        <w:t xml:space="preserve">12 </w:t>
      </w:r>
      <w:r>
        <w:rPr>
          <w:sz w:val="24"/>
        </w:rPr>
        <w:t>现场照片</w:t>
      </w:r>
      <w:r>
        <w:rPr>
          <w:b/>
          <w:sz w:val="24"/>
        </w:rPr>
        <w:t>附表：</w:t>
      </w:r>
    </w:p>
    <w:p w14:paraId="7CBBCE69">
      <w:pPr>
        <w:pStyle w:val="10"/>
        <w:ind w:left="220"/>
      </w:pPr>
      <w:r>
        <w:t xml:space="preserve">附表 </w:t>
      </w:r>
      <w:r>
        <w:rPr>
          <w:rFonts w:ascii="Times New Roman" w:eastAsia="Times New Roman"/>
        </w:rPr>
        <w:t xml:space="preserve">1 </w:t>
      </w:r>
      <w:r>
        <w:t>建设项目大气环境影响评价自查表</w:t>
      </w:r>
    </w:p>
    <w:p w14:paraId="346DDCE9">
      <w:pPr>
        <w:pStyle w:val="10"/>
        <w:spacing w:before="5"/>
        <w:ind w:left="220"/>
      </w:pPr>
      <w:r>
        <w:t xml:space="preserve">附表 </w:t>
      </w:r>
      <w:r>
        <w:rPr>
          <w:rFonts w:ascii="Times New Roman" w:eastAsia="Times New Roman"/>
        </w:rPr>
        <w:t xml:space="preserve">2 </w:t>
      </w:r>
      <w:r>
        <w:t>建设项目地表水环境影响评价自查表</w:t>
      </w:r>
    </w:p>
    <w:p w14:paraId="4CDA1931">
      <w:pPr>
        <w:pStyle w:val="10"/>
        <w:spacing w:before="4"/>
        <w:ind w:left="220"/>
      </w:pPr>
      <w:r>
        <w:t xml:space="preserve">附表 </w:t>
      </w:r>
      <w:r>
        <w:rPr>
          <w:rFonts w:ascii="Times New Roman" w:eastAsia="Times New Roman"/>
        </w:rPr>
        <w:t xml:space="preserve">3 </w:t>
      </w:r>
      <w:r>
        <w:t>建设项目环境风险评价自查表</w:t>
      </w:r>
    </w:p>
    <w:p w14:paraId="6D8EBAA8">
      <w:pPr>
        <w:pStyle w:val="10"/>
        <w:spacing w:before="2"/>
        <w:ind w:left="220"/>
      </w:pPr>
      <w:r>
        <w:t xml:space="preserve">附表 </w:t>
      </w:r>
      <w:r>
        <w:rPr>
          <w:rFonts w:ascii="Times New Roman" w:eastAsia="Times New Roman"/>
        </w:rPr>
        <w:t xml:space="preserve">4 </w:t>
      </w:r>
      <w:r>
        <w:t>建设项目声环境影响评价自查表</w:t>
      </w:r>
    </w:p>
    <w:p w14:paraId="0CF4513F">
      <w:pPr>
        <w:pStyle w:val="10"/>
        <w:spacing w:before="5"/>
        <w:ind w:left="220"/>
      </w:pPr>
      <w:r>
        <w:t xml:space="preserve">附表 </w:t>
      </w:r>
      <w:r>
        <w:rPr>
          <w:rFonts w:ascii="Times New Roman" w:eastAsia="Times New Roman"/>
        </w:rPr>
        <w:t xml:space="preserve">5 </w:t>
      </w:r>
      <w:r>
        <w:t>项目基础信息表</w:t>
      </w:r>
    </w:p>
    <w:p w14:paraId="270F1D69">
      <w:pPr>
        <w:spacing w:after="0"/>
        <w:sectPr>
          <w:pgSz w:w="11910" w:h="16840"/>
          <w:pgMar w:top="1380" w:right="1440" w:bottom="280" w:left="1580" w:header="720" w:footer="720" w:gutter="0"/>
          <w:cols w:space="720" w:num="1"/>
        </w:sectPr>
      </w:pPr>
    </w:p>
    <w:p w14:paraId="34532B53">
      <w:pPr>
        <w:pStyle w:val="2"/>
        <w:spacing w:before="30"/>
        <w:ind w:left="220" w:firstLine="0"/>
      </w:pPr>
      <w:bookmarkStart w:id="0" w:name="_TOC_250055"/>
      <w:bookmarkEnd w:id="0"/>
      <w:r>
        <w:t>概述</w:t>
      </w:r>
    </w:p>
    <w:p w14:paraId="1330E468">
      <w:pPr>
        <w:pStyle w:val="3"/>
        <w:spacing w:before="227"/>
        <w:ind w:left="220" w:firstLine="0"/>
      </w:pPr>
      <w:bookmarkStart w:id="1" w:name="_TOC_250054"/>
      <w:r>
        <w:rPr>
          <w:rFonts w:ascii="Times New Roman" w:eastAsia="Times New Roman"/>
        </w:rPr>
        <w:t xml:space="preserve">1 </w:t>
      </w:r>
      <w:bookmarkEnd w:id="1"/>
      <w:r>
        <w:t>项目由来</w:t>
      </w:r>
    </w:p>
    <w:p w14:paraId="4F731FE5">
      <w:pPr>
        <w:pStyle w:val="10"/>
        <w:spacing w:before="199" w:line="364" w:lineRule="auto"/>
        <w:ind w:left="220" w:right="265" w:firstLine="480"/>
      </w:pPr>
      <w:r>
        <w:rPr>
          <w:spacing w:val="0"/>
        </w:rPr>
        <w:t>聚乙烯</w:t>
      </w:r>
      <w:r>
        <w:t>（</w:t>
      </w:r>
      <w:r>
        <w:rPr>
          <w:rFonts w:ascii="Times New Roman" w:hAnsi="Times New Roman" w:eastAsia="Times New Roman"/>
        </w:rPr>
        <w:t xml:space="preserve">Polyethylene </w:t>
      </w:r>
      <w:r>
        <w:rPr>
          <w:spacing w:val="-13"/>
        </w:rPr>
        <w:t xml:space="preserve">，简称 </w:t>
      </w:r>
      <w:r>
        <w:rPr>
          <w:rFonts w:ascii="Times New Roman" w:hAnsi="Times New Roman" w:eastAsia="Times New Roman"/>
        </w:rPr>
        <w:t>PE</w:t>
      </w:r>
      <w:r>
        <w:t>）是乙烯单体经聚合反应制得的一种热塑</w:t>
      </w:r>
      <w:r>
        <w:rPr>
          <w:spacing w:val="-10"/>
        </w:rPr>
        <w:t>性树脂。聚乙烯无臭，无毒，手感似蜡，具有优良的耐低温性能</w:t>
      </w:r>
      <w:r>
        <w:t>（最低使用温度可达</w:t>
      </w:r>
      <w:r>
        <w:rPr>
          <w:rFonts w:ascii="Times New Roman" w:hAnsi="Times New Roman" w:eastAsia="Times New Roman"/>
        </w:rPr>
        <w:t>-100~-70</w:t>
      </w:r>
      <w:r>
        <w:t>°</w:t>
      </w:r>
      <w:r>
        <w:rPr>
          <w:rFonts w:ascii="Times New Roman" w:hAnsi="Times New Roman" w:eastAsia="Times New Roman"/>
        </w:rPr>
        <w:t>C</w:t>
      </w:r>
      <w:r>
        <w:t>）</w:t>
      </w:r>
      <w:r>
        <w:rPr>
          <w:spacing w:val="-4"/>
        </w:rPr>
        <w:t>。化学稳定性好，因聚合物分子内通过碳</w:t>
      </w:r>
      <w:r>
        <w:rPr>
          <w:rFonts w:ascii="Times New Roman" w:hAnsi="Times New Roman" w:eastAsia="Times New Roman"/>
        </w:rPr>
        <w:t>-</w:t>
      </w:r>
      <w:r>
        <w:rPr>
          <w:spacing w:val="-1"/>
        </w:rPr>
        <w:t>碳单键相连，能耐</w:t>
      </w:r>
      <w:r>
        <w:rPr>
          <w:spacing w:val="-4"/>
        </w:rPr>
        <w:t>大多数酸碱的侵蚀</w:t>
      </w:r>
      <w:r>
        <w:t>（不耐具有氧化性质的酸</w:t>
      </w:r>
      <w:r>
        <w:rPr>
          <w:spacing w:val="-24"/>
        </w:rPr>
        <w:t>）</w:t>
      </w:r>
      <w:r>
        <w:rPr>
          <w:spacing w:val="-7"/>
        </w:rPr>
        <w:t>。常温下不溶于一般溶剂，吸水性</w:t>
      </w:r>
      <w:r>
        <w:rPr>
          <w:spacing w:val="-6"/>
        </w:rPr>
        <w:t>小，电绝缘性优良。 聚乙烯对于环境应力</w:t>
      </w:r>
      <w:r>
        <w:t>（化学与机械作用）是很敏感的，可用一般热塑性塑料的成型方法加工。聚乙烯用途十分广泛，主要用来制造薄膜、</w:t>
      </w:r>
      <w:r>
        <w:rPr>
          <w:spacing w:val="-10"/>
        </w:rPr>
        <w:t>包装材料、容器、管道、单丝、电线电缆、日用品等，并可作为电视、雷达等的高频绝缘材料。</w:t>
      </w:r>
    </w:p>
    <w:p w14:paraId="62F27F53">
      <w:pPr>
        <w:pStyle w:val="10"/>
        <w:spacing w:before="4" w:line="364" w:lineRule="auto"/>
        <w:ind w:left="220" w:right="117" w:firstLine="480"/>
      </w:pPr>
      <w:r>
        <w:rPr>
          <w:spacing w:val="-5"/>
        </w:rPr>
        <w:t xml:space="preserve">随着塑料工业的蓬勃发展及塑料的大规模使用，废旧塑料的产生量猛增，不 </w:t>
      </w:r>
      <w:r>
        <w:rPr>
          <w:spacing w:val="-10"/>
        </w:rPr>
        <w:t xml:space="preserve">合理处置将成为环境污染的主要污染源之一。为减少废旧塑料造成的污染，回收 </w:t>
      </w:r>
      <w:r>
        <w:rPr>
          <w:spacing w:val="-14"/>
        </w:rPr>
        <w:t xml:space="preserve">再生利用是目前最适用、最经济、最大力提倡的技术。废旧塑料的再生利用分为 </w:t>
      </w:r>
      <w:r>
        <w:rPr>
          <w:spacing w:val="-17"/>
        </w:rPr>
        <w:t>直接再生利用和改性再生利用，其中直接利用是将回收的废旧塑料制品经过分类、</w:t>
      </w:r>
      <w:r>
        <w:rPr>
          <w:spacing w:val="-13"/>
        </w:rPr>
        <w:t>破碎、造粒后直接加工成型，改性再生利用是将经初步加工处理后的废塑料添加 改性剂（如增白剂、增塑剂等）通过混合、挤出等工序得到改性后再生塑料。</w:t>
      </w:r>
    </w:p>
    <w:p w14:paraId="5F834953">
      <w:pPr>
        <w:pStyle w:val="10"/>
        <w:spacing w:before="4" w:line="364" w:lineRule="auto"/>
        <w:ind w:left="220" w:right="357" w:firstLine="480"/>
        <w:jc w:val="both"/>
      </w:pPr>
      <w:r>
        <w:rPr>
          <w:spacing w:val="-4"/>
        </w:rPr>
        <w:t xml:space="preserve">湖南鑫诚复合材料有限公司为了满足消费者对于 </w:t>
      </w:r>
      <w:r>
        <w:rPr>
          <w:rFonts w:ascii="Times New Roman" w:eastAsia="Times New Roman"/>
        </w:rPr>
        <w:t xml:space="preserve">PE </w:t>
      </w:r>
      <w:r>
        <w:t>塑料排水板系列产品的</w:t>
      </w:r>
      <w:r>
        <w:rPr>
          <w:spacing w:val="-9"/>
        </w:rPr>
        <w:t>需求，同时增加社会经济效益，积极采用先进技术及先进设备发展高性能、高水</w:t>
      </w:r>
      <w:r>
        <w:rPr>
          <w:spacing w:val="-12"/>
        </w:rPr>
        <w:t xml:space="preserve">平的产品以适应市场需求，拟投资 </w:t>
      </w:r>
      <w:r>
        <w:rPr>
          <w:rFonts w:ascii="Times New Roman" w:eastAsia="Times New Roman"/>
        </w:rPr>
        <w:t xml:space="preserve">2000 </w:t>
      </w:r>
      <w:r>
        <w:t>万元租赁汨罗高新技术产业开发区新市</w:t>
      </w:r>
    </w:p>
    <w:p w14:paraId="04E8F661">
      <w:pPr>
        <w:pStyle w:val="10"/>
        <w:spacing w:before="2" w:line="364" w:lineRule="auto"/>
        <w:ind w:left="220" w:right="237"/>
      </w:pPr>
      <w:r>
        <w:rPr>
          <w:spacing w:val="2"/>
        </w:rPr>
        <w:t>片区中塑新材料公司内</w:t>
      </w:r>
      <w:r>
        <w:rPr>
          <w:rFonts w:ascii="Times New Roman" w:eastAsia="Times New Roman"/>
        </w:rPr>
        <w:t>16</w:t>
      </w:r>
      <w:r>
        <w:rPr>
          <w:rFonts w:ascii="Times New Roman" w:eastAsia="Times New Roman"/>
          <w:spacing w:val="-24"/>
        </w:rPr>
        <w:t xml:space="preserve"> </w:t>
      </w:r>
      <w:r>
        <w:rPr>
          <w:spacing w:val="5"/>
        </w:rPr>
        <w:t>栋厂房建设年产</w:t>
      </w:r>
      <w:r>
        <w:rPr>
          <w:rFonts w:ascii="Times New Roman" w:eastAsia="Times New Roman"/>
        </w:rPr>
        <w:t>1</w:t>
      </w:r>
      <w:r>
        <w:rPr>
          <w:rFonts w:ascii="Times New Roman" w:eastAsia="Times New Roman"/>
          <w:spacing w:val="-22"/>
        </w:rPr>
        <w:t xml:space="preserve"> </w:t>
      </w:r>
      <w:r>
        <w:t xml:space="preserve">万吨塑料排水板系列产品建设项目， </w:t>
      </w:r>
      <w:r>
        <w:rPr>
          <w:spacing w:val="-21"/>
        </w:rPr>
        <w:t xml:space="preserve">以废 </w:t>
      </w:r>
      <w:r>
        <w:rPr>
          <w:rFonts w:ascii="Times New Roman" w:eastAsia="Times New Roman"/>
        </w:rPr>
        <w:t>PE</w:t>
      </w:r>
      <w:r>
        <w:rPr>
          <w:rFonts w:ascii="Times New Roman" w:eastAsia="Times New Roman"/>
          <w:spacing w:val="0"/>
        </w:rPr>
        <w:t xml:space="preserve"> </w:t>
      </w:r>
      <w:r>
        <w:rPr>
          <w:spacing w:val="-7"/>
        </w:rPr>
        <w:t xml:space="preserve">塑料、助剂等经混料、挤出造粒等工序生产 </w:t>
      </w:r>
      <w:r>
        <w:rPr>
          <w:rFonts w:ascii="Times New Roman" w:eastAsia="Times New Roman"/>
        </w:rPr>
        <w:t>PE</w:t>
      </w:r>
      <w:r>
        <w:rPr>
          <w:rFonts w:ascii="Times New Roman" w:eastAsia="Times New Roman"/>
          <w:spacing w:val="-2"/>
        </w:rPr>
        <w:t xml:space="preserve"> </w:t>
      </w:r>
      <w:r>
        <w:rPr>
          <w:spacing w:val="-8"/>
        </w:rPr>
        <w:t xml:space="preserve">再生塑料粒子，再与 </w:t>
      </w:r>
      <w:r>
        <w:rPr>
          <w:rFonts w:ascii="Times New Roman" w:eastAsia="Times New Roman"/>
        </w:rPr>
        <w:t xml:space="preserve">PE </w:t>
      </w:r>
      <w:r>
        <w:rPr>
          <w:spacing w:val="-5"/>
        </w:rPr>
        <w:t xml:space="preserve">塑料新粒、色母粒等经混料、挤出注塑、冷却、裁剪等工艺生产 </w:t>
      </w:r>
      <w:r>
        <w:rPr>
          <w:rFonts w:ascii="Times New Roman" w:eastAsia="Times New Roman"/>
        </w:rPr>
        <w:t>PE</w:t>
      </w:r>
      <w:r>
        <w:rPr>
          <w:rFonts w:ascii="Times New Roman" w:eastAsia="Times New Roman"/>
          <w:spacing w:val="-1"/>
        </w:rPr>
        <w:t xml:space="preserve"> </w:t>
      </w:r>
      <w:r>
        <w:t>塑料排水板</w:t>
      </w:r>
      <w:r>
        <w:rPr>
          <w:spacing w:val="-11"/>
        </w:rPr>
        <w:t xml:space="preserve">系列产品，项目租赁厂房面积 </w:t>
      </w:r>
      <w:r>
        <w:rPr>
          <w:rFonts w:ascii="Times New Roman" w:eastAsia="Times New Roman"/>
          <w:spacing w:val="-6"/>
        </w:rPr>
        <w:t>3200m</w:t>
      </w:r>
      <w:r>
        <w:rPr>
          <w:rFonts w:ascii="Times New Roman" w:eastAsia="Times New Roman"/>
          <w:spacing w:val="-6"/>
          <w:position w:val="8"/>
          <w:sz w:val="15"/>
        </w:rPr>
        <w:t>2</w:t>
      </w:r>
      <w:r>
        <w:rPr>
          <w:spacing w:val="-17"/>
        </w:rPr>
        <w:t xml:space="preserve">，新建 </w:t>
      </w:r>
      <w:r>
        <w:rPr>
          <w:rFonts w:ascii="Times New Roman" w:eastAsia="Times New Roman"/>
        </w:rPr>
        <w:t xml:space="preserve">2 </w:t>
      </w:r>
      <w:r>
        <w:rPr>
          <w:spacing w:val="-5"/>
        </w:rPr>
        <w:t>条挤出造粒生产线、</w:t>
      </w:r>
      <w:r>
        <w:rPr>
          <w:rFonts w:ascii="Times New Roman" w:eastAsia="Times New Roman"/>
        </w:rPr>
        <w:t xml:space="preserve">4 </w:t>
      </w:r>
      <w:r>
        <w:t>条挤出注塑</w:t>
      </w:r>
      <w:r>
        <w:rPr>
          <w:spacing w:val="-8"/>
        </w:rPr>
        <w:t xml:space="preserve">生产线，年产 </w:t>
      </w:r>
      <w:r>
        <w:rPr>
          <w:rFonts w:ascii="Times New Roman" w:eastAsia="Times New Roman"/>
        </w:rPr>
        <w:t>1</w:t>
      </w:r>
      <w:r>
        <w:rPr>
          <w:rFonts w:ascii="Times New Roman" w:eastAsia="Times New Roman"/>
          <w:spacing w:val="7"/>
        </w:rPr>
        <w:t xml:space="preserve"> </w:t>
      </w:r>
      <w:r>
        <w:rPr>
          <w:spacing w:val="-3"/>
        </w:rPr>
        <w:t xml:space="preserve">万吨塑料排水板系列产品，年产再生塑料 </w:t>
      </w:r>
      <w:r>
        <w:rPr>
          <w:rFonts w:ascii="Times New Roman" w:eastAsia="Times New Roman"/>
        </w:rPr>
        <w:t>PE</w:t>
      </w:r>
      <w:r>
        <w:rPr>
          <w:rFonts w:ascii="Times New Roman" w:eastAsia="Times New Roman"/>
          <w:spacing w:val="5"/>
        </w:rPr>
        <w:t xml:space="preserve"> </w:t>
      </w:r>
      <w:r>
        <w:rPr>
          <w:spacing w:val="-26"/>
        </w:rPr>
        <w:t xml:space="preserve">料 </w:t>
      </w:r>
      <w:r>
        <w:rPr>
          <w:rFonts w:ascii="Times New Roman" w:eastAsia="Times New Roman"/>
        </w:rPr>
        <w:t>5000</w:t>
      </w:r>
      <w:r>
        <w:rPr>
          <w:rFonts w:ascii="Times New Roman" w:eastAsia="Times New Roman"/>
          <w:spacing w:val="5"/>
        </w:rPr>
        <w:t xml:space="preserve"> </w:t>
      </w:r>
      <w:r>
        <w:rPr>
          <w:spacing w:val="2"/>
        </w:rPr>
        <w:t>吨</w:t>
      </w:r>
      <w:r>
        <w:t>（</w:t>
      </w:r>
      <w:r>
        <w:rPr>
          <w:spacing w:val="0"/>
        </w:rPr>
        <w:t>全部自用，不外售）</w:t>
      </w:r>
      <w:r>
        <w:rPr>
          <w:spacing w:val="-3"/>
        </w:rPr>
        <w:t xml:space="preserve">。项目所租赁的中塑新材料公司内 </w:t>
      </w:r>
      <w:r>
        <w:rPr>
          <w:rFonts w:ascii="Times New Roman" w:eastAsia="Times New Roman"/>
        </w:rPr>
        <w:t>16</w:t>
      </w:r>
      <w:r>
        <w:rPr>
          <w:rFonts w:ascii="Times New Roman" w:eastAsia="Times New Roman"/>
          <w:spacing w:val="3"/>
        </w:rPr>
        <w:t xml:space="preserve"> </w:t>
      </w:r>
      <w:r>
        <w:t>栋厂房原用途为仓库，厂</w:t>
      </w:r>
      <w:r>
        <w:rPr>
          <w:spacing w:val="-5"/>
        </w:rPr>
        <w:t>房内遗留有部分中塑新材料公司的原材料，本次评价要求在项目入驻前应及时清理厂房内遗留的原材料，并对厂房场地进行清理，不得遗漏。</w:t>
      </w:r>
    </w:p>
    <w:p w14:paraId="004521B3">
      <w:pPr>
        <w:pStyle w:val="10"/>
        <w:spacing w:before="5"/>
        <w:ind w:left="700"/>
      </w:pPr>
      <w:r>
        <w:t>根据《中华人民共和国环境保护法》、《中华人民共和国环境影响评价法》、</w:t>
      </w:r>
    </w:p>
    <w:p w14:paraId="02A85621">
      <w:pPr>
        <w:pStyle w:val="10"/>
        <w:spacing w:before="160"/>
        <w:ind w:left="220"/>
      </w:pPr>
      <w:r>
        <w:t xml:space="preserve">《建设项目环境影响评价分类管理名录》（生态环境部第 </w:t>
      </w:r>
      <w:r>
        <w:rPr>
          <w:rFonts w:ascii="Times New Roman" w:eastAsia="Times New Roman"/>
        </w:rPr>
        <w:t xml:space="preserve">16 </w:t>
      </w:r>
      <w:r>
        <w:t>号令）的有关规定，</w:t>
      </w:r>
    </w:p>
    <w:p w14:paraId="4257730E">
      <w:pPr>
        <w:spacing w:after="0"/>
        <w:sectPr>
          <w:footerReference r:id="rId5" w:type="default"/>
          <w:pgSz w:w="11910" w:h="16840"/>
          <w:pgMar w:top="1500" w:right="1440" w:bottom="1140" w:left="1580" w:header="0" w:footer="944" w:gutter="0"/>
          <w:pgNumType w:start="1"/>
          <w:cols w:space="720" w:num="1"/>
        </w:sectPr>
      </w:pPr>
    </w:p>
    <w:p w14:paraId="50A1DEC5">
      <w:pPr>
        <w:pStyle w:val="10"/>
        <w:spacing w:before="62"/>
        <w:ind w:left="220"/>
      </w:pPr>
      <w:r>
        <w:t>本项目排水板系列产品使用再生塑料为原料，属于</w:t>
      </w:r>
      <w:r>
        <w:rPr>
          <w:rFonts w:ascii="Times New Roman" w:hAnsi="Times New Roman" w:eastAsia="Times New Roman"/>
        </w:rPr>
        <w:t>“</w:t>
      </w:r>
      <w:r>
        <w:t>二十六、橡胶和塑料制品业</w:t>
      </w:r>
    </w:p>
    <w:p w14:paraId="4CB55196">
      <w:pPr>
        <w:pStyle w:val="10"/>
        <w:spacing w:before="160" w:line="364" w:lineRule="auto"/>
        <w:ind w:left="220" w:right="265"/>
      </w:pPr>
      <w:r>
        <w:rPr>
          <w:rFonts w:ascii="Times New Roman" w:hAnsi="Times New Roman" w:eastAsia="Times New Roman"/>
        </w:rPr>
        <w:t xml:space="preserve">-53 </w:t>
      </w:r>
      <w:r>
        <w:rPr>
          <w:spacing w:val="-11"/>
        </w:rPr>
        <w:t xml:space="preserve">塑料制品业 </w:t>
      </w:r>
      <w:r>
        <w:rPr>
          <w:rFonts w:ascii="Times New Roman" w:hAnsi="Times New Roman" w:eastAsia="Times New Roman"/>
        </w:rPr>
        <w:t>292”</w:t>
      </w:r>
      <w:r>
        <w:t>中的</w:t>
      </w:r>
      <w:r>
        <w:rPr>
          <w:rFonts w:ascii="Times New Roman" w:hAnsi="Times New Roman" w:eastAsia="Times New Roman"/>
        </w:rPr>
        <w:t>“</w:t>
      </w:r>
      <w:r>
        <w:t>以再生塑料为原料生产的</w:t>
      </w:r>
      <w:r>
        <w:rPr>
          <w:rFonts w:ascii="Times New Roman" w:hAnsi="Times New Roman" w:eastAsia="Times New Roman"/>
        </w:rPr>
        <w:t>”</w:t>
      </w:r>
      <w:r>
        <w:t>，应编制环境影响报告书。因此建设单位委托湖南隆宇环保科技有限公司承担该项目的环境影响评价工作。</w:t>
      </w:r>
      <w:r>
        <w:rPr>
          <w:spacing w:val="-9"/>
        </w:rPr>
        <w:t>接受委托后，我公司立即成立了项目环评工作组，并组织有关技术人员到现场及</w:t>
      </w:r>
      <w:r>
        <w:rPr>
          <w:spacing w:val="-14"/>
        </w:rPr>
        <w:t>其周围进行了实地勘查与调研，收集了相关的项目资料、对建设地实际情况进行</w:t>
      </w:r>
      <w:r>
        <w:rPr>
          <w:spacing w:val="-13"/>
        </w:rPr>
        <w:t>了调查，通过初步工程分析、环境现状调查，结合环境质量现状监测工作，按照</w:t>
      </w:r>
      <w:r>
        <w:rPr>
          <w:spacing w:val="-16"/>
        </w:rPr>
        <w:t>国家和地区环境保护法律法规和环境影响评价技术导则要求，编制完成了《年产</w:t>
      </w:r>
    </w:p>
    <w:p w14:paraId="224F5C8F">
      <w:pPr>
        <w:pStyle w:val="16"/>
        <w:numPr>
          <w:ilvl w:val="0"/>
          <w:numId w:val="3"/>
        </w:numPr>
        <w:tabs>
          <w:tab w:val="left" w:pos="400"/>
        </w:tabs>
        <w:spacing w:before="4" w:after="0" w:line="240" w:lineRule="auto"/>
        <w:ind w:left="400" w:right="0" w:hanging="180"/>
        <w:jc w:val="left"/>
        <w:rPr>
          <w:rFonts w:ascii="Times New Roman" w:eastAsia="Times New Roman"/>
          <w:sz w:val="24"/>
        </w:rPr>
      </w:pPr>
      <w:r>
        <w:rPr>
          <w:sz w:val="24"/>
        </w:rPr>
        <w:t>万吨塑料排水板系列产品建设项目环境影响报告书》。</w:t>
      </w:r>
    </w:p>
    <w:p w14:paraId="7FB2275F">
      <w:pPr>
        <w:pStyle w:val="3"/>
        <w:numPr>
          <w:ilvl w:val="0"/>
          <w:numId w:val="3"/>
        </w:numPr>
        <w:tabs>
          <w:tab w:val="left" w:pos="429"/>
        </w:tabs>
        <w:spacing w:before="201" w:after="0" w:line="240" w:lineRule="auto"/>
        <w:ind w:left="428" w:right="0" w:hanging="208"/>
        <w:jc w:val="left"/>
        <w:rPr>
          <w:rFonts w:ascii="Times New Roman" w:eastAsia="Times New Roman"/>
          <w:sz w:val="28"/>
        </w:rPr>
      </w:pPr>
      <w:bookmarkStart w:id="2" w:name="_TOC_250053"/>
      <w:bookmarkEnd w:id="2"/>
      <w:r>
        <w:t>项目特点</w:t>
      </w:r>
    </w:p>
    <w:p w14:paraId="2EAFCC18">
      <w:pPr>
        <w:pStyle w:val="10"/>
        <w:spacing w:before="199" w:line="364" w:lineRule="auto"/>
        <w:ind w:left="220" w:right="265" w:firstLine="480"/>
      </w:pPr>
      <w:r>
        <w:t>（</w:t>
      </w:r>
      <w:r>
        <w:rPr>
          <w:rFonts w:ascii="Times New Roman" w:eastAsia="Times New Roman"/>
        </w:rPr>
        <w:t>1</w:t>
      </w:r>
      <w:r>
        <w:t>）本项目建成后废气主要为破碎粉尘、混料投料粉尘、挤出造粒废气、</w:t>
      </w:r>
      <w:r>
        <w:rPr>
          <w:spacing w:val="-8"/>
        </w:rPr>
        <w:t>挤出注塑废气。其中破碎粉尘、混料投料粉尘污染因子主要为颗粒物，挤出造粒废气和挤出注塑废气污染因子主要为挥发性有机物（以非甲烷总烃）、颗粒物、</w:t>
      </w:r>
      <w:r>
        <w:rPr>
          <w:spacing w:val="-12"/>
        </w:rPr>
        <w:t>臭气浓度，本项目破碎粉尘、混料投料粉尘采用全密闭集气罩收集后经布袋除尘</w:t>
      </w:r>
      <w:r>
        <w:rPr>
          <w:spacing w:val="-10"/>
        </w:rPr>
        <w:t xml:space="preserve">器处理后经 </w:t>
      </w:r>
      <w:r>
        <w:rPr>
          <w:rFonts w:ascii="Times New Roman" w:eastAsia="Times New Roman"/>
        </w:rPr>
        <w:t xml:space="preserve">15m </w:t>
      </w:r>
      <w:r>
        <w:t>高排气筒排放（</w:t>
      </w:r>
      <w:r>
        <w:rPr>
          <w:rFonts w:ascii="Times New Roman" w:eastAsia="Times New Roman"/>
        </w:rPr>
        <w:t>DA001</w:t>
      </w:r>
      <w:r>
        <w:t>）；挤出造粒废气和挤出注塑废气采用</w:t>
      </w:r>
      <w:r>
        <w:rPr>
          <w:spacing w:val="1"/>
        </w:rPr>
        <w:t>密闭负压收集罩</w:t>
      </w:r>
      <w:r>
        <w:rPr>
          <w:rFonts w:ascii="Times New Roman" w:eastAsia="Times New Roman"/>
          <w:spacing w:val="5"/>
        </w:rPr>
        <w:t>+</w:t>
      </w:r>
      <w:r>
        <w:rPr>
          <w:spacing w:val="1"/>
        </w:rPr>
        <w:t>布袋除尘器</w:t>
      </w:r>
      <w:r>
        <w:rPr>
          <w:rFonts w:ascii="Times New Roman" w:eastAsia="Times New Roman"/>
          <w:spacing w:val="5"/>
        </w:rPr>
        <w:t>+</w:t>
      </w:r>
      <w:r>
        <w:rPr>
          <w:spacing w:val="0"/>
        </w:rPr>
        <w:t>过滤棉</w:t>
      </w:r>
      <w:r>
        <w:rPr>
          <w:rFonts w:ascii="Times New Roman" w:eastAsia="Times New Roman"/>
          <w:spacing w:val="5"/>
        </w:rPr>
        <w:t>+</w:t>
      </w:r>
      <w:r>
        <w:rPr>
          <w:spacing w:val="-3"/>
        </w:rPr>
        <w:t xml:space="preserve">二级活性炭吸附处理达标后经 </w:t>
      </w:r>
      <w:r>
        <w:rPr>
          <w:rFonts w:ascii="Times New Roman" w:eastAsia="Times New Roman"/>
        </w:rPr>
        <w:t xml:space="preserve">15m </w:t>
      </w:r>
      <w:r>
        <w:rPr>
          <w:spacing w:val="0"/>
        </w:rPr>
        <w:t>高排气筒排放（</w:t>
      </w:r>
      <w:r>
        <w:rPr>
          <w:rFonts w:ascii="Times New Roman" w:eastAsia="Times New Roman"/>
          <w:spacing w:val="0"/>
        </w:rPr>
        <w:t>DA002</w:t>
      </w:r>
      <w:r>
        <w:rPr>
          <w:spacing w:val="0"/>
        </w:rPr>
        <w:t>）。</w:t>
      </w:r>
    </w:p>
    <w:p w14:paraId="0BF93916">
      <w:pPr>
        <w:pStyle w:val="10"/>
        <w:spacing w:before="4" w:line="364" w:lineRule="auto"/>
        <w:ind w:left="220" w:right="357" w:firstLine="480"/>
        <w:jc w:val="both"/>
      </w:pPr>
      <w:r>
        <w:t>（</w:t>
      </w:r>
      <w:r>
        <w:rPr>
          <w:rFonts w:ascii="Times New Roman" w:eastAsia="Times New Roman"/>
        </w:rPr>
        <w:t>2</w:t>
      </w:r>
      <w:r>
        <w:t>）项目循环冷却水经冷却循环水池处理后循环使用，不外排；本项目废</w:t>
      </w:r>
      <w:r>
        <w:rPr>
          <w:spacing w:val="-10"/>
        </w:rPr>
        <w:t>水主要为生活污水，生活污水依托中塑公司现有化粪池处理后排入汨罗市城市污水处理厂进行处理。</w:t>
      </w:r>
    </w:p>
    <w:p w14:paraId="2AB18452">
      <w:pPr>
        <w:pStyle w:val="10"/>
        <w:spacing w:before="2" w:line="364" w:lineRule="auto"/>
        <w:ind w:left="220" w:right="357" w:firstLine="480"/>
        <w:jc w:val="both"/>
      </w:pPr>
      <w:r>
        <w:t>（</w:t>
      </w:r>
      <w:r>
        <w:rPr>
          <w:rFonts w:ascii="Times New Roman" w:eastAsia="Times New Roman"/>
        </w:rPr>
        <w:t>3</w:t>
      </w:r>
      <w:r>
        <w:t>）本项目噪声源主要为破碎机、挤出造粒机、上料机、混料机、挤出注</w:t>
      </w:r>
      <w:r>
        <w:rPr>
          <w:spacing w:val="-6"/>
        </w:rPr>
        <w:t xml:space="preserve">塑机、自动裁切机、空压机、风机等，噪声源强约 </w:t>
      </w:r>
      <w:r>
        <w:rPr>
          <w:rFonts w:ascii="Times New Roman" w:eastAsia="Times New Roman"/>
        </w:rPr>
        <w:t>70~85dB</w:t>
      </w:r>
      <w:r>
        <w:t>（</w:t>
      </w:r>
      <w:r>
        <w:rPr>
          <w:rFonts w:ascii="Times New Roman" w:eastAsia="Times New Roman"/>
        </w:rPr>
        <w:t>A</w:t>
      </w:r>
      <w:r>
        <w:t>），采取选用低</w:t>
      </w:r>
      <w:r>
        <w:rPr>
          <w:spacing w:val="-11"/>
        </w:rPr>
        <w:t>噪声设备、隔声消音、基础减振、厂房隔声及距离衰减后厂界噪声满足达标排放的要求。</w:t>
      </w:r>
    </w:p>
    <w:p w14:paraId="55FA4AF8">
      <w:pPr>
        <w:pStyle w:val="10"/>
        <w:spacing w:before="3" w:line="364" w:lineRule="auto"/>
        <w:ind w:left="220" w:right="357" w:firstLine="480"/>
        <w:jc w:val="both"/>
      </w:pPr>
      <w:r>
        <w:t>（</w:t>
      </w:r>
      <w:r>
        <w:rPr>
          <w:rFonts w:ascii="Times New Roman" w:eastAsia="Times New Roman"/>
        </w:rPr>
        <w:t>4</w:t>
      </w:r>
      <w:r>
        <w:t>）项目生活垃圾由环卫部门集中收集处理。项目产生的一般工业固废一</w:t>
      </w:r>
      <w:r>
        <w:rPr>
          <w:spacing w:val="-10"/>
        </w:rPr>
        <w:t>般包装材料、造粒杂质、废滤网等外售至物资回收公司；收集除尘灰收集后回用</w:t>
      </w:r>
      <w:r>
        <w:rPr>
          <w:spacing w:val="-11"/>
        </w:rPr>
        <w:t>于生产，边角料、不合格品经破碎处理后回用于生产。项目危险废物主要包括废</w:t>
      </w:r>
      <w:r>
        <w:rPr>
          <w:spacing w:val="-12"/>
        </w:rPr>
        <w:t>润滑油、含油废抹布手套和废活性炭、废过滤棉，均收集暂存后委托具有相应危</w:t>
      </w:r>
      <w:r>
        <w:rPr>
          <w:spacing w:val="-17"/>
        </w:rPr>
        <w:t>废类别的危险废物经营许可证单位进行处置。项目生产过程中的固体废物经分类收集暂存后均妥善处置。</w:t>
      </w:r>
    </w:p>
    <w:p w14:paraId="420CAA55">
      <w:pPr>
        <w:spacing w:after="0" w:line="364" w:lineRule="auto"/>
        <w:jc w:val="both"/>
        <w:sectPr>
          <w:pgSz w:w="11910" w:h="16840"/>
          <w:pgMar w:top="1440" w:right="1440" w:bottom="1220" w:left="1580" w:header="0" w:footer="944" w:gutter="0"/>
          <w:cols w:space="720" w:num="1"/>
        </w:sectPr>
      </w:pPr>
    </w:p>
    <w:p w14:paraId="2183D787">
      <w:pPr>
        <w:pStyle w:val="3"/>
        <w:numPr>
          <w:ilvl w:val="0"/>
          <w:numId w:val="3"/>
        </w:numPr>
        <w:tabs>
          <w:tab w:val="left" w:pos="446"/>
        </w:tabs>
        <w:spacing w:before="43" w:after="0" w:line="240" w:lineRule="auto"/>
        <w:ind w:left="445" w:right="0" w:hanging="225"/>
        <w:jc w:val="left"/>
        <w:rPr>
          <w:rFonts w:ascii="Times New Roman" w:eastAsia="Times New Roman"/>
        </w:rPr>
      </w:pPr>
      <w:bookmarkStart w:id="3" w:name="_TOC_250052"/>
      <w:bookmarkEnd w:id="3"/>
      <w:r>
        <w:t>环境影响评价的工作过程</w:t>
      </w:r>
    </w:p>
    <w:p w14:paraId="5252574B">
      <w:pPr>
        <w:pStyle w:val="10"/>
        <w:spacing w:before="199" w:line="364" w:lineRule="auto"/>
        <w:ind w:left="220" w:right="357" w:firstLine="434"/>
        <w:jc w:val="both"/>
      </w:pPr>
      <w:r>
        <w:rPr>
          <w:spacing w:val="-5"/>
        </w:rPr>
        <w:t>接受委托后，编制单位立即成立了项目环评工作组，按照《建设项目环境影</w:t>
      </w:r>
      <w:r>
        <w:rPr>
          <w:spacing w:val="1"/>
        </w:rPr>
        <w:t>响评价技术导则 总纲》</w:t>
      </w:r>
      <w:r>
        <w:t>（</w:t>
      </w:r>
      <w:r>
        <w:rPr>
          <w:rFonts w:ascii="Times New Roman" w:eastAsia="Times New Roman"/>
        </w:rPr>
        <w:t>HJ2.1-2016</w:t>
      </w:r>
      <w:r>
        <w:t>）等要求，进行了现场踏勘和资料收集调研工作，本次环境影响评价工作分三个阶段。具体工作过程如下：</w:t>
      </w:r>
    </w:p>
    <w:p w14:paraId="3E106ECD">
      <w:pPr>
        <w:pStyle w:val="10"/>
        <w:rPr>
          <w:sz w:val="20"/>
        </w:rPr>
      </w:pPr>
    </w:p>
    <w:p w14:paraId="31433391">
      <w:pPr>
        <w:pStyle w:val="10"/>
        <w:spacing w:before="9"/>
        <w:rPr>
          <w:sz w:val="10"/>
        </w:rPr>
      </w:pPr>
      <w:r>
        <w:drawing>
          <wp:anchor distT="0" distB="0" distL="0" distR="0" simplePos="0" relativeHeight="251659264" behindDoc="0" locked="0" layoutInCell="1" allowOverlap="1">
            <wp:simplePos x="0" y="0"/>
            <wp:positionH relativeFrom="page">
              <wp:posOffset>1143000</wp:posOffset>
            </wp:positionH>
            <wp:positionV relativeFrom="paragraph">
              <wp:posOffset>111760</wp:posOffset>
            </wp:positionV>
            <wp:extent cx="5050790" cy="5657215"/>
            <wp:effectExtent l="0" t="0" r="0" b="0"/>
            <wp:wrapTopAndBottom/>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3.png"/>
                    <pic:cNvPicPr>
                      <a:picLocks noChangeAspect="1"/>
                    </pic:cNvPicPr>
                  </pic:nvPicPr>
                  <pic:blipFill>
                    <a:blip r:embed="rId55" cstate="print"/>
                    <a:stretch>
                      <a:fillRect/>
                    </a:stretch>
                  </pic:blipFill>
                  <pic:spPr>
                    <a:xfrm>
                      <a:off x="0" y="0"/>
                      <a:ext cx="5050917" cy="5657088"/>
                    </a:xfrm>
                    <a:prstGeom prst="rect">
                      <a:avLst/>
                    </a:prstGeom>
                  </pic:spPr>
                </pic:pic>
              </a:graphicData>
            </a:graphic>
          </wp:anchor>
        </w:drawing>
      </w:r>
    </w:p>
    <w:p w14:paraId="1AE53F7A">
      <w:pPr>
        <w:pStyle w:val="10"/>
        <w:spacing w:before="2"/>
        <w:rPr>
          <w:sz w:val="13"/>
        </w:rPr>
      </w:pPr>
    </w:p>
    <w:p w14:paraId="20057615">
      <w:pPr>
        <w:pStyle w:val="9"/>
        <w:spacing w:before="74"/>
        <w:ind w:left="0" w:right="142"/>
        <w:jc w:val="center"/>
      </w:pPr>
      <w:r>
        <w:t xml:space="preserve">图 </w:t>
      </w:r>
      <w:r>
        <w:rPr>
          <w:rFonts w:ascii="Times New Roman" w:eastAsia="Times New Roman"/>
        </w:rPr>
        <w:t xml:space="preserve">1 </w:t>
      </w:r>
      <w:r>
        <w:t>环境影响评价程序图</w:t>
      </w:r>
    </w:p>
    <w:p w14:paraId="6C4A62E3">
      <w:pPr>
        <w:pStyle w:val="16"/>
        <w:numPr>
          <w:ilvl w:val="0"/>
          <w:numId w:val="3"/>
        </w:numPr>
        <w:tabs>
          <w:tab w:val="left" w:pos="460"/>
        </w:tabs>
        <w:spacing w:before="165" w:after="0" w:line="240" w:lineRule="auto"/>
        <w:ind w:left="460" w:right="0" w:hanging="240"/>
        <w:jc w:val="left"/>
        <w:rPr>
          <w:rFonts w:ascii="Times New Roman" w:eastAsia="Times New Roman"/>
          <w:b/>
          <w:sz w:val="32"/>
        </w:rPr>
      </w:pPr>
      <w:bookmarkStart w:id="4" w:name="_TOC_250051"/>
      <w:bookmarkEnd w:id="4"/>
      <w:r>
        <w:rPr>
          <w:b/>
          <w:sz w:val="32"/>
        </w:rPr>
        <w:t>分析判定相关环保政策</w:t>
      </w:r>
    </w:p>
    <w:p w14:paraId="6D94EA94">
      <w:pPr>
        <w:pStyle w:val="9"/>
        <w:spacing w:before="207"/>
        <w:ind w:left="700"/>
      </w:pPr>
      <w:r>
        <w:t>（</w:t>
      </w:r>
      <w:r>
        <w:rPr>
          <w:rFonts w:ascii="Times New Roman" w:eastAsia="Times New Roman"/>
        </w:rPr>
        <w:t>1</w:t>
      </w:r>
      <w:r>
        <w:t>）产业政策相符性分析</w:t>
      </w:r>
    </w:p>
    <w:p w14:paraId="7200C20B">
      <w:pPr>
        <w:pStyle w:val="10"/>
        <w:spacing w:before="161"/>
        <w:ind w:left="700"/>
      </w:pPr>
      <w:r>
        <w:t>本项目主要产品为塑料制品，根据《产业结构调整指导目录（</w:t>
      </w:r>
      <w:r>
        <w:rPr>
          <w:rFonts w:ascii="Times New Roman" w:eastAsia="Times New Roman"/>
        </w:rPr>
        <w:t xml:space="preserve">2024 </w:t>
      </w:r>
      <w:r>
        <w:t>年本）》</w:t>
      </w:r>
    </w:p>
    <w:p w14:paraId="32A63D9E">
      <w:pPr>
        <w:spacing w:after="0"/>
        <w:sectPr>
          <w:pgSz w:w="11910" w:h="16840"/>
          <w:pgMar w:top="1500" w:right="1440" w:bottom="1220" w:left="1580" w:header="0" w:footer="944" w:gutter="0"/>
          <w:cols w:space="720" w:num="1"/>
        </w:sectPr>
      </w:pPr>
    </w:p>
    <w:p w14:paraId="172E8D1B">
      <w:pPr>
        <w:pStyle w:val="10"/>
        <w:spacing w:before="62" w:line="364" w:lineRule="auto"/>
        <w:ind w:left="220" w:right="237"/>
      </w:pPr>
      <w:r>
        <w:rPr>
          <w:spacing w:val="-4"/>
        </w:rPr>
        <w:t>和《部分工业行业淘汰落后生产工艺装备和产品指导目录</w:t>
      </w:r>
      <w:r>
        <w:t>（</w:t>
      </w:r>
      <w:r>
        <w:rPr>
          <w:rFonts w:ascii="Times New Roman" w:eastAsia="Times New Roman"/>
        </w:rPr>
        <w:t xml:space="preserve">2010 </w:t>
      </w:r>
      <w:r>
        <w:t>年本</w:t>
      </w:r>
      <w:r>
        <w:rPr>
          <w:spacing w:val="-10"/>
        </w:rPr>
        <w:t>）</w:t>
      </w:r>
      <w:r>
        <w:rPr>
          <w:spacing w:val="-3"/>
        </w:rPr>
        <w:t xml:space="preserve">》可知， </w:t>
      </w:r>
      <w:r>
        <w:rPr>
          <w:spacing w:val="-8"/>
        </w:rPr>
        <w:t>本项目不属于国家限制及淘汰类中提及的内容。因此项目建设符合国家现行产业政策。</w:t>
      </w:r>
    </w:p>
    <w:p w14:paraId="374945B5">
      <w:pPr>
        <w:pStyle w:val="9"/>
        <w:ind w:left="700"/>
      </w:pPr>
      <w:r>
        <w:t>（</w:t>
      </w:r>
      <w:r>
        <w:rPr>
          <w:rFonts w:ascii="Times New Roman" w:hAnsi="Times New Roman" w:eastAsia="Times New Roman"/>
        </w:rPr>
        <w:t>2</w:t>
      </w:r>
      <w:r>
        <w:t>）是否属于“两高”项目</w:t>
      </w:r>
    </w:p>
    <w:p w14:paraId="4EEEB4FE">
      <w:pPr>
        <w:pStyle w:val="10"/>
        <w:spacing w:before="160" w:line="364" w:lineRule="auto"/>
        <w:ind w:left="220" w:right="357" w:firstLine="480"/>
        <w:jc w:val="both"/>
      </w:pPr>
      <w:r>
        <w:rPr>
          <w:spacing w:val="-20"/>
        </w:rPr>
        <w:t>根据湖南省发改委《关于印发〈湖南省“两高”项目管理目录〉的通知》</w:t>
      </w:r>
      <w:r>
        <w:t>（湘发改环资</w:t>
      </w:r>
      <w:r>
        <w:rPr>
          <w:rFonts w:ascii="Times New Roman" w:hAnsi="Times New Roman" w:eastAsia="Times New Roman"/>
        </w:rPr>
        <w:t>[2021]</w:t>
      </w:r>
      <w:r>
        <w:rPr>
          <w:rFonts w:ascii="Times New Roman" w:hAnsi="Times New Roman" w:eastAsia="Times New Roman"/>
          <w:spacing w:val="-4"/>
        </w:rPr>
        <w:t xml:space="preserve"> </w:t>
      </w:r>
      <w:r>
        <w:rPr>
          <w:rFonts w:ascii="Times New Roman" w:hAnsi="Times New Roman" w:eastAsia="Times New Roman"/>
        </w:rPr>
        <w:t xml:space="preserve">968 </w:t>
      </w:r>
      <w:r>
        <w:t>号</w:t>
      </w:r>
      <w:r>
        <w:rPr>
          <w:spacing w:val="-11"/>
        </w:rPr>
        <w:t>）</w:t>
      </w:r>
      <w:r>
        <w:rPr>
          <w:spacing w:val="-9"/>
        </w:rPr>
        <w:t>，湖南省“两高”项目包括石化、化工、煤化工、焦化</w:t>
      </w:r>
      <w:r>
        <w:rPr>
          <w:spacing w:val="-8"/>
        </w:rPr>
        <w:t>等行业，其中石化行业中的原油加工及石油制品制造</w:t>
      </w:r>
      <w:r>
        <w:t>（</w:t>
      </w:r>
      <w:r>
        <w:rPr>
          <w:rFonts w:ascii="Times New Roman" w:hAnsi="Times New Roman" w:eastAsia="Times New Roman"/>
        </w:rPr>
        <w:t>2511</w:t>
      </w:r>
      <w:r>
        <w:rPr>
          <w:rFonts w:ascii="Times New Roman" w:hAnsi="Times New Roman" w:eastAsia="Times New Roman"/>
          <w:spacing w:val="25"/>
        </w:rPr>
        <w:t xml:space="preserve">) </w:t>
      </w:r>
      <w:r>
        <w:rPr>
          <w:spacing w:val="-4"/>
        </w:rPr>
        <w:t>；化工行业的无机</w:t>
      </w:r>
      <w:r>
        <w:rPr>
          <w:spacing w:val="-8"/>
        </w:rPr>
        <w:t>酸制造</w:t>
      </w:r>
      <w:r>
        <w:rPr>
          <w:spacing w:val="-2"/>
        </w:rPr>
        <w:t>（</w:t>
      </w:r>
      <w:r>
        <w:rPr>
          <w:rFonts w:ascii="Times New Roman" w:hAnsi="Times New Roman" w:eastAsia="Times New Roman"/>
          <w:spacing w:val="-2"/>
        </w:rPr>
        <w:t>2611)</w:t>
      </w:r>
      <w:r>
        <w:rPr>
          <w:spacing w:val="-6"/>
        </w:rPr>
        <w:t>、无机碱制造</w:t>
      </w:r>
      <w:r>
        <w:t>（</w:t>
      </w:r>
      <w:r>
        <w:rPr>
          <w:rFonts w:ascii="Times New Roman" w:hAnsi="Times New Roman" w:eastAsia="Times New Roman"/>
        </w:rPr>
        <w:t>2612)</w:t>
      </w:r>
      <w:r>
        <w:rPr>
          <w:rFonts w:ascii="Times New Roman" w:hAnsi="Times New Roman" w:eastAsia="Times New Roman"/>
          <w:spacing w:val="58"/>
        </w:rPr>
        <w:t xml:space="preserve"> </w:t>
      </w:r>
      <w:r>
        <w:rPr>
          <w:spacing w:val="-6"/>
        </w:rPr>
        <w:t>、无机盐制造</w:t>
      </w:r>
      <w:r>
        <w:t>（</w:t>
      </w:r>
      <w:r>
        <w:rPr>
          <w:rFonts w:ascii="Times New Roman" w:hAnsi="Times New Roman" w:eastAsia="Times New Roman"/>
        </w:rPr>
        <w:t>2613)</w:t>
      </w:r>
      <w:r>
        <w:rPr>
          <w:rFonts w:ascii="Times New Roman" w:hAnsi="Times New Roman" w:eastAsia="Times New Roman"/>
          <w:spacing w:val="0"/>
        </w:rPr>
        <w:t xml:space="preserve"> </w:t>
      </w:r>
      <w:r>
        <w:rPr>
          <w:spacing w:val="-8"/>
        </w:rPr>
        <w:t>行业</w:t>
      </w:r>
      <w:r>
        <w:rPr>
          <w:spacing w:val="-3"/>
        </w:rPr>
        <w:t>（</w:t>
      </w:r>
      <w:r>
        <w:t>涉及的主要产</w:t>
      </w:r>
      <w:r>
        <w:rPr>
          <w:spacing w:val="-10"/>
        </w:rPr>
        <w:t>品及工序为：烧碱、纯碱、工业硫酸、黄磷、合成氨、尿素、磷铵、电石、聚氯</w:t>
      </w:r>
      <w:r>
        <w:rPr>
          <w:spacing w:val="-12"/>
        </w:rPr>
        <w:t>乙烯、聚丙烯、精对苯二甲酸、对二甲苯、苯乙烯、乙酸乙烯酯、二苯基甲烷二</w:t>
      </w:r>
      <w:r>
        <w:rPr>
          <w:spacing w:val="-3"/>
        </w:rPr>
        <w:t>异氰酸酯、</w:t>
      </w:r>
      <w:r>
        <w:rPr>
          <w:rFonts w:ascii="Times New Roman" w:hAnsi="Times New Roman" w:eastAsia="Times New Roman"/>
        </w:rPr>
        <w:t>1,</w:t>
      </w:r>
      <w:r>
        <w:rPr>
          <w:rFonts w:ascii="Times New Roman" w:hAnsi="Times New Roman" w:eastAsia="Times New Roman"/>
          <w:spacing w:val="10"/>
        </w:rPr>
        <w:t xml:space="preserve"> </w:t>
      </w:r>
      <w:r>
        <w:rPr>
          <w:rFonts w:ascii="Times New Roman" w:hAnsi="Times New Roman" w:eastAsia="Times New Roman"/>
        </w:rPr>
        <w:t>4-</w:t>
      </w:r>
      <w:r>
        <w:t>丁二醇） ；煤化工行业的煤制合成气生产（</w:t>
      </w:r>
      <w:r>
        <w:rPr>
          <w:rFonts w:ascii="Times New Roman" w:hAnsi="Times New Roman" w:eastAsia="Times New Roman"/>
        </w:rPr>
        <w:t>2522)</w:t>
      </w:r>
      <w:r>
        <w:rPr>
          <w:rFonts w:ascii="Times New Roman" w:hAnsi="Times New Roman" w:eastAsia="Times New Roman"/>
          <w:spacing w:val="20"/>
        </w:rPr>
        <w:t xml:space="preserve"> </w:t>
      </w:r>
      <w:r>
        <w:t>、煤制液体</w:t>
      </w:r>
      <w:r>
        <w:rPr>
          <w:spacing w:val="-2"/>
        </w:rPr>
        <w:t>燃料生产</w:t>
      </w:r>
      <w:r>
        <w:t>（</w:t>
      </w:r>
      <w:r>
        <w:rPr>
          <w:rFonts w:ascii="Times New Roman" w:hAnsi="Times New Roman" w:eastAsia="Times New Roman"/>
        </w:rPr>
        <w:t>2523)</w:t>
      </w:r>
      <w:r>
        <w:rPr>
          <w:rFonts w:ascii="Times New Roman" w:hAnsi="Times New Roman" w:eastAsia="Times New Roman"/>
          <w:spacing w:val="58"/>
        </w:rPr>
        <w:t xml:space="preserve"> </w:t>
      </w:r>
      <w:r>
        <w:rPr>
          <w:spacing w:val="-8"/>
        </w:rPr>
        <w:t>等属于“两高”项目，同时涉煤及煤制品、石油焦、渣油、重</w:t>
      </w:r>
      <w:r>
        <w:rPr>
          <w:spacing w:val="-13"/>
        </w:rPr>
        <w:t>油等高污染燃料使用的工业炉窑、锅炉项目也属于“两高”项目。本项目主要产</w:t>
      </w:r>
      <w:r>
        <w:rPr>
          <w:spacing w:val="-29"/>
        </w:rPr>
        <w:t xml:space="preserve">品为 </w:t>
      </w:r>
      <w:r>
        <w:rPr>
          <w:rFonts w:ascii="Times New Roman" w:hAnsi="Times New Roman" w:eastAsia="Times New Roman"/>
        </w:rPr>
        <w:t>PE</w:t>
      </w:r>
      <w:r>
        <w:rPr>
          <w:rFonts w:ascii="Times New Roman" w:hAnsi="Times New Roman" w:eastAsia="Times New Roman"/>
          <w:spacing w:val="-2"/>
        </w:rPr>
        <w:t xml:space="preserve"> </w:t>
      </w:r>
      <w:r>
        <w:rPr>
          <w:spacing w:val="-8"/>
        </w:rPr>
        <w:t xml:space="preserve">排水板系列产品，属于 </w:t>
      </w:r>
      <w:r>
        <w:rPr>
          <w:rFonts w:ascii="Times New Roman" w:hAnsi="Times New Roman" w:eastAsia="Times New Roman"/>
        </w:rPr>
        <w:t>C2922</w:t>
      </w:r>
      <w:r>
        <w:rPr>
          <w:rFonts w:ascii="Times New Roman" w:hAnsi="Times New Roman" w:eastAsia="Times New Roman"/>
          <w:spacing w:val="-4"/>
        </w:rPr>
        <w:t xml:space="preserve"> </w:t>
      </w:r>
      <w:r>
        <w:rPr>
          <w:spacing w:val="-6"/>
        </w:rPr>
        <w:t>塑料板、管、型材制造，不涉及该文件中</w:t>
      </w:r>
      <w:r>
        <w:rPr>
          <w:spacing w:val="-12"/>
        </w:rPr>
        <w:t>提及的行业、内容、产品和工序，项目不使用高污染燃料，因此根据《关于印发</w:t>
      </w:r>
    </w:p>
    <w:p w14:paraId="065D5D9B">
      <w:pPr>
        <w:pStyle w:val="10"/>
        <w:spacing w:before="7" w:line="364" w:lineRule="auto"/>
        <w:ind w:left="220" w:right="360"/>
      </w:pPr>
      <w:r>
        <w:t>〈湖南省“两高”项目管理目录〉的通知》</w:t>
      </w:r>
      <w:r>
        <w:rPr>
          <w:rFonts w:ascii="Times New Roman" w:hAnsi="Times New Roman" w:eastAsia="Times New Roman"/>
        </w:rPr>
        <w:t xml:space="preserve">( </w:t>
      </w:r>
      <w:r>
        <w:t>湘发改环资</w:t>
      </w:r>
      <w:r>
        <w:rPr>
          <w:rFonts w:ascii="Times New Roman" w:hAnsi="Times New Roman" w:eastAsia="Times New Roman"/>
        </w:rPr>
        <w:t xml:space="preserve">[2021] 968 </w:t>
      </w:r>
      <w:r>
        <w:t>号），本项目不属于两高项目。</w:t>
      </w:r>
    </w:p>
    <w:p w14:paraId="05979736">
      <w:pPr>
        <w:pStyle w:val="9"/>
        <w:spacing w:before="1"/>
        <w:ind w:left="700"/>
      </w:pPr>
      <w:r>
        <w:t>（</w:t>
      </w:r>
      <w:r>
        <w:rPr>
          <w:rFonts w:ascii="Times New Roman" w:eastAsia="Times New Roman"/>
        </w:rPr>
        <w:t>3</w:t>
      </w:r>
      <w:r>
        <w:t>）与《挥发性有机物（</w:t>
      </w:r>
      <w:r>
        <w:rPr>
          <w:rFonts w:ascii="Times New Roman" w:eastAsia="Times New Roman"/>
        </w:rPr>
        <w:t>VOCs</w:t>
      </w:r>
      <w:r>
        <w:t>）污染防治技术政策》符合性分析</w:t>
      </w:r>
    </w:p>
    <w:p w14:paraId="172695D2">
      <w:pPr>
        <w:pStyle w:val="9"/>
        <w:spacing w:before="160"/>
        <w:ind w:left="416"/>
      </w:pPr>
      <w:r>
        <w:rPr>
          <w:spacing w:val="-31"/>
        </w:rPr>
        <w:t xml:space="preserve">表 </w:t>
      </w:r>
      <w:r>
        <w:rPr>
          <w:rFonts w:ascii="Times New Roman" w:eastAsia="Times New Roman"/>
        </w:rPr>
        <w:t>1</w:t>
      </w:r>
      <w:r>
        <w:rPr>
          <w:rFonts w:ascii="Times New Roman" w:eastAsia="Times New Roman"/>
          <w:spacing w:val="57"/>
        </w:rPr>
        <w:t xml:space="preserve"> </w:t>
      </w:r>
      <w:r>
        <w:t>本项目与《挥发性有机物（</w:t>
      </w:r>
      <w:r>
        <w:rPr>
          <w:rFonts w:ascii="Times New Roman" w:eastAsia="Times New Roman"/>
        </w:rPr>
        <w:t>VOCs</w:t>
      </w:r>
      <w:r>
        <w:t>）</w:t>
      </w:r>
      <w:r>
        <w:rPr>
          <w:spacing w:val="-1"/>
        </w:rPr>
        <w:t>污染防治技术政策》相符性分析表</w:t>
      </w:r>
    </w:p>
    <w:p w14:paraId="42DC0424">
      <w:pPr>
        <w:pStyle w:val="10"/>
        <w:spacing w:before="4"/>
        <w:rPr>
          <w:b/>
          <w:sz w:val="6"/>
        </w:rPr>
      </w:pPr>
    </w:p>
    <w:tbl>
      <w:tblPr>
        <w:tblStyle w:val="13"/>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39"/>
        <w:gridCol w:w="2460"/>
      </w:tblGrid>
      <w:tr w14:paraId="65EA8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039" w:type="dxa"/>
            <w:tcBorders>
              <w:left w:val="nil"/>
            </w:tcBorders>
          </w:tcPr>
          <w:p w14:paraId="75DDCEB9">
            <w:pPr>
              <w:pStyle w:val="17"/>
              <w:spacing w:before="40"/>
              <w:ind w:left="2581" w:right="2573"/>
              <w:rPr>
                <w:sz w:val="21"/>
              </w:rPr>
            </w:pPr>
            <w:r>
              <w:rPr>
                <w:sz w:val="21"/>
              </w:rPr>
              <w:t>相关规定</w:t>
            </w:r>
          </w:p>
        </w:tc>
        <w:tc>
          <w:tcPr>
            <w:tcW w:w="2460" w:type="dxa"/>
            <w:tcBorders>
              <w:right w:val="nil"/>
            </w:tcBorders>
          </w:tcPr>
          <w:p w14:paraId="7D383D69">
            <w:pPr>
              <w:pStyle w:val="17"/>
              <w:spacing w:before="40"/>
              <w:ind w:left="705"/>
              <w:jc w:val="left"/>
              <w:rPr>
                <w:sz w:val="21"/>
              </w:rPr>
            </w:pPr>
            <w:r>
              <w:rPr>
                <w:sz w:val="21"/>
              </w:rPr>
              <w:t>相符性分析</w:t>
            </w:r>
          </w:p>
        </w:tc>
      </w:tr>
      <w:tr w14:paraId="7391B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6039" w:type="dxa"/>
            <w:tcBorders>
              <w:left w:val="nil"/>
            </w:tcBorders>
          </w:tcPr>
          <w:p w14:paraId="07840445">
            <w:pPr>
              <w:pStyle w:val="17"/>
              <w:spacing w:before="179" w:line="278" w:lineRule="auto"/>
              <w:ind w:left="113" w:right="98" w:hanging="1"/>
              <w:rPr>
                <w:sz w:val="21"/>
              </w:rPr>
            </w:pPr>
            <w:r>
              <w:rPr>
                <w:rFonts w:ascii="Times New Roman" w:eastAsia="Times New Roman"/>
                <w:sz w:val="21"/>
              </w:rPr>
              <w:t>VOCs</w:t>
            </w:r>
            <w:r>
              <w:rPr>
                <w:rFonts w:ascii="Times New Roman" w:eastAsia="Times New Roman"/>
                <w:spacing w:val="-19"/>
                <w:sz w:val="21"/>
              </w:rPr>
              <w:t xml:space="preserve"> </w:t>
            </w:r>
            <w:r>
              <w:rPr>
                <w:sz w:val="21"/>
              </w:rPr>
              <w:t>污染防治应遵循源头和过程控制与末端治理相结合的综合</w:t>
            </w:r>
            <w:r>
              <w:rPr>
                <w:spacing w:val="-5"/>
                <w:sz w:val="21"/>
              </w:rPr>
              <w:t xml:space="preserve">防治原则。在工业生产中采用清洁生产技术，严格控制含 </w:t>
            </w:r>
            <w:r>
              <w:rPr>
                <w:rFonts w:ascii="Times New Roman" w:eastAsia="Times New Roman"/>
                <w:sz w:val="21"/>
              </w:rPr>
              <w:t xml:space="preserve">VOCs </w:t>
            </w:r>
            <w:r>
              <w:rPr>
                <w:spacing w:val="-4"/>
                <w:sz w:val="21"/>
              </w:rPr>
              <w:t xml:space="preserve">原料与产品在生产和储运销过程中的 </w:t>
            </w:r>
            <w:r>
              <w:rPr>
                <w:rFonts w:ascii="Times New Roman" w:eastAsia="Times New Roman"/>
                <w:sz w:val="21"/>
              </w:rPr>
              <w:t>VOCs</w:t>
            </w:r>
            <w:r>
              <w:rPr>
                <w:rFonts w:ascii="Times New Roman" w:eastAsia="Times New Roman"/>
                <w:spacing w:val="-7"/>
                <w:sz w:val="21"/>
              </w:rPr>
              <w:t xml:space="preserve"> </w:t>
            </w:r>
            <w:r>
              <w:rPr>
                <w:spacing w:val="-8"/>
                <w:sz w:val="21"/>
              </w:rPr>
              <w:t>排放，鼓励对资源和</w:t>
            </w:r>
            <w:r>
              <w:rPr>
                <w:spacing w:val="-14"/>
                <w:sz w:val="21"/>
              </w:rPr>
              <w:t xml:space="preserve">能源的回收利用；鼓励在生产和生活中使用不含 </w:t>
            </w:r>
            <w:r>
              <w:rPr>
                <w:rFonts w:ascii="Times New Roman" w:eastAsia="Times New Roman"/>
                <w:sz w:val="21"/>
              </w:rPr>
              <w:t>VOCs</w:t>
            </w:r>
            <w:r>
              <w:rPr>
                <w:rFonts w:ascii="Times New Roman" w:eastAsia="Times New Roman"/>
                <w:spacing w:val="-7"/>
                <w:sz w:val="21"/>
              </w:rPr>
              <w:t xml:space="preserve"> </w:t>
            </w:r>
            <w:r>
              <w:rPr>
                <w:sz w:val="21"/>
              </w:rPr>
              <w:t>的替代产</w:t>
            </w:r>
            <w:r>
              <w:rPr>
                <w:spacing w:val="-13"/>
                <w:sz w:val="21"/>
              </w:rPr>
              <w:t xml:space="preserve">品或低 </w:t>
            </w:r>
            <w:r>
              <w:rPr>
                <w:rFonts w:ascii="Times New Roman" w:eastAsia="Times New Roman"/>
                <w:sz w:val="21"/>
              </w:rPr>
              <w:t>VOCs</w:t>
            </w:r>
            <w:r>
              <w:rPr>
                <w:rFonts w:ascii="Times New Roman" w:eastAsia="Times New Roman"/>
                <w:spacing w:val="-1"/>
                <w:sz w:val="21"/>
              </w:rPr>
              <w:t xml:space="preserve"> </w:t>
            </w:r>
            <w:r>
              <w:rPr>
                <w:sz w:val="21"/>
              </w:rPr>
              <w:t>含量的产品。</w:t>
            </w:r>
          </w:p>
        </w:tc>
        <w:tc>
          <w:tcPr>
            <w:tcW w:w="2460" w:type="dxa"/>
            <w:tcBorders>
              <w:right w:val="nil"/>
            </w:tcBorders>
          </w:tcPr>
          <w:p w14:paraId="205953E6">
            <w:pPr>
              <w:pStyle w:val="17"/>
              <w:spacing w:before="23" w:line="278" w:lineRule="auto"/>
              <w:ind w:left="120" w:right="115" w:firstLine="60"/>
              <w:jc w:val="both"/>
              <w:rPr>
                <w:sz w:val="21"/>
              </w:rPr>
            </w:pPr>
            <w:r>
              <w:rPr>
                <w:sz w:val="21"/>
              </w:rPr>
              <w:t>本项目挤出造粒废气和挤出注塑废气采用密闭收集罩</w:t>
            </w:r>
            <w:r>
              <w:rPr>
                <w:rFonts w:ascii="Times New Roman" w:eastAsia="Times New Roman"/>
                <w:sz w:val="21"/>
              </w:rPr>
              <w:t>+</w:t>
            </w:r>
            <w:r>
              <w:rPr>
                <w:sz w:val="21"/>
              </w:rPr>
              <w:t>布袋除尘器</w:t>
            </w:r>
            <w:r>
              <w:rPr>
                <w:rFonts w:ascii="Times New Roman" w:eastAsia="Times New Roman"/>
                <w:sz w:val="21"/>
              </w:rPr>
              <w:t>+</w:t>
            </w:r>
            <w:r>
              <w:rPr>
                <w:sz w:val="21"/>
              </w:rPr>
              <w:t>过</w:t>
            </w:r>
            <w:r>
              <w:rPr>
                <w:w w:val="95"/>
                <w:sz w:val="21"/>
              </w:rPr>
              <w:t>滤棉</w:t>
            </w:r>
            <w:r>
              <w:rPr>
                <w:rFonts w:ascii="Times New Roman" w:eastAsia="Times New Roman"/>
                <w:w w:val="95"/>
                <w:sz w:val="21"/>
              </w:rPr>
              <w:t>+</w:t>
            </w:r>
            <w:r>
              <w:rPr>
                <w:w w:val="95"/>
                <w:sz w:val="21"/>
              </w:rPr>
              <w:t>二级活性炭吸附处</w:t>
            </w:r>
            <w:r>
              <w:rPr>
                <w:sz w:val="21"/>
              </w:rPr>
              <w:t xml:space="preserve">理达标后经 </w:t>
            </w:r>
            <w:r>
              <w:rPr>
                <w:rFonts w:ascii="Times New Roman" w:eastAsia="Times New Roman"/>
                <w:sz w:val="21"/>
              </w:rPr>
              <w:t xml:space="preserve">15m </w:t>
            </w:r>
            <w:r>
              <w:rPr>
                <w:sz w:val="21"/>
              </w:rPr>
              <w:t>高排气</w:t>
            </w:r>
          </w:p>
          <w:p w14:paraId="071BFF66">
            <w:pPr>
              <w:pStyle w:val="17"/>
              <w:spacing w:line="269" w:lineRule="exact"/>
              <w:ind w:left="290"/>
              <w:jc w:val="left"/>
              <w:rPr>
                <w:sz w:val="21"/>
              </w:rPr>
            </w:pPr>
            <w:r>
              <w:rPr>
                <w:sz w:val="21"/>
              </w:rPr>
              <w:t>筒排放（</w:t>
            </w:r>
            <w:r>
              <w:rPr>
                <w:rFonts w:ascii="Times New Roman" w:eastAsia="Times New Roman"/>
                <w:sz w:val="21"/>
              </w:rPr>
              <w:t>DA002</w:t>
            </w:r>
            <w:r>
              <w:rPr>
                <w:sz w:val="21"/>
              </w:rPr>
              <w:t>）。</w:t>
            </w:r>
          </w:p>
        </w:tc>
      </w:tr>
    </w:tbl>
    <w:p w14:paraId="02169700">
      <w:pPr>
        <w:spacing w:after="0" w:line="269" w:lineRule="exact"/>
        <w:jc w:val="left"/>
        <w:rPr>
          <w:sz w:val="21"/>
        </w:rPr>
        <w:sectPr>
          <w:pgSz w:w="11910" w:h="16840"/>
          <w:pgMar w:top="1440" w:right="1440" w:bottom="1220" w:left="1580" w:header="0" w:footer="944" w:gutter="0"/>
          <w:cols w:space="720" w:num="1"/>
        </w:sectPr>
      </w:pPr>
    </w:p>
    <w:p w14:paraId="096B6C8B">
      <w:pPr>
        <w:pStyle w:val="10"/>
        <w:ind w:left="118"/>
        <w:rPr>
          <w:sz w:val="20"/>
        </w:rPr>
      </w:pPr>
      <w:r>
        <w:rPr>
          <w:sz w:val="20"/>
        </w:rPr>
        <w:pict>
          <v:group id="_x0000_s1205" o:spid="_x0000_s1205" o:spt="203" style="height:172.6pt;width:424.95pt;" coordsize="8499,3452">
            <o:lock v:ext="edit"/>
            <v:line id="_x0000_s1206" o:spid="_x0000_s1206" o:spt="20" style="position:absolute;left:0;top:5;height:0;width:8499;" stroked="t" coordsize="21600,21600">
              <v:path arrowok="t"/>
              <v:fill focussize="0,0"/>
              <v:stroke weight="0.48pt" color="#000000"/>
              <v:imagedata o:title=""/>
              <o:lock v:ext="edit"/>
            </v:line>
            <v:line id="_x0000_s1207" o:spid="_x0000_s1207" o:spt="20" style="position:absolute;left:0;top:3447;height:0;width:8499;" stroked="t" coordsize="21600,21600">
              <v:path arrowok="t"/>
              <v:fill focussize="0,0"/>
              <v:stroke weight="0.48pt" color="#000000"/>
              <v:imagedata o:title=""/>
              <o:lock v:ext="edit"/>
            </v:line>
            <v:line id="_x0000_s1208" o:spid="_x0000_s1208" o:spt="20" style="position:absolute;left:6039;top:0;height:3442;width:0;" stroked="t" coordsize="21600,21600">
              <v:path arrowok="t"/>
              <v:fill focussize="0,0"/>
              <v:stroke weight="0.48pt" color="#000000"/>
              <v:imagedata o:title=""/>
              <o:lock v:ext="edit"/>
            </v:line>
            <v:shape id="_x0000_s1209" o:spid="_x0000_s1209" o:spt="202" type="#_x0000_t202" style="position:absolute;left:0;top:0;height:3452;width:8499;" filled="f" stroked="f" coordsize="21600,21600">
              <v:path/>
              <v:fill on="f" focussize="0,0"/>
              <v:stroke on="f" joinstyle="miter"/>
              <v:imagedata o:title=""/>
              <o:lock v:ext="edit"/>
              <v:textbox inset="0mm,0mm,0mm,0mm">
                <w:txbxContent>
                  <w:p w14:paraId="59EF1404">
                    <w:pPr>
                      <w:spacing w:before="31"/>
                      <w:ind w:left="108" w:right="0" w:firstLine="0"/>
                      <w:jc w:val="left"/>
                      <w:rPr>
                        <w:sz w:val="21"/>
                      </w:rPr>
                    </w:pPr>
                    <w:r>
                      <w:rPr>
                        <w:sz w:val="21"/>
                      </w:rPr>
                      <w:t xml:space="preserve">在涂装、印刷、粘合、工业清洗等含 </w:t>
                    </w:r>
                    <w:r>
                      <w:rPr>
                        <w:rFonts w:ascii="Times New Roman" w:eastAsia="Times New Roman"/>
                        <w:sz w:val="21"/>
                      </w:rPr>
                      <w:t xml:space="preserve">VOCs </w:t>
                    </w:r>
                    <w:r>
                      <w:rPr>
                        <w:sz w:val="21"/>
                      </w:rPr>
                      <w:t>产品的使用过程中的</w:t>
                    </w:r>
                  </w:p>
                  <w:p w14:paraId="0DE5D69A">
                    <w:pPr>
                      <w:tabs>
                        <w:tab w:val="left" w:pos="6147"/>
                        <w:tab w:val="left" w:pos="6190"/>
                        <w:tab w:val="left" w:pos="6848"/>
                      </w:tabs>
                      <w:spacing w:before="43" w:line="278" w:lineRule="auto"/>
                      <w:ind w:left="108" w:right="107" w:firstLine="24"/>
                      <w:jc w:val="left"/>
                      <w:rPr>
                        <w:sz w:val="21"/>
                      </w:rPr>
                    </w:pPr>
                    <w:r>
                      <w:rPr>
                        <w:rFonts w:ascii="Times New Roman" w:eastAsia="Times New Roman"/>
                        <w:sz w:val="21"/>
                      </w:rPr>
                      <w:t>VOCs</w:t>
                    </w:r>
                    <w:r>
                      <w:rPr>
                        <w:rFonts w:ascii="Times New Roman" w:eastAsia="Times New Roman"/>
                        <w:spacing w:val="-3"/>
                        <w:sz w:val="21"/>
                      </w:rPr>
                      <w:t xml:space="preserve"> </w:t>
                    </w:r>
                    <w:r>
                      <w:rPr>
                        <w:sz w:val="21"/>
                      </w:rPr>
                      <w:t>污染防治技术措施包括：</w:t>
                    </w:r>
                    <w:r>
                      <w:rPr>
                        <w:rFonts w:ascii="Times New Roman" w:eastAsia="Times New Roman"/>
                        <w:sz w:val="21"/>
                      </w:rPr>
                      <w:t>1.</w:t>
                    </w:r>
                    <w:r>
                      <w:rPr>
                        <w:sz w:val="21"/>
                      </w:rPr>
                      <w:t>鼓励使用通过环境标志产品认</w:t>
                    </w:r>
                    <w:r>
                      <w:rPr>
                        <w:sz w:val="21"/>
                      </w:rPr>
                      <w:tab/>
                    </w:r>
                    <w:r>
                      <w:rPr>
                        <w:sz w:val="21"/>
                      </w:rPr>
                      <w:tab/>
                    </w:r>
                    <w:r>
                      <w:rPr>
                        <w:sz w:val="21"/>
                      </w:rPr>
                      <w:t>本项目不进行涂装、印证的环保型涂料、油墨、胶粘剂和清洗剂；</w:t>
                    </w:r>
                    <w:r>
                      <w:rPr>
                        <w:rFonts w:ascii="Times New Roman" w:eastAsia="Times New Roman"/>
                        <w:sz w:val="21"/>
                      </w:rPr>
                      <w:t>4.</w:t>
                    </w:r>
                    <w:r>
                      <w:rPr>
                        <w:sz w:val="21"/>
                      </w:rPr>
                      <w:t>鼓励在人造板、制</w:t>
                    </w:r>
                    <w:r>
                      <w:rPr>
                        <w:sz w:val="21"/>
                      </w:rPr>
                      <w:tab/>
                    </w:r>
                    <w:r>
                      <w:rPr>
                        <w:w w:val="95"/>
                        <w:sz w:val="21"/>
                      </w:rPr>
                      <w:t>刷</w:t>
                    </w:r>
                    <w:r>
                      <w:rPr>
                        <w:spacing w:val="-32"/>
                        <w:w w:val="95"/>
                        <w:sz w:val="21"/>
                      </w:rPr>
                      <w:t>、</w:t>
                    </w:r>
                    <w:r>
                      <w:rPr>
                        <w:w w:val="95"/>
                        <w:sz w:val="21"/>
                      </w:rPr>
                      <w:t>粘合和工业清洗</w:t>
                    </w:r>
                    <w:r>
                      <w:rPr>
                        <w:spacing w:val="-34"/>
                        <w:w w:val="95"/>
                        <w:sz w:val="21"/>
                      </w:rPr>
                      <w:t>；</w:t>
                    </w:r>
                    <w:r>
                      <w:rPr>
                        <w:w w:val="95"/>
                        <w:sz w:val="21"/>
                      </w:rPr>
                      <w:t>本</w:t>
                    </w:r>
                    <w:r>
                      <w:rPr>
                        <w:sz w:val="21"/>
                      </w:rPr>
                      <w:t>鞋</w:t>
                    </w:r>
                    <w:r>
                      <w:rPr>
                        <w:spacing w:val="-17"/>
                        <w:sz w:val="21"/>
                      </w:rPr>
                      <w:t>、</w:t>
                    </w:r>
                    <w:r>
                      <w:rPr>
                        <w:sz w:val="21"/>
                      </w:rPr>
                      <w:t>皮革制品</w:t>
                    </w:r>
                    <w:r>
                      <w:rPr>
                        <w:spacing w:val="-20"/>
                        <w:sz w:val="21"/>
                      </w:rPr>
                      <w:t>、</w:t>
                    </w:r>
                    <w:r>
                      <w:rPr>
                        <w:sz w:val="21"/>
                      </w:rPr>
                      <w:t>包装材料等粘合过程中使用水基型</w:t>
                    </w:r>
                    <w:r>
                      <w:rPr>
                        <w:spacing w:val="-20"/>
                        <w:sz w:val="21"/>
                      </w:rPr>
                      <w:t>、</w:t>
                    </w:r>
                    <w:r>
                      <w:rPr>
                        <w:sz w:val="21"/>
                      </w:rPr>
                      <w:t>热熔型等环</w:t>
                    </w:r>
                    <w:r>
                      <w:rPr>
                        <w:sz w:val="21"/>
                      </w:rPr>
                      <w:tab/>
                    </w:r>
                    <w:r>
                      <w:rPr>
                        <w:sz w:val="21"/>
                      </w:rPr>
                      <w:tab/>
                    </w:r>
                    <w:r>
                      <w:rPr>
                        <w:sz w:val="21"/>
                      </w:rPr>
                      <w:t>项目挤出造粒废气和挤保型胶粘剂</w:t>
                    </w:r>
                    <w:r>
                      <w:rPr>
                        <w:spacing w:val="-56"/>
                        <w:sz w:val="21"/>
                      </w:rPr>
                      <w:t>，</w:t>
                    </w:r>
                    <w:r>
                      <w:rPr>
                        <w:sz w:val="21"/>
                      </w:rPr>
                      <w:t>在复合膜的生产中推广无溶剂复合及共挤出复合技</w:t>
                    </w:r>
                    <w:r>
                      <w:rPr>
                        <w:sz w:val="21"/>
                      </w:rPr>
                      <w:tab/>
                    </w:r>
                    <w:r>
                      <w:rPr>
                        <w:sz w:val="21"/>
                      </w:rPr>
                      <w:tab/>
                    </w:r>
                    <w:r>
                      <w:rPr>
                        <w:sz w:val="21"/>
                      </w:rPr>
                      <w:t>出注塑废气采用密闭收术；</w:t>
                    </w:r>
                    <w:r>
                      <w:rPr>
                        <w:rFonts w:ascii="Times New Roman" w:eastAsia="Times New Roman"/>
                        <w:sz w:val="21"/>
                      </w:rPr>
                      <w:t>5.</w:t>
                    </w:r>
                    <w:r>
                      <w:rPr>
                        <w:sz w:val="21"/>
                      </w:rPr>
                      <w:t>淘汰以三氟三氯乙烷</w:t>
                    </w:r>
                    <w:r>
                      <w:rPr>
                        <w:spacing w:val="-3"/>
                        <w:sz w:val="21"/>
                      </w:rPr>
                      <w:t>、</w:t>
                    </w:r>
                    <w:r>
                      <w:rPr>
                        <w:sz w:val="21"/>
                      </w:rPr>
                      <w:t>甲基氯仿和四氯化碳为清洗剂或溶</w:t>
                    </w:r>
                    <w:r>
                      <w:rPr>
                        <w:sz w:val="21"/>
                      </w:rPr>
                      <w:tab/>
                    </w:r>
                    <w:r>
                      <w:rPr>
                        <w:sz w:val="21"/>
                      </w:rPr>
                      <w:tab/>
                    </w:r>
                    <w:r>
                      <w:rPr>
                        <w:sz w:val="21"/>
                      </w:rPr>
                      <w:t>集罩</w:t>
                    </w:r>
                    <w:r>
                      <w:rPr>
                        <w:rFonts w:ascii="Times New Roman" w:eastAsia="Times New Roman"/>
                        <w:sz w:val="21"/>
                      </w:rPr>
                      <w:t>+</w:t>
                    </w:r>
                    <w:r>
                      <w:rPr>
                        <w:sz w:val="21"/>
                      </w:rPr>
                      <w:t>布袋除尘器</w:t>
                    </w:r>
                    <w:r>
                      <w:rPr>
                        <w:rFonts w:ascii="Times New Roman" w:eastAsia="Times New Roman"/>
                        <w:sz w:val="21"/>
                      </w:rPr>
                      <w:t>+</w:t>
                    </w:r>
                    <w:r>
                      <w:rPr>
                        <w:sz w:val="21"/>
                      </w:rPr>
                      <w:t>过滤剂的生产工艺</w:t>
                    </w:r>
                    <w:r>
                      <w:rPr>
                        <w:spacing w:val="-29"/>
                        <w:sz w:val="21"/>
                      </w:rPr>
                      <w:t>。</w:t>
                    </w:r>
                    <w:r>
                      <w:rPr>
                        <w:sz w:val="21"/>
                      </w:rPr>
                      <w:t>清洗过程中产生的废溶剂宜密闭收集</w:t>
                    </w:r>
                    <w:r>
                      <w:rPr>
                        <w:spacing w:val="-27"/>
                        <w:sz w:val="21"/>
                      </w:rPr>
                      <w:t>，</w:t>
                    </w:r>
                    <w:r>
                      <w:rPr>
                        <w:sz w:val="21"/>
                      </w:rPr>
                      <w:t>有回收价</w:t>
                    </w:r>
                    <w:r>
                      <w:rPr>
                        <w:sz w:val="21"/>
                      </w:rPr>
                      <w:tab/>
                    </w:r>
                    <w:r>
                      <w:rPr>
                        <w:sz w:val="21"/>
                      </w:rPr>
                      <w:t>棉</w:t>
                    </w:r>
                    <w:r>
                      <w:rPr>
                        <w:rFonts w:ascii="Times New Roman" w:eastAsia="Times New Roman"/>
                        <w:sz w:val="21"/>
                      </w:rPr>
                      <w:t>+</w:t>
                    </w:r>
                    <w:r>
                      <w:rPr>
                        <w:sz w:val="21"/>
                      </w:rPr>
                      <w:t>二级活性炭吸附处理值的废溶剂经处理后回用，其他废溶剂应妥善处置；</w:t>
                    </w:r>
                    <w:r>
                      <w:rPr>
                        <w:rFonts w:ascii="Times New Roman" w:eastAsia="Times New Roman"/>
                        <w:sz w:val="21"/>
                      </w:rPr>
                      <w:t>6.</w:t>
                    </w:r>
                    <w:r>
                      <w:rPr>
                        <w:sz w:val="21"/>
                      </w:rPr>
                      <w:t>含</w:t>
                    </w:r>
                    <w:r>
                      <w:rPr>
                        <w:spacing w:val="-55"/>
                        <w:sz w:val="21"/>
                      </w:rPr>
                      <w:t xml:space="preserve"> </w:t>
                    </w:r>
                    <w:r>
                      <w:rPr>
                        <w:rFonts w:ascii="Times New Roman" w:eastAsia="Times New Roman"/>
                        <w:sz w:val="21"/>
                      </w:rPr>
                      <w:t>VOCs</w:t>
                    </w:r>
                    <w:r>
                      <w:rPr>
                        <w:rFonts w:ascii="Times New Roman" w:eastAsia="Times New Roman"/>
                        <w:sz w:val="21"/>
                      </w:rPr>
                      <w:tab/>
                    </w:r>
                    <w:r>
                      <w:rPr>
                        <w:rFonts w:ascii="Times New Roman" w:eastAsia="Times New Roman"/>
                        <w:sz w:val="21"/>
                      </w:rPr>
                      <w:tab/>
                    </w:r>
                    <w:r>
                      <w:rPr>
                        <w:sz w:val="21"/>
                      </w:rPr>
                      <w:t>达标后经</w:t>
                    </w:r>
                    <w:r>
                      <w:rPr>
                        <w:spacing w:val="-56"/>
                        <w:sz w:val="21"/>
                      </w:rPr>
                      <w:t xml:space="preserve"> </w:t>
                    </w:r>
                    <w:r>
                      <w:rPr>
                        <w:rFonts w:ascii="Times New Roman" w:eastAsia="Times New Roman"/>
                        <w:sz w:val="21"/>
                      </w:rPr>
                      <w:t>15m</w:t>
                    </w:r>
                    <w:r>
                      <w:rPr>
                        <w:rFonts w:ascii="Times New Roman" w:eastAsia="Times New Roman"/>
                        <w:spacing w:val="-3"/>
                        <w:sz w:val="21"/>
                      </w:rPr>
                      <w:t xml:space="preserve"> </w:t>
                    </w:r>
                    <w:r>
                      <w:rPr>
                        <w:sz w:val="21"/>
                      </w:rPr>
                      <w:t>高排气筒产品的使用过程中，应采取废气收集措施，提高废气收集效率，</w:t>
                    </w:r>
                    <w:r>
                      <w:rPr>
                        <w:spacing w:val="37"/>
                        <w:sz w:val="21"/>
                      </w:rPr>
                      <w:t xml:space="preserve"> </w:t>
                    </w:r>
                    <w:r>
                      <w:rPr>
                        <w:sz w:val="21"/>
                      </w:rPr>
                      <w:t>排</w:t>
                    </w:r>
                    <w:r>
                      <w:rPr>
                        <w:spacing w:val="-18"/>
                        <w:sz w:val="21"/>
                      </w:rPr>
                      <w:t>放</w:t>
                    </w:r>
                    <w:r>
                      <w:rPr>
                        <w:spacing w:val="-5"/>
                        <w:sz w:val="21"/>
                      </w:rPr>
                      <w:t>（</w:t>
                    </w:r>
                    <w:r>
                      <w:rPr>
                        <w:rFonts w:ascii="Times New Roman" w:eastAsia="Times New Roman"/>
                        <w:spacing w:val="-5"/>
                        <w:sz w:val="21"/>
                      </w:rPr>
                      <w:t>DA002</w:t>
                    </w:r>
                    <w:r>
                      <w:rPr>
                        <w:spacing w:val="-5"/>
                        <w:sz w:val="21"/>
                      </w:rPr>
                      <w:t>），</w:t>
                    </w:r>
                    <w:r>
                      <w:rPr>
                        <w:sz w:val="21"/>
                      </w:rPr>
                      <w:t>减少污减少废气的无组织排放与逸散</w:t>
                    </w:r>
                    <w:r>
                      <w:rPr>
                        <w:spacing w:val="-56"/>
                        <w:sz w:val="21"/>
                      </w:rPr>
                      <w:t>，</w:t>
                    </w:r>
                    <w:r>
                      <w:rPr>
                        <w:sz w:val="21"/>
                      </w:rPr>
                      <w:t>并对收集后的废气进行回收或处</w:t>
                    </w:r>
                    <w:r>
                      <w:rPr>
                        <w:sz w:val="21"/>
                      </w:rPr>
                      <w:tab/>
                    </w:r>
                    <w:r>
                      <w:rPr>
                        <w:sz w:val="21"/>
                      </w:rPr>
                      <w:tab/>
                    </w:r>
                    <w:r>
                      <w:rPr>
                        <w:sz w:val="21"/>
                      </w:rPr>
                      <w:tab/>
                    </w:r>
                    <w:r>
                      <w:rPr>
                        <w:sz w:val="21"/>
                      </w:rPr>
                      <w:t>染物排放</w:t>
                    </w:r>
                  </w:p>
                  <w:p w14:paraId="3BA817DB">
                    <w:pPr>
                      <w:spacing w:before="0" w:line="268" w:lineRule="exact"/>
                      <w:ind w:left="2264" w:right="4725" w:firstLine="0"/>
                      <w:jc w:val="center"/>
                      <w:rPr>
                        <w:sz w:val="21"/>
                      </w:rPr>
                    </w:pPr>
                    <w:r>
                      <w:rPr>
                        <w:sz w:val="21"/>
                      </w:rPr>
                      <w:t>理后达标排放。</w:t>
                    </w:r>
                  </w:p>
                </w:txbxContent>
              </v:textbox>
            </v:shape>
            <w10:wrap type="none"/>
            <w10:anchorlock/>
          </v:group>
        </w:pict>
      </w:r>
    </w:p>
    <w:p w14:paraId="6471B6E8">
      <w:pPr>
        <w:pStyle w:val="10"/>
        <w:spacing w:before="45" w:line="364" w:lineRule="auto"/>
        <w:ind w:left="220" w:right="357" w:firstLine="480"/>
      </w:pPr>
      <w:r>
        <w:t>通过上表分析，项目符合《挥发性有机物（</w:t>
      </w:r>
      <w:r>
        <w:rPr>
          <w:rFonts w:ascii="Times New Roman" w:eastAsia="Times New Roman"/>
        </w:rPr>
        <w:t>VOCs</w:t>
      </w:r>
      <w:r>
        <w:t>）污染防治技术政策》相关要求。</w:t>
      </w:r>
    </w:p>
    <w:p w14:paraId="0FC948E7">
      <w:pPr>
        <w:pStyle w:val="9"/>
        <w:spacing w:before="1" w:line="364" w:lineRule="auto"/>
        <w:ind w:left="220" w:right="298" w:firstLine="480"/>
      </w:pPr>
      <w:r>
        <w:t>（</w:t>
      </w:r>
      <w:r>
        <w:rPr>
          <w:rFonts w:ascii="Times New Roman" w:hAnsi="Times New Roman" w:eastAsia="Times New Roman"/>
        </w:rPr>
        <w:t>4</w:t>
      </w:r>
      <w:r>
        <w:t>）与《挥发性有机物无组织排放控制标准（</w:t>
      </w:r>
      <w:r>
        <w:rPr>
          <w:rFonts w:ascii="Times New Roman" w:hAnsi="Times New Roman" w:eastAsia="Times New Roman"/>
        </w:rPr>
        <w:t>GB 37822—2019</w:t>
      </w:r>
      <w:r>
        <w:t>）》符合性分析</w:t>
      </w:r>
    </w:p>
    <w:p w14:paraId="5E083255">
      <w:pPr>
        <w:pStyle w:val="9"/>
        <w:ind w:left="0" w:right="140"/>
        <w:jc w:val="center"/>
      </w:pPr>
      <w:r>
        <w:rPr>
          <w:spacing w:val="-31"/>
        </w:rPr>
        <w:t xml:space="preserve">表 </w:t>
      </w:r>
      <w:r>
        <w:rPr>
          <w:rFonts w:ascii="Times New Roman" w:eastAsia="Times New Roman"/>
        </w:rPr>
        <w:t>2</w:t>
      </w:r>
      <w:r>
        <w:rPr>
          <w:rFonts w:ascii="Times New Roman" w:eastAsia="Times New Roman"/>
          <w:spacing w:val="58"/>
        </w:rPr>
        <w:t xml:space="preserve"> </w:t>
      </w:r>
      <w:r>
        <w:t>与《挥发性有机物无组织排放控制标准》相符性分析表</w:t>
      </w:r>
    </w:p>
    <w:p w14:paraId="3C5655EB">
      <w:pPr>
        <w:pStyle w:val="10"/>
        <w:spacing w:before="1"/>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1FF0C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01" w:type="dxa"/>
            <w:tcBorders>
              <w:left w:val="nil"/>
            </w:tcBorders>
          </w:tcPr>
          <w:p w14:paraId="249E6AA6">
            <w:pPr>
              <w:pStyle w:val="17"/>
              <w:spacing w:before="34"/>
              <w:ind w:left="113" w:right="103"/>
              <w:rPr>
                <w:sz w:val="21"/>
              </w:rPr>
            </w:pPr>
            <w:r>
              <w:rPr>
                <w:sz w:val="21"/>
              </w:rPr>
              <w:t>相关规定</w:t>
            </w:r>
          </w:p>
        </w:tc>
        <w:tc>
          <w:tcPr>
            <w:tcW w:w="3300" w:type="dxa"/>
          </w:tcPr>
          <w:p w14:paraId="3952B8AC">
            <w:pPr>
              <w:pStyle w:val="17"/>
              <w:spacing w:before="34"/>
              <w:ind w:left="180"/>
              <w:jc w:val="left"/>
              <w:rPr>
                <w:sz w:val="21"/>
              </w:rPr>
            </w:pPr>
            <w:r>
              <w:rPr>
                <w:sz w:val="21"/>
              </w:rPr>
              <w:t>本项目已采取的措施及改进建议</w:t>
            </w:r>
          </w:p>
        </w:tc>
        <w:tc>
          <w:tcPr>
            <w:tcW w:w="1203" w:type="dxa"/>
            <w:tcBorders>
              <w:right w:val="nil"/>
            </w:tcBorders>
          </w:tcPr>
          <w:p w14:paraId="561C9086">
            <w:pPr>
              <w:pStyle w:val="17"/>
              <w:spacing w:before="34"/>
              <w:ind w:left="180"/>
              <w:jc w:val="left"/>
              <w:rPr>
                <w:sz w:val="21"/>
              </w:rPr>
            </w:pPr>
            <w:r>
              <w:rPr>
                <w:sz w:val="21"/>
              </w:rPr>
              <w:t>是否符合</w:t>
            </w:r>
          </w:p>
        </w:tc>
      </w:tr>
    </w:tbl>
    <w:p w14:paraId="71D4C885">
      <w:pPr>
        <w:spacing w:before="36" w:after="36"/>
        <w:ind w:left="0" w:right="139" w:firstLine="0"/>
        <w:jc w:val="center"/>
        <w:rPr>
          <w:sz w:val="21"/>
        </w:rPr>
      </w:pPr>
      <w:r>
        <w:rPr>
          <w:sz w:val="21"/>
        </w:rPr>
        <w:t>一、基本要求</w:t>
      </w: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6199C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01" w:type="dxa"/>
            <w:tcBorders>
              <w:left w:val="nil"/>
            </w:tcBorders>
          </w:tcPr>
          <w:p w14:paraId="5F661574">
            <w:pPr>
              <w:pStyle w:val="17"/>
              <w:spacing w:before="177" w:line="278" w:lineRule="auto"/>
              <w:ind w:left="955" w:right="-15" w:hanging="843"/>
              <w:jc w:val="left"/>
              <w:rPr>
                <w:sz w:val="21"/>
              </w:rPr>
            </w:pPr>
            <w:r>
              <w:rPr>
                <w:rFonts w:ascii="Times New Roman" w:eastAsia="Times New Roman"/>
                <w:sz w:val="21"/>
              </w:rPr>
              <w:t>VOCs</w:t>
            </w:r>
            <w:r>
              <w:rPr>
                <w:rFonts w:ascii="Times New Roman" w:eastAsia="Times New Roman"/>
                <w:spacing w:val="-10"/>
                <w:sz w:val="21"/>
              </w:rPr>
              <w:t xml:space="preserve"> </w:t>
            </w:r>
            <w:r>
              <w:rPr>
                <w:spacing w:val="-4"/>
                <w:sz w:val="21"/>
              </w:rPr>
              <w:t>物料应储存于密闭的容器、包装袋、储罐、储库、料仓中。</w:t>
            </w:r>
          </w:p>
        </w:tc>
        <w:tc>
          <w:tcPr>
            <w:tcW w:w="3300" w:type="dxa"/>
          </w:tcPr>
          <w:p w14:paraId="43251B94">
            <w:pPr>
              <w:pStyle w:val="17"/>
              <w:spacing w:before="21" w:line="278" w:lineRule="auto"/>
              <w:ind w:left="80" w:right="70"/>
              <w:rPr>
                <w:sz w:val="21"/>
              </w:rPr>
            </w:pPr>
            <w:r>
              <w:rPr>
                <w:sz w:val="21"/>
              </w:rPr>
              <w:t xml:space="preserve">本项目使用的 </w:t>
            </w:r>
            <w:r>
              <w:rPr>
                <w:rFonts w:ascii="Times New Roman" w:eastAsia="Times New Roman"/>
                <w:sz w:val="21"/>
              </w:rPr>
              <w:t xml:space="preserve">PE </w:t>
            </w:r>
            <w:r>
              <w:rPr>
                <w:sz w:val="21"/>
              </w:rPr>
              <w:t xml:space="preserve">塑料和废 </w:t>
            </w:r>
            <w:r>
              <w:rPr>
                <w:rFonts w:ascii="Times New Roman" w:eastAsia="Times New Roman"/>
                <w:sz w:val="21"/>
              </w:rPr>
              <w:t xml:space="preserve">PE </w:t>
            </w:r>
            <w:r>
              <w:rPr>
                <w:sz w:val="21"/>
              </w:rPr>
              <w:t>塑</w:t>
            </w:r>
            <w:r>
              <w:rPr>
                <w:w w:val="95"/>
                <w:sz w:val="21"/>
              </w:rPr>
              <w:t>料等采用包装袋进行储存，符合要</w:t>
            </w:r>
          </w:p>
          <w:p w14:paraId="0E63D6A7">
            <w:pPr>
              <w:pStyle w:val="17"/>
              <w:spacing w:line="269" w:lineRule="exact"/>
              <w:ind w:left="78" w:right="70"/>
              <w:rPr>
                <w:sz w:val="21"/>
              </w:rPr>
            </w:pPr>
            <w:r>
              <w:rPr>
                <w:sz w:val="21"/>
              </w:rPr>
              <w:t>求。</w:t>
            </w:r>
          </w:p>
        </w:tc>
        <w:tc>
          <w:tcPr>
            <w:tcW w:w="1203" w:type="dxa"/>
            <w:tcBorders>
              <w:right w:val="nil"/>
            </w:tcBorders>
          </w:tcPr>
          <w:p w14:paraId="5DF1728F">
            <w:pPr>
              <w:pStyle w:val="17"/>
              <w:jc w:val="left"/>
              <w:rPr>
                <w:sz w:val="26"/>
              </w:rPr>
            </w:pPr>
          </w:p>
          <w:p w14:paraId="6C9676C9">
            <w:pPr>
              <w:pStyle w:val="17"/>
              <w:ind w:left="391"/>
              <w:jc w:val="left"/>
              <w:rPr>
                <w:sz w:val="21"/>
              </w:rPr>
            </w:pPr>
            <w:r>
              <w:rPr>
                <w:sz w:val="21"/>
              </w:rPr>
              <w:t>符合</w:t>
            </w:r>
          </w:p>
        </w:tc>
      </w:tr>
      <w:tr w14:paraId="7AD9A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01" w:type="dxa"/>
            <w:tcBorders>
              <w:left w:val="nil"/>
            </w:tcBorders>
          </w:tcPr>
          <w:p w14:paraId="31AF483A">
            <w:pPr>
              <w:pStyle w:val="17"/>
              <w:spacing w:before="20" w:line="278" w:lineRule="auto"/>
              <w:ind w:left="115" w:right="100"/>
              <w:jc w:val="both"/>
              <w:rPr>
                <w:sz w:val="21"/>
              </w:rPr>
            </w:pPr>
            <w:r>
              <w:rPr>
                <w:spacing w:val="-20"/>
                <w:sz w:val="21"/>
              </w:rPr>
              <w:t xml:space="preserve">盛装 </w:t>
            </w:r>
            <w:r>
              <w:rPr>
                <w:rFonts w:ascii="Times New Roman" w:eastAsia="Times New Roman"/>
                <w:sz w:val="21"/>
              </w:rPr>
              <w:t xml:space="preserve">VOCs </w:t>
            </w:r>
            <w:r>
              <w:rPr>
                <w:sz w:val="21"/>
              </w:rPr>
              <w:t>物料的容器或包装袋应存放于</w:t>
            </w:r>
            <w:r>
              <w:rPr>
                <w:w w:val="95"/>
                <w:sz w:val="21"/>
              </w:rPr>
              <w:t>室内，或存放于设置有雨棚、遮阳和防渗</w:t>
            </w:r>
            <w:r>
              <w:rPr>
                <w:spacing w:val="-6"/>
                <w:sz w:val="21"/>
              </w:rPr>
              <w:t xml:space="preserve">设施的专用场地。盛装 </w:t>
            </w:r>
            <w:r>
              <w:rPr>
                <w:rFonts w:ascii="Times New Roman" w:eastAsia="Times New Roman"/>
                <w:sz w:val="21"/>
              </w:rPr>
              <w:t xml:space="preserve">VOCs </w:t>
            </w:r>
            <w:r>
              <w:rPr>
                <w:sz w:val="21"/>
              </w:rPr>
              <w:t>物料的容器</w:t>
            </w:r>
            <w:r>
              <w:rPr>
                <w:w w:val="95"/>
                <w:sz w:val="21"/>
              </w:rPr>
              <w:t>或包装袋在非取用状态时应加盖、封口、</w:t>
            </w:r>
          </w:p>
          <w:p w14:paraId="78F54945">
            <w:pPr>
              <w:pStyle w:val="17"/>
              <w:spacing w:line="269" w:lineRule="exact"/>
              <w:ind w:left="113" w:right="103"/>
              <w:rPr>
                <w:sz w:val="21"/>
              </w:rPr>
            </w:pPr>
            <w:r>
              <w:rPr>
                <w:sz w:val="21"/>
              </w:rPr>
              <w:t>保持密闭。</w:t>
            </w:r>
          </w:p>
        </w:tc>
        <w:tc>
          <w:tcPr>
            <w:tcW w:w="3300" w:type="dxa"/>
          </w:tcPr>
          <w:p w14:paraId="66BFDBFA">
            <w:pPr>
              <w:pStyle w:val="17"/>
              <w:spacing w:before="12"/>
              <w:jc w:val="left"/>
              <w:rPr>
                <w:sz w:val="25"/>
              </w:rPr>
            </w:pPr>
          </w:p>
          <w:p w14:paraId="1DC2197E">
            <w:pPr>
              <w:pStyle w:val="17"/>
              <w:spacing w:line="278" w:lineRule="auto"/>
              <w:ind w:left="108" w:right="98"/>
              <w:rPr>
                <w:sz w:val="21"/>
              </w:rPr>
            </w:pPr>
            <w:r>
              <w:rPr>
                <w:spacing w:val="-5"/>
                <w:w w:val="95"/>
                <w:sz w:val="21"/>
              </w:rPr>
              <w:t>本项目原辅料均储存在室内，不露</w:t>
            </w:r>
            <w:r>
              <w:rPr>
                <w:spacing w:val="-9"/>
                <w:w w:val="95"/>
                <w:sz w:val="21"/>
              </w:rPr>
              <w:t>天堆放。在非取用状态时封口、保</w:t>
            </w:r>
            <w:r>
              <w:rPr>
                <w:spacing w:val="-9"/>
                <w:sz w:val="21"/>
              </w:rPr>
              <w:t>持密闭</w:t>
            </w:r>
          </w:p>
        </w:tc>
        <w:tc>
          <w:tcPr>
            <w:tcW w:w="1203" w:type="dxa"/>
            <w:tcBorders>
              <w:right w:val="nil"/>
            </w:tcBorders>
          </w:tcPr>
          <w:p w14:paraId="050A124E">
            <w:pPr>
              <w:pStyle w:val="17"/>
              <w:jc w:val="left"/>
              <w:rPr>
                <w:sz w:val="20"/>
              </w:rPr>
            </w:pPr>
          </w:p>
          <w:p w14:paraId="147C4427">
            <w:pPr>
              <w:pStyle w:val="17"/>
              <w:jc w:val="left"/>
              <w:rPr>
                <w:sz w:val="20"/>
              </w:rPr>
            </w:pPr>
          </w:p>
          <w:p w14:paraId="7AD65BF5">
            <w:pPr>
              <w:pStyle w:val="17"/>
              <w:spacing w:before="132"/>
              <w:ind w:left="391"/>
              <w:jc w:val="left"/>
              <w:rPr>
                <w:sz w:val="21"/>
              </w:rPr>
            </w:pPr>
            <w:r>
              <w:rPr>
                <w:sz w:val="21"/>
              </w:rPr>
              <w:t>符合</w:t>
            </w:r>
          </w:p>
        </w:tc>
      </w:tr>
      <w:tr w14:paraId="01C0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01" w:type="dxa"/>
            <w:tcBorders>
              <w:left w:val="nil"/>
            </w:tcBorders>
          </w:tcPr>
          <w:p w14:paraId="306E7D94">
            <w:pPr>
              <w:pStyle w:val="17"/>
              <w:spacing w:before="20"/>
              <w:ind w:left="113" w:right="103"/>
              <w:rPr>
                <w:sz w:val="21"/>
              </w:rPr>
            </w:pPr>
            <w:r>
              <w:rPr>
                <w:rFonts w:ascii="Times New Roman" w:eastAsia="Times New Roman"/>
                <w:sz w:val="21"/>
              </w:rPr>
              <w:t xml:space="preserve">VOCs </w:t>
            </w:r>
            <w:r>
              <w:rPr>
                <w:sz w:val="21"/>
              </w:rPr>
              <w:t>物料储存、料仓应满足密闭空间的</w:t>
            </w:r>
          </w:p>
          <w:p w14:paraId="5FBF1C7B">
            <w:pPr>
              <w:pStyle w:val="17"/>
              <w:spacing w:before="43"/>
              <w:ind w:left="113" w:right="100"/>
              <w:rPr>
                <w:sz w:val="21"/>
              </w:rPr>
            </w:pPr>
            <w:r>
              <w:rPr>
                <w:sz w:val="21"/>
              </w:rPr>
              <w:t>要求。</w:t>
            </w:r>
          </w:p>
        </w:tc>
        <w:tc>
          <w:tcPr>
            <w:tcW w:w="3300" w:type="dxa"/>
          </w:tcPr>
          <w:p w14:paraId="79F0A4F8">
            <w:pPr>
              <w:pStyle w:val="17"/>
              <w:spacing w:before="176"/>
              <w:ind w:left="180"/>
              <w:jc w:val="left"/>
              <w:rPr>
                <w:sz w:val="21"/>
              </w:rPr>
            </w:pPr>
            <w:r>
              <w:rPr>
                <w:sz w:val="21"/>
              </w:rPr>
              <w:t>项目原辅料仓库设置为密闭空间</w:t>
            </w:r>
          </w:p>
        </w:tc>
        <w:tc>
          <w:tcPr>
            <w:tcW w:w="1203" w:type="dxa"/>
            <w:tcBorders>
              <w:right w:val="nil"/>
            </w:tcBorders>
          </w:tcPr>
          <w:p w14:paraId="2162EC44">
            <w:pPr>
              <w:pStyle w:val="17"/>
              <w:spacing w:before="176"/>
              <w:ind w:left="391"/>
              <w:jc w:val="left"/>
              <w:rPr>
                <w:sz w:val="21"/>
              </w:rPr>
            </w:pPr>
            <w:r>
              <w:rPr>
                <w:sz w:val="21"/>
              </w:rPr>
              <w:t>符合</w:t>
            </w:r>
          </w:p>
        </w:tc>
      </w:tr>
    </w:tbl>
    <w:p w14:paraId="68E0B0D3">
      <w:pPr>
        <w:spacing w:before="34" w:after="37"/>
        <w:ind w:left="0" w:right="139" w:firstLine="0"/>
        <w:jc w:val="center"/>
        <w:rPr>
          <w:sz w:val="21"/>
        </w:rPr>
      </w:pPr>
      <w:r>
        <w:rPr>
          <w:sz w:val="21"/>
        </w:rPr>
        <w:t xml:space="preserve">二、工艺过程 </w:t>
      </w:r>
      <w:r>
        <w:rPr>
          <w:rFonts w:ascii="Times New Roman" w:eastAsia="Times New Roman"/>
          <w:sz w:val="21"/>
        </w:rPr>
        <w:t xml:space="preserve">VOCs </w:t>
      </w:r>
      <w:r>
        <w:rPr>
          <w:sz w:val="21"/>
        </w:rPr>
        <w:t>无组织排放控制要求</w:t>
      </w: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438C0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01" w:type="dxa"/>
            <w:tcBorders>
              <w:left w:val="nil"/>
            </w:tcBorders>
          </w:tcPr>
          <w:p w14:paraId="10594CE9">
            <w:pPr>
              <w:pStyle w:val="17"/>
              <w:spacing w:before="20" w:line="278" w:lineRule="auto"/>
              <w:ind w:left="113" w:right="-15" w:firstLine="2"/>
              <w:jc w:val="left"/>
              <w:rPr>
                <w:sz w:val="21"/>
              </w:rPr>
            </w:pPr>
            <w:r>
              <w:rPr>
                <w:spacing w:val="-4"/>
                <w:sz w:val="21"/>
              </w:rPr>
              <w:t xml:space="preserve">物料投加和卸放：粉状，粒状 </w:t>
            </w:r>
            <w:r>
              <w:rPr>
                <w:rFonts w:ascii="Times New Roman" w:eastAsia="Times New Roman"/>
                <w:sz w:val="21"/>
              </w:rPr>
              <w:t>VOCs</w:t>
            </w:r>
            <w:r>
              <w:rPr>
                <w:rFonts w:ascii="Times New Roman" w:eastAsia="Times New Roman"/>
                <w:spacing w:val="-1"/>
                <w:sz w:val="21"/>
              </w:rPr>
              <w:t xml:space="preserve"> </w:t>
            </w:r>
            <w:r>
              <w:rPr>
                <w:sz w:val="21"/>
              </w:rPr>
              <w:t>物料应采用气力输送方式或采用密闭固体投料</w:t>
            </w:r>
            <w:r>
              <w:rPr>
                <w:spacing w:val="-9"/>
                <w:sz w:val="21"/>
              </w:rPr>
              <w:t>器等给料方式密闭投加。无法密闭投加的， 应在密闭空间内操作，或进行局部气体收集，废气应排至除尘设施、</w:t>
            </w:r>
            <w:r>
              <w:rPr>
                <w:rFonts w:ascii="Times New Roman" w:eastAsia="Times New Roman"/>
                <w:spacing w:val="-9"/>
                <w:sz w:val="21"/>
              </w:rPr>
              <w:t xml:space="preserve">VOCs </w:t>
            </w:r>
            <w:r>
              <w:rPr>
                <w:spacing w:val="-9"/>
                <w:sz w:val="21"/>
              </w:rPr>
              <w:t>废气收</w:t>
            </w:r>
          </w:p>
          <w:p w14:paraId="78839E83">
            <w:pPr>
              <w:pStyle w:val="17"/>
              <w:spacing w:line="268" w:lineRule="exact"/>
              <w:ind w:left="113" w:right="100"/>
              <w:rPr>
                <w:sz w:val="21"/>
              </w:rPr>
            </w:pPr>
            <w:r>
              <w:rPr>
                <w:sz w:val="21"/>
              </w:rPr>
              <w:t>集处理系统。</w:t>
            </w:r>
          </w:p>
        </w:tc>
        <w:tc>
          <w:tcPr>
            <w:tcW w:w="3300" w:type="dxa"/>
          </w:tcPr>
          <w:p w14:paraId="6C742C17">
            <w:pPr>
              <w:pStyle w:val="17"/>
              <w:jc w:val="left"/>
              <w:rPr>
                <w:sz w:val="20"/>
              </w:rPr>
            </w:pPr>
          </w:p>
          <w:p w14:paraId="10C85160">
            <w:pPr>
              <w:pStyle w:val="17"/>
              <w:spacing w:before="1"/>
              <w:jc w:val="left"/>
              <w:rPr>
                <w:sz w:val="18"/>
              </w:rPr>
            </w:pPr>
          </w:p>
          <w:p w14:paraId="24276CC4">
            <w:pPr>
              <w:pStyle w:val="17"/>
              <w:spacing w:line="278" w:lineRule="auto"/>
              <w:ind w:left="151" w:right="141"/>
              <w:rPr>
                <w:sz w:val="21"/>
              </w:rPr>
            </w:pPr>
            <w:r>
              <w:rPr>
                <w:sz w:val="21"/>
              </w:rPr>
              <w:t xml:space="preserve">本项目粉状 </w:t>
            </w:r>
            <w:r>
              <w:rPr>
                <w:rFonts w:ascii="Times New Roman" w:eastAsia="Times New Roman"/>
                <w:sz w:val="21"/>
              </w:rPr>
              <w:t xml:space="preserve">VOCs </w:t>
            </w:r>
            <w:r>
              <w:rPr>
                <w:sz w:val="21"/>
              </w:rPr>
              <w:t>物料从混料机</w:t>
            </w:r>
            <w:r>
              <w:rPr>
                <w:w w:val="95"/>
                <w:sz w:val="21"/>
              </w:rPr>
              <w:t>进入挤出造粒机和挤出注塑机均</w:t>
            </w:r>
            <w:r>
              <w:rPr>
                <w:sz w:val="21"/>
              </w:rPr>
              <w:t>采用气力输送方式</w:t>
            </w:r>
          </w:p>
        </w:tc>
        <w:tc>
          <w:tcPr>
            <w:tcW w:w="1203" w:type="dxa"/>
            <w:tcBorders>
              <w:right w:val="nil"/>
            </w:tcBorders>
          </w:tcPr>
          <w:p w14:paraId="155B69A1">
            <w:pPr>
              <w:pStyle w:val="17"/>
              <w:jc w:val="left"/>
              <w:rPr>
                <w:sz w:val="20"/>
              </w:rPr>
            </w:pPr>
          </w:p>
          <w:p w14:paraId="25D4FBC9">
            <w:pPr>
              <w:pStyle w:val="17"/>
              <w:jc w:val="left"/>
              <w:rPr>
                <w:sz w:val="20"/>
              </w:rPr>
            </w:pPr>
          </w:p>
          <w:p w14:paraId="13A2A01D">
            <w:pPr>
              <w:pStyle w:val="17"/>
              <w:spacing w:before="6"/>
              <w:jc w:val="left"/>
              <w:rPr>
                <w:sz w:val="22"/>
              </w:rPr>
            </w:pPr>
          </w:p>
          <w:p w14:paraId="36C27DB0">
            <w:pPr>
              <w:pStyle w:val="17"/>
              <w:ind w:left="391"/>
              <w:jc w:val="left"/>
              <w:rPr>
                <w:sz w:val="21"/>
              </w:rPr>
            </w:pPr>
            <w:r>
              <w:rPr>
                <w:sz w:val="21"/>
              </w:rPr>
              <w:t>符合</w:t>
            </w:r>
          </w:p>
        </w:tc>
      </w:tr>
      <w:tr w14:paraId="6F506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01" w:type="dxa"/>
            <w:tcBorders>
              <w:left w:val="nil"/>
            </w:tcBorders>
          </w:tcPr>
          <w:p w14:paraId="1CC3EFE1">
            <w:pPr>
              <w:pStyle w:val="17"/>
              <w:spacing w:before="176" w:line="278" w:lineRule="auto"/>
              <w:ind w:left="115" w:right="100" w:hanging="3"/>
              <w:rPr>
                <w:sz w:val="21"/>
              </w:rPr>
            </w:pPr>
            <w:r>
              <w:rPr>
                <w:rFonts w:ascii="Times New Roman" w:eastAsia="Times New Roman"/>
                <w:sz w:val="21"/>
              </w:rPr>
              <w:t>VOCs</w:t>
            </w:r>
            <w:r>
              <w:rPr>
                <w:rFonts w:ascii="Times New Roman" w:eastAsia="Times New Roman"/>
                <w:spacing w:val="-5"/>
                <w:sz w:val="21"/>
              </w:rPr>
              <w:t xml:space="preserve"> </w:t>
            </w:r>
            <w:r>
              <w:rPr>
                <w:sz w:val="21"/>
              </w:rPr>
              <w:t xml:space="preserve">物料卸（出、放）料过程应密闭， </w:t>
            </w:r>
            <w:r>
              <w:rPr>
                <w:spacing w:val="-7"/>
                <w:sz w:val="21"/>
              </w:rPr>
              <w:t xml:space="preserve">卸料废气应排至 </w:t>
            </w:r>
            <w:r>
              <w:rPr>
                <w:rFonts w:ascii="Times New Roman" w:eastAsia="Times New Roman"/>
                <w:sz w:val="21"/>
              </w:rPr>
              <w:t>VOCs</w:t>
            </w:r>
            <w:r>
              <w:rPr>
                <w:rFonts w:ascii="Times New Roman" w:eastAsia="Times New Roman"/>
                <w:spacing w:val="-1"/>
                <w:sz w:val="21"/>
              </w:rPr>
              <w:t xml:space="preserve"> </w:t>
            </w:r>
            <w:r>
              <w:rPr>
                <w:sz w:val="21"/>
              </w:rPr>
              <w:t xml:space="preserve">废气收集系统处 </w:t>
            </w:r>
            <w:r>
              <w:rPr>
                <w:w w:val="95"/>
                <w:sz w:val="21"/>
              </w:rPr>
              <w:t>理；无法密闭的，应采取局部气体收集措</w:t>
            </w:r>
          </w:p>
          <w:p w14:paraId="4F19A6A5">
            <w:pPr>
              <w:pStyle w:val="17"/>
              <w:spacing w:line="269" w:lineRule="exact"/>
              <w:ind w:left="113" w:right="-15"/>
              <w:rPr>
                <w:sz w:val="21"/>
              </w:rPr>
            </w:pPr>
            <w:r>
              <w:rPr>
                <w:spacing w:val="-22"/>
                <w:sz w:val="21"/>
              </w:rPr>
              <w:t xml:space="preserve">施，废气应排至 </w:t>
            </w:r>
            <w:r>
              <w:rPr>
                <w:rFonts w:ascii="Times New Roman" w:eastAsia="Times New Roman"/>
                <w:sz w:val="21"/>
              </w:rPr>
              <w:t>VOCs</w:t>
            </w:r>
            <w:r>
              <w:rPr>
                <w:rFonts w:ascii="Times New Roman" w:eastAsia="Times New Roman"/>
                <w:spacing w:val="-4"/>
                <w:sz w:val="21"/>
              </w:rPr>
              <w:t xml:space="preserve"> </w:t>
            </w:r>
            <w:r>
              <w:rPr>
                <w:sz w:val="21"/>
              </w:rPr>
              <w:t>废气收集处理系统。</w:t>
            </w:r>
          </w:p>
        </w:tc>
        <w:tc>
          <w:tcPr>
            <w:tcW w:w="3300" w:type="dxa"/>
          </w:tcPr>
          <w:p w14:paraId="5785C560">
            <w:pPr>
              <w:pStyle w:val="17"/>
              <w:spacing w:before="20" w:line="278" w:lineRule="auto"/>
              <w:ind w:left="120" w:right="110" w:hanging="1"/>
              <w:rPr>
                <w:sz w:val="21"/>
              </w:rPr>
            </w:pPr>
            <w:r>
              <w:rPr>
                <w:sz w:val="21"/>
              </w:rPr>
              <w:t>本项目挤出造粒废气和挤出注塑</w:t>
            </w:r>
            <w:r>
              <w:rPr>
                <w:w w:val="95"/>
                <w:sz w:val="21"/>
              </w:rPr>
              <w:t>废气采用密闭收集罩</w:t>
            </w:r>
            <w:r>
              <w:rPr>
                <w:rFonts w:ascii="Times New Roman" w:eastAsia="Times New Roman"/>
                <w:w w:val="95"/>
                <w:sz w:val="21"/>
              </w:rPr>
              <w:t>+</w:t>
            </w:r>
            <w:r>
              <w:rPr>
                <w:w w:val="95"/>
                <w:sz w:val="21"/>
              </w:rPr>
              <w:t>布袋除尘器</w:t>
            </w:r>
          </w:p>
          <w:p w14:paraId="76AD8A14">
            <w:pPr>
              <w:pStyle w:val="17"/>
              <w:spacing w:line="278" w:lineRule="auto"/>
              <w:ind w:left="165" w:right="158"/>
              <w:rPr>
                <w:sz w:val="21"/>
              </w:rPr>
            </w:pPr>
            <w:r>
              <w:rPr>
                <w:rFonts w:ascii="Times New Roman" w:eastAsia="Times New Roman"/>
                <w:w w:val="95"/>
                <w:sz w:val="21"/>
              </w:rPr>
              <w:t>+</w:t>
            </w:r>
            <w:r>
              <w:rPr>
                <w:w w:val="95"/>
                <w:sz w:val="21"/>
              </w:rPr>
              <w:t>过滤棉</w:t>
            </w:r>
            <w:r>
              <w:rPr>
                <w:rFonts w:ascii="Times New Roman" w:eastAsia="Times New Roman"/>
                <w:w w:val="95"/>
                <w:sz w:val="21"/>
              </w:rPr>
              <w:t>+</w:t>
            </w:r>
            <w:r>
              <w:rPr>
                <w:w w:val="95"/>
                <w:sz w:val="21"/>
              </w:rPr>
              <w:t>二级活性炭吸附处理达</w:t>
            </w:r>
            <w:r>
              <w:rPr>
                <w:sz w:val="21"/>
              </w:rPr>
              <w:t xml:space="preserve">标后经 </w:t>
            </w:r>
            <w:r>
              <w:rPr>
                <w:rFonts w:ascii="Times New Roman" w:eastAsia="Times New Roman"/>
                <w:sz w:val="21"/>
              </w:rPr>
              <w:t xml:space="preserve">15m </w:t>
            </w:r>
            <w:r>
              <w:rPr>
                <w:sz w:val="21"/>
              </w:rPr>
              <w:t>高排气筒排放</w:t>
            </w:r>
          </w:p>
          <w:p w14:paraId="66E90A66">
            <w:pPr>
              <w:pStyle w:val="17"/>
              <w:spacing w:line="269" w:lineRule="exact"/>
              <w:ind w:left="78" w:right="70"/>
              <w:rPr>
                <w:sz w:val="21"/>
              </w:rPr>
            </w:pPr>
            <w:r>
              <w:rPr>
                <w:w w:val="95"/>
                <w:sz w:val="21"/>
              </w:rPr>
              <w:t>（</w:t>
            </w:r>
            <w:r>
              <w:rPr>
                <w:rFonts w:ascii="Times New Roman" w:eastAsia="Times New Roman"/>
                <w:w w:val="95"/>
                <w:sz w:val="21"/>
              </w:rPr>
              <w:t>DA002</w:t>
            </w:r>
            <w:r>
              <w:rPr>
                <w:w w:val="95"/>
                <w:sz w:val="21"/>
              </w:rPr>
              <w:t>），符合要求。</w:t>
            </w:r>
          </w:p>
        </w:tc>
        <w:tc>
          <w:tcPr>
            <w:tcW w:w="1203" w:type="dxa"/>
            <w:tcBorders>
              <w:right w:val="nil"/>
            </w:tcBorders>
          </w:tcPr>
          <w:p w14:paraId="1354E103">
            <w:pPr>
              <w:pStyle w:val="17"/>
              <w:jc w:val="left"/>
              <w:rPr>
                <w:sz w:val="20"/>
              </w:rPr>
            </w:pPr>
          </w:p>
          <w:p w14:paraId="7C620E8E">
            <w:pPr>
              <w:pStyle w:val="17"/>
              <w:jc w:val="left"/>
              <w:rPr>
                <w:sz w:val="20"/>
              </w:rPr>
            </w:pPr>
          </w:p>
          <w:p w14:paraId="12939329">
            <w:pPr>
              <w:pStyle w:val="17"/>
              <w:spacing w:before="131"/>
              <w:ind w:left="391"/>
              <w:jc w:val="left"/>
              <w:rPr>
                <w:sz w:val="21"/>
              </w:rPr>
            </w:pPr>
            <w:r>
              <w:rPr>
                <w:sz w:val="21"/>
              </w:rPr>
              <w:t>符合</w:t>
            </w:r>
          </w:p>
        </w:tc>
      </w:tr>
      <w:tr w14:paraId="0BE25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4001" w:type="dxa"/>
            <w:tcBorders>
              <w:left w:val="nil"/>
            </w:tcBorders>
          </w:tcPr>
          <w:p w14:paraId="1F468045">
            <w:pPr>
              <w:pStyle w:val="17"/>
              <w:spacing w:before="34"/>
              <w:ind w:left="139"/>
              <w:jc w:val="left"/>
              <w:rPr>
                <w:sz w:val="21"/>
              </w:rPr>
            </w:pPr>
            <w:r>
              <w:rPr>
                <w:rFonts w:ascii="Times New Roman" w:eastAsia="Times New Roman"/>
                <w:sz w:val="21"/>
              </w:rPr>
              <w:t xml:space="preserve">VOCs </w:t>
            </w:r>
            <w:r>
              <w:rPr>
                <w:sz w:val="21"/>
              </w:rPr>
              <w:t>物料混合、搅拌、研磨、造粒、切</w:t>
            </w:r>
          </w:p>
        </w:tc>
        <w:tc>
          <w:tcPr>
            <w:tcW w:w="3300" w:type="dxa"/>
          </w:tcPr>
          <w:p w14:paraId="70C3250F">
            <w:pPr>
              <w:pStyle w:val="17"/>
              <w:spacing w:before="34"/>
              <w:ind w:left="108"/>
              <w:jc w:val="left"/>
              <w:rPr>
                <w:sz w:val="21"/>
              </w:rPr>
            </w:pPr>
            <w:r>
              <w:rPr>
                <w:rFonts w:ascii="Times New Roman" w:eastAsia="Times New Roman"/>
                <w:sz w:val="21"/>
              </w:rPr>
              <w:t xml:space="preserve">VOCs </w:t>
            </w:r>
            <w:r>
              <w:rPr>
                <w:sz w:val="21"/>
              </w:rPr>
              <w:t>物料挤出等工序均在密闭设</w:t>
            </w:r>
          </w:p>
        </w:tc>
        <w:tc>
          <w:tcPr>
            <w:tcW w:w="1203" w:type="dxa"/>
            <w:tcBorders>
              <w:right w:val="nil"/>
            </w:tcBorders>
          </w:tcPr>
          <w:p w14:paraId="095CF42A">
            <w:pPr>
              <w:pStyle w:val="17"/>
              <w:spacing w:before="34"/>
              <w:ind w:left="391"/>
              <w:jc w:val="left"/>
              <w:rPr>
                <w:sz w:val="21"/>
              </w:rPr>
            </w:pPr>
            <w:r>
              <w:rPr>
                <w:sz w:val="21"/>
              </w:rPr>
              <w:t>符合</w:t>
            </w:r>
          </w:p>
        </w:tc>
      </w:tr>
    </w:tbl>
    <w:p w14:paraId="0BD5BE10">
      <w:pPr>
        <w:spacing w:after="0"/>
        <w:jc w:val="left"/>
        <w:rPr>
          <w:sz w:val="21"/>
        </w:rPr>
        <w:sectPr>
          <w:pgSz w:w="11910" w:h="16840"/>
          <w:pgMar w:top="1420" w:right="1440" w:bottom="1220" w:left="1580" w:header="0" w:footer="944" w:gutter="0"/>
          <w:cols w:space="720" w:num="1"/>
        </w:sect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1"/>
        <w:gridCol w:w="3300"/>
        <w:gridCol w:w="1203"/>
      </w:tblGrid>
      <w:tr w14:paraId="5BEFA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01" w:type="dxa"/>
            <w:tcBorders>
              <w:left w:val="nil"/>
            </w:tcBorders>
          </w:tcPr>
          <w:p w14:paraId="098ACFE9">
            <w:pPr>
              <w:pStyle w:val="17"/>
              <w:spacing w:before="21" w:line="278" w:lineRule="auto"/>
              <w:ind w:left="113" w:right="100" w:firstLine="26"/>
              <w:jc w:val="both"/>
              <w:rPr>
                <w:sz w:val="21"/>
              </w:rPr>
            </w:pPr>
            <w:r>
              <w:rPr>
                <w:spacing w:val="-4"/>
                <w:sz w:val="21"/>
              </w:rPr>
              <w:t xml:space="preserve">片、压片等配料加工过程，以及含 </w:t>
            </w:r>
            <w:r>
              <w:rPr>
                <w:rFonts w:ascii="Times New Roman" w:eastAsia="Times New Roman"/>
                <w:sz w:val="21"/>
              </w:rPr>
              <w:t xml:space="preserve">VOCs </w:t>
            </w:r>
            <w:r>
              <w:rPr>
                <w:w w:val="95"/>
                <w:sz w:val="21"/>
              </w:rPr>
              <w:t>产品的包装（灌装、分装）过程应采用密闭设备或在密闭空间内操作，废气应排至</w:t>
            </w:r>
          </w:p>
          <w:p w14:paraId="30AB2713">
            <w:pPr>
              <w:pStyle w:val="17"/>
              <w:spacing w:line="278" w:lineRule="auto"/>
              <w:ind w:left="139" w:right="126"/>
              <w:rPr>
                <w:sz w:val="21"/>
              </w:rPr>
            </w:pPr>
            <w:r>
              <w:rPr>
                <w:rFonts w:ascii="Times New Roman" w:eastAsia="Times New Roman"/>
                <w:sz w:val="21"/>
              </w:rPr>
              <w:t xml:space="preserve">VOCs </w:t>
            </w:r>
            <w:r>
              <w:rPr>
                <w:sz w:val="21"/>
              </w:rPr>
              <w:t>废气收集处理系统；无法密闭的， 应采取局部气体收集措施，废气应排至</w:t>
            </w:r>
          </w:p>
          <w:p w14:paraId="20129DA2">
            <w:pPr>
              <w:pStyle w:val="17"/>
              <w:spacing w:line="269" w:lineRule="exact"/>
              <w:ind w:left="113" w:right="103"/>
              <w:rPr>
                <w:sz w:val="21"/>
              </w:rPr>
            </w:pPr>
            <w:r>
              <w:rPr>
                <w:rFonts w:ascii="Times New Roman" w:eastAsia="Times New Roman"/>
                <w:sz w:val="21"/>
              </w:rPr>
              <w:t xml:space="preserve">VOCs </w:t>
            </w:r>
            <w:r>
              <w:rPr>
                <w:sz w:val="21"/>
              </w:rPr>
              <w:t>废气收集处理系统。</w:t>
            </w:r>
          </w:p>
        </w:tc>
        <w:tc>
          <w:tcPr>
            <w:tcW w:w="3300" w:type="dxa"/>
          </w:tcPr>
          <w:p w14:paraId="01CFE791">
            <w:pPr>
              <w:pStyle w:val="17"/>
              <w:spacing w:before="21" w:line="278" w:lineRule="auto"/>
              <w:ind w:left="108" w:right="98" w:hanging="1"/>
              <w:rPr>
                <w:sz w:val="21"/>
              </w:rPr>
            </w:pPr>
            <w:r>
              <w:rPr>
                <w:spacing w:val="-9"/>
                <w:w w:val="95"/>
                <w:sz w:val="21"/>
              </w:rPr>
              <w:t>备进行，出口无法密闭处采用集气</w:t>
            </w:r>
            <w:r>
              <w:rPr>
                <w:spacing w:val="-17"/>
                <w:sz w:val="21"/>
              </w:rPr>
              <w:t xml:space="preserve">罩进行局部收集，后进入 </w:t>
            </w:r>
            <w:r>
              <w:rPr>
                <w:rFonts w:ascii="Times New Roman" w:eastAsia="Times New Roman"/>
                <w:sz w:val="21"/>
              </w:rPr>
              <w:t xml:space="preserve">VOCs </w:t>
            </w:r>
            <w:r>
              <w:rPr>
                <w:sz w:val="21"/>
              </w:rPr>
              <w:t>废气处理设施处理，符合要求。</w:t>
            </w:r>
          </w:p>
        </w:tc>
        <w:tc>
          <w:tcPr>
            <w:tcW w:w="1203" w:type="dxa"/>
            <w:tcBorders>
              <w:right w:val="nil"/>
            </w:tcBorders>
          </w:tcPr>
          <w:p w14:paraId="24B8C213">
            <w:pPr>
              <w:pStyle w:val="17"/>
              <w:jc w:val="left"/>
              <w:rPr>
                <w:rFonts w:ascii="Times New Roman"/>
                <w:sz w:val="20"/>
              </w:rPr>
            </w:pPr>
          </w:p>
        </w:tc>
      </w:tr>
    </w:tbl>
    <w:p w14:paraId="14891A9C">
      <w:pPr>
        <w:pStyle w:val="10"/>
        <w:spacing w:before="82" w:line="364" w:lineRule="auto"/>
        <w:ind w:left="220" w:right="358" w:firstLine="480"/>
      </w:pPr>
      <w:r>
        <w:rPr>
          <w:spacing w:val="12"/>
        </w:rPr>
        <w:t>通过上表分析， 项目符合《挥发性有机物无组织排放控制标准</w:t>
      </w:r>
      <w:r>
        <w:t>（</w:t>
      </w:r>
      <w:r>
        <w:rPr>
          <w:spacing w:val="-86"/>
        </w:rPr>
        <w:t xml:space="preserve"> </w:t>
      </w:r>
      <w:r>
        <w:rPr>
          <w:rFonts w:ascii="Times New Roman" w:eastAsia="Times New Roman"/>
        </w:rPr>
        <w:t>GB 37822-2019</w:t>
      </w:r>
      <w:r>
        <w:t>）》相关要求。</w:t>
      </w:r>
    </w:p>
    <w:p w14:paraId="42E495A0">
      <w:pPr>
        <w:pStyle w:val="9"/>
        <w:spacing w:before="1" w:line="364" w:lineRule="auto"/>
        <w:ind w:left="1360" w:right="1298" w:hanging="660"/>
      </w:pPr>
      <w:r>
        <w:pict>
          <v:shape id="_x0000_s1210" o:spid="_x0000_s1210" o:spt="202" type="#_x0000_t202" style="position:absolute;left:0pt;margin-left:84.4pt;margin-top:42.75pt;height:508.8pt;width:426.7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7E6D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23" w:type="dxa"/>
                        <w:tcBorders>
                          <w:left w:val="nil"/>
                        </w:tcBorders>
                      </w:tcPr>
                      <w:p w14:paraId="58AFB637">
                        <w:pPr>
                          <w:pStyle w:val="17"/>
                          <w:spacing w:before="176"/>
                          <w:ind w:left="106" w:right="96"/>
                          <w:rPr>
                            <w:sz w:val="21"/>
                          </w:rPr>
                        </w:pPr>
                        <w:r>
                          <w:rPr>
                            <w:sz w:val="21"/>
                          </w:rPr>
                          <w:t>相关规定</w:t>
                        </w:r>
                      </w:p>
                    </w:tc>
                    <w:tc>
                      <w:tcPr>
                        <w:tcW w:w="3402" w:type="dxa"/>
                      </w:tcPr>
                      <w:p w14:paraId="0E552966">
                        <w:pPr>
                          <w:pStyle w:val="17"/>
                          <w:spacing w:before="176"/>
                          <w:ind w:left="966"/>
                          <w:jc w:val="left"/>
                          <w:rPr>
                            <w:sz w:val="21"/>
                          </w:rPr>
                        </w:pPr>
                        <w:r>
                          <w:rPr>
                            <w:sz w:val="21"/>
                          </w:rPr>
                          <w:t>本项目建设内容</w:t>
                        </w:r>
                      </w:p>
                    </w:tc>
                    <w:tc>
                      <w:tcPr>
                        <w:tcW w:w="994" w:type="dxa"/>
                        <w:tcBorders>
                          <w:right w:val="nil"/>
                        </w:tcBorders>
                      </w:tcPr>
                      <w:p w14:paraId="16645F0B">
                        <w:pPr>
                          <w:pStyle w:val="17"/>
                          <w:spacing w:before="20"/>
                          <w:ind w:left="285"/>
                          <w:jc w:val="left"/>
                          <w:rPr>
                            <w:sz w:val="21"/>
                          </w:rPr>
                        </w:pPr>
                        <w:r>
                          <w:rPr>
                            <w:w w:val="95"/>
                            <w:sz w:val="21"/>
                          </w:rPr>
                          <w:t>是否</w:t>
                        </w:r>
                      </w:p>
                      <w:p w14:paraId="1A4B9DE1">
                        <w:pPr>
                          <w:pStyle w:val="17"/>
                          <w:spacing w:before="43"/>
                          <w:ind w:left="285"/>
                          <w:jc w:val="left"/>
                          <w:rPr>
                            <w:sz w:val="21"/>
                          </w:rPr>
                        </w:pPr>
                        <w:r>
                          <w:rPr>
                            <w:w w:val="95"/>
                            <w:sz w:val="21"/>
                          </w:rPr>
                          <w:t>相符</w:t>
                        </w:r>
                      </w:p>
                    </w:tc>
                  </w:tr>
                  <w:tr w14:paraId="5BE4F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3096561C">
                        <w:pPr>
                          <w:pStyle w:val="17"/>
                          <w:spacing w:before="34"/>
                          <w:ind w:left="2589" w:right="2578"/>
                          <w:rPr>
                            <w:sz w:val="21"/>
                          </w:rPr>
                        </w:pPr>
                        <w:r>
                          <w:rPr>
                            <w:sz w:val="21"/>
                          </w:rPr>
                          <w:t>四、总体要求</w:t>
                        </w:r>
                      </w:p>
                    </w:tc>
                    <w:tc>
                      <w:tcPr>
                        <w:tcW w:w="994" w:type="dxa"/>
                        <w:tcBorders>
                          <w:right w:val="nil"/>
                        </w:tcBorders>
                      </w:tcPr>
                      <w:p w14:paraId="0F1FF99F">
                        <w:pPr>
                          <w:pStyle w:val="17"/>
                          <w:jc w:val="left"/>
                          <w:rPr>
                            <w:rFonts w:ascii="Times New Roman"/>
                            <w:sz w:val="20"/>
                          </w:rPr>
                        </w:pPr>
                      </w:p>
                    </w:tc>
                  </w:tr>
                  <w:tr w14:paraId="5A943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6C14725F">
                        <w:pPr>
                          <w:pStyle w:val="17"/>
                          <w:spacing w:before="12"/>
                          <w:jc w:val="left"/>
                          <w:rPr>
                            <w:b/>
                            <w:sz w:val="25"/>
                          </w:rPr>
                        </w:pPr>
                      </w:p>
                      <w:p w14:paraId="565D309F">
                        <w:pPr>
                          <w:pStyle w:val="17"/>
                          <w:spacing w:line="278" w:lineRule="auto"/>
                          <w:ind w:left="111" w:right="96"/>
                          <w:rPr>
                            <w:sz w:val="21"/>
                          </w:rPr>
                        </w:pPr>
                        <w:r>
                          <w:rPr>
                            <w:spacing w:val="-7"/>
                            <w:w w:val="95"/>
                            <w:sz w:val="21"/>
                          </w:rPr>
                          <w:t xml:space="preserve">涉及废塑料的产生、收集、运输、贮存、利 </w:t>
                        </w:r>
                        <w:r>
                          <w:rPr>
                            <w:spacing w:val="-9"/>
                            <w:w w:val="95"/>
                            <w:sz w:val="21"/>
                          </w:rPr>
                          <w:t xml:space="preserve">用、处置的单位和其他生产经营者，应根据 </w:t>
                        </w:r>
                        <w:r>
                          <w:rPr>
                            <w:spacing w:val="-14"/>
                            <w:w w:val="95"/>
                            <w:sz w:val="21"/>
                          </w:rPr>
                          <w:t xml:space="preserve">产生的污染物采取防扬散、防流失、防渗漏 </w:t>
                        </w:r>
                        <w:r>
                          <w:rPr>
                            <w:spacing w:val="-16"/>
                            <w:w w:val="95"/>
                            <w:sz w:val="21"/>
                          </w:rPr>
                          <w:t>或者其他防止污染环境的措施，并执行国家</w:t>
                        </w:r>
                        <w:r>
                          <w:rPr>
                            <w:spacing w:val="-16"/>
                            <w:sz w:val="21"/>
                          </w:rPr>
                          <w:t>和地方相关排放标准</w:t>
                        </w:r>
                      </w:p>
                    </w:tc>
                    <w:tc>
                      <w:tcPr>
                        <w:tcW w:w="3402" w:type="dxa"/>
                      </w:tcPr>
                      <w:p w14:paraId="4090A3B9">
                        <w:pPr>
                          <w:pStyle w:val="17"/>
                          <w:spacing w:before="20" w:line="278" w:lineRule="auto"/>
                          <w:ind w:left="106" w:right="-15" w:firstLine="52"/>
                          <w:jc w:val="left"/>
                          <w:rPr>
                            <w:sz w:val="21"/>
                          </w:rPr>
                        </w:pPr>
                        <w:r>
                          <w:rPr>
                            <w:spacing w:val="-7"/>
                            <w:sz w:val="21"/>
                          </w:rPr>
                          <w:t xml:space="preserve">本项目属于使用废 </w:t>
                        </w:r>
                        <w:r>
                          <w:rPr>
                            <w:rFonts w:ascii="Times New Roman" w:eastAsia="Times New Roman"/>
                            <w:sz w:val="21"/>
                          </w:rPr>
                          <w:t xml:space="preserve">PE </w:t>
                        </w:r>
                        <w:r>
                          <w:rPr>
                            <w:sz w:val="21"/>
                          </w:rPr>
                          <w:t>塑料改性造</w:t>
                        </w:r>
                        <w:r>
                          <w:rPr>
                            <w:spacing w:val="-6"/>
                            <w:sz w:val="21"/>
                          </w:rPr>
                          <w:t xml:space="preserve">粒后的再生塑料和 </w:t>
                        </w:r>
                        <w:r>
                          <w:rPr>
                            <w:rFonts w:ascii="Times New Roman" w:eastAsia="Times New Roman"/>
                            <w:sz w:val="21"/>
                          </w:rPr>
                          <w:t>PE</w:t>
                        </w:r>
                        <w:r>
                          <w:rPr>
                            <w:rFonts w:ascii="Times New Roman" w:eastAsia="Times New Roman"/>
                            <w:spacing w:val="6"/>
                            <w:sz w:val="21"/>
                          </w:rPr>
                          <w:t xml:space="preserve"> </w:t>
                        </w:r>
                        <w:r>
                          <w:rPr>
                            <w:sz w:val="21"/>
                          </w:rPr>
                          <w:t xml:space="preserve">塑料生产排 </w:t>
                        </w:r>
                        <w:r>
                          <w:rPr>
                            <w:spacing w:val="-8"/>
                            <w:sz w:val="21"/>
                          </w:rPr>
                          <w:t>水板材系列产品，为物理再生过程， 本项目产生的污染物采取防扬散、防流失、防渗漏或者其他防止污染环境的措施，并执行国家和地方相</w:t>
                        </w:r>
                      </w:p>
                      <w:p w14:paraId="7E814E2E">
                        <w:pPr>
                          <w:pStyle w:val="17"/>
                          <w:spacing w:line="268" w:lineRule="exact"/>
                          <w:ind w:left="104" w:right="98"/>
                          <w:rPr>
                            <w:sz w:val="21"/>
                          </w:rPr>
                        </w:pPr>
                        <w:r>
                          <w:rPr>
                            <w:sz w:val="21"/>
                          </w:rPr>
                          <w:t>关排放标准</w:t>
                        </w:r>
                      </w:p>
                    </w:tc>
                    <w:tc>
                      <w:tcPr>
                        <w:tcW w:w="994" w:type="dxa"/>
                        <w:tcBorders>
                          <w:right w:val="nil"/>
                        </w:tcBorders>
                      </w:tcPr>
                      <w:p w14:paraId="1B1ED825">
                        <w:pPr>
                          <w:pStyle w:val="17"/>
                          <w:jc w:val="left"/>
                          <w:rPr>
                            <w:b/>
                            <w:sz w:val="20"/>
                          </w:rPr>
                        </w:pPr>
                      </w:p>
                      <w:p w14:paraId="4296AB55">
                        <w:pPr>
                          <w:pStyle w:val="17"/>
                          <w:jc w:val="left"/>
                          <w:rPr>
                            <w:b/>
                            <w:sz w:val="20"/>
                          </w:rPr>
                        </w:pPr>
                      </w:p>
                      <w:p w14:paraId="025C1240">
                        <w:pPr>
                          <w:pStyle w:val="17"/>
                          <w:jc w:val="left"/>
                          <w:rPr>
                            <w:b/>
                            <w:sz w:val="20"/>
                          </w:rPr>
                        </w:pPr>
                      </w:p>
                      <w:p w14:paraId="1DBCB030">
                        <w:pPr>
                          <w:pStyle w:val="17"/>
                          <w:spacing w:before="8"/>
                          <w:jc w:val="left"/>
                          <w:rPr>
                            <w:b/>
                            <w:sz w:val="14"/>
                          </w:rPr>
                        </w:pPr>
                      </w:p>
                      <w:p w14:paraId="11091BE7">
                        <w:pPr>
                          <w:pStyle w:val="17"/>
                          <w:ind w:left="157" w:right="157"/>
                          <w:rPr>
                            <w:sz w:val="21"/>
                          </w:rPr>
                        </w:pPr>
                        <w:r>
                          <w:rPr>
                            <w:sz w:val="21"/>
                          </w:rPr>
                          <w:t>符合</w:t>
                        </w:r>
                      </w:p>
                    </w:tc>
                  </w:tr>
                  <w:tr w14:paraId="154D2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123" w:type="dxa"/>
                        <w:tcBorders>
                          <w:left w:val="nil"/>
                        </w:tcBorders>
                      </w:tcPr>
                      <w:p w14:paraId="4E33A214">
                        <w:pPr>
                          <w:pStyle w:val="17"/>
                          <w:spacing w:before="20" w:line="278" w:lineRule="auto"/>
                          <w:ind w:left="111" w:right="99" w:hanging="1"/>
                          <w:rPr>
                            <w:rFonts w:ascii="Times New Roman" w:eastAsia="Times New Roman"/>
                            <w:sz w:val="21"/>
                          </w:rPr>
                        </w:pPr>
                        <w:r>
                          <w:rPr>
                            <w:spacing w:val="-9"/>
                            <w:w w:val="95"/>
                            <w:sz w:val="21"/>
                          </w:rPr>
                          <w:t xml:space="preserve">废塑料的产生、收集、贮存、预处理和再生 </w:t>
                        </w:r>
                        <w:r>
                          <w:rPr>
                            <w:spacing w:val="-14"/>
                            <w:w w:val="95"/>
                            <w:sz w:val="21"/>
                          </w:rPr>
                          <w:t>利用企业内应单独划分贮存场地，不同种类</w:t>
                        </w:r>
                        <w:r>
                          <w:rPr>
                            <w:spacing w:val="-14"/>
                            <w:sz w:val="21"/>
                          </w:rPr>
                          <w:t xml:space="preserve">的废塑料宜分开贮存，贮存场地应具有防雨、防扬散、防渗漏等措施，并按 </w:t>
                        </w:r>
                        <w:r>
                          <w:rPr>
                            <w:rFonts w:ascii="Times New Roman" w:eastAsia="Times New Roman"/>
                            <w:sz w:val="21"/>
                          </w:rPr>
                          <w:t>GB</w:t>
                        </w:r>
                      </w:p>
                      <w:p w14:paraId="4B4CBCD3">
                        <w:pPr>
                          <w:pStyle w:val="17"/>
                          <w:spacing w:line="269" w:lineRule="exact"/>
                          <w:ind w:left="108" w:right="96"/>
                          <w:rPr>
                            <w:sz w:val="21"/>
                          </w:rPr>
                        </w:pPr>
                        <w:r>
                          <w:rPr>
                            <w:rFonts w:ascii="Times New Roman" w:eastAsia="Times New Roman"/>
                            <w:sz w:val="21"/>
                          </w:rPr>
                          <w:t xml:space="preserve">15562.2 </w:t>
                        </w:r>
                        <w:r>
                          <w:rPr>
                            <w:sz w:val="21"/>
                          </w:rPr>
                          <w:t>的要求设置标识</w:t>
                        </w:r>
                      </w:p>
                    </w:tc>
                    <w:tc>
                      <w:tcPr>
                        <w:tcW w:w="3402" w:type="dxa"/>
                      </w:tcPr>
                      <w:p w14:paraId="0EED6980">
                        <w:pPr>
                          <w:pStyle w:val="17"/>
                          <w:spacing w:before="20" w:line="278" w:lineRule="auto"/>
                          <w:ind w:left="106" w:right="-15" w:firstLine="19"/>
                          <w:jc w:val="left"/>
                          <w:rPr>
                            <w:sz w:val="21"/>
                          </w:rPr>
                        </w:pPr>
                        <w:r>
                          <w:rPr>
                            <w:sz w:val="21"/>
                          </w:rPr>
                          <w:t>本项目原料区、成品区均单独划分贮存场地，且不同种类的塑料分开</w:t>
                        </w:r>
                        <w:r>
                          <w:rPr>
                            <w:spacing w:val="-9"/>
                            <w:sz w:val="21"/>
                          </w:rPr>
                          <w:t>存放。贮存场地具有防雨、防扬散、</w:t>
                        </w:r>
                        <w:r>
                          <w:rPr>
                            <w:spacing w:val="-17"/>
                            <w:sz w:val="21"/>
                          </w:rPr>
                          <w:t xml:space="preserve">防渗漏等措施，并按 </w:t>
                        </w:r>
                        <w:r>
                          <w:rPr>
                            <w:rFonts w:ascii="Times New Roman" w:eastAsia="Times New Roman"/>
                            <w:sz w:val="21"/>
                          </w:rPr>
                          <w:t>GB</w:t>
                        </w:r>
                        <w:r>
                          <w:rPr>
                            <w:rFonts w:ascii="Times New Roman" w:eastAsia="Times New Roman"/>
                            <w:spacing w:val="-1"/>
                            <w:sz w:val="21"/>
                          </w:rPr>
                          <w:t xml:space="preserve"> </w:t>
                        </w:r>
                        <w:r>
                          <w:rPr>
                            <w:rFonts w:ascii="Times New Roman" w:eastAsia="Times New Roman"/>
                            <w:sz w:val="21"/>
                          </w:rPr>
                          <w:t>15562.2</w:t>
                        </w:r>
                        <w:r>
                          <w:rPr>
                            <w:rFonts w:ascii="Times New Roman" w:eastAsia="Times New Roman"/>
                            <w:spacing w:val="-3"/>
                            <w:sz w:val="21"/>
                          </w:rPr>
                          <w:t xml:space="preserve"> </w:t>
                        </w:r>
                        <w:r>
                          <w:rPr>
                            <w:sz w:val="21"/>
                          </w:rPr>
                          <w:t>的</w:t>
                        </w:r>
                      </w:p>
                      <w:p w14:paraId="2E7550D2">
                        <w:pPr>
                          <w:pStyle w:val="17"/>
                          <w:spacing w:line="269" w:lineRule="exact"/>
                          <w:ind w:left="1071"/>
                          <w:jc w:val="left"/>
                          <w:rPr>
                            <w:sz w:val="21"/>
                          </w:rPr>
                        </w:pPr>
                        <w:r>
                          <w:rPr>
                            <w:sz w:val="21"/>
                          </w:rPr>
                          <w:t>要求设置标识</w:t>
                        </w:r>
                      </w:p>
                    </w:tc>
                    <w:tc>
                      <w:tcPr>
                        <w:tcW w:w="994" w:type="dxa"/>
                        <w:tcBorders>
                          <w:right w:val="nil"/>
                        </w:tcBorders>
                      </w:tcPr>
                      <w:p w14:paraId="7AFDB36D">
                        <w:pPr>
                          <w:pStyle w:val="17"/>
                          <w:jc w:val="left"/>
                          <w:rPr>
                            <w:b/>
                            <w:sz w:val="20"/>
                          </w:rPr>
                        </w:pPr>
                      </w:p>
                      <w:p w14:paraId="7327080E">
                        <w:pPr>
                          <w:pStyle w:val="17"/>
                          <w:jc w:val="left"/>
                          <w:rPr>
                            <w:b/>
                            <w:sz w:val="20"/>
                          </w:rPr>
                        </w:pPr>
                      </w:p>
                      <w:p w14:paraId="1BAF954B">
                        <w:pPr>
                          <w:pStyle w:val="17"/>
                          <w:spacing w:before="131"/>
                          <w:ind w:left="157" w:right="157"/>
                          <w:rPr>
                            <w:sz w:val="21"/>
                          </w:rPr>
                        </w:pPr>
                        <w:r>
                          <w:rPr>
                            <w:sz w:val="21"/>
                          </w:rPr>
                          <w:t>符合</w:t>
                        </w:r>
                      </w:p>
                    </w:tc>
                  </w:tr>
                  <w:tr w14:paraId="4F446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23" w:type="dxa"/>
                        <w:tcBorders>
                          <w:left w:val="nil"/>
                        </w:tcBorders>
                      </w:tcPr>
                      <w:p w14:paraId="65E68604">
                        <w:pPr>
                          <w:pStyle w:val="17"/>
                          <w:spacing w:before="178" w:line="278" w:lineRule="auto"/>
                          <w:ind w:left="1225" w:right="96" w:hanging="1114"/>
                          <w:jc w:val="left"/>
                          <w:rPr>
                            <w:sz w:val="21"/>
                          </w:rPr>
                        </w:pPr>
                        <w:r>
                          <w:rPr>
                            <w:spacing w:val="-6"/>
                            <w:w w:val="95"/>
                            <w:sz w:val="21"/>
                          </w:rPr>
                          <w:t>含卤素废塑料的预处理与再生利用，宜与其</w:t>
                        </w:r>
                        <w:r>
                          <w:rPr>
                            <w:spacing w:val="-6"/>
                            <w:sz w:val="21"/>
                          </w:rPr>
                          <w:t>他废塑料分开进行</w:t>
                        </w:r>
                      </w:p>
                    </w:tc>
                    <w:tc>
                      <w:tcPr>
                        <w:tcW w:w="3402" w:type="dxa"/>
                      </w:tcPr>
                      <w:p w14:paraId="7C9A8F7A">
                        <w:pPr>
                          <w:pStyle w:val="17"/>
                          <w:spacing w:before="22"/>
                          <w:ind w:left="106" w:firstLine="52"/>
                          <w:jc w:val="left"/>
                          <w:rPr>
                            <w:sz w:val="21"/>
                          </w:rPr>
                        </w:pPr>
                        <w:r>
                          <w:rPr>
                            <w:sz w:val="21"/>
                          </w:rPr>
                          <w:t xml:space="preserve">本项目使用废 </w:t>
                        </w:r>
                        <w:r>
                          <w:rPr>
                            <w:rFonts w:ascii="Times New Roman" w:eastAsia="Times New Roman"/>
                            <w:sz w:val="21"/>
                          </w:rPr>
                          <w:t xml:space="preserve">PE </w:t>
                        </w:r>
                        <w:r>
                          <w:rPr>
                            <w:sz w:val="21"/>
                          </w:rPr>
                          <w:t>塑料改性造粒后</w:t>
                        </w:r>
                      </w:p>
                      <w:p w14:paraId="0ECCB993">
                        <w:pPr>
                          <w:pStyle w:val="17"/>
                          <w:spacing w:before="2" w:line="310" w:lineRule="atLeast"/>
                          <w:ind w:left="651" w:right="98" w:hanging="545"/>
                          <w:jc w:val="left"/>
                          <w:rPr>
                            <w:sz w:val="21"/>
                          </w:rPr>
                        </w:pPr>
                        <w:r>
                          <w:rPr>
                            <w:spacing w:val="-9"/>
                            <w:sz w:val="21"/>
                          </w:rPr>
                          <w:t xml:space="preserve">的再生塑料和 </w:t>
                        </w:r>
                        <w:r>
                          <w:rPr>
                            <w:rFonts w:ascii="Times New Roman" w:eastAsia="Times New Roman"/>
                            <w:sz w:val="21"/>
                          </w:rPr>
                          <w:t xml:space="preserve">PE </w:t>
                        </w:r>
                        <w:r>
                          <w:rPr>
                            <w:spacing w:val="-14"/>
                            <w:sz w:val="21"/>
                          </w:rPr>
                          <w:t>塑料为原料，不涉及含卤素废塑料预处理</w:t>
                        </w:r>
                      </w:p>
                    </w:tc>
                    <w:tc>
                      <w:tcPr>
                        <w:tcW w:w="994" w:type="dxa"/>
                        <w:tcBorders>
                          <w:right w:val="nil"/>
                        </w:tcBorders>
                      </w:tcPr>
                      <w:p w14:paraId="08311FA5">
                        <w:pPr>
                          <w:pStyle w:val="17"/>
                          <w:jc w:val="left"/>
                          <w:rPr>
                            <w:b/>
                            <w:sz w:val="26"/>
                          </w:rPr>
                        </w:pPr>
                      </w:p>
                      <w:p w14:paraId="0E3DFB72">
                        <w:pPr>
                          <w:pStyle w:val="17"/>
                          <w:spacing w:before="1"/>
                          <w:ind w:left="157" w:right="157"/>
                          <w:rPr>
                            <w:sz w:val="21"/>
                          </w:rPr>
                        </w:pPr>
                        <w:r>
                          <w:rPr>
                            <w:sz w:val="21"/>
                          </w:rPr>
                          <w:t>符合</w:t>
                        </w:r>
                      </w:p>
                    </w:tc>
                  </w:tr>
                  <w:tr w14:paraId="701F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123" w:type="dxa"/>
                        <w:tcBorders>
                          <w:left w:val="nil"/>
                        </w:tcBorders>
                      </w:tcPr>
                      <w:p w14:paraId="1985F05B">
                        <w:pPr>
                          <w:pStyle w:val="17"/>
                          <w:spacing w:before="21" w:line="278" w:lineRule="auto"/>
                          <w:ind w:left="111" w:right="96"/>
                          <w:jc w:val="both"/>
                          <w:rPr>
                            <w:sz w:val="21"/>
                          </w:rPr>
                        </w:pPr>
                        <w:r>
                          <w:rPr>
                            <w:spacing w:val="-9"/>
                            <w:w w:val="95"/>
                            <w:sz w:val="21"/>
                          </w:rPr>
                          <w:t>废塑料的收集、再生利用和处置企业，应建</w:t>
                        </w:r>
                        <w:r>
                          <w:rPr>
                            <w:spacing w:val="-9"/>
                            <w:sz w:val="21"/>
                          </w:rPr>
                          <w:t>立废塑料管理台账，内容包括废塑料的来</w:t>
                        </w:r>
                        <w:r>
                          <w:rPr>
                            <w:spacing w:val="-10"/>
                            <w:w w:val="95"/>
                            <w:sz w:val="21"/>
                          </w:rPr>
                          <w:t>源、种类、数量、去向等，相关台账应保存</w:t>
                        </w:r>
                      </w:p>
                      <w:p w14:paraId="5551222E">
                        <w:pPr>
                          <w:pStyle w:val="17"/>
                          <w:spacing w:line="269" w:lineRule="exact"/>
                          <w:ind w:left="109" w:right="96"/>
                          <w:rPr>
                            <w:sz w:val="21"/>
                          </w:rPr>
                        </w:pPr>
                        <w:r>
                          <w:rPr>
                            <w:sz w:val="21"/>
                          </w:rPr>
                          <w:t xml:space="preserve">至少 </w:t>
                        </w:r>
                        <w:r>
                          <w:rPr>
                            <w:rFonts w:ascii="Times New Roman" w:eastAsia="Times New Roman"/>
                            <w:sz w:val="21"/>
                          </w:rPr>
                          <w:t xml:space="preserve">3 </w:t>
                        </w:r>
                        <w:r>
                          <w:rPr>
                            <w:sz w:val="21"/>
                          </w:rPr>
                          <w:t>年</w:t>
                        </w:r>
                      </w:p>
                    </w:tc>
                    <w:tc>
                      <w:tcPr>
                        <w:tcW w:w="3402" w:type="dxa"/>
                      </w:tcPr>
                      <w:p w14:paraId="020E6FEA">
                        <w:pPr>
                          <w:pStyle w:val="17"/>
                          <w:spacing w:before="21" w:line="278" w:lineRule="auto"/>
                          <w:ind w:left="126" w:right="114"/>
                          <w:jc w:val="both"/>
                          <w:rPr>
                            <w:sz w:val="21"/>
                          </w:rPr>
                        </w:pPr>
                        <w:r>
                          <w:rPr>
                            <w:w w:val="95"/>
                            <w:sz w:val="21"/>
                          </w:rPr>
                          <w:t>本评价要求建设单位投产后需建立塑料管理台账，内容包括废塑料的来源、种类、数量、去向等，相关</w:t>
                        </w:r>
                      </w:p>
                      <w:p w14:paraId="5D19DEC4">
                        <w:pPr>
                          <w:pStyle w:val="17"/>
                          <w:spacing w:line="269" w:lineRule="exact"/>
                          <w:ind w:left="754"/>
                          <w:jc w:val="left"/>
                          <w:rPr>
                            <w:sz w:val="21"/>
                          </w:rPr>
                        </w:pPr>
                        <w:r>
                          <w:rPr>
                            <w:sz w:val="21"/>
                          </w:rPr>
                          <w:t xml:space="preserve">台账应保存至少 </w:t>
                        </w:r>
                        <w:r>
                          <w:rPr>
                            <w:rFonts w:ascii="Times New Roman" w:eastAsia="Times New Roman"/>
                            <w:sz w:val="21"/>
                          </w:rPr>
                          <w:t xml:space="preserve">3 </w:t>
                        </w:r>
                        <w:r>
                          <w:rPr>
                            <w:sz w:val="21"/>
                          </w:rPr>
                          <w:t>年</w:t>
                        </w:r>
                      </w:p>
                    </w:tc>
                    <w:tc>
                      <w:tcPr>
                        <w:tcW w:w="994" w:type="dxa"/>
                        <w:tcBorders>
                          <w:right w:val="nil"/>
                        </w:tcBorders>
                      </w:tcPr>
                      <w:p w14:paraId="5114A1B1">
                        <w:pPr>
                          <w:pStyle w:val="17"/>
                          <w:jc w:val="left"/>
                          <w:rPr>
                            <w:b/>
                            <w:sz w:val="20"/>
                          </w:rPr>
                        </w:pPr>
                      </w:p>
                      <w:p w14:paraId="037652FA">
                        <w:pPr>
                          <w:pStyle w:val="17"/>
                          <w:spacing w:before="2"/>
                          <w:jc w:val="left"/>
                          <w:rPr>
                            <w:b/>
                            <w:sz w:val="18"/>
                          </w:rPr>
                        </w:pPr>
                      </w:p>
                      <w:p w14:paraId="0F7441BD">
                        <w:pPr>
                          <w:pStyle w:val="17"/>
                          <w:ind w:left="157" w:right="157"/>
                          <w:rPr>
                            <w:sz w:val="21"/>
                          </w:rPr>
                        </w:pPr>
                        <w:r>
                          <w:rPr>
                            <w:sz w:val="21"/>
                          </w:rPr>
                          <w:t>符合</w:t>
                        </w:r>
                      </w:p>
                    </w:tc>
                  </w:tr>
                  <w:tr w14:paraId="01552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4773DC7E">
                        <w:pPr>
                          <w:pStyle w:val="17"/>
                          <w:spacing w:before="35"/>
                          <w:ind w:left="2506"/>
                          <w:jc w:val="left"/>
                          <w:rPr>
                            <w:sz w:val="21"/>
                          </w:rPr>
                        </w:pPr>
                        <w:r>
                          <w:rPr>
                            <w:sz w:val="21"/>
                          </w:rPr>
                          <w:t>五、产生环节污染控制要求</w:t>
                        </w:r>
                      </w:p>
                    </w:tc>
                    <w:tc>
                      <w:tcPr>
                        <w:tcW w:w="994" w:type="dxa"/>
                        <w:tcBorders>
                          <w:right w:val="nil"/>
                        </w:tcBorders>
                      </w:tcPr>
                      <w:p w14:paraId="56DED07E">
                        <w:pPr>
                          <w:pStyle w:val="17"/>
                          <w:jc w:val="left"/>
                          <w:rPr>
                            <w:rFonts w:ascii="Times New Roman"/>
                            <w:sz w:val="20"/>
                          </w:rPr>
                        </w:pPr>
                      </w:p>
                    </w:tc>
                  </w:tr>
                  <w:tr w14:paraId="3BF8E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123" w:type="dxa"/>
                        <w:tcBorders>
                          <w:left w:val="nil"/>
                        </w:tcBorders>
                      </w:tcPr>
                      <w:p w14:paraId="6A1EEB56">
                        <w:pPr>
                          <w:pStyle w:val="17"/>
                          <w:spacing w:before="21" w:line="278" w:lineRule="auto"/>
                          <w:ind w:left="111" w:right="15" w:firstLine="64"/>
                          <w:jc w:val="left"/>
                          <w:rPr>
                            <w:sz w:val="21"/>
                          </w:rPr>
                        </w:pPr>
                        <w:r>
                          <w:rPr>
                            <w:sz w:val="21"/>
                          </w:rPr>
                          <w:t>废塑料产生企业应根据材质特性以及再生</w:t>
                        </w:r>
                        <w:r>
                          <w:rPr>
                            <w:spacing w:val="-8"/>
                            <w:sz w:val="21"/>
                          </w:rPr>
                          <w:t>利用和处置方式，对下脚料、边角料、残次</w:t>
                        </w:r>
                        <w:r>
                          <w:rPr>
                            <w:spacing w:val="-10"/>
                            <w:sz w:val="21"/>
                          </w:rPr>
                          <w:t>品、废弃塑料制品、废弃塑料包装物等进行</w:t>
                        </w:r>
                        <w:r>
                          <w:rPr>
                            <w:spacing w:val="-10"/>
                            <w:w w:val="95"/>
                            <w:sz w:val="21"/>
                          </w:rPr>
                          <w:t xml:space="preserve">分类收集、贮存，并建立废塑料管理台账， </w:t>
                        </w:r>
                        <w:r>
                          <w:rPr>
                            <w:spacing w:val="-14"/>
                            <w:sz w:val="21"/>
                          </w:rPr>
                          <w:t>内容包括废塑料的种类、数量、去向等，相</w:t>
                        </w:r>
                      </w:p>
                      <w:p w14:paraId="74032F1D">
                        <w:pPr>
                          <w:pStyle w:val="17"/>
                          <w:spacing w:line="268" w:lineRule="exact"/>
                          <w:ind w:left="1016"/>
                          <w:jc w:val="left"/>
                          <w:rPr>
                            <w:sz w:val="21"/>
                          </w:rPr>
                        </w:pPr>
                        <w:r>
                          <w:rPr>
                            <w:sz w:val="21"/>
                          </w:rPr>
                          <w:t xml:space="preserve">关台账应保存至少 </w:t>
                        </w:r>
                        <w:r>
                          <w:rPr>
                            <w:rFonts w:ascii="Times New Roman" w:eastAsia="Times New Roman"/>
                            <w:sz w:val="21"/>
                          </w:rPr>
                          <w:t xml:space="preserve">3 </w:t>
                        </w:r>
                        <w:r>
                          <w:rPr>
                            <w:sz w:val="21"/>
                          </w:rPr>
                          <w:t>年</w:t>
                        </w:r>
                      </w:p>
                    </w:tc>
                    <w:tc>
                      <w:tcPr>
                        <w:tcW w:w="3402" w:type="dxa"/>
                      </w:tcPr>
                      <w:p w14:paraId="76F2E730">
                        <w:pPr>
                          <w:pStyle w:val="17"/>
                          <w:spacing w:before="177" w:line="278" w:lineRule="auto"/>
                          <w:ind w:left="106" w:right="-15" w:hanging="104"/>
                          <w:rPr>
                            <w:sz w:val="21"/>
                          </w:rPr>
                        </w:pPr>
                        <w:r>
                          <w:rPr>
                            <w:sz w:val="21"/>
                          </w:rPr>
                          <w:t xml:space="preserve">本项目需对边角料、残次品等进行 分类收集、边角料外售，不合格品 破碎回用，并建立管理台账，内容 </w:t>
                        </w:r>
                        <w:r>
                          <w:rPr>
                            <w:spacing w:val="-7"/>
                            <w:w w:val="95"/>
                            <w:sz w:val="21"/>
                          </w:rPr>
                          <w:t xml:space="preserve">包括废塑料的种类、数量、去向等， </w:t>
                        </w:r>
                        <w:r>
                          <w:rPr>
                            <w:spacing w:val="-12"/>
                            <w:sz w:val="21"/>
                          </w:rPr>
                          <w:t xml:space="preserve">相关台账应保存至少 </w:t>
                        </w:r>
                        <w:r>
                          <w:rPr>
                            <w:rFonts w:ascii="Times New Roman" w:eastAsia="Times New Roman"/>
                            <w:sz w:val="21"/>
                          </w:rPr>
                          <w:t xml:space="preserve">3 </w:t>
                        </w:r>
                        <w:r>
                          <w:rPr>
                            <w:sz w:val="21"/>
                          </w:rPr>
                          <w:t>年</w:t>
                        </w:r>
                      </w:p>
                    </w:tc>
                    <w:tc>
                      <w:tcPr>
                        <w:tcW w:w="994" w:type="dxa"/>
                        <w:tcBorders>
                          <w:right w:val="nil"/>
                        </w:tcBorders>
                      </w:tcPr>
                      <w:p w14:paraId="61DC4ED6">
                        <w:pPr>
                          <w:pStyle w:val="17"/>
                          <w:jc w:val="left"/>
                          <w:rPr>
                            <w:b/>
                            <w:sz w:val="20"/>
                          </w:rPr>
                        </w:pPr>
                      </w:p>
                      <w:p w14:paraId="4274F757">
                        <w:pPr>
                          <w:pStyle w:val="17"/>
                          <w:jc w:val="left"/>
                          <w:rPr>
                            <w:b/>
                            <w:sz w:val="20"/>
                          </w:rPr>
                        </w:pPr>
                      </w:p>
                      <w:p w14:paraId="7EC4EB06">
                        <w:pPr>
                          <w:pStyle w:val="17"/>
                          <w:spacing w:before="7"/>
                          <w:jc w:val="left"/>
                          <w:rPr>
                            <w:b/>
                            <w:sz w:val="22"/>
                          </w:rPr>
                        </w:pPr>
                      </w:p>
                      <w:p w14:paraId="393AE271">
                        <w:pPr>
                          <w:pStyle w:val="17"/>
                          <w:ind w:left="157" w:right="157"/>
                          <w:rPr>
                            <w:sz w:val="21"/>
                          </w:rPr>
                        </w:pPr>
                        <w:r>
                          <w:rPr>
                            <w:sz w:val="21"/>
                          </w:rPr>
                          <w:t>符合</w:t>
                        </w:r>
                      </w:p>
                    </w:tc>
                  </w:tr>
                  <w:tr w14:paraId="5EBA4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21BABE2F">
                        <w:pPr>
                          <w:pStyle w:val="17"/>
                          <w:spacing w:before="35"/>
                          <w:ind w:left="2401"/>
                          <w:jc w:val="left"/>
                          <w:rPr>
                            <w:sz w:val="21"/>
                          </w:rPr>
                        </w:pPr>
                        <w:r>
                          <w:rPr>
                            <w:sz w:val="21"/>
                          </w:rPr>
                          <w:t>六、收集和运输污染控制要求</w:t>
                        </w:r>
                      </w:p>
                    </w:tc>
                    <w:tc>
                      <w:tcPr>
                        <w:tcW w:w="994" w:type="dxa"/>
                        <w:tcBorders>
                          <w:right w:val="nil"/>
                        </w:tcBorders>
                      </w:tcPr>
                      <w:p w14:paraId="0A5CD944">
                        <w:pPr>
                          <w:pStyle w:val="17"/>
                          <w:jc w:val="left"/>
                          <w:rPr>
                            <w:rFonts w:ascii="Times New Roman"/>
                            <w:sz w:val="20"/>
                          </w:rPr>
                        </w:pPr>
                      </w:p>
                    </w:tc>
                  </w:tr>
                  <w:tr w14:paraId="2FF5B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123" w:type="dxa"/>
                        <w:tcBorders>
                          <w:left w:val="nil"/>
                        </w:tcBorders>
                      </w:tcPr>
                      <w:p w14:paraId="6E423AC5">
                        <w:pPr>
                          <w:pStyle w:val="17"/>
                          <w:spacing w:before="21"/>
                          <w:ind w:left="200"/>
                          <w:jc w:val="left"/>
                          <w:rPr>
                            <w:rFonts w:ascii="Times New Roman" w:eastAsia="Times New Roman"/>
                            <w:sz w:val="21"/>
                          </w:rPr>
                        </w:pPr>
                        <w:r>
                          <w:rPr>
                            <w:sz w:val="21"/>
                          </w:rPr>
                          <w:t xml:space="preserve">收集要求：废塑料收集企业应参照 </w:t>
                        </w:r>
                        <w:r>
                          <w:rPr>
                            <w:rFonts w:ascii="Times New Roman" w:eastAsia="Times New Roman"/>
                            <w:sz w:val="21"/>
                          </w:rPr>
                          <w:t>GB/T</w:t>
                        </w:r>
                      </w:p>
                      <w:p w14:paraId="1C812796">
                        <w:pPr>
                          <w:pStyle w:val="17"/>
                          <w:spacing w:before="43" w:line="268" w:lineRule="exact"/>
                          <w:ind w:left="123"/>
                          <w:jc w:val="left"/>
                          <w:rPr>
                            <w:sz w:val="21"/>
                          </w:rPr>
                        </w:pPr>
                        <w:r>
                          <w:rPr>
                            <w:rFonts w:ascii="Times New Roman" w:eastAsia="Times New Roman"/>
                            <w:sz w:val="21"/>
                          </w:rPr>
                          <w:t>37547</w:t>
                        </w:r>
                        <w:r>
                          <w:rPr>
                            <w:sz w:val="21"/>
                          </w:rPr>
                          <w:t>，根据废塑料来源、特性及使用过程</w:t>
                        </w:r>
                      </w:p>
                    </w:tc>
                    <w:tc>
                      <w:tcPr>
                        <w:tcW w:w="3402" w:type="dxa"/>
                      </w:tcPr>
                      <w:p w14:paraId="2F6A5E2A">
                        <w:pPr>
                          <w:pStyle w:val="17"/>
                          <w:spacing w:before="21"/>
                          <w:ind w:left="104" w:right="98"/>
                          <w:rPr>
                            <w:sz w:val="21"/>
                          </w:rPr>
                        </w:pPr>
                        <w:r>
                          <w:rPr>
                            <w:sz w:val="21"/>
                          </w:rPr>
                          <w:t>本项目不涉及废塑料收集，仅使用</w:t>
                        </w:r>
                      </w:p>
                      <w:p w14:paraId="60AB48B1">
                        <w:pPr>
                          <w:pStyle w:val="17"/>
                          <w:spacing w:before="43" w:line="268" w:lineRule="exact"/>
                          <w:ind w:left="104" w:right="98"/>
                          <w:rPr>
                            <w:sz w:val="21"/>
                          </w:rPr>
                        </w:pPr>
                        <w:r>
                          <w:rPr>
                            <w:sz w:val="21"/>
                          </w:rPr>
                          <w:t xml:space="preserve">处理成型的废 </w:t>
                        </w:r>
                        <w:r>
                          <w:rPr>
                            <w:rFonts w:ascii="Times New Roman" w:eastAsia="Times New Roman"/>
                            <w:sz w:val="21"/>
                          </w:rPr>
                          <w:t xml:space="preserve">PE </w:t>
                        </w:r>
                        <w:r>
                          <w:rPr>
                            <w:sz w:val="21"/>
                          </w:rPr>
                          <w:t>塑料作为原料</w:t>
                        </w:r>
                      </w:p>
                    </w:tc>
                    <w:tc>
                      <w:tcPr>
                        <w:tcW w:w="994" w:type="dxa"/>
                        <w:tcBorders>
                          <w:right w:val="nil"/>
                        </w:tcBorders>
                      </w:tcPr>
                      <w:p w14:paraId="38C2FA4C">
                        <w:pPr>
                          <w:pStyle w:val="17"/>
                          <w:spacing w:before="177"/>
                          <w:ind w:left="157" w:right="157"/>
                          <w:rPr>
                            <w:sz w:val="21"/>
                          </w:rPr>
                        </w:pPr>
                        <w:r>
                          <w:rPr>
                            <w:sz w:val="21"/>
                          </w:rPr>
                          <w:t>符合</w:t>
                        </w:r>
                      </w:p>
                    </w:tc>
                  </w:tr>
                </w:tbl>
                <w:p w14:paraId="2FCC29CD">
                  <w:pPr>
                    <w:pStyle w:val="10"/>
                  </w:pPr>
                </w:p>
              </w:txbxContent>
            </v:textbox>
          </v:shape>
        </w:pict>
      </w:r>
      <w:r>
        <w:t>（</w:t>
      </w:r>
      <w:r>
        <w:rPr>
          <w:rFonts w:ascii="Times New Roman" w:eastAsia="Times New Roman"/>
        </w:rPr>
        <w:t>5</w:t>
      </w:r>
      <w:r>
        <w:t>）与《废塑料污染控制技术规范》（</w:t>
      </w:r>
      <w:r>
        <w:rPr>
          <w:rFonts w:ascii="Times New Roman" w:eastAsia="Times New Roman"/>
        </w:rPr>
        <w:t>HJ364-2022</w:t>
      </w:r>
      <w:r>
        <w:t xml:space="preserve">）符合性分析表 </w:t>
      </w:r>
      <w:r>
        <w:rPr>
          <w:rFonts w:ascii="Times New Roman" w:eastAsia="Times New Roman"/>
        </w:rPr>
        <w:t xml:space="preserve">3 </w:t>
      </w:r>
      <w:r>
        <w:t>与《废塑料污染控制技术规范》相关要求相符性分析</w:t>
      </w:r>
    </w:p>
    <w:p w14:paraId="22DC3F62">
      <w:pPr>
        <w:spacing w:after="0" w:line="364" w:lineRule="auto"/>
        <w:sectPr>
          <w:pgSz w:w="11910" w:h="16840"/>
          <w:pgMar w:top="1420" w:right="1440" w:bottom="122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366D9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23" w:type="dxa"/>
            <w:tcBorders>
              <w:left w:val="nil"/>
            </w:tcBorders>
          </w:tcPr>
          <w:p w14:paraId="4268A1EA">
            <w:pPr>
              <w:pStyle w:val="17"/>
              <w:spacing w:before="21"/>
              <w:ind w:left="25" w:right="15"/>
              <w:rPr>
                <w:sz w:val="21"/>
              </w:rPr>
            </w:pPr>
            <w:r>
              <w:rPr>
                <w:sz w:val="21"/>
              </w:rPr>
              <w:t>对废塑料进行分类收集。废塑料收集过程中</w:t>
            </w:r>
          </w:p>
          <w:p w14:paraId="73E0CC0C">
            <w:pPr>
              <w:pStyle w:val="17"/>
              <w:spacing w:before="43"/>
              <w:ind w:left="106" w:right="96"/>
              <w:rPr>
                <w:sz w:val="21"/>
              </w:rPr>
            </w:pPr>
            <w:r>
              <w:rPr>
                <w:sz w:val="21"/>
              </w:rPr>
              <w:t>应避免扬散，不得随意倾倒残液及清洗</w:t>
            </w:r>
          </w:p>
        </w:tc>
        <w:tc>
          <w:tcPr>
            <w:tcW w:w="3402" w:type="dxa"/>
          </w:tcPr>
          <w:p w14:paraId="6691E79E">
            <w:pPr>
              <w:pStyle w:val="17"/>
              <w:jc w:val="left"/>
              <w:rPr>
                <w:rFonts w:ascii="Times New Roman"/>
                <w:sz w:val="20"/>
              </w:rPr>
            </w:pPr>
          </w:p>
        </w:tc>
        <w:tc>
          <w:tcPr>
            <w:tcW w:w="994" w:type="dxa"/>
            <w:tcBorders>
              <w:right w:val="nil"/>
            </w:tcBorders>
          </w:tcPr>
          <w:p w14:paraId="73A2866C">
            <w:pPr>
              <w:pStyle w:val="17"/>
              <w:jc w:val="left"/>
              <w:rPr>
                <w:rFonts w:ascii="Times New Roman"/>
                <w:sz w:val="20"/>
              </w:rPr>
            </w:pPr>
          </w:p>
        </w:tc>
      </w:tr>
      <w:tr w14:paraId="146B8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123" w:type="dxa"/>
            <w:tcBorders>
              <w:left w:val="nil"/>
            </w:tcBorders>
          </w:tcPr>
          <w:p w14:paraId="100E8D44">
            <w:pPr>
              <w:pStyle w:val="17"/>
              <w:spacing w:before="21" w:line="278" w:lineRule="auto"/>
              <w:ind w:left="111" w:right="96"/>
              <w:jc w:val="both"/>
              <w:rPr>
                <w:sz w:val="21"/>
              </w:rPr>
            </w:pPr>
            <w:r>
              <w:rPr>
                <w:spacing w:val="-10"/>
                <w:w w:val="95"/>
                <w:sz w:val="21"/>
              </w:rPr>
              <w:t xml:space="preserve">运输要求：废塑料及其预处理产物的装卸及 </w:t>
            </w:r>
            <w:r>
              <w:rPr>
                <w:spacing w:val="-12"/>
                <w:w w:val="95"/>
                <w:sz w:val="21"/>
              </w:rPr>
              <w:t>运输过程中，应采取必要的防扬散、防渗漏 措施，应保持运输车辆的洁净，避免二次污</w:t>
            </w:r>
          </w:p>
          <w:p w14:paraId="60E71154">
            <w:pPr>
              <w:pStyle w:val="17"/>
              <w:spacing w:line="269" w:lineRule="exact"/>
              <w:ind w:left="10"/>
              <w:rPr>
                <w:sz w:val="21"/>
              </w:rPr>
            </w:pPr>
            <w:r>
              <w:rPr>
                <w:w w:val="99"/>
                <w:sz w:val="21"/>
              </w:rPr>
              <w:t>染</w:t>
            </w:r>
          </w:p>
        </w:tc>
        <w:tc>
          <w:tcPr>
            <w:tcW w:w="3402" w:type="dxa"/>
          </w:tcPr>
          <w:p w14:paraId="10D4CCF3">
            <w:pPr>
              <w:pStyle w:val="17"/>
              <w:spacing w:before="21" w:line="278" w:lineRule="auto"/>
              <w:ind w:left="106" w:right="-15" w:firstLine="19"/>
              <w:jc w:val="left"/>
              <w:rPr>
                <w:sz w:val="21"/>
              </w:rPr>
            </w:pPr>
            <w:r>
              <w:rPr>
                <w:sz w:val="21"/>
              </w:rPr>
              <w:t>本项目原辅材料装卸及运输过程中</w:t>
            </w:r>
            <w:r>
              <w:rPr>
                <w:spacing w:val="-7"/>
                <w:sz w:val="21"/>
              </w:rPr>
              <w:t>应采取必要的防扬散、防渗漏措施， 应保持运输车辆的洁净，避免二次</w:t>
            </w:r>
          </w:p>
          <w:p w14:paraId="0206547E">
            <w:pPr>
              <w:pStyle w:val="17"/>
              <w:spacing w:line="269" w:lineRule="exact"/>
              <w:ind w:left="104" w:right="95"/>
              <w:rPr>
                <w:sz w:val="21"/>
              </w:rPr>
            </w:pPr>
            <w:r>
              <w:rPr>
                <w:sz w:val="21"/>
              </w:rPr>
              <w:t>污染</w:t>
            </w:r>
          </w:p>
        </w:tc>
        <w:tc>
          <w:tcPr>
            <w:tcW w:w="994" w:type="dxa"/>
            <w:tcBorders>
              <w:right w:val="nil"/>
            </w:tcBorders>
          </w:tcPr>
          <w:p w14:paraId="739D1C80">
            <w:pPr>
              <w:pStyle w:val="17"/>
              <w:jc w:val="left"/>
              <w:rPr>
                <w:b/>
                <w:sz w:val="20"/>
              </w:rPr>
            </w:pPr>
          </w:p>
          <w:p w14:paraId="35A00E88">
            <w:pPr>
              <w:pStyle w:val="17"/>
              <w:spacing w:before="1"/>
              <w:jc w:val="left"/>
              <w:rPr>
                <w:b/>
                <w:sz w:val="18"/>
              </w:rPr>
            </w:pPr>
          </w:p>
          <w:p w14:paraId="5910160B">
            <w:pPr>
              <w:pStyle w:val="17"/>
              <w:spacing w:before="1"/>
              <w:ind w:right="283"/>
              <w:jc w:val="right"/>
              <w:rPr>
                <w:sz w:val="21"/>
              </w:rPr>
            </w:pPr>
            <w:r>
              <w:rPr>
                <w:w w:val="95"/>
                <w:sz w:val="21"/>
              </w:rPr>
              <w:t>符合</w:t>
            </w:r>
          </w:p>
        </w:tc>
      </w:tr>
      <w:tr w14:paraId="16E5C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59DC50D3">
            <w:pPr>
              <w:pStyle w:val="17"/>
              <w:spacing w:before="34"/>
              <w:ind w:left="2592" w:right="2578"/>
              <w:rPr>
                <w:sz w:val="21"/>
              </w:rPr>
            </w:pPr>
            <w:r>
              <w:rPr>
                <w:sz w:val="21"/>
              </w:rPr>
              <w:t>七、预处理污染控制要求</w:t>
            </w:r>
          </w:p>
        </w:tc>
        <w:tc>
          <w:tcPr>
            <w:tcW w:w="994" w:type="dxa"/>
            <w:tcBorders>
              <w:right w:val="nil"/>
            </w:tcBorders>
          </w:tcPr>
          <w:p w14:paraId="416EC031">
            <w:pPr>
              <w:pStyle w:val="17"/>
              <w:jc w:val="left"/>
              <w:rPr>
                <w:rFonts w:ascii="Times New Roman"/>
                <w:sz w:val="20"/>
              </w:rPr>
            </w:pPr>
          </w:p>
        </w:tc>
      </w:tr>
      <w:tr w14:paraId="532D3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4123" w:type="dxa"/>
            <w:tcBorders>
              <w:left w:val="nil"/>
            </w:tcBorders>
          </w:tcPr>
          <w:p w14:paraId="18D6C63E">
            <w:pPr>
              <w:pStyle w:val="17"/>
              <w:spacing w:before="20" w:line="278" w:lineRule="auto"/>
              <w:ind w:left="111" w:right="15"/>
              <w:jc w:val="left"/>
              <w:rPr>
                <w:rFonts w:ascii="Times New Roman" w:eastAsia="Times New Roman"/>
                <w:sz w:val="21"/>
              </w:rPr>
            </w:pPr>
            <w:r>
              <w:rPr>
                <w:w w:val="95"/>
                <w:sz w:val="21"/>
              </w:rPr>
              <w:t xml:space="preserve">一般性要求：应根据废塑料的来源、特性、 污染情况以及后续再生利用或处置的要求， </w:t>
            </w:r>
            <w:r>
              <w:rPr>
                <w:spacing w:val="-8"/>
                <w:sz w:val="21"/>
              </w:rPr>
              <w:t>选择合理的预处理方式。废塑料的预处理应</w:t>
            </w:r>
            <w:r>
              <w:rPr>
                <w:spacing w:val="-11"/>
                <w:sz w:val="21"/>
              </w:rPr>
              <w:t xml:space="preserve">控制二次污染。大气污染物排放应符合 </w:t>
            </w:r>
            <w:r>
              <w:rPr>
                <w:rFonts w:ascii="Times New Roman" w:eastAsia="Times New Roman"/>
                <w:sz w:val="21"/>
              </w:rPr>
              <w:t>GB</w:t>
            </w:r>
          </w:p>
          <w:p w14:paraId="29BDB36C">
            <w:pPr>
              <w:pStyle w:val="17"/>
              <w:spacing w:line="269" w:lineRule="exact"/>
              <w:ind w:left="147"/>
              <w:jc w:val="left"/>
              <w:rPr>
                <w:sz w:val="21"/>
              </w:rPr>
            </w:pPr>
            <w:r>
              <w:rPr>
                <w:rFonts w:ascii="Times New Roman" w:eastAsia="Times New Roman"/>
                <w:sz w:val="21"/>
              </w:rPr>
              <w:t xml:space="preserve">31572 </w:t>
            </w:r>
            <w:r>
              <w:rPr>
                <w:sz w:val="21"/>
              </w:rPr>
              <w:t xml:space="preserve">或 </w:t>
            </w:r>
            <w:r>
              <w:rPr>
                <w:rFonts w:ascii="Times New Roman" w:eastAsia="Times New Roman"/>
                <w:sz w:val="21"/>
              </w:rPr>
              <w:t>GB 16297</w:t>
            </w:r>
            <w:r>
              <w:rPr>
                <w:sz w:val="21"/>
              </w:rPr>
              <w:t>、</w:t>
            </w:r>
            <w:r>
              <w:rPr>
                <w:rFonts w:ascii="Times New Roman" w:eastAsia="Times New Roman"/>
                <w:sz w:val="21"/>
              </w:rPr>
              <w:t xml:space="preserve">GB 37822 </w:t>
            </w:r>
            <w:r>
              <w:rPr>
                <w:sz w:val="21"/>
              </w:rPr>
              <w:t>等标准的</w:t>
            </w:r>
          </w:p>
          <w:p w14:paraId="0BCB2A7A">
            <w:pPr>
              <w:pStyle w:val="17"/>
              <w:spacing w:before="43" w:line="278" w:lineRule="auto"/>
              <w:ind w:left="111" w:right="-15" w:firstLine="100"/>
              <w:jc w:val="left"/>
              <w:rPr>
                <w:sz w:val="21"/>
              </w:rPr>
            </w:pPr>
            <w:r>
              <w:rPr>
                <w:sz w:val="21"/>
              </w:rPr>
              <w:t xml:space="preserve">规定。恶臭污染物排放应符合 </w:t>
            </w:r>
            <w:r>
              <w:rPr>
                <w:rFonts w:ascii="Times New Roman" w:eastAsia="Times New Roman"/>
                <w:sz w:val="21"/>
              </w:rPr>
              <w:t>GB</w:t>
            </w:r>
            <w:r>
              <w:rPr>
                <w:rFonts w:ascii="Times New Roman" w:eastAsia="Times New Roman"/>
                <w:spacing w:val="3"/>
                <w:sz w:val="21"/>
              </w:rPr>
              <w:t xml:space="preserve"> </w:t>
            </w:r>
            <w:r>
              <w:rPr>
                <w:rFonts w:ascii="Times New Roman" w:eastAsia="Times New Roman"/>
                <w:sz w:val="21"/>
              </w:rPr>
              <w:t xml:space="preserve">14554 </w:t>
            </w:r>
            <w:r>
              <w:rPr>
                <w:spacing w:val="-10"/>
                <w:sz w:val="21"/>
              </w:rPr>
              <w:t>的规定。废水控制应根据出水受纳水体的功</w:t>
            </w:r>
            <w:r>
              <w:rPr>
                <w:spacing w:val="-13"/>
                <w:sz w:val="21"/>
              </w:rPr>
              <w:t xml:space="preserve">能要求或纳管要求，执行国家和地方相关排放标准，重点控制的污染物指标包括悬浮 </w:t>
            </w:r>
            <w:r>
              <w:rPr>
                <w:spacing w:val="-29"/>
                <w:sz w:val="21"/>
              </w:rPr>
              <w:t>物、</w:t>
            </w:r>
            <w:r>
              <w:rPr>
                <w:rFonts w:ascii="Times New Roman" w:eastAsia="Times New Roman"/>
                <w:sz w:val="21"/>
              </w:rPr>
              <w:t>pH</w:t>
            </w:r>
            <w:r>
              <w:rPr>
                <w:rFonts w:ascii="Times New Roman" w:eastAsia="Times New Roman"/>
                <w:spacing w:val="41"/>
                <w:sz w:val="21"/>
              </w:rPr>
              <w:t xml:space="preserve"> </w:t>
            </w:r>
            <w:r>
              <w:rPr>
                <w:spacing w:val="-10"/>
                <w:sz w:val="21"/>
              </w:rPr>
              <w:t>值、色度、石油类和化学需氧量等。</w:t>
            </w:r>
          </w:p>
          <w:p w14:paraId="01DF7D22">
            <w:pPr>
              <w:pStyle w:val="17"/>
              <w:spacing w:line="269" w:lineRule="exact"/>
              <w:ind w:left="108" w:right="96"/>
              <w:rPr>
                <w:sz w:val="21"/>
              </w:rPr>
            </w:pPr>
            <w:r>
              <w:rPr>
                <w:sz w:val="21"/>
              </w:rPr>
              <w:t xml:space="preserve">噪声排放应符合 </w:t>
            </w:r>
            <w:r>
              <w:rPr>
                <w:rFonts w:ascii="Times New Roman" w:eastAsia="Times New Roman"/>
                <w:sz w:val="21"/>
              </w:rPr>
              <w:t xml:space="preserve">GB 12348 </w:t>
            </w:r>
            <w:r>
              <w:rPr>
                <w:sz w:val="21"/>
              </w:rPr>
              <w:t>的规定</w:t>
            </w:r>
          </w:p>
        </w:tc>
        <w:tc>
          <w:tcPr>
            <w:tcW w:w="3402" w:type="dxa"/>
          </w:tcPr>
          <w:p w14:paraId="1DC33802">
            <w:pPr>
              <w:pStyle w:val="17"/>
              <w:spacing w:before="177" w:line="278" w:lineRule="auto"/>
              <w:ind w:left="106" w:right="-15" w:firstLine="52"/>
              <w:jc w:val="left"/>
              <w:rPr>
                <w:rFonts w:ascii="Times New Roman" w:eastAsia="Times New Roman"/>
                <w:sz w:val="21"/>
              </w:rPr>
            </w:pPr>
            <w:r>
              <w:rPr>
                <w:spacing w:val="-5"/>
                <w:sz w:val="21"/>
              </w:rPr>
              <w:t xml:space="preserve">本项目使用处理成型的废 </w:t>
            </w:r>
            <w:r>
              <w:rPr>
                <w:rFonts w:ascii="Times New Roman" w:eastAsia="Times New Roman"/>
                <w:sz w:val="21"/>
              </w:rPr>
              <w:t>PE</w:t>
            </w:r>
            <w:r>
              <w:rPr>
                <w:rFonts w:ascii="Times New Roman" w:eastAsia="Times New Roman"/>
                <w:spacing w:val="-1"/>
                <w:sz w:val="21"/>
              </w:rPr>
              <w:t xml:space="preserve"> </w:t>
            </w:r>
            <w:r>
              <w:rPr>
                <w:sz w:val="21"/>
              </w:rPr>
              <w:t>塑料作为原料，不涉及废旧塑料分选、</w:t>
            </w:r>
            <w:r>
              <w:rPr>
                <w:spacing w:val="-9"/>
                <w:sz w:val="21"/>
              </w:rPr>
              <w:t>清洗、干燥等废旧塑料预处理加工， 涉及废塑料挤出造粒预处理；大气</w:t>
            </w:r>
            <w:r>
              <w:rPr>
                <w:spacing w:val="-8"/>
                <w:sz w:val="21"/>
              </w:rPr>
              <w:t xml:space="preserve">污染物排放符合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31572</w:t>
            </w:r>
            <w:r>
              <w:rPr>
                <w:rFonts w:ascii="Times New Roman" w:eastAsia="Times New Roman"/>
                <w:spacing w:val="50"/>
                <w:sz w:val="21"/>
              </w:rPr>
              <w:t xml:space="preserve"> </w:t>
            </w:r>
            <w:r>
              <w:rPr>
                <w:spacing w:val="-2"/>
                <w:sz w:val="21"/>
              </w:rPr>
              <w:t xml:space="preserve">或 </w:t>
            </w:r>
            <w:r>
              <w:rPr>
                <w:rFonts w:ascii="Times New Roman" w:eastAsia="Times New Roman"/>
                <w:sz w:val="21"/>
              </w:rPr>
              <w:t>GB</w:t>
            </w:r>
          </w:p>
          <w:p w14:paraId="27A93DDB">
            <w:pPr>
              <w:pStyle w:val="17"/>
              <w:spacing w:line="278" w:lineRule="auto"/>
              <w:ind w:left="106" w:right="-15" w:firstLine="4"/>
              <w:jc w:val="left"/>
              <w:rPr>
                <w:rFonts w:ascii="Times New Roman" w:eastAsia="Times New Roman"/>
                <w:sz w:val="21"/>
              </w:rPr>
            </w:pPr>
            <w:r>
              <w:rPr>
                <w:rFonts w:ascii="Times New Roman" w:eastAsia="Times New Roman"/>
                <w:sz w:val="21"/>
              </w:rPr>
              <w:t>16297</w:t>
            </w:r>
            <w:r>
              <w:rPr>
                <w:sz w:val="21"/>
              </w:rPr>
              <w:t>、</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37822</w:t>
            </w:r>
            <w:r>
              <w:rPr>
                <w:rFonts w:ascii="Times New Roman" w:eastAsia="Times New Roman"/>
                <w:spacing w:val="48"/>
                <w:sz w:val="21"/>
              </w:rPr>
              <w:t xml:space="preserve"> </w:t>
            </w:r>
            <w:r>
              <w:rPr>
                <w:sz w:val="21"/>
              </w:rPr>
              <w:t xml:space="preserve">等标准的规定， </w:t>
            </w:r>
            <w:r>
              <w:rPr>
                <w:spacing w:val="-1"/>
                <w:sz w:val="21"/>
              </w:rPr>
              <w:t xml:space="preserve">恶臭污染物排放符合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14554</w:t>
            </w:r>
            <w:r>
              <w:rPr>
                <w:rFonts w:ascii="Times New Roman" w:eastAsia="Times New Roman"/>
                <w:spacing w:val="50"/>
                <w:sz w:val="21"/>
              </w:rPr>
              <w:t xml:space="preserve"> </w:t>
            </w:r>
            <w:r>
              <w:rPr>
                <w:sz w:val="21"/>
              </w:rPr>
              <w:t>的</w:t>
            </w:r>
            <w:r>
              <w:rPr>
                <w:spacing w:val="-9"/>
                <w:sz w:val="21"/>
              </w:rPr>
              <w:t xml:space="preserve">规定。本项目循环冷却水循环使用， </w:t>
            </w:r>
            <w:r>
              <w:rPr>
                <w:spacing w:val="-13"/>
                <w:sz w:val="21"/>
              </w:rPr>
              <w:t xml:space="preserve">不外排。噪声排放符合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12348</w:t>
            </w:r>
          </w:p>
          <w:p w14:paraId="27AD02E9">
            <w:pPr>
              <w:pStyle w:val="17"/>
              <w:spacing w:line="269" w:lineRule="exact"/>
              <w:ind w:left="104" w:right="95"/>
              <w:rPr>
                <w:sz w:val="21"/>
              </w:rPr>
            </w:pPr>
            <w:r>
              <w:rPr>
                <w:sz w:val="21"/>
              </w:rPr>
              <w:t>的规定。</w:t>
            </w:r>
          </w:p>
        </w:tc>
        <w:tc>
          <w:tcPr>
            <w:tcW w:w="994" w:type="dxa"/>
            <w:tcBorders>
              <w:right w:val="nil"/>
            </w:tcBorders>
          </w:tcPr>
          <w:p w14:paraId="5A12160B">
            <w:pPr>
              <w:pStyle w:val="17"/>
              <w:jc w:val="left"/>
              <w:rPr>
                <w:b/>
                <w:sz w:val="20"/>
              </w:rPr>
            </w:pPr>
          </w:p>
          <w:p w14:paraId="5A0BABA5">
            <w:pPr>
              <w:pStyle w:val="17"/>
              <w:jc w:val="left"/>
              <w:rPr>
                <w:b/>
                <w:sz w:val="20"/>
              </w:rPr>
            </w:pPr>
          </w:p>
          <w:p w14:paraId="4FA2E19E">
            <w:pPr>
              <w:pStyle w:val="17"/>
              <w:jc w:val="left"/>
              <w:rPr>
                <w:b/>
                <w:sz w:val="20"/>
              </w:rPr>
            </w:pPr>
          </w:p>
          <w:p w14:paraId="706A4D36">
            <w:pPr>
              <w:pStyle w:val="17"/>
              <w:jc w:val="left"/>
              <w:rPr>
                <w:b/>
                <w:sz w:val="20"/>
              </w:rPr>
            </w:pPr>
          </w:p>
          <w:p w14:paraId="72205E0B">
            <w:pPr>
              <w:pStyle w:val="17"/>
              <w:jc w:val="left"/>
              <w:rPr>
                <w:b/>
                <w:sz w:val="20"/>
              </w:rPr>
            </w:pPr>
          </w:p>
          <w:p w14:paraId="6909612E">
            <w:pPr>
              <w:pStyle w:val="17"/>
              <w:spacing w:before="4"/>
              <w:jc w:val="left"/>
              <w:rPr>
                <w:b/>
                <w:sz w:val="23"/>
              </w:rPr>
            </w:pPr>
          </w:p>
          <w:p w14:paraId="114CF44F">
            <w:pPr>
              <w:pStyle w:val="17"/>
              <w:spacing w:before="1"/>
              <w:ind w:right="283"/>
              <w:jc w:val="right"/>
              <w:rPr>
                <w:sz w:val="21"/>
              </w:rPr>
            </w:pPr>
            <w:r>
              <w:rPr>
                <w:w w:val="95"/>
                <w:sz w:val="21"/>
              </w:rPr>
              <w:t>符合</w:t>
            </w:r>
          </w:p>
        </w:tc>
      </w:tr>
      <w:tr w14:paraId="7D879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45F7C42B">
            <w:pPr>
              <w:pStyle w:val="17"/>
              <w:spacing w:before="20" w:line="278" w:lineRule="auto"/>
              <w:ind w:left="111" w:right="-15"/>
              <w:jc w:val="left"/>
              <w:rPr>
                <w:sz w:val="21"/>
              </w:rPr>
            </w:pPr>
            <w:r>
              <w:rPr>
                <w:spacing w:val="-10"/>
                <w:sz w:val="21"/>
              </w:rPr>
              <w:t xml:space="preserve">分选要求：应采用预分选工艺，将废塑料与其他废物分开，提高下游自动化分选的效 </w:t>
            </w:r>
            <w:r>
              <w:rPr>
                <w:spacing w:val="-11"/>
                <w:sz w:val="21"/>
              </w:rPr>
              <w:t>率。废塑料分选应遵循稳定、二次污染可控</w:t>
            </w:r>
            <w:r>
              <w:rPr>
                <w:spacing w:val="-16"/>
                <w:sz w:val="21"/>
              </w:rPr>
              <w:t>的原则，根据废塑料特性，宜采用气流分选、静电分选、</w:t>
            </w:r>
            <w:r>
              <w:rPr>
                <w:rFonts w:ascii="Times New Roman" w:eastAsia="Times New Roman"/>
                <w:spacing w:val="-16"/>
                <w:sz w:val="21"/>
              </w:rPr>
              <w:t>X</w:t>
            </w:r>
            <w:r>
              <w:rPr>
                <w:rFonts w:ascii="Times New Roman" w:eastAsia="Times New Roman"/>
                <w:spacing w:val="-5"/>
                <w:sz w:val="21"/>
              </w:rPr>
              <w:t xml:space="preserve"> </w:t>
            </w:r>
            <w:r>
              <w:rPr>
                <w:sz w:val="21"/>
              </w:rPr>
              <w:t>射线荧光分选、近红外分选、</w:t>
            </w:r>
            <w:r>
              <w:rPr>
                <w:spacing w:val="-9"/>
                <w:sz w:val="21"/>
              </w:rPr>
              <w:t>熔融过滤分选、低温破碎分选及其他新型的</w:t>
            </w:r>
          </w:p>
          <w:p w14:paraId="1AA19EA0">
            <w:pPr>
              <w:pStyle w:val="17"/>
              <w:spacing w:line="268" w:lineRule="exact"/>
              <w:ind w:left="385"/>
              <w:jc w:val="left"/>
              <w:rPr>
                <w:sz w:val="21"/>
              </w:rPr>
            </w:pPr>
            <w:r>
              <w:rPr>
                <w:sz w:val="21"/>
              </w:rPr>
              <w:t>自动化分选等单一或集成化分选技术</w:t>
            </w:r>
          </w:p>
        </w:tc>
        <w:tc>
          <w:tcPr>
            <w:tcW w:w="3402" w:type="dxa"/>
          </w:tcPr>
          <w:p w14:paraId="02B87C00">
            <w:pPr>
              <w:pStyle w:val="17"/>
              <w:jc w:val="left"/>
              <w:rPr>
                <w:b/>
                <w:sz w:val="20"/>
              </w:rPr>
            </w:pPr>
          </w:p>
          <w:p w14:paraId="49F6A768">
            <w:pPr>
              <w:pStyle w:val="17"/>
              <w:spacing w:before="1"/>
              <w:jc w:val="left"/>
              <w:rPr>
                <w:b/>
                <w:sz w:val="18"/>
              </w:rPr>
            </w:pPr>
          </w:p>
          <w:p w14:paraId="40AA2075">
            <w:pPr>
              <w:pStyle w:val="17"/>
              <w:spacing w:line="278" w:lineRule="auto"/>
              <w:ind w:left="126" w:right="114" w:hanging="3"/>
              <w:rPr>
                <w:sz w:val="21"/>
              </w:rPr>
            </w:pPr>
            <w:r>
              <w:rPr>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r>
              <w:rPr>
                <w:sz w:val="21"/>
              </w:rPr>
              <w:t>料预处理加工</w:t>
            </w:r>
          </w:p>
        </w:tc>
        <w:tc>
          <w:tcPr>
            <w:tcW w:w="994" w:type="dxa"/>
            <w:tcBorders>
              <w:right w:val="nil"/>
            </w:tcBorders>
          </w:tcPr>
          <w:p w14:paraId="71B2E37B">
            <w:pPr>
              <w:pStyle w:val="17"/>
              <w:jc w:val="left"/>
              <w:rPr>
                <w:b/>
                <w:sz w:val="20"/>
              </w:rPr>
            </w:pPr>
          </w:p>
          <w:p w14:paraId="398C684C">
            <w:pPr>
              <w:pStyle w:val="17"/>
              <w:jc w:val="left"/>
              <w:rPr>
                <w:b/>
                <w:sz w:val="20"/>
              </w:rPr>
            </w:pPr>
          </w:p>
          <w:p w14:paraId="50E18F86">
            <w:pPr>
              <w:pStyle w:val="17"/>
              <w:jc w:val="left"/>
              <w:rPr>
                <w:b/>
                <w:sz w:val="20"/>
              </w:rPr>
            </w:pPr>
          </w:p>
          <w:p w14:paraId="76E88AE3">
            <w:pPr>
              <w:pStyle w:val="17"/>
              <w:spacing w:before="8"/>
              <w:jc w:val="left"/>
              <w:rPr>
                <w:b/>
                <w:sz w:val="14"/>
              </w:rPr>
            </w:pPr>
          </w:p>
          <w:p w14:paraId="3E1DFF6F">
            <w:pPr>
              <w:pStyle w:val="17"/>
              <w:ind w:right="283"/>
              <w:jc w:val="right"/>
              <w:rPr>
                <w:sz w:val="21"/>
              </w:rPr>
            </w:pPr>
            <w:r>
              <w:rPr>
                <w:w w:val="95"/>
                <w:sz w:val="21"/>
              </w:rPr>
              <w:t>符合</w:t>
            </w:r>
          </w:p>
        </w:tc>
      </w:tr>
      <w:tr w14:paraId="73E6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123" w:type="dxa"/>
            <w:tcBorders>
              <w:left w:val="nil"/>
            </w:tcBorders>
          </w:tcPr>
          <w:p w14:paraId="1AFB07E6">
            <w:pPr>
              <w:pStyle w:val="17"/>
              <w:spacing w:before="11"/>
              <w:jc w:val="left"/>
              <w:rPr>
                <w:b/>
                <w:sz w:val="25"/>
              </w:rPr>
            </w:pPr>
          </w:p>
          <w:p w14:paraId="5EE6EABF">
            <w:pPr>
              <w:pStyle w:val="17"/>
              <w:spacing w:line="278" w:lineRule="auto"/>
              <w:ind w:left="111" w:right="15" w:hanging="85"/>
              <w:rPr>
                <w:sz w:val="21"/>
              </w:rPr>
            </w:pPr>
            <w:r>
              <w:rPr>
                <w:spacing w:val="-10"/>
                <w:sz w:val="21"/>
              </w:rPr>
              <w:t>破碎要求：废塑料的破碎方法可分为干法破</w:t>
            </w:r>
            <w:r>
              <w:rPr>
                <w:spacing w:val="-13"/>
                <w:sz w:val="21"/>
              </w:rPr>
              <w:t>碎和湿法破碎。使用干法破碎时，应配备相</w:t>
            </w:r>
            <w:r>
              <w:rPr>
                <w:spacing w:val="-13"/>
                <w:w w:val="95"/>
                <w:sz w:val="21"/>
              </w:rPr>
              <w:t xml:space="preserve">应的防尘、防噪声设备。使用湿法破碎时， </w:t>
            </w:r>
            <w:r>
              <w:rPr>
                <w:spacing w:val="-13"/>
                <w:sz w:val="21"/>
              </w:rPr>
              <w:t>应有配套的污水收集和处理设施</w:t>
            </w:r>
          </w:p>
        </w:tc>
        <w:tc>
          <w:tcPr>
            <w:tcW w:w="3402" w:type="dxa"/>
          </w:tcPr>
          <w:p w14:paraId="4BF4D2E9">
            <w:pPr>
              <w:pStyle w:val="17"/>
              <w:spacing w:before="20" w:line="278" w:lineRule="auto"/>
              <w:ind w:left="126" w:right="114"/>
              <w:rPr>
                <w:sz w:val="21"/>
              </w:rPr>
            </w:pPr>
            <w:r>
              <w:rPr>
                <w:w w:val="95"/>
                <w:sz w:val="21"/>
              </w:rPr>
              <w:t>本项目生产过程中产生的边角料、不合格品采用破碎机破碎后回用， 本项目破碎粉尘、混料投料粉尘采用全密闭集气罩收集后经布袋除尘</w:t>
            </w:r>
            <w:r>
              <w:rPr>
                <w:sz w:val="21"/>
              </w:rPr>
              <w:t xml:space="preserve">器处理后经 </w:t>
            </w:r>
            <w:r>
              <w:rPr>
                <w:rFonts w:ascii="Times New Roman" w:eastAsia="Times New Roman"/>
                <w:sz w:val="21"/>
              </w:rPr>
              <w:t xml:space="preserve">15m </w:t>
            </w:r>
            <w:r>
              <w:rPr>
                <w:sz w:val="21"/>
              </w:rPr>
              <w:t>高排气筒排放</w:t>
            </w:r>
          </w:p>
          <w:p w14:paraId="61D645CC">
            <w:pPr>
              <w:pStyle w:val="17"/>
              <w:spacing w:line="269" w:lineRule="exact"/>
              <w:ind w:left="104" w:right="98"/>
              <w:rPr>
                <w:sz w:val="21"/>
              </w:rPr>
            </w:pPr>
            <w:r>
              <w:rPr>
                <w:sz w:val="21"/>
              </w:rPr>
              <w:t>（</w:t>
            </w:r>
            <w:r>
              <w:rPr>
                <w:rFonts w:ascii="Times New Roman" w:eastAsia="Times New Roman"/>
                <w:sz w:val="21"/>
              </w:rPr>
              <w:t>DA001</w:t>
            </w:r>
            <w:r>
              <w:rPr>
                <w:sz w:val="21"/>
              </w:rPr>
              <w:t>）。</w:t>
            </w:r>
          </w:p>
        </w:tc>
        <w:tc>
          <w:tcPr>
            <w:tcW w:w="994" w:type="dxa"/>
            <w:tcBorders>
              <w:right w:val="nil"/>
            </w:tcBorders>
          </w:tcPr>
          <w:p w14:paraId="6CE97BE3">
            <w:pPr>
              <w:pStyle w:val="17"/>
              <w:jc w:val="left"/>
              <w:rPr>
                <w:b/>
                <w:sz w:val="20"/>
              </w:rPr>
            </w:pPr>
          </w:p>
          <w:p w14:paraId="089F9A24">
            <w:pPr>
              <w:pStyle w:val="17"/>
              <w:jc w:val="left"/>
              <w:rPr>
                <w:b/>
                <w:sz w:val="20"/>
              </w:rPr>
            </w:pPr>
          </w:p>
          <w:p w14:paraId="3DD6C9FD">
            <w:pPr>
              <w:pStyle w:val="17"/>
              <w:spacing w:before="5"/>
              <w:jc w:val="left"/>
              <w:rPr>
                <w:b/>
                <w:sz w:val="22"/>
              </w:rPr>
            </w:pPr>
          </w:p>
          <w:p w14:paraId="46D33263">
            <w:pPr>
              <w:pStyle w:val="17"/>
              <w:ind w:right="283"/>
              <w:jc w:val="right"/>
              <w:rPr>
                <w:sz w:val="21"/>
              </w:rPr>
            </w:pPr>
            <w:r>
              <w:rPr>
                <w:w w:val="95"/>
                <w:sz w:val="21"/>
              </w:rPr>
              <w:t>符合</w:t>
            </w:r>
          </w:p>
        </w:tc>
      </w:tr>
      <w:tr w14:paraId="1B1EE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123" w:type="dxa"/>
            <w:tcBorders>
              <w:left w:val="nil"/>
            </w:tcBorders>
          </w:tcPr>
          <w:p w14:paraId="4F3D9BEA">
            <w:pPr>
              <w:pStyle w:val="17"/>
              <w:spacing w:before="22" w:line="278" w:lineRule="auto"/>
              <w:ind w:left="111" w:right="15"/>
              <w:jc w:val="left"/>
              <w:rPr>
                <w:sz w:val="21"/>
              </w:rPr>
            </w:pPr>
            <w:r>
              <w:rPr>
                <w:w w:val="95"/>
                <w:sz w:val="21"/>
              </w:rPr>
              <w:t xml:space="preserve">清洗要求：宜采用节水的自动化清洗技术， </w:t>
            </w:r>
            <w:r>
              <w:rPr>
                <w:spacing w:val="-5"/>
                <w:sz w:val="21"/>
              </w:rPr>
              <w:t>宜采用无磷清洗剂或其他绿色清洗剂，不得</w:t>
            </w:r>
            <w:r>
              <w:rPr>
                <w:spacing w:val="-11"/>
                <w:sz w:val="21"/>
              </w:rPr>
              <w:t>使用有毒有害的清洗剂。应根据清洗废水中</w:t>
            </w:r>
            <w:r>
              <w:rPr>
                <w:spacing w:val="-14"/>
                <w:sz w:val="21"/>
              </w:rPr>
              <w:t>污染物的种类和浓度，配备相应的废水收集</w:t>
            </w:r>
          </w:p>
          <w:p w14:paraId="0B839507">
            <w:pPr>
              <w:pStyle w:val="17"/>
              <w:spacing w:line="269" w:lineRule="exact"/>
              <w:ind w:left="176"/>
              <w:jc w:val="left"/>
              <w:rPr>
                <w:sz w:val="21"/>
              </w:rPr>
            </w:pPr>
            <w:r>
              <w:rPr>
                <w:sz w:val="21"/>
              </w:rPr>
              <w:t>和处理设施，清洗废水处理后宜循环使用</w:t>
            </w:r>
          </w:p>
        </w:tc>
        <w:tc>
          <w:tcPr>
            <w:tcW w:w="3402" w:type="dxa"/>
          </w:tcPr>
          <w:p w14:paraId="4A8B145F">
            <w:pPr>
              <w:pStyle w:val="17"/>
              <w:spacing w:before="178" w:line="278" w:lineRule="auto"/>
              <w:ind w:left="126" w:right="114" w:hanging="3"/>
              <w:rPr>
                <w:sz w:val="21"/>
              </w:rPr>
            </w:pPr>
            <w:r>
              <w:rPr>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r>
              <w:rPr>
                <w:sz w:val="21"/>
              </w:rPr>
              <w:t>料预处理加工</w:t>
            </w:r>
          </w:p>
        </w:tc>
        <w:tc>
          <w:tcPr>
            <w:tcW w:w="994" w:type="dxa"/>
            <w:tcBorders>
              <w:right w:val="nil"/>
            </w:tcBorders>
          </w:tcPr>
          <w:p w14:paraId="66126E01">
            <w:pPr>
              <w:pStyle w:val="17"/>
              <w:jc w:val="left"/>
              <w:rPr>
                <w:b/>
                <w:sz w:val="20"/>
              </w:rPr>
            </w:pPr>
          </w:p>
          <w:p w14:paraId="78A9A3AA">
            <w:pPr>
              <w:pStyle w:val="17"/>
              <w:jc w:val="left"/>
              <w:rPr>
                <w:b/>
                <w:sz w:val="20"/>
              </w:rPr>
            </w:pPr>
          </w:p>
          <w:p w14:paraId="4F285A80">
            <w:pPr>
              <w:pStyle w:val="17"/>
              <w:spacing w:before="133"/>
              <w:ind w:right="283"/>
              <w:jc w:val="right"/>
              <w:rPr>
                <w:sz w:val="21"/>
              </w:rPr>
            </w:pPr>
            <w:r>
              <w:rPr>
                <w:w w:val="95"/>
                <w:sz w:val="21"/>
              </w:rPr>
              <w:t>符合</w:t>
            </w:r>
          </w:p>
        </w:tc>
      </w:tr>
      <w:tr w14:paraId="077DF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123" w:type="dxa"/>
            <w:tcBorders>
              <w:left w:val="nil"/>
            </w:tcBorders>
          </w:tcPr>
          <w:p w14:paraId="6E418879">
            <w:pPr>
              <w:pStyle w:val="17"/>
              <w:spacing w:before="177" w:line="278" w:lineRule="auto"/>
              <w:ind w:left="111" w:right="96"/>
              <w:rPr>
                <w:sz w:val="21"/>
              </w:rPr>
            </w:pPr>
            <w:r>
              <w:rPr>
                <w:spacing w:val="-9"/>
                <w:w w:val="95"/>
                <w:sz w:val="21"/>
              </w:rPr>
              <w:t xml:space="preserve">干燥要求：宜选择闭路循环式干燥设备。干 </w:t>
            </w:r>
            <w:r>
              <w:rPr>
                <w:spacing w:val="-14"/>
                <w:w w:val="95"/>
                <w:sz w:val="21"/>
              </w:rPr>
              <w:t>燥环节应配备废气收集和处理设施，防止二</w:t>
            </w:r>
            <w:r>
              <w:rPr>
                <w:spacing w:val="-14"/>
                <w:sz w:val="21"/>
              </w:rPr>
              <w:t>次污染</w:t>
            </w:r>
          </w:p>
        </w:tc>
        <w:tc>
          <w:tcPr>
            <w:tcW w:w="3402" w:type="dxa"/>
          </w:tcPr>
          <w:p w14:paraId="2190E9B1">
            <w:pPr>
              <w:pStyle w:val="17"/>
              <w:spacing w:before="21" w:line="278" w:lineRule="auto"/>
              <w:ind w:left="126" w:right="114" w:firstLine="33"/>
              <w:jc w:val="both"/>
              <w:rPr>
                <w:sz w:val="21"/>
              </w:rPr>
            </w:pPr>
            <w:r>
              <w:rPr>
                <w:spacing w:val="-5"/>
                <w:sz w:val="21"/>
              </w:rPr>
              <w:t xml:space="preserve">本项目使用处理成型的废 </w:t>
            </w:r>
            <w:r>
              <w:rPr>
                <w:rFonts w:ascii="Times New Roman" w:eastAsia="Times New Roman"/>
                <w:sz w:val="21"/>
              </w:rPr>
              <w:t xml:space="preserve">PE </w:t>
            </w:r>
            <w:r>
              <w:rPr>
                <w:sz w:val="21"/>
              </w:rPr>
              <w:t>塑料</w:t>
            </w:r>
            <w:r>
              <w:rPr>
                <w:w w:val="95"/>
                <w:sz w:val="21"/>
              </w:rPr>
              <w:t>作为原料进行改性造粒，不涉及废旧塑料分选、清洗、干燥等废旧塑</w:t>
            </w:r>
          </w:p>
          <w:p w14:paraId="32A206BB">
            <w:pPr>
              <w:pStyle w:val="17"/>
              <w:spacing w:line="269" w:lineRule="exact"/>
              <w:ind w:left="1071"/>
              <w:jc w:val="left"/>
              <w:rPr>
                <w:sz w:val="21"/>
              </w:rPr>
            </w:pPr>
            <w:r>
              <w:rPr>
                <w:sz w:val="21"/>
              </w:rPr>
              <w:t>料预处理加工</w:t>
            </w:r>
          </w:p>
        </w:tc>
        <w:tc>
          <w:tcPr>
            <w:tcW w:w="994" w:type="dxa"/>
            <w:tcBorders>
              <w:right w:val="nil"/>
            </w:tcBorders>
          </w:tcPr>
          <w:p w14:paraId="42B1AA1B">
            <w:pPr>
              <w:pStyle w:val="17"/>
              <w:jc w:val="left"/>
              <w:rPr>
                <w:b/>
                <w:sz w:val="20"/>
              </w:rPr>
            </w:pPr>
          </w:p>
          <w:p w14:paraId="20F0ED13">
            <w:pPr>
              <w:pStyle w:val="17"/>
              <w:spacing w:before="2"/>
              <w:jc w:val="left"/>
              <w:rPr>
                <w:b/>
                <w:sz w:val="18"/>
              </w:rPr>
            </w:pPr>
          </w:p>
          <w:p w14:paraId="59E89F41">
            <w:pPr>
              <w:pStyle w:val="17"/>
              <w:ind w:right="283"/>
              <w:jc w:val="right"/>
              <w:rPr>
                <w:sz w:val="21"/>
              </w:rPr>
            </w:pPr>
            <w:r>
              <w:rPr>
                <w:w w:val="95"/>
                <w:sz w:val="21"/>
              </w:rPr>
              <w:t>符合</w:t>
            </w:r>
          </w:p>
        </w:tc>
      </w:tr>
      <w:tr w14:paraId="4A752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E865B25">
            <w:pPr>
              <w:pStyle w:val="17"/>
              <w:spacing w:before="35"/>
              <w:ind w:left="2192"/>
              <w:jc w:val="left"/>
              <w:rPr>
                <w:sz w:val="21"/>
              </w:rPr>
            </w:pPr>
            <w:r>
              <w:rPr>
                <w:sz w:val="21"/>
              </w:rPr>
              <w:t>八、再生利用和处置污染控制要求</w:t>
            </w:r>
          </w:p>
        </w:tc>
        <w:tc>
          <w:tcPr>
            <w:tcW w:w="994" w:type="dxa"/>
            <w:tcBorders>
              <w:right w:val="nil"/>
            </w:tcBorders>
          </w:tcPr>
          <w:p w14:paraId="0B45ED0C">
            <w:pPr>
              <w:pStyle w:val="17"/>
              <w:jc w:val="left"/>
              <w:rPr>
                <w:rFonts w:ascii="Times New Roman"/>
                <w:sz w:val="20"/>
              </w:rPr>
            </w:pPr>
          </w:p>
        </w:tc>
      </w:tr>
      <w:tr w14:paraId="2351F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4123" w:type="dxa"/>
            <w:tcBorders>
              <w:left w:val="nil"/>
            </w:tcBorders>
          </w:tcPr>
          <w:p w14:paraId="6167A21C">
            <w:pPr>
              <w:pStyle w:val="17"/>
              <w:spacing w:before="21" w:line="278" w:lineRule="auto"/>
              <w:ind w:left="111" w:right="96"/>
              <w:jc w:val="left"/>
              <w:rPr>
                <w:sz w:val="21"/>
              </w:rPr>
            </w:pPr>
            <w:r>
              <w:rPr>
                <w:spacing w:val="-9"/>
                <w:w w:val="95"/>
                <w:sz w:val="21"/>
              </w:rPr>
              <w:t xml:space="preserve">一般要求：应根据废塑料材质特性、混杂程 </w:t>
            </w:r>
            <w:r>
              <w:rPr>
                <w:spacing w:val="-11"/>
                <w:w w:val="95"/>
                <w:sz w:val="21"/>
              </w:rPr>
              <w:t>度、洁净度、当地环境和产业情况，选择适</w:t>
            </w:r>
          </w:p>
          <w:p w14:paraId="6CD35D6E">
            <w:pPr>
              <w:pStyle w:val="17"/>
              <w:spacing w:line="268" w:lineRule="exact"/>
              <w:ind w:left="111"/>
              <w:jc w:val="left"/>
              <w:rPr>
                <w:sz w:val="21"/>
              </w:rPr>
            </w:pPr>
            <w:r>
              <w:rPr>
                <w:w w:val="95"/>
                <w:sz w:val="21"/>
              </w:rPr>
              <w:t>当的利用处置工艺。应在符合《产业结构调</w:t>
            </w:r>
          </w:p>
        </w:tc>
        <w:tc>
          <w:tcPr>
            <w:tcW w:w="3402" w:type="dxa"/>
          </w:tcPr>
          <w:p w14:paraId="126130B8">
            <w:pPr>
              <w:pStyle w:val="17"/>
              <w:spacing w:before="21" w:line="278" w:lineRule="auto"/>
              <w:ind w:left="106" w:right="134"/>
              <w:jc w:val="left"/>
              <w:rPr>
                <w:sz w:val="21"/>
              </w:rPr>
            </w:pPr>
            <w:r>
              <w:rPr>
                <w:w w:val="95"/>
                <w:sz w:val="21"/>
              </w:rPr>
              <w:t>本项目位于湖南省汨罗市高新技术产业开发区新市片区，属废塑料加</w:t>
            </w:r>
          </w:p>
          <w:p w14:paraId="230D3428">
            <w:pPr>
              <w:pStyle w:val="17"/>
              <w:spacing w:line="268" w:lineRule="exact"/>
              <w:ind w:left="106"/>
              <w:jc w:val="left"/>
              <w:rPr>
                <w:sz w:val="21"/>
              </w:rPr>
            </w:pPr>
            <w:r>
              <w:rPr>
                <w:w w:val="95"/>
                <w:sz w:val="21"/>
              </w:rPr>
              <w:t>工利用集散地。项目循环冷却水经</w:t>
            </w:r>
          </w:p>
        </w:tc>
        <w:tc>
          <w:tcPr>
            <w:tcW w:w="994" w:type="dxa"/>
            <w:tcBorders>
              <w:right w:val="nil"/>
            </w:tcBorders>
          </w:tcPr>
          <w:p w14:paraId="70C1B5A8">
            <w:pPr>
              <w:pStyle w:val="17"/>
              <w:jc w:val="left"/>
              <w:rPr>
                <w:b/>
                <w:sz w:val="26"/>
              </w:rPr>
            </w:pPr>
          </w:p>
          <w:p w14:paraId="059D9250">
            <w:pPr>
              <w:pStyle w:val="17"/>
              <w:ind w:left="108"/>
              <w:jc w:val="left"/>
              <w:rPr>
                <w:sz w:val="21"/>
              </w:rPr>
            </w:pPr>
            <w:r>
              <w:rPr>
                <w:sz w:val="21"/>
              </w:rPr>
              <w:t>符合</w:t>
            </w:r>
          </w:p>
        </w:tc>
      </w:tr>
    </w:tbl>
    <w:p w14:paraId="21CCA571">
      <w:pPr>
        <w:spacing w:after="0"/>
        <w:jc w:val="left"/>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4ABFB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6" w:hRule="atLeast"/>
        </w:trPr>
        <w:tc>
          <w:tcPr>
            <w:tcW w:w="4123" w:type="dxa"/>
            <w:tcBorders>
              <w:left w:val="nil"/>
            </w:tcBorders>
          </w:tcPr>
          <w:p w14:paraId="4D16DB3E">
            <w:pPr>
              <w:pStyle w:val="17"/>
              <w:spacing w:before="21" w:line="278" w:lineRule="auto"/>
              <w:ind w:left="111" w:right="95"/>
              <w:jc w:val="both"/>
              <w:rPr>
                <w:rFonts w:ascii="Times New Roman" w:eastAsia="Times New Roman"/>
                <w:sz w:val="21"/>
              </w:rPr>
            </w:pPr>
            <w:r>
              <w:rPr>
                <w:spacing w:val="-10"/>
                <w:w w:val="95"/>
                <w:sz w:val="21"/>
              </w:rPr>
              <w:t xml:space="preserve">整指导目录》的前提下，综合考虑所在区域 </w:t>
            </w:r>
            <w:r>
              <w:rPr>
                <w:spacing w:val="-13"/>
                <w:w w:val="95"/>
                <w:sz w:val="21"/>
              </w:rPr>
              <w:t xml:space="preserve">废塑料产生情况、社会经济发展水平、产业 布局及规划、再生利用产品市场需求、再生 </w:t>
            </w:r>
            <w:r>
              <w:rPr>
                <w:spacing w:val="-16"/>
                <w:w w:val="95"/>
                <w:sz w:val="21"/>
              </w:rPr>
              <w:t xml:space="preserve">利用技术污染防治水平等因素，合理确定再 </w:t>
            </w:r>
            <w:r>
              <w:rPr>
                <w:spacing w:val="-18"/>
                <w:w w:val="95"/>
                <w:sz w:val="21"/>
              </w:rPr>
              <w:t>生利用设施的生产规模与技术路线。应根据</w:t>
            </w:r>
            <w:r>
              <w:rPr>
                <w:spacing w:val="-18"/>
                <w:sz w:val="21"/>
              </w:rPr>
              <w:t>废塑料再生利用过程产生的废水中污染物</w:t>
            </w:r>
            <w:r>
              <w:rPr>
                <w:spacing w:val="-14"/>
                <w:w w:val="95"/>
                <w:sz w:val="21"/>
              </w:rPr>
              <w:t xml:space="preserve">种类和浓度，配备相应的废水收集和处理设 </w:t>
            </w:r>
            <w:r>
              <w:rPr>
                <w:spacing w:val="-10"/>
                <w:w w:val="95"/>
                <w:sz w:val="21"/>
              </w:rPr>
              <w:t>施，处理后的废水宜进行循环使用，排放的</w:t>
            </w:r>
            <w:r>
              <w:rPr>
                <w:spacing w:val="-10"/>
                <w:sz w:val="21"/>
              </w:rPr>
              <w:t>废水应根据出水受纳水体功能要求或纳管</w:t>
            </w:r>
            <w:r>
              <w:rPr>
                <w:spacing w:val="-10"/>
                <w:w w:val="95"/>
                <w:sz w:val="21"/>
              </w:rPr>
              <w:t>要求，执行国家和地方相关排放标准，重点</w:t>
            </w:r>
            <w:r>
              <w:rPr>
                <w:spacing w:val="-10"/>
                <w:sz w:val="21"/>
              </w:rPr>
              <w:t>控制的污染物指标包括化学需氧量、悬浮</w:t>
            </w:r>
            <w:r>
              <w:rPr>
                <w:spacing w:val="-9"/>
                <w:sz w:val="21"/>
              </w:rPr>
              <w:t>物、</w:t>
            </w:r>
            <w:r>
              <w:rPr>
                <w:rFonts w:ascii="Times New Roman" w:eastAsia="Times New Roman"/>
                <w:sz w:val="21"/>
              </w:rPr>
              <w:t xml:space="preserve">pH </w:t>
            </w:r>
            <w:r>
              <w:rPr>
                <w:spacing w:val="-4"/>
                <w:sz w:val="21"/>
              </w:rPr>
              <w:t>值、色度、石油类、可吸附有机卤</w:t>
            </w:r>
            <w:r>
              <w:rPr>
                <w:spacing w:val="-11"/>
                <w:w w:val="95"/>
                <w:sz w:val="21"/>
              </w:rPr>
              <w:t xml:space="preserve">化物等。应加强新污染物和优先控制化学品 </w:t>
            </w:r>
            <w:r>
              <w:rPr>
                <w:spacing w:val="-14"/>
                <w:w w:val="95"/>
                <w:sz w:val="21"/>
              </w:rPr>
              <w:t xml:space="preserve">的监测评估与治理。应收集并处理废塑料再 </w:t>
            </w:r>
            <w:r>
              <w:rPr>
                <w:spacing w:val="-16"/>
                <w:w w:val="95"/>
                <w:sz w:val="21"/>
              </w:rPr>
              <w:t>生利用过程中产生的废气，大气污染物排放</w:t>
            </w:r>
            <w:r>
              <w:rPr>
                <w:spacing w:val="-13"/>
                <w:sz w:val="21"/>
              </w:rPr>
              <w:t xml:space="preserve">应符合 </w:t>
            </w:r>
            <w:r>
              <w:rPr>
                <w:rFonts w:ascii="Times New Roman" w:eastAsia="Times New Roman"/>
                <w:sz w:val="21"/>
              </w:rPr>
              <w:t xml:space="preserve">GB 31572 </w:t>
            </w:r>
            <w:r>
              <w:rPr>
                <w:spacing w:val="-1"/>
                <w:sz w:val="21"/>
              </w:rPr>
              <w:t xml:space="preserve">或 </w:t>
            </w:r>
            <w:r>
              <w:rPr>
                <w:rFonts w:ascii="Times New Roman" w:eastAsia="Times New Roman"/>
                <w:sz w:val="21"/>
              </w:rPr>
              <w:t>GB16297</w:t>
            </w:r>
            <w:r>
              <w:rPr>
                <w:spacing w:val="-13"/>
                <w:sz w:val="21"/>
              </w:rPr>
              <w:t>、</w:t>
            </w:r>
            <w:r>
              <w:rPr>
                <w:rFonts w:ascii="Times New Roman" w:eastAsia="Times New Roman"/>
                <w:sz w:val="21"/>
              </w:rPr>
              <w:t>GB 37822</w:t>
            </w:r>
          </w:p>
          <w:p w14:paraId="26175703">
            <w:pPr>
              <w:pStyle w:val="17"/>
              <w:spacing w:line="267" w:lineRule="exact"/>
              <w:ind w:left="111"/>
              <w:jc w:val="left"/>
              <w:rPr>
                <w:rFonts w:ascii="Times New Roman" w:eastAsia="Times New Roman"/>
                <w:sz w:val="21"/>
              </w:rPr>
            </w:pPr>
            <w:r>
              <w:rPr>
                <w:sz w:val="21"/>
              </w:rPr>
              <w:t xml:space="preserve">等标准的规定，恶臭污染物排放应符合 </w:t>
            </w:r>
            <w:r>
              <w:rPr>
                <w:rFonts w:ascii="Times New Roman" w:eastAsia="Times New Roman"/>
                <w:sz w:val="21"/>
              </w:rPr>
              <w:t>GB</w:t>
            </w:r>
          </w:p>
          <w:p w14:paraId="4397AF42">
            <w:pPr>
              <w:pStyle w:val="17"/>
              <w:spacing w:before="43"/>
              <w:ind w:left="111"/>
              <w:jc w:val="left"/>
              <w:rPr>
                <w:sz w:val="21"/>
              </w:rPr>
            </w:pPr>
            <w:r>
              <w:rPr>
                <w:rFonts w:ascii="Times New Roman" w:eastAsia="Times New Roman"/>
                <w:sz w:val="21"/>
              </w:rPr>
              <w:t xml:space="preserve">14554 </w:t>
            </w:r>
            <w:r>
              <w:rPr>
                <w:sz w:val="21"/>
              </w:rPr>
              <w:t>的规定。废塑料再生利用过程中应控</w:t>
            </w:r>
          </w:p>
          <w:p w14:paraId="4C974B17">
            <w:pPr>
              <w:pStyle w:val="17"/>
              <w:spacing w:before="43" w:line="278" w:lineRule="auto"/>
              <w:ind w:left="111" w:right="15" w:firstLine="100"/>
              <w:jc w:val="left"/>
              <w:rPr>
                <w:sz w:val="21"/>
              </w:rPr>
            </w:pPr>
            <w:r>
              <w:rPr>
                <w:spacing w:val="-1"/>
                <w:sz w:val="21"/>
              </w:rPr>
              <w:t xml:space="preserve">制噪声污染，噪声排放应符合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 xml:space="preserve">12348 </w:t>
            </w:r>
            <w:r>
              <w:rPr>
                <w:spacing w:val="-8"/>
                <w:sz w:val="21"/>
              </w:rPr>
              <w:t>的规定。废塑料中的金属、橡胶、纤维、渣</w:t>
            </w:r>
            <w:r>
              <w:rPr>
                <w:spacing w:val="-10"/>
                <w:sz w:val="21"/>
              </w:rPr>
              <w:t>土、油脂等夹杂物，以及废塑料再生利用过</w:t>
            </w:r>
            <w:r>
              <w:rPr>
                <w:spacing w:val="-15"/>
                <w:sz w:val="21"/>
              </w:rPr>
              <w:t>程中产生的不可利用废物应建立台账，不得</w:t>
            </w:r>
            <w:r>
              <w:rPr>
                <w:spacing w:val="-13"/>
                <w:sz w:val="21"/>
              </w:rPr>
              <w:t>擅自丢弃、倾倒、焚烧与填埋，属于危险废</w:t>
            </w:r>
            <w:r>
              <w:rPr>
                <w:spacing w:val="-13"/>
                <w:w w:val="95"/>
                <w:sz w:val="21"/>
              </w:rPr>
              <w:t>物的应交由有相关资质单位进行利用处置。</w:t>
            </w:r>
            <w:r>
              <w:rPr>
                <w:spacing w:val="-13"/>
                <w:sz w:val="21"/>
              </w:rPr>
              <w:t xml:space="preserve">再生塑料制品或材料在生产过程中不得使 </w:t>
            </w:r>
            <w:r>
              <w:rPr>
                <w:spacing w:val="-15"/>
                <w:sz w:val="21"/>
              </w:rPr>
              <w:t>用全氯氟烃作发泡剂；制造人体接触的再生塑料制品或材料时，不得添加有毒有害的化</w:t>
            </w:r>
          </w:p>
          <w:p w14:paraId="30BBDDF3">
            <w:pPr>
              <w:pStyle w:val="17"/>
              <w:spacing w:line="268" w:lineRule="exact"/>
              <w:ind w:left="108" w:right="96"/>
              <w:rPr>
                <w:sz w:val="21"/>
              </w:rPr>
            </w:pPr>
            <w:r>
              <w:rPr>
                <w:sz w:val="21"/>
              </w:rPr>
              <w:t>学助剂</w:t>
            </w:r>
          </w:p>
        </w:tc>
        <w:tc>
          <w:tcPr>
            <w:tcW w:w="3402" w:type="dxa"/>
          </w:tcPr>
          <w:p w14:paraId="30FB4570">
            <w:pPr>
              <w:pStyle w:val="17"/>
              <w:spacing w:before="21" w:line="278" w:lineRule="auto"/>
              <w:ind w:left="106" w:right="57"/>
              <w:jc w:val="left"/>
              <w:rPr>
                <w:sz w:val="21"/>
              </w:rPr>
            </w:pPr>
            <w:r>
              <w:rPr>
                <w:sz w:val="21"/>
              </w:rPr>
              <w:t>冷却循环水池处理后循环使用，不外排，外排废水中生活污水，经化粪池处理后达到《污水综合排放标准》（</w:t>
            </w:r>
            <w:r>
              <w:rPr>
                <w:rFonts w:ascii="Times New Roman" w:eastAsia="Times New Roman"/>
                <w:sz w:val="21"/>
              </w:rPr>
              <w:t>GB8978-1996</w:t>
            </w:r>
            <w:r>
              <w:rPr>
                <w:sz w:val="21"/>
              </w:rPr>
              <w:t>）中三级标准与汨罗市城市污水处理厂接管标准中两者较严值后排入汨罗市城市污水处理厂。收集并处理生产过程中产生的废气，本项目破碎粉尘、混料投料粉尘采用全密闭集气罩收集</w:t>
            </w:r>
            <w:r>
              <w:rPr>
                <w:spacing w:val="-6"/>
                <w:sz w:val="21"/>
              </w:rPr>
              <w:t xml:space="preserve">后经布袋除尘器处理后经 </w:t>
            </w:r>
            <w:r>
              <w:rPr>
                <w:rFonts w:ascii="Times New Roman" w:eastAsia="Times New Roman"/>
                <w:sz w:val="21"/>
              </w:rPr>
              <w:t xml:space="preserve">15m </w:t>
            </w:r>
            <w:r>
              <w:rPr>
                <w:sz w:val="21"/>
              </w:rPr>
              <w:t>高排气筒排放（</w:t>
            </w:r>
            <w:r>
              <w:rPr>
                <w:rFonts w:ascii="Times New Roman" w:eastAsia="Times New Roman"/>
                <w:sz w:val="21"/>
              </w:rPr>
              <w:t>DA001</w:t>
            </w:r>
            <w:r>
              <w:rPr>
                <w:sz w:val="21"/>
              </w:rPr>
              <w:t>）；挤出造粒废气和挤出注塑废气采用密闭负压收集罩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w:t>
            </w:r>
            <w:r>
              <w:rPr>
                <w:spacing w:val="-7"/>
                <w:sz w:val="21"/>
              </w:rPr>
              <w:t xml:space="preserve">性炭吸附处理达标后经 </w:t>
            </w:r>
            <w:r>
              <w:rPr>
                <w:rFonts w:ascii="Times New Roman" w:eastAsia="Times New Roman"/>
                <w:sz w:val="21"/>
              </w:rPr>
              <w:t xml:space="preserve">15m </w:t>
            </w:r>
            <w:r>
              <w:rPr>
                <w:sz w:val="21"/>
              </w:rPr>
              <w:t>高排气筒排放（</w:t>
            </w:r>
            <w:r>
              <w:rPr>
                <w:rFonts w:ascii="Times New Roman" w:eastAsia="Times New Roman"/>
                <w:sz w:val="21"/>
              </w:rPr>
              <w:t>DA002</w:t>
            </w:r>
            <w:r>
              <w:rPr>
                <w:sz w:val="21"/>
              </w:rPr>
              <w:t>），符合《</w:t>
            </w:r>
            <w:r>
              <w:fldChar w:fldCharType="begin"/>
            </w:r>
            <w:r>
              <w:instrText xml:space="preserve"> HYPERLINK "https://www.mee.gov.cn/ywgz/fgbz/bz/bzwb/dqhjbh/dqgdwrywrwpfbz/201505/W020150506393371746579.pdf" \h </w:instrText>
            </w:r>
            <w:r>
              <w:fldChar w:fldCharType="separate"/>
            </w:r>
            <w:r>
              <w:rPr>
                <w:sz w:val="21"/>
              </w:rPr>
              <w:t>合成树</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脂工业污染物排放标准</w:t>
            </w:r>
            <w:r>
              <w:rPr>
                <w:sz w:val="21"/>
              </w:rPr>
              <w:fldChar w:fldCharType="end"/>
            </w:r>
            <w:r>
              <w:rPr>
                <w:sz w:val="21"/>
              </w:rPr>
              <w:t>》（</w:t>
            </w:r>
            <w:r>
              <w:rPr>
                <w:rFonts w:ascii="Times New Roman" w:eastAsia="Times New Roman"/>
                <w:sz w:val="21"/>
              </w:rPr>
              <w:t xml:space="preserve">GB </w:t>
            </w:r>
            <w:r>
              <w:rPr>
                <w:rFonts w:ascii="Times New Roman" w:eastAsia="Times New Roman"/>
                <w:spacing w:val="-4"/>
                <w:sz w:val="21"/>
              </w:rPr>
              <w:t>31572-2015</w:t>
            </w:r>
            <w:r>
              <w:rPr>
                <w:spacing w:val="-4"/>
                <w:sz w:val="21"/>
              </w:rPr>
              <w:t>）</w:t>
            </w:r>
            <w:r>
              <w:rPr>
                <w:spacing w:val="-18"/>
                <w:sz w:val="21"/>
              </w:rPr>
              <w:t xml:space="preserve">及其 </w:t>
            </w:r>
            <w:r>
              <w:rPr>
                <w:rFonts w:ascii="Times New Roman" w:eastAsia="Times New Roman"/>
                <w:sz w:val="21"/>
              </w:rPr>
              <w:t xml:space="preserve">2024 </w:t>
            </w:r>
            <w:r>
              <w:rPr>
                <w:sz w:val="21"/>
              </w:rPr>
              <w:t>年修改单中</w:t>
            </w:r>
          </w:p>
          <w:p w14:paraId="118DC45B">
            <w:pPr>
              <w:pStyle w:val="17"/>
              <w:spacing w:line="278" w:lineRule="auto"/>
              <w:ind w:left="106" w:right="-15"/>
              <w:jc w:val="left"/>
              <w:rPr>
                <w:sz w:val="21"/>
              </w:rPr>
            </w:pPr>
            <w:r>
              <w:rPr>
                <w:spacing w:val="-28"/>
                <w:sz w:val="21"/>
              </w:rPr>
              <w:t xml:space="preserve">表 </w:t>
            </w:r>
            <w:r>
              <w:rPr>
                <w:rFonts w:ascii="Times New Roman" w:eastAsia="Times New Roman"/>
                <w:sz w:val="21"/>
              </w:rPr>
              <w:t>4</w:t>
            </w:r>
            <w:r>
              <w:rPr>
                <w:rFonts w:ascii="Times New Roman" w:eastAsia="Times New Roman"/>
                <w:spacing w:val="-1"/>
                <w:sz w:val="21"/>
              </w:rPr>
              <w:t xml:space="preserve"> </w:t>
            </w:r>
            <w:r>
              <w:rPr>
                <w:sz w:val="21"/>
              </w:rPr>
              <w:t>相关要求。生产过程严格控制噪声污染，通过基础减震、隔音降噪等措施后，符合《工业企业厂界</w:t>
            </w:r>
            <w:r>
              <w:rPr>
                <w:spacing w:val="-9"/>
                <w:sz w:val="21"/>
              </w:rPr>
              <w:t xml:space="preserve">环境噪声排放标准》中的 </w:t>
            </w:r>
            <w:r>
              <w:rPr>
                <w:rFonts w:ascii="Times New Roman" w:eastAsia="Times New Roman"/>
                <w:sz w:val="21"/>
              </w:rPr>
              <w:t>3</w:t>
            </w:r>
            <w:r>
              <w:rPr>
                <w:rFonts w:ascii="Times New Roman" w:eastAsia="Times New Roman"/>
                <w:spacing w:val="-4"/>
                <w:sz w:val="21"/>
              </w:rPr>
              <w:t xml:space="preserve"> </w:t>
            </w:r>
            <w:r>
              <w:rPr>
                <w:spacing w:val="-34"/>
                <w:sz w:val="21"/>
              </w:rPr>
              <w:t>类</w:t>
            </w:r>
            <w:r>
              <w:rPr>
                <w:sz w:val="21"/>
              </w:rPr>
              <w:t>（东、</w:t>
            </w:r>
            <w:r>
              <w:rPr>
                <w:spacing w:val="-5"/>
                <w:sz w:val="21"/>
              </w:rPr>
              <w:t>西、北侧厂界</w:t>
            </w:r>
            <w:r>
              <w:rPr>
                <w:spacing w:val="-22"/>
                <w:sz w:val="21"/>
              </w:rPr>
              <w:t>）</w:t>
            </w:r>
            <w:r>
              <w:rPr>
                <w:spacing w:val="-29"/>
                <w:sz w:val="21"/>
              </w:rPr>
              <w:t xml:space="preserve">和 </w:t>
            </w:r>
            <w:r>
              <w:rPr>
                <w:rFonts w:ascii="Times New Roman" w:eastAsia="Times New Roman"/>
                <w:sz w:val="21"/>
              </w:rPr>
              <w:t>4</w:t>
            </w:r>
            <w:r>
              <w:rPr>
                <w:rFonts w:ascii="Times New Roman" w:eastAsia="Times New Roman"/>
                <w:spacing w:val="-4"/>
                <w:sz w:val="21"/>
              </w:rPr>
              <w:t xml:space="preserve"> </w:t>
            </w:r>
            <w:r>
              <w:rPr>
                <w:spacing w:val="-22"/>
                <w:sz w:val="21"/>
              </w:rPr>
              <w:t>类</w:t>
            </w:r>
            <w:r>
              <w:rPr>
                <w:sz w:val="21"/>
              </w:rPr>
              <w:t>（南侧厂界） 标准。各危险废物收集后交由有资质单位处理。</w:t>
            </w:r>
          </w:p>
        </w:tc>
        <w:tc>
          <w:tcPr>
            <w:tcW w:w="994" w:type="dxa"/>
            <w:tcBorders>
              <w:right w:val="nil"/>
            </w:tcBorders>
          </w:tcPr>
          <w:p w14:paraId="6FB41E3F">
            <w:pPr>
              <w:pStyle w:val="17"/>
              <w:jc w:val="left"/>
              <w:rPr>
                <w:rFonts w:ascii="Times New Roman"/>
                <w:sz w:val="20"/>
              </w:rPr>
            </w:pPr>
          </w:p>
        </w:tc>
      </w:tr>
      <w:tr w14:paraId="118F3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6" w:hRule="atLeast"/>
        </w:trPr>
        <w:tc>
          <w:tcPr>
            <w:tcW w:w="4123" w:type="dxa"/>
            <w:tcBorders>
              <w:left w:val="nil"/>
            </w:tcBorders>
          </w:tcPr>
          <w:p w14:paraId="3D51BD67">
            <w:pPr>
              <w:pStyle w:val="17"/>
              <w:jc w:val="left"/>
              <w:rPr>
                <w:b/>
                <w:sz w:val="20"/>
              </w:rPr>
            </w:pPr>
          </w:p>
          <w:p w14:paraId="4EECCD78">
            <w:pPr>
              <w:pStyle w:val="17"/>
              <w:jc w:val="left"/>
              <w:rPr>
                <w:b/>
                <w:sz w:val="20"/>
              </w:rPr>
            </w:pPr>
          </w:p>
          <w:p w14:paraId="4EAADCDC">
            <w:pPr>
              <w:pStyle w:val="17"/>
              <w:jc w:val="left"/>
              <w:rPr>
                <w:b/>
                <w:sz w:val="20"/>
              </w:rPr>
            </w:pPr>
          </w:p>
          <w:p w14:paraId="35AA5065">
            <w:pPr>
              <w:pStyle w:val="17"/>
              <w:spacing w:before="8"/>
              <w:jc w:val="left"/>
              <w:rPr>
                <w:b/>
                <w:sz w:val="14"/>
              </w:rPr>
            </w:pPr>
          </w:p>
          <w:p w14:paraId="28829B6A">
            <w:pPr>
              <w:pStyle w:val="17"/>
              <w:spacing w:line="278" w:lineRule="auto"/>
              <w:ind w:left="111" w:right="15"/>
              <w:jc w:val="left"/>
              <w:rPr>
                <w:sz w:val="21"/>
              </w:rPr>
            </w:pPr>
            <w:r>
              <w:rPr>
                <w:w w:val="95"/>
                <w:sz w:val="21"/>
              </w:rPr>
              <w:t xml:space="preserve">物理再生要求：废塑料的物理再生工艺中， 熔融造粒车间应安装废气收集及处理装置， </w:t>
            </w:r>
            <w:r>
              <w:rPr>
                <w:spacing w:val="-6"/>
                <w:sz w:val="21"/>
              </w:rPr>
              <w:t>挤出工艺的冷却废水宜循环使用。宜采用节</w:t>
            </w:r>
            <w:r>
              <w:rPr>
                <w:spacing w:val="-12"/>
                <w:sz w:val="21"/>
              </w:rPr>
              <w:t xml:space="preserve">能熔融造粒技术，含卤素废塑料宜采用低温熔融造粒工艺。宜使用无丝网过滤器造粒 </w:t>
            </w:r>
            <w:r>
              <w:rPr>
                <w:spacing w:val="-11"/>
                <w:sz w:val="21"/>
              </w:rPr>
              <w:t>机，减少废滤网产生。采用焚烧方式处理塑</w:t>
            </w:r>
            <w:r>
              <w:rPr>
                <w:spacing w:val="-14"/>
                <w:sz w:val="21"/>
              </w:rPr>
              <w:t>料挤出机过滤网片时，应配备烟气净化装置</w:t>
            </w:r>
          </w:p>
        </w:tc>
        <w:tc>
          <w:tcPr>
            <w:tcW w:w="3402" w:type="dxa"/>
          </w:tcPr>
          <w:p w14:paraId="677E6270">
            <w:pPr>
              <w:pStyle w:val="17"/>
              <w:spacing w:before="20" w:line="278" w:lineRule="auto"/>
              <w:ind w:left="106" w:right="-29" w:firstLine="19"/>
              <w:jc w:val="left"/>
              <w:rPr>
                <w:sz w:val="21"/>
              </w:rPr>
            </w:pPr>
            <w:r>
              <w:rPr>
                <w:sz w:val="21"/>
              </w:rPr>
              <w:t>本项目为再生塑料的利用，本项目破碎粉尘、混料投料粉尘采用全密闭集气罩收集后经布袋除尘器处理</w:t>
            </w:r>
            <w:r>
              <w:rPr>
                <w:spacing w:val="-18"/>
                <w:sz w:val="21"/>
              </w:rPr>
              <w:t xml:space="preserve">后经 </w:t>
            </w:r>
            <w:r>
              <w:rPr>
                <w:rFonts w:ascii="Times New Roman" w:eastAsia="Times New Roman"/>
                <w:sz w:val="21"/>
              </w:rPr>
              <w:t>15m</w:t>
            </w:r>
            <w:r>
              <w:rPr>
                <w:rFonts w:ascii="Times New Roman" w:eastAsia="Times New Roman"/>
                <w:spacing w:val="-6"/>
                <w:sz w:val="21"/>
              </w:rPr>
              <w:t xml:space="preserve"> </w:t>
            </w:r>
            <w:r>
              <w:rPr>
                <w:spacing w:val="-9"/>
                <w:sz w:val="21"/>
              </w:rPr>
              <w:t>高排气筒排放</w:t>
            </w:r>
            <w:r>
              <w:rPr>
                <w:spacing w:val="-7"/>
                <w:sz w:val="21"/>
              </w:rPr>
              <w:t>（</w:t>
            </w:r>
            <w:r>
              <w:rPr>
                <w:rFonts w:ascii="Times New Roman" w:eastAsia="Times New Roman"/>
                <w:spacing w:val="-7"/>
                <w:sz w:val="21"/>
              </w:rPr>
              <w:t>DA001</w:t>
            </w:r>
            <w:r>
              <w:rPr>
                <w:spacing w:val="-7"/>
                <w:sz w:val="21"/>
              </w:rPr>
              <w:t xml:space="preserve">）； </w:t>
            </w:r>
            <w:r>
              <w:rPr>
                <w:sz w:val="21"/>
              </w:rPr>
              <w:t>挤出造粒废气和挤出注塑废气采用密闭负压收集罩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二级活性炭吸附处理达标后经</w:t>
            </w:r>
          </w:p>
          <w:p w14:paraId="0F4E65A4">
            <w:pPr>
              <w:pStyle w:val="17"/>
              <w:spacing w:line="278" w:lineRule="auto"/>
              <w:ind w:left="128" w:right="117"/>
              <w:rPr>
                <w:sz w:val="21"/>
              </w:rPr>
            </w:pPr>
            <w:r>
              <w:rPr>
                <w:rFonts w:ascii="Times New Roman" w:eastAsia="Times New Roman"/>
                <w:sz w:val="21"/>
              </w:rPr>
              <w:t xml:space="preserve">15m </w:t>
            </w:r>
            <w:r>
              <w:rPr>
                <w:sz w:val="21"/>
              </w:rPr>
              <w:t>高排气筒排放（</w:t>
            </w:r>
            <w:r>
              <w:rPr>
                <w:rFonts w:ascii="Times New Roman" w:eastAsia="Times New Roman"/>
                <w:sz w:val="21"/>
              </w:rPr>
              <w:t>DA002</w:t>
            </w:r>
            <w:r>
              <w:rPr>
                <w:sz w:val="21"/>
              </w:rPr>
              <w:t xml:space="preserve">）。本项目使用 </w:t>
            </w:r>
            <w:r>
              <w:rPr>
                <w:rFonts w:ascii="Times New Roman" w:eastAsia="Times New Roman"/>
                <w:sz w:val="21"/>
              </w:rPr>
              <w:t xml:space="preserve">PE </w:t>
            </w:r>
            <w:r>
              <w:rPr>
                <w:sz w:val="21"/>
              </w:rPr>
              <w:t>再生料，不属卤素塑料，熔融挤出工序温度为</w:t>
            </w:r>
          </w:p>
          <w:p w14:paraId="4F06A411">
            <w:pPr>
              <w:pStyle w:val="17"/>
              <w:spacing w:line="269" w:lineRule="exact"/>
              <w:ind w:left="231"/>
              <w:jc w:val="left"/>
              <w:rPr>
                <w:sz w:val="21"/>
              </w:rPr>
            </w:pPr>
            <w:r>
              <w:rPr>
                <w:rFonts w:ascii="Times New Roman" w:hAnsi="Times New Roman" w:eastAsia="Times New Roman"/>
                <w:sz w:val="21"/>
              </w:rPr>
              <w:t>150~170℃</w:t>
            </w:r>
            <w:r>
              <w:rPr>
                <w:sz w:val="21"/>
              </w:rPr>
              <w:t>左右，</w:t>
            </w:r>
            <w:r>
              <w:rPr>
                <w:rFonts w:ascii="Times New Roman" w:hAnsi="Times New Roman" w:eastAsia="Times New Roman"/>
                <w:sz w:val="21"/>
              </w:rPr>
              <w:t xml:space="preserve">PE </w:t>
            </w:r>
            <w:r>
              <w:rPr>
                <w:sz w:val="21"/>
              </w:rPr>
              <w:t>裂解温度约</w:t>
            </w:r>
          </w:p>
          <w:p w14:paraId="50F14CC4">
            <w:pPr>
              <w:pStyle w:val="17"/>
              <w:spacing w:before="2" w:line="310" w:lineRule="atLeast"/>
              <w:ind w:left="176" w:right="165"/>
              <w:rPr>
                <w:sz w:val="21"/>
              </w:rPr>
            </w:pPr>
            <w:r>
              <w:rPr>
                <w:rFonts w:ascii="Times New Roman" w:hAnsi="Times New Roman" w:eastAsia="Times New Roman"/>
                <w:w w:val="95"/>
                <w:sz w:val="21"/>
              </w:rPr>
              <w:t>300℃</w:t>
            </w:r>
            <w:r>
              <w:rPr>
                <w:w w:val="95"/>
                <w:sz w:val="21"/>
              </w:rPr>
              <w:t>左右，采用节能熔融造粒技</w:t>
            </w:r>
            <w:r>
              <w:rPr>
                <w:sz w:val="21"/>
              </w:rPr>
              <w:t>术，采用无丝网过滤器造粒机。</w:t>
            </w:r>
          </w:p>
        </w:tc>
        <w:tc>
          <w:tcPr>
            <w:tcW w:w="994" w:type="dxa"/>
            <w:tcBorders>
              <w:right w:val="nil"/>
            </w:tcBorders>
          </w:tcPr>
          <w:p w14:paraId="1D4174F0">
            <w:pPr>
              <w:pStyle w:val="17"/>
              <w:jc w:val="left"/>
              <w:rPr>
                <w:b/>
                <w:sz w:val="20"/>
              </w:rPr>
            </w:pPr>
          </w:p>
          <w:p w14:paraId="34F0D80D">
            <w:pPr>
              <w:pStyle w:val="17"/>
              <w:jc w:val="left"/>
              <w:rPr>
                <w:b/>
                <w:sz w:val="20"/>
              </w:rPr>
            </w:pPr>
          </w:p>
          <w:p w14:paraId="2F5DAD36">
            <w:pPr>
              <w:pStyle w:val="17"/>
              <w:jc w:val="left"/>
              <w:rPr>
                <w:b/>
                <w:sz w:val="20"/>
              </w:rPr>
            </w:pPr>
          </w:p>
          <w:p w14:paraId="6E3D783E">
            <w:pPr>
              <w:pStyle w:val="17"/>
              <w:jc w:val="left"/>
              <w:rPr>
                <w:b/>
                <w:sz w:val="20"/>
              </w:rPr>
            </w:pPr>
          </w:p>
          <w:p w14:paraId="54DE5717">
            <w:pPr>
              <w:pStyle w:val="17"/>
              <w:jc w:val="left"/>
              <w:rPr>
                <w:b/>
                <w:sz w:val="20"/>
              </w:rPr>
            </w:pPr>
          </w:p>
          <w:p w14:paraId="02F5327B">
            <w:pPr>
              <w:pStyle w:val="17"/>
              <w:jc w:val="left"/>
              <w:rPr>
                <w:b/>
                <w:sz w:val="20"/>
              </w:rPr>
            </w:pPr>
          </w:p>
          <w:p w14:paraId="72F9829E">
            <w:pPr>
              <w:pStyle w:val="17"/>
              <w:spacing w:before="9"/>
              <w:jc w:val="left"/>
              <w:rPr>
                <w:b/>
                <w:sz w:val="27"/>
              </w:rPr>
            </w:pPr>
          </w:p>
          <w:p w14:paraId="1A8EC17B">
            <w:pPr>
              <w:pStyle w:val="17"/>
              <w:ind w:left="157" w:right="157"/>
              <w:rPr>
                <w:sz w:val="21"/>
              </w:rPr>
            </w:pPr>
            <w:r>
              <w:rPr>
                <w:sz w:val="21"/>
              </w:rPr>
              <w:t>符合</w:t>
            </w:r>
          </w:p>
        </w:tc>
      </w:tr>
      <w:tr w14:paraId="4206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123" w:type="dxa"/>
            <w:tcBorders>
              <w:left w:val="nil"/>
            </w:tcBorders>
          </w:tcPr>
          <w:p w14:paraId="32E258C3">
            <w:pPr>
              <w:pStyle w:val="17"/>
              <w:spacing w:before="20" w:line="278" w:lineRule="auto"/>
              <w:ind w:left="111" w:right="96"/>
              <w:jc w:val="left"/>
              <w:rPr>
                <w:sz w:val="21"/>
              </w:rPr>
            </w:pPr>
            <w:r>
              <w:rPr>
                <w:spacing w:val="-9"/>
                <w:w w:val="95"/>
                <w:sz w:val="21"/>
              </w:rPr>
              <w:t xml:space="preserve">化学再生要求：含有聚氯乙烯等含卤素塑料 </w:t>
            </w:r>
            <w:r>
              <w:rPr>
                <w:spacing w:val="-14"/>
                <w:w w:val="95"/>
                <w:sz w:val="21"/>
              </w:rPr>
              <w:t>的混合废塑料进行化学再生时，应进行适当</w:t>
            </w:r>
          </w:p>
          <w:p w14:paraId="49991CA3">
            <w:pPr>
              <w:pStyle w:val="17"/>
              <w:spacing w:line="269" w:lineRule="exact"/>
              <w:ind w:left="111"/>
              <w:jc w:val="left"/>
              <w:rPr>
                <w:sz w:val="21"/>
              </w:rPr>
            </w:pPr>
            <w:r>
              <w:rPr>
                <w:w w:val="95"/>
                <w:sz w:val="21"/>
              </w:rPr>
              <w:t>的脱氯、脱硅及脱除金属等处理，以满足生</w:t>
            </w:r>
          </w:p>
        </w:tc>
        <w:tc>
          <w:tcPr>
            <w:tcW w:w="3402" w:type="dxa"/>
          </w:tcPr>
          <w:p w14:paraId="07259CCD">
            <w:pPr>
              <w:pStyle w:val="17"/>
              <w:spacing w:before="12"/>
              <w:jc w:val="left"/>
              <w:rPr>
                <w:b/>
                <w:sz w:val="25"/>
              </w:rPr>
            </w:pPr>
          </w:p>
          <w:p w14:paraId="238F3C5B">
            <w:pPr>
              <w:pStyle w:val="17"/>
              <w:ind w:left="651"/>
              <w:jc w:val="left"/>
              <w:rPr>
                <w:sz w:val="21"/>
              </w:rPr>
            </w:pPr>
            <w:r>
              <w:rPr>
                <w:sz w:val="21"/>
              </w:rPr>
              <w:t>本项目不涉及化学再生</w:t>
            </w:r>
          </w:p>
        </w:tc>
        <w:tc>
          <w:tcPr>
            <w:tcW w:w="994" w:type="dxa"/>
            <w:tcBorders>
              <w:right w:val="nil"/>
            </w:tcBorders>
          </w:tcPr>
          <w:p w14:paraId="0CC9E4BB">
            <w:pPr>
              <w:pStyle w:val="17"/>
              <w:spacing w:before="12"/>
              <w:jc w:val="left"/>
              <w:rPr>
                <w:b/>
                <w:sz w:val="25"/>
              </w:rPr>
            </w:pPr>
          </w:p>
          <w:p w14:paraId="24677EF7">
            <w:pPr>
              <w:pStyle w:val="17"/>
              <w:ind w:left="162" w:right="157"/>
              <w:rPr>
                <w:sz w:val="21"/>
              </w:rPr>
            </w:pPr>
            <w:r>
              <w:rPr>
                <w:sz w:val="21"/>
              </w:rPr>
              <w:t>不涉及</w:t>
            </w:r>
          </w:p>
        </w:tc>
      </w:tr>
    </w:tbl>
    <w:p w14:paraId="01196556">
      <w:pPr>
        <w:spacing w:after="0"/>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7B552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123" w:type="dxa"/>
            <w:tcBorders>
              <w:left w:val="nil"/>
            </w:tcBorders>
          </w:tcPr>
          <w:p w14:paraId="01EBBB62">
            <w:pPr>
              <w:pStyle w:val="17"/>
              <w:spacing w:before="21" w:line="278" w:lineRule="auto"/>
              <w:ind w:left="111" w:right="96"/>
              <w:jc w:val="both"/>
              <w:rPr>
                <w:sz w:val="21"/>
              </w:rPr>
            </w:pPr>
            <w:r>
              <w:rPr>
                <w:spacing w:val="-6"/>
                <w:w w:val="95"/>
                <w:sz w:val="21"/>
              </w:rPr>
              <w:t xml:space="preserve">产及产品质量和污染防治要求。化学再生过 </w:t>
            </w:r>
            <w:r>
              <w:rPr>
                <w:spacing w:val="-12"/>
                <w:w w:val="95"/>
                <w:sz w:val="21"/>
              </w:rPr>
              <w:t xml:space="preserve">程不宜使用含重金属添加剂。化学再生过程 </w:t>
            </w:r>
            <w:r>
              <w:rPr>
                <w:spacing w:val="-16"/>
                <w:w w:val="95"/>
                <w:sz w:val="21"/>
              </w:rPr>
              <w:t>使用的含重金属催化剂应优先循环使用，废</w:t>
            </w:r>
            <w:r>
              <w:rPr>
                <w:spacing w:val="-16"/>
                <w:sz w:val="21"/>
              </w:rPr>
              <w:t>弃的催化剂应委托有资质的单位进行利用</w:t>
            </w:r>
            <w:r>
              <w:rPr>
                <w:spacing w:val="-12"/>
                <w:w w:val="95"/>
                <w:sz w:val="21"/>
              </w:rPr>
              <w:t xml:space="preserve">或处置。废塑料化学再生裂解设施应使用连 </w:t>
            </w:r>
            <w:r>
              <w:rPr>
                <w:spacing w:val="-18"/>
                <w:w w:val="95"/>
                <w:sz w:val="21"/>
              </w:rPr>
              <w:t>续生产设备</w:t>
            </w:r>
            <w:r>
              <w:rPr>
                <w:w w:val="95"/>
                <w:sz w:val="21"/>
              </w:rPr>
              <w:t>（</w:t>
            </w:r>
            <w:r>
              <w:rPr>
                <w:spacing w:val="-5"/>
                <w:w w:val="95"/>
                <w:sz w:val="21"/>
              </w:rPr>
              <w:t>包含连续进料系统、连续裂解 系统和连续出料系统</w:t>
            </w:r>
            <w:r>
              <w:rPr>
                <w:spacing w:val="-41"/>
                <w:w w:val="95"/>
                <w:sz w:val="21"/>
              </w:rPr>
              <w:t>）</w:t>
            </w:r>
            <w:r>
              <w:rPr>
                <w:spacing w:val="-7"/>
                <w:w w:val="95"/>
                <w:sz w:val="21"/>
              </w:rPr>
              <w:t>。废塑料化学再生产</w:t>
            </w:r>
            <w:r>
              <w:rPr>
                <w:spacing w:val="-7"/>
                <w:sz w:val="21"/>
              </w:rPr>
              <w:t xml:space="preserve">物，应按照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34330</w:t>
            </w:r>
            <w:r>
              <w:rPr>
                <w:rFonts w:ascii="Times New Roman" w:eastAsia="Times New Roman"/>
                <w:spacing w:val="50"/>
                <w:sz w:val="21"/>
              </w:rPr>
              <w:t xml:space="preserve"> </w:t>
            </w:r>
            <w:r>
              <w:rPr>
                <w:sz w:val="21"/>
              </w:rPr>
              <w:t>进行鉴别，经鉴别</w:t>
            </w:r>
            <w:r>
              <w:rPr>
                <w:spacing w:val="-9"/>
                <w:w w:val="95"/>
                <w:sz w:val="21"/>
              </w:rPr>
              <w:t>属于固体废物的，应按照固体废物管理并按</w:t>
            </w:r>
            <w:r>
              <w:rPr>
                <w:spacing w:val="-7"/>
                <w:sz w:val="21"/>
              </w:rPr>
              <w:t xml:space="preserve">照 </w:t>
            </w:r>
            <w:r>
              <w:rPr>
                <w:rFonts w:ascii="Times New Roman" w:eastAsia="Times New Roman"/>
                <w:sz w:val="21"/>
              </w:rPr>
              <w:t>GB</w:t>
            </w:r>
            <w:r>
              <w:rPr>
                <w:rFonts w:ascii="Times New Roman" w:eastAsia="Times New Roman"/>
                <w:spacing w:val="-2"/>
                <w:sz w:val="21"/>
              </w:rPr>
              <w:t xml:space="preserve"> </w:t>
            </w:r>
            <w:r>
              <w:rPr>
                <w:rFonts w:ascii="Times New Roman" w:eastAsia="Times New Roman"/>
                <w:sz w:val="21"/>
              </w:rPr>
              <w:t>5085.7</w:t>
            </w:r>
            <w:r>
              <w:rPr>
                <w:rFonts w:ascii="Times New Roman" w:eastAsia="Times New Roman"/>
                <w:spacing w:val="46"/>
                <w:sz w:val="21"/>
              </w:rPr>
              <w:t xml:space="preserve"> </w:t>
            </w:r>
            <w:r>
              <w:rPr>
                <w:sz w:val="21"/>
              </w:rPr>
              <w:t>进行鉴别，经鉴别属于危险</w:t>
            </w:r>
          </w:p>
          <w:p w14:paraId="663A9E67">
            <w:pPr>
              <w:pStyle w:val="17"/>
              <w:spacing w:line="268" w:lineRule="exact"/>
              <w:ind w:left="699"/>
              <w:jc w:val="left"/>
              <w:rPr>
                <w:sz w:val="21"/>
              </w:rPr>
            </w:pPr>
            <w:r>
              <w:rPr>
                <w:sz w:val="21"/>
              </w:rPr>
              <w:t>废物的，应按照危险废物管理</w:t>
            </w:r>
          </w:p>
        </w:tc>
        <w:tc>
          <w:tcPr>
            <w:tcW w:w="3402" w:type="dxa"/>
          </w:tcPr>
          <w:p w14:paraId="0940BAFC">
            <w:pPr>
              <w:pStyle w:val="17"/>
              <w:jc w:val="left"/>
              <w:rPr>
                <w:rFonts w:ascii="Times New Roman"/>
                <w:sz w:val="20"/>
              </w:rPr>
            </w:pPr>
          </w:p>
        </w:tc>
        <w:tc>
          <w:tcPr>
            <w:tcW w:w="994" w:type="dxa"/>
            <w:tcBorders>
              <w:right w:val="nil"/>
            </w:tcBorders>
          </w:tcPr>
          <w:p w14:paraId="1E875E2C">
            <w:pPr>
              <w:pStyle w:val="17"/>
              <w:jc w:val="left"/>
              <w:rPr>
                <w:rFonts w:ascii="Times New Roman"/>
                <w:sz w:val="20"/>
              </w:rPr>
            </w:pPr>
          </w:p>
        </w:tc>
      </w:tr>
      <w:tr w14:paraId="3FAD7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76510473">
            <w:pPr>
              <w:pStyle w:val="17"/>
              <w:spacing w:before="35"/>
              <w:ind w:left="2587" w:right="2578"/>
              <w:rPr>
                <w:sz w:val="21"/>
              </w:rPr>
            </w:pPr>
            <w:r>
              <w:rPr>
                <w:sz w:val="21"/>
              </w:rPr>
              <w:t>九、运行环境管理要求</w:t>
            </w:r>
          </w:p>
        </w:tc>
        <w:tc>
          <w:tcPr>
            <w:tcW w:w="994" w:type="dxa"/>
            <w:tcBorders>
              <w:right w:val="nil"/>
            </w:tcBorders>
          </w:tcPr>
          <w:p w14:paraId="5237AC41">
            <w:pPr>
              <w:pStyle w:val="17"/>
              <w:jc w:val="left"/>
              <w:rPr>
                <w:rFonts w:ascii="Times New Roman"/>
                <w:sz w:val="20"/>
              </w:rPr>
            </w:pPr>
          </w:p>
        </w:tc>
      </w:tr>
      <w:tr w14:paraId="095B8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4123" w:type="dxa"/>
            <w:tcBorders>
              <w:left w:val="nil"/>
            </w:tcBorders>
          </w:tcPr>
          <w:p w14:paraId="66FD6BB0">
            <w:pPr>
              <w:pStyle w:val="17"/>
              <w:spacing w:before="21" w:line="278" w:lineRule="auto"/>
              <w:ind w:left="111" w:right="-15"/>
              <w:jc w:val="left"/>
              <w:rPr>
                <w:sz w:val="21"/>
              </w:rPr>
            </w:pPr>
            <w:r>
              <w:rPr>
                <w:spacing w:val="-8"/>
                <w:sz w:val="21"/>
              </w:rPr>
              <w:t xml:space="preserve">一般要求：废塑料的产生、收集、运输、贮存和再生利用企业，应按照 </w:t>
            </w:r>
            <w:r>
              <w:rPr>
                <w:rFonts w:ascii="Times New Roman" w:eastAsia="Times New Roman"/>
                <w:sz w:val="21"/>
              </w:rPr>
              <w:t>GB/T</w:t>
            </w:r>
            <w:r>
              <w:rPr>
                <w:rFonts w:ascii="Times New Roman" w:eastAsia="Times New Roman"/>
                <w:spacing w:val="-1"/>
                <w:sz w:val="21"/>
              </w:rPr>
              <w:t xml:space="preserve"> </w:t>
            </w:r>
            <w:r>
              <w:rPr>
                <w:rFonts w:ascii="Times New Roman" w:eastAsia="Times New Roman"/>
                <w:sz w:val="21"/>
              </w:rPr>
              <w:t>19001</w:t>
            </w:r>
            <w:r>
              <w:rPr>
                <w:sz w:val="21"/>
              </w:rPr>
              <w:t>、</w:t>
            </w:r>
            <w:r>
              <w:rPr>
                <w:rFonts w:ascii="Times New Roman" w:eastAsia="Times New Roman"/>
                <w:sz w:val="21"/>
              </w:rPr>
              <w:t>GB/T</w:t>
            </w:r>
            <w:r>
              <w:rPr>
                <w:rFonts w:ascii="Times New Roman" w:eastAsia="Times New Roman"/>
                <w:spacing w:val="-1"/>
                <w:sz w:val="21"/>
              </w:rPr>
              <w:t xml:space="preserve"> </w:t>
            </w:r>
            <w:r>
              <w:rPr>
                <w:rFonts w:ascii="Times New Roman" w:eastAsia="Times New Roman"/>
                <w:sz w:val="21"/>
              </w:rPr>
              <w:t>24001</w:t>
            </w:r>
            <w:r>
              <w:rPr>
                <w:sz w:val="21"/>
              </w:rPr>
              <w:t>、</w:t>
            </w:r>
            <w:r>
              <w:rPr>
                <w:rFonts w:ascii="Times New Roman" w:eastAsia="Times New Roman"/>
                <w:sz w:val="21"/>
              </w:rPr>
              <w:t>GB/T</w:t>
            </w:r>
            <w:r>
              <w:rPr>
                <w:rFonts w:ascii="Times New Roman" w:eastAsia="Times New Roman"/>
                <w:spacing w:val="0"/>
                <w:sz w:val="21"/>
              </w:rPr>
              <w:t xml:space="preserve"> </w:t>
            </w:r>
            <w:r>
              <w:rPr>
                <w:rFonts w:ascii="Times New Roman" w:eastAsia="Times New Roman"/>
                <w:sz w:val="21"/>
              </w:rPr>
              <w:t>45001</w:t>
            </w:r>
            <w:r>
              <w:rPr>
                <w:rFonts w:ascii="Times New Roman" w:eastAsia="Times New Roman"/>
                <w:spacing w:val="-4"/>
                <w:sz w:val="21"/>
              </w:rPr>
              <w:t xml:space="preserve"> </w:t>
            </w:r>
            <w:r>
              <w:rPr>
                <w:sz w:val="21"/>
              </w:rPr>
              <w:t>等标准建立管理</w:t>
            </w:r>
            <w:r>
              <w:rPr>
                <w:spacing w:val="-13"/>
                <w:w w:val="95"/>
                <w:sz w:val="21"/>
              </w:rPr>
              <w:t>体系，设置专门的部门或者专</w:t>
            </w:r>
            <w:r>
              <w:rPr>
                <w:w w:val="95"/>
                <w:sz w:val="21"/>
              </w:rPr>
              <w:t>（兼</w:t>
            </w:r>
            <w:r>
              <w:rPr>
                <w:spacing w:val="-61"/>
                <w:w w:val="95"/>
                <w:sz w:val="21"/>
              </w:rPr>
              <w:t>）</w:t>
            </w:r>
            <w:r>
              <w:rPr>
                <w:w w:val="95"/>
                <w:sz w:val="21"/>
              </w:rPr>
              <w:t xml:space="preserve">职人员， </w:t>
            </w:r>
            <w:r>
              <w:rPr>
                <w:sz w:val="21"/>
              </w:rPr>
              <w:t xml:space="preserve">负责废塑料收集和再生利用过程中的相关 </w:t>
            </w:r>
            <w:r>
              <w:rPr>
                <w:spacing w:val="-9"/>
                <w:sz w:val="21"/>
              </w:rPr>
              <w:t>环境管理工作。废塑料的产生和再生利用企</w:t>
            </w:r>
            <w:r>
              <w:rPr>
                <w:spacing w:val="-11"/>
                <w:sz w:val="21"/>
              </w:rPr>
              <w:t>业，应按照排污许可证规定严格控制污染物排放。废塑料的产生、收集、运输、贮存和</w:t>
            </w:r>
            <w:r>
              <w:rPr>
                <w:spacing w:val="-13"/>
                <w:sz w:val="21"/>
              </w:rPr>
              <w:t>再生利用企业，应对从业人员进行环境保护</w:t>
            </w:r>
          </w:p>
          <w:p w14:paraId="79312C4D">
            <w:pPr>
              <w:pStyle w:val="17"/>
              <w:spacing w:line="268" w:lineRule="exact"/>
              <w:ind w:left="108" w:right="96"/>
              <w:rPr>
                <w:sz w:val="21"/>
              </w:rPr>
            </w:pPr>
            <w:r>
              <w:rPr>
                <w:sz w:val="21"/>
              </w:rPr>
              <w:t>培训</w:t>
            </w:r>
          </w:p>
        </w:tc>
        <w:tc>
          <w:tcPr>
            <w:tcW w:w="3402" w:type="dxa"/>
          </w:tcPr>
          <w:p w14:paraId="1DEEF5B4">
            <w:pPr>
              <w:pStyle w:val="17"/>
              <w:jc w:val="left"/>
              <w:rPr>
                <w:b/>
                <w:sz w:val="20"/>
              </w:rPr>
            </w:pPr>
          </w:p>
          <w:p w14:paraId="713A2042">
            <w:pPr>
              <w:pStyle w:val="17"/>
              <w:jc w:val="left"/>
              <w:rPr>
                <w:b/>
                <w:sz w:val="20"/>
              </w:rPr>
            </w:pPr>
          </w:p>
          <w:p w14:paraId="60A0E874">
            <w:pPr>
              <w:pStyle w:val="17"/>
              <w:spacing w:before="132" w:line="278" w:lineRule="auto"/>
              <w:ind w:left="126" w:right="114"/>
              <w:rPr>
                <w:sz w:val="21"/>
              </w:rPr>
            </w:pPr>
            <w:r>
              <w:rPr>
                <w:w w:val="95"/>
                <w:sz w:val="21"/>
              </w:rPr>
              <w:t>建设单位依据要求设置专门的部门或者专（兼）职人员，负责废塑料再生利用过程中的相关环境管理工作，并按照排污许可证规定严格控制污染物排放，对从业人员进行环</w:t>
            </w:r>
            <w:r>
              <w:rPr>
                <w:sz w:val="21"/>
              </w:rPr>
              <w:t>境保护培训</w:t>
            </w:r>
          </w:p>
        </w:tc>
        <w:tc>
          <w:tcPr>
            <w:tcW w:w="994" w:type="dxa"/>
            <w:tcBorders>
              <w:right w:val="nil"/>
            </w:tcBorders>
          </w:tcPr>
          <w:p w14:paraId="239BB1EF">
            <w:pPr>
              <w:pStyle w:val="17"/>
              <w:jc w:val="left"/>
              <w:rPr>
                <w:b/>
                <w:sz w:val="20"/>
              </w:rPr>
            </w:pPr>
          </w:p>
          <w:p w14:paraId="476C951F">
            <w:pPr>
              <w:pStyle w:val="17"/>
              <w:jc w:val="left"/>
              <w:rPr>
                <w:b/>
                <w:sz w:val="20"/>
              </w:rPr>
            </w:pPr>
          </w:p>
          <w:p w14:paraId="51553EAC">
            <w:pPr>
              <w:pStyle w:val="17"/>
              <w:jc w:val="left"/>
              <w:rPr>
                <w:b/>
                <w:sz w:val="20"/>
              </w:rPr>
            </w:pPr>
          </w:p>
          <w:p w14:paraId="272A487C">
            <w:pPr>
              <w:pStyle w:val="17"/>
              <w:jc w:val="left"/>
              <w:rPr>
                <w:b/>
                <w:sz w:val="20"/>
              </w:rPr>
            </w:pPr>
          </w:p>
          <w:p w14:paraId="4BF2A66F">
            <w:pPr>
              <w:pStyle w:val="17"/>
              <w:jc w:val="left"/>
              <w:rPr>
                <w:b/>
                <w:sz w:val="20"/>
              </w:rPr>
            </w:pPr>
          </w:p>
          <w:p w14:paraId="04A44AE7">
            <w:pPr>
              <w:pStyle w:val="17"/>
              <w:spacing w:before="144"/>
              <w:ind w:left="157" w:right="157"/>
              <w:rPr>
                <w:sz w:val="21"/>
              </w:rPr>
            </w:pPr>
            <w:r>
              <w:rPr>
                <w:sz w:val="21"/>
              </w:rPr>
              <w:t>符合</w:t>
            </w:r>
          </w:p>
        </w:tc>
      </w:tr>
      <w:tr w14:paraId="659C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4123" w:type="dxa"/>
            <w:tcBorders>
              <w:left w:val="nil"/>
            </w:tcBorders>
          </w:tcPr>
          <w:p w14:paraId="3CCF6444">
            <w:pPr>
              <w:pStyle w:val="17"/>
              <w:spacing w:before="21" w:line="278" w:lineRule="auto"/>
              <w:ind w:left="111" w:right="96" w:hanging="1"/>
              <w:rPr>
                <w:sz w:val="21"/>
              </w:rPr>
            </w:pPr>
            <w:r>
              <w:rPr>
                <w:spacing w:val="-7"/>
                <w:w w:val="95"/>
                <w:sz w:val="21"/>
              </w:rPr>
              <w:t>项目建设的环境管理要求：废塑料的再生利</w:t>
            </w:r>
            <w:r>
              <w:rPr>
                <w:spacing w:val="-7"/>
                <w:sz w:val="21"/>
              </w:rPr>
              <w:t>用项目应严格执行环境影响评价和</w:t>
            </w:r>
            <w:r>
              <w:rPr>
                <w:rFonts w:ascii="Times New Roman" w:hAnsi="Times New Roman" w:eastAsia="Times New Roman"/>
                <w:spacing w:val="-7"/>
                <w:sz w:val="21"/>
              </w:rPr>
              <w:t>“</w:t>
            </w:r>
            <w:r>
              <w:rPr>
                <w:spacing w:val="-7"/>
                <w:sz w:val="21"/>
              </w:rPr>
              <w:t>三同 时</w:t>
            </w:r>
            <w:r>
              <w:rPr>
                <w:rFonts w:ascii="Times New Roman" w:hAnsi="Times New Roman" w:eastAsia="Times New Roman"/>
                <w:spacing w:val="-7"/>
                <w:sz w:val="21"/>
              </w:rPr>
              <w:t>”</w:t>
            </w:r>
            <w:r>
              <w:rPr>
                <w:spacing w:val="-7"/>
                <w:sz w:val="21"/>
              </w:rPr>
              <w:t>制度。新建和改扩建废塑料再生利用项</w:t>
            </w:r>
            <w:r>
              <w:rPr>
                <w:spacing w:val="-12"/>
                <w:w w:val="95"/>
                <w:sz w:val="21"/>
              </w:rPr>
              <w:t xml:space="preserve">目的选址应符合当地城市总体发展规划、用 地规划、生态环境分区管控方案、规划环评 </w:t>
            </w:r>
            <w:r>
              <w:rPr>
                <w:spacing w:val="-14"/>
                <w:w w:val="95"/>
                <w:sz w:val="21"/>
              </w:rPr>
              <w:t xml:space="preserve">及其他环境保护要求。废塑料再生利用项目 </w:t>
            </w:r>
            <w:r>
              <w:rPr>
                <w:spacing w:val="-15"/>
                <w:w w:val="95"/>
                <w:sz w:val="21"/>
              </w:rPr>
              <w:t xml:space="preserve">应按功能划分厂区，包括管理区、原料贮存 </w:t>
            </w:r>
            <w:r>
              <w:rPr>
                <w:spacing w:val="-11"/>
                <w:w w:val="95"/>
                <w:sz w:val="21"/>
              </w:rPr>
              <w:t xml:space="preserve">区、生产区、产品贮存区、不可利用废物的 </w:t>
            </w:r>
            <w:r>
              <w:rPr>
                <w:spacing w:val="-13"/>
                <w:w w:val="95"/>
                <w:sz w:val="21"/>
              </w:rPr>
              <w:t>贮存和处理区等，各功能区应有明显的界线</w:t>
            </w:r>
          </w:p>
          <w:p w14:paraId="18813C69">
            <w:pPr>
              <w:pStyle w:val="17"/>
              <w:spacing w:line="268" w:lineRule="exact"/>
              <w:ind w:left="108" w:right="96"/>
              <w:rPr>
                <w:sz w:val="21"/>
              </w:rPr>
            </w:pPr>
            <w:r>
              <w:rPr>
                <w:sz w:val="21"/>
              </w:rPr>
              <w:t>或标识</w:t>
            </w:r>
          </w:p>
        </w:tc>
        <w:tc>
          <w:tcPr>
            <w:tcW w:w="3402" w:type="dxa"/>
          </w:tcPr>
          <w:p w14:paraId="04B771B8">
            <w:pPr>
              <w:pStyle w:val="17"/>
              <w:spacing w:before="12"/>
              <w:jc w:val="left"/>
              <w:rPr>
                <w:b/>
                <w:sz w:val="25"/>
              </w:rPr>
            </w:pPr>
          </w:p>
          <w:p w14:paraId="3CBD4E59">
            <w:pPr>
              <w:pStyle w:val="17"/>
              <w:ind w:left="231"/>
              <w:jc w:val="left"/>
              <w:rPr>
                <w:sz w:val="21"/>
              </w:rPr>
            </w:pPr>
            <w:r>
              <w:rPr>
                <w:sz w:val="21"/>
              </w:rPr>
              <w:t>本项目严格执行环境影响评价和</w:t>
            </w:r>
          </w:p>
          <w:p w14:paraId="64275A83">
            <w:pPr>
              <w:pStyle w:val="17"/>
              <w:spacing w:before="43" w:line="278" w:lineRule="auto"/>
              <w:ind w:left="126" w:right="114" w:firstLine="12"/>
              <w:jc w:val="both"/>
              <w:rPr>
                <w:sz w:val="21"/>
              </w:rPr>
            </w:pP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制度。项目选址符合汨罗</w:t>
            </w:r>
            <w:r>
              <w:rPr>
                <w:w w:val="95"/>
                <w:sz w:val="21"/>
              </w:rPr>
              <w:t>市城市总体发展规划、汨罗高新技术产业开发区调区扩区总体规划、汨罗高新技术产业开发区新市片区土地利用规划等要求。厂区按功能划分为办公室、原料区、生产区、</w:t>
            </w:r>
            <w:r>
              <w:rPr>
                <w:sz w:val="21"/>
              </w:rPr>
              <w:t>成品区、一般固废间、危废间等</w:t>
            </w:r>
          </w:p>
        </w:tc>
        <w:tc>
          <w:tcPr>
            <w:tcW w:w="994" w:type="dxa"/>
            <w:tcBorders>
              <w:right w:val="nil"/>
            </w:tcBorders>
          </w:tcPr>
          <w:p w14:paraId="05CEC843">
            <w:pPr>
              <w:pStyle w:val="17"/>
              <w:jc w:val="left"/>
              <w:rPr>
                <w:b/>
                <w:sz w:val="20"/>
              </w:rPr>
            </w:pPr>
          </w:p>
          <w:p w14:paraId="03EEEB2C">
            <w:pPr>
              <w:pStyle w:val="17"/>
              <w:jc w:val="left"/>
              <w:rPr>
                <w:b/>
                <w:sz w:val="20"/>
              </w:rPr>
            </w:pPr>
          </w:p>
          <w:p w14:paraId="2DE8AB80">
            <w:pPr>
              <w:pStyle w:val="17"/>
              <w:jc w:val="left"/>
              <w:rPr>
                <w:b/>
                <w:sz w:val="20"/>
              </w:rPr>
            </w:pPr>
          </w:p>
          <w:p w14:paraId="31088DDA">
            <w:pPr>
              <w:pStyle w:val="17"/>
              <w:jc w:val="left"/>
              <w:rPr>
                <w:b/>
                <w:sz w:val="20"/>
              </w:rPr>
            </w:pPr>
          </w:p>
          <w:p w14:paraId="4FC1C608">
            <w:pPr>
              <w:pStyle w:val="17"/>
              <w:jc w:val="left"/>
              <w:rPr>
                <w:b/>
                <w:sz w:val="20"/>
              </w:rPr>
            </w:pPr>
          </w:p>
          <w:p w14:paraId="17B409F5">
            <w:pPr>
              <w:pStyle w:val="17"/>
              <w:spacing w:before="143"/>
              <w:ind w:left="157" w:right="157"/>
              <w:rPr>
                <w:sz w:val="21"/>
              </w:rPr>
            </w:pPr>
            <w:r>
              <w:rPr>
                <w:sz w:val="21"/>
              </w:rPr>
              <w:t>符合</w:t>
            </w:r>
          </w:p>
        </w:tc>
      </w:tr>
      <w:tr w14:paraId="173A4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2" w:hRule="atLeast"/>
        </w:trPr>
        <w:tc>
          <w:tcPr>
            <w:tcW w:w="4123" w:type="dxa"/>
            <w:tcBorders>
              <w:left w:val="nil"/>
            </w:tcBorders>
          </w:tcPr>
          <w:p w14:paraId="3D7E92EC">
            <w:pPr>
              <w:pStyle w:val="17"/>
              <w:spacing w:before="20" w:line="278" w:lineRule="auto"/>
              <w:ind w:left="111" w:right="15"/>
              <w:jc w:val="left"/>
              <w:rPr>
                <w:sz w:val="21"/>
              </w:rPr>
            </w:pPr>
            <w:r>
              <w:rPr>
                <w:spacing w:val="-9"/>
                <w:sz w:val="21"/>
              </w:rPr>
              <w:t>清洁生产要求：新建和改扩建的废塑料再生</w:t>
            </w:r>
            <w:r>
              <w:rPr>
                <w:spacing w:val="-12"/>
                <w:sz w:val="21"/>
              </w:rPr>
              <w:t>利用企业，应严格按照国家清洁生产相关规</w:t>
            </w:r>
            <w:r>
              <w:rPr>
                <w:spacing w:val="-16"/>
                <w:sz w:val="21"/>
              </w:rPr>
              <w:t>定等确定的生产工艺及设备指标、资源和能</w:t>
            </w:r>
            <w:r>
              <w:rPr>
                <w:spacing w:val="-14"/>
                <w:sz w:val="21"/>
              </w:rPr>
              <w:t>源消耗指标、资源综合利用指标、产品特征</w:t>
            </w:r>
            <w:r>
              <w:rPr>
                <w:spacing w:val="-9"/>
                <w:sz w:val="21"/>
              </w:rPr>
              <w:t>指标、污染物产生指标</w:t>
            </w:r>
            <w:r>
              <w:rPr>
                <w:sz w:val="21"/>
              </w:rPr>
              <w:t>（末端处理前</w:t>
            </w:r>
            <w:r>
              <w:rPr>
                <w:spacing w:val="-20"/>
                <w:sz w:val="21"/>
              </w:rPr>
              <w:t>）</w:t>
            </w:r>
            <w:r>
              <w:rPr>
                <w:spacing w:val="-10"/>
                <w:sz w:val="21"/>
              </w:rPr>
              <w:t>、清</w:t>
            </w:r>
            <w:r>
              <w:rPr>
                <w:spacing w:val="-15"/>
                <w:sz w:val="21"/>
              </w:rPr>
              <w:t>洁生产管理指标等进行建设和生产。实施强</w:t>
            </w:r>
            <w:r>
              <w:rPr>
                <w:spacing w:val="-15"/>
                <w:w w:val="95"/>
                <w:sz w:val="21"/>
              </w:rPr>
              <w:t xml:space="preserve">制性清洁生产审核的废塑料再生利用企业， </w:t>
            </w:r>
            <w:r>
              <w:rPr>
                <w:spacing w:val="-12"/>
                <w:sz w:val="21"/>
              </w:rPr>
              <w:t>应按照《清洁生产审核办法》的要求开展清</w:t>
            </w:r>
            <w:r>
              <w:rPr>
                <w:spacing w:val="-12"/>
                <w:w w:val="95"/>
                <w:sz w:val="21"/>
              </w:rPr>
              <w:t>洁生产审核，逐步淘汰技术落后、能耗高、</w:t>
            </w:r>
            <w:r>
              <w:rPr>
                <w:spacing w:val="-12"/>
                <w:sz w:val="21"/>
              </w:rPr>
              <w:t xml:space="preserve">资源综合利用率低和环境污染严重的工艺 </w:t>
            </w:r>
            <w:r>
              <w:rPr>
                <w:spacing w:val="-12"/>
                <w:w w:val="95"/>
                <w:sz w:val="21"/>
              </w:rPr>
              <w:t>和设备。废塑料的再生利用企业，应积极推</w:t>
            </w:r>
          </w:p>
          <w:p w14:paraId="414445DF">
            <w:pPr>
              <w:pStyle w:val="17"/>
              <w:spacing w:line="268" w:lineRule="exact"/>
              <w:ind w:left="111"/>
              <w:jc w:val="left"/>
              <w:rPr>
                <w:sz w:val="21"/>
              </w:rPr>
            </w:pPr>
            <w:r>
              <w:rPr>
                <w:w w:val="95"/>
                <w:sz w:val="21"/>
              </w:rPr>
              <w:t>进工艺、技术和设备提升改造，积极应用先</w:t>
            </w:r>
          </w:p>
        </w:tc>
        <w:tc>
          <w:tcPr>
            <w:tcW w:w="3402" w:type="dxa"/>
          </w:tcPr>
          <w:p w14:paraId="0507AEFA">
            <w:pPr>
              <w:pStyle w:val="17"/>
              <w:jc w:val="left"/>
              <w:rPr>
                <w:b/>
                <w:sz w:val="20"/>
              </w:rPr>
            </w:pPr>
          </w:p>
          <w:p w14:paraId="0310B72E">
            <w:pPr>
              <w:pStyle w:val="17"/>
              <w:jc w:val="left"/>
              <w:rPr>
                <w:b/>
                <w:sz w:val="20"/>
              </w:rPr>
            </w:pPr>
          </w:p>
          <w:p w14:paraId="10B89DC1">
            <w:pPr>
              <w:pStyle w:val="17"/>
              <w:jc w:val="left"/>
              <w:rPr>
                <w:b/>
                <w:sz w:val="20"/>
              </w:rPr>
            </w:pPr>
          </w:p>
          <w:p w14:paraId="3C227884">
            <w:pPr>
              <w:pStyle w:val="17"/>
              <w:spacing w:before="8"/>
              <w:jc w:val="left"/>
              <w:rPr>
                <w:b/>
                <w:sz w:val="14"/>
              </w:rPr>
            </w:pPr>
          </w:p>
          <w:p w14:paraId="15EB39D5">
            <w:pPr>
              <w:pStyle w:val="17"/>
              <w:spacing w:line="278" w:lineRule="auto"/>
              <w:ind w:left="126" w:right="114"/>
              <w:rPr>
                <w:sz w:val="21"/>
              </w:rPr>
            </w:pPr>
            <w:r>
              <w:rPr>
                <w:w w:val="95"/>
                <w:sz w:val="21"/>
              </w:rPr>
              <w:t>本项目严格按照国家清洁生产相关</w:t>
            </w:r>
            <w:r>
              <w:rPr>
                <w:sz w:val="21"/>
              </w:rPr>
              <w:t xml:space="preserve">规定等确定的生产工艺及设备指 </w:t>
            </w:r>
            <w:r>
              <w:rPr>
                <w:w w:val="95"/>
                <w:sz w:val="21"/>
              </w:rPr>
              <w:t>标、资源和能源消耗指标、资源综合利用指标、产品特征指标、污染物产生指标（末端处理前）、清洁</w:t>
            </w:r>
            <w:r>
              <w:rPr>
                <w:sz w:val="21"/>
              </w:rPr>
              <w:t>生产管理指标等进行建设和生产</w:t>
            </w:r>
          </w:p>
        </w:tc>
        <w:tc>
          <w:tcPr>
            <w:tcW w:w="994" w:type="dxa"/>
            <w:tcBorders>
              <w:right w:val="nil"/>
            </w:tcBorders>
          </w:tcPr>
          <w:p w14:paraId="5282F960">
            <w:pPr>
              <w:pStyle w:val="17"/>
              <w:jc w:val="left"/>
              <w:rPr>
                <w:b/>
                <w:sz w:val="20"/>
              </w:rPr>
            </w:pPr>
          </w:p>
          <w:p w14:paraId="053C2503">
            <w:pPr>
              <w:pStyle w:val="17"/>
              <w:jc w:val="left"/>
              <w:rPr>
                <w:b/>
                <w:sz w:val="20"/>
              </w:rPr>
            </w:pPr>
          </w:p>
          <w:p w14:paraId="5BF3889D">
            <w:pPr>
              <w:pStyle w:val="17"/>
              <w:jc w:val="left"/>
              <w:rPr>
                <w:b/>
                <w:sz w:val="20"/>
              </w:rPr>
            </w:pPr>
          </w:p>
          <w:p w14:paraId="1F5D97D9">
            <w:pPr>
              <w:pStyle w:val="17"/>
              <w:jc w:val="left"/>
              <w:rPr>
                <w:b/>
                <w:sz w:val="20"/>
              </w:rPr>
            </w:pPr>
          </w:p>
          <w:p w14:paraId="47AA12E0">
            <w:pPr>
              <w:pStyle w:val="17"/>
              <w:jc w:val="left"/>
              <w:rPr>
                <w:b/>
                <w:sz w:val="20"/>
              </w:rPr>
            </w:pPr>
          </w:p>
          <w:p w14:paraId="2B578626">
            <w:pPr>
              <w:pStyle w:val="17"/>
              <w:jc w:val="left"/>
              <w:rPr>
                <w:b/>
                <w:sz w:val="20"/>
              </w:rPr>
            </w:pPr>
          </w:p>
          <w:p w14:paraId="73456F71">
            <w:pPr>
              <w:pStyle w:val="17"/>
              <w:spacing w:before="6"/>
              <w:jc w:val="left"/>
              <w:rPr>
                <w:b/>
                <w:sz w:val="15"/>
              </w:rPr>
            </w:pPr>
          </w:p>
          <w:p w14:paraId="79233F77">
            <w:pPr>
              <w:pStyle w:val="17"/>
              <w:ind w:left="157" w:right="157"/>
              <w:rPr>
                <w:sz w:val="21"/>
              </w:rPr>
            </w:pPr>
            <w:r>
              <w:rPr>
                <w:sz w:val="21"/>
              </w:rPr>
              <w:t>符合</w:t>
            </w:r>
          </w:p>
        </w:tc>
      </w:tr>
    </w:tbl>
    <w:p w14:paraId="7BF01D75">
      <w:pPr>
        <w:spacing w:after="0"/>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3"/>
        <w:gridCol w:w="3402"/>
        <w:gridCol w:w="994"/>
      </w:tblGrid>
      <w:tr w14:paraId="6B139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23" w:type="dxa"/>
            <w:tcBorders>
              <w:left w:val="nil"/>
            </w:tcBorders>
          </w:tcPr>
          <w:p w14:paraId="1F1803D3">
            <w:pPr>
              <w:pStyle w:val="17"/>
              <w:spacing w:before="21"/>
              <w:ind w:left="1225"/>
              <w:jc w:val="left"/>
              <w:rPr>
                <w:sz w:val="21"/>
              </w:rPr>
            </w:pPr>
            <w:r>
              <w:rPr>
                <w:sz w:val="21"/>
              </w:rPr>
              <w:t>进的清洁生产技术</w:t>
            </w:r>
          </w:p>
        </w:tc>
        <w:tc>
          <w:tcPr>
            <w:tcW w:w="3402" w:type="dxa"/>
          </w:tcPr>
          <w:p w14:paraId="204DC6AA">
            <w:pPr>
              <w:pStyle w:val="17"/>
              <w:jc w:val="left"/>
              <w:rPr>
                <w:rFonts w:ascii="Times New Roman"/>
                <w:sz w:val="20"/>
              </w:rPr>
            </w:pPr>
          </w:p>
        </w:tc>
        <w:tc>
          <w:tcPr>
            <w:tcW w:w="994" w:type="dxa"/>
            <w:tcBorders>
              <w:right w:val="nil"/>
            </w:tcBorders>
          </w:tcPr>
          <w:p w14:paraId="5CAF0461">
            <w:pPr>
              <w:pStyle w:val="17"/>
              <w:jc w:val="left"/>
              <w:rPr>
                <w:rFonts w:ascii="Times New Roman"/>
                <w:sz w:val="20"/>
              </w:rPr>
            </w:pPr>
          </w:p>
        </w:tc>
      </w:tr>
      <w:tr w14:paraId="5ED20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4123" w:type="dxa"/>
            <w:tcBorders>
              <w:left w:val="nil"/>
            </w:tcBorders>
          </w:tcPr>
          <w:p w14:paraId="0673F98C">
            <w:pPr>
              <w:pStyle w:val="17"/>
              <w:spacing w:before="177" w:line="278" w:lineRule="auto"/>
              <w:ind w:left="111" w:right="15"/>
              <w:rPr>
                <w:sz w:val="21"/>
              </w:rPr>
            </w:pPr>
            <w:r>
              <w:rPr>
                <w:w w:val="95"/>
                <w:sz w:val="21"/>
              </w:rPr>
              <w:t xml:space="preserve">监测要求：废塑料的再生利用和处置企业， </w:t>
            </w:r>
            <w:r>
              <w:rPr>
                <w:sz w:val="21"/>
              </w:rPr>
              <w:t>应按照排污许可证、</w:t>
            </w:r>
            <w:r>
              <w:rPr>
                <w:rFonts w:ascii="Times New Roman" w:eastAsia="Times New Roman"/>
                <w:sz w:val="21"/>
              </w:rPr>
              <w:t xml:space="preserve">HJ 819 </w:t>
            </w:r>
            <w:r>
              <w:rPr>
                <w:sz w:val="21"/>
              </w:rPr>
              <w:t>以及本标准的</w:t>
            </w:r>
            <w:r>
              <w:rPr>
                <w:spacing w:val="-10"/>
                <w:sz w:val="21"/>
              </w:rPr>
              <w:t xml:space="preserve">要求，制定自行监测方案，对废塑料的利用处置过程污染物排放状况及周边环境质量 </w:t>
            </w:r>
            <w:r>
              <w:rPr>
                <w:spacing w:val="-10"/>
                <w:w w:val="95"/>
                <w:sz w:val="21"/>
              </w:rPr>
              <w:t xml:space="preserve">的影响开展自行监测，保存原始监测记录， </w:t>
            </w:r>
            <w:r>
              <w:rPr>
                <w:spacing w:val="-14"/>
                <w:sz w:val="21"/>
              </w:rPr>
              <w:t>并依规进行信息公开。不同污染物的采样监</w:t>
            </w:r>
            <w:r>
              <w:rPr>
                <w:spacing w:val="-18"/>
                <w:sz w:val="21"/>
              </w:rPr>
              <w:t>测方法和频次执行相关国家和行业标准，保留监测记录以及特殊情况记录</w:t>
            </w:r>
          </w:p>
        </w:tc>
        <w:tc>
          <w:tcPr>
            <w:tcW w:w="3402" w:type="dxa"/>
          </w:tcPr>
          <w:p w14:paraId="5C2D07FF">
            <w:pPr>
              <w:pStyle w:val="17"/>
              <w:spacing w:before="21" w:line="278" w:lineRule="auto"/>
              <w:ind w:left="106" w:right="-15" w:firstLine="7"/>
              <w:jc w:val="left"/>
              <w:rPr>
                <w:sz w:val="21"/>
              </w:rPr>
            </w:pPr>
            <w:r>
              <w:rPr>
                <w:sz w:val="21"/>
              </w:rPr>
              <w:t>本项目按照排污许可证、</w:t>
            </w:r>
            <w:r>
              <w:rPr>
                <w:rFonts w:ascii="Times New Roman" w:eastAsia="Times New Roman"/>
                <w:sz w:val="21"/>
              </w:rPr>
              <w:t>HJ</w:t>
            </w:r>
            <w:r>
              <w:rPr>
                <w:rFonts w:ascii="Times New Roman" w:eastAsia="Times New Roman"/>
                <w:spacing w:val="-2"/>
                <w:sz w:val="21"/>
              </w:rPr>
              <w:t xml:space="preserve"> </w:t>
            </w:r>
            <w:r>
              <w:rPr>
                <w:rFonts w:ascii="Times New Roman" w:eastAsia="Times New Roman"/>
                <w:sz w:val="21"/>
              </w:rPr>
              <w:t>819</w:t>
            </w:r>
            <w:r>
              <w:rPr>
                <w:rFonts w:ascii="Times New Roman" w:eastAsia="Times New Roman"/>
                <w:spacing w:val="-3"/>
                <w:sz w:val="21"/>
              </w:rPr>
              <w:t xml:space="preserve"> </w:t>
            </w:r>
            <w:r>
              <w:rPr>
                <w:sz w:val="21"/>
              </w:rPr>
              <w:t>以及本标准的要求，制定自行监测方案，对废塑料的利用处置过程污染物排放状况及周边环境质量的影响</w:t>
            </w:r>
            <w:r>
              <w:rPr>
                <w:spacing w:val="-8"/>
                <w:sz w:val="21"/>
              </w:rPr>
              <w:t>开展自行监测，保存原始监测记录， 并依规进行信息公开。不同污染物的采样监测方法和频次执行相关国家和行业标准，保留监测记录以及</w:t>
            </w:r>
          </w:p>
          <w:p w14:paraId="79A7A02C">
            <w:pPr>
              <w:pStyle w:val="17"/>
              <w:spacing w:line="268" w:lineRule="exact"/>
              <w:ind w:left="1071"/>
              <w:jc w:val="left"/>
              <w:rPr>
                <w:sz w:val="21"/>
              </w:rPr>
            </w:pPr>
            <w:r>
              <w:rPr>
                <w:sz w:val="21"/>
              </w:rPr>
              <w:t>特殊情况记录</w:t>
            </w:r>
          </w:p>
        </w:tc>
        <w:tc>
          <w:tcPr>
            <w:tcW w:w="994" w:type="dxa"/>
            <w:tcBorders>
              <w:right w:val="nil"/>
            </w:tcBorders>
          </w:tcPr>
          <w:p w14:paraId="7A527FA0">
            <w:pPr>
              <w:pStyle w:val="17"/>
              <w:jc w:val="left"/>
              <w:rPr>
                <w:b/>
                <w:sz w:val="20"/>
              </w:rPr>
            </w:pPr>
          </w:p>
          <w:p w14:paraId="43A77B6F">
            <w:pPr>
              <w:pStyle w:val="17"/>
              <w:jc w:val="left"/>
              <w:rPr>
                <w:b/>
                <w:sz w:val="20"/>
              </w:rPr>
            </w:pPr>
          </w:p>
          <w:p w14:paraId="3963527C">
            <w:pPr>
              <w:pStyle w:val="17"/>
              <w:jc w:val="left"/>
              <w:rPr>
                <w:b/>
                <w:sz w:val="20"/>
              </w:rPr>
            </w:pPr>
          </w:p>
          <w:p w14:paraId="6CC2CCF7">
            <w:pPr>
              <w:pStyle w:val="17"/>
              <w:jc w:val="left"/>
              <w:rPr>
                <w:b/>
                <w:sz w:val="20"/>
              </w:rPr>
            </w:pPr>
          </w:p>
          <w:p w14:paraId="0426DACB">
            <w:pPr>
              <w:pStyle w:val="17"/>
              <w:spacing w:before="1"/>
              <w:jc w:val="left"/>
              <w:rPr>
                <w:b/>
                <w:sz w:val="19"/>
              </w:rPr>
            </w:pPr>
          </w:p>
          <w:p w14:paraId="3E0DD799">
            <w:pPr>
              <w:pStyle w:val="17"/>
              <w:ind w:left="157" w:right="157"/>
              <w:rPr>
                <w:sz w:val="21"/>
              </w:rPr>
            </w:pPr>
            <w:r>
              <w:rPr>
                <w:sz w:val="21"/>
              </w:rPr>
              <w:t>符合</w:t>
            </w:r>
          </w:p>
        </w:tc>
      </w:tr>
      <w:tr w14:paraId="4590B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25" w:type="dxa"/>
            <w:gridSpan w:val="2"/>
            <w:tcBorders>
              <w:left w:val="nil"/>
            </w:tcBorders>
          </w:tcPr>
          <w:p w14:paraId="1BF4DEBA">
            <w:pPr>
              <w:pStyle w:val="17"/>
              <w:spacing w:before="35"/>
              <w:ind w:left="1981"/>
              <w:jc w:val="left"/>
              <w:rPr>
                <w:sz w:val="21"/>
              </w:rPr>
            </w:pPr>
            <w:r>
              <w:rPr>
                <w:sz w:val="21"/>
              </w:rPr>
              <w:t>十、属于危险废物的废塑料的特殊要求</w:t>
            </w:r>
          </w:p>
        </w:tc>
        <w:tc>
          <w:tcPr>
            <w:tcW w:w="994" w:type="dxa"/>
            <w:tcBorders>
              <w:right w:val="nil"/>
            </w:tcBorders>
          </w:tcPr>
          <w:p w14:paraId="20B73A4E">
            <w:pPr>
              <w:pStyle w:val="17"/>
              <w:jc w:val="left"/>
              <w:rPr>
                <w:rFonts w:ascii="Times New Roman"/>
                <w:sz w:val="20"/>
              </w:rPr>
            </w:pPr>
          </w:p>
        </w:tc>
      </w:tr>
      <w:tr w14:paraId="3A0BC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4123" w:type="dxa"/>
            <w:tcBorders>
              <w:left w:val="nil"/>
            </w:tcBorders>
          </w:tcPr>
          <w:p w14:paraId="77998B10">
            <w:pPr>
              <w:pStyle w:val="17"/>
              <w:spacing w:before="21" w:line="278" w:lineRule="auto"/>
              <w:ind w:left="111" w:right="15"/>
              <w:jc w:val="left"/>
              <w:rPr>
                <w:sz w:val="21"/>
              </w:rPr>
            </w:pPr>
            <w:r>
              <w:rPr>
                <w:spacing w:val="-8"/>
                <w:sz w:val="21"/>
              </w:rPr>
              <w:t>医疗废物中的废塑料按照《医疗废物管理条</w:t>
            </w:r>
            <w:r>
              <w:rPr>
                <w:spacing w:val="-11"/>
                <w:sz w:val="21"/>
              </w:rPr>
              <w:t>例》要求进行收集和处置。农药包装废弃物</w:t>
            </w:r>
            <w:r>
              <w:rPr>
                <w:spacing w:val="-11"/>
                <w:w w:val="95"/>
                <w:sz w:val="21"/>
              </w:rPr>
              <w:t>按照《农药包装废弃物回收处理管理办法》</w:t>
            </w:r>
            <w:r>
              <w:rPr>
                <w:spacing w:val="-13"/>
                <w:sz w:val="21"/>
              </w:rPr>
              <w:t>要求进行收集、利用、处置。含有或者沾染</w:t>
            </w:r>
            <w:r>
              <w:rPr>
                <w:spacing w:val="-15"/>
                <w:sz w:val="21"/>
              </w:rPr>
              <w:t>危险废物的塑料类包装物，应处理并符合相</w:t>
            </w:r>
            <w:r>
              <w:rPr>
                <w:spacing w:val="-14"/>
                <w:sz w:val="21"/>
              </w:rPr>
              <w:t>关标准要求后，优先用于原始用途，不能再</w:t>
            </w:r>
          </w:p>
          <w:p w14:paraId="0E525182">
            <w:pPr>
              <w:pStyle w:val="17"/>
              <w:spacing w:line="268" w:lineRule="exact"/>
              <w:ind w:left="176"/>
              <w:jc w:val="left"/>
              <w:rPr>
                <w:sz w:val="21"/>
              </w:rPr>
            </w:pPr>
            <w:r>
              <w:rPr>
                <w:sz w:val="21"/>
              </w:rPr>
              <w:t>次使用的按照危险废物相关规定利用处置</w:t>
            </w:r>
          </w:p>
        </w:tc>
        <w:tc>
          <w:tcPr>
            <w:tcW w:w="3402" w:type="dxa"/>
          </w:tcPr>
          <w:p w14:paraId="22A1CBD6">
            <w:pPr>
              <w:pStyle w:val="17"/>
              <w:jc w:val="left"/>
              <w:rPr>
                <w:b/>
                <w:sz w:val="20"/>
              </w:rPr>
            </w:pPr>
          </w:p>
          <w:p w14:paraId="3CBCA66B">
            <w:pPr>
              <w:pStyle w:val="17"/>
              <w:spacing w:before="2"/>
              <w:jc w:val="left"/>
              <w:rPr>
                <w:b/>
                <w:sz w:val="18"/>
              </w:rPr>
            </w:pPr>
          </w:p>
          <w:p w14:paraId="29362486">
            <w:pPr>
              <w:pStyle w:val="17"/>
              <w:spacing w:line="278" w:lineRule="auto"/>
              <w:ind w:left="126" w:right="117"/>
              <w:rPr>
                <w:sz w:val="21"/>
              </w:rPr>
            </w:pPr>
            <w:r>
              <w:rPr>
                <w:sz w:val="21"/>
              </w:rPr>
              <w:t xml:space="preserve">本项目使用已破碎清洗后的废 </w:t>
            </w:r>
            <w:r>
              <w:rPr>
                <w:rFonts w:ascii="Times New Roman" w:eastAsia="Times New Roman"/>
                <w:sz w:val="21"/>
              </w:rPr>
              <w:t xml:space="preserve">PE </w:t>
            </w:r>
            <w:r>
              <w:rPr>
                <w:sz w:val="21"/>
              </w:rPr>
              <w:t xml:space="preserve">塑料经熔融造粒后的 </w:t>
            </w:r>
            <w:r>
              <w:rPr>
                <w:rFonts w:ascii="Times New Roman" w:eastAsia="Times New Roman"/>
                <w:sz w:val="21"/>
              </w:rPr>
              <w:t xml:space="preserve">PE </w:t>
            </w:r>
            <w:r>
              <w:rPr>
                <w:sz w:val="21"/>
              </w:rPr>
              <w:t>再生塑料</w:t>
            </w:r>
            <w:r>
              <w:rPr>
                <w:w w:val="95"/>
                <w:sz w:val="21"/>
              </w:rPr>
              <w:t>颗粒作为原料，不使用属于危险废</w:t>
            </w:r>
            <w:r>
              <w:rPr>
                <w:sz w:val="21"/>
              </w:rPr>
              <w:t>物的废塑料</w:t>
            </w:r>
          </w:p>
        </w:tc>
        <w:tc>
          <w:tcPr>
            <w:tcW w:w="994" w:type="dxa"/>
            <w:tcBorders>
              <w:right w:val="nil"/>
            </w:tcBorders>
          </w:tcPr>
          <w:p w14:paraId="749D5E2D">
            <w:pPr>
              <w:pStyle w:val="17"/>
              <w:jc w:val="left"/>
              <w:rPr>
                <w:b/>
                <w:sz w:val="20"/>
              </w:rPr>
            </w:pPr>
          </w:p>
          <w:p w14:paraId="1971E456">
            <w:pPr>
              <w:pStyle w:val="17"/>
              <w:jc w:val="left"/>
              <w:rPr>
                <w:b/>
                <w:sz w:val="20"/>
              </w:rPr>
            </w:pPr>
          </w:p>
          <w:p w14:paraId="37F97284">
            <w:pPr>
              <w:pStyle w:val="17"/>
              <w:jc w:val="left"/>
              <w:rPr>
                <w:b/>
                <w:sz w:val="20"/>
              </w:rPr>
            </w:pPr>
          </w:p>
          <w:p w14:paraId="68678795">
            <w:pPr>
              <w:pStyle w:val="17"/>
              <w:spacing w:before="9"/>
              <w:jc w:val="left"/>
              <w:rPr>
                <w:b/>
                <w:sz w:val="14"/>
              </w:rPr>
            </w:pPr>
          </w:p>
          <w:p w14:paraId="3581B235">
            <w:pPr>
              <w:pStyle w:val="17"/>
              <w:ind w:left="162" w:right="157"/>
              <w:rPr>
                <w:sz w:val="21"/>
              </w:rPr>
            </w:pPr>
            <w:r>
              <w:rPr>
                <w:sz w:val="21"/>
              </w:rPr>
              <w:t>不涉及</w:t>
            </w:r>
          </w:p>
        </w:tc>
      </w:tr>
    </w:tbl>
    <w:p w14:paraId="7CB9FBD1">
      <w:pPr>
        <w:pStyle w:val="10"/>
        <w:spacing w:before="80" w:line="364" w:lineRule="auto"/>
        <w:ind w:left="220" w:right="280" w:firstLine="480"/>
      </w:pPr>
      <w:r>
        <w:t>通过上表分析，项目符合《废塑料污染控制技术规范》（</w:t>
      </w:r>
      <w:r>
        <w:rPr>
          <w:rFonts w:ascii="Times New Roman" w:eastAsia="Times New Roman"/>
        </w:rPr>
        <w:t>HJ364-2022</w:t>
      </w:r>
      <w:r>
        <w:t>）相关要求。</w:t>
      </w:r>
    </w:p>
    <w:p w14:paraId="605E8943">
      <w:pPr>
        <w:pStyle w:val="9"/>
        <w:spacing w:before="1" w:line="364" w:lineRule="auto"/>
        <w:ind w:left="220" w:right="241" w:firstLine="480"/>
      </w:pPr>
      <w:r>
        <w:rPr>
          <w:spacing w:val="-8"/>
        </w:rPr>
        <w:t>（</w:t>
      </w:r>
      <w:r>
        <w:rPr>
          <w:rFonts w:ascii="Times New Roman" w:hAnsi="Times New Roman" w:eastAsia="Times New Roman"/>
          <w:spacing w:val="-8"/>
        </w:rPr>
        <w:t>6</w:t>
      </w:r>
      <w:r>
        <w:rPr>
          <w:spacing w:val="-8"/>
        </w:rPr>
        <w:t>）</w:t>
      </w:r>
      <w:r>
        <w:rPr>
          <w:spacing w:val="-12"/>
        </w:rPr>
        <w:t>与《“十四五”塑料污染治理行动方案》</w:t>
      </w:r>
      <w:r>
        <w:t>（</w:t>
      </w:r>
      <w:r>
        <w:rPr>
          <w:spacing w:val="-5"/>
        </w:rPr>
        <w:t>发改环资〔</w:t>
      </w:r>
      <w:r>
        <w:rPr>
          <w:rFonts w:ascii="Times New Roman" w:hAnsi="Times New Roman" w:eastAsia="Times New Roman"/>
        </w:rPr>
        <w:t>2021</w:t>
      </w:r>
      <w:r>
        <w:rPr>
          <w:spacing w:val="-22"/>
        </w:rPr>
        <w:t>〕</w:t>
      </w:r>
      <w:r>
        <w:rPr>
          <w:rFonts w:ascii="Times New Roman" w:hAnsi="Times New Roman" w:eastAsia="Times New Roman"/>
        </w:rPr>
        <w:t xml:space="preserve">1298 </w:t>
      </w:r>
      <w:r>
        <w:t>号） 符合性分析</w:t>
      </w:r>
    </w:p>
    <w:p w14:paraId="69C508A5">
      <w:pPr>
        <w:pStyle w:val="9"/>
        <w:spacing w:before="1"/>
        <w:ind w:left="728"/>
      </w:pPr>
      <w:r>
        <w:pict>
          <v:group id="_x0000_s1211" o:spid="_x0000_s1211" o:spt="203" style="position:absolute;left:0pt;margin-left:85.05pt;margin-top:19.45pt;height:18pt;width:425.2pt;mso-position-horizontal-relative:page;mso-wrap-distance-bottom:0pt;mso-wrap-distance-top:0pt;z-index:251659264;mso-width-relative:page;mso-height-relative:page;" coordorigin="1701,389" coordsize="8504,360">
            <o:lock v:ext="edit"/>
            <v:line id="_x0000_s1212" o:spid="_x0000_s1212" o:spt="20" style="position:absolute;left:1701;top:394;height:0;width:8504;" stroked="t" coordsize="21600,21600">
              <v:path arrowok="t"/>
              <v:fill focussize="0,0"/>
              <v:stroke weight="0.48pt" color="#000000"/>
              <v:imagedata o:title=""/>
              <o:lock v:ext="edit"/>
            </v:line>
            <v:line id="_x0000_s1213" o:spid="_x0000_s1213" o:spt="20" style="position:absolute;left:1701;top:744;height:0;width:8504;" stroked="t" coordsize="21600,21600">
              <v:path arrowok="t"/>
              <v:fill focussize="0,0"/>
              <v:stroke weight="0.48pt" color="#000000"/>
              <v:imagedata o:title=""/>
              <o:lock v:ext="edit"/>
            </v:line>
            <v:line id="_x0000_s1214" o:spid="_x0000_s1214" o:spt="20" style="position:absolute;left:5893;top:389;height:350;width:0;" stroked="t" coordsize="21600,21600">
              <v:path arrowok="t"/>
              <v:fill focussize="0,0"/>
              <v:stroke weight="0.48pt" color="#000000"/>
              <v:imagedata o:title=""/>
              <o:lock v:ext="edit"/>
            </v:line>
            <v:shape id="_x0000_s1215" o:spid="_x0000_s1215" o:spt="202" type="#_x0000_t202" style="position:absolute;left:3376;top:464;height:209;width:858;" filled="f" stroked="f" coordsize="21600,21600">
              <v:path/>
              <v:fill on="f" focussize="0,0"/>
              <v:stroke on="f" joinstyle="miter"/>
              <v:imagedata o:title=""/>
              <o:lock v:ext="edit"/>
              <v:textbox inset="0mm,0mm,0mm,0mm">
                <w:txbxContent>
                  <w:p w14:paraId="1221262E">
                    <w:pPr>
                      <w:spacing w:before="0" w:line="209" w:lineRule="exact"/>
                      <w:ind w:left="0" w:right="0" w:firstLine="0"/>
                      <w:jc w:val="left"/>
                      <w:rPr>
                        <w:sz w:val="21"/>
                      </w:rPr>
                    </w:pPr>
                    <w:r>
                      <w:rPr>
                        <w:sz w:val="21"/>
                      </w:rPr>
                      <w:t>相关规定</w:t>
                    </w:r>
                  </w:p>
                </w:txbxContent>
              </v:textbox>
            </v:shape>
            <v:shape id="_x0000_s1216" o:spid="_x0000_s1216" o:spt="202" type="#_x0000_t202" style="position:absolute;left:7524;top:464;height:209;width:1069;" filled="f" stroked="f" coordsize="21600,21600">
              <v:path/>
              <v:fill on="f" focussize="0,0"/>
              <v:stroke on="f" joinstyle="miter"/>
              <v:imagedata o:title=""/>
              <o:lock v:ext="edit"/>
              <v:textbox inset="0mm,0mm,0mm,0mm">
                <w:txbxContent>
                  <w:p w14:paraId="04FDF59D">
                    <w:pPr>
                      <w:spacing w:before="0" w:line="209" w:lineRule="exact"/>
                      <w:ind w:left="0" w:right="0" w:firstLine="0"/>
                      <w:jc w:val="left"/>
                      <w:rPr>
                        <w:sz w:val="21"/>
                      </w:rPr>
                    </w:pPr>
                    <w:r>
                      <w:rPr>
                        <w:sz w:val="21"/>
                      </w:rPr>
                      <w:t>相符性分析</w:t>
                    </w:r>
                  </w:p>
                </w:txbxContent>
              </v:textbox>
            </v:shape>
            <w10:wrap type="topAndBottom"/>
          </v:group>
        </w:pict>
      </w:r>
      <w:r>
        <w:rPr>
          <w:spacing w:val="-31"/>
        </w:rPr>
        <w:t xml:space="preserve">表 </w:t>
      </w:r>
      <w:r>
        <w:rPr>
          <w:rFonts w:ascii="Times New Roman" w:hAnsi="Times New Roman" w:eastAsia="Times New Roman"/>
        </w:rPr>
        <w:t>4</w:t>
      </w:r>
      <w:r>
        <w:rPr>
          <w:rFonts w:ascii="Times New Roman" w:hAnsi="Times New Roman" w:eastAsia="Times New Roman"/>
          <w:spacing w:val="58"/>
        </w:rPr>
        <w:t xml:space="preserve"> </w:t>
      </w:r>
      <w:r>
        <w:t>与《“十四五”塑料污染治理行动方案》相关要求相符性分析表</w:t>
      </w:r>
    </w:p>
    <w:p w14:paraId="5C190337">
      <w:pPr>
        <w:spacing w:before="6" w:after="36"/>
        <w:ind w:left="2168" w:right="0" w:firstLine="0"/>
        <w:jc w:val="left"/>
        <w:rPr>
          <w:sz w:val="21"/>
        </w:rPr>
      </w:pPr>
      <w:r>
        <w:rPr>
          <w:sz w:val="21"/>
        </w:rPr>
        <w:t>（二）加快推进塑料废弃物规范回收利用和处置</w:t>
      </w:r>
    </w:p>
    <w:tbl>
      <w:tblPr>
        <w:tblStyle w:val="13"/>
        <w:tblW w:w="0" w:type="auto"/>
        <w:tblInd w:w="1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192"/>
        <w:gridCol w:w="4312"/>
      </w:tblGrid>
      <w:tr w14:paraId="2AF0A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4192" w:type="dxa"/>
            <w:tcBorders>
              <w:top w:val="single" w:color="000000" w:sz="4" w:space="0"/>
              <w:right w:val="single" w:color="000000" w:sz="4" w:space="0"/>
            </w:tcBorders>
          </w:tcPr>
          <w:p w14:paraId="570ED344">
            <w:pPr>
              <w:pStyle w:val="17"/>
              <w:spacing w:before="21"/>
              <w:ind w:left="132"/>
              <w:jc w:val="left"/>
              <w:rPr>
                <w:sz w:val="21"/>
              </w:rPr>
            </w:pPr>
            <w:r>
              <w:rPr>
                <w:rFonts w:ascii="Times New Roman" w:eastAsia="Times New Roman"/>
                <w:w w:val="95"/>
                <w:sz w:val="21"/>
              </w:rPr>
              <w:t>6.</w:t>
            </w:r>
            <w:r>
              <w:rPr>
                <w:w w:val="95"/>
                <w:sz w:val="21"/>
              </w:rPr>
              <w:t>加大塑料废弃物再生利用。支持塑料废弃</w:t>
            </w:r>
          </w:p>
          <w:p w14:paraId="3B4D5625">
            <w:pPr>
              <w:pStyle w:val="17"/>
              <w:spacing w:before="43"/>
              <w:ind w:left="113"/>
              <w:jc w:val="left"/>
              <w:rPr>
                <w:sz w:val="21"/>
              </w:rPr>
            </w:pPr>
            <w:r>
              <w:rPr>
                <w:w w:val="95"/>
                <w:sz w:val="21"/>
              </w:rPr>
              <w:t>物再生利用项目建设，发布废塑料综合利用</w:t>
            </w:r>
          </w:p>
        </w:tc>
        <w:tc>
          <w:tcPr>
            <w:tcW w:w="4312" w:type="dxa"/>
            <w:tcBorders>
              <w:top w:val="single" w:color="000000" w:sz="4" w:space="0"/>
              <w:left w:val="single" w:color="000000" w:sz="4" w:space="0"/>
            </w:tcBorders>
          </w:tcPr>
          <w:p w14:paraId="6FD95C7E">
            <w:pPr>
              <w:pStyle w:val="17"/>
              <w:jc w:val="left"/>
              <w:rPr>
                <w:rFonts w:ascii="Times New Roman"/>
                <w:sz w:val="20"/>
              </w:rPr>
            </w:pPr>
          </w:p>
        </w:tc>
      </w:tr>
      <w:tr w14:paraId="09FEE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8" w:hRule="atLeast"/>
        </w:trPr>
        <w:tc>
          <w:tcPr>
            <w:tcW w:w="4192" w:type="dxa"/>
            <w:tcBorders>
              <w:right w:val="single" w:color="000000" w:sz="4" w:space="0"/>
            </w:tcBorders>
          </w:tcPr>
          <w:p w14:paraId="39AA3C8D">
            <w:pPr>
              <w:pStyle w:val="17"/>
              <w:spacing w:before="21" w:line="268" w:lineRule="exact"/>
              <w:ind w:left="75" w:right="64"/>
              <w:rPr>
                <w:sz w:val="21"/>
              </w:rPr>
            </w:pPr>
            <w:r>
              <w:rPr>
                <w:sz w:val="21"/>
              </w:rPr>
              <w:t>规范企业名单，引导相关项目向资源循环利</w:t>
            </w:r>
          </w:p>
        </w:tc>
        <w:tc>
          <w:tcPr>
            <w:tcW w:w="4312" w:type="dxa"/>
            <w:tcBorders>
              <w:left w:val="single" w:color="000000" w:sz="4" w:space="0"/>
            </w:tcBorders>
          </w:tcPr>
          <w:p w14:paraId="726FCC84">
            <w:pPr>
              <w:pStyle w:val="17"/>
              <w:jc w:val="left"/>
              <w:rPr>
                <w:rFonts w:ascii="Times New Roman"/>
                <w:sz w:val="20"/>
              </w:rPr>
            </w:pPr>
          </w:p>
        </w:tc>
      </w:tr>
      <w:tr w14:paraId="26634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9" w:hRule="atLeast"/>
        </w:trPr>
        <w:tc>
          <w:tcPr>
            <w:tcW w:w="4192" w:type="dxa"/>
            <w:tcBorders>
              <w:right w:val="single" w:color="000000" w:sz="4" w:space="0"/>
            </w:tcBorders>
          </w:tcPr>
          <w:p w14:paraId="6B7C4AAA">
            <w:pPr>
              <w:pStyle w:val="17"/>
              <w:spacing w:before="24"/>
              <w:ind w:left="113" w:firstLine="98"/>
              <w:jc w:val="left"/>
              <w:rPr>
                <w:sz w:val="21"/>
              </w:rPr>
            </w:pPr>
            <w:r>
              <w:rPr>
                <w:sz w:val="21"/>
              </w:rPr>
              <w:t>用基地、工业资源宗科利用基地等园区集</w:t>
            </w:r>
          </w:p>
          <w:p w14:paraId="009C2397">
            <w:pPr>
              <w:pStyle w:val="17"/>
              <w:spacing w:before="2" w:line="310" w:lineRule="atLeast"/>
              <w:ind w:left="113" w:right="82"/>
              <w:jc w:val="left"/>
              <w:rPr>
                <w:sz w:val="21"/>
              </w:rPr>
            </w:pPr>
            <w:r>
              <w:rPr>
                <w:w w:val="95"/>
                <w:sz w:val="21"/>
              </w:rPr>
              <w:t>聚，推动塑料废弃物再生利用产业规模化、</w:t>
            </w:r>
            <w:r>
              <w:rPr>
                <w:sz w:val="21"/>
              </w:rPr>
              <w:t>规范化、清洁化发展。加强塑料废弃物再生</w:t>
            </w:r>
          </w:p>
        </w:tc>
        <w:tc>
          <w:tcPr>
            <w:tcW w:w="4312" w:type="dxa"/>
            <w:tcBorders>
              <w:left w:val="single" w:color="000000" w:sz="4" w:space="0"/>
            </w:tcBorders>
          </w:tcPr>
          <w:p w14:paraId="0299612E">
            <w:pPr>
              <w:pStyle w:val="17"/>
              <w:spacing w:before="24"/>
              <w:ind w:left="106"/>
              <w:jc w:val="left"/>
              <w:rPr>
                <w:sz w:val="21"/>
              </w:rPr>
            </w:pPr>
            <w:r>
              <w:rPr>
                <w:sz w:val="21"/>
              </w:rPr>
              <w:t>本项目使用已破碎清洗后的废</w:t>
            </w:r>
            <w:r>
              <w:rPr>
                <w:rFonts w:ascii="Times New Roman" w:eastAsia="Times New Roman"/>
                <w:sz w:val="21"/>
              </w:rPr>
              <w:t xml:space="preserve">PE </w:t>
            </w:r>
            <w:r>
              <w:rPr>
                <w:sz w:val="21"/>
              </w:rPr>
              <w:t>塑料经熔融</w:t>
            </w:r>
          </w:p>
          <w:p w14:paraId="6BC4BC9E">
            <w:pPr>
              <w:pStyle w:val="17"/>
              <w:spacing w:before="2" w:line="310" w:lineRule="atLeast"/>
              <w:ind w:left="159" w:right="103" w:hanging="53"/>
              <w:jc w:val="left"/>
              <w:rPr>
                <w:sz w:val="21"/>
              </w:rPr>
            </w:pPr>
            <w:r>
              <w:rPr>
                <w:spacing w:val="-12"/>
                <w:sz w:val="21"/>
              </w:rPr>
              <w:t xml:space="preserve">造粒后的 </w:t>
            </w:r>
            <w:r>
              <w:rPr>
                <w:rFonts w:ascii="Times New Roman" w:eastAsia="Times New Roman"/>
                <w:sz w:val="21"/>
              </w:rPr>
              <w:t xml:space="preserve">PE </w:t>
            </w:r>
            <w:r>
              <w:rPr>
                <w:spacing w:val="-4"/>
                <w:sz w:val="21"/>
              </w:rPr>
              <w:t>再生塑料颗粒作为原料，；项目位于湖南省汨罗市高新技术产业开发区新市</w:t>
            </w:r>
          </w:p>
        </w:tc>
      </w:tr>
      <w:tr w14:paraId="620A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192" w:type="dxa"/>
            <w:tcBorders>
              <w:right w:val="single" w:color="000000" w:sz="4" w:space="0"/>
            </w:tcBorders>
          </w:tcPr>
          <w:p w14:paraId="6847939E">
            <w:pPr>
              <w:pStyle w:val="17"/>
              <w:spacing w:before="21"/>
              <w:ind w:left="78" w:right="64"/>
              <w:rPr>
                <w:sz w:val="21"/>
              </w:rPr>
            </w:pPr>
            <w:r>
              <w:rPr>
                <w:sz w:val="21"/>
              </w:rPr>
              <w:t>利用企业的环境监管，加大对小散乱企业和</w:t>
            </w:r>
          </w:p>
        </w:tc>
        <w:tc>
          <w:tcPr>
            <w:tcW w:w="4312" w:type="dxa"/>
            <w:tcBorders>
              <w:left w:val="single" w:color="000000" w:sz="4" w:space="0"/>
            </w:tcBorders>
          </w:tcPr>
          <w:p w14:paraId="79C64F4E">
            <w:pPr>
              <w:pStyle w:val="17"/>
              <w:spacing w:before="21"/>
              <w:ind w:left="35" w:right="32"/>
              <w:rPr>
                <w:sz w:val="21"/>
              </w:rPr>
            </w:pPr>
            <w:r>
              <w:rPr>
                <w:sz w:val="21"/>
              </w:rPr>
              <w:t>片区，属废塑料加工利用集散地；项目使用设</w:t>
            </w:r>
          </w:p>
        </w:tc>
      </w:tr>
      <w:tr w14:paraId="661E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192" w:type="dxa"/>
            <w:tcBorders>
              <w:right w:val="single" w:color="000000" w:sz="4" w:space="0"/>
            </w:tcBorders>
          </w:tcPr>
          <w:p w14:paraId="7138AEDF">
            <w:pPr>
              <w:pStyle w:val="17"/>
              <w:spacing w:before="21"/>
              <w:ind w:left="84" w:right="56"/>
              <w:rPr>
                <w:sz w:val="21"/>
              </w:rPr>
            </w:pPr>
            <w:r>
              <w:rPr>
                <w:sz w:val="21"/>
              </w:rPr>
              <w:t>违法违规行为的整治力度，防止二次污染。</w:t>
            </w:r>
          </w:p>
        </w:tc>
        <w:tc>
          <w:tcPr>
            <w:tcW w:w="4312" w:type="dxa"/>
            <w:tcBorders>
              <w:left w:val="single" w:color="000000" w:sz="4" w:space="0"/>
            </w:tcBorders>
          </w:tcPr>
          <w:p w14:paraId="500D0802">
            <w:pPr>
              <w:pStyle w:val="17"/>
              <w:spacing w:before="21"/>
              <w:ind w:left="35" w:right="32"/>
              <w:rPr>
                <w:sz w:val="21"/>
              </w:rPr>
            </w:pPr>
            <w:r>
              <w:rPr>
                <w:sz w:val="21"/>
              </w:rPr>
              <w:t>备为先进技术装备</w:t>
            </w:r>
          </w:p>
        </w:tc>
      </w:tr>
      <w:tr w14:paraId="4DE7A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right w:val="single" w:color="000000" w:sz="4" w:space="0"/>
            </w:tcBorders>
          </w:tcPr>
          <w:p w14:paraId="3491D22F">
            <w:pPr>
              <w:pStyle w:val="17"/>
              <w:spacing w:before="21"/>
              <w:ind w:left="75" w:right="64"/>
              <w:rPr>
                <w:sz w:val="21"/>
              </w:rPr>
            </w:pPr>
            <w:r>
              <w:rPr>
                <w:sz w:val="21"/>
              </w:rPr>
              <w:t>完善再生塑料有关标准，加快推广废塑料再</w:t>
            </w:r>
          </w:p>
        </w:tc>
        <w:tc>
          <w:tcPr>
            <w:tcW w:w="4312" w:type="dxa"/>
            <w:tcBorders>
              <w:left w:val="single" w:color="000000" w:sz="4" w:space="0"/>
            </w:tcBorders>
          </w:tcPr>
          <w:p w14:paraId="5EE91C8C">
            <w:pPr>
              <w:pStyle w:val="17"/>
              <w:jc w:val="left"/>
              <w:rPr>
                <w:rFonts w:ascii="Times New Roman"/>
                <w:sz w:val="20"/>
              </w:rPr>
            </w:pPr>
          </w:p>
        </w:tc>
      </w:tr>
      <w:tr w14:paraId="4EAD1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right w:val="single" w:color="000000" w:sz="4" w:space="0"/>
            </w:tcBorders>
          </w:tcPr>
          <w:p w14:paraId="0726ABC7">
            <w:pPr>
              <w:pStyle w:val="17"/>
              <w:spacing w:before="21"/>
              <w:ind w:left="78" w:right="64"/>
              <w:rPr>
                <w:sz w:val="21"/>
              </w:rPr>
            </w:pPr>
            <w:r>
              <w:rPr>
                <w:sz w:val="21"/>
              </w:rPr>
              <w:t>生利用先进适用技术装备，鼓励塑料废弃物</w:t>
            </w:r>
          </w:p>
        </w:tc>
        <w:tc>
          <w:tcPr>
            <w:tcW w:w="4312" w:type="dxa"/>
            <w:tcBorders>
              <w:left w:val="single" w:color="000000" w:sz="4" w:space="0"/>
            </w:tcBorders>
          </w:tcPr>
          <w:p w14:paraId="68B85E55">
            <w:pPr>
              <w:pStyle w:val="17"/>
              <w:jc w:val="left"/>
              <w:rPr>
                <w:rFonts w:ascii="Times New Roman"/>
                <w:sz w:val="20"/>
              </w:rPr>
            </w:pPr>
          </w:p>
        </w:tc>
      </w:tr>
      <w:tr w14:paraId="79BD7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4192" w:type="dxa"/>
            <w:tcBorders>
              <w:bottom w:val="single" w:color="000000" w:sz="4" w:space="0"/>
              <w:right w:val="single" w:color="000000" w:sz="4" w:space="0"/>
            </w:tcBorders>
          </w:tcPr>
          <w:p w14:paraId="1FF1A419">
            <w:pPr>
              <w:pStyle w:val="17"/>
              <w:spacing w:before="21"/>
              <w:ind w:left="78" w:right="64"/>
              <w:rPr>
                <w:sz w:val="21"/>
              </w:rPr>
            </w:pPr>
            <w:r>
              <w:rPr>
                <w:sz w:val="21"/>
              </w:rPr>
              <w:t>同级化、高附加值利用</w:t>
            </w:r>
          </w:p>
        </w:tc>
        <w:tc>
          <w:tcPr>
            <w:tcW w:w="4312" w:type="dxa"/>
            <w:tcBorders>
              <w:left w:val="single" w:color="000000" w:sz="4" w:space="0"/>
              <w:bottom w:val="single" w:color="000000" w:sz="4" w:space="0"/>
            </w:tcBorders>
          </w:tcPr>
          <w:p w14:paraId="047D5953">
            <w:pPr>
              <w:pStyle w:val="17"/>
              <w:jc w:val="left"/>
              <w:rPr>
                <w:rFonts w:ascii="Times New Roman"/>
                <w:sz w:val="20"/>
              </w:rPr>
            </w:pPr>
          </w:p>
        </w:tc>
      </w:tr>
    </w:tbl>
    <w:p w14:paraId="3341A406">
      <w:pPr>
        <w:pStyle w:val="10"/>
        <w:spacing w:before="80"/>
        <w:ind w:left="700"/>
      </w:pPr>
      <w:r>
        <w:t>通过上表分析，项目符合《“十四五”塑料污染治理行动方案》（发改环资</w:t>
      </w:r>
    </w:p>
    <w:p w14:paraId="1604FD54">
      <w:pPr>
        <w:pStyle w:val="10"/>
        <w:spacing w:before="160"/>
        <w:ind w:left="220"/>
      </w:pPr>
      <w:r>
        <w:t>〔</w:t>
      </w:r>
      <w:r>
        <w:rPr>
          <w:rFonts w:ascii="Times New Roman" w:eastAsia="Times New Roman"/>
        </w:rPr>
        <w:t>2021</w:t>
      </w:r>
      <w:r>
        <w:t>〕</w:t>
      </w:r>
      <w:r>
        <w:rPr>
          <w:rFonts w:ascii="Times New Roman" w:eastAsia="Times New Roman"/>
        </w:rPr>
        <w:t xml:space="preserve">1298 </w:t>
      </w:r>
      <w:r>
        <w:t>号）相关要求。</w:t>
      </w:r>
    </w:p>
    <w:p w14:paraId="21AA3E51">
      <w:pPr>
        <w:pStyle w:val="9"/>
        <w:spacing w:before="161"/>
        <w:ind w:left="700"/>
      </w:pPr>
      <w:r>
        <w:t>（</w:t>
      </w:r>
      <w:r>
        <w:rPr>
          <w:rFonts w:ascii="Times New Roman" w:eastAsia="Times New Roman"/>
        </w:rPr>
        <w:t>7</w:t>
      </w:r>
      <w:r>
        <w:t>）与《国家发展改革委 生态环境部关于进一步加强塑料污染治理的意</w:t>
      </w:r>
    </w:p>
    <w:p w14:paraId="26BAD0FD">
      <w:pPr>
        <w:spacing w:after="0"/>
        <w:sectPr>
          <w:footerReference r:id="rId6" w:type="default"/>
          <w:pgSz w:w="11910" w:h="16840"/>
          <w:pgMar w:top="1420" w:right="1440" w:bottom="1140" w:left="1580" w:header="0" w:footer="944" w:gutter="0"/>
          <w:pgNumType w:start="10"/>
          <w:cols w:space="720" w:num="1"/>
        </w:sectPr>
      </w:pPr>
    </w:p>
    <w:p w14:paraId="5F8515B5">
      <w:pPr>
        <w:pStyle w:val="9"/>
        <w:spacing w:before="62"/>
        <w:ind w:left="220"/>
      </w:pPr>
      <w:r>
        <w:t>见》（发改环资〔</w:t>
      </w:r>
      <w:r>
        <w:rPr>
          <w:rFonts w:ascii="Times New Roman" w:eastAsia="Times New Roman"/>
        </w:rPr>
        <w:t>2020</w:t>
      </w:r>
      <w:r>
        <w:t>〕</w:t>
      </w:r>
      <w:r>
        <w:rPr>
          <w:rFonts w:ascii="Times New Roman" w:eastAsia="Times New Roman"/>
        </w:rPr>
        <w:t xml:space="preserve">80 </w:t>
      </w:r>
      <w:r>
        <w:t>号）符合性分析</w:t>
      </w:r>
    </w:p>
    <w:p w14:paraId="3F5B64CB">
      <w:pPr>
        <w:pStyle w:val="9"/>
        <w:spacing w:before="160" w:line="364" w:lineRule="auto"/>
        <w:ind w:left="3769" w:right="289" w:hanging="3550"/>
      </w:pPr>
      <w:r>
        <w:pict>
          <v:shape id="_x0000_s1217" o:spid="_x0000_s1217" o:spt="202" type="#_x0000_t202" style="position:absolute;left:0pt;margin-left:84.4pt;margin-top:50.75pt;height:178.8pt;width:426.7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2"/>
                    <w:gridCol w:w="3258"/>
                    <w:gridCol w:w="1249"/>
                  </w:tblGrid>
                  <w:tr w14:paraId="354A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2" w:type="dxa"/>
                        <w:tcBorders>
                          <w:left w:val="nil"/>
                        </w:tcBorders>
                      </w:tcPr>
                      <w:p w14:paraId="478EC278">
                        <w:pPr>
                          <w:pStyle w:val="17"/>
                          <w:spacing w:before="35"/>
                          <w:ind w:left="116" w:right="105"/>
                          <w:rPr>
                            <w:sz w:val="21"/>
                          </w:rPr>
                        </w:pPr>
                        <w:r>
                          <w:rPr>
                            <w:sz w:val="21"/>
                          </w:rPr>
                          <w:t>相关规定</w:t>
                        </w:r>
                      </w:p>
                    </w:tc>
                    <w:tc>
                      <w:tcPr>
                        <w:tcW w:w="3258" w:type="dxa"/>
                      </w:tcPr>
                      <w:p w14:paraId="61F9FA4B">
                        <w:pPr>
                          <w:pStyle w:val="17"/>
                          <w:spacing w:before="35"/>
                          <w:ind w:left="136" w:right="126"/>
                          <w:rPr>
                            <w:sz w:val="21"/>
                          </w:rPr>
                        </w:pPr>
                        <w:r>
                          <w:rPr>
                            <w:sz w:val="21"/>
                          </w:rPr>
                          <w:t>本项目建设内容</w:t>
                        </w:r>
                      </w:p>
                    </w:tc>
                    <w:tc>
                      <w:tcPr>
                        <w:tcW w:w="1249" w:type="dxa"/>
                        <w:tcBorders>
                          <w:right w:val="nil"/>
                        </w:tcBorders>
                      </w:tcPr>
                      <w:p w14:paraId="6A42CB4B">
                        <w:pPr>
                          <w:pStyle w:val="17"/>
                          <w:spacing w:before="35"/>
                          <w:ind w:left="183" w:right="180"/>
                          <w:rPr>
                            <w:sz w:val="21"/>
                          </w:rPr>
                        </w:pPr>
                        <w:r>
                          <w:rPr>
                            <w:sz w:val="21"/>
                          </w:rPr>
                          <w:t>是否相符</w:t>
                        </w:r>
                      </w:p>
                    </w:tc>
                  </w:tr>
                  <w:tr w14:paraId="6B9F8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70" w:type="dxa"/>
                        <w:gridSpan w:val="2"/>
                        <w:tcBorders>
                          <w:left w:val="nil"/>
                        </w:tcBorders>
                      </w:tcPr>
                      <w:p w14:paraId="3CF8948E">
                        <w:pPr>
                          <w:pStyle w:val="17"/>
                          <w:spacing w:before="36"/>
                          <w:ind w:left="2987" w:right="2978"/>
                          <w:rPr>
                            <w:sz w:val="21"/>
                          </w:rPr>
                        </w:pPr>
                        <w:r>
                          <w:rPr>
                            <w:sz w:val="21"/>
                          </w:rPr>
                          <w:t>一、总体要求</w:t>
                        </w:r>
                      </w:p>
                    </w:tc>
                    <w:tc>
                      <w:tcPr>
                        <w:tcW w:w="1249" w:type="dxa"/>
                        <w:tcBorders>
                          <w:right w:val="nil"/>
                        </w:tcBorders>
                      </w:tcPr>
                      <w:p w14:paraId="1BDD7D3D">
                        <w:pPr>
                          <w:pStyle w:val="17"/>
                          <w:jc w:val="left"/>
                          <w:rPr>
                            <w:rFonts w:ascii="Times New Roman"/>
                            <w:sz w:val="20"/>
                          </w:rPr>
                        </w:pPr>
                      </w:p>
                    </w:tc>
                  </w:tr>
                  <w:tr w14:paraId="75060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012" w:type="dxa"/>
                        <w:tcBorders>
                          <w:left w:val="nil"/>
                        </w:tcBorders>
                      </w:tcPr>
                      <w:p w14:paraId="70ABA6DB">
                        <w:pPr>
                          <w:pStyle w:val="17"/>
                          <w:spacing w:before="178" w:line="278" w:lineRule="auto"/>
                          <w:ind w:left="121" w:right="105"/>
                          <w:rPr>
                            <w:sz w:val="21"/>
                          </w:rPr>
                        </w:pPr>
                        <w:r>
                          <w:rPr>
                            <w:w w:val="95"/>
                            <w:sz w:val="21"/>
                          </w:rPr>
                          <w:t>规范塑料废弃物回收利用，建立健全塑料制品生产、流通、使用、回收处置等环节</w:t>
                        </w:r>
                        <w:r>
                          <w:rPr>
                            <w:sz w:val="21"/>
                          </w:rPr>
                          <w:t>的管理制度</w:t>
                        </w:r>
                      </w:p>
                    </w:tc>
                    <w:tc>
                      <w:tcPr>
                        <w:tcW w:w="3258" w:type="dxa"/>
                      </w:tcPr>
                      <w:p w14:paraId="6E409CF3">
                        <w:pPr>
                          <w:pStyle w:val="17"/>
                          <w:spacing w:before="22" w:line="278" w:lineRule="auto"/>
                          <w:ind w:left="107" w:right="97"/>
                          <w:jc w:val="both"/>
                          <w:rPr>
                            <w:sz w:val="21"/>
                          </w:rPr>
                        </w:pPr>
                        <w:r>
                          <w:rPr>
                            <w:spacing w:val="-5"/>
                            <w:sz w:val="21"/>
                          </w:rPr>
                          <w:t xml:space="preserve">本项目使用已破碎清洗后的废 </w:t>
                        </w:r>
                        <w:r>
                          <w:rPr>
                            <w:rFonts w:ascii="Times New Roman" w:eastAsia="Times New Roman"/>
                            <w:sz w:val="21"/>
                          </w:rPr>
                          <w:t xml:space="preserve">PE </w:t>
                        </w:r>
                        <w:r>
                          <w:rPr>
                            <w:spacing w:val="2"/>
                            <w:sz w:val="21"/>
                          </w:rPr>
                          <w:t>塑料经熔融造粒后的</w:t>
                        </w:r>
                        <w:r>
                          <w:rPr>
                            <w:rFonts w:ascii="Times New Roman" w:eastAsia="Times New Roman"/>
                            <w:sz w:val="21"/>
                          </w:rPr>
                          <w:t>PE</w:t>
                        </w:r>
                        <w:r>
                          <w:rPr>
                            <w:rFonts w:ascii="Times New Roman" w:eastAsia="Times New Roman"/>
                            <w:spacing w:val="-24"/>
                            <w:sz w:val="21"/>
                          </w:rPr>
                          <w:t xml:space="preserve"> </w:t>
                        </w:r>
                        <w:r>
                          <w:rPr>
                            <w:sz w:val="21"/>
                          </w:rPr>
                          <w:t>再生塑料颗粒作为原料，属于塑料废弃物</w:t>
                        </w:r>
                      </w:p>
                      <w:p w14:paraId="3DD419F2">
                        <w:pPr>
                          <w:pStyle w:val="17"/>
                          <w:spacing w:line="269" w:lineRule="exact"/>
                          <w:ind w:left="894"/>
                          <w:jc w:val="left"/>
                          <w:rPr>
                            <w:sz w:val="21"/>
                          </w:rPr>
                        </w:pPr>
                        <w:r>
                          <w:rPr>
                            <w:sz w:val="21"/>
                          </w:rPr>
                          <w:t>规范化利用过程</w:t>
                        </w:r>
                      </w:p>
                    </w:tc>
                    <w:tc>
                      <w:tcPr>
                        <w:tcW w:w="1249" w:type="dxa"/>
                        <w:tcBorders>
                          <w:right w:val="nil"/>
                        </w:tcBorders>
                      </w:tcPr>
                      <w:p w14:paraId="311FAAC2">
                        <w:pPr>
                          <w:pStyle w:val="17"/>
                          <w:jc w:val="left"/>
                          <w:rPr>
                            <w:sz w:val="20"/>
                          </w:rPr>
                        </w:pPr>
                      </w:p>
                      <w:p w14:paraId="3BCB6B2D">
                        <w:pPr>
                          <w:pStyle w:val="17"/>
                          <w:spacing w:before="3"/>
                          <w:jc w:val="left"/>
                          <w:rPr>
                            <w:sz w:val="18"/>
                          </w:rPr>
                        </w:pPr>
                      </w:p>
                      <w:p w14:paraId="6BAEA1CA">
                        <w:pPr>
                          <w:pStyle w:val="17"/>
                          <w:ind w:left="180" w:right="180"/>
                          <w:rPr>
                            <w:sz w:val="21"/>
                          </w:rPr>
                        </w:pPr>
                        <w:r>
                          <w:rPr>
                            <w:sz w:val="21"/>
                          </w:rPr>
                          <w:t>符合</w:t>
                        </w:r>
                      </w:p>
                    </w:tc>
                  </w:tr>
                  <w:tr w14:paraId="48F06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270" w:type="dxa"/>
                        <w:gridSpan w:val="2"/>
                        <w:tcBorders>
                          <w:left w:val="nil"/>
                        </w:tcBorders>
                      </w:tcPr>
                      <w:p w14:paraId="5DEC6875">
                        <w:pPr>
                          <w:pStyle w:val="17"/>
                          <w:spacing w:before="36"/>
                          <w:ind w:left="1959"/>
                          <w:jc w:val="left"/>
                          <w:rPr>
                            <w:sz w:val="21"/>
                          </w:rPr>
                        </w:pPr>
                        <w:r>
                          <w:rPr>
                            <w:sz w:val="21"/>
                          </w:rPr>
                          <w:t>二、规范塑料废弃物回收利用和处置</w:t>
                        </w:r>
                      </w:p>
                    </w:tc>
                    <w:tc>
                      <w:tcPr>
                        <w:tcW w:w="1249" w:type="dxa"/>
                        <w:tcBorders>
                          <w:right w:val="nil"/>
                        </w:tcBorders>
                      </w:tcPr>
                      <w:p w14:paraId="5FA43281">
                        <w:pPr>
                          <w:pStyle w:val="17"/>
                          <w:jc w:val="left"/>
                          <w:rPr>
                            <w:rFonts w:ascii="Times New Roman"/>
                            <w:sz w:val="20"/>
                          </w:rPr>
                        </w:pPr>
                      </w:p>
                    </w:tc>
                  </w:tr>
                  <w:tr w14:paraId="4020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12" w:type="dxa"/>
                        <w:tcBorders>
                          <w:left w:val="nil"/>
                          <w:bottom w:val="nil"/>
                        </w:tcBorders>
                      </w:tcPr>
                      <w:p w14:paraId="3D59E866">
                        <w:pPr>
                          <w:pStyle w:val="17"/>
                          <w:spacing w:before="22"/>
                          <w:ind w:left="100" w:right="87"/>
                          <w:rPr>
                            <w:sz w:val="21"/>
                          </w:rPr>
                        </w:pPr>
                        <w:r>
                          <w:rPr>
                            <w:sz w:val="21"/>
                          </w:rPr>
                          <w:t>推动塑料废弃物资源化利用的规范化、集</w:t>
                        </w:r>
                      </w:p>
                    </w:tc>
                    <w:tc>
                      <w:tcPr>
                        <w:tcW w:w="3258" w:type="dxa"/>
                        <w:tcBorders>
                          <w:bottom w:val="nil"/>
                        </w:tcBorders>
                      </w:tcPr>
                      <w:p w14:paraId="028D9987">
                        <w:pPr>
                          <w:pStyle w:val="17"/>
                          <w:spacing w:before="22"/>
                          <w:ind w:left="136" w:right="131"/>
                          <w:rPr>
                            <w:sz w:val="21"/>
                          </w:rPr>
                        </w:pPr>
                        <w:r>
                          <w:rPr>
                            <w:sz w:val="21"/>
                          </w:rPr>
                          <w:t>本项目位于湖南省汨罗市高新技</w:t>
                        </w:r>
                      </w:p>
                    </w:tc>
                    <w:tc>
                      <w:tcPr>
                        <w:tcW w:w="1249" w:type="dxa"/>
                        <w:tcBorders>
                          <w:bottom w:val="nil"/>
                          <w:right w:val="nil"/>
                        </w:tcBorders>
                      </w:tcPr>
                      <w:p w14:paraId="588D36EF">
                        <w:pPr>
                          <w:pStyle w:val="17"/>
                          <w:jc w:val="left"/>
                          <w:rPr>
                            <w:rFonts w:ascii="Times New Roman"/>
                            <w:sz w:val="20"/>
                          </w:rPr>
                        </w:pPr>
                      </w:p>
                    </w:tc>
                  </w:tr>
                  <w:tr w14:paraId="538F1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2" w:type="dxa"/>
                        <w:tcBorders>
                          <w:top w:val="nil"/>
                          <w:left w:val="nil"/>
                          <w:bottom w:val="nil"/>
                        </w:tcBorders>
                      </w:tcPr>
                      <w:p w14:paraId="1F554090">
                        <w:pPr>
                          <w:pStyle w:val="17"/>
                          <w:spacing w:before="21"/>
                          <w:ind w:left="121"/>
                          <w:jc w:val="left"/>
                          <w:rPr>
                            <w:sz w:val="21"/>
                          </w:rPr>
                        </w:pPr>
                        <w:r>
                          <w:rPr>
                            <w:w w:val="95"/>
                            <w:sz w:val="21"/>
                          </w:rPr>
                          <w:t>中化和产业化，相关项目要向资源循环利</w:t>
                        </w:r>
                      </w:p>
                      <w:p w14:paraId="61DD9B95">
                        <w:pPr>
                          <w:pStyle w:val="17"/>
                          <w:spacing w:before="43"/>
                          <w:ind w:left="121"/>
                          <w:jc w:val="left"/>
                          <w:rPr>
                            <w:sz w:val="21"/>
                          </w:rPr>
                        </w:pPr>
                        <w:r>
                          <w:rPr>
                            <w:w w:val="95"/>
                            <w:sz w:val="21"/>
                          </w:rPr>
                          <w:t>用基地等园区集聚，提高塑料废弃物资源</w:t>
                        </w:r>
                      </w:p>
                    </w:tc>
                    <w:tc>
                      <w:tcPr>
                        <w:tcW w:w="3258" w:type="dxa"/>
                        <w:tcBorders>
                          <w:top w:val="nil"/>
                          <w:bottom w:val="nil"/>
                        </w:tcBorders>
                      </w:tcPr>
                      <w:p w14:paraId="66A65A6A">
                        <w:pPr>
                          <w:pStyle w:val="17"/>
                          <w:spacing w:before="21"/>
                          <w:ind w:left="157"/>
                          <w:jc w:val="left"/>
                          <w:rPr>
                            <w:sz w:val="21"/>
                          </w:rPr>
                        </w:pPr>
                        <w:r>
                          <w:rPr>
                            <w:w w:val="95"/>
                            <w:sz w:val="21"/>
                          </w:rPr>
                          <w:t>术产业开发区新市片区，属园区</w:t>
                        </w:r>
                      </w:p>
                      <w:p w14:paraId="255B60E7">
                        <w:pPr>
                          <w:pStyle w:val="17"/>
                          <w:spacing w:before="43"/>
                          <w:ind w:left="157"/>
                          <w:jc w:val="left"/>
                          <w:rPr>
                            <w:sz w:val="21"/>
                          </w:rPr>
                        </w:pPr>
                        <w:r>
                          <w:rPr>
                            <w:w w:val="95"/>
                            <w:sz w:val="21"/>
                          </w:rPr>
                          <w:t>范围内的再生塑料资源化利用聚</w:t>
                        </w:r>
                      </w:p>
                    </w:tc>
                    <w:tc>
                      <w:tcPr>
                        <w:tcW w:w="1249" w:type="dxa"/>
                        <w:tcBorders>
                          <w:top w:val="nil"/>
                          <w:bottom w:val="nil"/>
                          <w:right w:val="nil"/>
                        </w:tcBorders>
                      </w:tcPr>
                      <w:p w14:paraId="66FFCE87">
                        <w:pPr>
                          <w:pStyle w:val="17"/>
                          <w:spacing w:before="177"/>
                          <w:ind w:left="180" w:right="180"/>
                          <w:rPr>
                            <w:sz w:val="21"/>
                          </w:rPr>
                        </w:pPr>
                        <w:r>
                          <w:rPr>
                            <w:sz w:val="21"/>
                          </w:rPr>
                          <w:t>符合</w:t>
                        </w:r>
                      </w:p>
                    </w:tc>
                  </w:tr>
                  <w:tr w14:paraId="74FC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12" w:type="dxa"/>
                        <w:tcBorders>
                          <w:top w:val="nil"/>
                          <w:left w:val="nil"/>
                        </w:tcBorders>
                      </w:tcPr>
                      <w:p w14:paraId="76EFE4C5">
                        <w:pPr>
                          <w:pStyle w:val="17"/>
                          <w:spacing w:before="21"/>
                          <w:ind w:left="118" w:right="105"/>
                          <w:rPr>
                            <w:sz w:val="21"/>
                          </w:rPr>
                        </w:pPr>
                        <w:r>
                          <w:rPr>
                            <w:sz w:val="21"/>
                          </w:rPr>
                          <w:t>化利用水平。</w:t>
                        </w:r>
                      </w:p>
                    </w:tc>
                    <w:tc>
                      <w:tcPr>
                        <w:tcW w:w="3258" w:type="dxa"/>
                        <w:tcBorders>
                          <w:top w:val="nil"/>
                        </w:tcBorders>
                      </w:tcPr>
                      <w:p w14:paraId="69905AB5">
                        <w:pPr>
                          <w:pStyle w:val="17"/>
                          <w:spacing w:before="21"/>
                          <w:ind w:left="136" w:right="126"/>
                          <w:rPr>
                            <w:sz w:val="21"/>
                          </w:rPr>
                        </w:pPr>
                        <w:r>
                          <w:rPr>
                            <w:sz w:val="21"/>
                          </w:rPr>
                          <w:t>集区，资源化利用水平高</w:t>
                        </w:r>
                      </w:p>
                    </w:tc>
                    <w:tc>
                      <w:tcPr>
                        <w:tcW w:w="1249" w:type="dxa"/>
                        <w:tcBorders>
                          <w:top w:val="nil"/>
                          <w:right w:val="nil"/>
                        </w:tcBorders>
                      </w:tcPr>
                      <w:p w14:paraId="2B34398B">
                        <w:pPr>
                          <w:pStyle w:val="17"/>
                          <w:jc w:val="left"/>
                          <w:rPr>
                            <w:rFonts w:ascii="Times New Roman"/>
                            <w:sz w:val="20"/>
                          </w:rPr>
                        </w:pPr>
                      </w:p>
                    </w:tc>
                  </w:tr>
                </w:tbl>
                <w:p w14:paraId="55580AB5">
                  <w:pPr>
                    <w:pStyle w:val="10"/>
                  </w:pPr>
                </w:p>
              </w:txbxContent>
            </v:textbox>
          </v:shape>
        </w:pict>
      </w:r>
      <w:r>
        <w:t xml:space="preserve">表 </w:t>
      </w:r>
      <w:r>
        <w:rPr>
          <w:rFonts w:ascii="Times New Roman" w:eastAsia="Times New Roman"/>
        </w:rPr>
        <w:t xml:space="preserve">5 </w:t>
      </w:r>
      <w:r>
        <w:t>与《国家发展改革委 生态环境部关于进一步加强塑料污染治理的意见》相符性分析表</w:t>
      </w:r>
    </w:p>
    <w:p w14:paraId="18CD79F2">
      <w:pPr>
        <w:pStyle w:val="10"/>
        <w:rPr>
          <w:b/>
        </w:rPr>
      </w:pPr>
    </w:p>
    <w:p w14:paraId="7E849D3A">
      <w:pPr>
        <w:pStyle w:val="10"/>
        <w:rPr>
          <w:b/>
        </w:rPr>
      </w:pPr>
    </w:p>
    <w:p w14:paraId="4554612A">
      <w:pPr>
        <w:pStyle w:val="10"/>
        <w:rPr>
          <w:b/>
        </w:rPr>
      </w:pPr>
    </w:p>
    <w:p w14:paraId="6416306F">
      <w:pPr>
        <w:pStyle w:val="10"/>
        <w:rPr>
          <w:b/>
        </w:rPr>
      </w:pPr>
    </w:p>
    <w:p w14:paraId="51416AD0">
      <w:pPr>
        <w:pStyle w:val="10"/>
        <w:rPr>
          <w:b/>
        </w:rPr>
      </w:pPr>
    </w:p>
    <w:p w14:paraId="6EECF21A">
      <w:pPr>
        <w:pStyle w:val="10"/>
        <w:rPr>
          <w:b/>
        </w:rPr>
      </w:pPr>
    </w:p>
    <w:p w14:paraId="047FCBDA">
      <w:pPr>
        <w:pStyle w:val="10"/>
        <w:rPr>
          <w:b/>
        </w:rPr>
      </w:pPr>
    </w:p>
    <w:p w14:paraId="53FB7A94">
      <w:pPr>
        <w:pStyle w:val="10"/>
        <w:rPr>
          <w:b/>
        </w:rPr>
      </w:pPr>
    </w:p>
    <w:p w14:paraId="35A1B0DD">
      <w:pPr>
        <w:pStyle w:val="10"/>
        <w:rPr>
          <w:b/>
        </w:rPr>
      </w:pPr>
    </w:p>
    <w:p w14:paraId="1C3A8382">
      <w:pPr>
        <w:pStyle w:val="10"/>
        <w:rPr>
          <w:b/>
        </w:rPr>
      </w:pPr>
    </w:p>
    <w:p w14:paraId="754DDE65">
      <w:pPr>
        <w:pStyle w:val="10"/>
        <w:rPr>
          <w:b/>
        </w:rPr>
      </w:pPr>
    </w:p>
    <w:p w14:paraId="78135084">
      <w:pPr>
        <w:pStyle w:val="10"/>
        <w:spacing w:before="195" w:line="364" w:lineRule="auto"/>
        <w:ind w:left="220" w:right="357" w:firstLine="480"/>
      </w:pPr>
      <w:r>
        <w:t>通过上表分析，项目符合《国家发展改革委 生态环境部关于进一步加强塑料污染治理的意见》（发改环资〔</w:t>
      </w:r>
      <w:r>
        <w:rPr>
          <w:rFonts w:ascii="Times New Roman" w:eastAsia="Times New Roman"/>
        </w:rPr>
        <w:t>2020</w:t>
      </w:r>
      <w:r>
        <w:t>〕</w:t>
      </w:r>
      <w:r>
        <w:rPr>
          <w:rFonts w:ascii="Times New Roman" w:eastAsia="Times New Roman"/>
        </w:rPr>
        <w:t xml:space="preserve">80 </w:t>
      </w:r>
      <w:r>
        <w:t>号）相关要求。</w:t>
      </w:r>
    </w:p>
    <w:p w14:paraId="31531C29">
      <w:pPr>
        <w:pStyle w:val="9"/>
        <w:spacing w:before="1" w:line="364" w:lineRule="auto"/>
        <w:ind w:left="968" w:right="417" w:hanging="269"/>
      </w:pPr>
      <w:r>
        <w:pict>
          <v:shape id="_x0000_s1218" o:spid="_x0000_s1218" o:spt="202" type="#_x0000_t202" style="position:absolute;left:0pt;margin-left:84.4pt;margin-top:42.8pt;height:286.6pt;width:426.7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30B44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1" w:type="dxa"/>
                        <w:tcBorders>
                          <w:left w:val="nil"/>
                        </w:tcBorders>
                      </w:tcPr>
                      <w:p w14:paraId="40250597">
                        <w:pPr>
                          <w:pStyle w:val="17"/>
                          <w:spacing w:before="35"/>
                          <w:ind w:left="84" w:right="72"/>
                          <w:rPr>
                            <w:sz w:val="21"/>
                          </w:rPr>
                        </w:pPr>
                        <w:r>
                          <w:rPr>
                            <w:sz w:val="21"/>
                          </w:rPr>
                          <w:t>相关规定</w:t>
                        </w:r>
                      </w:p>
                    </w:tc>
                    <w:tc>
                      <w:tcPr>
                        <w:tcW w:w="3290" w:type="dxa"/>
                      </w:tcPr>
                      <w:p w14:paraId="22F4D131">
                        <w:pPr>
                          <w:pStyle w:val="17"/>
                          <w:spacing w:before="35"/>
                          <w:ind w:left="910"/>
                          <w:jc w:val="left"/>
                          <w:rPr>
                            <w:sz w:val="21"/>
                          </w:rPr>
                        </w:pPr>
                        <w:r>
                          <w:rPr>
                            <w:sz w:val="21"/>
                          </w:rPr>
                          <w:t>本项目建设内容</w:t>
                        </w:r>
                      </w:p>
                    </w:tc>
                    <w:tc>
                      <w:tcPr>
                        <w:tcW w:w="1218" w:type="dxa"/>
                        <w:tcBorders>
                          <w:right w:val="nil"/>
                        </w:tcBorders>
                      </w:tcPr>
                      <w:p w14:paraId="47536DFD">
                        <w:pPr>
                          <w:pStyle w:val="17"/>
                          <w:spacing w:before="35"/>
                          <w:ind w:left="167" w:right="166"/>
                          <w:rPr>
                            <w:sz w:val="21"/>
                          </w:rPr>
                        </w:pPr>
                        <w:r>
                          <w:rPr>
                            <w:sz w:val="21"/>
                          </w:rPr>
                          <w:t>是否相符</w:t>
                        </w:r>
                      </w:p>
                    </w:tc>
                  </w:tr>
                  <w:tr w14:paraId="2B18F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6162C842">
                        <w:pPr>
                          <w:pStyle w:val="17"/>
                          <w:spacing w:before="36"/>
                          <w:ind w:left="2478" w:right="2466"/>
                          <w:rPr>
                            <w:sz w:val="21"/>
                          </w:rPr>
                        </w:pPr>
                        <w:r>
                          <w:rPr>
                            <w:sz w:val="21"/>
                          </w:rPr>
                          <w:t>一、企业的设立和布局</w:t>
                        </w:r>
                      </w:p>
                    </w:tc>
                    <w:tc>
                      <w:tcPr>
                        <w:tcW w:w="1218" w:type="dxa"/>
                        <w:tcBorders>
                          <w:right w:val="nil"/>
                        </w:tcBorders>
                      </w:tcPr>
                      <w:p w14:paraId="59595E3B">
                        <w:pPr>
                          <w:pStyle w:val="17"/>
                          <w:jc w:val="left"/>
                          <w:rPr>
                            <w:rFonts w:ascii="Times New Roman"/>
                            <w:sz w:val="20"/>
                          </w:rPr>
                        </w:pPr>
                      </w:p>
                    </w:tc>
                  </w:tr>
                  <w:tr w14:paraId="54EE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11" w:type="dxa"/>
                        <w:tcBorders>
                          <w:left w:val="nil"/>
                          <w:bottom w:val="nil"/>
                        </w:tcBorders>
                      </w:tcPr>
                      <w:p w14:paraId="7AABEE14">
                        <w:pPr>
                          <w:pStyle w:val="17"/>
                          <w:spacing w:before="22" w:line="266" w:lineRule="exact"/>
                          <w:ind w:left="81" w:right="72"/>
                          <w:rPr>
                            <w:sz w:val="21"/>
                          </w:rPr>
                        </w:pPr>
                        <w:r>
                          <w:rPr>
                            <w:sz w:val="21"/>
                          </w:rPr>
                          <w:t>废塑料综合利用企业是指采用物理机械法</w:t>
                        </w:r>
                      </w:p>
                    </w:tc>
                    <w:tc>
                      <w:tcPr>
                        <w:tcW w:w="3290" w:type="dxa"/>
                        <w:vMerge w:val="restart"/>
                      </w:tcPr>
                      <w:p w14:paraId="172D2150">
                        <w:pPr>
                          <w:pStyle w:val="17"/>
                          <w:jc w:val="left"/>
                          <w:rPr>
                            <w:sz w:val="26"/>
                          </w:rPr>
                        </w:pPr>
                      </w:p>
                      <w:p w14:paraId="2CA05B27">
                        <w:pPr>
                          <w:pStyle w:val="17"/>
                          <w:spacing w:before="1" w:line="278" w:lineRule="auto"/>
                          <w:ind w:left="108" w:right="99" w:hanging="43"/>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9"/>
                            <w:w w:val="95"/>
                            <w:sz w:val="21"/>
                          </w:rPr>
                          <w:t>颗粒作为原料，不涉及回收危险废</w:t>
                        </w:r>
                        <w:r>
                          <w:rPr>
                            <w:spacing w:val="-9"/>
                            <w:sz w:val="21"/>
                          </w:rPr>
                          <w:t>物以及氟塑料等特种工程塑料</w:t>
                        </w:r>
                      </w:p>
                    </w:tc>
                    <w:tc>
                      <w:tcPr>
                        <w:tcW w:w="1218" w:type="dxa"/>
                        <w:tcBorders>
                          <w:bottom w:val="nil"/>
                          <w:right w:val="nil"/>
                        </w:tcBorders>
                      </w:tcPr>
                      <w:p w14:paraId="25BC4D89">
                        <w:pPr>
                          <w:pStyle w:val="17"/>
                          <w:jc w:val="left"/>
                          <w:rPr>
                            <w:rFonts w:ascii="Times New Roman"/>
                            <w:sz w:val="20"/>
                          </w:rPr>
                        </w:pPr>
                      </w:p>
                    </w:tc>
                  </w:tr>
                  <w:tr w14:paraId="5CB38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1" w:type="dxa"/>
                        <w:tcBorders>
                          <w:top w:val="nil"/>
                          <w:left w:val="nil"/>
                          <w:bottom w:val="nil"/>
                        </w:tcBorders>
                      </w:tcPr>
                      <w:p w14:paraId="445865FF">
                        <w:pPr>
                          <w:pStyle w:val="17"/>
                          <w:spacing w:before="16" w:line="266" w:lineRule="exact"/>
                          <w:ind w:left="81" w:right="72"/>
                          <w:rPr>
                            <w:sz w:val="21"/>
                          </w:rPr>
                        </w:pPr>
                        <w:r>
                          <w:rPr>
                            <w:sz w:val="21"/>
                          </w:rPr>
                          <w:t>对热塑性废塑料进行再生加工的企业；不</w:t>
                        </w:r>
                      </w:p>
                    </w:tc>
                    <w:tc>
                      <w:tcPr>
                        <w:tcW w:w="3290" w:type="dxa"/>
                        <w:vMerge w:val="continue"/>
                        <w:tcBorders>
                          <w:top w:val="nil"/>
                        </w:tcBorders>
                      </w:tcPr>
                      <w:p w14:paraId="08264485">
                        <w:pPr>
                          <w:rPr>
                            <w:sz w:val="2"/>
                            <w:szCs w:val="2"/>
                          </w:rPr>
                        </w:pPr>
                      </w:p>
                    </w:tc>
                    <w:tc>
                      <w:tcPr>
                        <w:tcW w:w="1218" w:type="dxa"/>
                        <w:tcBorders>
                          <w:top w:val="nil"/>
                          <w:bottom w:val="nil"/>
                          <w:right w:val="nil"/>
                        </w:tcBorders>
                      </w:tcPr>
                      <w:p w14:paraId="010BEC02">
                        <w:pPr>
                          <w:pStyle w:val="17"/>
                          <w:jc w:val="left"/>
                          <w:rPr>
                            <w:rFonts w:ascii="Times New Roman"/>
                            <w:sz w:val="20"/>
                          </w:rPr>
                        </w:pPr>
                      </w:p>
                    </w:tc>
                  </w:tr>
                  <w:tr w14:paraId="6CE4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4011" w:type="dxa"/>
                        <w:tcBorders>
                          <w:top w:val="nil"/>
                          <w:left w:val="nil"/>
                          <w:bottom w:val="nil"/>
                        </w:tcBorders>
                      </w:tcPr>
                      <w:p w14:paraId="5ABC755E">
                        <w:pPr>
                          <w:pStyle w:val="17"/>
                          <w:spacing w:before="16"/>
                          <w:ind w:left="118"/>
                          <w:jc w:val="left"/>
                          <w:rPr>
                            <w:sz w:val="21"/>
                          </w:rPr>
                        </w:pPr>
                        <w:r>
                          <w:rPr>
                            <w:w w:val="95"/>
                            <w:sz w:val="21"/>
                          </w:rPr>
                          <w:t>包括受到危险化学品、农药等污染的废弃</w:t>
                        </w:r>
                      </w:p>
                      <w:p w14:paraId="634A1C20">
                        <w:pPr>
                          <w:pStyle w:val="17"/>
                          <w:spacing w:before="43" w:line="266" w:lineRule="exact"/>
                          <w:ind w:left="118"/>
                          <w:jc w:val="left"/>
                          <w:rPr>
                            <w:sz w:val="21"/>
                          </w:rPr>
                        </w:pPr>
                        <w:r>
                          <w:rPr>
                            <w:w w:val="95"/>
                            <w:sz w:val="21"/>
                          </w:rPr>
                          <w:t>塑料包装物、废弃一次性医疗用塑料制品</w:t>
                        </w:r>
                      </w:p>
                    </w:tc>
                    <w:tc>
                      <w:tcPr>
                        <w:tcW w:w="3290" w:type="dxa"/>
                        <w:vMerge w:val="continue"/>
                        <w:tcBorders>
                          <w:top w:val="nil"/>
                        </w:tcBorders>
                      </w:tcPr>
                      <w:p w14:paraId="2863C4F0">
                        <w:pPr>
                          <w:rPr>
                            <w:sz w:val="2"/>
                            <w:szCs w:val="2"/>
                          </w:rPr>
                        </w:pPr>
                      </w:p>
                    </w:tc>
                    <w:tc>
                      <w:tcPr>
                        <w:tcW w:w="1218" w:type="dxa"/>
                        <w:tcBorders>
                          <w:top w:val="nil"/>
                          <w:bottom w:val="nil"/>
                          <w:right w:val="nil"/>
                        </w:tcBorders>
                      </w:tcPr>
                      <w:p w14:paraId="19BE0185">
                        <w:pPr>
                          <w:pStyle w:val="17"/>
                          <w:spacing w:before="172"/>
                          <w:ind w:left="167" w:right="164"/>
                          <w:rPr>
                            <w:sz w:val="21"/>
                          </w:rPr>
                        </w:pPr>
                        <w:r>
                          <w:rPr>
                            <w:sz w:val="21"/>
                          </w:rPr>
                          <w:t>符合</w:t>
                        </w:r>
                      </w:p>
                    </w:tc>
                  </w:tr>
                  <w:tr w14:paraId="7DBC6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1" w:type="dxa"/>
                        <w:tcBorders>
                          <w:top w:val="nil"/>
                          <w:left w:val="nil"/>
                          <w:bottom w:val="nil"/>
                        </w:tcBorders>
                      </w:tcPr>
                      <w:p w14:paraId="327CB65E">
                        <w:pPr>
                          <w:pStyle w:val="17"/>
                          <w:spacing w:before="16" w:line="266" w:lineRule="exact"/>
                          <w:ind w:left="84" w:right="72"/>
                          <w:rPr>
                            <w:sz w:val="21"/>
                          </w:rPr>
                        </w:pPr>
                        <w:r>
                          <w:rPr>
                            <w:sz w:val="21"/>
                          </w:rPr>
                          <w:t>等塑料类危险废物，以及氟塑料等特种工</w:t>
                        </w:r>
                      </w:p>
                    </w:tc>
                    <w:tc>
                      <w:tcPr>
                        <w:tcW w:w="3290" w:type="dxa"/>
                        <w:vMerge w:val="continue"/>
                        <w:tcBorders>
                          <w:top w:val="nil"/>
                        </w:tcBorders>
                      </w:tcPr>
                      <w:p w14:paraId="07C095EC">
                        <w:pPr>
                          <w:rPr>
                            <w:sz w:val="2"/>
                            <w:szCs w:val="2"/>
                          </w:rPr>
                        </w:pPr>
                      </w:p>
                    </w:tc>
                    <w:tc>
                      <w:tcPr>
                        <w:tcW w:w="1218" w:type="dxa"/>
                        <w:tcBorders>
                          <w:top w:val="nil"/>
                          <w:bottom w:val="nil"/>
                          <w:right w:val="nil"/>
                        </w:tcBorders>
                      </w:tcPr>
                      <w:p w14:paraId="306FE53A">
                        <w:pPr>
                          <w:pStyle w:val="17"/>
                          <w:jc w:val="left"/>
                          <w:rPr>
                            <w:rFonts w:ascii="Times New Roman"/>
                            <w:sz w:val="20"/>
                          </w:rPr>
                        </w:pPr>
                      </w:p>
                    </w:tc>
                  </w:tr>
                  <w:tr w14:paraId="48216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11" w:type="dxa"/>
                        <w:tcBorders>
                          <w:top w:val="nil"/>
                          <w:left w:val="nil"/>
                        </w:tcBorders>
                      </w:tcPr>
                      <w:p w14:paraId="22BF9B51">
                        <w:pPr>
                          <w:pStyle w:val="17"/>
                          <w:spacing w:before="16"/>
                          <w:ind w:left="84" w:right="70"/>
                          <w:rPr>
                            <w:sz w:val="21"/>
                          </w:rPr>
                        </w:pPr>
                        <w:r>
                          <w:rPr>
                            <w:sz w:val="21"/>
                          </w:rPr>
                          <w:t>程塑料</w:t>
                        </w:r>
                      </w:p>
                    </w:tc>
                    <w:tc>
                      <w:tcPr>
                        <w:tcW w:w="3290" w:type="dxa"/>
                        <w:vMerge w:val="continue"/>
                        <w:tcBorders>
                          <w:top w:val="nil"/>
                        </w:tcBorders>
                      </w:tcPr>
                      <w:p w14:paraId="0E7D4A0B">
                        <w:pPr>
                          <w:rPr>
                            <w:sz w:val="2"/>
                            <w:szCs w:val="2"/>
                          </w:rPr>
                        </w:pPr>
                      </w:p>
                    </w:tc>
                    <w:tc>
                      <w:tcPr>
                        <w:tcW w:w="1218" w:type="dxa"/>
                        <w:tcBorders>
                          <w:top w:val="nil"/>
                          <w:right w:val="nil"/>
                        </w:tcBorders>
                      </w:tcPr>
                      <w:p w14:paraId="43C007BF">
                        <w:pPr>
                          <w:pStyle w:val="17"/>
                          <w:jc w:val="left"/>
                          <w:rPr>
                            <w:rFonts w:ascii="Times New Roman"/>
                            <w:sz w:val="20"/>
                          </w:rPr>
                        </w:pPr>
                      </w:p>
                    </w:tc>
                  </w:tr>
                  <w:tr w14:paraId="650BA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11" w:type="dxa"/>
                        <w:tcBorders>
                          <w:left w:val="nil"/>
                          <w:bottom w:val="nil"/>
                        </w:tcBorders>
                      </w:tcPr>
                      <w:p w14:paraId="533B68D2">
                        <w:pPr>
                          <w:pStyle w:val="17"/>
                          <w:spacing w:before="21" w:line="266" w:lineRule="exact"/>
                          <w:ind w:left="81" w:right="72"/>
                          <w:rPr>
                            <w:sz w:val="21"/>
                          </w:rPr>
                        </w:pPr>
                        <w:r>
                          <w:rPr>
                            <w:sz w:val="21"/>
                          </w:rPr>
                          <w:t>新建及改造、扩建废塑料加工企业应符合</w:t>
                        </w:r>
                      </w:p>
                    </w:tc>
                    <w:tc>
                      <w:tcPr>
                        <w:tcW w:w="3290" w:type="dxa"/>
                        <w:vMerge w:val="restart"/>
                      </w:tcPr>
                      <w:p w14:paraId="3B7291EF">
                        <w:pPr>
                          <w:pStyle w:val="17"/>
                          <w:spacing w:before="177" w:line="278" w:lineRule="auto"/>
                          <w:ind w:left="108" w:right="99" w:hanging="1"/>
                          <w:rPr>
                            <w:sz w:val="21"/>
                          </w:rPr>
                        </w:pPr>
                        <w:r>
                          <w:rPr>
                            <w:spacing w:val="-9"/>
                            <w:w w:val="95"/>
                            <w:sz w:val="21"/>
                          </w:rPr>
                          <w:t>本项目为新建项目，符合国家产业</w:t>
                        </w:r>
                        <w:r>
                          <w:rPr>
                            <w:spacing w:val="-9"/>
                            <w:sz w:val="21"/>
                          </w:rPr>
                          <w:t>政策及汨罗高新技术产业开发区</w:t>
                        </w:r>
                        <w:r>
                          <w:rPr>
                            <w:spacing w:val="-13"/>
                            <w:w w:val="95"/>
                            <w:sz w:val="21"/>
                          </w:rPr>
                          <w:t>新市片区土地利用规划，项目建设</w:t>
                        </w:r>
                        <w:r>
                          <w:rPr>
                            <w:spacing w:val="-13"/>
                            <w:sz w:val="21"/>
                          </w:rPr>
                          <w:t>规范化的生产及环保设备</w:t>
                        </w:r>
                      </w:p>
                    </w:tc>
                    <w:tc>
                      <w:tcPr>
                        <w:tcW w:w="1218" w:type="dxa"/>
                        <w:tcBorders>
                          <w:bottom w:val="nil"/>
                          <w:right w:val="nil"/>
                        </w:tcBorders>
                      </w:tcPr>
                      <w:p w14:paraId="0D90D0D2">
                        <w:pPr>
                          <w:pStyle w:val="17"/>
                          <w:jc w:val="left"/>
                          <w:rPr>
                            <w:rFonts w:ascii="Times New Roman"/>
                            <w:sz w:val="20"/>
                          </w:rPr>
                        </w:pPr>
                      </w:p>
                    </w:tc>
                  </w:tr>
                  <w:tr w14:paraId="12601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1" w:type="dxa"/>
                        <w:tcBorders>
                          <w:top w:val="nil"/>
                          <w:left w:val="nil"/>
                          <w:bottom w:val="nil"/>
                        </w:tcBorders>
                      </w:tcPr>
                      <w:p w14:paraId="7CAAA119">
                        <w:pPr>
                          <w:pStyle w:val="17"/>
                          <w:spacing w:before="16" w:line="266" w:lineRule="exact"/>
                          <w:ind w:left="81" w:right="72"/>
                          <w:rPr>
                            <w:sz w:val="21"/>
                          </w:rPr>
                        </w:pPr>
                        <w:r>
                          <w:rPr>
                            <w:sz w:val="21"/>
                          </w:rPr>
                          <w:t>国家产业政策及所在地区土地利用总体规</w:t>
                        </w:r>
                      </w:p>
                    </w:tc>
                    <w:tc>
                      <w:tcPr>
                        <w:tcW w:w="3290" w:type="dxa"/>
                        <w:vMerge w:val="continue"/>
                        <w:tcBorders>
                          <w:top w:val="nil"/>
                        </w:tcBorders>
                      </w:tcPr>
                      <w:p w14:paraId="0038DFD0">
                        <w:pPr>
                          <w:rPr>
                            <w:sz w:val="2"/>
                            <w:szCs w:val="2"/>
                          </w:rPr>
                        </w:pPr>
                      </w:p>
                    </w:tc>
                    <w:tc>
                      <w:tcPr>
                        <w:tcW w:w="1218" w:type="dxa"/>
                        <w:tcBorders>
                          <w:top w:val="nil"/>
                          <w:bottom w:val="nil"/>
                          <w:right w:val="nil"/>
                        </w:tcBorders>
                      </w:tcPr>
                      <w:p w14:paraId="458D81E4">
                        <w:pPr>
                          <w:pStyle w:val="17"/>
                          <w:jc w:val="left"/>
                          <w:rPr>
                            <w:rFonts w:ascii="Times New Roman"/>
                            <w:sz w:val="20"/>
                          </w:rPr>
                        </w:pPr>
                      </w:p>
                    </w:tc>
                  </w:tr>
                  <w:tr w14:paraId="37886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11" w:type="dxa"/>
                        <w:tcBorders>
                          <w:top w:val="nil"/>
                          <w:left w:val="nil"/>
                          <w:bottom w:val="nil"/>
                        </w:tcBorders>
                      </w:tcPr>
                      <w:p w14:paraId="6B1D9CE2">
                        <w:pPr>
                          <w:pStyle w:val="17"/>
                          <w:spacing w:before="16" w:line="266" w:lineRule="exact"/>
                          <w:ind w:left="81" w:right="72"/>
                          <w:rPr>
                            <w:sz w:val="21"/>
                          </w:rPr>
                        </w:pPr>
                        <w:r>
                          <w:rPr>
                            <w:sz w:val="21"/>
                          </w:rPr>
                          <w:t>划、城乡建设规划、环境保护、污染防治</w:t>
                        </w:r>
                      </w:p>
                    </w:tc>
                    <w:tc>
                      <w:tcPr>
                        <w:tcW w:w="3290" w:type="dxa"/>
                        <w:vMerge w:val="continue"/>
                        <w:tcBorders>
                          <w:top w:val="nil"/>
                        </w:tcBorders>
                      </w:tcPr>
                      <w:p w14:paraId="159D2B67">
                        <w:pPr>
                          <w:rPr>
                            <w:sz w:val="2"/>
                            <w:szCs w:val="2"/>
                          </w:rPr>
                        </w:pPr>
                      </w:p>
                    </w:tc>
                    <w:tc>
                      <w:tcPr>
                        <w:tcW w:w="1218" w:type="dxa"/>
                        <w:tcBorders>
                          <w:top w:val="nil"/>
                          <w:bottom w:val="nil"/>
                          <w:right w:val="nil"/>
                        </w:tcBorders>
                      </w:tcPr>
                      <w:p w14:paraId="2AF465BB">
                        <w:pPr>
                          <w:pStyle w:val="17"/>
                          <w:spacing w:before="16" w:line="266" w:lineRule="exact"/>
                          <w:ind w:left="167" w:right="164"/>
                          <w:rPr>
                            <w:sz w:val="21"/>
                          </w:rPr>
                        </w:pPr>
                        <w:r>
                          <w:rPr>
                            <w:sz w:val="21"/>
                          </w:rPr>
                          <w:t>符合</w:t>
                        </w:r>
                      </w:p>
                    </w:tc>
                  </w:tr>
                  <w:tr w14:paraId="0DA3D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11" w:type="dxa"/>
                        <w:tcBorders>
                          <w:top w:val="nil"/>
                          <w:left w:val="nil"/>
                          <w:bottom w:val="nil"/>
                        </w:tcBorders>
                      </w:tcPr>
                      <w:p w14:paraId="492E67CA">
                        <w:pPr>
                          <w:pStyle w:val="17"/>
                          <w:spacing w:before="16" w:line="266" w:lineRule="exact"/>
                          <w:ind w:left="81" w:right="72"/>
                          <w:rPr>
                            <w:sz w:val="21"/>
                          </w:rPr>
                        </w:pPr>
                        <w:r>
                          <w:rPr>
                            <w:sz w:val="21"/>
                          </w:rPr>
                          <w:t>规划。企业建设应有规范化设计要求，采</w:t>
                        </w:r>
                      </w:p>
                    </w:tc>
                    <w:tc>
                      <w:tcPr>
                        <w:tcW w:w="3290" w:type="dxa"/>
                        <w:vMerge w:val="continue"/>
                        <w:tcBorders>
                          <w:top w:val="nil"/>
                        </w:tcBorders>
                      </w:tcPr>
                      <w:p w14:paraId="47D07BC8">
                        <w:pPr>
                          <w:rPr>
                            <w:sz w:val="2"/>
                            <w:szCs w:val="2"/>
                          </w:rPr>
                        </w:pPr>
                      </w:p>
                    </w:tc>
                    <w:tc>
                      <w:tcPr>
                        <w:tcW w:w="1218" w:type="dxa"/>
                        <w:tcBorders>
                          <w:top w:val="nil"/>
                          <w:bottom w:val="nil"/>
                          <w:right w:val="nil"/>
                        </w:tcBorders>
                      </w:tcPr>
                      <w:p w14:paraId="52F8CDBF">
                        <w:pPr>
                          <w:pStyle w:val="17"/>
                          <w:jc w:val="left"/>
                          <w:rPr>
                            <w:rFonts w:ascii="Times New Roman"/>
                            <w:sz w:val="20"/>
                          </w:rPr>
                        </w:pPr>
                      </w:p>
                    </w:tc>
                  </w:tr>
                  <w:tr w14:paraId="77EDC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11" w:type="dxa"/>
                        <w:tcBorders>
                          <w:top w:val="nil"/>
                          <w:left w:val="nil"/>
                        </w:tcBorders>
                      </w:tcPr>
                      <w:p w14:paraId="1C7A49C6">
                        <w:pPr>
                          <w:pStyle w:val="17"/>
                          <w:spacing w:before="16"/>
                          <w:ind w:left="84" w:right="72"/>
                          <w:rPr>
                            <w:sz w:val="21"/>
                          </w:rPr>
                        </w:pPr>
                        <w:r>
                          <w:rPr>
                            <w:sz w:val="21"/>
                          </w:rPr>
                          <w:t>用节能环保技术及生产装备。</w:t>
                        </w:r>
                      </w:p>
                    </w:tc>
                    <w:tc>
                      <w:tcPr>
                        <w:tcW w:w="3290" w:type="dxa"/>
                        <w:vMerge w:val="continue"/>
                        <w:tcBorders>
                          <w:top w:val="nil"/>
                        </w:tcBorders>
                      </w:tcPr>
                      <w:p w14:paraId="465FF784">
                        <w:pPr>
                          <w:rPr>
                            <w:sz w:val="2"/>
                            <w:szCs w:val="2"/>
                          </w:rPr>
                        </w:pPr>
                      </w:p>
                    </w:tc>
                    <w:tc>
                      <w:tcPr>
                        <w:tcW w:w="1218" w:type="dxa"/>
                        <w:tcBorders>
                          <w:top w:val="nil"/>
                          <w:right w:val="nil"/>
                        </w:tcBorders>
                      </w:tcPr>
                      <w:p w14:paraId="37074EA6">
                        <w:pPr>
                          <w:pStyle w:val="17"/>
                          <w:jc w:val="left"/>
                          <w:rPr>
                            <w:rFonts w:ascii="Times New Roman"/>
                            <w:sz w:val="20"/>
                          </w:rPr>
                        </w:pPr>
                      </w:p>
                    </w:tc>
                  </w:tr>
                  <w:tr w14:paraId="5715C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4011" w:type="dxa"/>
                        <w:tcBorders>
                          <w:left w:val="nil"/>
                          <w:bottom w:val="nil"/>
                        </w:tcBorders>
                      </w:tcPr>
                      <w:p w14:paraId="058801EF">
                        <w:pPr>
                          <w:pStyle w:val="17"/>
                          <w:spacing w:before="21" w:line="266" w:lineRule="exact"/>
                          <w:ind w:left="81" w:right="72"/>
                          <w:rPr>
                            <w:sz w:val="21"/>
                          </w:rPr>
                        </w:pPr>
                        <w:r>
                          <w:rPr>
                            <w:sz w:val="21"/>
                          </w:rPr>
                          <w:t>在国家法律、法规、规章和规划确定或县</w:t>
                        </w:r>
                      </w:p>
                    </w:tc>
                    <w:tc>
                      <w:tcPr>
                        <w:tcW w:w="3290" w:type="dxa"/>
                        <w:vMerge w:val="restart"/>
                      </w:tcPr>
                      <w:p w14:paraId="651B4BB0">
                        <w:pPr>
                          <w:pStyle w:val="17"/>
                          <w:spacing w:before="177" w:line="278" w:lineRule="auto"/>
                          <w:ind w:left="108" w:right="97"/>
                          <w:rPr>
                            <w:sz w:val="21"/>
                          </w:rPr>
                        </w:pPr>
                        <w:r>
                          <w:rPr>
                            <w:spacing w:val="-6"/>
                            <w:w w:val="95"/>
                            <w:sz w:val="21"/>
                          </w:rPr>
                          <w:t>本项目用地不涉及自然保护区、风</w:t>
                        </w:r>
                        <w:r>
                          <w:rPr>
                            <w:spacing w:val="-11"/>
                            <w:w w:val="95"/>
                            <w:sz w:val="21"/>
                          </w:rPr>
                          <w:t>景名胜区、饮用水源保护区、基本</w:t>
                        </w:r>
                        <w:r>
                          <w:rPr>
                            <w:spacing w:val="-11"/>
                            <w:sz w:val="21"/>
                          </w:rPr>
                          <w:t>农田保护区和其他需要特别保护的区域</w:t>
                        </w:r>
                      </w:p>
                    </w:tc>
                    <w:tc>
                      <w:tcPr>
                        <w:tcW w:w="1218" w:type="dxa"/>
                        <w:tcBorders>
                          <w:bottom w:val="nil"/>
                          <w:right w:val="nil"/>
                        </w:tcBorders>
                      </w:tcPr>
                      <w:p w14:paraId="449CBB09">
                        <w:pPr>
                          <w:pStyle w:val="17"/>
                          <w:jc w:val="left"/>
                          <w:rPr>
                            <w:rFonts w:ascii="Times New Roman"/>
                            <w:sz w:val="20"/>
                          </w:rPr>
                        </w:pPr>
                      </w:p>
                    </w:tc>
                  </w:tr>
                  <w:tr w14:paraId="18128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1" w:type="dxa"/>
                        <w:tcBorders>
                          <w:top w:val="nil"/>
                          <w:left w:val="nil"/>
                          <w:bottom w:val="nil"/>
                        </w:tcBorders>
                      </w:tcPr>
                      <w:p w14:paraId="1B62CE07">
                        <w:pPr>
                          <w:pStyle w:val="17"/>
                          <w:spacing w:before="16" w:line="266" w:lineRule="exact"/>
                          <w:ind w:left="81" w:right="72"/>
                          <w:rPr>
                            <w:sz w:val="21"/>
                          </w:rPr>
                        </w:pPr>
                        <w:r>
                          <w:rPr>
                            <w:sz w:val="21"/>
                          </w:rPr>
                          <w:t>级及以上人民政府规定的自然保护区、风</w:t>
                        </w:r>
                      </w:p>
                    </w:tc>
                    <w:tc>
                      <w:tcPr>
                        <w:tcW w:w="3290" w:type="dxa"/>
                        <w:vMerge w:val="continue"/>
                        <w:tcBorders>
                          <w:top w:val="nil"/>
                        </w:tcBorders>
                      </w:tcPr>
                      <w:p w14:paraId="43FD8C5F">
                        <w:pPr>
                          <w:rPr>
                            <w:sz w:val="2"/>
                            <w:szCs w:val="2"/>
                          </w:rPr>
                        </w:pPr>
                      </w:p>
                    </w:tc>
                    <w:tc>
                      <w:tcPr>
                        <w:tcW w:w="1218" w:type="dxa"/>
                        <w:tcBorders>
                          <w:top w:val="nil"/>
                          <w:bottom w:val="nil"/>
                          <w:right w:val="nil"/>
                        </w:tcBorders>
                      </w:tcPr>
                      <w:p w14:paraId="692FC85A">
                        <w:pPr>
                          <w:pStyle w:val="17"/>
                          <w:jc w:val="left"/>
                          <w:rPr>
                            <w:rFonts w:ascii="Times New Roman"/>
                            <w:sz w:val="20"/>
                          </w:rPr>
                        </w:pPr>
                      </w:p>
                    </w:tc>
                  </w:tr>
                  <w:tr w14:paraId="7DA62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11" w:type="dxa"/>
                        <w:tcBorders>
                          <w:top w:val="nil"/>
                          <w:left w:val="nil"/>
                          <w:bottom w:val="nil"/>
                        </w:tcBorders>
                      </w:tcPr>
                      <w:p w14:paraId="043BAD2C">
                        <w:pPr>
                          <w:pStyle w:val="17"/>
                          <w:spacing w:before="16" w:line="266" w:lineRule="exact"/>
                          <w:ind w:left="81" w:right="72"/>
                          <w:rPr>
                            <w:sz w:val="21"/>
                          </w:rPr>
                        </w:pPr>
                        <w:r>
                          <w:rPr>
                            <w:sz w:val="21"/>
                          </w:rPr>
                          <w:t>景名胜区、饮用水源保护区、基本农田保</w:t>
                        </w:r>
                      </w:p>
                    </w:tc>
                    <w:tc>
                      <w:tcPr>
                        <w:tcW w:w="3290" w:type="dxa"/>
                        <w:vMerge w:val="continue"/>
                        <w:tcBorders>
                          <w:top w:val="nil"/>
                        </w:tcBorders>
                      </w:tcPr>
                      <w:p w14:paraId="2170A7D7">
                        <w:pPr>
                          <w:rPr>
                            <w:sz w:val="2"/>
                            <w:szCs w:val="2"/>
                          </w:rPr>
                        </w:pPr>
                      </w:p>
                    </w:tc>
                    <w:tc>
                      <w:tcPr>
                        <w:tcW w:w="1218" w:type="dxa"/>
                        <w:tcBorders>
                          <w:top w:val="nil"/>
                          <w:bottom w:val="nil"/>
                          <w:right w:val="nil"/>
                        </w:tcBorders>
                      </w:tcPr>
                      <w:p w14:paraId="7F6B1E91">
                        <w:pPr>
                          <w:pStyle w:val="17"/>
                          <w:spacing w:before="16" w:line="266" w:lineRule="exact"/>
                          <w:ind w:left="167" w:right="164"/>
                          <w:rPr>
                            <w:sz w:val="21"/>
                          </w:rPr>
                        </w:pPr>
                        <w:r>
                          <w:rPr>
                            <w:sz w:val="21"/>
                          </w:rPr>
                          <w:t>符合</w:t>
                        </w:r>
                      </w:p>
                    </w:tc>
                  </w:tr>
                  <w:tr w14:paraId="0DDC5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11" w:type="dxa"/>
                        <w:tcBorders>
                          <w:top w:val="nil"/>
                          <w:left w:val="nil"/>
                          <w:bottom w:val="nil"/>
                        </w:tcBorders>
                      </w:tcPr>
                      <w:p w14:paraId="7021FBC0">
                        <w:pPr>
                          <w:pStyle w:val="17"/>
                          <w:spacing w:before="16" w:line="266" w:lineRule="exact"/>
                          <w:ind w:left="81" w:right="72"/>
                          <w:rPr>
                            <w:sz w:val="21"/>
                          </w:rPr>
                        </w:pPr>
                        <w:r>
                          <w:rPr>
                            <w:sz w:val="21"/>
                          </w:rPr>
                          <w:t>护区和其他需要特别保护的区域内，不得</w:t>
                        </w:r>
                      </w:p>
                    </w:tc>
                    <w:tc>
                      <w:tcPr>
                        <w:tcW w:w="3290" w:type="dxa"/>
                        <w:vMerge w:val="continue"/>
                        <w:tcBorders>
                          <w:top w:val="nil"/>
                        </w:tcBorders>
                      </w:tcPr>
                      <w:p w14:paraId="34140EF6">
                        <w:pPr>
                          <w:rPr>
                            <w:sz w:val="2"/>
                            <w:szCs w:val="2"/>
                          </w:rPr>
                        </w:pPr>
                      </w:p>
                    </w:tc>
                    <w:tc>
                      <w:tcPr>
                        <w:tcW w:w="1218" w:type="dxa"/>
                        <w:tcBorders>
                          <w:top w:val="nil"/>
                          <w:bottom w:val="nil"/>
                          <w:right w:val="nil"/>
                        </w:tcBorders>
                      </w:tcPr>
                      <w:p w14:paraId="582FD537">
                        <w:pPr>
                          <w:pStyle w:val="17"/>
                          <w:jc w:val="left"/>
                          <w:rPr>
                            <w:rFonts w:ascii="Times New Roman"/>
                            <w:sz w:val="20"/>
                          </w:rPr>
                        </w:pPr>
                      </w:p>
                    </w:tc>
                  </w:tr>
                  <w:tr w14:paraId="3D0BB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11" w:type="dxa"/>
                        <w:tcBorders>
                          <w:top w:val="nil"/>
                          <w:left w:val="nil"/>
                        </w:tcBorders>
                      </w:tcPr>
                      <w:p w14:paraId="0AE64ACD">
                        <w:pPr>
                          <w:pStyle w:val="17"/>
                          <w:spacing w:before="16"/>
                          <w:ind w:left="84" w:right="72"/>
                          <w:rPr>
                            <w:sz w:val="21"/>
                          </w:rPr>
                        </w:pPr>
                        <w:r>
                          <w:rPr>
                            <w:sz w:val="21"/>
                          </w:rPr>
                          <w:t>新建废塑料综合利用企业。</w:t>
                        </w:r>
                      </w:p>
                    </w:tc>
                    <w:tc>
                      <w:tcPr>
                        <w:tcW w:w="3290" w:type="dxa"/>
                        <w:vMerge w:val="continue"/>
                        <w:tcBorders>
                          <w:top w:val="nil"/>
                        </w:tcBorders>
                      </w:tcPr>
                      <w:p w14:paraId="37358BB7">
                        <w:pPr>
                          <w:rPr>
                            <w:sz w:val="2"/>
                            <w:szCs w:val="2"/>
                          </w:rPr>
                        </w:pPr>
                      </w:p>
                    </w:tc>
                    <w:tc>
                      <w:tcPr>
                        <w:tcW w:w="1218" w:type="dxa"/>
                        <w:tcBorders>
                          <w:top w:val="nil"/>
                          <w:right w:val="nil"/>
                        </w:tcBorders>
                      </w:tcPr>
                      <w:p w14:paraId="7FD967AE">
                        <w:pPr>
                          <w:pStyle w:val="17"/>
                          <w:jc w:val="left"/>
                          <w:rPr>
                            <w:rFonts w:ascii="Times New Roman"/>
                            <w:sz w:val="20"/>
                          </w:rPr>
                        </w:pPr>
                      </w:p>
                    </w:tc>
                  </w:tr>
                </w:tbl>
                <w:p w14:paraId="3AB45686">
                  <w:pPr>
                    <w:pStyle w:val="10"/>
                  </w:pPr>
                </w:p>
              </w:txbxContent>
            </v:textbox>
          </v:shape>
        </w:pict>
      </w:r>
      <w:r>
        <w:t>（</w:t>
      </w:r>
      <w:r>
        <w:rPr>
          <w:rFonts w:ascii="Times New Roman" w:eastAsia="Times New Roman"/>
        </w:rPr>
        <w:t>8</w:t>
      </w:r>
      <w:r>
        <w:t>）与《废塑料综合利用行业规范条件》（</w:t>
      </w:r>
      <w:r>
        <w:rPr>
          <w:rFonts w:ascii="Times New Roman" w:eastAsia="Times New Roman"/>
        </w:rPr>
        <w:t xml:space="preserve">2015 </w:t>
      </w:r>
      <w:r>
        <w:rPr>
          <w:spacing w:val="-21"/>
        </w:rPr>
        <w:t xml:space="preserve">年第 </w:t>
      </w:r>
      <w:r>
        <w:rPr>
          <w:rFonts w:ascii="Times New Roman" w:eastAsia="Times New Roman"/>
        </w:rPr>
        <w:t xml:space="preserve">81 </w:t>
      </w:r>
      <w:r>
        <w:t>号）符合性分析</w:t>
      </w:r>
      <w:r>
        <w:rPr>
          <w:spacing w:val="-31"/>
        </w:rPr>
        <w:t xml:space="preserve">表 </w:t>
      </w:r>
      <w:r>
        <w:rPr>
          <w:rFonts w:ascii="Times New Roman" w:eastAsia="Times New Roman"/>
        </w:rPr>
        <w:t>6</w:t>
      </w:r>
      <w:r>
        <w:rPr>
          <w:rFonts w:ascii="Times New Roman" w:eastAsia="Times New Roman"/>
          <w:spacing w:val="58"/>
        </w:rPr>
        <w:t xml:space="preserve"> </w:t>
      </w:r>
      <w:r>
        <w:t>本项目与《废塑料综合利用行业规范条件》相关要求符合性</w:t>
      </w:r>
    </w:p>
    <w:p w14:paraId="1947F1B3">
      <w:pPr>
        <w:pStyle w:val="10"/>
        <w:rPr>
          <w:b/>
          <w:sz w:val="26"/>
        </w:rPr>
      </w:pPr>
    </w:p>
    <w:p w14:paraId="73026CB3">
      <w:pPr>
        <w:pStyle w:val="10"/>
        <w:rPr>
          <w:b/>
          <w:sz w:val="26"/>
        </w:rPr>
      </w:pPr>
    </w:p>
    <w:p w14:paraId="2D9E06B1">
      <w:pPr>
        <w:pStyle w:val="10"/>
        <w:rPr>
          <w:b/>
          <w:sz w:val="26"/>
        </w:rPr>
      </w:pPr>
    </w:p>
    <w:p w14:paraId="2439E460">
      <w:pPr>
        <w:pStyle w:val="10"/>
        <w:rPr>
          <w:b/>
          <w:sz w:val="26"/>
        </w:rPr>
      </w:pPr>
    </w:p>
    <w:p w14:paraId="38A6D6EA">
      <w:pPr>
        <w:pStyle w:val="10"/>
        <w:rPr>
          <w:b/>
          <w:sz w:val="26"/>
        </w:rPr>
      </w:pPr>
    </w:p>
    <w:p w14:paraId="4433152D">
      <w:pPr>
        <w:pStyle w:val="10"/>
        <w:rPr>
          <w:b/>
          <w:sz w:val="26"/>
        </w:rPr>
      </w:pPr>
    </w:p>
    <w:p w14:paraId="3BD8097E">
      <w:pPr>
        <w:pStyle w:val="10"/>
        <w:rPr>
          <w:b/>
          <w:sz w:val="26"/>
        </w:rPr>
      </w:pPr>
    </w:p>
    <w:p w14:paraId="6278B398">
      <w:pPr>
        <w:pStyle w:val="10"/>
        <w:rPr>
          <w:b/>
          <w:sz w:val="26"/>
        </w:rPr>
      </w:pPr>
    </w:p>
    <w:p w14:paraId="04994A12">
      <w:pPr>
        <w:pStyle w:val="10"/>
        <w:rPr>
          <w:b/>
          <w:sz w:val="26"/>
        </w:rPr>
      </w:pPr>
    </w:p>
    <w:p w14:paraId="49A28C03">
      <w:pPr>
        <w:pStyle w:val="10"/>
        <w:rPr>
          <w:b/>
          <w:sz w:val="26"/>
        </w:rPr>
      </w:pPr>
    </w:p>
    <w:p w14:paraId="3386EDF1">
      <w:pPr>
        <w:pStyle w:val="10"/>
        <w:rPr>
          <w:b/>
          <w:sz w:val="26"/>
        </w:rPr>
      </w:pPr>
    </w:p>
    <w:p w14:paraId="206565C2">
      <w:pPr>
        <w:pStyle w:val="10"/>
        <w:rPr>
          <w:b/>
          <w:sz w:val="26"/>
        </w:rPr>
      </w:pPr>
    </w:p>
    <w:p w14:paraId="763F9697">
      <w:pPr>
        <w:pStyle w:val="10"/>
        <w:rPr>
          <w:b/>
          <w:sz w:val="26"/>
        </w:rPr>
      </w:pPr>
    </w:p>
    <w:p w14:paraId="3A98D32C">
      <w:pPr>
        <w:pStyle w:val="10"/>
        <w:rPr>
          <w:b/>
          <w:sz w:val="26"/>
        </w:rPr>
      </w:pPr>
    </w:p>
    <w:p w14:paraId="79F0655C">
      <w:pPr>
        <w:pStyle w:val="10"/>
        <w:rPr>
          <w:b/>
          <w:sz w:val="26"/>
        </w:rPr>
      </w:pPr>
    </w:p>
    <w:p w14:paraId="62DC1C56">
      <w:pPr>
        <w:pStyle w:val="10"/>
        <w:rPr>
          <w:b/>
          <w:sz w:val="26"/>
        </w:rPr>
      </w:pPr>
    </w:p>
    <w:p w14:paraId="0FA3C4A0">
      <w:pPr>
        <w:pStyle w:val="10"/>
        <w:spacing w:before="12"/>
        <w:rPr>
          <w:b/>
          <w:sz w:val="27"/>
        </w:rPr>
      </w:pPr>
    </w:p>
    <w:p w14:paraId="4429A556">
      <w:pPr>
        <w:spacing w:before="0" w:after="37"/>
        <w:ind w:left="0" w:right="142" w:firstLine="0"/>
        <w:jc w:val="center"/>
        <w:rPr>
          <w:sz w:val="21"/>
        </w:rPr>
      </w:pPr>
      <w:r>
        <w:rPr>
          <w:sz w:val="21"/>
        </w:rPr>
        <w:t>二、生产经营规模</w:t>
      </w: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4A1E1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011" w:type="dxa"/>
            <w:tcBorders>
              <w:left w:val="nil"/>
            </w:tcBorders>
          </w:tcPr>
          <w:p w14:paraId="4C0E945D">
            <w:pPr>
              <w:pStyle w:val="17"/>
              <w:spacing w:before="21" w:line="278" w:lineRule="auto"/>
              <w:ind w:left="84" w:right="72"/>
              <w:rPr>
                <w:sz w:val="21"/>
              </w:rPr>
            </w:pPr>
            <w:r>
              <w:rPr>
                <w:rFonts w:ascii="Times New Roman" w:eastAsia="Times New Roman"/>
                <w:sz w:val="21"/>
              </w:rPr>
              <w:t xml:space="preserve">PET </w:t>
            </w:r>
            <w:r>
              <w:rPr>
                <w:sz w:val="21"/>
              </w:rPr>
              <w:t xml:space="preserve">再生瓶片类企业：新建企业年废塑料处理能力不低于 </w:t>
            </w:r>
            <w:r>
              <w:rPr>
                <w:rFonts w:ascii="Times New Roman" w:eastAsia="Times New Roman"/>
                <w:sz w:val="21"/>
              </w:rPr>
              <w:t xml:space="preserve">30000 </w:t>
            </w:r>
            <w:r>
              <w:rPr>
                <w:sz w:val="21"/>
              </w:rPr>
              <w:t>吨；已建企业年废</w:t>
            </w:r>
          </w:p>
          <w:p w14:paraId="43ECE3D0">
            <w:pPr>
              <w:pStyle w:val="17"/>
              <w:spacing w:line="269" w:lineRule="exact"/>
              <w:ind w:left="81" w:right="72"/>
              <w:rPr>
                <w:sz w:val="21"/>
              </w:rPr>
            </w:pPr>
            <w:r>
              <w:rPr>
                <w:sz w:val="21"/>
              </w:rPr>
              <w:t xml:space="preserve">塑料处理能力不低于 </w:t>
            </w:r>
            <w:r>
              <w:rPr>
                <w:rFonts w:ascii="Times New Roman" w:eastAsia="Times New Roman"/>
                <w:sz w:val="21"/>
              </w:rPr>
              <w:t xml:space="preserve">20000 </w:t>
            </w:r>
            <w:r>
              <w:rPr>
                <w:sz w:val="21"/>
              </w:rPr>
              <w:t>吨。</w:t>
            </w:r>
          </w:p>
        </w:tc>
        <w:tc>
          <w:tcPr>
            <w:tcW w:w="3290" w:type="dxa"/>
          </w:tcPr>
          <w:p w14:paraId="4B4E27B2">
            <w:pPr>
              <w:pStyle w:val="17"/>
              <w:spacing w:before="21"/>
              <w:ind w:left="108"/>
              <w:jc w:val="left"/>
              <w:rPr>
                <w:rFonts w:ascii="Times New Roman" w:eastAsia="Times New Roman"/>
                <w:sz w:val="21"/>
              </w:rPr>
            </w:pPr>
            <w:r>
              <w:rPr>
                <w:sz w:val="21"/>
              </w:rPr>
              <w:t xml:space="preserve">本项目使用已破碎清洗后的废 </w:t>
            </w:r>
            <w:r>
              <w:rPr>
                <w:rFonts w:ascii="Times New Roman" w:eastAsia="Times New Roman"/>
                <w:sz w:val="21"/>
              </w:rPr>
              <w:t>PE</w:t>
            </w:r>
          </w:p>
          <w:p w14:paraId="13D7DC0E">
            <w:pPr>
              <w:pStyle w:val="17"/>
              <w:spacing w:before="2" w:line="310" w:lineRule="atLeast"/>
              <w:ind w:left="144" w:right="29" w:hanging="36"/>
              <w:jc w:val="left"/>
              <w:rPr>
                <w:sz w:val="21"/>
              </w:rPr>
            </w:pPr>
            <w:r>
              <w:rPr>
                <w:sz w:val="21"/>
              </w:rPr>
              <w:t xml:space="preserve">塑料经熔融造粒后的 </w:t>
            </w:r>
            <w:r>
              <w:rPr>
                <w:rFonts w:ascii="Times New Roman" w:eastAsia="Times New Roman"/>
                <w:sz w:val="21"/>
              </w:rPr>
              <w:t xml:space="preserve">PE </w:t>
            </w:r>
            <w:r>
              <w:rPr>
                <w:sz w:val="21"/>
              </w:rPr>
              <w:t xml:space="preserve">再生塑料颗粒作为原料，不涉及 </w:t>
            </w:r>
            <w:r>
              <w:rPr>
                <w:rFonts w:ascii="Times New Roman" w:eastAsia="Times New Roman"/>
                <w:sz w:val="21"/>
              </w:rPr>
              <w:t xml:space="preserve">PET </w:t>
            </w:r>
            <w:r>
              <w:rPr>
                <w:sz w:val="21"/>
              </w:rPr>
              <w:t>塑料</w:t>
            </w:r>
          </w:p>
        </w:tc>
        <w:tc>
          <w:tcPr>
            <w:tcW w:w="1218" w:type="dxa"/>
            <w:tcBorders>
              <w:right w:val="nil"/>
            </w:tcBorders>
          </w:tcPr>
          <w:p w14:paraId="36C77BB6">
            <w:pPr>
              <w:pStyle w:val="17"/>
              <w:jc w:val="left"/>
              <w:rPr>
                <w:sz w:val="26"/>
              </w:rPr>
            </w:pPr>
          </w:p>
          <w:p w14:paraId="2277E2A5">
            <w:pPr>
              <w:pStyle w:val="17"/>
              <w:ind w:left="399"/>
              <w:jc w:val="left"/>
              <w:rPr>
                <w:sz w:val="21"/>
              </w:rPr>
            </w:pPr>
            <w:r>
              <w:rPr>
                <w:sz w:val="21"/>
              </w:rPr>
              <w:t>符合</w:t>
            </w:r>
          </w:p>
        </w:tc>
      </w:tr>
    </w:tbl>
    <w:p w14:paraId="1501A2E7">
      <w:pPr>
        <w:spacing w:after="0"/>
        <w:jc w:val="left"/>
        <w:rPr>
          <w:sz w:val="21"/>
        </w:rPr>
        <w:sectPr>
          <w:pgSz w:w="11910" w:h="16840"/>
          <w:pgMar w:top="1440" w:right="1440" w:bottom="122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03874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2CED0111">
            <w:pPr>
              <w:pStyle w:val="17"/>
              <w:spacing w:before="21" w:line="278" w:lineRule="auto"/>
              <w:ind w:left="118" w:right="104" w:hanging="3"/>
              <w:rPr>
                <w:sz w:val="21"/>
              </w:rPr>
            </w:pPr>
            <w:r>
              <w:rPr>
                <w:w w:val="95"/>
                <w:sz w:val="21"/>
              </w:rPr>
              <w:t>废塑料破碎、清洗、分选类企业：新建企</w:t>
            </w:r>
            <w:r>
              <w:rPr>
                <w:spacing w:val="-5"/>
                <w:sz w:val="21"/>
              </w:rPr>
              <w:t xml:space="preserve">业年废塑料处理能力不低于 </w:t>
            </w:r>
            <w:r>
              <w:rPr>
                <w:rFonts w:ascii="Times New Roman" w:eastAsia="Times New Roman"/>
                <w:sz w:val="21"/>
              </w:rPr>
              <w:t xml:space="preserve">30000 </w:t>
            </w:r>
            <w:r>
              <w:rPr>
                <w:sz w:val="21"/>
              </w:rPr>
              <w:t>吨；已</w:t>
            </w:r>
          </w:p>
          <w:p w14:paraId="0985B346">
            <w:pPr>
              <w:pStyle w:val="17"/>
              <w:spacing w:line="269" w:lineRule="exact"/>
              <w:ind w:left="84" w:right="71"/>
              <w:rPr>
                <w:rFonts w:ascii="Times New Roman" w:eastAsia="Times New Roman"/>
                <w:sz w:val="21"/>
              </w:rPr>
            </w:pPr>
            <w:r>
              <w:rPr>
                <w:sz w:val="21"/>
              </w:rPr>
              <w:t xml:space="preserve">建企业年废塑料处理能力不低于 </w:t>
            </w:r>
            <w:r>
              <w:rPr>
                <w:rFonts w:ascii="Times New Roman" w:eastAsia="Times New Roman"/>
                <w:sz w:val="21"/>
              </w:rPr>
              <w:t>20000</w:t>
            </w:r>
          </w:p>
          <w:p w14:paraId="097931F2">
            <w:pPr>
              <w:pStyle w:val="17"/>
              <w:spacing w:before="43"/>
              <w:ind w:left="81" w:right="72"/>
              <w:rPr>
                <w:sz w:val="21"/>
              </w:rPr>
            </w:pPr>
            <w:r>
              <w:rPr>
                <w:sz w:val="21"/>
              </w:rPr>
              <w:t>吨。</w:t>
            </w:r>
          </w:p>
        </w:tc>
        <w:tc>
          <w:tcPr>
            <w:tcW w:w="3290" w:type="dxa"/>
          </w:tcPr>
          <w:p w14:paraId="039A8C45">
            <w:pPr>
              <w:pStyle w:val="17"/>
              <w:spacing w:before="177" w:line="278" w:lineRule="auto"/>
              <w:ind w:left="108" w:right="99"/>
              <w:jc w:val="both"/>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再生塑料颗粒作为原料，不涉及破碎清洗</w:t>
            </w:r>
          </w:p>
        </w:tc>
        <w:tc>
          <w:tcPr>
            <w:tcW w:w="1218" w:type="dxa"/>
            <w:tcBorders>
              <w:right w:val="nil"/>
            </w:tcBorders>
          </w:tcPr>
          <w:p w14:paraId="2BBD9AD7">
            <w:pPr>
              <w:pStyle w:val="17"/>
              <w:jc w:val="left"/>
              <w:rPr>
                <w:sz w:val="20"/>
              </w:rPr>
            </w:pPr>
          </w:p>
          <w:p w14:paraId="4E955499">
            <w:pPr>
              <w:pStyle w:val="17"/>
              <w:spacing w:before="2"/>
              <w:jc w:val="left"/>
              <w:rPr>
                <w:sz w:val="18"/>
              </w:rPr>
            </w:pPr>
          </w:p>
          <w:p w14:paraId="48759C8A">
            <w:pPr>
              <w:pStyle w:val="17"/>
              <w:ind w:left="167" w:right="164"/>
              <w:rPr>
                <w:sz w:val="21"/>
              </w:rPr>
            </w:pPr>
            <w:r>
              <w:rPr>
                <w:sz w:val="21"/>
              </w:rPr>
              <w:t>符合</w:t>
            </w:r>
          </w:p>
        </w:tc>
      </w:tr>
      <w:tr w14:paraId="7C743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472FA8A4">
            <w:pPr>
              <w:pStyle w:val="17"/>
              <w:spacing w:before="177" w:line="278" w:lineRule="auto"/>
              <w:ind w:left="111" w:right="97" w:hanging="3"/>
              <w:rPr>
                <w:sz w:val="21"/>
              </w:rPr>
            </w:pPr>
            <w:r>
              <w:rPr>
                <w:w w:val="95"/>
                <w:sz w:val="21"/>
              </w:rPr>
              <w:t xml:space="preserve">塑料再生造粒类企业：新建企业年废塑料 </w:t>
            </w:r>
            <w:r>
              <w:rPr>
                <w:spacing w:val="-8"/>
                <w:sz w:val="21"/>
              </w:rPr>
              <w:t xml:space="preserve">处理能力不低于 </w:t>
            </w:r>
            <w:r>
              <w:rPr>
                <w:rFonts w:ascii="Times New Roman" w:eastAsia="Times New Roman"/>
                <w:sz w:val="21"/>
              </w:rPr>
              <w:t>5000</w:t>
            </w:r>
            <w:r>
              <w:rPr>
                <w:rFonts w:ascii="Times New Roman" w:eastAsia="Times New Roman"/>
                <w:spacing w:val="-6"/>
                <w:sz w:val="21"/>
              </w:rPr>
              <w:t xml:space="preserve"> </w:t>
            </w:r>
            <w:r>
              <w:rPr>
                <w:spacing w:val="-12"/>
                <w:sz w:val="21"/>
              </w:rPr>
              <w:t>吨；已建企业年废塑</w:t>
            </w:r>
          </w:p>
          <w:p w14:paraId="08B6D483">
            <w:pPr>
              <w:pStyle w:val="17"/>
              <w:spacing w:line="269" w:lineRule="exact"/>
              <w:ind w:left="84" w:right="72"/>
              <w:rPr>
                <w:sz w:val="21"/>
              </w:rPr>
            </w:pPr>
            <w:r>
              <w:rPr>
                <w:sz w:val="21"/>
              </w:rPr>
              <w:t xml:space="preserve">料处理能力不低于 </w:t>
            </w:r>
            <w:r>
              <w:rPr>
                <w:rFonts w:ascii="Times New Roman" w:eastAsia="Times New Roman"/>
                <w:sz w:val="21"/>
              </w:rPr>
              <w:t xml:space="preserve">3000 </w:t>
            </w:r>
            <w:r>
              <w:rPr>
                <w:sz w:val="21"/>
              </w:rPr>
              <w:t>吨。</w:t>
            </w:r>
          </w:p>
        </w:tc>
        <w:tc>
          <w:tcPr>
            <w:tcW w:w="3290" w:type="dxa"/>
          </w:tcPr>
          <w:p w14:paraId="48A83F7D">
            <w:pPr>
              <w:pStyle w:val="17"/>
              <w:spacing w:before="21" w:line="278" w:lineRule="auto"/>
              <w:ind w:left="108" w:right="99"/>
              <w:jc w:val="both"/>
              <w:rPr>
                <w:rFonts w:ascii="Times New Roman" w:eastAsia="Times New Roman"/>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5"/>
                <w:sz w:val="21"/>
              </w:rPr>
              <w:t xml:space="preserve">颗粒作为原料，年产再生塑料 </w:t>
            </w:r>
            <w:r>
              <w:rPr>
                <w:rFonts w:ascii="Times New Roman" w:eastAsia="Times New Roman"/>
                <w:sz w:val="21"/>
              </w:rPr>
              <w:t>PE</w:t>
            </w:r>
          </w:p>
          <w:p w14:paraId="09300FDC">
            <w:pPr>
              <w:pStyle w:val="17"/>
              <w:spacing w:line="269" w:lineRule="exact"/>
              <w:ind w:left="104" w:right="97"/>
              <w:rPr>
                <w:sz w:val="21"/>
              </w:rPr>
            </w:pPr>
            <w:r>
              <w:rPr>
                <w:sz w:val="21"/>
              </w:rPr>
              <w:t xml:space="preserve">料 </w:t>
            </w:r>
            <w:r>
              <w:rPr>
                <w:rFonts w:ascii="Times New Roman" w:eastAsia="Times New Roman"/>
                <w:sz w:val="21"/>
              </w:rPr>
              <w:t xml:space="preserve">5000 </w:t>
            </w:r>
            <w:r>
              <w:rPr>
                <w:sz w:val="21"/>
              </w:rPr>
              <w:t>吨</w:t>
            </w:r>
          </w:p>
        </w:tc>
        <w:tc>
          <w:tcPr>
            <w:tcW w:w="1218" w:type="dxa"/>
            <w:tcBorders>
              <w:right w:val="nil"/>
            </w:tcBorders>
          </w:tcPr>
          <w:p w14:paraId="02B6FC5D">
            <w:pPr>
              <w:pStyle w:val="17"/>
              <w:jc w:val="left"/>
              <w:rPr>
                <w:sz w:val="20"/>
              </w:rPr>
            </w:pPr>
          </w:p>
          <w:p w14:paraId="1AA9520D">
            <w:pPr>
              <w:pStyle w:val="17"/>
              <w:spacing w:before="1"/>
              <w:jc w:val="left"/>
              <w:rPr>
                <w:sz w:val="18"/>
              </w:rPr>
            </w:pPr>
          </w:p>
          <w:p w14:paraId="3B08B5BB">
            <w:pPr>
              <w:pStyle w:val="17"/>
              <w:spacing w:before="1"/>
              <w:ind w:left="167" w:right="164"/>
              <w:rPr>
                <w:sz w:val="21"/>
              </w:rPr>
            </w:pPr>
            <w:r>
              <w:rPr>
                <w:sz w:val="21"/>
              </w:rPr>
              <w:t>符合</w:t>
            </w:r>
          </w:p>
        </w:tc>
      </w:tr>
      <w:tr w14:paraId="43012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559743DF">
            <w:pPr>
              <w:pStyle w:val="17"/>
              <w:spacing w:before="176" w:line="278" w:lineRule="auto"/>
              <w:ind w:left="1484" w:right="107" w:hanging="1366"/>
              <w:jc w:val="left"/>
              <w:rPr>
                <w:sz w:val="21"/>
              </w:rPr>
            </w:pPr>
            <w:r>
              <w:rPr>
                <w:w w:val="95"/>
                <w:sz w:val="21"/>
              </w:rPr>
              <w:t>企业应具有与生产能力相匹配的厂区作业</w:t>
            </w:r>
            <w:r>
              <w:rPr>
                <w:sz w:val="21"/>
              </w:rPr>
              <w:t>场地面积。</w:t>
            </w:r>
          </w:p>
        </w:tc>
        <w:tc>
          <w:tcPr>
            <w:tcW w:w="3290" w:type="dxa"/>
          </w:tcPr>
          <w:p w14:paraId="4FA798C8">
            <w:pPr>
              <w:pStyle w:val="17"/>
              <w:spacing w:before="20" w:line="278" w:lineRule="auto"/>
              <w:ind w:left="108" w:right="22" w:firstLine="28"/>
              <w:jc w:val="left"/>
              <w:rPr>
                <w:sz w:val="21"/>
              </w:rPr>
            </w:pPr>
            <w:r>
              <w:rPr>
                <w:sz w:val="21"/>
              </w:rPr>
              <w:t xml:space="preserve">企业厂房面积 </w:t>
            </w:r>
            <w:r>
              <w:rPr>
                <w:rFonts w:ascii="Times New Roman" w:eastAsia="Times New Roman"/>
                <w:sz w:val="21"/>
              </w:rPr>
              <w:t>3200m</w:t>
            </w:r>
            <w:r>
              <w:rPr>
                <w:rFonts w:ascii="Times New Roman" w:eastAsia="Times New Roman"/>
                <w:position w:val="7"/>
                <w:sz w:val="13"/>
              </w:rPr>
              <w:t>2</w:t>
            </w:r>
            <w:r>
              <w:rPr>
                <w:sz w:val="21"/>
              </w:rPr>
              <w:t xml:space="preserve">，新建 </w:t>
            </w:r>
            <w:r>
              <w:rPr>
                <w:rFonts w:ascii="Times New Roman" w:eastAsia="Times New Roman"/>
                <w:sz w:val="21"/>
              </w:rPr>
              <w:t xml:space="preserve">2 </w:t>
            </w:r>
            <w:r>
              <w:rPr>
                <w:sz w:val="21"/>
              </w:rPr>
              <w:t>条</w:t>
            </w:r>
            <w:r>
              <w:rPr>
                <w:w w:val="95"/>
                <w:sz w:val="21"/>
              </w:rPr>
              <w:t>挤出造粒生产线，有与本项目生产</w:t>
            </w:r>
          </w:p>
          <w:p w14:paraId="6CEC3F8D">
            <w:pPr>
              <w:pStyle w:val="17"/>
              <w:spacing w:line="269" w:lineRule="exact"/>
              <w:ind w:left="175"/>
              <w:jc w:val="left"/>
              <w:rPr>
                <w:sz w:val="21"/>
              </w:rPr>
            </w:pPr>
            <w:r>
              <w:rPr>
                <w:sz w:val="21"/>
              </w:rPr>
              <w:t>能力相匹配的厂区作业场地面积</w:t>
            </w:r>
          </w:p>
        </w:tc>
        <w:tc>
          <w:tcPr>
            <w:tcW w:w="1218" w:type="dxa"/>
            <w:tcBorders>
              <w:right w:val="nil"/>
            </w:tcBorders>
          </w:tcPr>
          <w:p w14:paraId="1324651D">
            <w:pPr>
              <w:pStyle w:val="17"/>
              <w:spacing w:before="12"/>
              <w:jc w:val="left"/>
              <w:rPr>
                <w:sz w:val="25"/>
              </w:rPr>
            </w:pPr>
          </w:p>
          <w:p w14:paraId="7C997CDC">
            <w:pPr>
              <w:pStyle w:val="17"/>
              <w:ind w:left="167" w:right="164"/>
              <w:rPr>
                <w:sz w:val="21"/>
              </w:rPr>
            </w:pPr>
            <w:r>
              <w:rPr>
                <w:sz w:val="21"/>
              </w:rPr>
              <w:t>符合</w:t>
            </w:r>
          </w:p>
        </w:tc>
      </w:tr>
      <w:tr w14:paraId="268D8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32E47020">
            <w:pPr>
              <w:pStyle w:val="17"/>
              <w:spacing w:before="34"/>
              <w:ind w:left="2478" w:right="2468"/>
              <w:rPr>
                <w:sz w:val="21"/>
              </w:rPr>
            </w:pPr>
            <w:r>
              <w:rPr>
                <w:sz w:val="21"/>
              </w:rPr>
              <w:t>三、资源综合利用及能耗</w:t>
            </w:r>
          </w:p>
        </w:tc>
        <w:tc>
          <w:tcPr>
            <w:tcW w:w="1218" w:type="dxa"/>
            <w:tcBorders>
              <w:right w:val="nil"/>
            </w:tcBorders>
          </w:tcPr>
          <w:p w14:paraId="7CEA6897">
            <w:pPr>
              <w:pStyle w:val="17"/>
              <w:jc w:val="left"/>
              <w:rPr>
                <w:rFonts w:ascii="Times New Roman"/>
                <w:sz w:val="20"/>
              </w:rPr>
            </w:pPr>
          </w:p>
        </w:tc>
      </w:tr>
      <w:tr w14:paraId="124BA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4A95BC84">
            <w:pPr>
              <w:pStyle w:val="17"/>
              <w:spacing w:before="176" w:line="278" w:lineRule="auto"/>
              <w:ind w:left="118" w:right="107"/>
              <w:rPr>
                <w:sz w:val="21"/>
              </w:rPr>
            </w:pPr>
            <w:r>
              <w:rPr>
                <w:w w:val="95"/>
                <w:sz w:val="21"/>
              </w:rPr>
              <w:t>企业应对收集的废塑料进行充分利用，提高资源回收利用效率，不得倾倒、焚烧与</w:t>
            </w:r>
            <w:r>
              <w:rPr>
                <w:sz w:val="21"/>
              </w:rPr>
              <w:t>填埋。</w:t>
            </w:r>
          </w:p>
        </w:tc>
        <w:tc>
          <w:tcPr>
            <w:tcW w:w="3290" w:type="dxa"/>
          </w:tcPr>
          <w:p w14:paraId="0F367C03">
            <w:pPr>
              <w:pStyle w:val="17"/>
              <w:spacing w:before="20" w:line="278" w:lineRule="auto"/>
              <w:ind w:left="108" w:right="99"/>
              <w:jc w:val="both"/>
              <w:rPr>
                <w:sz w:val="21"/>
              </w:rPr>
            </w:pPr>
            <w:r>
              <w:rPr>
                <w:spacing w:val="-4"/>
                <w:sz w:val="21"/>
              </w:rPr>
              <w:t xml:space="preserve">本项目使用已破碎清洗后的废 </w:t>
            </w:r>
            <w:r>
              <w:rPr>
                <w:rFonts w:ascii="Times New Roman" w:eastAsia="Times New Roman"/>
                <w:sz w:val="21"/>
              </w:rPr>
              <w:t xml:space="preserve">PE </w:t>
            </w:r>
            <w:r>
              <w:rPr>
                <w:spacing w:val="-7"/>
                <w:sz w:val="21"/>
              </w:rPr>
              <w:t xml:space="preserve">塑料经熔融造粒后的 </w:t>
            </w:r>
            <w:r>
              <w:rPr>
                <w:rFonts w:ascii="Times New Roman" w:eastAsia="Times New Roman"/>
                <w:sz w:val="21"/>
              </w:rPr>
              <w:t xml:space="preserve">PE </w:t>
            </w:r>
            <w:r>
              <w:rPr>
                <w:sz w:val="21"/>
              </w:rPr>
              <w:t>再生塑料</w:t>
            </w:r>
            <w:r>
              <w:rPr>
                <w:spacing w:val="-9"/>
                <w:w w:val="95"/>
                <w:sz w:val="21"/>
              </w:rPr>
              <w:t>颗粒作为原料，不涉及倾倒、焚烧</w:t>
            </w:r>
          </w:p>
          <w:p w14:paraId="5CA78CBA">
            <w:pPr>
              <w:pStyle w:val="17"/>
              <w:spacing w:line="269" w:lineRule="exact"/>
              <w:ind w:left="103" w:right="97"/>
              <w:rPr>
                <w:sz w:val="21"/>
              </w:rPr>
            </w:pPr>
            <w:r>
              <w:rPr>
                <w:sz w:val="21"/>
              </w:rPr>
              <w:t>与填埋行为</w:t>
            </w:r>
          </w:p>
        </w:tc>
        <w:tc>
          <w:tcPr>
            <w:tcW w:w="1218" w:type="dxa"/>
            <w:tcBorders>
              <w:right w:val="nil"/>
            </w:tcBorders>
          </w:tcPr>
          <w:p w14:paraId="262E27D1">
            <w:pPr>
              <w:pStyle w:val="17"/>
              <w:jc w:val="left"/>
              <w:rPr>
                <w:sz w:val="20"/>
              </w:rPr>
            </w:pPr>
          </w:p>
          <w:p w14:paraId="673BE74E">
            <w:pPr>
              <w:pStyle w:val="17"/>
              <w:spacing w:before="1"/>
              <w:jc w:val="left"/>
              <w:rPr>
                <w:sz w:val="18"/>
              </w:rPr>
            </w:pPr>
          </w:p>
          <w:p w14:paraId="5F7D9252">
            <w:pPr>
              <w:pStyle w:val="17"/>
              <w:ind w:left="167" w:right="164"/>
              <w:rPr>
                <w:sz w:val="21"/>
              </w:rPr>
            </w:pPr>
            <w:r>
              <w:rPr>
                <w:sz w:val="21"/>
              </w:rPr>
              <w:t>符合</w:t>
            </w:r>
          </w:p>
        </w:tc>
      </w:tr>
      <w:tr w14:paraId="4C0B1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665D7809">
            <w:pPr>
              <w:pStyle w:val="17"/>
              <w:spacing w:before="176" w:line="278" w:lineRule="auto"/>
              <w:ind w:left="824" w:right="56" w:hanging="706"/>
              <w:jc w:val="left"/>
              <w:rPr>
                <w:sz w:val="21"/>
              </w:rPr>
            </w:pPr>
            <w:r>
              <w:rPr>
                <w:w w:val="95"/>
                <w:sz w:val="21"/>
              </w:rPr>
              <w:t>塑料再生加工相关生产环节的综合电耗低</w:t>
            </w:r>
            <w:r>
              <w:rPr>
                <w:sz w:val="21"/>
              </w:rPr>
              <w:t xml:space="preserve">于 </w:t>
            </w:r>
            <w:r>
              <w:rPr>
                <w:rFonts w:ascii="Times New Roman" w:eastAsia="Times New Roman"/>
                <w:sz w:val="21"/>
              </w:rPr>
              <w:t xml:space="preserve">500 </w:t>
            </w:r>
            <w:r>
              <w:rPr>
                <w:sz w:val="21"/>
              </w:rPr>
              <w:t>千瓦时</w:t>
            </w:r>
            <w:r>
              <w:rPr>
                <w:rFonts w:ascii="Times New Roman" w:eastAsia="Times New Roman"/>
                <w:sz w:val="21"/>
              </w:rPr>
              <w:t>/</w:t>
            </w:r>
            <w:r>
              <w:rPr>
                <w:sz w:val="21"/>
              </w:rPr>
              <w:t>吨废塑料。</w:t>
            </w:r>
          </w:p>
        </w:tc>
        <w:tc>
          <w:tcPr>
            <w:tcW w:w="3290" w:type="dxa"/>
          </w:tcPr>
          <w:p w14:paraId="46907EB6">
            <w:pPr>
              <w:pStyle w:val="17"/>
              <w:spacing w:before="20"/>
              <w:ind w:left="182"/>
              <w:jc w:val="left"/>
              <w:rPr>
                <w:rFonts w:ascii="Times New Roman" w:eastAsia="Times New Roman"/>
                <w:sz w:val="21"/>
              </w:rPr>
            </w:pPr>
            <w:r>
              <w:rPr>
                <w:sz w:val="21"/>
              </w:rPr>
              <w:t xml:space="preserve">本项目年产再生塑料 </w:t>
            </w:r>
            <w:r>
              <w:rPr>
                <w:rFonts w:ascii="Times New Roman" w:eastAsia="Times New Roman"/>
                <w:sz w:val="21"/>
              </w:rPr>
              <w:t xml:space="preserve">PE </w:t>
            </w:r>
            <w:r>
              <w:rPr>
                <w:sz w:val="21"/>
              </w:rPr>
              <w:t xml:space="preserve">料 </w:t>
            </w:r>
            <w:r>
              <w:rPr>
                <w:rFonts w:ascii="Times New Roman" w:eastAsia="Times New Roman"/>
                <w:sz w:val="21"/>
              </w:rPr>
              <w:t>5000</w:t>
            </w:r>
          </w:p>
          <w:p w14:paraId="56F98728">
            <w:pPr>
              <w:pStyle w:val="17"/>
              <w:spacing w:before="43"/>
              <w:ind w:left="175"/>
              <w:jc w:val="left"/>
              <w:rPr>
                <w:sz w:val="21"/>
              </w:rPr>
            </w:pPr>
            <w:r>
              <w:rPr>
                <w:w w:val="95"/>
                <w:sz w:val="21"/>
              </w:rPr>
              <w:t>吨，相关生产环节的综合电耗约</w:t>
            </w:r>
          </w:p>
          <w:p w14:paraId="54F612B2">
            <w:pPr>
              <w:pStyle w:val="17"/>
              <w:spacing w:before="43"/>
              <w:ind w:left="564"/>
              <w:jc w:val="left"/>
              <w:rPr>
                <w:sz w:val="21"/>
              </w:rPr>
            </w:pPr>
            <w:r>
              <w:rPr>
                <w:rFonts w:ascii="Times New Roman" w:eastAsia="Times New Roman"/>
                <w:sz w:val="21"/>
              </w:rPr>
              <w:t xml:space="preserve">37.5 </w:t>
            </w:r>
            <w:r>
              <w:rPr>
                <w:sz w:val="21"/>
              </w:rPr>
              <w:t>千瓦时</w:t>
            </w:r>
            <w:r>
              <w:rPr>
                <w:rFonts w:ascii="Times New Roman" w:eastAsia="Times New Roman"/>
                <w:sz w:val="21"/>
              </w:rPr>
              <w:t>/</w:t>
            </w:r>
            <w:r>
              <w:rPr>
                <w:sz w:val="21"/>
              </w:rPr>
              <w:t>吨废塑料。</w:t>
            </w:r>
          </w:p>
        </w:tc>
        <w:tc>
          <w:tcPr>
            <w:tcW w:w="1218" w:type="dxa"/>
            <w:tcBorders>
              <w:right w:val="nil"/>
            </w:tcBorders>
          </w:tcPr>
          <w:p w14:paraId="2C214DC9">
            <w:pPr>
              <w:pStyle w:val="17"/>
              <w:spacing w:before="11"/>
              <w:jc w:val="left"/>
              <w:rPr>
                <w:sz w:val="25"/>
              </w:rPr>
            </w:pPr>
          </w:p>
          <w:p w14:paraId="17502720">
            <w:pPr>
              <w:pStyle w:val="17"/>
              <w:ind w:left="167" w:right="164"/>
              <w:rPr>
                <w:sz w:val="21"/>
              </w:rPr>
            </w:pPr>
            <w:r>
              <w:rPr>
                <w:sz w:val="21"/>
              </w:rPr>
              <w:t>符合</w:t>
            </w:r>
          </w:p>
        </w:tc>
      </w:tr>
      <w:tr w14:paraId="4E190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4011" w:type="dxa"/>
            <w:tcBorders>
              <w:left w:val="nil"/>
            </w:tcBorders>
          </w:tcPr>
          <w:p w14:paraId="25E83D8A">
            <w:pPr>
              <w:pStyle w:val="17"/>
              <w:spacing w:before="22" w:line="278" w:lineRule="auto"/>
              <w:ind w:left="116" w:right="-15" w:hanging="5"/>
              <w:jc w:val="left"/>
              <w:rPr>
                <w:sz w:val="21"/>
              </w:rPr>
            </w:pPr>
            <w:r>
              <w:rPr>
                <w:rFonts w:ascii="Times New Roman" w:eastAsia="Times New Roman"/>
                <w:sz w:val="21"/>
              </w:rPr>
              <w:t>PET</w:t>
            </w:r>
            <w:r>
              <w:rPr>
                <w:rFonts w:ascii="Times New Roman" w:eastAsia="Times New Roman"/>
                <w:spacing w:val="-9"/>
                <w:sz w:val="21"/>
              </w:rPr>
              <w:t xml:space="preserve"> </w:t>
            </w:r>
            <w:r>
              <w:rPr>
                <w:spacing w:val="-7"/>
                <w:sz w:val="21"/>
              </w:rPr>
              <w:t>再生瓶片类企业与废塑料破碎、清洗、</w:t>
            </w:r>
            <w:r>
              <w:rPr>
                <w:spacing w:val="-11"/>
                <w:sz w:val="21"/>
              </w:rPr>
              <w:t xml:space="preserve">分选类企业的综合新水消耗低于 </w:t>
            </w:r>
            <w:r>
              <w:rPr>
                <w:rFonts w:ascii="Times New Roman" w:eastAsia="Times New Roman"/>
                <w:sz w:val="21"/>
              </w:rPr>
              <w:t>1.5</w:t>
            </w:r>
            <w:r>
              <w:rPr>
                <w:rFonts w:ascii="Times New Roman" w:eastAsia="Times New Roman"/>
                <w:spacing w:val="-4"/>
                <w:sz w:val="21"/>
              </w:rPr>
              <w:t xml:space="preserve"> </w:t>
            </w:r>
            <w:r>
              <w:rPr>
                <w:sz w:val="21"/>
              </w:rPr>
              <w:t>吨</w:t>
            </w:r>
            <w:r>
              <w:rPr>
                <w:rFonts w:ascii="Times New Roman" w:eastAsia="Times New Roman"/>
                <w:sz w:val="21"/>
              </w:rPr>
              <w:t>/</w:t>
            </w:r>
            <w:r>
              <w:rPr>
                <w:sz w:val="21"/>
              </w:rPr>
              <w:t>吨废塑料。塑料再生造粒类企业的综合新水</w:t>
            </w:r>
          </w:p>
          <w:p w14:paraId="58DB2FA9">
            <w:pPr>
              <w:pStyle w:val="17"/>
              <w:spacing w:line="269" w:lineRule="exact"/>
              <w:ind w:left="747"/>
              <w:jc w:val="left"/>
              <w:rPr>
                <w:sz w:val="21"/>
              </w:rPr>
            </w:pPr>
            <w:r>
              <w:rPr>
                <w:sz w:val="21"/>
              </w:rPr>
              <w:t xml:space="preserve">消耗低于 </w:t>
            </w:r>
            <w:r>
              <w:rPr>
                <w:rFonts w:ascii="Times New Roman" w:eastAsia="Times New Roman"/>
                <w:sz w:val="21"/>
              </w:rPr>
              <w:t xml:space="preserve">0.2 </w:t>
            </w:r>
            <w:r>
              <w:rPr>
                <w:sz w:val="21"/>
              </w:rPr>
              <w:t>吨</w:t>
            </w:r>
            <w:r>
              <w:rPr>
                <w:rFonts w:ascii="Times New Roman" w:eastAsia="Times New Roman"/>
                <w:sz w:val="21"/>
              </w:rPr>
              <w:t>/</w:t>
            </w:r>
            <w:r>
              <w:rPr>
                <w:sz w:val="21"/>
              </w:rPr>
              <w:t>吨废塑料。</w:t>
            </w:r>
          </w:p>
        </w:tc>
        <w:tc>
          <w:tcPr>
            <w:tcW w:w="3290" w:type="dxa"/>
          </w:tcPr>
          <w:p w14:paraId="613433FD">
            <w:pPr>
              <w:pStyle w:val="17"/>
              <w:spacing w:before="178" w:line="278" w:lineRule="auto"/>
              <w:ind w:left="108" w:right="99" w:firstLine="1"/>
              <w:rPr>
                <w:sz w:val="21"/>
              </w:rPr>
            </w:pPr>
            <w:r>
              <w:rPr>
                <w:spacing w:val="-6"/>
                <w:sz w:val="21"/>
              </w:rPr>
              <w:t xml:space="preserve">本项目年产再生塑料 </w:t>
            </w:r>
            <w:r>
              <w:rPr>
                <w:rFonts w:ascii="Times New Roman" w:eastAsia="Times New Roman"/>
                <w:sz w:val="21"/>
              </w:rPr>
              <w:t xml:space="preserve">PE </w:t>
            </w:r>
            <w:r>
              <w:rPr>
                <w:spacing w:val="-28"/>
                <w:sz w:val="21"/>
              </w:rPr>
              <w:t xml:space="preserve">料 </w:t>
            </w:r>
            <w:r>
              <w:rPr>
                <w:rFonts w:ascii="Times New Roman" w:eastAsia="Times New Roman"/>
                <w:sz w:val="21"/>
              </w:rPr>
              <w:t xml:space="preserve">5000 </w:t>
            </w:r>
            <w:r>
              <w:rPr>
                <w:spacing w:val="-9"/>
                <w:w w:val="95"/>
                <w:sz w:val="21"/>
              </w:rPr>
              <w:t>吨，相关生产环节的综合新水消耗</w:t>
            </w:r>
            <w:r>
              <w:rPr>
                <w:spacing w:val="-32"/>
                <w:sz w:val="21"/>
              </w:rPr>
              <w:t xml:space="preserve">为 </w:t>
            </w:r>
            <w:r>
              <w:rPr>
                <w:rFonts w:ascii="Times New Roman" w:eastAsia="Times New Roman"/>
                <w:sz w:val="21"/>
              </w:rPr>
              <w:t xml:space="preserve">0.05 </w:t>
            </w:r>
            <w:r>
              <w:rPr>
                <w:sz w:val="21"/>
              </w:rPr>
              <w:t>吨</w:t>
            </w:r>
            <w:r>
              <w:rPr>
                <w:rFonts w:ascii="Times New Roman" w:eastAsia="Times New Roman"/>
                <w:sz w:val="21"/>
              </w:rPr>
              <w:t>/</w:t>
            </w:r>
            <w:r>
              <w:rPr>
                <w:sz w:val="21"/>
              </w:rPr>
              <w:t>吨废塑料。</w:t>
            </w:r>
          </w:p>
        </w:tc>
        <w:tc>
          <w:tcPr>
            <w:tcW w:w="1218" w:type="dxa"/>
            <w:tcBorders>
              <w:right w:val="nil"/>
            </w:tcBorders>
          </w:tcPr>
          <w:p w14:paraId="0ECC3F66">
            <w:pPr>
              <w:pStyle w:val="17"/>
              <w:jc w:val="left"/>
              <w:rPr>
                <w:sz w:val="20"/>
              </w:rPr>
            </w:pPr>
          </w:p>
          <w:p w14:paraId="4E697B3A">
            <w:pPr>
              <w:pStyle w:val="17"/>
              <w:spacing w:before="3"/>
              <w:jc w:val="left"/>
              <w:rPr>
                <w:sz w:val="18"/>
              </w:rPr>
            </w:pPr>
          </w:p>
          <w:p w14:paraId="3F77C920">
            <w:pPr>
              <w:pStyle w:val="17"/>
              <w:ind w:left="167" w:right="164"/>
              <w:rPr>
                <w:sz w:val="21"/>
              </w:rPr>
            </w:pPr>
            <w:r>
              <w:rPr>
                <w:sz w:val="21"/>
              </w:rPr>
              <w:t>符合</w:t>
            </w:r>
          </w:p>
        </w:tc>
      </w:tr>
      <w:tr w14:paraId="012D2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3BEA05AE">
            <w:pPr>
              <w:pStyle w:val="17"/>
              <w:spacing w:before="177"/>
              <w:ind w:left="435"/>
              <w:jc w:val="left"/>
              <w:rPr>
                <w:sz w:val="21"/>
              </w:rPr>
            </w:pPr>
            <w:r>
              <w:rPr>
                <w:sz w:val="21"/>
              </w:rPr>
              <w:t>其他生产单耗需满足国家相关标准</w:t>
            </w:r>
          </w:p>
        </w:tc>
        <w:tc>
          <w:tcPr>
            <w:tcW w:w="3290" w:type="dxa"/>
          </w:tcPr>
          <w:p w14:paraId="4DE66C12">
            <w:pPr>
              <w:pStyle w:val="17"/>
              <w:spacing w:before="21"/>
              <w:ind w:left="106" w:right="97"/>
              <w:rPr>
                <w:sz w:val="21"/>
              </w:rPr>
            </w:pPr>
            <w:r>
              <w:rPr>
                <w:sz w:val="21"/>
              </w:rPr>
              <w:t>其他生产单耗需满足国家相关标</w:t>
            </w:r>
          </w:p>
          <w:p w14:paraId="302140EB">
            <w:pPr>
              <w:pStyle w:val="17"/>
              <w:spacing w:before="43"/>
              <w:ind w:left="6"/>
              <w:rPr>
                <w:sz w:val="21"/>
              </w:rPr>
            </w:pPr>
            <w:r>
              <w:rPr>
                <w:w w:val="99"/>
                <w:sz w:val="21"/>
              </w:rPr>
              <w:t>准</w:t>
            </w:r>
          </w:p>
        </w:tc>
        <w:tc>
          <w:tcPr>
            <w:tcW w:w="1218" w:type="dxa"/>
            <w:tcBorders>
              <w:right w:val="nil"/>
            </w:tcBorders>
          </w:tcPr>
          <w:p w14:paraId="3C5CB3DB">
            <w:pPr>
              <w:pStyle w:val="17"/>
              <w:spacing w:before="177"/>
              <w:ind w:left="167" w:right="164"/>
              <w:rPr>
                <w:sz w:val="21"/>
              </w:rPr>
            </w:pPr>
            <w:r>
              <w:rPr>
                <w:sz w:val="21"/>
              </w:rPr>
              <w:t>符合</w:t>
            </w:r>
          </w:p>
        </w:tc>
      </w:tr>
      <w:tr w14:paraId="654A5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624C2A99">
            <w:pPr>
              <w:pStyle w:val="17"/>
              <w:spacing w:before="35"/>
              <w:ind w:left="2478" w:right="2466"/>
              <w:rPr>
                <w:sz w:val="21"/>
              </w:rPr>
            </w:pPr>
            <w:r>
              <w:rPr>
                <w:sz w:val="21"/>
              </w:rPr>
              <w:t>三、工艺与装备</w:t>
            </w:r>
          </w:p>
        </w:tc>
        <w:tc>
          <w:tcPr>
            <w:tcW w:w="1218" w:type="dxa"/>
            <w:tcBorders>
              <w:right w:val="nil"/>
            </w:tcBorders>
          </w:tcPr>
          <w:p w14:paraId="07D976AC">
            <w:pPr>
              <w:pStyle w:val="17"/>
              <w:jc w:val="left"/>
              <w:rPr>
                <w:rFonts w:ascii="Times New Roman"/>
                <w:sz w:val="20"/>
              </w:rPr>
            </w:pPr>
          </w:p>
        </w:tc>
      </w:tr>
      <w:tr w14:paraId="2A112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trPr>
        <w:tc>
          <w:tcPr>
            <w:tcW w:w="4011" w:type="dxa"/>
            <w:tcBorders>
              <w:left w:val="nil"/>
            </w:tcBorders>
          </w:tcPr>
          <w:p w14:paraId="3FF76FFE">
            <w:pPr>
              <w:pStyle w:val="17"/>
              <w:spacing w:before="21" w:line="278" w:lineRule="auto"/>
              <w:ind w:left="118" w:right="107"/>
              <w:rPr>
                <w:sz w:val="21"/>
              </w:rPr>
            </w:pPr>
            <w:r>
              <w:rPr>
                <w:w w:val="95"/>
                <w:sz w:val="21"/>
              </w:rPr>
              <w:t>新建及改造、扩建废塑料综合利用企业应采用先进技术、工艺和装备，提高废塑料</w:t>
            </w:r>
            <w:r>
              <w:rPr>
                <w:sz w:val="21"/>
              </w:rPr>
              <w:t>再生加工过程的自动化水平。</w:t>
            </w:r>
          </w:p>
          <w:p w14:paraId="66A5AEB2">
            <w:pPr>
              <w:pStyle w:val="17"/>
              <w:spacing w:line="278" w:lineRule="auto"/>
              <w:ind w:left="111" w:right="-15"/>
              <w:rPr>
                <w:sz w:val="21"/>
              </w:rPr>
            </w:pPr>
            <w:r>
              <w:rPr>
                <w:rFonts w:ascii="Times New Roman" w:eastAsia="Times New Roman"/>
                <w:sz w:val="21"/>
              </w:rPr>
              <w:t>1.PET</w:t>
            </w:r>
            <w:r>
              <w:rPr>
                <w:rFonts w:ascii="Times New Roman" w:eastAsia="Times New Roman"/>
                <w:spacing w:val="-7"/>
                <w:sz w:val="21"/>
              </w:rPr>
              <w:t xml:space="preserve"> </w:t>
            </w:r>
            <w:r>
              <w:rPr>
                <w:spacing w:val="-6"/>
                <w:sz w:val="21"/>
              </w:rPr>
              <w:t>再生瓶片类企业。应实现自动进料、自动包装与加工过程的自动控制。其中， 破碎工序应采用具有减振与降噪功能的密闭破碎设备；湿法破碎、脱标、清洗等工序应实现洗涤流程自动控制和清洗液循环利用，降低耗水量与耗药量；应使用低发泡、低残留、易处理的清洗药剂。</w:t>
            </w:r>
          </w:p>
          <w:p w14:paraId="38739502">
            <w:pPr>
              <w:pStyle w:val="17"/>
              <w:spacing w:line="278" w:lineRule="auto"/>
              <w:ind w:left="118" w:right="107" w:firstLine="2"/>
              <w:rPr>
                <w:sz w:val="21"/>
              </w:rPr>
            </w:pPr>
            <w:r>
              <w:rPr>
                <w:rFonts w:ascii="Times New Roman" w:eastAsia="Times New Roman"/>
                <w:sz w:val="21"/>
              </w:rPr>
              <w:t>2.</w:t>
            </w:r>
            <w:r>
              <w:rPr>
                <w:sz w:val="21"/>
              </w:rPr>
              <w:t>废塑料破碎、清洗、分选类企业。应采</w:t>
            </w:r>
            <w:r>
              <w:rPr>
                <w:w w:val="95"/>
                <w:sz w:val="21"/>
              </w:rPr>
              <w:t>用自动化处理设备和设施。其中，破碎工序应采用具有减振与降噪功能的密闭破碎设备；清洗工序应实现自动控制和清洗液循环利用，降低耗水量与耗药量；应使用低发泡、低残留、易处理的清洗药剂；分</w:t>
            </w:r>
            <w:r>
              <w:rPr>
                <w:sz w:val="21"/>
              </w:rPr>
              <w:t>选工序鼓励采用自动化分选设备。</w:t>
            </w:r>
          </w:p>
          <w:p w14:paraId="3D3A8785">
            <w:pPr>
              <w:pStyle w:val="17"/>
              <w:spacing w:line="268" w:lineRule="exact"/>
              <w:ind w:left="84" w:right="72"/>
              <w:rPr>
                <w:sz w:val="21"/>
              </w:rPr>
            </w:pPr>
            <w:r>
              <w:rPr>
                <w:rFonts w:ascii="Times New Roman" w:eastAsia="Times New Roman"/>
                <w:sz w:val="21"/>
              </w:rPr>
              <w:t>3.</w:t>
            </w:r>
            <w:r>
              <w:rPr>
                <w:sz w:val="21"/>
              </w:rPr>
              <w:t>塑料再生造粒类企业。应具有与加工利</w:t>
            </w:r>
          </w:p>
        </w:tc>
        <w:tc>
          <w:tcPr>
            <w:tcW w:w="3290" w:type="dxa"/>
          </w:tcPr>
          <w:p w14:paraId="6A158406">
            <w:pPr>
              <w:pStyle w:val="17"/>
              <w:jc w:val="left"/>
              <w:rPr>
                <w:sz w:val="20"/>
              </w:rPr>
            </w:pPr>
          </w:p>
          <w:p w14:paraId="7BE33B88">
            <w:pPr>
              <w:pStyle w:val="17"/>
              <w:jc w:val="left"/>
              <w:rPr>
                <w:sz w:val="20"/>
              </w:rPr>
            </w:pPr>
          </w:p>
          <w:p w14:paraId="3A9B1058">
            <w:pPr>
              <w:pStyle w:val="17"/>
              <w:jc w:val="left"/>
              <w:rPr>
                <w:sz w:val="20"/>
              </w:rPr>
            </w:pPr>
          </w:p>
          <w:p w14:paraId="3E0B818A">
            <w:pPr>
              <w:pStyle w:val="17"/>
              <w:jc w:val="left"/>
              <w:rPr>
                <w:sz w:val="20"/>
              </w:rPr>
            </w:pPr>
          </w:p>
          <w:p w14:paraId="0F3D3FDC">
            <w:pPr>
              <w:pStyle w:val="17"/>
              <w:jc w:val="left"/>
              <w:rPr>
                <w:sz w:val="20"/>
              </w:rPr>
            </w:pPr>
          </w:p>
          <w:p w14:paraId="1B6C9E05">
            <w:pPr>
              <w:pStyle w:val="17"/>
              <w:jc w:val="left"/>
              <w:rPr>
                <w:sz w:val="20"/>
              </w:rPr>
            </w:pPr>
          </w:p>
          <w:p w14:paraId="114713AB">
            <w:pPr>
              <w:pStyle w:val="17"/>
              <w:jc w:val="left"/>
              <w:rPr>
                <w:sz w:val="20"/>
              </w:rPr>
            </w:pPr>
          </w:p>
          <w:p w14:paraId="69003301">
            <w:pPr>
              <w:pStyle w:val="17"/>
              <w:jc w:val="left"/>
              <w:rPr>
                <w:sz w:val="20"/>
              </w:rPr>
            </w:pPr>
          </w:p>
          <w:p w14:paraId="0D2DD70D">
            <w:pPr>
              <w:pStyle w:val="17"/>
              <w:spacing w:before="4"/>
              <w:jc w:val="left"/>
              <w:rPr>
                <w:sz w:val="24"/>
              </w:rPr>
            </w:pPr>
          </w:p>
          <w:p w14:paraId="67CD45BA">
            <w:pPr>
              <w:pStyle w:val="17"/>
              <w:spacing w:line="278" w:lineRule="auto"/>
              <w:ind w:left="108" w:right="97" w:hanging="1"/>
              <w:rPr>
                <w:sz w:val="21"/>
              </w:rPr>
            </w:pPr>
            <w:r>
              <w:rPr>
                <w:sz w:val="21"/>
              </w:rPr>
              <w:t>本项目采用先进的自动化流水线</w:t>
            </w:r>
            <w:r>
              <w:rPr>
                <w:spacing w:val="-10"/>
                <w:w w:val="95"/>
                <w:sz w:val="21"/>
              </w:rPr>
              <w:t>设备，属于工艺先进，能耗低的生</w:t>
            </w:r>
            <w:r>
              <w:rPr>
                <w:spacing w:val="-10"/>
                <w:sz w:val="21"/>
              </w:rPr>
              <w:t>产系统</w:t>
            </w:r>
          </w:p>
        </w:tc>
        <w:tc>
          <w:tcPr>
            <w:tcW w:w="1218" w:type="dxa"/>
            <w:tcBorders>
              <w:right w:val="nil"/>
            </w:tcBorders>
          </w:tcPr>
          <w:p w14:paraId="40C48F6C">
            <w:pPr>
              <w:pStyle w:val="17"/>
              <w:jc w:val="left"/>
              <w:rPr>
                <w:sz w:val="20"/>
              </w:rPr>
            </w:pPr>
          </w:p>
          <w:p w14:paraId="53831276">
            <w:pPr>
              <w:pStyle w:val="17"/>
              <w:jc w:val="left"/>
              <w:rPr>
                <w:sz w:val="20"/>
              </w:rPr>
            </w:pPr>
          </w:p>
          <w:p w14:paraId="15FC3E9B">
            <w:pPr>
              <w:pStyle w:val="17"/>
              <w:jc w:val="left"/>
              <w:rPr>
                <w:sz w:val="20"/>
              </w:rPr>
            </w:pPr>
          </w:p>
          <w:p w14:paraId="6226032C">
            <w:pPr>
              <w:pStyle w:val="17"/>
              <w:jc w:val="left"/>
              <w:rPr>
                <w:sz w:val="20"/>
              </w:rPr>
            </w:pPr>
          </w:p>
          <w:p w14:paraId="5022E5BC">
            <w:pPr>
              <w:pStyle w:val="17"/>
              <w:jc w:val="left"/>
              <w:rPr>
                <w:sz w:val="20"/>
              </w:rPr>
            </w:pPr>
          </w:p>
          <w:p w14:paraId="24F84FC1">
            <w:pPr>
              <w:pStyle w:val="17"/>
              <w:jc w:val="left"/>
              <w:rPr>
                <w:sz w:val="20"/>
              </w:rPr>
            </w:pPr>
          </w:p>
          <w:p w14:paraId="5174157A">
            <w:pPr>
              <w:pStyle w:val="17"/>
              <w:jc w:val="left"/>
              <w:rPr>
                <w:sz w:val="20"/>
              </w:rPr>
            </w:pPr>
          </w:p>
          <w:p w14:paraId="67F33EFC">
            <w:pPr>
              <w:pStyle w:val="17"/>
              <w:jc w:val="left"/>
              <w:rPr>
                <w:sz w:val="20"/>
              </w:rPr>
            </w:pPr>
          </w:p>
          <w:p w14:paraId="02E4F127">
            <w:pPr>
              <w:pStyle w:val="17"/>
              <w:jc w:val="left"/>
              <w:rPr>
                <w:sz w:val="20"/>
              </w:rPr>
            </w:pPr>
          </w:p>
          <w:p w14:paraId="4B9BBFB8">
            <w:pPr>
              <w:pStyle w:val="17"/>
              <w:spacing w:before="8"/>
              <w:jc w:val="left"/>
              <w:rPr>
                <w:sz w:val="28"/>
              </w:rPr>
            </w:pPr>
          </w:p>
          <w:p w14:paraId="76CFAB35">
            <w:pPr>
              <w:pStyle w:val="17"/>
              <w:ind w:left="167" w:right="164"/>
              <w:rPr>
                <w:sz w:val="21"/>
              </w:rPr>
            </w:pPr>
            <w:r>
              <w:rPr>
                <w:sz w:val="21"/>
              </w:rPr>
              <w:t>符合</w:t>
            </w:r>
          </w:p>
        </w:tc>
      </w:tr>
    </w:tbl>
    <w:p w14:paraId="21BAC7AF">
      <w:pPr>
        <w:spacing w:after="0"/>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670B6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4011" w:type="dxa"/>
            <w:tcBorders>
              <w:left w:val="nil"/>
            </w:tcBorders>
          </w:tcPr>
          <w:p w14:paraId="64BB68BA">
            <w:pPr>
              <w:pStyle w:val="17"/>
              <w:spacing w:before="21" w:line="278" w:lineRule="auto"/>
              <w:ind w:left="118" w:right="107"/>
              <w:rPr>
                <w:sz w:val="21"/>
              </w:rPr>
            </w:pPr>
            <w:r>
              <w:rPr>
                <w:w w:val="95"/>
                <w:sz w:val="21"/>
              </w:rPr>
              <w:t>用能力相适应的预处理设备和造粒设备。其中，造粒设备应具有强制排气系统，通过集气装置实现废气的集中处理；过滤装置的废弃过滤网应按照环境保护有关规定</w:t>
            </w:r>
            <w:r>
              <w:rPr>
                <w:sz w:val="21"/>
              </w:rPr>
              <w:t>处理，禁止露天焚烧。</w:t>
            </w:r>
          </w:p>
          <w:p w14:paraId="2B255155">
            <w:pPr>
              <w:pStyle w:val="17"/>
              <w:spacing w:line="278" w:lineRule="auto"/>
              <w:ind w:left="118" w:right="107" w:firstLine="2"/>
              <w:rPr>
                <w:sz w:val="21"/>
              </w:rPr>
            </w:pPr>
            <w:r>
              <w:rPr>
                <w:rFonts w:ascii="Times New Roman" w:eastAsia="Times New Roman"/>
                <w:sz w:val="21"/>
              </w:rPr>
              <w:t>4.</w:t>
            </w:r>
            <w:r>
              <w:rPr>
                <w:sz w:val="21"/>
              </w:rPr>
              <w:t>鼓励废塑料综合利用企业研发和使用生</w:t>
            </w:r>
            <w:r>
              <w:rPr>
                <w:w w:val="95"/>
                <w:sz w:val="21"/>
              </w:rPr>
              <w:t>产效率高、工艺技术先进、能耗物耗低的</w:t>
            </w:r>
          </w:p>
          <w:p w14:paraId="572D62AC">
            <w:pPr>
              <w:pStyle w:val="17"/>
              <w:spacing w:line="269" w:lineRule="exact"/>
              <w:ind w:left="84" w:right="70"/>
              <w:rPr>
                <w:sz w:val="21"/>
              </w:rPr>
            </w:pPr>
            <w:r>
              <w:rPr>
                <w:sz w:val="21"/>
              </w:rPr>
              <w:t>加工生产系统。</w:t>
            </w:r>
          </w:p>
        </w:tc>
        <w:tc>
          <w:tcPr>
            <w:tcW w:w="3290" w:type="dxa"/>
          </w:tcPr>
          <w:p w14:paraId="606E1751">
            <w:pPr>
              <w:pStyle w:val="17"/>
              <w:jc w:val="left"/>
              <w:rPr>
                <w:rFonts w:ascii="Times New Roman"/>
                <w:sz w:val="20"/>
              </w:rPr>
            </w:pPr>
          </w:p>
        </w:tc>
        <w:tc>
          <w:tcPr>
            <w:tcW w:w="1218" w:type="dxa"/>
            <w:tcBorders>
              <w:right w:val="nil"/>
            </w:tcBorders>
          </w:tcPr>
          <w:p w14:paraId="7DD7AEFA">
            <w:pPr>
              <w:pStyle w:val="17"/>
              <w:jc w:val="left"/>
              <w:rPr>
                <w:rFonts w:ascii="Times New Roman"/>
                <w:sz w:val="20"/>
              </w:rPr>
            </w:pPr>
          </w:p>
        </w:tc>
      </w:tr>
      <w:tr w14:paraId="7B282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78604778">
            <w:pPr>
              <w:pStyle w:val="17"/>
              <w:spacing w:before="35"/>
              <w:ind w:left="2478" w:right="2466"/>
              <w:rPr>
                <w:sz w:val="21"/>
              </w:rPr>
            </w:pPr>
            <w:r>
              <w:rPr>
                <w:sz w:val="21"/>
              </w:rPr>
              <w:t>四、环境保护</w:t>
            </w:r>
          </w:p>
        </w:tc>
        <w:tc>
          <w:tcPr>
            <w:tcW w:w="1218" w:type="dxa"/>
            <w:tcBorders>
              <w:right w:val="nil"/>
            </w:tcBorders>
          </w:tcPr>
          <w:p w14:paraId="5CC387B7">
            <w:pPr>
              <w:pStyle w:val="17"/>
              <w:jc w:val="left"/>
              <w:rPr>
                <w:rFonts w:ascii="Times New Roman"/>
                <w:sz w:val="20"/>
              </w:rPr>
            </w:pPr>
          </w:p>
        </w:tc>
      </w:tr>
      <w:tr w14:paraId="5C0C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11" w:type="dxa"/>
            <w:tcBorders>
              <w:left w:val="nil"/>
            </w:tcBorders>
          </w:tcPr>
          <w:p w14:paraId="0409EDC4">
            <w:pPr>
              <w:pStyle w:val="17"/>
              <w:spacing w:before="21" w:line="278" w:lineRule="auto"/>
              <w:ind w:left="118" w:right="107"/>
              <w:jc w:val="both"/>
              <w:rPr>
                <w:sz w:val="21"/>
              </w:rPr>
            </w:pPr>
            <w:r>
              <w:rPr>
                <w:w w:val="95"/>
                <w:sz w:val="21"/>
              </w:rPr>
              <w:t>废塑料综合利用企业应严格执行《中华人民共和国环境影响评价法》，按照环境保护主管部门的相关规定报批环境影响评价</w:t>
            </w:r>
            <w:r>
              <w:rPr>
                <w:sz w:val="21"/>
              </w:rPr>
              <w:t>文件。按照环境保护</w:t>
            </w: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的要求建设</w:t>
            </w:r>
            <w:r>
              <w:rPr>
                <w:w w:val="95"/>
                <w:sz w:val="21"/>
              </w:rPr>
              <w:t>配套的环境保护设施，编制环境风险应急</w:t>
            </w:r>
          </w:p>
          <w:p w14:paraId="05318FD1">
            <w:pPr>
              <w:pStyle w:val="17"/>
              <w:spacing w:line="268" w:lineRule="exact"/>
              <w:ind w:left="118"/>
              <w:jc w:val="both"/>
              <w:rPr>
                <w:sz w:val="21"/>
              </w:rPr>
            </w:pPr>
            <w:r>
              <w:rPr>
                <w:w w:val="95"/>
                <w:sz w:val="21"/>
              </w:rPr>
              <w:t>预案，并依法申请项目竣工环境保护验收</w:t>
            </w:r>
          </w:p>
        </w:tc>
        <w:tc>
          <w:tcPr>
            <w:tcW w:w="3290" w:type="dxa"/>
          </w:tcPr>
          <w:p w14:paraId="12F98100">
            <w:pPr>
              <w:pStyle w:val="17"/>
              <w:spacing w:before="177" w:line="278" w:lineRule="auto"/>
              <w:ind w:left="108" w:right="99" w:firstLine="2"/>
              <w:rPr>
                <w:sz w:val="21"/>
              </w:rPr>
            </w:pPr>
            <w:r>
              <w:rPr>
                <w:sz w:val="21"/>
              </w:rPr>
              <w:t>本项目按规定报批环境影响评价</w:t>
            </w:r>
            <w:r>
              <w:rPr>
                <w:spacing w:val="-12"/>
                <w:w w:val="95"/>
                <w:sz w:val="21"/>
              </w:rPr>
              <w:t>文件，按照</w:t>
            </w:r>
            <w:r>
              <w:rPr>
                <w:rFonts w:ascii="Times New Roman" w:hAnsi="Times New Roman" w:eastAsia="Times New Roman"/>
                <w:w w:val="95"/>
                <w:sz w:val="21"/>
              </w:rPr>
              <w:t>“</w:t>
            </w:r>
            <w:r>
              <w:rPr>
                <w:w w:val="95"/>
                <w:sz w:val="21"/>
              </w:rPr>
              <w:t>三同时</w:t>
            </w:r>
            <w:r>
              <w:rPr>
                <w:rFonts w:ascii="Times New Roman" w:hAnsi="Times New Roman" w:eastAsia="Times New Roman"/>
                <w:w w:val="95"/>
                <w:sz w:val="21"/>
              </w:rPr>
              <w:t>”</w:t>
            </w:r>
            <w:r>
              <w:rPr>
                <w:w w:val="95"/>
                <w:sz w:val="21"/>
              </w:rPr>
              <w:t>的要求建设配</w:t>
            </w:r>
            <w:r>
              <w:rPr>
                <w:spacing w:val="-9"/>
                <w:w w:val="95"/>
                <w:sz w:val="21"/>
              </w:rPr>
              <w:t>套的环境保护设施，并在环评手续</w:t>
            </w:r>
            <w:r>
              <w:rPr>
                <w:spacing w:val="-9"/>
                <w:sz w:val="21"/>
              </w:rPr>
              <w:t>办理后编制环境风险应急预案及申请项目竣工环境保护验收</w:t>
            </w:r>
          </w:p>
        </w:tc>
        <w:tc>
          <w:tcPr>
            <w:tcW w:w="1218" w:type="dxa"/>
            <w:tcBorders>
              <w:right w:val="nil"/>
            </w:tcBorders>
          </w:tcPr>
          <w:p w14:paraId="132131DA">
            <w:pPr>
              <w:pStyle w:val="17"/>
              <w:jc w:val="left"/>
              <w:rPr>
                <w:sz w:val="20"/>
              </w:rPr>
            </w:pPr>
          </w:p>
          <w:p w14:paraId="572B69C7">
            <w:pPr>
              <w:pStyle w:val="17"/>
              <w:jc w:val="left"/>
              <w:rPr>
                <w:sz w:val="20"/>
              </w:rPr>
            </w:pPr>
          </w:p>
          <w:p w14:paraId="3CD216BF">
            <w:pPr>
              <w:pStyle w:val="17"/>
              <w:spacing w:before="6"/>
              <w:jc w:val="left"/>
              <w:rPr>
                <w:sz w:val="22"/>
              </w:rPr>
            </w:pPr>
          </w:p>
          <w:p w14:paraId="277BE469">
            <w:pPr>
              <w:pStyle w:val="17"/>
              <w:spacing w:before="1"/>
              <w:ind w:left="167" w:right="164"/>
              <w:rPr>
                <w:sz w:val="21"/>
              </w:rPr>
            </w:pPr>
            <w:r>
              <w:rPr>
                <w:sz w:val="21"/>
              </w:rPr>
              <w:t>符合</w:t>
            </w:r>
          </w:p>
        </w:tc>
      </w:tr>
      <w:tr w14:paraId="0234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0031FFC8">
            <w:pPr>
              <w:pStyle w:val="17"/>
              <w:spacing w:before="21" w:line="278" w:lineRule="auto"/>
              <w:ind w:left="118" w:right="107"/>
              <w:rPr>
                <w:sz w:val="21"/>
              </w:rPr>
            </w:pPr>
            <w:r>
              <w:rPr>
                <w:w w:val="95"/>
                <w:sz w:val="21"/>
              </w:rPr>
              <w:t>企业加工存储场地应建有围墙，在园区内的企业可为单独厂房，地面全部硬化且无</w:t>
            </w:r>
          </w:p>
          <w:p w14:paraId="36A8438A">
            <w:pPr>
              <w:pStyle w:val="17"/>
              <w:spacing w:line="269" w:lineRule="exact"/>
              <w:ind w:left="81" w:right="72"/>
              <w:rPr>
                <w:sz w:val="21"/>
              </w:rPr>
            </w:pPr>
            <w:r>
              <w:rPr>
                <w:sz w:val="21"/>
              </w:rPr>
              <w:t>明显破损现象</w:t>
            </w:r>
          </w:p>
        </w:tc>
        <w:tc>
          <w:tcPr>
            <w:tcW w:w="3290" w:type="dxa"/>
          </w:tcPr>
          <w:p w14:paraId="49907656">
            <w:pPr>
              <w:pStyle w:val="17"/>
              <w:spacing w:before="21" w:line="278" w:lineRule="auto"/>
              <w:ind w:left="108" w:right="99" w:hanging="1"/>
              <w:rPr>
                <w:sz w:val="21"/>
              </w:rPr>
            </w:pPr>
            <w:r>
              <w:rPr>
                <w:spacing w:val="-9"/>
                <w:w w:val="95"/>
                <w:sz w:val="21"/>
              </w:rPr>
              <w:t>本项目位于园区内，建设地址为单</w:t>
            </w:r>
            <w:r>
              <w:rPr>
                <w:spacing w:val="-11"/>
                <w:w w:val="95"/>
                <w:sz w:val="21"/>
              </w:rPr>
              <w:t>独厂房，地面已全部硬化且无明显</w:t>
            </w:r>
          </w:p>
          <w:p w14:paraId="4238D352">
            <w:pPr>
              <w:pStyle w:val="17"/>
              <w:spacing w:line="269" w:lineRule="exact"/>
              <w:ind w:left="103" w:right="97"/>
              <w:rPr>
                <w:sz w:val="21"/>
              </w:rPr>
            </w:pPr>
            <w:r>
              <w:rPr>
                <w:sz w:val="21"/>
              </w:rPr>
              <w:t>破损现象。</w:t>
            </w:r>
          </w:p>
        </w:tc>
        <w:tc>
          <w:tcPr>
            <w:tcW w:w="1218" w:type="dxa"/>
            <w:tcBorders>
              <w:right w:val="nil"/>
            </w:tcBorders>
          </w:tcPr>
          <w:p w14:paraId="00F2BD39">
            <w:pPr>
              <w:pStyle w:val="17"/>
              <w:spacing w:before="12"/>
              <w:jc w:val="left"/>
              <w:rPr>
                <w:sz w:val="25"/>
              </w:rPr>
            </w:pPr>
          </w:p>
          <w:p w14:paraId="0BE1898E">
            <w:pPr>
              <w:pStyle w:val="17"/>
              <w:ind w:left="167" w:right="164"/>
              <w:rPr>
                <w:sz w:val="21"/>
              </w:rPr>
            </w:pPr>
            <w:r>
              <w:rPr>
                <w:sz w:val="21"/>
              </w:rPr>
              <w:t>符合</w:t>
            </w:r>
          </w:p>
        </w:tc>
      </w:tr>
      <w:tr w14:paraId="472DE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011" w:type="dxa"/>
            <w:tcBorders>
              <w:left w:val="nil"/>
            </w:tcBorders>
          </w:tcPr>
          <w:p w14:paraId="7E5C0AB1">
            <w:pPr>
              <w:pStyle w:val="17"/>
              <w:spacing w:before="20" w:line="278" w:lineRule="auto"/>
              <w:ind w:left="118" w:right="-15" w:hanging="8"/>
              <w:jc w:val="left"/>
              <w:rPr>
                <w:sz w:val="21"/>
              </w:rPr>
            </w:pPr>
            <w:r>
              <w:rPr>
                <w:spacing w:val="-6"/>
                <w:sz w:val="21"/>
              </w:rPr>
              <w:t>企业必须配备废塑料分类存放场所。原料、产品、本企业不能利用废塑料及不可利用废物贮存在具有防雨、防风、防渗等功能的厂房或加盖雨棚的专门贮存场地内，无露天堆放现象。企业厂区管网建设应达到</w:t>
            </w:r>
          </w:p>
          <w:p w14:paraId="408689C1">
            <w:pPr>
              <w:pStyle w:val="17"/>
              <w:spacing w:line="269" w:lineRule="exact"/>
              <w:ind w:left="1287"/>
              <w:jc w:val="left"/>
              <w:rPr>
                <w:sz w:val="21"/>
              </w:rPr>
            </w:pPr>
            <w:r>
              <w:rPr>
                <w:rFonts w:ascii="Times New Roman" w:hAnsi="Times New Roman" w:eastAsia="Times New Roman"/>
                <w:sz w:val="21"/>
              </w:rPr>
              <w:t>“</w:t>
            </w:r>
            <w:r>
              <w:rPr>
                <w:sz w:val="21"/>
              </w:rPr>
              <w:t>雨污分流</w:t>
            </w:r>
            <w:r>
              <w:rPr>
                <w:rFonts w:ascii="Times New Roman" w:hAnsi="Times New Roman" w:eastAsia="Times New Roman"/>
                <w:sz w:val="21"/>
              </w:rPr>
              <w:t>”</w:t>
            </w:r>
            <w:r>
              <w:rPr>
                <w:sz w:val="21"/>
              </w:rPr>
              <w:t>要求</w:t>
            </w:r>
          </w:p>
        </w:tc>
        <w:tc>
          <w:tcPr>
            <w:tcW w:w="3290" w:type="dxa"/>
          </w:tcPr>
          <w:p w14:paraId="479B34F7">
            <w:pPr>
              <w:pStyle w:val="17"/>
              <w:spacing w:before="12"/>
              <w:jc w:val="left"/>
              <w:rPr>
                <w:sz w:val="25"/>
              </w:rPr>
            </w:pPr>
          </w:p>
          <w:p w14:paraId="4F5D418A">
            <w:pPr>
              <w:pStyle w:val="17"/>
              <w:spacing w:line="278" w:lineRule="auto"/>
              <w:ind w:left="108" w:right="97"/>
              <w:rPr>
                <w:sz w:val="21"/>
              </w:rPr>
            </w:pPr>
            <w:r>
              <w:rPr>
                <w:sz w:val="21"/>
              </w:rPr>
              <w:t>本项目原辅材料分类暂存于库房</w:t>
            </w:r>
            <w:r>
              <w:rPr>
                <w:spacing w:val="-9"/>
                <w:w w:val="95"/>
                <w:sz w:val="21"/>
              </w:rPr>
              <w:t>内，不露天堆放；项目所在厂区按</w:t>
            </w:r>
            <w:r>
              <w:rPr>
                <w:spacing w:val="-10"/>
                <w:w w:val="95"/>
                <w:sz w:val="21"/>
              </w:rPr>
              <w:t>照“雨污分流”的要求建设雨污水</w:t>
            </w:r>
            <w:r>
              <w:rPr>
                <w:spacing w:val="-10"/>
                <w:sz w:val="21"/>
              </w:rPr>
              <w:t>管网。</w:t>
            </w:r>
          </w:p>
        </w:tc>
        <w:tc>
          <w:tcPr>
            <w:tcW w:w="1218" w:type="dxa"/>
            <w:tcBorders>
              <w:right w:val="nil"/>
            </w:tcBorders>
          </w:tcPr>
          <w:p w14:paraId="753899DA">
            <w:pPr>
              <w:pStyle w:val="17"/>
              <w:jc w:val="left"/>
              <w:rPr>
                <w:sz w:val="20"/>
              </w:rPr>
            </w:pPr>
          </w:p>
          <w:p w14:paraId="00011437">
            <w:pPr>
              <w:pStyle w:val="17"/>
              <w:jc w:val="left"/>
              <w:rPr>
                <w:sz w:val="20"/>
              </w:rPr>
            </w:pPr>
          </w:p>
          <w:p w14:paraId="7A4DE9A5">
            <w:pPr>
              <w:pStyle w:val="17"/>
              <w:spacing w:before="6"/>
              <w:jc w:val="left"/>
              <w:rPr>
                <w:sz w:val="22"/>
              </w:rPr>
            </w:pPr>
          </w:p>
          <w:p w14:paraId="22414B29">
            <w:pPr>
              <w:pStyle w:val="17"/>
              <w:ind w:left="167" w:right="164"/>
              <w:rPr>
                <w:sz w:val="21"/>
              </w:rPr>
            </w:pPr>
            <w:r>
              <w:rPr>
                <w:sz w:val="21"/>
              </w:rPr>
              <w:t>符合</w:t>
            </w:r>
          </w:p>
        </w:tc>
      </w:tr>
      <w:tr w14:paraId="69280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4011" w:type="dxa"/>
            <w:tcBorders>
              <w:left w:val="nil"/>
            </w:tcBorders>
          </w:tcPr>
          <w:p w14:paraId="58B2ED10">
            <w:pPr>
              <w:pStyle w:val="17"/>
              <w:spacing w:before="20" w:line="278" w:lineRule="auto"/>
              <w:ind w:left="111" w:right="-15" w:firstLine="7"/>
              <w:jc w:val="both"/>
              <w:rPr>
                <w:sz w:val="21"/>
              </w:rPr>
            </w:pPr>
            <w:r>
              <w:rPr>
                <w:sz w:val="21"/>
              </w:rPr>
              <w:t>企业对收集的废塑料中的金属、橡胶、纤维、渣土、油脂、添加物等夹杂物，应采取相应的处理措施。如企业不具备处理条</w:t>
            </w:r>
            <w:r>
              <w:rPr>
                <w:spacing w:val="-10"/>
                <w:sz w:val="21"/>
              </w:rPr>
              <w:t>件，应委托其他具有处理能力的企业处理，</w:t>
            </w:r>
          </w:p>
          <w:p w14:paraId="24588080">
            <w:pPr>
              <w:pStyle w:val="17"/>
              <w:spacing w:line="269" w:lineRule="exact"/>
              <w:ind w:left="330"/>
              <w:jc w:val="left"/>
              <w:rPr>
                <w:sz w:val="21"/>
              </w:rPr>
            </w:pPr>
            <w:r>
              <w:rPr>
                <w:sz w:val="21"/>
              </w:rPr>
              <w:t>不得擅自丢弃、倾倒、焚烧与填埋。</w:t>
            </w:r>
          </w:p>
        </w:tc>
        <w:tc>
          <w:tcPr>
            <w:tcW w:w="3290" w:type="dxa"/>
          </w:tcPr>
          <w:p w14:paraId="2233F193">
            <w:pPr>
              <w:pStyle w:val="17"/>
              <w:spacing w:before="11"/>
              <w:jc w:val="left"/>
              <w:rPr>
                <w:sz w:val="25"/>
              </w:rPr>
            </w:pPr>
          </w:p>
          <w:p w14:paraId="7BEF6155">
            <w:pPr>
              <w:pStyle w:val="17"/>
              <w:spacing w:line="278" w:lineRule="auto"/>
              <w:ind w:left="108" w:right="97" w:hanging="46"/>
              <w:rPr>
                <w:sz w:val="21"/>
              </w:rPr>
            </w:pPr>
            <w:r>
              <w:rPr>
                <w:spacing w:val="-4"/>
                <w:sz w:val="21"/>
              </w:rPr>
              <w:t xml:space="preserve">本项目外购已破碎清洗后的废 </w:t>
            </w:r>
            <w:r>
              <w:rPr>
                <w:rFonts w:ascii="Times New Roman" w:eastAsia="Times New Roman"/>
                <w:sz w:val="21"/>
              </w:rPr>
              <w:t xml:space="preserve">PE </w:t>
            </w:r>
            <w:r>
              <w:rPr>
                <w:spacing w:val="-9"/>
                <w:w w:val="95"/>
                <w:sz w:val="21"/>
              </w:rPr>
              <w:t>塑料，不进行废旧塑料的分选、除</w:t>
            </w:r>
            <w:r>
              <w:rPr>
                <w:spacing w:val="-9"/>
                <w:sz w:val="21"/>
              </w:rPr>
              <w:t>杂和破碎清洗。</w:t>
            </w:r>
          </w:p>
        </w:tc>
        <w:tc>
          <w:tcPr>
            <w:tcW w:w="1218" w:type="dxa"/>
            <w:tcBorders>
              <w:right w:val="nil"/>
            </w:tcBorders>
          </w:tcPr>
          <w:p w14:paraId="4F05062E">
            <w:pPr>
              <w:pStyle w:val="17"/>
              <w:jc w:val="left"/>
              <w:rPr>
                <w:sz w:val="20"/>
              </w:rPr>
            </w:pPr>
          </w:p>
          <w:p w14:paraId="71673172">
            <w:pPr>
              <w:pStyle w:val="17"/>
              <w:jc w:val="left"/>
              <w:rPr>
                <w:sz w:val="20"/>
              </w:rPr>
            </w:pPr>
          </w:p>
          <w:p w14:paraId="5E60A987">
            <w:pPr>
              <w:pStyle w:val="17"/>
              <w:spacing w:before="131"/>
              <w:ind w:left="167" w:right="164"/>
              <w:rPr>
                <w:sz w:val="21"/>
              </w:rPr>
            </w:pPr>
            <w:r>
              <w:rPr>
                <w:sz w:val="21"/>
              </w:rPr>
              <w:t>符合</w:t>
            </w:r>
          </w:p>
        </w:tc>
      </w:tr>
      <w:tr w14:paraId="30E54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4011" w:type="dxa"/>
            <w:tcBorders>
              <w:left w:val="nil"/>
            </w:tcBorders>
          </w:tcPr>
          <w:p w14:paraId="11D18712">
            <w:pPr>
              <w:pStyle w:val="17"/>
              <w:spacing w:before="22" w:line="278" w:lineRule="auto"/>
              <w:ind w:left="111" w:right="-15" w:firstLine="7"/>
              <w:jc w:val="left"/>
              <w:rPr>
                <w:sz w:val="21"/>
              </w:rPr>
            </w:pPr>
            <w:r>
              <w:rPr>
                <w:sz w:val="21"/>
              </w:rPr>
              <w:t>企业应具有与加工利用能力相适应的废水处理设施，中水回用率必须符合环评文件</w:t>
            </w:r>
            <w:r>
              <w:rPr>
                <w:spacing w:val="-10"/>
                <w:sz w:val="21"/>
              </w:rPr>
              <w:t>的有关要求。废水处理后需要外排的废水， 必须经处理后达标排放。企业应采用高效节能环保的污泥处理工艺</w:t>
            </w:r>
            <w:r>
              <w:rPr>
                <w:rFonts w:ascii="Times New Roman" w:eastAsia="Times New Roman"/>
                <w:spacing w:val="-10"/>
                <w:sz w:val="21"/>
              </w:rPr>
              <w:t>,</w:t>
            </w:r>
            <w:r>
              <w:rPr>
                <w:spacing w:val="-10"/>
                <w:sz w:val="21"/>
              </w:rPr>
              <w:t>或交由具有处 理资格的废物处理机构</w:t>
            </w:r>
            <w:r>
              <w:rPr>
                <w:rFonts w:ascii="Times New Roman" w:eastAsia="Times New Roman"/>
                <w:spacing w:val="-10"/>
                <w:sz w:val="21"/>
              </w:rPr>
              <w:t>,</w:t>
            </w:r>
            <w:r>
              <w:rPr>
                <w:spacing w:val="-10"/>
                <w:sz w:val="21"/>
              </w:rPr>
              <w:t>实现污泥无害化 处理。除具有获批建设、验收合格的专业盐卤废水处理设施，禁止使用盐卤分选工</w:t>
            </w:r>
          </w:p>
          <w:p w14:paraId="637632BF">
            <w:pPr>
              <w:pStyle w:val="17"/>
              <w:spacing w:line="268" w:lineRule="exact"/>
              <w:ind w:left="81" w:right="72"/>
              <w:rPr>
                <w:sz w:val="21"/>
              </w:rPr>
            </w:pPr>
            <w:r>
              <w:rPr>
                <w:sz w:val="21"/>
              </w:rPr>
              <w:t>艺。</w:t>
            </w:r>
          </w:p>
        </w:tc>
        <w:tc>
          <w:tcPr>
            <w:tcW w:w="3290" w:type="dxa"/>
          </w:tcPr>
          <w:p w14:paraId="12A4F703">
            <w:pPr>
              <w:pStyle w:val="17"/>
              <w:jc w:val="left"/>
              <w:rPr>
                <w:sz w:val="20"/>
              </w:rPr>
            </w:pPr>
          </w:p>
          <w:p w14:paraId="5FDDA93A">
            <w:pPr>
              <w:pStyle w:val="17"/>
              <w:jc w:val="left"/>
              <w:rPr>
                <w:sz w:val="20"/>
              </w:rPr>
            </w:pPr>
          </w:p>
          <w:p w14:paraId="5D70C7D1">
            <w:pPr>
              <w:pStyle w:val="17"/>
              <w:spacing w:before="7"/>
              <w:jc w:val="left"/>
              <w:rPr>
                <w:sz w:val="22"/>
              </w:rPr>
            </w:pPr>
          </w:p>
          <w:p w14:paraId="6C751C60">
            <w:pPr>
              <w:pStyle w:val="17"/>
              <w:spacing w:line="278" w:lineRule="auto"/>
              <w:ind w:left="108" w:right="97" w:hanging="46"/>
              <w:rPr>
                <w:sz w:val="21"/>
              </w:rPr>
            </w:pPr>
            <w:r>
              <w:rPr>
                <w:spacing w:val="-4"/>
                <w:sz w:val="21"/>
              </w:rPr>
              <w:t xml:space="preserve">本项目外购已破碎清洗后的废 </w:t>
            </w:r>
            <w:r>
              <w:rPr>
                <w:rFonts w:ascii="Times New Roman" w:eastAsia="Times New Roman"/>
                <w:sz w:val="21"/>
              </w:rPr>
              <w:t xml:space="preserve">PE </w:t>
            </w:r>
            <w:r>
              <w:rPr>
                <w:spacing w:val="-10"/>
                <w:w w:val="95"/>
                <w:sz w:val="21"/>
              </w:rPr>
              <w:t xml:space="preserve">塑料，进行熔融造粒，不进行破碎 </w:t>
            </w:r>
            <w:r>
              <w:rPr>
                <w:spacing w:val="-13"/>
                <w:w w:val="95"/>
                <w:sz w:val="21"/>
              </w:rPr>
              <w:t>清洗和盐卤分选，无相关生产废水</w:t>
            </w:r>
            <w:r>
              <w:rPr>
                <w:spacing w:val="-13"/>
                <w:sz w:val="21"/>
              </w:rPr>
              <w:t>产生。</w:t>
            </w:r>
          </w:p>
        </w:tc>
        <w:tc>
          <w:tcPr>
            <w:tcW w:w="1218" w:type="dxa"/>
            <w:tcBorders>
              <w:right w:val="nil"/>
            </w:tcBorders>
          </w:tcPr>
          <w:p w14:paraId="1106D305">
            <w:pPr>
              <w:pStyle w:val="17"/>
              <w:jc w:val="left"/>
              <w:rPr>
                <w:sz w:val="20"/>
              </w:rPr>
            </w:pPr>
          </w:p>
          <w:p w14:paraId="2EEC8EE4">
            <w:pPr>
              <w:pStyle w:val="17"/>
              <w:jc w:val="left"/>
              <w:rPr>
                <w:sz w:val="20"/>
              </w:rPr>
            </w:pPr>
          </w:p>
          <w:p w14:paraId="1636BBDD">
            <w:pPr>
              <w:pStyle w:val="17"/>
              <w:jc w:val="left"/>
              <w:rPr>
                <w:sz w:val="20"/>
              </w:rPr>
            </w:pPr>
          </w:p>
          <w:p w14:paraId="6399030E">
            <w:pPr>
              <w:pStyle w:val="17"/>
              <w:jc w:val="left"/>
              <w:rPr>
                <w:sz w:val="20"/>
              </w:rPr>
            </w:pPr>
          </w:p>
          <w:p w14:paraId="18D86435">
            <w:pPr>
              <w:pStyle w:val="17"/>
              <w:spacing w:before="1"/>
              <w:jc w:val="left"/>
              <w:rPr>
                <w:sz w:val="19"/>
              </w:rPr>
            </w:pPr>
          </w:p>
          <w:p w14:paraId="7BE3A342">
            <w:pPr>
              <w:pStyle w:val="17"/>
              <w:ind w:left="167" w:right="164"/>
              <w:rPr>
                <w:sz w:val="21"/>
              </w:rPr>
            </w:pPr>
            <w:r>
              <w:rPr>
                <w:sz w:val="21"/>
              </w:rPr>
              <w:t>符合</w:t>
            </w:r>
          </w:p>
        </w:tc>
      </w:tr>
      <w:tr w14:paraId="51843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4011" w:type="dxa"/>
            <w:tcBorders>
              <w:left w:val="nil"/>
            </w:tcBorders>
          </w:tcPr>
          <w:p w14:paraId="788CC8DC">
            <w:pPr>
              <w:pStyle w:val="17"/>
              <w:jc w:val="left"/>
              <w:rPr>
                <w:sz w:val="20"/>
              </w:rPr>
            </w:pPr>
          </w:p>
          <w:p w14:paraId="6221FF35">
            <w:pPr>
              <w:pStyle w:val="17"/>
              <w:spacing w:before="2"/>
              <w:jc w:val="left"/>
              <w:rPr>
                <w:sz w:val="18"/>
              </w:rPr>
            </w:pPr>
          </w:p>
          <w:p w14:paraId="5947F5EA">
            <w:pPr>
              <w:pStyle w:val="17"/>
              <w:spacing w:line="278" w:lineRule="auto"/>
              <w:ind w:left="118" w:right="107"/>
              <w:rPr>
                <w:sz w:val="21"/>
              </w:rPr>
            </w:pPr>
            <w:r>
              <w:rPr>
                <w:w w:val="95"/>
                <w:sz w:val="21"/>
              </w:rPr>
              <w:t>再生加工过程中产生废气、粉尘的加工车间应设置废气、粉尘收集处理设施，通过</w:t>
            </w:r>
            <w:r>
              <w:rPr>
                <w:sz w:val="21"/>
              </w:rPr>
              <w:t>净化处理，达标后排放</w:t>
            </w:r>
          </w:p>
        </w:tc>
        <w:tc>
          <w:tcPr>
            <w:tcW w:w="3290" w:type="dxa"/>
          </w:tcPr>
          <w:p w14:paraId="6E747450">
            <w:pPr>
              <w:pStyle w:val="17"/>
              <w:spacing w:before="21" w:line="278" w:lineRule="auto"/>
              <w:ind w:left="108" w:right="97"/>
              <w:jc w:val="both"/>
              <w:rPr>
                <w:rFonts w:ascii="Times New Roman" w:eastAsia="Times New Roman"/>
                <w:sz w:val="21"/>
              </w:rPr>
            </w:pPr>
            <w:r>
              <w:rPr>
                <w:spacing w:val="-9"/>
                <w:w w:val="95"/>
                <w:sz w:val="21"/>
              </w:rPr>
              <w:t>本项目破碎粉尘、混料粉尘采用全</w:t>
            </w:r>
            <w:r>
              <w:rPr>
                <w:spacing w:val="-9"/>
                <w:sz w:val="21"/>
              </w:rPr>
              <w:t>密闭收集罩收集后经布袋除尘器</w:t>
            </w:r>
            <w:r>
              <w:rPr>
                <w:spacing w:val="-19"/>
                <w:sz w:val="21"/>
              </w:rPr>
              <w:t xml:space="preserve">处理后经 </w:t>
            </w:r>
            <w:r>
              <w:rPr>
                <w:rFonts w:ascii="Times New Roman" w:eastAsia="Times New Roman"/>
                <w:sz w:val="21"/>
              </w:rPr>
              <w:t xml:space="preserve">15m </w:t>
            </w:r>
            <w:r>
              <w:rPr>
                <w:spacing w:val="-13"/>
                <w:sz w:val="21"/>
              </w:rPr>
              <w:t xml:space="preserve">高排气筒 </w:t>
            </w:r>
            <w:r>
              <w:rPr>
                <w:rFonts w:ascii="Times New Roman" w:eastAsia="Times New Roman"/>
                <w:sz w:val="21"/>
              </w:rPr>
              <w:t xml:space="preserve">DA001 </w:t>
            </w:r>
            <w:r>
              <w:rPr>
                <w:sz w:val="21"/>
              </w:rPr>
              <w:t>排</w:t>
            </w:r>
            <w:r>
              <w:rPr>
                <w:spacing w:val="-9"/>
                <w:w w:val="95"/>
                <w:sz w:val="21"/>
              </w:rPr>
              <w:t>放；挤出造粒废气和挤出注塑废气</w:t>
            </w:r>
            <w:r>
              <w:rPr>
                <w:spacing w:val="-9"/>
                <w:sz w:val="21"/>
              </w:rPr>
              <w:t>采用全密闭负压收集罩收集后经</w:t>
            </w:r>
            <w:r>
              <w:rPr>
                <w:rFonts w:ascii="Times New Roman" w:eastAsia="Times New Roman"/>
                <w:spacing w:val="-9"/>
                <w:sz w:val="21"/>
              </w:rPr>
              <w:t>+</w:t>
            </w:r>
          </w:p>
          <w:p w14:paraId="0EF38824">
            <w:pPr>
              <w:pStyle w:val="17"/>
              <w:spacing w:line="268" w:lineRule="exact"/>
              <w:ind w:left="161"/>
              <w:jc w:val="both"/>
              <w:rPr>
                <w:sz w:val="21"/>
              </w:rPr>
            </w:pP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w:t>
            </w:r>
          </w:p>
        </w:tc>
        <w:tc>
          <w:tcPr>
            <w:tcW w:w="1218" w:type="dxa"/>
            <w:tcBorders>
              <w:right w:val="nil"/>
            </w:tcBorders>
          </w:tcPr>
          <w:p w14:paraId="25ECF28A">
            <w:pPr>
              <w:pStyle w:val="17"/>
              <w:jc w:val="left"/>
              <w:rPr>
                <w:sz w:val="20"/>
              </w:rPr>
            </w:pPr>
          </w:p>
          <w:p w14:paraId="672DD8A7">
            <w:pPr>
              <w:pStyle w:val="17"/>
              <w:jc w:val="left"/>
              <w:rPr>
                <w:sz w:val="20"/>
              </w:rPr>
            </w:pPr>
          </w:p>
          <w:p w14:paraId="315A1501">
            <w:pPr>
              <w:pStyle w:val="17"/>
              <w:spacing w:before="7"/>
              <w:jc w:val="left"/>
              <w:rPr>
                <w:sz w:val="22"/>
              </w:rPr>
            </w:pPr>
          </w:p>
          <w:p w14:paraId="05826D60">
            <w:pPr>
              <w:pStyle w:val="17"/>
              <w:ind w:left="167" w:right="164"/>
              <w:rPr>
                <w:sz w:val="21"/>
              </w:rPr>
            </w:pPr>
            <w:r>
              <w:rPr>
                <w:sz w:val="21"/>
              </w:rPr>
              <w:t>符合</w:t>
            </w:r>
          </w:p>
        </w:tc>
      </w:tr>
    </w:tbl>
    <w:p w14:paraId="33843BE2">
      <w:pPr>
        <w:spacing w:after="0"/>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3290"/>
        <w:gridCol w:w="1218"/>
      </w:tblGrid>
      <w:tr w14:paraId="650AE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07091422">
            <w:pPr>
              <w:pStyle w:val="17"/>
              <w:jc w:val="left"/>
              <w:rPr>
                <w:rFonts w:ascii="Times New Roman"/>
                <w:sz w:val="22"/>
              </w:rPr>
            </w:pPr>
          </w:p>
        </w:tc>
        <w:tc>
          <w:tcPr>
            <w:tcW w:w="3290" w:type="dxa"/>
          </w:tcPr>
          <w:p w14:paraId="5C1343BB">
            <w:pPr>
              <w:pStyle w:val="17"/>
              <w:spacing w:before="21"/>
              <w:ind w:left="98" w:right="91"/>
              <w:rPr>
                <w:sz w:val="21"/>
              </w:rPr>
            </w:pPr>
            <w:r>
              <w:rPr>
                <w:sz w:val="21"/>
              </w:rPr>
              <w:t xml:space="preserve">吸附处理达标后经 </w:t>
            </w:r>
            <w:r>
              <w:rPr>
                <w:rFonts w:ascii="Times New Roman" w:eastAsia="Times New Roman"/>
                <w:sz w:val="21"/>
              </w:rPr>
              <w:t xml:space="preserve">15m </w:t>
            </w:r>
            <w:r>
              <w:rPr>
                <w:sz w:val="21"/>
              </w:rPr>
              <w:t>高排气筒</w:t>
            </w:r>
          </w:p>
          <w:p w14:paraId="5A9AD62E">
            <w:pPr>
              <w:pStyle w:val="17"/>
              <w:spacing w:before="43"/>
              <w:ind w:left="101" w:right="97"/>
              <w:rPr>
                <w:sz w:val="21"/>
              </w:rPr>
            </w:pPr>
            <w:r>
              <w:rPr>
                <w:rFonts w:ascii="Times New Roman" w:eastAsia="Times New Roman"/>
                <w:sz w:val="21"/>
              </w:rPr>
              <w:t xml:space="preserve">DA002 </w:t>
            </w:r>
            <w:r>
              <w:rPr>
                <w:sz w:val="21"/>
              </w:rPr>
              <w:t>排放，能达标排放。</w:t>
            </w:r>
          </w:p>
        </w:tc>
        <w:tc>
          <w:tcPr>
            <w:tcW w:w="1218" w:type="dxa"/>
            <w:tcBorders>
              <w:right w:val="nil"/>
            </w:tcBorders>
          </w:tcPr>
          <w:p w14:paraId="0FD5D36F">
            <w:pPr>
              <w:pStyle w:val="17"/>
              <w:jc w:val="left"/>
              <w:rPr>
                <w:rFonts w:ascii="Times New Roman"/>
                <w:sz w:val="22"/>
              </w:rPr>
            </w:pPr>
          </w:p>
        </w:tc>
      </w:tr>
      <w:tr w14:paraId="3E7E1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77DD3F6B">
            <w:pPr>
              <w:pStyle w:val="17"/>
              <w:spacing w:before="12"/>
              <w:jc w:val="left"/>
              <w:rPr>
                <w:sz w:val="25"/>
              </w:rPr>
            </w:pPr>
          </w:p>
          <w:p w14:paraId="0D47F99B">
            <w:pPr>
              <w:pStyle w:val="17"/>
              <w:spacing w:line="278" w:lineRule="auto"/>
              <w:ind w:left="111" w:right="97" w:hanging="3"/>
              <w:rPr>
                <w:sz w:val="21"/>
              </w:rPr>
            </w:pPr>
            <w:r>
              <w:rPr>
                <w:w w:val="95"/>
                <w:sz w:val="21"/>
              </w:rPr>
              <w:t xml:space="preserve">对于加工过程中噪音污染大的设备，必须 </w:t>
            </w:r>
            <w:r>
              <w:rPr>
                <w:spacing w:val="-16"/>
                <w:w w:val="95"/>
                <w:sz w:val="21"/>
              </w:rPr>
              <w:t>采取降噪和隔音措施，企业噪声应达到《工</w:t>
            </w:r>
            <w:r>
              <w:rPr>
                <w:spacing w:val="-16"/>
                <w:sz w:val="21"/>
              </w:rPr>
              <w:t>业企业厂界环境噪声排放标准》</w:t>
            </w:r>
          </w:p>
        </w:tc>
        <w:tc>
          <w:tcPr>
            <w:tcW w:w="3290" w:type="dxa"/>
          </w:tcPr>
          <w:p w14:paraId="48122960">
            <w:pPr>
              <w:pStyle w:val="17"/>
              <w:spacing w:before="21" w:line="278" w:lineRule="auto"/>
              <w:ind w:left="108" w:right="20"/>
              <w:jc w:val="both"/>
              <w:rPr>
                <w:sz w:val="21"/>
              </w:rPr>
            </w:pPr>
            <w:r>
              <w:rPr>
                <w:spacing w:val="-8"/>
                <w:sz w:val="21"/>
              </w:rPr>
              <w:t>本项目采用基础减震、隔音降噪等</w:t>
            </w:r>
            <w:r>
              <w:rPr>
                <w:spacing w:val="-11"/>
                <w:sz w:val="21"/>
              </w:rPr>
              <w:t>措施后，符合《工业企业厂界环境</w:t>
            </w:r>
            <w:r>
              <w:rPr>
                <w:spacing w:val="-16"/>
                <w:sz w:val="21"/>
              </w:rPr>
              <w:t xml:space="preserve">噪声排放标准》中的 </w:t>
            </w:r>
            <w:r>
              <w:rPr>
                <w:rFonts w:ascii="Times New Roman" w:eastAsia="Times New Roman"/>
                <w:sz w:val="21"/>
              </w:rPr>
              <w:t xml:space="preserve">3 </w:t>
            </w:r>
            <w:r>
              <w:rPr>
                <w:sz w:val="21"/>
              </w:rPr>
              <w:t>类（东侧、</w:t>
            </w:r>
          </w:p>
          <w:p w14:paraId="33CC2305">
            <w:pPr>
              <w:pStyle w:val="17"/>
              <w:spacing w:line="269" w:lineRule="exact"/>
              <w:ind w:left="108"/>
              <w:jc w:val="both"/>
              <w:rPr>
                <w:sz w:val="21"/>
              </w:rPr>
            </w:pPr>
            <w:r>
              <w:rPr>
                <w:spacing w:val="-5"/>
                <w:sz w:val="21"/>
              </w:rPr>
              <w:t>西侧、北侧厂界</w:t>
            </w:r>
            <w:r>
              <w:rPr>
                <w:spacing w:val="-25"/>
                <w:sz w:val="21"/>
              </w:rPr>
              <w:t>）</w:t>
            </w:r>
            <w:r>
              <w:rPr>
                <w:spacing w:val="-27"/>
                <w:sz w:val="21"/>
              </w:rPr>
              <w:t xml:space="preserve">和 </w:t>
            </w:r>
            <w:r>
              <w:rPr>
                <w:rFonts w:ascii="Times New Roman" w:eastAsia="Times New Roman"/>
                <w:sz w:val="21"/>
              </w:rPr>
              <w:t xml:space="preserve">4 </w:t>
            </w:r>
            <w:r>
              <w:rPr>
                <w:spacing w:val="-25"/>
                <w:sz w:val="21"/>
              </w:rPr>
              <w:t>类</w:t>
            </w:r>
            <w:r>
              <w:rPr>
                <w:sz w:val="21"/>
              </w:rPr>
              <w:t>（南侧厂</w:t>
            </w:r>
          </w:p>
          <w:p w14:paraId="762D91AF">
            <w:pPr>
              <w:pStyle w:val="17"/>
              <w:spacing w:before="42"/>
              <w:ind w:left="106" w:right="97"/>
              <w:rPr>
                <w:sz w:val="21"/>
              </w:rPr>
            </w:pPr>
            <w:r>
              <w:rPr>
                <w:sz w:val="21"/>
              </w:rPr>
              <w:t>界）标准要求</w:t>
            </w:r>
          </w:p>
        </w:tc>
        <w:tc>
          <w:tcPr>
            <w:tcW w:w="1218" w:type="dxa"/>
            <w:tcBorders>
              <w:right w:val="nil"/>
            </w:tcBorders>
          </w:tcPr>
          <w:p w14:paraId="33360233">
            <w:pPr>
              <w:pStyle w:val="17"/>
              <w:jc w:val="left"/>
              <w:rPr>
                <w:sz w:val="20"/>
              </w:rPr>
            </w:pPr>
          </w:p>
          <w:p w14:paraId="01AD1688">
            <w:pPr>
              <w:pStyle w:val="17"/>
              <w:jc w:val="left"/>
              <w:rPr>
                <w:sz w:val="20"/>
              </w:rPr>
            </w:pPr>
          </w:p>
          <w:p w14:paraId="38B0015C">
            <w:pPr>
              <w:pStyle w:val="17"/>
              <w:spacing w:before="132"/>
              <w:ind w:left="167" w:right="164"/>
              <w:rPr>
                <w:sz w:val="21"/>
              </w:rPr>
            </w:pPr>
            <w:r>
              <w:rPr>
                <w:sz w:val="21"/>
              </w:rPr>
              <w:t>符合</w:t>
            </w:r>
          </w:p>
        </w:tc>
      </w:tr>
      <w:tr w14:paraId="2F5F2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1" w:type="dxa"/>
            <w:gridSpan w:val="2"/>
            <w:tcBorders>
              <w:left w:val="nil"/>
            </w:tcBorders>
          </w:tcPr>
          <w:p w14:paraId="02E666B2">
            <w:pPr>
              <w:pStyle w:val="17"/>
              <w:spacing w:before="35"/>
              <w:ind w:left="2478" w:right="2466"/>
              <w:rPr>
                <w:sz w:val="21"/>
              </w:rPr>
            </w:pPr>
            <w:r>
              <w:rPr>
                <w:sz w:val="21"/>
              </w:rPr>
              <w:t>六、防火安全</w:t>
            </w:r>
          </w:p>
        </w:tc>
        <w:tc>
          <w:tcPr>
            <w:tcW w:w="1218" w:type="dxa"/>
            <w:tcBorders>
              <w:right w:val="nil"/>
            </w:tcBorders>
          </w:tcPr>
          <w:p w14:paraId="14363362">
            <w:pPr>
              <w:pStyle w:val="17"/>
              <w:jc w:val="left"/>
              <w:rPr>
                <w:rFonts w:ascii="Times New Roman"/>
                <w:sz w:val="22"/>
              </w:rPr>
            </w:pPr>
          </w:p>
        </w:tc>
      </w:tr>
      <w:tr w14:paraId="77844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011" w:type="dxa"/>
            <w:tcBorders>
              <w:left w:val="nil"/>
            </w:tcBorders>
          </w:tcPr>
          <w:p w14:paraId="789BDDED">
            <w:pPr>
              <w:pStyle w:val="17"/>
              <w:spacing w:before="177" w:line="278" w:lineRule="auto"/>
              <w:ind w:left="111" w:right="-15"/>
              <w:rPr>
                <w:sz w:val="21"/>
              </w:rPr>
            </w:pPr>
            <w:r>
              <w:rPr>
                <w:spacing w:val="-10"/>
                <w:w w:val="95"/>
                <w:sz w:val="21"/>
              </w:rPr>
              <w:t>企业应严格执行《中华人民共和国消防法》</w:t>
            </w:r>
            <w:r>
              <w:rPr>
                <w:spacing w:val="-10"/>
                <w:sz w:val="21"/>
              </w:rPr>
              <w:t>的各项规定。生产厂房、仓库、堆场等场所的防火设计、施工和验收应符合国家现行相关标准的要求</w:t>
            </w:r>
          </w:p>
        </w:tc>
        <w:tc>
          <w:tcPr>
            <w:tcW w:w="3290" w:type="dxa"/>
          </w:tcPr>
          <w:p w14:paraId="63F1B23F">
            <w:pPr>
              <w:pStyle w:val="17"/>
              <w:spacing w:before="21" w:line="278" w:lineRule="auto"/>
              <w:ind w:left="108" w:right="20" w:hanging="77"/>
              <w:rPr>
                <w:sz w:val="21"/>
              </w:rPr>
            </w:pPr>
            <w:r>
              <w:rPr>
                <w:spacing w:val="-9"/>
                <w:sz w:val="21"/>
              </w:rPr>
              <w:t>本项目严格执行《中华人民共和国</w:t>
            </w:r>
            <w:r>
              <w:rPr>
                <w:spacing w:val="-9"/>
                <w:w w:val="95"/>
                <w:sz w:val="21"/>
              </w:rPr>
              <w:t xml:space="preserve">消防法》的各项规定。生产厂房、 </w:t>
            </w:r>
            <w:r>
              <w:rPr>
                <w:spacing w:val="-11"/>
                <w:sz w:val="21"/>
              </w:rPr>
              <w:t>仓库、堆场等场所的防火设计、施工和验收应符合国家现行相关标</w:t>
            </w:r>
          </w:p>
          <w:p w14:paraId="27F10CC2">
            <w:pPr>
              <w:pStyle w:val="17"/>
              <w:spacing w:line="269" w:lineRule="exact"/>
              <w:ind w:left="103" w:right="97"/>
              <w:rPr>
                <w:sz w:val="21"/>
              </w:rPr>
            </w:pPr>
            <w:r>
              <w:rPr>
                <w:sz w:val="21"/>
              </w:rPr>
              <w:t>准的要求</w:t>
            </w:r>
          </w:p>
        </w:tc>
        <w:tc>
          <w:tcPr>
            <w:tcW w:w="1218" w:type="dxa"/>
            <w:tcBorders>
              <w:right w:val="nil"/>
            </w:tcBorders>
          </w:tcPr>
          <w:p w14:paraId="00FAB16D">
            <w:pPr>
              <w:pStyle w:val="17"/>
              <w:jc w:val="left"/>
              <w:rPr>
                <w:sz w:val="20"/>
              </w:rPr>
            </w:pPr>
          </w:p>
          <w:p w14:paraId="6BB3214A">
            <w:pPr>
              <w:pStyle w:val="17"/>
              <w:jc w:val="left"/>
              <w:rPr>
                <w:sz w:val="20"/>
              </w:rPr>
            </w:pPr>
          </w:p>
          <w:p w14:paraId="79666CA8">
            <w:pPr>
              <w:pStyle w:val="17"/>
              <w:spacing w:before="132"/>
              <w:ind w:left="167" w:right="164"/>
              <w:rPr>
                <w:sz w:val="21"/>
              </w:rPr>
            </w:pPr>
            <w:r>
              <w:rPr>
                <w:sz w:val="21"/>
              </w:rPr>
              <w:t>符合</w:t>
            </w:r>
          </w:p>
        </w:tc>
      </w:tr>
      <w:tr w14:paraId="36AB6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011" w:type="dxa"/>
            <w:tcBorders>
              <w:left w:val="nil"/>
            </w:tcBorders>
          </w:tcPr>
          <w:p w14:paraId="4C1E743B">
            <w:pPr>
              <w:pStyle w:val="17"/>
              <w:spacing w:before="20" w:line="278" w:lineRule="auto"/>
              <w:ind w:left="118" w:right="107"/>
              <w:rPr>
                <w:sz w:val="21"/>
              </w:rPr>
            </w:pPr>
            <w:r>
              <w:rPr>
                <w:w w:val="95"/>
                <w:sz w:val="21"/>
              </w:rPr>
              <w:t>生产厂房、仓库、堆场等场所内应严禁烟火，不可存放任何易燃性物质，并应设置</w:t>
            </w:r>
          </w:p>
          <w:p w14:paraId="39EB8602">
            <w:pPr>
              <w:pStyle w:val="17"/>
              <w:spacing w:line="269" w:lineRule="exact"/>
              <w:ind w:left="84" w:right="70"/>
              <w:rPr>
                <w:sz w:val="21"/>
              </w:rPr>
            </w:pPr>
            <w:r>
              <w:rPr>
                <w:sz w:val="21"/>
              </w:rPr>
              <w:t>严禁烟火标志。</w:t>
            </w:r>
          </w:p>
        </w:tc>
        <w:tc>
          <w:tcPr>
            <w:tcW w:w="3290" w:type="dxa"/>
          </w:tcPr>
          <w:p w14:paraId="108AAB90">
            <w:pPr>
              <w:pStyle w:val="17"/>
              <w:spacing w:before="20" w:line="278" w:lineRule="auto"/>
              <w:ind w:left="108" w:right="97"/>
              <w:rPr>
                <w:sz w:val="21"/>
              </w:rPr>
            </w:pPr>
            <w:r>
              <w:rPr>
                <w:spacing w:val="-10"/>
                <w:w w:val="95"/>
                <w:sz w:val="21"/>
              </w:rPr>
              <w:t>项目生产厂房、仓库、堆场等场所</w:t>
            </w:r>
            <w:r>
              <w:rPr>
                <w:spacing w:val="-12"/>
                <w:w w:val="95"/>
                <w:sz w:val="21"/>
              </w:rPr>
              <w:t>内严禁烟火，不可存放任何易燃性</w:t>
            </w:r>
          </w:p>
          <w:p w14:paraId="24AC02BD">
            <w:pPr>
              <w:pStyle w:val="17"/>
              <w:spacing w:line="269" w:lineRule="exact"/>
              <w:ind w:left="103" w:right="97"/>
              <w:rPr>
                <w:sz w:val="21"/>
              </w:rPr>
            </w:pPr>
            <w:r>
              <w:rPr>
                <w:sz w:val="21"/>
              </w:rPr>
              <w:t>物质，并设置严禁烟火标志</w:t>
            </w:r>
          </w:p>
        </w:tc>
        <w:tc>
          <w:tcPr>
            <w:tcW w:w="1218" w:type="dxa"/>
            <w:tcBorders>
              <w:right w:val="nil"/>
            </w:tcBorders>
          </w:tcPr>
          <w:p w14:paraId="72F4AC19">
            <w:pPr>
              <w:pStyle w:val="17"/>
              <w:spacing w:before="12"/>
              <w:jc w:val="left"/>
              <w:rPr>
                <w:sz w:val="25"/>
              </w:rPr>
            </w:pPr>
          </w:p>
          <w:p w14:paraId="25BDE5C0">
            <w:pPr>
              <w:pStyle w:val="17"/>
              <w:ind w:left="167" w:right="164"/>
              <w:rPr>
                <w:sz w:val="21"/>
              </w:rPr>
            </w:pPr>
            <w:r>
              <w:rPr>
                <w:sz w:val="21"/>
              </w:rPr>
              <w:t>符合</w:t>
            </w:r>
          </w:p>
        </w:tc>
      </w:tr>
      <w:tr w14:paraId="4C85A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011" w:type="dxa"/>
            <w:tcBorders>
              <w:left w:val="nil"/>
            </w:tcBorders>
          </w:tcPr>
          <w:p w14:paraId="5AD95438">
            <w:pPr>
              <w:pStyle w:val="17"/>
              <w:spacing w:before="20"/>
              <w:ind w:left="81" w:right="72"/>
              <w:rPr>
                <w:sz w:val="21"/>
              </w:rPr>
            </w:pPr>
            <w:r>
              <w:rPr>
                <w:sz w:val="21"/>
              </w:rPr>
              <w:t>生产与使用化学药剂的生产区域应符合相</w:t>
            </w:r>
          </w:p>
          <w:p w14:paraId="64D48882">
            <w:pPr>
              <w:pStyle w:val="17"/>
              <w:spacing w:before="43"/>
              <w:ind w:left="81" w:right="72"/>
              <w:rPr>
                <w:sz w:val="21"/>
              </w:rPr>
            </w:pPr>
            <w:r>
              <w:rPr>
                <w:sz w:val="21"/>
              </w:rPr>
              <w:t>关防火、防爆的要求。</w:t>
            </w:r>
          </w:p>
        </w:tc>
        <w:tc>
          <w:tcPr>
            <w:tcW w:w="3290" w:type="dxa"/>
          </w:tcPr>
          <w:p w14:paraId="1A060E10">
            <w:pPr>
              <w:pStyle w:val="17"/>
              <w:spacing w:before="20"/>
              <w:ind w:left="175"/>
              <w:jc w:val="left"/>
              <w:rPr>
                <w:sz w:val="21"/>
              </w:rPr>
            </w:pPr>
            <w:r>
              <w:rPr>
                <w:sz w:val="21"/>
              </w:rPr>
              <w:t>项目生产与使用化学药剂的生产</w:t>
            </w:r>
          </w:p>
          <w:p w14:paraId="0ACDB573">
            <w:pPr>
              <w:pStyle w:val="17"/>
              <w:spacing w:before="43"/>
              <w:ind w:left="108"/>
              <w:jc w:val="left"/>
              <w:rPr>
                <w:sz w:val="21"/>
              </w:rPr>
            </w:pPr>
            <w:r>
              <w:rPr>
                <w:sz w:val="21"/>
              </w:rPr>
              <w:t>区域符合相关防火、防爆的要求。</w:t>
            </w:r>
          </w:p>
        </w:tc>
        <w:tc>
          <w:tcPr>
            <w:tcW w:w="1218" w:type="dxa"/>
            <w:tcBorders>
              <w:right w:val="nil"/>
            </w:tcBorders>
          </w:tcPr>
          <w:p w14:paraId="0EC34EA9">
            <w:pPr>
              <w:pStyle w:val="17"/>
              <w:spacing w:before="176"/>
              <w:ind w:left="167" w:right="164"/>
              <w:rPr>
                <w:sz w:val="21"/>
              </w:rPr>
            </w:pPr>
            <w:r>
              <w:rPr>
                <w:sz w:val="21"/>
              </w:rPr>
              <w:t>符合</w:t>
            </w:r>
          </w:p>
        </w:tc>
      </w:tr>
    </w:tbl>
    <w:p w14:paraId="7D0535F4">
      <w:pPr>
        <w:pStyle w:val="10"/>
        <w:spacing w:before="81"/>
        <w:ind w:left="700"/>
      </w:pPr>
      <w:r>
        <w:t>通过上表分析，项目符合《废塑料综合利用行业规范条件》相关要求。</w:t>
      </w:r>
    </w:p>
    <w:p w14:paraId="6461E14C">
      <w:pPr>
        <w:pStyle w:val="9"/>
        <w:spacing w:before="160"/>
        <w:ind w:left="700"/>
      </w:pPr>
      <w:r>
        <w:t>（</w:t>
      </w:r>
      <w:r>
        <w:rPr>
          <w:rFonts w:ascii="Times New Roman" w:eastAsia="Times New Roman"/>
        </w:rPr>
        <w:t>9</w:t>
      </w:r>
      <w:r>
        <w:t>）与开发区产业定位和用地规划的符合性分析</w:t>
      </w:r>
    </w:p>
    <w:p w14:paraId="7553A3B0">
      <w:pPr>
        <w:pStyle w:val="10"/>
        <w:spacing w:before="225" w:line="374" w:lineRule="auto"/>
        <w:ind w:left="220" w:right="237" w:firstLine="480"/>
      </w:pPr>
      <w:r>
        <w:rPr>
          <w:spacing w:val="-11"/>
        </w:rPr>
        <w:t>根据《湖南省自然资源厅关于汩罗高新技术产业开发区扩区用地审核意见的</w:t>
      </w:r>
      <w:r>
        <w:rPr>
          <w:spacing w:val="-12"/>
        </w:rPr>
        <w:t>函》</w:t>
      </w:r>
      <w:r>
        <w:t>（</w:t>
      </w:r>
      <w:r>
        <w:rPr>
          <w:rFonts w:ascii="Times New Roman" w:eastAsia="Times New Roman"/>
        </w:rPr>
        <w:t>2023.11.21</w:t>
      </w:r>
      <w:r>
        <w:t>），</w:t>
      </w:r>
      <w:r>
        <w:rPr>
          <w:spacing w:val="-5"/>
        </w:rPr>
        <w:t xml:space="preserve">本次扩区新划定发展方向区合计 </w:t>
      </w:r>
      <w:r>
        <w:rPr>
          <w:rFonts w:ascii="Times New Roman" w:eastAsia="Times New Roman"/>
        </w:rPr>
        <w:t>592.24</w:t>
      </w:r>
      <w:r>
        <w:rPr>
          <w:rFonts w:ascii="Times New Roman" w:eastAsia="Times New Roman"/>
          <w:spacing w:val="-5"/>
        </w:rPr>
        <w:t xml:space="preserve"> </w:t>
      </w:r>
      <w:r>
        <w:rPr>
          <w:spacing w:val="-2"/>
        </w:rPr>
        <w:t>公顷，发展方向区</w:t>
      </w:r>
      <w:r>
        <w:rPr>
          <w:spacing w:val="-6"/>
        </w:rPr>
        <w:t>块一位于新市片</w:t>
      </w:r>
      <w:r>
        <w:t>（湖南汩罗循环经济产业园</w:t>
      </w:r>
      <w:r>
        <w:rPr>
          <w:spacing w:val="-24"/>
        </w:rPr>
        <w:t>）</w:t>
      </w:r>
      <w:r>
        <w:rPr>
          <w:spacing w:val="-7"/>
        </w:rPr>
        <w:t>西片区，其四至范围：东至规划莲</w:t>
      </w:r>
      <w:r>
        <w:rPr>
          <w:spacing w:val="-10"/>
        </w:rPr>
        <w:t xml:space="preserve">花路，南至规划车站大道，西至武广高铁，北至汩罗江大道，面积 </w:t>
      </w:r>
      <w:r>
        <w:rPr>
          <w:rFonts w:ascii="Times New Roman" w:eastAsia="Times New Roman"/>
        </w:rPr>
        <w:t>119.94</w:t>
      </w:r>
      <w:r>
        <w:rPr>
          <w:rFonts w:ascii="Times New Roman" w:eastAsia="Times New Roman"/>
          <w:spacing w:val="-1"/>
        </w:rPr>
        <w:t xml:space="preserve"> </w:t>
      </w:r>
      <w:r>
        <w:t xml:space="preserve">公顷； </w:t>
      </w:r>
      <w:r>
        <w:rPr>
          <w:spacing w:val="-3"/>
        </w:rPr>
        <w:t>区块二位于新市片</w:t>
      </w:r>
      <w:r>
        <w:t>（湖南汩罗循环经济产业园</w:t>
      </w:r>
      <w:r>
        <w:rPr>
          <w:spacing w:val="-24"/>
        </w:rPr>
        <w:t>）</w:t>
      </w:r>
      <w:r>
        <w:rPr>
          <w:spacing w:val="-7"/>
        </w:rPr>
        <w:t>东片区，其四至范围：东至湄江</w:t>
      </w:r>
      <w:r>
        <w:rPr>
          <w:spacing w:val="-9"/>
        </w:rPr>
        <w:t xml:space="preserve">河，南至规划车站大道以南 </w:t>
      </w:r>
      <w:r>
        <w:rPr>
          <w:rFonts w:ascii="Times New Roman" w:eastAsia="Times New Roman"/>
        </w:rPr>
        <w:t>600</w:t>
      </w:r>
      <w:r>
        <w:rPr>
          <w:rFonts w:ascii="Times New Roman" w:eastAsia="Times New Roman"/>
          <w:spacing w:val="-2"/>
        </w:rPr>
        <w:t xml:space="preserve"> </w:t>
      </w:r>
      <w:r>
        <w:rPr>
          <w:spacing w:val="-15"/>
        </w:rPr>
        <w:t xml:space="preserve">米，西至 </w:t>
      </w:r>
      <w:r>
        <w:rPr>
          <w:rFonts w:ascii="Times New Roman" w:eastAsia="Times New Roman"/>
        </w:rPr>
        <w:t>G107</w:t>
      </w:r>
      <w:r>
        <w:rPr>
          <w:spacing w:val="-7"/>
        </w:rPr>
        <w:t xml:space="preserve">，北至汩新大道，面积 </w:t>
      </w:r>
      <w:r>
        <w:rPr>
          <w:rFonts w:ascii="Times New Roman" w:eastAsia="Times New Roman"/>
        </w:rPr>
        <w:t>243.30</w:t>
      </w:r>
      <w:r>
        <w:rPr>
          <w:rFonts w:ascii="Times New Roman" w:eastAsia="Times New Roman"/>
          <w:spacing w:val="-3"/>
        </w:rPr>
        <w:t xml:space="preserve"> </w:t>
      </w:r>
      <w:r>
        <w:t>公</w:t>
      </w:r>
      <w:r>
        <w:rPr>
          <w:spacing w:val="-13"/>
        </w:rPr>
        <w:t>顷；区块三位于弼时片</w:t>
      </w:r>
      <w:r>
        <w:t>（湖南工程机械配套产业园</w:t>
      </w:r>
      <w:r>
        <w:rPr>
          <w:spacing w:val="-53"/>
        </w:rPr>
        <w:t>）</w:t>
      </w:r>
      <w:r>
        <w:rPr>
          <w:spacing w:val="-7"/>
        </w:rPr>
        <w:t xml:space="preserve">西北部和南部，其四至范围： </w:t>
      </w:r>
      <w:r>
        <w:rPr>
          <w:spacing w:val="-21"/>
        </w:rPr>
        <w:t xml:space="preserve">东至原 </w:t>
      </w:r>
      <w:r>
        <w:rPr>
          <w:rFonts w:ascii="Times New Roman" w:eastAsia="Times New Roman"/>
        </w:rPr>
        <w:t>G107</w:t>
      </w:r>
      <w:r>
        <w:rPr>
          <w:spacing w:val="-7"/>
        </w:rPr>
        <w:t xml:space="preserve">，南至三角塘路以南 </w:t>
      </w:r>
      <w:r>
        <w:rPr>
          <w:rFonts w:ascii="Times New Roman" w:eastAsia="Times New Roman"/>
        </w:rPr>
        <w:t>300</w:t>
      </w:r>
      <w:r>
        <w:rPr>
          <w:rFonts w:ascii="Times New Roman" w:eastAsia="Times New Roman"/>
          <w:spacing w:val="-1"/>
        </w:rPr>
        <w:t xml:space="preserve"> </w:t>
      </w:r>
      <w:r>
        <w:rPr>
          <w:spacing w:val="-4"/>
        </w:rPr>
        <w:t xml:space="preserve">米，西至规划万家丽北路，北至新 </w:t>
      </w:r>
      <w:r>
        <w:rPr>
          <w:rFonts w:ascii="Times New Roman" w:eastAsia="Times New Roman"/>
        </w:rPr>
        <w:t>G107</w:t>
      </w:r>
      <w:r>
        <w:t xml:space="preserve">， </w:t>
      </w:r>
      <w:r>
        <w:rPr>
          <w:spacing w:val="-20"/>
        </w:rPr>
        <w:t xml:space="preserve">面积 </w:t>
      </w:r>
      <w:r>
        <w:rPr>
          <w:rFonts w:ascii="Times New Roman" w:eastAsia="Times New Roman"/>
        </w:rPr>
        <w:t xml:space="preserve">229.00 </w:t>
      </w:r>
      <w:r>
        <w:t>公顷。</w:t>
      </w:r>
    </w:p>
    <w:p w14:paraId="2B8B5FF1">
      <w:pPr>
        <w:pStyle w:val="10"/>
        <w:spacing w:before="3" w:line="374" w:lineRule="auto"/>
        <w:ind w:left="220" w:right="290" w:firstLine="480"/>
        <w:jc w:val="both"/>
      </w:pPr>
      <w:r>
        <w:t>根据《湖南汩罗高新技术产业开发区产业发展规划（</w:t>
      </w:r>
      <w:r>
        <w:rPr>
          <w:rFonts w:ascii="Times New Roman" w:hAnsi="Times New Roman" w:eastAsia="Times New Roman"/>
        </w:rPr>
        <w:t>2022-2027</w:t>
      </w:r>
      <w:r>
        <w:t>）》及其批复（汩政函</w:t>
      </w:r>
      <w:r>
        <w:rPr>
          <w:rFonts w:ascii="Times New Roman" w:hAnsi="Times New Roman" w:eastAsia="Times New Roman"/>
        </w:rPr>
        <w:t xml:space="preserve">[2023]90 </w:t>
      </w:r>
      <w:r>
        <w:t>号），汩罗高新技术产业开发区将通过打造</w:t>
      </w:r>
      <w:r>
        <w:rPr>
          <w:rFonts w:ascii="Times New Roman" w:hAnsi="Times New Roman" w:eastAsia="Times New Roman"/>
        </w:rPr>
        <w:t>“</w:t>
      </w:r>
      <w:r>
        <w:t>一园一主一特</w:t>
      </w:r>
      <w:r>
        <w:rPr>
          <w:rFonts w:ascii="Times New Roman" w:hAnsi="Times New Roman" w:eastAsia="Times New Roman"/>
        </w:rPr>
        <w:t xml:space="preserve">” </w:t>
      </w:r>
      <w:r>
        <w:t>和新兴产业，即新市片（湖南汩罗循环经济产业园）以</w:t>
      </w:r>
      <w:r>
        <w:rPr>
          <w:rFonts w:ascii="Times New Roman" w:hAnsi="Times New Roman" w:eastAsia="Times New Roman"/>
        </w:rPr>
        <w:t>“</w:t>
      </w:r>
      <w:r>
        <w:t>废弃资源综合利用产业</w:t>
      </w:r>
      <w:r>
        <w:rPr>
          <w:rFonts w:ascii="Times New Roman" w:hAnsi="Times New Roman" w:eastAsia="Times New Roman"/>
        </w:rPr>
        <w:t xml:space="preserve">” </w:t>
      </w:r>
      <w:r>
        <w:t>为主导产业、</w:t>
      </w:r>
      <w:r>
        <w:rPr>
          <w:rFonts w:ascii="Times New Roman" w:hAnsi="Times New Roman" w:eastAsia="Times New Roman"/>
        </w:rPr>
        <w:t>“</w:t>
      </w:r>
      <w:r>
        <w:t>电子信息产业</w:t>
      </w:r>
      <w:r>
        <w:rPr>
          <w:rFonts w:ascii="Times New Roman" w:hAnsi="Times New Roman" w:eastAsia="Times New Roman"/>
        </w:rPr>
        <w:t>”</w:t>
      </w:r>
      <w:r>
        <w:t>为特色产业；弼时片（湖南工程机械配套产业园） 以</w:t>
      </w:r>
      <w:r>
        <w:rPr>
          <w:rFonts w:ascii="Times New Roman" w:hAnsi="Times New Roman" w:eastAsia="Times New Roman"/>
        </w:rPr>
        <w:t>“</w:t>
      </w:r>
      <w:r>
        <w:t>先进装备制造产业</w:t>
      </w:r>
      <w:r>
        <w:rPr>
          <w:rFonts w:ascii="Times New Roman" w:hAnsi="Times New Roman" w:eastAsia="Times New Roman"/>
        </w:rPr>
        <w:t>”</w:t>
      </w:r>
      <w:r>
        <w:t>为主导产业、</w:t>
      </w:r>
      <w:r>
        <w:rPr>
          <w:rFonts w:ascii="Times New Roman" w:hAnsi="Times New Roman" w:eastAsia="Times New Roman"/>
        </w:rPr>
        <w:t>“</w:t>
      </w:r>
      <w:r>
        <w:t>汽车零部件及配件制造产业</w:t>
      </w:r>
      <w:r>
        <w:rPr>
          <w:rFonts w:ascii="Times New Roman" w:hAnsi="Times New Roman" w:eastAsia="Times New Roman"/>
        </w:rPr>
        <w:t>”</w:t>
      </w:r>
      <w:r>
        <w:t>为特色产业， 共同培育</w:t>
      </w:r>
      <w:r>
        <w:rPr>
          <w:rFonts w:ascii="Times New Roman" w:hAnsi="Times New Roman" w:eastAsia="Times New Roman"/>
        </w:rPr>
        <w:t>“</w:t>
      </w:r>
      <w:r>
        <w:t>先进储能材料产业</w:t>
      </w:r>
      <w:r>
        <w:rPr>
          <w:rFonts w:ascii="Times New Roman" w:hAnsi="Times New Roman" w:eastAsia="Times New Roman"/>
        </w:rPr>
        <w:t>”</w:t>
      </w:r>
      <w:r>
        <w:t>一大新兴产业，积极发展现代服务业，形成</w:t>
      </w:r>
      <w:r>
        <w:rPr>
          <w:rFonts w:ascii="Times New Roman" w:hAnsi="Times New Roman" w:eastAsia="Times New Roman"/>
        </w:rPr>
        <w:t>“</w:t>
      </w:r>
      <w:r>
        <w:t>一园</w:t>
      </w:r>
    </w:p>
    <w:p w14:paraId="493D5FA6">
      <w:pPr>
        <w:spacing w:after="0" w:line="374" w:lineRule="auto"/>
        <w:jc w:val="both"/>
        <w:sectPr>
          <w:pgSz w:w="11910" w:h="16840"/>
          <w:pgMar w:top="1420" w:right="1440" w:bottom="1140" w:left="1580" w:header="0" w:footer="944" w:gutter="0"/>
          <w:cols w:space="720" w:num="1"/>
        </w:sectPr>
      </w:pPr>
    </w:p>
    <w:p w14:paraId="1C67FBBE">
      <w:pPr>
        <w:pStyle w:val="10"/>
        <w:spacing w:before="47" w:line="374" w:lineRule="auto"/>
        <w:ind w:left="220" w:right="360"/>
      </w:pPr>
      <w:r>
        <w:t>一主导一特色</w:t>
      </w:r>
      <w:r>
        <w:rPr>
          <w:rFonts w:ascii="Times New Roman" w:hAnsi="Times New Roman" w:eastAsia="Times New Roman"/>
        </w:rPr>
        <w:t>”</w:t>
      </w:r>
      <w:r>
        <w:t>、层次分明、科学合理的产业定位组合，以绿色循环经济推动该地区的可持续高质量增长。</w:t>
      </w:r>
    </w:p>
    <w:p w14:paraId="1039030E">
      <w:pPr>
        <w:pStyle w:val="10"/>
        <w:spacing w:line="374" w:lineRule="auto"/>
        <w:ind w:left="220" w:right="357" w:firstLine="480"/>
      </w:pPr>
      <w:r>
        <w:rPr>
          <w:spacing w:val="-5"/>
        </w:rPr>
        <w:t>规划新市片区分为先进装备制造业区、电子信息产业区、废弃资源综合利用产业区、高铁新城产城融合发展区、先进储能材料产业区。</w:t>
      </w:r>
    </w:p>
    <w:p w14:paraId="79521EDD">
      <w:pPr>
        <w:pStyle w:val="10"/>
        <w:spacing w:line="243" w:lineRule="exact"/>
        <w:ind w:left="700"/>
      </w:pPr>
      <w:r>
        <w:t>先进装备制造业区：分布在新市片西片区北部，重点发展农业机械专用设备</w:t>
      </w:r>
    </w:p>
    <w:p w14:paraId="39595723">
      <w:pPr>
        <w:pStyle w:val="10"/>
        <w:spacing w:before="161"/>
        <w:ind w:left="220"/>
      </w:pPr>
      <w:r>
        <w:t>制造产业。</w:t>
      </w:r>
    </w:p>
    <w:p w14:paraId="751A8920">
      <w:pPr>
        <w:pStyle w:val="10"/>
        <w:spacing w:before="160" w:line="364" w:lineRule="auto"/>
        <w:ind w:left="220" w:right="357" w:firstLine="480"/>
      </w:pPr>
      <w:r>
        <w:rPr>
          <w:spacing w:val="-7"/>
        </w:rPr>
        <w:t>电子信息产业区：分布在新市片西片区北部，汩新大道以北，重点发展手机</w:t>
      </w:r>
      <w:r>
        <w:rPr>
          <w:spacing w:val="-11"/>
        </w:rPr>
        <w:t xml:space="preserve">配件、智能安防及电子电路基材 </w:t>
      </w:r>
      <w:r>
        <w:rPr>
          <w:rFonts w:ascii="Times New Roman" w:eastAsia="Times New Roman"/>
        </w:rPr>
        <w:t xml:space="preserve">PCB </w:t>
      </w:r>
      <w:r>
        <w:t>产业、麻将机、智能安防领域。</w:t>
      </w:r>
    </w:p>
    <w:p w14:paraId="279F7E92">
      <w:pPr>
        <w:pStyle w:val="10"/>
        <w:spacing w:before="1" w:line="364" w:lineRule="auto"/>
        <w:ind w:left="220" w:right="265" w:firstLine="480"/>
      </w:pPr>
      <w:r>
        <w:t>废弃资源综合利用产业区：分布在新市片西片区中部、东片区北部和中部， 重点发展再生金属及稀贵金属冶炼和压延产业、再生塑料、碳基材料、先进储能材料回收及综合利用产业。</w:t>
      </w:r>
    </w:p>
    <w:p w14:paraId="6C595853">
      <w:pPr>
        <w:pStyle w:val="10"/>
        <w:spacing w:before="2" w:line="364" w:lineRule="auto"/>
        <w:ind w:left="220" w:right="357" w:firstLine="480"/>
      </w:pPr>
      <w:r>
        <w:rPr>
          <w:spacing w:val="-6"/>
        </w:rPr>
        <w:t>高铁新城产城融合发展区：分布在新市片西片区南部，青春大道以南，重点发展电子信息、仓储物流、商贸居住、教育卫生、康养休闲等。</w:t>
      </w:r>
    </w:p>
    <w:p w14:paraId="3B3C4363">
      <w:pPr>
        <w:pStyle w:val="10"/>
        <w:spacing w:before="1" w:line="364" w:lineRule="auto"/>
        <w:ind w:left="220" w:right="357" w:firstLine="480"/>
      </w:pPr>
      <w:r>
        <w:rPr>
          <w:spacing w:val="-7"/>
        </w:rPr>
        <w:t>先进储能材料产业区：分布在新市片东片区南部，重点发展废旧电池等储能材料回收及综合利用产业。</w:t>
      </w:r>
    </w:p>
    <w:p w14:paraId="5F16EAE4">
      <w:pPr>
        <w:pStyle w:val="10"/>
        <w:spacing w:before="2" w:line="364" w:lineRule="auto"/>
        <w:ind w:left="220" w:right="357" w:firstLine="480"/>
        <w:jc w:val="both"/>
      </w:pPr>
      <w:r>
        <w:rPr>
          <w:spacing w:val="-4"/>
        </w:rPr>
        <w:t>本项目位于湖南省汨罗市高新技术产业开发区新市片区东片区，根据《汨罗高新技术产业开发区控制性详细规划</w:t>
      </w:r>
      <w:r>
        <w:rPr>
          <w:rFonts w:ascii="Times New Roman" w:eastAsia="Times New Roman"/>
          <w:spacing w:val="-4"/>
        </w:rPr>
        <w:t>-</w:t>
      </w:r>
      <w:r>
        <w:rPr>
          <w:spacing w:val="-4"/>
        </w:rPr>
        <w:t>产业布局示意图》，项目位于废弃资源综</w:t>
      </w:r>
      <w:r>
        <w:rPr>
          <w:spacing w:val="-17"/>
        </w:rPr>
        <w:t xml:space="preserve">合利用产业区，项目以废 </w:t>
      </w:r>
      <w:r>
        <w:rPr>
          <w:rFonts w:ascii="Times New Roman" w:eastAsia="Times New Roman"/>
        </w:rPr>
        <w:t xml:space="preserve">PE </w:t>
      </w:r>
      <w:r>
        <w:rPr>
          <w:spacing w:val="-6"/>
        </w:rPr>
        <w:t xml:space="preserve">塑料造粒生产再生塑料 </w:t>
      </w:r>
      <w:r>
        <w:rPr>
          <w:rFonts w:ascii="Times New Roman" w:eastAsia="Times New Roman"/>
        </w:rPr>
        <w:t xml:space="preserve">PE </w:t>
      </w:r>
      <w:r>
        <w:rPr>
          <w:spacing w:val="-16"/>
        </w:rPr>
        <w:t xml:space="preserve">料后与 </w:t>
      </w:r>
      <w:r>
        <w:rPr>
          <w:rFonts w:ascii="Times New Roman" w:eastAsia="Times New Roman"/>
        </w:rPr>
        <w:t xml:space="preserve">PE </w:t>
      </w:r>
      <w:r>
        <w:t>新料原料混合</w:t>
      </w:r>
      <w:r>
        <w:rPr>
          <w:spacing w:val="-6"/>
        </w:rPr>
        <w:t>后生产塑料排水板系列产品，属于废弃资源综合利用产业，属于汨罗高新技术产业开发区新市片区的主导产业，符合园区的产业发展定位。</w:t>
      </w:r>
    </w:p>
    <w:p w14:paraId="1259BAD6">
      <w:pPr>
        <w:pStyle w:val="10"/>
        <w:spacing w:before="3" w:line="364" w:lineRule="auto"/>
        <w:ind w:left="220" w:right="197" w:firstLine="480"/>
      </w:pPr>
      <w:r>
        <w:t>本项目租赁中塑新材料公司现有闲置厂房进行建设，该地块属于工业用地， 已取得不动产权证（湘（</w:t>
      </w:r>
      <w:r>
        <w:rPr>
          <w:rFonts w:ascii="Times New Roman" w:eastAsia="Times New Roman"/>
        </w:rPr>
        <w:t>2023</w:t>
      </w:r>
      <w:r>
        <w:t xml:space="preserve">）汨罗市不动产权第 </w:t>
      </w:r>
      <w:r>
        <w:rPr>
          <w:rFonts w:ascii="Times New Roman" w:eastAsia="Times New Roman"/>
        </w:rPr>
        <w:t xml:space="preserve">0033014 </w:t>
      </w:r>
      <w:r>
        <w:t>号），因此本项目选址可行。</w:t>
      </w:r>
    </w:p>
    <w:p w14:paraId="510A7D03">
      <w:pPr>
        <w:pStyle w:val="9"/>
        <w:spacing w:before="1" w:line="364" w:lineRule="auto"/>
        <w:ind w:left="220" w:right="311" w:firstLine="480"/>
      </w:pPr>
      <w:r>
        <w:t>（</w:t>
      </w:r>
      <w:r>
        <w:rPr>
          <w:rFonts w:ascii="Times New Roman" w:eastAsia="Times New Roman"/>
        </w:rPr>
        <w:t>10</w:t>
      </w:r>
      <w:r>
        <w:t>）与《湖南省生态环境厅关于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w:t>
      </w:r>
      <w:r>
        <w:rPr>
          <w:rFonts w:ascii="Times New Roman" w:eastAsia="Times New Roman"/>
        </w:rPr>
        <w:t>(</w:t>
      </w:r>
      <w:r>
        <w:t>湘环评</w:t>
      </w:r>
      <w:r>
        <w:rPr>
          <w:rFonts w:ascii="Times New Roman" w:eastAsia="Times New Roman"/>
        </w:rPr>
        <w:t xml:space="preserve">[2024]41 </w:t>
      </w:r>
      <w:r>
        <w:t>号</w:t>
      </w:r>
      <w:r>
        <w:rPr>
          <w:rFonts w:ascii="Times New Roman" w:eastAsia="Times New Roman"/>
        </w:rPr>
        <w:t>)</w:t>
      </w:r>
      <w:r>
        <w:t>相符性分析</w:t>
      </w:r>
    </w:p>
    <w:p w14:paraId="771E50C8">
      <w:pPr>
        <w:pStyle w:val="10"/>
        <w:spacing w:before="2" w:line="364" w:lineRule="auto"/>
        <w:ind w:left="220" w:right="360" w:firstLine="480"/>
        <w:jc w:val="both"/>
      </w:pPr>
      <w:r>
        <w:t>本项目与《湖南省生态环境厅关于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w:t>
      </w:r>
      <w:r>
        <w:rPr>
          <w:rFonts w:ascii="Times New Roman" w:eastAsia="Times New Roman"/>
        </w:rPr>
        <w:t>(</w:t>
      </w:r>
      <w:r>
        <w:t>湘环评</w:t>
      </w:r>
      <w:r>
        <w:rPr>
          <w:rFonts w:ascii="Times New Roman" w:eastAsia="Times New Roman"/>
        </w:rPr>
        <w:t xml:space="preserve">[2024]41 </w:t>
      </w:r>
      <w:r>
        <w:t>号</w:t>
      </w:r>
      <w:r>
        <w:rPr>
          <w:rFonts w:ascii="Times New Roman" w:eastAsia="Times New Roman"/>
        </w:rPr>
        <w:t>)</w:t>
      </w:r>
      <w:r>
        <w:t>中相关要求对比分析如下表所示。</w:t>
      </w:r>
    </w:p>
    <w:p w14:paraId="327B57F4">
      <w:pPr>
        <w:spacing w:after="0" w:line="364" w:lineRule="auto"/>
        <w:jc w:val="both"/>
        <w:sectPr>
          <w:pgSz w:w="11910" w:h="16840"/>
          <w:pgMar w:top="1520" w:right="1440" w:bottom="1220" w:left="1580" w:header="0" w:footer="944" w:gutter="0"/>
          <w:cols w:space="720" w:num="1"/>
        </w:sectPr>
      </w:pPr>
    </w:p>
    <w:p w14:paraId="726B6770">
      <w:pPr>
        <w:pStyle w:val="9"/>
        <w:spacing w:before="62"/>
        <w:ind w:left="2084"/>
      </w:pPr>
      <w:r>
        <w:t xml:space="preserve">表 </w:t>
      </w:r>
      <w:r>
        <w:rPr>
          <w:rFonts w:ascii="Times New Roman" w:eastAsia="Times New Roman"/>
        </w:rPr>
        <w:t xml:space="preserve">7 </w:t>
      </w:r>
      <w:r>
        <w:t>项目建设与规划环评批复相符性分析表</w:t>
      </w:r>
    </w:p>
    <w:p w14:paraId="0B4EAC0D">
      <w:pPr>
        <w:pStyle w:val="10"/>
        <w:spacing w:before="3"/>
        <w:rPr>
          <w:b/>
          <w:sz w:val="6"/>
        </w:rPr>
      </w:pPr>
    </w:p>
    <w:tbl>
      <w:tblPr>
        <w:tblStyle w:val="13"/>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69683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361" w:type="dxa"/>
            <w:gridSpan w:val="2"/>
            <w:tcBorders>
              <w:left w:val="nil"/>
            </w:tcBorders>
          </w:tcPr>
          <w:p w14:paraId="1169815D">
            <w:pPr>
              <w:pStyle w:val="17"/>
              <w:spacing w:before="177"/>
              <w:ind w:left="1039"/>
              <w:jc w:val="left"/>
              <w:rPr>
                <w:sz w:val="21"/>
              </w:rPr>
            </w:pPr>
            <w:r>
              <w:rPr>
                <w:sz w:val="21"/>
              </w:rPr>
              <w:t>湘环评函</w:t>
            </w:r>
            <w:r>
              <w:rPr>
                <w:rFonts w:ascii="Times New Roman" w:eastAsia="Times New Roman"/>
                <w:sz w:val="21"/>
              </w:rPr>
              <w:t xml:space="preserve">[2024]41 </w:t>
            </w:r>
            <w:r>
              <w:rPr>
                <w:sz w:val="21"/>
              </w:rPr>
              <w:t>号要求</w:t>
            </w:r>
          </w:p>
        </w:tc>
        <w:tc>
          <w:tcPr>
            <w:tcW w:w="3052" w:type="dxa"/>
          </w:tcPr>
          <w:p w14:paraId="4798F417">
            <w:pPr>
              <w:pStyle w:val="17"/>
              <w:spacing w:before="177"/>
              <w:ind w:left="895"/>
              <w:jc w:val="left"/>
              <w:rPr>
                <w:sz w:val="21"/>
              </w:rPr>
            </w:pPr>
            <w:r>
              <w:rPr>
                <w:sz w:val="21"/>
              </w:rPr>
              <w:t>项目建设情况</w:t>
            </w:r>
          </w:p>
        </w:tc>
        <w:tc>
          <w:tcPr>
            <w:tcW w:w="913" w:type="dxa"/>
            <w:tcBorders>
              <w:right w:val="nil"/>
            </w:tcBorders>
          </w:tcPr>
          <w:p w14:paraId="1D78E515">
            <w:pPr>
              <w:pStyle w:val="17"/>
              <w:spacing w:before="21"/>
              <w:ind w:left="2" w:right="2"/>
              <w:rPr>
                <w:sz w:val="21"/>
              </w:rPr>
            </w:pPr>
            <w:r>
              <w:rPr>
                <w:sz w:val="21"/>
              </w:rPr>
              <w:t>是否相</w:t>
            </w:r>
          </w:p>
          <w:p w14:paraId="00262791">
            <w:pPr>
              <w:pStyle w:val="17"/>
              <w:spacing w:before="43"/>
              <w:ind w:left="3"/>
              <w:rPr>
                <w:sz w:val="21"/>
              </w:rPr>
            </w:pPr>
            <w:r>
              <w:rPr>
                <w:w w:val="99"/>
                <w:sz w:val="21"/>
              </w:rPr>
              <w:t>符</w:t>
            </w:r>
          </w:p>
        </w:tc>
      </w:tr>
      <w:tr w14:paraId="061D7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4" w:hRule="atLeast"/>
        </w:trPr>
        <w:tc>
          <w:tcPr>
            <w:tcW w:w="533" w:type="dxa"/>
            <w:tcBorders>
              <w:left w:val="nil"/>
            </w:tcBorders>
          </w:tcPr>
          <w:p w14:paraId="52FB9255">
            <w:pPr>
              <w:pStyle w:val="17"/>
              <w:jc w:val="left"/>
              <w:rPr>
                <w:b/>
                <w:sz w:val="22"/>
              </w:rPr>
            </w:pPr>
          </w:p>
          <w:p w14:paraId="2346C5AC">
            <w:pPr>
              <w:pStyle w:val="17"/>
              <w:jc w:val="left"/>
              <w:rPr>
                <w:b/>
                <w:sz w:val="22"/>
              </w:rPr>
            </w:pPr>
          </w:p>
          <w:p w14:paraId="26F05B27">
            <w:pPr>
              <w:pStyle w:val="17"/>
              <w:jc w:val="left"/>
              <w:rPr>
                <w:b/>
                <w:sz w:val="22"/>
              </w:rPr>
            </w:pPr>
          </w:p>
          <w:p w14:paraId="7C7BF724">
            <w:pPr>
              <w:pStyle w:val="17"/>
              <w:jc w:val="left"/>
              <w:rPr>
                <w:b/>
                <w:sz w:val="22"/>
              </w:rPr>
            </w:pPr>
          </w:p>
          <w:p w14:paraId="07C16B08">
            <w:pPr>
              <w:pStyle w:val="17"/>
              <w:jc w:val="left"/>
              <w:rPr>
                <w:b/>
                <w:sz w:val="22"/>
              </w:rPr>
            </w:pPr>
          </w:p>
          <w:p w14:paraId="4C7E8D73">
            <w:pPr>
              <w:pStyle w:val="17"/>
              <w:jc w:val="left"/>
              <w:rPr>
                <w:b/>
                <w:sz w:val="22"/>
              </w:rPr>
            </w:pPr>
          </w:p>
          <w:p w14:paraId="0AED0429">
            <w:pPr>
              <w:pStyle w:val="17"/>
              <w:jc w:val="left"/>
              <w:rPr>
                <w:b/>
                <w:sz w:val="22"/>
              </w:rPr>
            </w:pPr>
          </w:p>
          <w:p w14:paraId="17B44A34">
            <w:pPr>
              <w:pStyle w:val="17"/>
              <w:jc w:val="left"/>
              <w:rPr>
                <w:b/>
                <w:sz w:val="22"/>
              </w:rPr>
            </w:pPr>
          </w:p>
          <w:p w14:paraId="628270CC">
            <w:pPr>
              <w:pStyle w:val="17"/>
              <w:spacing w:before="6"/>
              <w:jc w:val="left"/>
              <w:rPr>
                <w:b/>
                <w:sz w:val="21"/>
              </w:rPr>
            </w:pPr>
          </w:p>
          <w:p w14:paraId="022B86F5">
            <w:pPr>
              <w:pStyle w:val="17"/>
              <w:ind w:left="14"/>
              <w:rPr>
                <w:rFonts w:ascii="Times New Roman"/>
                <w:sz w:val="21"/>
              </w:rPr>
            </w:pPr>
            <w:r>
              <w:rPr>
                <w:rFonts w:ascii="Times New Roman"/>
                <w:w w:val="99"/>
                <w:sz w:val="21"/>
              </w:rPr>
              <w:t>1</w:t>
            </w:r>
          </w:p>
        </w:tc>
        <w:tc>
          <w:tcPr>
            <w:tcW w:w="3828" w:type="dxa"/>
          </w:tcPr>
          <w:p w14:paraId="5FF91077">
            <w:pPr>
              <w:pStyle w:val="17"/>
              <w:spacing w:before="20"/>
              <w:ind w:left="417"/>
              <w:jc w:val="left"/>
              <w:rPr>
                <w:sz w:val="21"/>
              </w:rPr>
            </w:pPr>
            <w:r>
              <w:rPr>
                <w:sz w:val="21"/>
              </w:rPr>
              <w:t xml:space="preserve">园区面积拟由 </w:t>
            </w:r>
            <w:r>
              <w:rPr>
                <w:rFonts w:ascii="Times New Roman" w:eastAsia="Times New Roman"/>
                <w:sz w:val="21"/>
              </w:rPr>
              <w:t xml:space="preserve">951.43 </w:t>
            </w:r>
            <w:r>
              <w:rPr>
                <w:sz w:val="21"/>
              </w:rPr>
              <w:t>公顷扩区为</w:t>
            </w:r>
          </w:p>
          <w:p w14:paraId="02232387">
            <w:pPr>
              <w:pStyle w:val="17"/>
              <w:spacing w:before="43" w:line="278" w:lineRule="auto"/>
              <w:ind w:left="107" w:right="98"/>
              <w:jc w:val="both"/>
              <w:rPr>
                <w:sz w:val="21"/>
              </w:rPr>
            </w:pPr>
            <w:r>
              <w:rPr>
                <w:rFonts w:ascii="Times New Roman" w:eastAsia="Times New Roman"/>
                <w:sz w:val="21"/>
              </w:rPr>
              <w:t xml:space="preserve">1543.67 </w:t>
            </w:r>
            <w:r>
              <w:rPr>
                <w:spacing w:val="-9"/>
                <w:sz w:val="21"/>
              </w:rPr>
              <w:t xml:space="preserve">公顷，主要分三个区块，其中新市片西片区 </w:t>
            </w:r>
            <w:r>
              <w:rPr>
                <w:rFonts w:ascii="Times New Roman" w:eastAsia="Times New Roman"/>
                <w:sz w:val="21"/>
              </w:rPr>
              <w:t>(</w:t>
            </w:r>
            <w:r>
              <w:rPr>
                <w:sz w:val="21"/>
              </w:rPr>
              <w:t>区块一</w:t>
            </w:r>
            <w:r>
              <w:rPr>
                <w:rFonts w:ascii="Times New Roman" w:eastAsia="Times New Roman"/>
                <w:sz w:val="21"/>
              </w:rPr>
              <w:t>)</w:t>
            </w:r>
            <w:r>
              <w:rPr>
                <w:spacing w:val="6"/>
                <w:sz w:val="21"/>
              </w:rPr>
              <w:t>拟调整为</w:t>
            </w:r>
            <w:r>
              <w:rPr>
                <w:rFonts w:ascii="Times New Roman" w:eastAsia="Times New Roman"/>
                <w:sz w:val="21"/>
              </w:rPr>
              <w:t xml:space="preserve">573.52 </w:t>
            </w:r>
            <w:r>
              <w:rPr>
                <w:sz w:val="21"/>
              </w:rPr>
              <w:t>公</w:t>
            </w:r>
            <w:r>
              <w:rPr>
                <w:spacing w:val="-9"/>
                <w:sz w:val="21"/>
              </w:rPr>
              <w:t>顷，主要发展电子信息产业、先进 装备</w:t>
            </w:r>
            <w:r>
              <w:rPr>
                <w:spacing w:val="-15"/>
                <w:w w:val="95"/>
                <w:sz w:val="21"/>
              </w:rPr>
              <w:t>制造产业；新市片东片</w:t>
            </w:r>
            <w:r>
              <w:rPr>
                <w:rFonts w:ascii="Times New Roman" w:eastAsia="Times New Roman"/>
                <w:w w:val="95"/>
                <w:sz w:val="21"/>
              </w:rPr>
              <w:t>(</w:t>
            </w:r>
            <w:r>
              <w:rPr>
                <w:w w:val="95"/>
                <w:sz w:val="21"/>
              </w:rPr>
              <w:t>区块二</w:t>
            </w:r>
            <w:r>
              <w:rPr>
                <w:rFonts w:ascii="Times New Roman" w:eastAsia="Times New Roman"/>
                <w:w w:val="95"/>
                <w:sz w:val="21"/>
              </w:rPr>
              <w:t>)</w:t>
            </w:r>
            <w:r>
              <w:rPr>
                <w:w w:val="95"/>
                <w:sz w:val="21"/>
              </w:rPr>
              <w:t>拟调整为</w:t>
            </w:r>
          </w:p>
          <w:p w14:paraId="6E6853ED">
            <w:pPr>
              <w:pStyle w:val="17"/>
              <w:spacing w:line="278" w:lineRule="auto"/>
              <w:ind w:left="129" w:right="117"/>
              <w:jc w:val="both"/>
              <w:rPr>
                <w:sz w:val="21"/>
              </w:rPr>
            </w:pPr>
            <w:r>
              <w:rPr>
                <w:rFonts w:ascii="Times New Roman" w:eastAsia="Times New Roman"/>
                <w:sz w:val="21"/>
              </w:rPr>
              <w:t xml:space="preserve">459.39 </w:t>
            </w:r>
            <w:r>
              <w:rPr>
                <w:sz w:val="21"/>
              </w:rPr>
              <w:t>公顷，主要发展废弃资源综合利</w:t>
            </w:r>
            <w:r>
              <w:rPr>
                <w:w w:val="95"/>
                <w:sz w:val="21"/>
              </w:rPr>
              <w:t>用产业、先进储能材料产业；弼时片区</w:t>
            </w:r>
          </w:p>
          <w:p w14:paraId="759A1A90">
            <w:pPr>
              <w:pStyle w:val="17"/>
              <w:spacing w:line="278" w:lineRule="auto"/>
              <w:ind w:left="107" w:right="98" w:firstLine="28"/>
              <w:jc w:val="both"/>
              <w:rPr>
                <w:rFonts w:ascii="Times New Roman" w:eastAsia="Times New Roman"/>
                <w:sz w:val="21"/>
              </w:rPr>
            </w:pPr>
            <w:r>
              <w:rPr>
                <w:rFonts w:ascii="Times New Roman" w:eastAsia="Times New Roman"/>
                <w:sz w:val="21"/>
              </w:rPr>
              <w:t>(</w:t>
            </w:r>
            <w:r>
              <w:rPr>
                <w:sz w:val="21"/>
              </w:rPr>
              <w:t>区块三</w:t>
            </w:r>
            <w:r>
              <w:rPr>
                <w:rFonts w:ascii="Times New Roman" w:eastAsia="Times New Roman"/>
                <w:sz w:val="21"/>
              </w:rPr>
              <w:t>)</w:t>
            </w:r>
            <w:r>
              <w:rPr>
                <w:spacing w:val="-12"/>
                <w:sz w:val="21"/>
              </w:rPr>
              <w:t xml:space="preserve">拟调整为 </w:t>
            </w:r>
            <w:r>
              <w:rPr>
                <w:rFonts w:ascii="Times New Roman" w:eastAsia="Times New Roman"/>
                <w:sz w:val="21"/>
              </w:rPr>
              <w:t xml:space="preserve">510.76 </w:t>
            </w:r>
            <w:r>
              <w:rPr>
                <w:sz w:val="21"/>
              </w:rPr>
              <w:t>公顷，主要发</w:t>
            </w:r>
            <w:r>
              <w:rPr>
                <w:spacing w:val="-8"/>
                <w:sz w:val="21"/>
              </w:rPr>
              <w:t>展先进装备制造产业，辅助 发展汽车零部件及配件制造产业。本次规划环评范</w:t>
            </w:r>
            <w:r>
              <w:rPr>
                <w:spacing w:val="-12"/>
                <w:sz w:val="21"/>
              </w:rPr>
              <w:t xml:space="preserve">围涵盖了园区已核准范围及 </w:t>
            </w:r>
            <w:r>
              <w:rPr>
                <w:rFonts w:ascii="Times New Roman" w:eastAsia="Times New Roman"/>
                <w:sz w:val="21"/>
              </w:rPr>
              <w:t xml:space="preserve">2023 </w:t>
            </w:r>
            <w:r>
              <w:rPr>
                <w:spacing w:val="-28"/>
                <w:sz w:val="21"/>
              </w:rPr>
              <w:t xml:space="preserve">年 </w:t>
            </w:r>
            <w:r>
              <w:rPr>
                <w:rFonts w:ascii="Times New Roman" w:eastAsia="Times New Roman"/>
                <w:spacing w:val="-5"/>
                <w:sz w:val="21"/>
              </w:rPr>
              <w:t>11</w:t>
            </w:r>
          </w:p>
          <w:p w14:paraId="213BBA57">
            <w:pPr>
              <w:pStyle w:val="17"/>
              <w:spacing w:line="278" w:lineRule="auto"/>
              <w:ind w:left="107" w:right="98" w:firstLine="72"/>
              <w:jc w:val="both"/>
              <w:rPr>
                <w:sz w:val="21"/>
              </w:rPr>
            </w:pPr>
            <w:r>
              <w:rPr>
                <w:spacing w:val="-28"/>
                <w:sz w:val="21"/>
              </w:rPr>
              <w:t xml:space="preserve">月 </w:t>
            </w:r>
            <w:r>
              <w:rPr>
                <w:rFonts w:ascii="Times New Roman" w:eastAsia="Times New Roman"/>
                <w:sz w:val="21"/>
              </w:rPr>
              <w:t xml:space="preserve">21 </w:t>
            </w:r>
            <w:r>
              <w:rPr>
                <w:sz w:val="21"/>
              </w:rPr>
              <w:t>日湖南省自然资源厅《关于汨罗高新技术产业开发区扩区用地审核意见</w:t>
            </w:r>
            <w:r>
              <w:rPr>
                <w:spacing w:val="-9"/>
                <w:sz w:val="21"/>
              </w:rPr>
              <w:t>的函》明确的相关范围， 园区扩区总体及各片区具体面积、范围及相关坐标信息，以省政府及其职能部门核准、认定</w:t>
            </w:r>
          </w:p>
          <w:p w14:paraId="46F0A6AD">
            <w:pPr>
              <w:pStyle w:val="17"/>
              <w:spacing w:line="268" w:lineRule="exact"/>
              <w:ind w:left="8" w:right="1"/>
              <w:rPr>
                <w:sz w:val="21"/>
              </w:rPr>
            </w:pPr>
            <w:r>
              <w:rPr>
                <w:sz w:val="21"/>
              </w:rPr>
              <w:t>的信息为准。</w:t>
            </w:r>
          </w:p>
        </w:tc>
        <w:tc>
          <w:tcPr>
            <w:tcW w:w="3052" w:type="dxa"/>
          </w:tcPr>
          <w:p w14:paraId="5865EB02">
            <w:pPr>
              <w:pStyle w:val="17"/>
              <w:jc w:val="left"/>
              <w:rPr>
                <w:b/>
                <w:sz w:val="22"/>
              </w:rPr>
            </w:pPr>
          </w:p>
          <w:p w14:paraId="0E4A6CB0">
            <w:pPr>
              <w:pStyle w:val="17"/>
              <w:jc w:val="left"/>
              <w:rPr>
                <w:b/>
                <w:sz w:val="22"/>
              </w:rPr>
            </w:pPr>
          </w:p>
          <w:p w14:paraId="175854F4">
            <w:pPr>
              <w:pStyle w:val="17"/>
              <w:jc w:val="left"/>
              <w:rPr>
                <w:b/>
                <w:sz w:val="22"/>
              </w:rPr>
            </w:pPr>
          </w:p>
          <w:p w14:paraId="4543D75E">
            <w:pPr>
              <w:pStyle w:val="17"/>
              <w:jc w:val="left"/>
              <w:rPr>
                <w:b/>
                <w:sz w:val="22"/>
              </w:rPr>
            </w:pPr>
          </w:p>
          <w:p w14:paraId="31938BCC">
            <w:pPr>
              <w:pStyle w:val="17"/>
              <w:spacing w:before="141" w:line="278" w:lineRule="auto"/>
              <w:ind w:left="107" w:right="97"/>
              <w:jc w:val="both"/>
              <w:rPr>
                <w:sz w:val="21"/>
              </w:rPr>
            </w:pPr>
            <w:r>
              <w:rPr>
                <w:spacing w:val="-8"/>
                <w:w w:val="95"/>
                <w:sz w:val="21"/>
              </w:rPr>
              <w:t>本项目位于新市片区东片区，属</w:t>
            </w:r>
            <w:r>
              <w:rPr>
                <w:spacing w:val="-13"/>
                <w:w w:val="95"/>
                <w:sz w:val="21"/>
              </w:rPr>
              <w:t>于区块二，本项目使用已破碎清</w:t>
            </w:r>
            <w:r>
              <w:rPr>
                <w:spacing w:val="-1"/>
                <w:sz w:val="21"/>
              </w:rPr>
              <w:t>洗后的废</w:t>
            </w:r>
            <w:r>
              <w:rPr>
                <w:rFonts w:ascii="Times New Roman" w:eastAsia="Times New Roman"/>
                <w:sz w:val="21"/>
              </w:rPr>
              <w:t>PE</w:t>
            </w:r>
            <w:r>
              <w:rPr>
                <w:rFonts w:ascii="Times New Roman" w:eastAsia="Times New Roman"/>
                <w:spacing w:val="-23"/>
                <w:sz w:val="21"/>
              </w:rPr>
              <w:t xml:space="preserve"> </w:t>
            </w:r>
            <w:r>
              <w:rPr>
                <w:sz w:val="21"/>
              </w:rPr>
              <w:t>塑料经熔融造粒后</w:t>
            </w:r>
            <w:r>
              <w:rPr>
                <w:spacing w:val="35"/>
                <w:sz w:val="21"/>
              </w:rPr>
              <w:t>的</w:t>
            </w:r>
            <w:r>
              <w:rPr>
                <w:rFonts w:ascii="Times New Roman" w:eastAsia="Times New Roman"/>
                <w:sz w:val="21"/>
              </w:rPr>
              <w:t>PE</w:t>
            </w:r>
            <w:r>
              <w:rPr>
                <w:rFonts w:ascii="Times New Roman" w:eastAsia="Times New Roman"/>
                <w:spacing w:val="-23"/>
                <w:sz w:val="21"/>
              </w:rPr>
              <w:t xml:space="preserve"> </w:t>
            </w:r>
            <w:r>
              <w:rPr>
                <w:sz w:val="21"/>
              </w:rPr>
              <w:t>再生塑料颗粒作为原料与</w:t>
            </w:r>
          </w:p>
          <w:p w14:paraId="7F761E18">
            <w:pPr>
              <w:pStyle w:val="17"/>
              <w:spacing w:line="278" w:lineRule="auto"/>
              <w:ind w:left="107" w:right="97" w:hanging="3"/>
              <w:rPr>
                <w:sz w:val="21"/>
              </w:rPr>
            </w:pPr>
            <w:r>
              <w:rPr>
                <w:rFonts w:ascii="Times New Roman" w:eastAsia="Times New Roman"/>
                <w:sz w:val="21"/>
              </w:rPr>
              <w:t xml:space="preserve">PE </w:t>
            </w:r>
            <w:r>
              <w:rPr>
                <w:sz w:val="21"/>
              </w:rPr>
              <w:t>新料等原辅料混合后生产排</w:t>
            </w:r>
            <w:r>
              <w:rPr>
                <w:spacing w:val="-11"/>
                <w:w w:val="95"/>
                <w:sz w:val="21"/>
              </w:rPr>
              <w:t>水板系列产品，属于废弃资源综</w:t>
            </w:r>
            <w:r>
              <w:rPr>
                <w:spacing w:val="-14"/>
                <w:w w:val="95"/>
                <w:sz w:val="21"/>
              </w:rPr>
              <w:t>合利用产业，属于汨罗高新技术</w:t>
            </w:r>
            <w:r>
              <w:rPr>
                <w:spacing w:val="-14"/>
                <w:sz w:val="21"/>
              </w:rPr>
              <w:t>产业开发区新市片区的主导产业</w:t>
            </w:r>
          </w:p>
        </w:tc>
        <w:tc>
          <w:tcPr>
            <w:tcW w:w="913" w:type="dxa"/>
            <w:tcBorders>
              <w:right w:val="nil"/>
            </w:tcBorders>
          </w:tcPr>
          <w:p w14:paraId="772F1D4E">
            <w:pPr>
              <w:pStyle w:val="17"/>
              <w:jc w:val="left"/>
              <w:rPr>
                <w:b/>
                <w:sz w:val="20"/>
              </w:rPr>
            </w:pPr>
          </w:p>
          <w:p w14:paraId="182684E0">
            <w:pPr>
              <w:pStyle w:val="17"/>
              <w:jc w:val="left"/>
              <w:rPr>
                <w:b/>
                <w:sz w:val="20"/>
              </w:rPr>
            </w:pPr>
          </w:p>
          <w:p w14:paraId="6F80F34D">
            <w:pPr>
              <w:pStyle w:val="17"/>
              <w:jc w:val="left"/>
              <w:rPr>
                <w:b/>
                <w:sz w:val="20"/>
              </w:rPr>
            </w:pPr>
          </w:p>
          <w:p w14:paraId="5051EECD">
            <w:pPr>
              <w:pStyle w:val="17"/>
              <w:jc w:val="left"/>
              <w:rPr>
                <w:b/>
                <w:sz w:val="20"/>
              </w:rPr>
            </w:pPr>
          </w:p>
          <w:p w14:paraId="778521C8">
            <w:pPr>
              <w:pStyle w:val="17"/>
              <w:jc w:val="left"/>
              <w:rPr>
                <w:b/>
                <w:sz w:val="20"/>
              </w:rPr>
            </w:pPr>
          </w:p>
          <w:p w14:paraId="0DE45CD6">
            <w:pPr>
              <w:pStyle w:val="17"/>
              <w:jc w:val="left"/>
              <w:rPr>
                <w:b/>
                <w:sz w:val="20"/>
              </w:rPr>
            </w:pPr>
          </w:p>
          <w:p w14:paraId="226A5CB6">
            <w:pPr>
              <w:pStyle w:val="17"/>
              <w:jc w:val="left"/>
              <w:rPr>
                <w:b/>
                <w:sz w:val="20"/>
              </w:rPr>
            </w:pPr>
          </w:p>
          <w:p w14:paraId="3118B134">
            <w:pPr>
              <w:pStyle w:val="17"/>
              <w:jc w:val="left"/>
              <w:rPr>
                <w:b/>
                <w:sz w:val="20"/>
              </w:rPr>
            </w:pPr>
          </w:p>
          <w:p w14:paraId="7097AFE4">
            <w:pPr>
              <w:pStyle w:val="17"/>
              <w:jc w:val="left"/>
              <w:rPr>
                <w:b/>
                <w:sz w:val="20"/>
              </w:rPr>
            </w:pPr>
          </w:p>
          <w:p w14:paraId="5983DD7A">
            <w:pPr>
              <w:pStyle w:val="17"/>
              <w:spacing w:before="5"/>
              <w:jc w:val="left"/>
              <w:rPr>
                <w:b/>
                <w:sz w:val="16"/>
              </w:rPr>
            </w:pPr>
          </w:p>
          <w:p w14:paraId="306587B6">
            <w:pPr>
              <w:pStyle w:val="17"/>
              <w:ind w:left="2" w:right="2"/>
              <w:rPr>
                <w:sz w:val="21"/>
              </w:rPr>
            </w:pPr>
            <w:r>
              <w:rPr>
                <w:sz w:val="21"/>
              </w:rPr>
              <w:t>符合</w:t>
            </w:r>
          </w:p>
        </w:tc>
      </w:tr>
      <w:tr w14:paraId="5CD35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6" w:hRule="atLeast"/>
        </w:trPr>
        <w:tc>
          <w:tcPr>
            <w:tcW w:w="533" w:type="dxa"/>
            <w:tcBorders>
              <w:left w:val="nil"/>
            </w:tcBorders>
          </w:tcPr>
          <w:p w14:paraId="66FC56D3">
            <w:pPr>
              <w:pStyle w:val="17"/>
              <w:jc w:val="left"/>
              <w:rPr>
                <w:b/>
                <w:sz w:val="22"/>
              </w:rPr>
            </w:pPr>
          </w:p>
          <w:p w14:paraId="6E1C2CBB">
            <w:pPr>
              <w:pStyle w:val="17"/>
              <w:jc w:val="left"/>
              <w:rPr>
                <w:b/>
                <w:sz w:val="22"/>
              </w:rPr>
            </w:pPr>
          </w:p>
          <w:p w14:paraId="3605C14C">
            <w:pPr>
              <w:pStyle w:val="17"/>
              <w:jc w:val="left"/>
              <w:rPr>
                <w:b/>
                <w:sz w:val="22"/>
              </w:rPr>
            </w:pPr>
          </w:p>
          <w:p w14:paraId="4F0B0A6E">
            <w:pPr>
              <w:pStyle w:val="17"/>
              <w:jc w:val="left"/>
              <w:rPr>
                <w:b/>
                <w:sz w:val="22"/>
              </w:rPr>
            </w:pPr>
          </w:p>
          <w:p w14:paraId="40741AAF">
            <w:pPr>
              <w:pStyle w:val="17"/>
              <w:jc w:val="left"/>
              <w:rPr>
                <w:b/>
                <w:sz w:val="22"/>
              </w:rPr>
            </w:pPr>
          </w:p>
          <w:p w14:paraId="5B5C9C5F">
            <w:pPr>
              <w:pStyle w:val="17"/>
              <w:jc w:val="left"/>
              <w:rPr>
                <w:b/>
                <w:sz w:val="22"/>
              </w:rPr>
            </w:pPr>
          </w:p>
          <w:p w14:paraId="7878E628">
            <w:pPr>
              <w:pStyle w:val="17"/>
              <w:jc w:val="left"/>
              <w:rPr>
                <w:b/>
                <w:sz w:val="22"/>
              </w:rPr>
            </w:pPr>
          </w:p>
          <w:p w14:paraId="1D531602">
            <w:pPr>
              <w:pStyle w:val="17"/>
              <w:jc w:val="left"/>
              <w:rPr>
                <w:b/>
                <w:sz w:val="22"/>
              </w:rPr>
            </w:pPr>
          </w:p>
          <w:p w14:paraId="0F965383">
            <w:pPr>
              <w:pStyle w:val="17"/>
              <w:jc w:val="left"/>
              <w:rPr>
                <w:b/>
                <w:sz w:val="22"/>
              </w:rPr>
            </w:pPr>
          </w:p>
          <w:p w14:paraId="01190BD9">
            <w:pPr>
              <w:pStyle w:val="17"/>
              <w:jc w:val="left"/>
              <w:rPr>
                <w:b/>
                <w:sz w:val="22"/>
              </w:rPr>
            </w:pPr>
          </w:p>
          <w:p w14:paraId="29BF8770">
            <w:pPr>
              <w:pStyle w:val="17"/>
              <w:jc w:val="left"/>
              <w:rPr>
                <w:b/>
                <w:sz w:val="22"/>
              </w:rPr>
            </w:pPr>
          </w:p>
          <w:p w14:paraId="039CCFDA">
            <w:pPr>
              <w:pStyle w:val="17"/>
              <w:jc w:val="left"/>
              <w:rPr>
                <w:b/>
                <w:sz w:val="22"/>
              </w:rPr>
            </w:pPr>
          </w:p>
          <w:p w14:paraId="03961097">
            <w:pPr>
              <w:pStyle w:val="17"/>
              <w:spacing w:before="9"/>
              <w:jc w:val="left"/>
              <w:rPr>
                <w:b/>
                <w:sz w:val="18"/>
              </w:rPr>
            </w:pPr>
          </w:p>
          <w:p w14:paraId="6BFD929A">
            <w:pPr>
              <w:pStyle w:val="17"/>
              <w:ind w:left="14"/>
              <w:rPr>
                <w:rFonts w:ascii="Times New Roman"/>
                <w:sz w:val="21"/>
              </w:rPr>
            </w:pPr>
            <w:r>
              <w:rPr>
                <w:rFonts w:ascii="Times New Roman"/>
                <w:w w:val="99"/>
                <w:sz w:val="21"/>
              </w:rPr>
              <w:t>2</w:t>
            </w:r>
          </w:p>
        </w:tc>
        <w:tc>
          <w:tcPr>
            <w:tcW w:w="3828" w:type="dxa"/>
          </w:tcPr>
          <w:p w14:paraId="0A2C528C">
            <w:pPr>
              <w:pStyle w:val="17"/>
              <w:spacing w:before="20" w:line="278" w:lineRule="auto"/>
              <w:ind w:left="107" w:right="1"/>
              <w:jc w:val="left"/>
              <w:rPr>
                <w:sz w:val="21"/>
              </w:rPr>
            </w:pPr>
            <w:r>
              <w:rPr>
                <w:rFonts w:ascii="Times New Roman" w:eastAsia="Times New Roman"/>
                <w:w w:val="95"/>
                <w:sz w:val="21"/>
              </w:rPr>
              <w:t>(</w:t>
            </w:r>
            <w:r>
              <w:rPr>
                <w:w w:val="95"/>
                <w:sz w:val="21"/>
              </w:rPr>
              <w:t>一</w:t>
            </w:r>
            <w:r>
              <w:rPr>
                <w:rFonts w:ascii="Times New Roman" w:eastAsia="Times New Roman"/>
                <w:w w:val="95"/>
                <w:sz w:val="21"/>
              </w:rPr>
              <w:t>)</w:t>
            </w:r>
            <w:r>
              <w:rPr>
                <w:w w:val="95"/>
                <w:sz w:val="21"/>
              </w:rPr>
              <w:t>做好功能布局，严格执行准入要求。</w:t>
            </w:r>
            <w:r>
              <w:rPr>
                <w:sz w:val="21"/>
              </w:rPr>
              <w:t>园区应从环境相 容性的角度优化区域功能布局，将空间管控要求融入园区规</w:t>
            </w:r>
            <w:r>
              <w:rPr>
                <w:spacing w:val="-9"/>
                <w:sz w:val="21"/>
              </w:rPr>
              <w:t>划实 施全过程，以减小工业开发对城市居住及社会服务功能的影响。新市片西片区</w:t>
            </w:r>
            <w:r>
              <w:rPr>
                <w:rFonts w:ascii="Times New Roman" w:eastAsia="Times New Roman"/>
                <w:spacing w:val="-9"/>
                <w:sz w:val="21"/>
              </w:rPr>
              <w:t>(</w:t>
            </w:r>
            <w:r>
              <w:rPr>
                <w:spacing w:val="-9"/>
                <w:sz w:val="21"/>
              </w:rPr>
              <w:t>区块一</w:t>
            </w:r>
            <w:r>
              <w:rPr>
                <w:rFonts w:ascii="Times New Roman" w:eastAsia="Times New Roman"/>
                <w:spacing w:val="-9"/>
                <w:sz w:val="21"/>
              </w:rPr>
              <w:t>)</w:t>
            </w:r>
            <w:r>
              <w:rPr>
                <w:spacing w:val="-9"/>
                <w:sz w:val="21"/>
              </w:rPr>
              <w:t xml:space="preserve">部分区域现状已与集中居 </w:t>
            </w:r>
            <w:r>
              <w:rPr>
                <w:spacing w:val="-12"/>
                <w:sz w:val="21"/>
              </w:rPr>
              <w:t>住区交错布局， 该区域不再新引入以气型污染为主的、涉及重大风险源的工业</w:t>
            </w:r>
            <w:r>
              <w:rPr>
                <w:spacing w:val="-10"/>
                <w:sz w:val="21"/>
              </w:rPr>
              <w:t>项 目，紧邻集中居住区的工业用地，后</w:t>
            </w:r>
            <w:r>
              <w:rPr>
                <w:spacing w:val="-13"/>
                <w:sz w:val="21"/>
              </w:rPr>
              <w:t>续应优化产业调整，逐步转 为按一类工业用地规划布局，其现状已存在的二类工业企业不得 新增污染物排放；新市片东片区</w:t>
            </w:r>
            <w:r>
              <w:rPr>
                <w:rFonts w:ascii="Times New Roman" w:eastAsia="Times New Roman"/>
                <w:spacing w:val="-13"/>
                <w:sz w:val="21"/>
              </w:rPr>
              <w:t>(</w:t>
            </w:r>
            <w:r>
              <w:rPr>
                <w:spacing w:val="-13"/>
                <w:sz w:val="21"/>
              </w:rPr>
              <w:t>区块二</w:t>
            </w:r>
            <w:r>
              <w:rPr>
                <w:rFonts w:ascii="Times New Roman" w:eastAsia="Times New Roman"/>
                <w:spacing w:val="-13"/>
                <w:sz w:val="21"/>
              </w:rPr>
              <w:t>)</w:t>
            </w:r>
            <w:r>
              <w:rPr>
                <w:spacing w:val="31"/>
                <w:sz w:val="21"/>
              </w:rPr>
              <w:t>沿</w:t>
            </w:r>
            <w:r>
              <w:rPr>
                <w:rFonts w:ascii="Times New Roman" w:eastAsia="Times New Roman"/>
                <w:sz w:val="21"/>
              </w:rPr>
              <w:t>G107</w:t>
            </w:r>
            <w:r>
              <w:rPr>
                <w:rFonts w:ascii="Times New Roman" w:eastAsia="Times New Roman"/>
                <w:spacing w:val="-23"/>
                <w:sz w:val="21"/>
              </w:rPr>
              <w:t xml:space="preserve"> </w:t>
            </w:r>
            <w:r>
              <w:rPr>
                <w:spacing w:val="-15"/>
                <w:sz w:val="21"/>
              </w:rPr>
              <w:t>国道、老街路 侧存在连片居住用地，建议毗邻居住用地</w:t>
            </w:r>
            <w:r>
              <w:rPr>
                <w:spacing w:val="-16"/>
                <w:sz w:val="21"/>
              </w:rPr>
              <w:t>的区域不作为三类工业 用地规划，该区域已存在的工业企业不得新增污染物排</w:t>
            </w:r>
            <w:r>
              <w:rPr>
                <w:spacing w:val="-11"/>
                <w:sz w:val="21"/>
              </w:rPr>
              <w:t>放。弼时 片区</w:t>
            </w:r>
            <w:r>
              <w:rPr>
                <w:rFonts w:ascii="Times New Roman" w:eastAsia="Times New Roman"/>
                <w:sz w:val="21"/>
              </w:rPr>
              <w:t>(</w:t>
            </w:r>
            <w:r>
              <w:rPr>
                <w:sz w:val="21"/>
              </w:rPr>
              <w:t>区块三</w:t>
            </w:r>
            <w:r>
              <w:rPr>
                <w:rFonts w:ascii="Times New Roman" w:eastAsia="Times New Roman"/>
                <w:sz w:val="21"/>
              </w:rPr>
              <w:t>)</w:t>
            </w:r>
            <w:r>
              <w:rPr>
                <w:sz w:val="21"/>
              </w:rPr>
              <w:t>中北部保障性住</w:t>
            </w:r>
            <w:r>
              <w:rPr>
                <w:spacing w:val="-1"/>
                <w:sz w:val="21"/>
              </w:rPr>
              <w:t>房仅限于园区企业员工倒班宿舍 使用； 建议该片区东北部和西南部规划的居住</w:t>
            </w:r>
            <w:r>
              <w:rPr>
                <w:spacing w:val="-7"/>
                <w:sz w:val="21"/>
              </w:rPr>
              <w:t xml:space="preserve">用地调整为一类工 业用地。产业布局方面应落实《报告书》提出的调整建议， </w:t>
            </w:r>
            <w:r>
              <w:rPr>
                <w:sz w:val="21"/>
              </w:rPr>
              <w:t>产业 引进应落实园区生态分区环境管</w:t>
            </w:r>
            <w:r>
              <w:rPr>
                <w:spacing w:val="-8"/>
                <w:sz w:val="21"/>
              </w:rPr>
              <w:t>控要求，执行《报告书》提出的 产业定</w:t>
            </w:r>
          </w:p>
          <w:p w14:paraId="2CE03B41">
            <w:pPr>
              <w:pStyle w:val="17"/>
              <w:spacing w:line="266" w:lineRule="exact"/>
              <w:ind w:left="549"/>
              <w:jc w:val="left"/>
              <w:rPr>
                <w:sz w:val="21"/>
              </w:rPr>
            </w:pPr>
            <w:r>
              <w:rPr>
                <w:sz w:val="21"/>
              </w:rPr>
              <w:t>位和产业生态环境准入清单。</w:t>
            </w:r>
          </w:p>
        </w:tc>
        <w:tc>
          <w:tcPr>
            <w:tcW w:w="3052" w:type="dxa"/>
          </w:tcPr>
          <w:p w14:paraId="7D725E31">
            <w:pPr>
              <w:pStyle w:val="17"/>
              <w:jc w:val="left"/>
              <w:rPr>
                <w:b/>
                <w:sz w:val="20"/>
              </w:rPr>
            </w:pPr>
          </w:p>
          <w:p w14:paraId="05A7BDC4">
            <w:pPr>
              <w:pStyle w:val="17"/>
              <w:jc w:val="left"/>
              <w:rPr>
                <w:b/>
                <w:sz w:val="20"/>
              </w:rPr>
            </w:pPr>
          </w:p>
          <w:p w14:paraId="43ACE248">
            <w:pPr>
              <w:pStyle w:val="17"/>
              <w:jc w:val="left"/>
              <w:rPr>
                <w:b/>
                <w:sz w:val="20"/>
              </w:rPr>
            </w:pPr>
          </w:p>
          <w:p w14:paraId="6972F599">
            <w:pPr>
              <w:pStyle w:val="17"/>
              <w:jc w:val="left"/>
              <w:rPr>
                <w:b/>
                <w:sz w:val="20"/>
              </w:rPr>
            </w:pPr>
          </w:p>
          <w:p w14:paraId="23CD220F">
            <w:pPr>
              <w:pStyle w:val="17"/>
              <w:jc w:val="left"/>
              <w:rPr>
                <w:b/>
                <w:sz w:val="20"/>
              </w:rPr>
            </w:pPr>
          </w:p>
          <w:p w14:paraId="5BABC3A0">
            <w:pPr>
              <w:pStyle w:val="17"/>
              <w:jc w:val="left"/>
              <w:rPr>
                <w:b/>
                <w:sz w:val="20"/>
              </w:rPr>
            </w:pPr>
          </w:p>
          <w:p w14:paraId="1C7E77A0">
            <w:pPr>
              <w:pStyle w:val="17"/>
              <w:jc w:val="left"/>
              <w:rPr>
                <w:b/>
                <w:sz w:val="20"/>
              </w:rPr>
            </w:pPr>
          </w:p>
          <w:p w14:paraId="2E29B4DB">
            <w:pPr>
              <w:pStyle w:val="17"/>
              <w:spacing w:before="11"/>
              <w:jc w:val="left"/>
              <w:rPr>
                <w:b/>
                <w:sz w:val="19"/>
              </w:rPr>
            </w:pPr>
          </w:p>
          <w:p w14:paraId="29A27241">
            <w:pPr>
              <w:pStyle w:val="17"/>
              <w:spacing w:line="278" w:lineRule="auto"/>
              <w:ind w:left="107" w:right="97"/>
              <w:rPr>
                <w:sz w:val="21"/>
              </w:rPr>
            </w:pPr>
            <w:r>
              <w:rPr>
                <w:spacing w:val="-8"/>
                <w:w w:val="95"/>
                <w:sz w:val="21"/>
              </w:rPr>
              <w:t>本项目位于新市片区东片区，租</w:t>
            </w:r>
            <w:r>
              <w:rPr>
                <w:spacing w:val="-8"/>
                <w:sz w:val="21"/>
              </w:rPr>
              <w:t>赁中塑新材料公司现有闲置厂</w:t>
            </w:r>
            <w:r>
              <w:rPr>
                <w:spacing w:val="-13"/>
                <w:w w:val="95"/>
                <w:sz w:val="21"/>
              </w:rPr>
              <w:t>房进行建设，四周均为企业，距</w:t>
            </w:r>
            <w:r>
              <w:rPr>
                <w:spacing w:val="-13"/>
                <w:sz w:val="21"/>
              </w:rPr>
              <w:t>离居民区较远。</w:t>
            </w:r>
          </w:p>
          <w:p w14:paraId="280E6E95">
            <w:pPr>
              <w:pStyle w:val="17"/>
              <w:spacing w:line="269" w:lineRule="exact"/>
              <w:ind w:left="160"/>
              <w:jc w:val="left"/>
              <w:rPr>
                <w:sz w:val="21"/>
              </w:rPr>
            </w:pPr>
            <w:r>
              <w:rPr>
                <w:sz w:val="21"/>
              </w:rPr>
              <w:t>本项目使用已破碎清洗后的废</w:t>
            </w:r>
          </w:p>
          <w:p w14:paraId="26BC07FD">
            <w:pPr>
              <w:pStyle w:val="17"/>
              <w:spacing w:before="43" w:line="278" w:lineRule="auto"/>
              <w:ind w:left="107" w:right="97" w:hanging="3"/>
              <w:rPr>
                <w:sz w:val="21"/>
              </w:rPr>
            </w:pPr>
            <w:r>
              <w:rPr>
                <w:rFonts w:ascii="Times New Roman" w:eastAsia="Times New Roman"/>
                <w:sz w:val="21"/>
              </w:rPr>
              <w:t>PE</w:t>
            </w:r>
            <w:r>
              <w:rPr>
                <w:rFonts w:ascii="Times New Roman" w:eastAsia="Times New Roman"/>
                <w:spacing w:val="-2"/>
                <w:sz w:val="21"/>
              </w:rPr>
              <w:t xml:space="preserve"> </w:t>
            </w:r>
            <w:r>
              <w:rPr>
                <w:spacing w:val="-6"/>
                <w:sz w:val="21"/>
              </w:rPr>
              <w:t xml:space="preserve">塑料经熔融造粒后的 </w:t>
            </w:r>
            <w:r>
              <w:rPr>
                <w:rFonts w:ascii="Times New Roman" w:eastAsia="Times New Roman"/>
                <w:sz w:val="21"/>
              </w:rPr>
              <w:t>PE</w:t>
            </w:r>
            <w:r>
              <w:rPr>
                <w:rFonts w:ascii="Times New Roman" w:eastAsia="Times New Roman"/>
                <w:spacing w:val="-4"/>
                <w:sz w:val="21"/>
              </w:rPr>
              <w:t xml:space="preserve"> </w:t>
            </w:r>
            <w:r>
              <w:rPr>
                <w:sz w:val="21"/>
              </w:rPr>
              <w:t>再</w:t>
            </w:r>
            <w:r>
              <w:rPr>
                <w:spacing w:val="2"/>
                <w:sz w:val="21"/>
              </w:rPr>
              <w:t>生塑料颗粒作为原料与</w:t>
            </w:r>
            <w:r>
              <w:rPr>
                <w:rFonts w:ascii="Times New Roman" w:eastAsia="Times New Roman"/>
                <w:sz w:val="21"/>
              </w:rPr>
              <w:t>PE</w:t>
            </w:r>
            <w:r>
              <w:rPr>
                <w:rFonts w:ascii="Times New Roman" w:eastAsia="Times New Roman"/>
                <w:spacing w:val="-24"/>
                <w:sz w:val="21"/>
              </w:rPr>
              <w:t xml:space="preserve"> </w:t>
            </w:r>
            <w:r>
              <w:rPr>
                <w:sz w:val="21"/>
              </w:rPr>
              <w:t>新料等原辅料混合后生产排水板系</w:t>
            </w:r>
            <w:r>
              <w:rPr>
                <w:spacing w:val="-12"/>
                <w:w w:val="95"/>
                <w:sz w:val="21"/>
              </w:rPr>
              <w:t>列产品，属于塑料制品制造，项</w:t>
            </w:r>
            <w:r>
              <w:rPr>
                <w:spacing w:val="-12"/>
                <w:sz w:val="21"/>
              </w:rPr>
              <w:t>目不属于负面清单中规定的行业，符合园区定位要求。</w:t>
            </w:r>
          </w:p>
        </w:tc>
        <w:tc>
          <w:tcPr>
            <w:tcW w:w="913" w:type="dxa"/>
            <w:tcBorders>
              <w:right w:val="nil"/>
            </w:tcBorders>
          </w:tcPr>
          <w:p w14:paraId="043ECCD5">
            <w:pPr>
              <w:pStyle w:val="17"/>
              <w:jc w:val="left"/>
              <w:rPr>
                <w:b/>
                <w:sz w:val="20"/>
              </w:rPr>
            </w:pPr>
          </w:p>
          <w:p w14:paraId="51E6DC53">
            <w:pPr>
              <w:pStyle w:val="17"/>
              <w:jc w:val="left"/>
              <w:rPr>
                <w:b/>
                <w:sz w:val="20"/>
              </w:rPr>
            </w:pPr>
          </w:p>
          <w:p w14:paraId="644B59EE">
            <w:pPr>
              <w:pStyle w:val="17"/>
              <w:jc w:val="left"/>
              <w:rPr>
                <w:b/>
                <w:sz w:val="20"/>
              </w:rPr>
            </w:pPr>
          </w:p>
          <w:p w14:paraId="547B44AB">
            <w:pPr>
              <w:pStyle w:val="17"/>
              <w:jc w:val="left"/>
              <w:rPr>
                <w:b/>
                <w:sz w:val="20"/>
              </w:rPr>
            </w:pPr>
          </w:p>
          <w:p w14:paraId="4F6B1C79">
            <w:pPr>
              <w:pStyle w:val="17"/>
              <w:jc w:val="left"/>
              <w:rPr>
                <w:b/>
                <w:sz w:val="20"/>
              </w:rPr>
            </w:pPr>
          </w:p>
          <w:p w14:paraId="675CBE07">
            <w:pPr>
              <w:pStyle w:val="17"/>
              <w:jc w:val="left"/>
              <w:rPr>
                <w:b/>
                <w:sz w:val="20"/>
              </w:rPr>
            </w:pPr>
          </w:p>
          <w:p w14:paraId="5811F549">
            <w:pPr>
              <w:pStyle w:val="17"/>
              <w:jc w:val="left"/>
              <w:rPr>
                <w:b/>
                <w:sz w:val="20"/>
              </w:rPr>
            </w:pPr>
          </w:p>
          <w:p w14:paraId="6320225E">
            <w:pPr>
              <w:pStyle w:val="17"/>
              <w:jc w:val="left"/>
              <w:rPr>
                <w:b/>
                <w:sz w:val="20"/>
              </w:rPr>
            </w:pPr>
          </w:p>
          <w:p w14:paraId="5ADD0490">
            <w:pPr>
              <w:pStyle w:val="17"/>
              <w:jc w:val="left"/>
              <w:rPr>
                <w:b/>
                <w:sz w:val="20"/>
              </w:rPr>
            </w:pPr>
          </w:p>
          <w:p w14:paraId="4869FA31">
            <w:pPr>
              <w:pStyle w:val="17"/>
              <w:jc w:val="left"/>
              <w:rPr>
                <w:b/>
                <w:sz w:val="20"/>
              </w:rPr>
            </w:pPr>
          </w:p>
          <w:p w14:paraId="31EE47C0">
            <w:pPr>
              <w:pStyle w:val="17"/>
              <w:jc w:val="left"/>
              <w:rPr>
                <w:b/>
                <w:sz w:val="20"/>
              </w:rPr>
            </w:pPr>
          </w:p>
          <w:p w14:paraId="5E3F60AF">
            <w:pPr>
              <w:pStyle w:val="17"/>
              <w:jc w:val="left"/>
              <w:rPr>
                <w:b/>
                <w:sz w:val="20"/>
              </w:rPr>
            </w:pPr>
          </w:p>
          <w:p w14:paraId="2D759ABB">
            <w:pPr>
              <w:pStyle w:val="17"/>
              <w:jc w:val="left"/>
              <w:rPr>
                <w:b/>
                <w:sz w:val="20"/>
              </w:rPr>
            </w:pPr>
          </w:p>
          <w:p w14:paraId="3103ED85">
            <w:pPr>
              <w:pStyle w:val="17"/>
              <w:spacing w:before="8"/>
              <w:jc w:val="left"/>
              <w:rPr>
                <w:b/>
                <w:sz w:val="21"/>
              </w:rPr>
            </w:pPr>
          </w:p>
          <w:p w14:paraId="6DCF811B">
            <w:pPr>
              <w:pStyle w:val="17"/>
              <w:ind w:left="2" w:right="2"/>
              <w:rPr>
                <w:sz w:val="21"/>
              </w:rPr>
            </w:pPr>
            <w:r>
              <w:rPr>
                <w:sz w:val="21"/>
              </w:rPr>
              <w:t>符合</w:t>
            </w:r>
          </w:p>
        </w:tc>
      </w:tr>
    </w:tbl>
    <w:p w14:paraId="2D03DE3E">
      <w:pPr>
        <w:spacing w:after="0"/>
        <w:rPr>
          <w:sz w:val="21"/>
        </w:rPr>
        <w:sectPr>
          <w:pgSz w:w="11910" w:h="16840"/>
          <w:pgMar w:top="1440" w:right="1440" w:bottom="1220" w:left="1580" w:header="0" w:footer="944" w:gutter="0"/>
          <w:cols w:space="720" w:num="1"/>
        </w:sectPr>
      </w:pPr>
    </w:p>
    <w:tbl>
      <w:tblPr>
        <w:tblStyle w:val="13"/>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25D02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4" w:hRule="atLeast"/>
        </w:trPr>
        <w:tc>
          <w:tcPr>
            <w:tcW w:w="533" w:type="dxa"/>
            <w:tcBorders>
              <w:left w:val="nil"/>
            </w:tcBorders>
          </w:tcPr>
          <w:p w14:paraId="10D77C87">
            <w:pPr>
              <w:pStyle w:val="17"/>
              <w:jc w:val="left"/>
              <w:rPr>
                <w:b/>
                <w:sz w:val="22"/>
              </w:rPr>
            </w:pPr>
          </w:p>
          <w:p w14:paraId="24A951CD">
            <w:pPr>
              <w:pStyle w:val="17"/>
              <w:jc w:val="left"/>
              <w:rPr>
                <w:b/>
                <w:sz w:val="22"/>
              </w:rPr>
            </w:pPr>
          </w:p>
          <w:p w14:paraId="00594777">
            <w:pPr>
              <w:pStyle w:val="17"/>
              <w:jc w:val="left"/>
              <w:rPr>
                <w:b/>
                <w:sz w:val="22"/>
              </w:rPr>
            </w:pPr>
          </w:p>
          <w:p w14:paraId="5CB21823">
            <w:pPr>
              <w:pStyle w:val="17"/>
              <w:jc w:val="left"/>
              <w:rPr>
                <w:b/>
                <w:sz w:val="22"/>
              </w:rPr>
            </w:pPr>
          </w:p>
          <w:p w14:paraId="2FB22A66">
            <w:pPr>
              <w:pStyle w:val="17"/>
              <w:jc w:val="left"/>
              <w:rPr>
                <w:b/>
                <w:sz w:val="22"/>
              </w:rPr>
            </w:pPr>
          </w:p>
          <w:p w14:paraId="1A61158D">
            <w:pPr>
              <w:pStyle w:val="17"/>
              <w:jc w:val="left"/>
              <w:rPr>
                <w:b/>
                <w:sz w:val="22"/>
              </w:rPr>
            </w:pPr>
          </w:p>
          <w:p w14:paraId="03A13CF9">
            <w:pPr>
              <w:pStyle w:val="17"/>
              <w:jc w:val="left"/>
              <w:rPr>
                <w:b/>
                <w:sz w:val="22"/>
              </w:rPr>
            </w:pPr>
          </w:p>
          <w:p w14:paraId="01DCA3A6">
            <w:pPr>
              <w:pStyle w:val="17"/>
              <w:jc w:val="left"/>
              <w:rPr>
                <w:b/>
                <w:sz w:val="22"/>
              </w:rPr>
            </w:pPr>
          </w:p>
          <w:p w14:paraId="6AA443F2">
            <w:pPr>
              <w:pStyle w:val="17"/>
              <w:jc w:val="left"/>
              <w:rPr>
                <w:b/>
                <w:sz w:val="22"/>
              </w:rPr>
            </w:pPr>
          </w:p>
          <w:p w14:paraId="032E1CAB">
            <w:pPr>
              <w:pStyle w:val="17"/>
              <w:jc w:val="left"/>
              <w:rPr>
                <w:b/>
                <w:sz w:val="22"/>
              </w:rPr>
            </w:pPr>
          </w:p>
          <w:p w14:paraId="372BEE78">
            <w:pPr>
              <w:pStyle w:val="17"/>
              <w:jc w:val="left"/>
              <w:rPr>
                <w:b/>
                <w:sz w:val="22"/>
              </w:rPr>
            </w:pPr>
          </w:p>
          <w:p w14:paraId="6FD1E8D5">
            <w:pPr>
              <w:pStyle w:val="17"/>
              <w:jc w:val="left"/>
              <w:rPr>
                <w:b/>
                <w:sz w:val="22"/>
              </w:rPr>
            </w:pPr>
          </w:p>
          <w:p w14:paraId="2A312275">
            <w:pPr>
              <w:pStyle w:val="17"/>
              <w:jc w:val="left"/>
              <w:rPr>
                <w:b/>
                <w:sz w:val="22"/>
              </w:rPr>
            </w:pPr>
          </w:p>
          <w:p w14:paraId="56529BE0">
            <w:pPr>
              <w:pStyle w:val="17"/>
              <w:jc w:val="left"/>
              <w:rPr>
                <w:b/>
                <w:sz w:val="22"/>
              </w:rPr>
            </w:pPr>
          </w:p>
          <w:p w14:paraId="79B83A3A">
            <w:pPr>
              <w:pStyle w:val="17"/>
              <w:jc w:val="left"/>
              <w:rPr>
                <w:b/>
                <w:sz w:val="22"/>
              </w:rPr>
            </w:pPr>
          </w:p>
          <w:p w14:paraId="03FDCB68">
            <w:pPr>
              <w:pStyle w:val="17"/>
              <w:jc w:val="left"/>
              <w:rPr>
                <w:b/>
                <w:sz w:val="22"/>
              </w:rPr>
            </w:pPr>
          </w:p>
          <w:p w14:paraId="3E4A64A8">
            <w:pPr>
              <w:pStyle w:val="17"/>
              <w:spacing w:before="2"/>
              <w:jc w:val="left"/>
              <w:rPr>
                <w:b/>
                <w:sz w:val="28"/>
              </w:rPr>
            </w:pPr>
          </w:p>
          <w:p w14:paraId="0C4FEAF2">
            <w:pPr>
              <w:pStyle w:val="17"/>
              <w:ind w:left="14"/>
              <w:rPr>
                <w:rFonts w:ascii="Times New Roman"/>
                <w:sz w:val="21"/>
              </w:rPr>
            </w:pPr>
            <w:r>
              <w:rPr>
                <w:rFonts w:ascii="Times New Roman"/>
                <w:w w:val="99"/>
                <w:sz w:val="21"/>
              </w:rPr>
              <w:t>3</w:t>
            </w:r>
          </w:p>
        </w:tc>
        <w:tc>
          <w:tcPr>
            <w:tcW w:w="3828" w:type="dxa"/>
          </w:tcPr>
          <w:p w14:paraId="03558F91">
            <w:pPr>
              <w:pStyle w:val="17"/>
              <w:spacing w:before="21" w:line="278" w:lineRule="auto"/>
              <w:ind w:left="107" w:right="-15"/>
              <w:jc w:val="left"/>
              <w:rPr>
                <w:sz w:val="21"/>
              </w:rPr>
            </w:pPr>
            <w:r>
              <w:rPr>
                <w:rFonts w:ascii="Times New Roman" w:eastAsia="Times New Roman"/>
                <w:sz w:val="21"/>
              </w:rPr>
              <w:t>(</w:t>
            </w:r>
            <w:r>
              <w:rPr>
                <w:sz w:val="21"/>
              </w:rPr>
              <w:t>二</w:t>
            </w:r>
            <w:r>
              <w:rPr>
                <w:rFonts w:ascii="Times New Roman" w:eastAsia="Times New Roman"/>
                <w:sz w:val="21"/>
              </w:rPr>
              <w:t>)</w:t>
            </w:r>
            <w:r>
              <w:rPr>
                <w:sz w:val="21"/>
              </w:rPr>
              <w:t>落实管控措施，加强园区污染治理。园区应切实抓好污水处理设施及配套管网的建设和运维，做好雨污分流、污污</w:t>
            </w:r>
            <w:r>
              <w:rPr>
                <w:spacing w:val="-9"/>
                <w:sz w:val="21"/>
              </w:rPr>
              <w:t>分 流，确保园区各片区生产生活废水应</w:t>
            </w:r>
            <w:r>
              <w:rPr>
                <w:spacing w:val="-10"/>
                <w:sz w:val="21"/>
              </w:rPr>
              <w:t>收尽收。做好新市片循环园污水处理厂、重金属污水处理厂、弼时片区污水处理设施及管网的建设与完善，确保污水处</w:t>
            </w:r>
            <w:r>
              <w:rPr>
                <w:spacing w:val="-14"/>
                <w:sz w:val="21"/>
              </w:rPr>
              <w:t>理设施及管网与项目建设同步规划、 同步建设、同步投入运营；落实关于水污染防治、排水方案优化、环保基础设施建设运行等方面的规定要求。园区应落实国、省关于重点行业建设项目主要污染物排放区域削减的相关要求，着重从本园区现有企业深度治理、提质改造方面深挖减排潜力，重点控制相关特征污</w:t>
            </w:r>
            <w:r>
              <w:rPr>
                <w:spacing w:val="-17"/>
                <w:sz w:val="21"/>
              </w:rPr>
              <w:t xml:space="preserve">染物的无组织排放，加大 </w:t>
            </w:r>
            <w:r>
              <w:rPr>
                <w:rFonts w:ascii="Times New Roman" w:eastAsia="Times New Roman"/>
                <w:sz w:val="21"/>
              </w:rPr>
              <w:t>VOCs</w:t>
            </w:r>
            <w:r>
              <w:rPr>
                <w:rFonts w:ascii="Times New Roman" w:eastAsia="Times New Roman"/>
                <w:spacing w:val="-1"/>
                <w:sz w:val="21"/>
              </w:rPr>
              <w:t xml:space="preserve"> </w:t>
            </w:r>
            <w:r>
              <w:rPr>
                <w:sz w:val="21"/>
              </w:rPr>
              <w:t>及恶臭</w:t>
            </w:r>
            <w:r>
              <w:rPr>
                <w:rFonts w:ascii="Times New Roman" w:eastAsia="Times New Roman"/>
                <w:sz w:val="21"/>
              </w:rPr>
              <w:t xml:space="preserve">/ </w:t>
            </w:r>
            <w:r>
              <w:rPr>
                <w:sz w:val="21"/>
              </w:rPr>
              <w:t>异味治理排放的整治力度，对重点排放企业予以严格监管，确保其处理设施稳妥、持续有效运行，严格落实大气污染防治特护期及重污染天气应急响应的相关减排要求。做好工业固体废物和生活</w:t>
            </w:r>
            <w:r>
              <w:rPr>
                <w:spacing w:val="-8"/>
                <w:sz w:val="21"/>
              </w:rPr>
              <w:t>垃圾的 分类收集、转运、综合利用和无害化处理，建立完善的固废管理体系。对危险废物应严格按照国家有关规定综</w:t>
            </w:r>
            <w:r>
              <w:rPr>
                <w:spacing w:val="-12"/>
                <w:sz w:val="21"/>
              </w:rPr>
              <w:t>合利用或妥善处置， 对危险废物产生企业和经营单位，应强化日常环境监管。园区须严格落实排污许可制度和污染物排放总量控制，推动入园企业按规定要求开展清洁生产审核，减少污染物的排放量。园区应落实第三方环境治理工作相关政策要求，强化对园区重点产排污</w:t>
            </w:r>
          </w:p>
          <w:p w14:paraId="03B9E501">
            <w:pPr>
              <w:pStyle w:val="17"/>
              <w:spacing w:line="266" w:lineRule="exact"/>
              <w:ind w:left="969"/>
              <w:jc w:val="left"/>
              <w:rPr>
                <w:sz w:val="21"/>
              </w:rPr>
            </w:pPr>
            <w:r>
              <w:rPr>
                <w:sz w:val="21"/>
              </w:rPr>
              <w:t>企业的监管与服务。</w:t>
            </w:r>
          </w:p>
        </w:tc>
        <w:tc>
          <w:tcPr>
            <w:tcW w:w="3052" w:type="dxa"/>
          </w:tcPr>
          <w:p w14:paraId="38ACA34B">
            <w:pPr>
              <w:pStyle w:val="17"/>
              <w:jc w:val="left"/>
              <w:rPr>
                <w:b/>
                <w:sz w:val="20"/>
              </w:rPr>
            </w:pPr>
          </w:p>
          <w:p w14:paraId="66D3000D">
            <w:pPr>
              <w:pStyle w:val="17"/>
              <w:jc w:val="left"/>
              <w:rPr>
                <w:b/>
                <w:sz w:val="20"/>
              </w:rPr>
            </w:pPr>
          </w:p>
          <w:p w14:paraId="6648DCDD">
            <w:pPr>
              <w:pStyle w:val="17"/>
              <w:jc w:val="left"/>
              <w:rPr>
                <w:b/>
                <w:sz w:val="20"/>
              </w:rPr>
            </w:pPr>
          </w:p>
          <w:p w14:paraId="52BF2DAD">
            <w:pPr>
              <w:pStyle w:val="17"/>
              <w:jc w:val="left"/>
              <w:rPr>
                <w:b/>
                <w:sz w:val="20"/>
              </w:rPr>
            </w:pPr>
          </w:p>
          <w:p w14:paraId="43D5BBFC">
            <w:pPr>
              <w:pStyle w:val="17"/>
              <w:jc w:val="left"/>
              <w:rPr>
                <w:b/>
                <w:sz w:val="20"/>
              </w:rPr>
            </w:pPr>
          </w:p>
          <w:p w14:paraId="61E11E08">
            <w:pPr>
              <w:pStyle w:val="17"/>
              <w:jc w:val="left"/>
              <w:rPr>
                <w:b/>
                <w:sz w:val="20"/>
              </w:rPr>
            </w:pPr>
          </w:p>
          <w:p w14:paraId="437CF9A2">
            <w:pPr>
              <w:pStyle w:val="17"/>
              <w:jc w:val="left"/>
              <w:rPr>
                <w:b/>
                <w:sz w:val="20"/>
              </w:rPr>
            </w:pPr>
          </w:p>
          <w:p w14:paraId="1EE0A68B">
            <w:pPr>
              <w:pStyle w:val="17"/>
              <w:spacing w:before="12"/>
              <w:jc w:val="left"/>
              <w:rPr>
                <w:b/>
                <w:sz w:val="19"/>
              </w:rPr>
            </w:pPr>
          </w:p>
          <w:p w14:paraId="092ADB87">
            <w:pPr>
              <w:pStyle w:val="17"/>
              <w:spacing w:line="278" w:lineRule="auto"/>
              <w:ind w:left="107" w:right="51" w:hanging="46"/>
              <w:rPr>
                <w:sz w:val="21"/>
              </w:rPr>
            </w:pPr>
            <w:r>
              <w:rPr>
                <w:spacing w:val="-9"/>
                <w:sz w:val="21"/>
              </w:rPr>
              <w:t>本项目严格实施雨污分流，项目与生活污水依托中塑新材料公司已建的化粪池处理后经市政污水管网进入汨罗市城市污水</w:t>
            </w:r>
            <w:r>
              <w:rPr>
                <w:spacing w:val="-13"/>
                <w:sz w:val="21"/>
              </w:rPr>
              <w:t>处理厂处理。本项目本项目破碎</w:t>
            </w:r>
            <w:r>
              <w:rPr>
                <w:spacing w:val="-12"/>
                <w:sz w:val="21"/>
              </w:rPr>
              <w:t>粉尘、混料粉尘采用全密闭收集罩收集后经布袋除尘器处理后</w:t>
            </w:r>
            <w:r>
              <w:rPr>
                <w:spacing w:val="-34"/>
                <w:sz w:val="21"/>
              </w:rPr>
              <w:t xml:space="preserve">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DA001 </w:t>
            </w:r>
            <w:r>
              <w:rPr>
                <w:sz w:val="21"/>
              </w:rPr>
              <w:t>排放； 挤出造粒废气和挤出注塑废气采用全密闭负压收集罩收集后经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 xml:space="preserve">二级 </w:t>
            </w:r>
            <w:r>
              <w:rPr>
                <w:spacing w:val="-5"/>
                <w:sz w:val="21"/>
              </w:rPr>
              <w:t xml:space="preserve">活性炭吸附处理达标后经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DA002 </w:t>
            </w:r>
            <w:r>
              <w:rPr>
                <w:sz w:val="21"/>
              </w:rPr>
              <w:t>排放。生活垃</w:t>
            </w:r>
            <w:r>
              <w:rPr>
                <w:spacing w:val="-9"/>
                <w:sz w:val="21"/>
              </w:rPr>
              <w:t>圾交由环卫部门回收处理；一般</w:t>
            </w:r>
            <w:r>
              <w:rPr>
                <w:spacing w:val="-15"/>
                <w:sz w:val="21"/>
              </w:rPr>
              <w:t>固废分类收集后综合利用；危险</w:t>
            </w:r>
            <w:r>
              <w:rPr>
                <w:spacing w:val="-21"/>
                <w:sz w:val="21"/>
              </w:rPr>
              <w:t>废物交由有资质单位处置。项目</w:t>
            </w:r>
            <w:r>
              <w:rPr>
                <w:spacing w:val="-25"/>
                <w:sz w:val="21"/>
              </w:rPr>
              <w:t>将编制环境风险应急预案，并按要求落实排污许可制度和污染物排放总量控制。</w:t>
            </w:r>
          </w:p>
        </w:tc>
        <w:tc>
          <w:tcPr>
            <w:tcW w:w="913" w:type="dxa"/>
            <w:tcBorders>
              <w:right w:val="nil"/>
            </w:tcBorders>
          </w:tcPr>
          <w:p w14:paraId="5C8AF73A">
            <w:pPr>
              <w:pStyle w:val="17"/>
              <w:jc w:val="left"/>
              <w:rPr>
                <w:b/>
                <w:sz w:val="20"/>
              </w:rPr>
            </w:pPr>
          </w:p>
          <w:p w14:paraId="41648C2D">
            <w:pPr>
              <w:pStyle w:val="17"/>
              <w:jc w:val="left"/>
              <w:rPr>
                <w:b/>
                <w:sz w:val="20"/>
              </w:rPr>
            </w:pPr>
          </w:p>
          <w:p w14:paraId="3358DACC">
            <w:pPr>
              <w:pStyle w:val="17"/>
              <w:jc w:val="left"/>
              <w:rPr>
                <w:b/>
                <w:sz w:val="20"/>
              </w:rPr>
            </w:pPr>
          </w:p>
          <w:p w14:paraId="0D7F141A">
            <w:pPr>
              <w:pStyle w:val="17"/>
              <w:jc w:val="left"/>
              <w:rPr>
                <w:b/>
                <w:sz w:val="20"/>
              </w:rPr>
            </w:pPr>
          </w:p>
          <w:p w14:paraId="3CF7039C">
            <w:pPr>
              <w:pStyle w:val="17"/>
              <w:jc w:val="left"/>
              <w:rPr>
                <w:b/>
                <w:sz w:val="20"/>
              </w:rPr>
            </w:pPr>
          </w:p>
          <w:p w14:paraId="5DB272E0">
            <w:pPr>
              <w:pStyle w:val="17"/>
              <w:jc w:val="left"/>
              <w:rPr>
                <w:b/>
                <w:sz w:val="20"/>
              </w:rPr>
            </w:pPr>
          </w:p>
          <w:p w14:paraId="6CF56534">
            <w:pPr>
              <w:pStyle w:val="17"/>
              <w:jc w:val="left"/>
              <w:rPr>
                <w:b/>
                <w:sz w:val="20"/>
              </w:rPr>
            </w:pPr>
          </w:p>
          <w:p w14:paraId="7009C510">
            <w:pPr>
              <w:pStyle w:val="17"/>
              <w:jc w:val="left"/>
              <w:rPr>
                <w:b/>
                <w:sz w:val="20"/>
              </w:rPr>
            </w:pPr>
          </w:p>
          <w:p w14:paraId="13532024">
            <w:pPr>
              <w:pStyle w:val="17"/>
              <w:jc w:val="left"/>
              <w:rPr>
                <w:b/>
                <w:sz w:val="20"/>
              </w:rPr>
            </w:pPr>
          </w:p>
          <w:p w14:paraId="56CB31ED">
            <w:pPr>
              <w:pStyle w:val="17"/>
              <w:jc w:val="left"/>
              <w:rPr>
                <w:b/>
                <w:sz w:val="20"/>
              </w:rPr>
            </w:pPr>
          </w:p>
          <w:p w14:paraId="5526651F">
            <w:pPr>
              <w:pStyle w:val="17"/>
              <w:jc w:val="left"/>
              <w:rPr>
                <w:b/>
                <w:sz w:val="20"/>
              </w:rPr>
            </w:pPr>
          </w:p>
          <w:p w14:paraId="494F1F2F">
            <w:pPr>
              <w:pStyle w:val="17"/>
              <w:jc w:val="left"/>
              <w:rPr>
                <w:b/>
                <w:sz w:val="20"/>
              </w:rPr>
            </w:pPr>
          </w:p>
          <w:p w14:paraId="279E592C">
            <w:pPr>
              <w:pStyle w:val="17"/>
              <w:jc w:val="left"/>
              <w:rPr>
                <w:b/>
                <w:sz w:val="20"/>
              </w:rPr>
            </w:pPr>
          </w:p>
          <w:p w14:paraId="64536B2C">
            <w:pPr>
              <w:pStyle w:val="17"/>
              <w:jc w:val="left"/>
              <w:rPr>
                <w:b/>
                <w:sz w:val="20"/>
              </w:rPr>
            </w:pPr>
          </w:p>
          <w:p w14:paraId="6BF9F85A">
            <w:pPr>
              <w:pStyle w:val="17"/>
              <w:jc w:val="left"/>
              <w:rPr>
                <w:b/>
                <w:sz w:val="20"/>
              </w:rPr>
            </w:pPr>
          </w:p>
          <w:p w14:paraId="1FFD341E">
            <w:pPr>
              <w:pStyle w:val="17"/>
              <w:jc w:val="left"/>
              <w:rPr>
                <w:b/>
                <w:sz w:val="20"/>
              </w:rPr>
            </w:pPr>
          </w:p>
          <w:p w14:paraId="0E4C2697">
            <w:pPr>
              <w:pStyle w:val="17"/>
              <w:jc w:val="left"/>
              <w:rPr>
                <w:b/>
                <w:sz w:val="20"/>
              </w:rPr>
            </w:pPr>
          </w:p>
          <w:p w14:paraId="347EBFCB">
            <w:pPr>
              <w:pStyle w:val="17"/>
              <w:jc w:val="left"/>
              <w:rPr>
                <w:b/>
                <w:sz w:val="20"/>
              </w:rPr>
            </w:pPr>
          </w:p>
          <w:p w14:paraId="690ACEC1">
            <w:pPr>
              <w:pStyle w:val="17"/>
              <w:spacing w:before="1"/>
              <w:jc w:val="left"/>
              <w:rPr>
                <w:b/>
                <w:sz w:val="19"/>
              </w:rPr>
            </w:pPr>
          </w:p>
          <w:p w14:paraId="19ABACED">
            <w:pPr>
              <w:pStyle w:val="17"/>
              <w:ind w:left="2" w:right="2"/>
              <w:rPr>
                <w:sz w:val="21"/>
              </w:rPr>
            </w:pPr>
            <w:r>
              <w:rPr>
                <w:sz w:val="21"/>
              </w:rPr>
              <w:t>符合</w:t>
            </w:r>
          </w:p>
        </w:tc>
      </w:tr>
      <w:tr w14:paraId="15E72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33" w:type="dxa"/>
            <w:tcBorders>
              <w:left w:val="nil"/>
            </w:tcBorders>
          </w:tcPr>
          <w:p w14:paraId="3B486810">
            <w:pPr>
              <w:pStyle w:val="17"/>
              <w:jc w:val="left"/>
              <w:rPr>
                <w:b/>
                <w:sz w:val="22"/>
              </w:rPr>
            </w:pPr>
          </w:p>
          <w:p w14:paraId="436BC078">
            <w:pPr>
              <w:pStyle w:val="17"/>
              <w:jc w:val="left"/>
              <w:rPr>
                <w:b/>
                <w:sz w:val="22"/>
              </w:rPr>
            </w:pPr>
          </w:p>
          <w:p w14:paraId="2ED94D6C">
            <w:pPr>
              <w:pStyle w:val="17"/>
              <w:jc w:val="left"/>
              <w:rPr>
                <w:b/>
                <w:sz w:val="22"/>
              </w:rPr>
            </w:pPr>
          </w:p>
          <w:p w14:paraId="5BF90AFA">
            <w:pPr>
              <w:pStyle w:val="17"/>
              <w:jc w:val="left"/>
              <w:rPr>
                <w:b/>
                <w:sz w:val="22"/>
              </w:rPr>
            </w:pPr>
          </w:p>
          <w:p w14:paraId="71E2491B">
            <w:pPr>
              <w:pStyle w:val="17"/>
              <w:spacing w:before="155"/>
              <w:ind w:left="14"/>
              <w:rPr>
                <w:rFonts w:ascii="Times New Roman"/>
                <w:sz w:val="21"/>
              </w:rPr>
            </w:pPr>
            <w:r>
              <w:rPr>
                <w:rFonts w:ascii="Times New Roman"/>
                <w:w w:val="99"/>
                <w:sz w:val="21"/>
              </w:rPr>
              <w:t>4</w:t>
            </w:r>
          </w:p>
        </w:tc>
        <w:tc>
          <w:tcPr>
            <w:tcW w:w="3828" w:type="dxa"/>
          </w:tcPr>
          <w:p w14:paraId="687A68AA">
            <w:pPr>
              <w:pStyle w:val="17"/>
              <w:spacing w:before="20" w:line="278" w:lineRule="auto"/>
              <w:ind w:left="107" w:right="98" w:hanging="1"/>
              <w:rPr>
                <w:sz w:val="21"/>
              </w:rPr>
            </w:pPr>
            <w:r>
              <w:rPr>
                <w:rFonts w:ascii="Times New Roman" w:eastAsia="Times New Roman"/>
                <w:w w:val="95"/>
                <w:sz w:val="21"/>
              </w:rPr>
              <w:t>(</w:t>
            </w:r>
            <w:r>
              <w:rPr>
                <w:w w:val="95"/>
                <w:sz w:val="21"/>
              </w:rPr>
              <w:t>三</w:t>
            </w:r>
            <w:r>
              <w:rPr>
                <w:rFonts w:ascii="Times New Roman" w:eastAsia="Times New Roman"/>
                <w:w w:val="95"/>
                <w:sz w:val="21"/>
              </w:rPr>
              <w:t>)</w:t>
            </w:r>
            <w:r>
              <w:rPr>
                <w:spacing w:val="-10"/>
                <w:w w:val="95"/>
                <w:sz w:val="21"/>
              </w:rPr>
              <w:t>完善监测体系，监控环境质量变化状</w:t>
            </w:r>
            <w:r>
              <w:rPr>
                <w:spacing w:val="-10"/>
                <w:sz w:val="21"/>
              </w:rPr>
              <w:t xml:space="preserve">况。结合园区规划的功能分区、产业布局、重点企业分布、特征污染物的排放种 类和状况、环境敏感目标分布等，建立健全各环境要素的监控体系。园区应加强对涉重金属排放企业、园区污水处理厂的监督性污染治理措施不正常运 </w:t>
            </w:r>
            <w:r>
              <w:rPr>
                <w:spacing w:val="-10"/>
                <w:w w:val="95"/>
                <w:sz w:val="21"/>
              </w:rPr>
              <w:t>行。督促土壤污染重点监管单位按规定</w:t>
            </w:r>
          </w:p>
          <w:p w14:paraId="20D41678">
            <w:pPr>
              <w:pStyle w:val="17"/>
              <w:spacing w:line="268" w:lineRule="exact"/>
              <w:ind w:left="11" w:right="1"/>
              <w:rPr>
                <w:sz w:val="21"/>
              </w:rPr>
            </w:pPr>
            <w:r>
              <w:rPr>
                <w:w w:val="95"/>
                <w:sz w:val="21"/>
              </w:rPr>
              <w:t>进行土壤污染状况监测及地下水监测。</w:t>
            </w:r>
          </w:p>
        </w:tc>
        <w:tc>
          <w:tcPr>
            <w:tcW w:w="3052" w:type="dxa"/>
          </w:tcPr>
          <w:p w14:paraId="2FE3451C">
            <w:pPr>
              <w:pStyle w:val="17"/>
              <w:jc w:val="left"/>
              <w:rPr>
                <w:b/>
                <w:sz w:val="20"/>
              </w:rPr>
            </w:pPr>
          </w:p>
          <w:p w14:paraId="344D9D82">
            <w:pPr>
              <w:pStyle w:val="17"/>
              <w:jc w:val="left"/>
              <w:rPr>
                <w:b/>
                <w:sz w:val="20"/>
              </w:rPr>
            </w:pPr>
          </w:p>
          <w:p w14:paraId="6821583F">
            <w:pPr>
              <w:pStyle w:val="17"/>
              <w:jc w:val="left"/>
              <w:rPr>
                <w:b/>
                <w:sz w:val="20"/>
              </w:rPr>
            </w:pPr>
          </w:p>
          <w:p w14:paraId="2E3663AE">
            <w:pPr>
              <w:pStyle w:val="17"/>
              <w:spacing w:before="10"/>
              <w:jc w:val="left"/>
              <w:rPr>
                <w:b/>
                <w:sz w:val="26"/>
              </w:rPr>
            </w:pPr>
          </w:p>
          <w:p w14:paraId="7854283E">
            <w:pPr>
              <w:pStyle w:val="17"/>
              <w:spacing w:before="1" w:line="278" w:lineRule="auto"/>
              <w:ind w:left="266" w:right="97" w:hanging="159"/>
              <w:jc w:val="left"/>
              <w:rPr>
                <w:sz w:val="21"/>
              </w:rPr>
            </w:pPr>
            <w:r>
              <w:rPr>
                <w:w w:val="95"/>
                <w:sz w:val="21"/>
              </w:rPr>
              <w:t>本项目已制定环境监测计划，运</w:t>
            </w:r>
            <w:r>
              <w:rPr>
                <w:sz w:val="21"/>
              </w:rPr>
              <w:t>营期将按计划进行环境监测</w:t>
            </w:r>
          </w:p>
        </w:tc>
        <w:tc>
          <w:tcPr>
            <w:tcW w:w="913" w:type="dxa"/>
            <w:tcBorders>
              <w:right w:val="nil"/>
            </w:tcBorders>
          </w:tcPr>
          <w:p w14:paraId="2FEF146A">
            <w:pPr>
              <w:pStyle w:val="17"/>
              <w:jc w:val="left"/>
              <w:rPr>
                <w:b/>
                <w:sz w:val="20"/>
              </w:rPr>
            </w:pPr>
          </w:p>
          <w:p w14:paraId="5F2ACB6B">
            <w:pPr>
              <w:pStyle w:val="17"/>
              <w:jc w:val="left"/>
              <w:rPr>
                <w:b/>
                <w:sz w:val="20"/>
              </w:rPr>
            </w:pPr>
          </w:p>
          <w:p w14:paraId="52B8B697">
            <w:pPr>
              <w:pStyle w:val="17"/>
              <w:jc w:val="left"/>
              <w:rPr>
                <w:b/>
                <w:sz w:val="20"/>
              </w:rPr>
            </w:pPr>
          </w:p>
          <w:p w14:paraId="480F2D73">
            <w:pPr>
              <w:pStyle w:val="17"/>
              <w:jc w:val="left"/>
              <w:rPr>
                <w:b/>
                <w:sz w:val="20"/>
              </w:rPr>
            </w:pPr>
          </w:p>
          <w:p w14:paraId="327042A8">
            <w:pPr>
              <w:pStyle w:val="17"/>
              <w:jc w:val="left"/>
              <w:rPr>
                <w:b/>
                <w:sz w:val="19"/>
              </w:rPr>
            </w:pPr>
          </w:p>
          <w:p w14:paraId="357B56B4">
            <w:pPr>
              <w:pStyle w:val="17"/>
              <w:ind w:left="2" w:right="2"/>
              <w:rPr>
                <w:sz w:val="21"/>
              </w:rPr>
            </w:pPr>
            <w:r>
              <w:rPr>
                <w:sz w:val="21"/>
              </w:rPr>
              <w:t>符合</w:t>
            </w:r>
          </w:p>
        </w:tc>
      </w:tr>
      <w:tr w14:paraId="561A0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33" w:type="dxa"/>
            <w:tcBorders>
              <w:left w:val="nil"/>
            </w:tcBorders>
          </w:tcPr>
          <w:p w14:paraId="1536FDEF">
            <w:pPr>
              <w:pStyle w:val="17"/>
              <w:jc w:val="left"/>
              <w:rPr>
                <w:b/>
                <w:sz w:val="27"/>
              </w:rPr>
            </w:pPr>
          </w:p>
          <w:p w14:paraId="0148D2FC">
            <w:pPr>
              <w:pStyle w:val="17"/>
              <w:ind w:left="14"/>
              <w:rPr>
                <w:rFonts w:ascii="Times New Roman"/>
                <w:sz w:val="21"/>
              </w:rPr>
            </w:pPr>
            <w:r>
              <w:rPr>
                <w:rFonts w:ascii="Times New Roman"/>
                <w:w w:val="99"/>
                <w:sz w:val="21"/>
              </w:rPr>
              <w:t>5</w:t>
            </w:r>
          </w:p>
        </w:tc>
        <w:tc>
          <w:tcPr>
            <w:tcW w:w="3828" w:type="dxa"/>
          </w:tcPr>
          <w:p w14:paraId="38273459">
            <w:pPr>
              <w:pStyle w:val="17"/>
              <w:spacing w:before="20" w:line="278" w:lineRule="auto"/>
              <w:ind w:left="129" w:right="1" w:hanging="22"/>
              <w:jc w:val="left"/>
              <w:rPr>
                <w:sz w:val="21"/>
              </w:rPr>
            </w:pPr>
            <w:r>
              <w:rPr>
                <w:rFonts w:ascii="Times New Roman" w:eastAsia="Times New Roman"/>
                <w:w w:val="95"/>
                <w:sz w:val="21"/>
              </w:rPr>
              <w:t>(</w:t>
            </w:r>
            <w:r>
              <w:rPr>
                <w:w w:val="95"/>
                <w:sz w:val="21"/>
              </w:rPr>
              <w:t>四</w:t>
            </w:r>
            <w:r>
              <w:rPr>
                <w:rFonts w:ascii="Times New Roman" w:eastAsia="Times New Roman"/>
                <w:w w:val="95"/>
                <w:sz w:val="21"/>
              </w:rPr>
              <w:t>)</w:t>
            </w:r>
            <w:r>
              <w:rPr>
                <w:w w:val="95"/>
                <w:sz w:val="21"/>
              </w:rPr>
              <w:t>强化风险管控，严防园区环境事故。</w:t>
            </w:r>
            <w:r>
              <w:rPr>
                <w:sz w:val="21"/>
              </w:rPr>
              <w:t>建立健全园区环境风险管理工作长效机</w:t>
            </w:r>
          </w:p>
          <w:p w14:paraId="28B0167F">
            <w:pPr>
              <w:pStyle w:val="17"/>
              <w:spacing w:line="269" w:lineRule="exact"/>
              <w:ind w:left="129"/>
              <w:jc w:val="left"/>
              <w:rPr>
                <w:sz w:val="21"/>
              </w:rPr>
            </w:pPr>
            <w:r>
              <w:rPr>
                <w:w w:val="95"/>
                <w:sz w:val="21"/>
              </w:rPr>
              <w:t>制，加强园区环境风险防控、预警和应</w:t>
            </w:r>
          </w:p>
        </w:tc>
        <w:tc>
          <w:tcPr>
            <w:tcW w:w="3052" w:type="dxa"/>
          </w:tcPr>
          <w:p w14:paraId="33A78C66">
            <w:pPr>
              <w:pStyle w:val="17"/>
              <w:spacing w:before="20" w:line="278" w:lineRule="auto"/>
              <w:ind w:left="107" w:right="97" w:firstLine="52"/>
              <w:jc w:val="left"/>
              <w:rPr>
                <w:sz w:val="21"/>
              </w:rPr>
            </w:pPr>
            <w:r>
              <w:rPr>
                <w:sz w:val="21"/>
              </w:rPr>
              <w:t>本项目不涉及危险化学品和涉</w:t>
            </w:r>
            <w:r>
              <w:rPr>
                <w:w w:val="95"/>
                <w:sz w:val="21"/>
              </w:rPr>
              <w:t>重金属废水，本项目将编制环境</w:t>
            </w:r>
          </w:p>
          <w:p w14:paraId="369F5791">
            <w:pPr>
              <w:pStyle w:val="17"/>
              <w:spacing w:line="269" w:lineRule="exact"/>
              <w:ind w:left="160"/>
              <w:jc w:val="left"/>
              <w:rPr>
                <w:sz w:val="21"/>
              </w:rPr>
            </w:pPr>
            <w:r>
              <w:rPr>
                <w:sz w:val="21"/>
              </w:rPr>
              <w:t>风险应急预案并与园区环境风</w:t>
            </w:r>
          </w:p>
        </w:tc>
        <w:tc>
          <w:tcPr>
            <w:tcW w:w="913" w:type="dxa"/>
            <w:tcBorders>
              <w:right w:val="nil"/>
            </w:tcBorders>
          </w:tcPr>
          <w:p w14:paraId="45B52428">
            <w:pPr>
              <w:pStyle w:val="17"/>
              <w:spacing w:before="12"/>
              <w:jc w:val="left"/>
              <w:rPr>
                <w:b/>
                <w:sz w:val="25"/>
              </w:rPr>
            </w:pPr>
          </w:p>
          <w:p w14:paraId="07EB8233">
            <w:pPr>
              <w:pStyle w:val="17"/>
              <w:ind w:left="2" w:right="2"/>
              <w:rPr>
                <w:sz w:val="21"/>
              </w:rPr>
            </w:pPr>
            <w:r>
              <w:rPr>
                <w:sz w:val="21"/>
              </w:rPr>
              <w:t>符合</w:t>
            </w:r>
          </w:p>
        </w:tc>
      </w:tr>
    </w:tbl>
    <w:p w14:paraId="0467BA29">
      <w:pPr>
        <w:spacing w:after="0"/>
        <w:rPr>
          <w:sz w:val="21"/>
        </w:rPr>
        <w:sectPr>
          <w:pgSz w:w="11910" w:h="16840"/>
          <w:pgMar w:top="1420" w:right="1440" w:bottom="1140" w:left="1580" w:header="0" w:footer="944" w:gutter="0"/>
          <w:cols w:space="720" w:num="1"/>
        </w:sectPr>
      </w:pPr>
    </w:p>
    <w:tbl>
      <w:tblPr>
        <w:tblStyle w:val="13"/>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828"/>
        <w:gridCol w:w="3052"/>
        <w:gridCol w:w="913"/>
      </w:tblGrid>
      <w:tr w14:paraId="5566E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533" w:type="dxa"/>
            <w:tcBorders>
              <w:left w:val="nil"/>
            </w:tcBorders>
          </w:tcPr>
          <w:p w14:paraId="117A0C11">
            <w:pPr>
              <w:pStyle w:val="17"/>
              <w:jc w:val="left"/>
              <w:rPr>
                <w:rFonts w:ascii="Times New Roman"/>
                <w:sz w:val="20"/>
              </w:rPr>
            </w:pPr>
          </w:p>
        </w:tc>
        <w:tc>
          <w:tcPr>
            <w:tcW w:w="3828" w:type="dxa"/>
          </w:tcPr>
          <w:p w14:paraId="40C1E6E2">
            <w:pPr>
              <w:pStyle w:val="17"/>
              <w:spacing w:before="21" w:line="278" w:lineRule="auto"/>
              <w:ind w:left="129" w:right="98" w:hanging="22"/>
              <w:jc w:val="both"/>
              <w:rPr>
                <w:sz w:val="21"/>
              </w:rPr>
            </w:pPr>
            <w:r>
              <w:rPr>
                <w:spacing w:val="-9"/>
                <w:sz w:val="21"/>
              </w:rPr>
              <w:t>急 确保区域环境安全。完善涉重金属废水排放企业事故应急池、围堰等环境风险防范设施，完善环境风险应急体系管控要求。加强对园区污水管网的日常监管、巡管，杜绝污水管网的泄漏。重点做好涉重、涉危险化学品企业的环境风</w:t>
            </w:r>
          </w:p>
          <w:p w14:paraId="0265BAE4">
            <w:pPr>
              <w:pStyle w:val="17"/>
              <w:spacing w:line="268" w:lineRule="exact"/>
              <w:ind w:left="6" w:right="1"/>
              <w:rPr>
                <w:sz w:val="21"/>
              </w:rPr>
            </w:pPr>
            <w:r>
              <w:rPr>
                <w:sz w:val="21"/>
              </w:rPr>
              <w:t>险防控。</w:t>
            </w:r>
          </w:p>
        </w:tc>
        <w:tc>
          <w:tcPr>
            <w:tcW w:w="3052" w:type="dxa"/>
          </w:tcPr>
          <w:p w14:paraId="4F31E7F4">
            <w:pPr>
              <w:pStyle w:val="17"/>
              <w:spacing w:before="21"/>
              <w:ind w:left="105" w:right="97"/>
              <w:rPr>
                <w:sz w:val="21"/>
              </w:rPr>
            </w:pPr>
            <w:r>
              <w:rPr>
                <w:sz w:val="21"/>
              </w:rPr>
              <w:t>险应急预案进行联动</w:t>
            </w:r>
          </w:p>
        </w:tc>
        <w:tc>
          <w:tcPr>
            <w:tcW w:w="913" w:type="dxa"/>
            <w:tcBorders>
              <w:right w:val="nil"/>
            </w:tcBorders>
          </w:tcPr>
          <w:p w14:paraId="7C225098">
            <w:pPr>
              <w:pStyle w:val="17"/>
              <w:jc w:val="left"/>
              <w:rPr>
                <w:rFonts w:ascii="Times New Roman"/>
                <w:sz w:val="20"/>
              </w:rPr>
            </w:pPr>
          </w:p>
        </w:tc>
      </w:tr>
      <w:tr w14:paraId="5D377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533" w:type="dxa"/>
            <w:tcBorders>
              <w:left w:val="nil"/>
            </w:tcBorders>
          </w:tcPr>
          <w:p w14:paraId="3E9EADBD">
            <w:pPr>
              <w:pStyle w:val="17"/>
              <w:jc w:val="left"/>
              <w:rPr>
                <w:b/>
                <w:sz w:val="22"/>
              </w:rPr>
            </w:pPr>
          </w:p>
          <w:p w14:paraId="23F918EB">
            <w:pPr>
              <w:pStyle w:val="17"/>
              <w:jc w:val="left"/>
              <w:rPr>
                <w:b/>
                <w:sz w:val="22"/>
              </w:rPr>
            </w:pPr>
          </w:p>
          <w:p w14:paraId="43AD1CCA">
            <w:pPr>
              <w:pStyle w:val="17"/>
              <w:jc w:val="left"/>
              <w:rPr>
                <w:b/>
                <w:sz w:val="22"/>
              </w:rPr>
            </w:pPr>
          </w:p>
          <w:p w14:paraId="21CCF451">
            <w:pPr>
              <w:pStyle w:val="17"/>
              <w:jc w:val="left"/>
              <w:rPr>
                <w:b/>
                <w:sz w:val="22"/>
              </w:rPr>
            </w:pPr>
          </w:p>
          <w:p w14:paraId="239D3339">
            <w:pPr>
              <w:pStyle w:val="17"/>
              <w:spacing w:before="155"/>
              <w:ind w:left="14"/>
              <w:rPr>
                <w:rFonts w:ascii="Times New Roman"/>
                <w:sz w:val="21"/>
              </w:rPr>
            </w:pPr>
            <w:r>
              <w:rPr>
                <w:rFonts w:ascii="Times New Roman"/>
                <w:w w:val="99"/>
                <w:sz w:val="21"/>
              </w:rPr>
              <w:t>6</w:t>
            </w:r>
          </w:p>
        </w:tc>
        <w:tc>
          <w:tcPr>
            <w:tcW w:w="3828" w:type="dxa"/>
          </w:tcPr>
          <w:p w14:paraId="0ED5BB7F">
            <w:pPr>
              <w:pStyle w:val="17"/>
              <w:spacing w:before="21" w:line="278" w:lineRule="auto"/>
              <w:ind w:left="107" w:right="1"/>
              <w:rPr>
                <w:sz w:val="21"/>
              </w:rPr>
            </w:pPr>
            <w:r>
              <w:rPr>
                <w:rFonts w:ascii="Times New Roman" w:eastAsia="Times New Roman"/>
                <w:w w:val="95"/>
                <w:sz w:val="21"/>
              </w:rPr>
              <w:t>(</w:t>
            </w:r>
            <w:r>
              <w:rPr>
                <w:w w:val="95"/>
                <w:sz w:val="21"/>
              </w:rPr>
              <w:t>五</w:t>
            </w:r>
            <w:r>
              <w:rPr>
                <w:rFonts w:ascii="Times New Roman" w:eastAsia="Times New Roman"/>
                <w:w w:val="95"/>
                <w:sz w:val="21"/>
              </w:rPr>
              <w:t>)</w:t>
            </w:r>
            <w:r>
              <w:rPr>
                <w:w w:val="95"/>
                <w:sz w:val="21"/>
              </w:rPr>
              <w:t>做好周边控规，落实搬迁安置计划。</w:t>
            </w:r>
            <w:r>
              <w:rPr>
                <w:sz w:val="21"/>
              </w:rPr>
              <w:t>园区管委会与地方政府应共同做好控</w:t>
            </w:r>
          </w:p>
          <w:p w14:paraId="2B99D651">
            <w:pPr>
              <w:pStyle w:val="17"/>
              <w:spacing w:line="278" w:lineRule="auto"/>
              <w:ind w:left="129" w:right="117"/>
              <w:jc w:val="both"/>
              <w:rPr>
                <w:sz w:val="21"/>
              </w:rPr>
            </w:pPr>
            <w:r>
              <w:rPr>
                <w:w w:val="95"/>
                <w:sz w:val="21"/>
              </w:rPr>
              <w:t>规，杜绝在规划的工业用地上新增环境敏感目标，确保园区开发过程中的居民搬迁到位，园区不再新设拆迁安置区， 搬迁以货币安置为主。对于具体项目环评设置防护距离和提出搬迁要求的，要确保予以落实，未落实的，园区应确保</w:t>
            </w:r>
          </w:p>
          <w:p w14:paraId="1EE1BD29">
            <w:pPr>
              <w:pStyle w:val="17"/>
              <w:spacing w:line="268" w:lineRule="exact"/>
              <w:ind w:left="8" w:right="1"/>
              <w:rPr>
                <w:sz w:val="21"/>
              </w:rPr>
            </w:pPr>
            <w:r>
              <w:rPr>
                <w:sz w:val="21"/>
              </w:rPr>
              <w:t>相关新建项目不得投产。</w:t>
            </w:r>
          </w:p>
        </w:tc>
        <w:tc>
          <w:tcPr>
            <w:tcW w:w="3052" w:type="dxa"/>
          </w:tcPr>
          <w:p w14:paraId="43BC2E97">
            <w:pPr>
              <w:pStyle w:val="17"/>
              <w:jc w:val="left"/>
              <w:rPr>
                <w:b/>
                <w:sz w:val="20"/>
              </w:rPr>
            </w:pPr>
          </w:p>
          <w:p w14:paraId="156C2293">
            <w:pPr>
              <w:pStyle w:val="17"/>
              <w:jc w:val="left"/>
              <w:rPr>
                <w:b/>
                <w:sz w:val="20"/>
              </w:rPr>
            </w:pPr>
          </w:p>
          <w:p w14:paraId="34A75E15">
            <w:pPr>
              <w:pStyle w:val="17"/>
              <w:jc w:val="left"/>
              <w:rPr>
                <w:b/>
                <w:sz w:val="20"/>
              </w:rPr>
            </w:pPr>
          </w:p>
          <w:p w14:paraId="2B8E5F12">
            <w:pPr>
              <w:pStyle w:val="17"/>
              <w:jc w:val="left"/>
              <w:rPr>
                <w:b/>
                <w:sz w:val="20"/>
              </w:rPr>
            </w:pPr>
          </w:p>
          <w:p w14:paraId="4DE41426">
            <w:pPr>
              <w:pStyle w:val="17"/>
              <w:jc w:val="left"/>
              <w:rPr>
                <w:b/>
                <w:sz w:val="19"/>
              </w:rPr>
            </w:pPr>
          </w:p>
          <w:p w14:paraId="10CB2D75">
            <w:pPr>
              <w:pStyle w:val="17"/>
              <w:ind w:left="103" w:right="97"/>
              <w:rPr>
                <w:sz w:val="21"/>
              </w:rPr>
            </w:pPr>
            <w:r>
              <w:rPr>
                <w:sz w:val="21"/>
              </w:rPr>
              <w:t>本项目不涉及搬迁安置</w:t>
            </w:r>
          </w:p>
        </w:tc>
        <w:tc>
          <w:tcPr>
            <w:tcW w:w="913" w:type="dxa"/>
            <w:tcBorders>
              <w:right w:val="nil"/>
            </w:tcBorders>
          </w:tcPr>
          <w:p w14:paraId="54398CFD">
            <w:pPr>
              <w:pStyle w:val="17"/>
              <w:jc w:val="left"/>
              <w:rPr>
                <w:b/>
                <w:sz w:val="20"/>
              </w:rPr>
            </w:pPr>
          </w:p>
          <w:p w14:paraId="5B6703FA">
            <w:pPr>
              <w:pStyle w:val="17"/>
              <w:jc w:val="left"/>
              <w:rPr>
                <w:b/>
                <w:sz w:val="20"/>
              </w:rPr>
            </w:pPr>
          </w:p>
          <w:p w14:paraId="1062E1E2">
            <w:pPr>
              <w:pStyle w:val="17"/>
              <w:jc w:val="left"/>
              <w:rPr>
                <w:b/>
                <w:sz w:val="20"/>
              </w:rPr>
            </w:pPr>
          </w:p>
          <w:p w14:paraId="76E1BB6C">
            <w:pPr>
              <w:pStyle w:val="17"/>
              <w:jc w:val="left"/>
              <w:rPr>
                <w:b/>
                <w:sz w:val="20"/>
              </w:rPr>
            </w:pPr>
          </w:p>
          <w:p w14:paraId="5FC16179">
            <w:pPr>
              <w:pStyle w:val="17"/>
              <w:jc w:val="left"/>
              <w:rPr>
                <w:b/>
                <w:sz w:val="19"/>
              </w:rPr>
            </w:pPr>
          </w:p>
          <w:p w14:paraId="713AC0C2">
            <w:pPr>
              <w:pStyle w:val="17"/>
              <w:ind w:left="2" w:right="2"/>
              <w:rPr>
                <w:sz w:val="21"/>
              </w:rPr>
            </w:pPr>
            <w:r>
              <w:rPr>
                <w:sz w:val="21"/>
              </w:rPr>
              <w:t>符合</w:t>
            </w:r>
          </w:p>
        </w:tc>
      </w:tr>
      <w:tr w14:paraId="1F0FB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33" w:type="dxa"/>
            <w:tcBorders>
              <w:left w:val="nil"/>
            </w:tcBorders>
          </w:tcPr>
          <w:p w14:paraId="4E4EF35A">
            <w:pPr>
              <w:pStyle w:val="17"/>
              <w:jc w:val="left"/>
              <w:rPr>
                <w:b/>
                <w:sz w:val="22"/>
              </w:rPr>
            </w:pPr>
          </w:p>
          <w:p w14:paraId="7B840631">
            <w:pPr>
              <w:pStyle w:val="17"/>
              <w:spacing w:before="4"/>
              <w:jc w:val="left"/>
              <w:rPr>
                <w:b/>
                <w:sz w:val="29"/>
              </w:rPr>
            </w:pPr>
          </w:p>
          <w:p w14:paraId="7FD41F16">
            <w:pPr>
              <w:pStyle w:val="17"/>
              <w:spacing w:before="1"/>
              <w:ind w:left="14"/>
              <w:rPr>
                <w:rFonts w:ascii="Times New Roman"/>
                <w:sz w:val="21"/>
              </w:rPr>
            </w:pPr>
            <w:r>
              <w:rPr>
                <w:rFonts w:ascii="Times New Roman"/>
                <w:w w:val="99"/>
                <w:sz w:val="21"/>
              </w:rPr>
              <w:t>7</w:t>
            </w:r>
          </w:p>
        </w:tc>
        <w:tc>
          <w:tcPr>
            <w:tcW w:w="3828" w:type="dxa"/>
          </w:tcPr>
          <w:p w14:paraId="6FC3DC1F">
            <w:pPr>
              <w:pStyle w:val="17"/>
              <w:spacing w:before="20" w:line="278" w:lineRule="auto"/>
              <w:ind w:left="129" w:right="98" w:hanging="22"/>
              <w:jc w:val="both"/>
              <w:rPr>
                <w:sz w:val="21"/>
              </w:rPr>
            </w:pPr>
            <w:r>
              <w:rPr>
                <w:rFonts w:ascii="Times New Roman" w:eastAsia="Times New Roman"/>
                <w:w w:val="95"/>
                <w:sz w:val="21"/>
              </w:rPr>
              <w:t>(</w:t>
            </w:r>
            <w:r>
              <w:rPr>
                <w:w w:val="95"/>
                <w:sz w:val="21"/>
              </w:rPr>
              <w:t>六</w:t>
            </w:r>
            <w:r>
              <w:rPr>
                <w:rFonts w:ascii="Times New Roman" w:eastAsia="Times New Roman"/>
                <w:w w:val="95"/>
                <w:sz w:val="21"/>
              </w:rPr>
              <w:t>)</w:t>
            </w:r>
            <w:r>
              <w:rPr>
                <w:spacing w:val="-9"/>
                <w:w w:val="95"/>
                <w:sz w:val="21"/>
              </w:rPr>
              <w:t>做好园区建设期生态保护。尽可能保</w:t>
            </w:r>
            <w:r>
              <w:rPr>
                <w:spacing w:val="-9"/>
                <w:sz w:val="21"/>
              </w:rPr>
              <w:t>留自然水体，施工期对土石方开挖、堆存及回填要实施围挡、护坡等措施，裸露地及时恢复植被，杜绝施工建设对地</w:t>
            </w:r>
          </w:p>
          <w:p w14:paraId="6E62F739">
            <w:pPr>
              <w:pStyle w:val="17"/>
              <w:spacing w:line="269" w:lineRule="exact"/>
              <w:ind w:left="1178"/>
              <w:jc w:val="left"/>
              <w:rPr>
                <w:sz w:val="21"/>
              </w:rPr>
            </w:pPr>
            <w:r>
              <w:rPr>
                <w:sz w:val="21"/>
              </w:rPr>
              <w:t>表水体的污染。</w:t>
            </w:r>
          </w:p>
        </w:tc>
        <w:tc>
          <w:tcPr>
            <w:tcW w:w="3052" w:type="dxa"/>
          </w:tcPr>
          <w:p w14:paraId="5FECF505">
            <w:pPr>
              <w:pStyle w:val="17"/>
              <w:spacing w:before="12"/>
              <w:jc w:val="left"/>
              <w:rPr>
                <w:b/>
                <w:sz w:val="25"/>
              </w:rPr>
            </w:pPr>
          </w:p>
          <w:p w14:paraId="5E2DE356">
            <w:pPr>
              <w:pStyle w:val="17"/>
              <w:spacing w:line="278" w:lineRule="auto"/>
              <w:ind w:left="107" w:right="97" w:hanging="1"/>
              <w:rPr>
                <w:sz w:val="21"/>
              </w:rPr>
            </w:pPr>
            <w:r>
              <w:rPr>
                <w:sz w:val="21"/>
              </w:rPr>
              <w:t>本项目租赁中塑新材料公司已</w:t>
            </w:r>
            <w:r>
              <w:rPr>
                <w:w w:val="95"/>
                <w:sz w:val="21"/>
              </w:rPr>
              <w:t>建厂房，不新增占地，不进行土</w:t>
            </w:r>
            <w:r>
              <w:rPr>
                <w:sz w:val="21"/>
              </w:rPr>
              <w:t>石方开挖施工</w:t>
            </w:r>
          </w:p>
        </w:tc>
        <w:tc>
          <w:tcPr>
            <w:tcW w:w="913" w:type="dxa"/>
            <w:tcBorders>
              <w:right w:val="nil"/>
            </w:tcBorders>
          </w:tcPr>
          <w:p w14:paraId="6892A535">
            <w:pPr>
              <w:pStyle w:val="17"/>
              <w:jc w:val="left"/>
              <w:rPr>
                <w:b/>
                <w:sz w:val="20"/>
              </w:rPr>
            </w:pPr>
          </w:p>
          <w:p w14:paraId="46E81840">
            <w:pPr>
              <w:pStyle w:val="17"/>
              <w:jc w:val="left"/>
              <w:rPr>
                <w:b/>
                <w:sz w:val="20"/>
              </w:rPr>
            </w:pPr>
          </w:p>
          <w:p w14:paraId="5415508F">
            <w:pPr>
              <w:pStyle w:val="17"/>
              <w:spacing w:before="132"/>
              <w:ind w:left="2" w:right="2"/>
              <w:rPr>
                <w:sz w:val="21"/>
              </w:rPr>
            </w:pPr>
            <w:r>
              <w:rPr>
                <w:sz w:val="21"/>
              </w:rPr>
              <w:t>符合</w:t>
            </w:r>
          </w:p>
        </w:tc>
      </w:tr>
    </w:tbl>
    <w:p w14:paraId="3061BDBD">
      <w:pPr>
        <w:pStyle w:val="9"/>
        <w:spacing w:before="81"/>
        <w:ind w:left="700"/>
      </w:pPr>
      <w:r>
        <w:t>（</w:t>
      </w:r>
      <w:r>
        <w:rPr>
          <w:rFonts w:ascii="Times New Roman" w:hAnsi="Times New Roman" w:eastAsia="Times New Roman"/>
        </w:rPr>
        <w:t>11</w:t>
      </w:r>
      <w:r>
        <w:t>）</w:t>
      </w:r>
      <w:r>
        <w:rPr>
          <w:rFonts w:ascii="Times New Roman" w:hAnsi="Times New Roman" w:eastAsia="Times New Roman"/>
        </w:rPr>
        <w:t>“</w:t>
      </w:r>
      <w:r>
        <w:t>三线一单</w:t>
      </w:r>
      <w:r>
        <w:rPr>
          <w:rFonts w:ascii="Times New Roman" w:hAnsi="Times New Roman" w:eastAsia="Times New Roman"/>
        </w:rPr>
        <w:t>”</w:t>
      </w:r>
      <w:r>
        <w:t>相符性分析</w:t>
      </w:r>
    </w:p>
    <w:p w14:paraId="1EC556AD">
      <w:pPr>
        <w:pStyle w:val="10"/>
        <w:spacing w:before="161" w:line="364" w:lineRule="auto"/>
        <w:ind w:left="220" w:right="361" w:firstLine="480"/>
        <w:jc w:val="both"/>
      </w:pPr>
      <w:r>
        <w:t>本项目位于汨罗高新技术产业开发区新市片区，根据《湖南省关于实施</w:t>
      </w:r>
      <w:r>
        <w:rPr>
          <w:rFonts w:ascii="Times New Roman" w:hAnsi="Times New Roman" w:eastAsia="Times New Roman"/>
        </w:rPr>
        <w:t>“</w:t>
      </w:r>
      <w:r>
        <w:t>三线一单</w:t>
      </w:r>
      <w:r>
        <w:rPr>
          <w:rFonts w:ascii="Times New Roman" w:hAnsi="Times New Roman" w:eastAsia="Times New Roman"/>
        </w:rPr>
        <w:t>”</w:t>
      </w:r>
      <w:r>
        <w:t>生态环境分区管控的意见》和《湖南省</w:t>
      </w:r>
      <w:r>
        <w:rPr>
          <w:rFonts w:ascii="Times New Roman" w:hAnsi="Times New Roman" w:eastAsia="Times New Roman"/>
        </w:rPr>
        <w:t>“</w:t>
      </w:r>
      <w:r>
        <w:t>三线一单</w:t>
      </w:r>
      <w:r>
        <w:rPr>
          <w:rFonts w:ascii="Times New Roman" w:hAnsi="Times New Roman" w:eastAsia="Times New Roman"/>
        </w:rPr>
        <w:t>”</w:t>
      </w:r>
      <w:r>
        <w:t>生态环境总体管控要求暨省级以上产业园区生态环境准入清单》</w:t>
      </w:r>
      <w:r>
        <w:rPr>
          <w:rFonts w:ascii="Times New Roman" w:hAnsi="Times New Roman" w:eastAsia="Times New Roman"/>
        </w:rPr>
        <w:t>(</w:t>
      </w:r>
      <w:r>
        <w:t>统一登记号：</w:t>
      </w:r>
      <w:r>
        <w:rPr>
          <w:rFonts w:ascii="Times New Roman" w:hAnsi="Times New Roman" w:eastAsia="Times New Roman"/>
        </w:rPr>
        <w:t>HNPR-2020-13005)</w:t>
      </w:r>
      <w:r>
        <w:t>的要求，本项目与文件要求对比分析见下表。</w:t>
      </w:r>
    </w:p>
    <w:p w14:paraId="527A07FD">
      <w:pPr>
        <w:pStyle w:val="9"/>
        <w:ind w:left="1422"/>
      </w:pPr>
      <w:r>
        <w:rPr>
          <w:spacing w:val="-1"/>
        </w:rPr>
        <w:t xml:space="preserve">表 </w:t>
      </w:r>
      <w:r>
        <w:rPr>
          <w:rFonts w:ascii="Times New Roman" w:hAnsi="Times New Roman" w:eastAsia="Times New Roman"/>
        </w:rPr>
        <w:t>8</w:t>
      </w:r>
      <w:r>
        <w:rPr>
          <w:rFonts w:ascii="Times New Roman" w:hAnsi="Times New Roman" w:eastAsia="Times New Roman"/>
          <w:spacing w:val="58"/>
        </w:rPr>
        <w:t xml:space="preserve"> </w:t>
      </w:r>
      <w:r>
        <w:t>与</w:t>
      </w:r>
      <w:r>
        <w:rPr>
          <w:rFonts w:ascii="Times New Roman" w:hAnsi="Times New Roman" w:eastAsia="Times New Roman"/>
        </w:rPr>
        <w:t>“</w:t>
      </w:r>
      <w:r>
        <w:t>三线一单</w:t>
      </w:r>
      <w:r>
        <w:rPr>
          <w:rFonts w:ascii="Times New Roman" w:hAnsi="Times New Roman" w:eastAsia="Times New Roman"/>
        </w:rPr>
        <w:t>”</w:t>
      </w:r>
      <w:r>
        <w:t>生态环境管控要求相符性分析一览表</w:t>
      </w:r>
    </w:p>
    <w:p w14:paraId="3EE573C6">
      <w:pPr>
        <w:pStyle w:val="10"/>
        <w:spacing w:before="2"/>
        <w:rPr>
          <w:b/>
          <w:sz w:val="6"/>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7502"/>
      </w:tblGrid>
      <w:tr w14:paraId="09F74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7" w:type="dxa"/>
            <w:tcBorders>
              <w:left w:val="nil"/>
            </w:tcBorders>
          </w:tcPr>
          <w:p w14:paraId="7537A0D2">
            <w:pPr>
              <w:pStyle w:val="17"/>
              <w:spacing w:before="22"/>
              <w:ind w:left="302"/>
              <w:jc w:val="left"/>
              <w:rPr>
                <w:sz w:val="21"/>
              </w:rPr>
            </w:pPr>
            <w:r>
              <w:rPr>
                <w:sz w:val="21"/>
              </w:rPr>
              <w:t>内容</w:t>
            </w:r>
          </w:p>
        </w:tc>
        <w:tc>
          <w:tcPr>
            <w:tcW w:w="7502" w:type="dxa"/>
            <w:tcBorders>
              <w:right w:val="nil"/>
            </w:tcBorders>
          </w:tcPr>
          <w:p w14:paraId="28DBA802">
            <w:pPr>
              <w:pStyle w:val="17"/>
              <w:spacing w:before="22"/>
              <w:ind w:left="105" w:right="102"/>
              <w:rPr>
                <w:sz w:val="21"/>
              </w:rPr>
            </w:pPr>
            <w:r>
              <w:rPr>
                <w:sz w:val="21"/>
              </w:rPr>
              <w:t>符合性分析</w:t>
            </w:r>
          </w:p>
        </w:tc>
      </w:tr>
      <w:tr w14:paraId="05BB3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17" w:type="dxa"/>
            <w:tcBorders>
              <w:left w:val="nil"/>
            </w:tcBorders>
          </w:tcPr>
          <w:p w14:paraId="0E962FDB">
            <w:pPr>
              <w:pStyle w:val="17"/>
              <w:spacing w:before="177" w:line="278" w:lineRule="auto"/>
              <w:ind w:left="196" w:right="184"/>
              <w:jc w:val="left"/>
              <w:rPr>
                <w:sz w:val="21"/>
              </w:rPr>
            </w:pPr>
            <w:r>
              <w:rPr>
                <w:sz w:val="21"/>
              </w:rPr>
              <w:t>生态保护红线</w:t>
            </w:r>
          </w:p>
        </w:tc>
        <w:tc>
          <w:tcPr>
            <w:tcW w:w="7502" w:type="dxa"/>
            <w:tcBorders>
              <w:right w:val="nil"/>
            </w:tcBorders>
          </w:tcPr>
          <w:p w14:paraId="1CFB4664">
            <w:pPr>
              <w:pStyle w:val="17"/>
              <w:spacing w:before="21" w:line="278" w:lineRule="auto"/>
              <w:ind w:left="108" w:right="102"/>
              <w:rPr>
                <w:sz w:val="21"/>
              </w:rPr>
            </w:pPr>
            <w:r>
              <w:rPr>
                <w:spacing w:val="-3"/>
                <w:w w:val="95"/>
                <w:sz w:val="21"/>
              </w:rPr>
              <w:t xml:space="preserve">本项目位于汨罗高新技术产业开发区新市片区，属于依法设立的工业园，根据汨  </w:t>
            </w:r>
            <w:r>
              <w:rPr>
                <w:spacing w:val="-7"/>
                <w:w w:val="95"/>
                <w:sz w:val="21"/>
              </w:rPr>
              <w:t>罗市生态保护红线分布图，本项目不在汨罗市生态保护红线内，符合生态保护红</w:t>
            </w:r>
          </w:p>
          <w:p w14:paraId="3A00E822">
            <w:pPr>
              <w:pStyle w:val="17"/>
              <w:spacing w:line="269" w:lineRule="exact"/>
              <w:ind w:left="105" w:right="102"/>
              <w:rPr>
                <w:sz w:val="21"/>
              </w:rPr>
            </w:pPr>
            <w:r>
              <w:rPr>
                <w:sz w:val="21"/>
              </w:rPr>
              <w:t>线要求。</w:t>
            </w:r>
          </w:p>
        </w:tc>
      </w:tr>
      <w:tr w14:paraId="2D138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17" w:type="dxa"/>
            <w:tcBorders>
              <w:left w:val="nil"/>
            </w:tcBorders>
          </w:tcPr>
          <w:p w14:paraId="5416A0C6">
            <w:pPr>
              <w:pStyle w:val="17"/>
              <w:spacing w:before="177" w:line="278" w:lineRule="auto"/>
              <w:ind w:left="196" w:right="184"/>
              <w:jc w:val="left"/>
              <w:rPr>
                <w:sz w:val="21"/>
              </w:rPr>
            </w:pPr>
            <w:r>
              <w:rPr>
                <w:sz w:val="21"/>
              </w:rPr>
              <w:t>资源利用上线</w:t>
            </w:r>
          </w:p>
        </w:tc>
        <w:tc>
          <w:tcPr>
            <w:tcW w:w="7502" w:type="dxa"/>
            <w:tcBorders>
              <w:right w:val="nil"/>
            </w:tcBorders>
          </w:tcPr>
          <w:p w14:paraId="00D1EF5E">
            <w:pPr>
              <w:pStyle w:val="17"/>
              <w:spacing w:before="21" w:line="278" w:lineRule="auto"/>
              <w:ind w:left="108" w:right="37" w:hanging="65"/>
              <w:rPr>
                <w:sz w:val="21"/>
              </w:rPr>
            </w:pPr>
            <w:r>
              <w:rPr>
                <w:spacing w:val="-4"/>
                <w:sz w:val="21"/>
              </w:rPr>
              <w:t>本项目营运过程中消耗一定量的电能、水资源等资源消耗，相对区域资源利用总</w:t>
            </w:r>
            <w:r>
              <w:rPr>
                <w:spacing w:val="-4"/>
                <w:w w:val="95"/>
                <w:sz w:val="21"/>
              </w:rPr>
              <w:t>量较少，项目所在地属于工业用地，不涉及基本农田，土地资源消耗符合要求，</w:t>
            </w:r>
          </w:p>
          <w:p w14:paraId="15636A6C">
            <w:pPr>
              <w:pStyle w:val="17"/>
              <w:spacing w:line="269" w:lineRule="exact"/>
              <w:ind w:left="105" w:right="102"/>
              <w:rPr>
                <w:sz w:val="21"/>
              </w:rPr>
            </w:pPr>
            <w:r>
              <w:rPr>
                <w:sz w:val="21"/>
              </w:rPr>
              <w:t>项目符合资源利用上线要求。</w:t>
            </w:r>
          </w:p>
        </w:tc>
      </w:tr>
      <w:tr w14:paraId="202F4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17" w:type="dxa"/>
            <w:tcBorders>
              <w:left w:val="nil"/>
            </w:tcBorders>
          </w:tcPr>
          <w:p w14:paraId="7346FDDB">
            <w:pPr>
              <w:pStyle w:val="17"/>
              <w:spacing w:before="12"/>
              <w:jc w:val="left"/>
              <w:rPr>
                <w:b/>
                <w:sz w:val="25"/>
              </w:rPr>
            </w:pPr>
          </w:p>
          <w:p w14:paraId="418DDE4B">
            <w:pPr>
              <w:pStyle w:val="17"/>
              <w:spacing w:line="278" w:lineRule="auto"/>
              <w:ind w:left="196" w:right="184"/>
              <w:jc w:val="left"/>
              <w:rPr>
                <w:sz w:val="21"/>
              </w:rPr>
            </w:pPr>
            <w:r>
              <w:rPr>
                <w:sz w:val="21"/>
              </w:rPr>
              <w:t>环境质量底线</w:t>
            </w:r>
          </w:p>
        </w:tc>
        <w:tc>
          <w:tcPr>
            <w:tcW w:w="7502" w:type="dxa"/>
            <w:tcBorders>
              <w:right w:val="nil"/>
            </w:tcBorders>
          </w:tcPr>
          <w:p w14:paraId="068146F1">
            <w:pPr>
              <w:pStyle w:val="17"/>
              <w:spacing w:before="21" w:line="278" w:lineRule="auto"/>
              <w:ind w:left="108" w:right="102" w:firstLine="19"/>
              <w:jc w:val="both"/>
              <w:rPr>
                <w:sz w:val="21"/>
              </w:rPr>
            </w:pPr>
            <w:r>
              <w:rPr>
                <w:spacing w:val="-6"/>
                <w:sz w:val="21"/>
              </w:rPr>
              <w:t xml:space="preserve">本项目评价基准年为 </w:t>
            </w:r>
            <w:r>
              <w:rPr>
                <w:rFonts w:ascii="Times New Roman" w:eastAsia="Times New Roman"/>
                <w:sz w:val="21"/>
              </w:rPr>
              <w:t xml:space="preserve">2023 </w:t>
            </w:r>
            <w:r>
              <w:rPr>
                <w:sz w:val="21"/>
              </w:rPr>
              <w:t>年，该年项目区为环境空气质量达标区，项目排放的</w:t>
            </w:r>
            <w:r>
              <w:rPr>
                <w:spacing w:val="-5"/>
                <w:w w:val="95"/>
                <w:sz w:val="21"/>
              </w:rPr>
              <w:t xml:space="preserve">污染物均为达标因子；地表水各监测断面、地下水、声环境、土壤环境均能满足  </w:t>
            </w:r>
            <w:r>
              <w:rPr>
                <w:spacing w:val="-10"/>
                <w:w w:val="95"/>
                <w:sz w:val="21"/>
              </w:rPr>
              <w:t>相应标准要求；项目排放的废水、废气、噪声、固体废物等经本评价提出的污染</w:t>
            </w:r>
          </w:p>
          <w:p w14:paraId="603B46C7">
            <w:pPr>
              <w:pStyle w:val="17"/>
              <w:spacing w:line="269" w:lineRule="exact"/>
              <w:ind w:left="108"/>
              <w:jc w:val="both"/>
              <w:rPr>
                <w:sz w:val="21"/>
              </w:rPr>
            </w:pPr>
            <w:r>
              <w:rPr>
                <w:w w:val="95"/>
                <w:sz w:val="21"/>
              </w:rPr>
              <w:t>防治措施处理后均能达标排放，对区域环境影响可接受，符合环境质量底线要求。</w:t>
            </w:r>
          </w:p>
        </w:tc>
      </w:tr>
      <w:tr w14:paraId="3E37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17" w:type="dxa"/>
            <w:tcBorders>
              <w:left w:val="nil"/>
            </w:tcBorders>
          </w:tcPr>
          <w:p w14:paraId="041A44DF">
            <w:pPr>
              <w:pStyle w:val="17"/>
              <w:spacing w:before="176" w:line="278" w:lineRule="auto"/>
              <w:ind w:left="407" w:right="184" w:hanging="212"/>
              <w:jc w:val="left"/>
              <w:rPr>
                <w:sz w:val="21"/>
              </w:rPr>
            </w:pPr>
            <w:r>
              <w:rPr>
                <w:sz w:val="21"/>
              </w:rPr>
              <w:t>负面清单</w:t>
            </w:r>
          </w:p>
        </w:tc>
        <w:tc>
          <w:tcPr>
            <w:tcW w:w="7502" w:type="dxa"/>
            <w:tcBorders>
              <w:right w:val="nil"/>
            </w:tcBorders>
          </w:tcPr>
          <w:p w14:paraId="3E269E67">
            <w:pPr>
              <w:pStyle w:val="17"/>
              <w:spacing w:before="20" w:line="278" w:lineRule="auto"/>
              <w:ind w:left="108" w:right="102"/>
              <w:rPr>
                <w:sz w:val="21"/>
              </w:rPr>
            </w:pPr>
            <w:r>
              <w:rPr>
                <w:spacing w:val="-3"/>
                <w:w w:val="95"/>
                <w:sz w:val="21"/>
              </w:rPr>
              <w:t xml:space="preserve">本项目建设符合汨罗高新技术产业开发区土地利用规划要求。本项目属于《产业  </w:t>
            </w:r>
            <w:r>
              <w:rPr>
                <w:spacing w:val="-3"/>
                <w:sz w:val="21"/>
              </w:rPr>
              <w:t>结构调整指导目录》（</w:t>
            </w:r>
            <w:r>
              <w:rPr>
                <w:rFonts w:ascii="Times New Roman" w:eastAsia="Times New Roman"/>
                <w:spacing w:val="-3"/>
                <w:sz w:val="21"/>
              </w:rPr>
              <w:t xml:space="preserve">2024 </w:t>
            </w:r>
            <w:r>
              <w:rPr>
                <w:sz w:val="21"/>
              </w:rPr>
              <w:t>年本）的允许类，因此，不属于区域环境准入负面</w:t>
            </w:r>
          </w:p>
          <w:p w14:paraId="12F765C0">
            <w:pPr>
              <w:pStyle w:val="17"/>
              <w:spacing w:line="269" w:lineRule="exact"/>
              <w:ind w:left="105" w:right="102"/>
              <w:rPr>
                <w:sz w:val="21"/>
              </w:rPr>
            </w:pPr>
            <w:r>
              <w:rPr>
                <w:sz w:val="21"/>
              </w:rPr>
              <w:t>清单内容。</w:t>
            </w:r>
          </w:p>
        </w:tc>
      </w:tr>
    </w:tbl>
    <w:p w14:paraId="66721F53">
      <w:pPr>
        <w:spacing w:after="0" w:line="269" w:lineRule="exact"/>
        <w:rPr>
          <w:sz w:val="21"/>
        </w:rPr>
        <w:sectPr>
          <w:pgSz w:w="11910" w:h="16840"/>
          <w:pgMar w:top="1420" w:right="1440" w:bottom="1140" w:left="1580" w:header="0" w:footer="944" w:gutter="0"/>
          <w:cols w:space="720" w:num="1"/>
        </w:sectPr>
      </w:pPr>
    </w:p>
    <w:p w14:paraId="001CA5C1">
      <w:pPr>
        <w:pStyle w:val="9"/>
        <w:spacing w:before="62"/>
        <w:ind w:left="1542"/>
      </w:pPr>
      <w:r>
        <w:rPr>
          <w:spacing w:val="-1"/>
        </w:rPr>
        <w:t xml:space="preserve">表 </w:t>
      </w:r>
      <w:r>
        <w:rPr>
          <w:rFonts w:ascii="Times New Roman" w:eastAsia="Times New Roman"/>
        </w:rPr>
        <w:t>9</w:t>
      </w:r>
      <w:r>
        <w:rPr>
          <w:rFonts w:ascii="Times New Roman" w:eastAsia="Times New Roman"/>
          <w:spacing w:val="58"/>
        </w:rPr>
        <w:t xml:space="preserve"> </w:t>
      </w:r>
      <w:r>
        <w:t>与产业园区生态环境准入清单相符性分析一览表</w:t>
      </w:r>
    </w:p>
    <w:p w14:paraId="1525D864">
      <w:pPr>
        <w:pStyle w:val="10"/>
        <w:spacing w:before="3"/>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6"/>
        <w:gridCol w:w="3961"/>
        <w:gridCol w:w="2466"/>
        <w:gridCol w:w="1056"/>
      </w:tblGrid>
      <w:tr w14:paraId="29277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7" w:type="dxa"/>
            <w:gridSpan w:val="2"/>
            <w:tcBorders>
              <w:left w:val="nil"/>
            </w:tcBorders>
          </w:tcPr>
          <w:p w14:paraId="6893652D">
            <w:pPr>
              <w:pStyle w:val="17"/>
              <w:spacing w:before="33"/>
              <w:ind w:left="2061" w:right="2051"/>
              <w:rPr>
                <w:sz w:val="21"/>
              </w:rPr>
            </w:pPr>
            <w:r>
              <w:rPr>
                <w:sz w:val="21"/>
              </w:rPr>
              <w:t>管控要求</w:t>
            </w:r>
          </w:p>
        </w:tc>
        <w:tc>
          <w:tcPr>
            <w:tcW w:w="2466" w:type="dxa"/>
          </w:tcPr>
          <w:p w14:paraId="56BFEEEE">
            <w:pPr>
              <w:pStyle w:val="17"/>
              <w:spacing w:before="33"/>
              <w:ind w:left="812"/>
              <w:jc w:val="left"/>
              <w:rPr>
                <w:sz w:val="21"/>
              </w:rPr>
            </w:pPr>
            <w:r>
              <w:rPr>
                <w:sz w:val="21"/>
              </w:rPr>
              <w:t>项目情况</w:t>
            </w:r>
          </w:p>
        </w:tc>
        <w:tc>
          <w:tcPr>
            <w:tcW w:w="1056" w:type="dxa"/>
            <w:tcBorders>
              <w:right w:val="nil"/>
            </w:tcBorders>
          </w:tcPr>
          <w:p w14:paraId="18E339D1">
            <w:pPr>
              <w:pStyle w:val="17"/>
              <w:spacing w:before="33"/>
              <w:ind w:left="11" w:right="9"/>
              <w:rPr>
                <w:sz w:val="21"/>
              </w:rPr>
            </w:pPr>
            <w:r>
              <w:rPr>
                <w:sz w:val="21"/>
              </w:rPr>
              <w:t>是否相符</w:t>
            </w:r>
          </w:p>
        </w:tc>
      </w:tr>
      <w:tr w14:paraId="3CCFF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36" w:type="dxa"/>
            <w:tcBorders>
              <w:left w:val="nil"/>
            </w:tcBorders>
          </w:tcPr>
          <w:p w14:paraId="3DFE03EA">
            <w:pPr>
              <w:pStyle w:val="17"/>
              <w:ind w:left="207"/>
              <w:jc w:val="left"/>
              <w:rPr>
                <w:sz w:val="21"/>
              </w:rPr>
            </w:pPr>
            <w:r>
              <w:rPr>
                <w:sz w:val="21"/>
              </w:rPr>
              <w:t>区域主</w:t>
            </w:r>
          </w:p>
          <w:p w14:paraId="4CCAD5B8">
            <w:pPr>
              <w:pStyle w:val="17"/>
              <w:spacing w:before="3" w:line="270" w:lineRule="atLeast"/>
              <w:ind w:left="313" w:right="192" w:hanging="106"/>
              <w:jc w:val="left"/>
              <w:rPr>
                <w:sz w:val="21"/>
              </w:rPr>
            </w:pPr>
            <w:r>
              <w:rPr>
                <w:sz w:val="21"/>
              </w:rPr>
              <w:t>体功能定位</w:t>
            </w:r>
          </w:p>
        </w:tc>
        <w:tc>
          <w:tcPr>
            <w:tcW w:w="3961" w:type="dxa"/>
          </w:tcPr>
          <w:p w14:paraId="70115E69">
            <w:pPr>
              <w:pStyle w:val="17"/>
              <w:spacing w:before="137" w:line="242" w:lineRule="auto"/>
              <w:ind w:left="825" w:right="29" w:hanging="718"/>
              <w:jc w:val="left"/>
              <w:rPr>
                <w:sz w:val="21"/>
              </w:rPr>
            </w:pPr>
            <w:r>
              <w:rPr>
                <w:w w:val="95"/>
                <w:sz w:val="21"/>
              </w:rPr>
              <w:t>国家级农产品主产区，其中，新市镇、弼</w:t>
            </w:r>
            <w:r>
              <w:rPr>
                <w:sz w:val="21"/>
              </w:rPr>
              <w:t>时镇为国家级重点开发区</w:t>
            </w:r>
          </w:p>
        </w:tc>
        <w:tc>
          <w:tcPr>
            <w:tcW w:w="2466" w:type="dxa"/>
            <w:vMerge w:val="restart"/>
          </w:tcPr>
          <w:p w14:paraId="6D5DAD2F">
            <w:pPr>
              <w:pStyle w:val="17"/>
              <w:jc w:val="left"/>
              <w:rPr>
                <w:b/>
                <w:sz w:val="20"/>
              </w:rPr>
            </w:pPr>
          </w:p>
          <w:p w14:paraId="60EA177D">
            <w:pPr>
              <w:pStyle w:val="17"/>
              <w:jc w:val="left"/>
              <w:rPr>
                <w:b/>
                <w:sz w:val="20"/>
              </w:rPr>
            </w:pPr>
          </w:p>
          <w:p w14:paraId="6F535078">
            <w:pPr>
              <w:pStyle w:val="17"/>
              <w:jc w:val="left"/>
              <w:rPr>
                <w:b/>
                <w:sz w:val="20"/>
              </w:rPr>
            </w:pPr>
          </w:p>
          <w:p w14:paraId="548A1765">
            <w:pPr>
              <w:pStyle w:val="17"/>
              <w:jc w:val="left"/>
              <w:rPr>
                <w:b/>
                <w:sz w:val="20"/>
              </w:rPr>
            </w:pPr>
          </w:p>
          <w:p w14:paraId="64ABD8DD">
            <w:pPr>
              <w:pStyle w:val="17"/>
              <w:jc w:val="left"/>
              <w:rPr>
                <w:b/>
                <w:sz w:val="20"/>
              </w:rPr>
            </w:pPr>
          </w:p>
          <w:p w14:paraId="3BA947B9">
            <w:pPr>
              <w:pStyle w:val="17"/>
              <w:jc w:val="left"/>
              <w:rPr>
                <w:b/>
                <w:sz w:val="20"/>
              </w:rPr>
            </w:pPr>
          </w:p>
          <w:p w14:paraId="70F0A405">
            <w:pPr>
              <w:pStyle w:val="17"/>
              <w:jc w:val="left"/>
              <w:rPr>
                <w:b/>
                <w:sz w:val="20"/>
              </w:rPr>
            </w:pPr>
          </w:p>
          <w:p w14:paraId="585A3947">
            <w:pPr>
              <w:pStyle w:val="17"/>
              <w:jc w:val="left"/>
              <w:rPr>
                <w:b/>
                <w:sz w:val="20"/>
              </w:rPr>
            </w:pPr>
          </w:p>
          <w:p w14:paraId="1B569ECE">
            <w:pPr>
              <w:pStyle w:val="17"/>
              <w:spacing w:before="134" w:line="242" w:lineRule="auto"/>
              <w:ind w:left="183" w:right="172"/>
              <w:jc w:val="both"/>
              <w:rPr>
                <w:sz w:val="21"/>
              </w:rPr>
            </w:pPr>
            <w:r>
              <w:rPr>
                <w:w w:val="95"/>
                <w:sz w:val="21"/>
              </w:rPr>
              <w:t>本项目位于湖南汨罗高新技术产业开发区新市片区中塑新材料公司内</w:t>
            </w:r>
          </w:p>
          <w:p w14:paraId="07670A26">
            <w:pPr>
              <w:pStyle w:val="17"/>
              <w:spacing w:line="244" w:lineRule="auto"/>
              <w:ind w:left="812" w:right="146" w:hanging="658"/>
              <w:jc w:val="left"/>
              <w:rPr>
                <w:sz w:val="21"/>
              </w:rPr>
            </w:pPr>
            <w:r>
              <w:rPr>
                <w:rFonts w:ascii="Times New Roman" w:eastAsia="Times New Roman"/>
                <w:sz w:val="21"/>
              </w:rPr>
              <w:t xml:space="preserve">16 </w:t>
            </w:r>
            <w:r>
              <w:rPr>
                <w:sz w:val="21"/>
              </w:rPr>
              <w:t>栋厂房，符合产业区规划定位</w:t>
            </w:r>
          </w:p>
        </w:tc>
        <w:tc>
          <w:tcPr>
            <w:tcW w:w="1056" w:type="dxa"/>
            <w:vMerge w:val="restart"/>
            <w:tcBorders>
              <w:right w:val="nil"/>
            </w:tcBorders>
          </w:tcPr>
          <w:p w14:paraId="636F519E">
            <w:pPr>
              <w:pStyle w:val="17"/>
              <w:jc w:val="left"/>
              <w:rPr>
                <w:b/>
                <w:sz w:val="20"/>
              </w:rPr>
            </w:pPr>
          </w:p>
          <w:p w14:paraId="7E4B031E">
            <w:pPr>
              <w:pStyle w:val="17"/>
              <w:jc w:val="left"/>
              <w:rPr>
                <w:b/>
                <w:sz w:val="20"/>
              </w:rPr>
            </w:pPr>
          </w:p>
          <w:p w14:paraId="0FA2E7FE">
            <w:pPr>
              <w:pStyle w:val="17"/>
              <w:jc w:val="left"/>
              <w:rPr>
                <w:b/>
                <w:sz w:val="20"/>
              </w:rPr>
            </w:pPr>
          </w:p>
          <w:p w14:paraId="5A7E613A">
            <w:pPr>
              <w:pStyle w:val="17"/>
              <w:jc w:val="left"/>
              <w:rPr>
                <w:b/>
                <w:sz w:val="20"/>
              </w:rPr>
            </w:pPr>
          </w:p>
          <w:p w14:paraId="0849FCAD">
            <w:pPr>
              <w:pStyle w:val="17"/>
              <w:jc w:val="left"/>
              <w:rPr>
                <w:b/>
                <w:sz w:val="20"/>
              </w:rPr>
            </w:pPr>
          </w:p>
          <w:p w14:paraId="2C4F7B37">
            <w:pPr>
              <w:pStyle w:val="17"/>
              <w:jc w:val="left"/>
              <w:rPr>
                <w:b/>
                <w:sz w:val="20"/>
              </w:rPr>
            </w:pPr>
          </w:p>
          <w:p w14:paraId="0A614A9C">
            <w:pPr>
              <w:pStyle w:val="17"/>
              <w:jc w:val="left"/>
              <w:rPr>
                <w:b/>
                <w:sz w:val="20"/>
              </w:rPr>
            </w:pPr>
          </w:p>
          <w:p w14:paraId="2EDE0F8D">
            <w:pPr>
              <w:pStyle w:val="17"/>
              <w:jc w:val="left"/>
              <w:rPr>
                <w:b/>
                <w:sz w:val="20"/>
              </w:rPr>
            </w:pPr>
          </w:p>
          <w:p w14:paraId="3A2BEC32">
            <w:pPr>
              <w:pStyle w:val="17"/>
              <w:jc w:val="left"/>
              <w:rPr>
                <w:b/>
                <w:sz w:val="20"/>
              </w:rPr>
            </w:pPr>
          </w:p>
          <w:p w14:paraId="344DDEAF">
            <w:pPr>
              <w:pStyle w:val="17"/>
              <w:jc w:val="left"/>
              <w:rPr>
                <w:b/>
                <w:sz w:val="20"/>
              </w:rPr>
            </w:pPr>
          </w:p>
          <w:p w14:paraId="2B4DFED3">
            <w:pPr>
              <w:pStyle w:val="17"/>
              <w:spacing w:before="166"/>
              <w:ind w:left="316"/>
              <w:jc w:val="left"/>
              <w:rPr>
                <w:sz w:val="21"/>
              </w:rPr>
            </w:pPr>
            <w:r>
              <w:rPr>
                <w:sz w:val="21"/>
              </w:rPr>
              <w:t>符合</w:t>
            </w:r>
          </w:p>
        </w:tc>
      </w:tr>
      <w:tr w14:paraId="780B0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1" w:hRule="atLeast"/>
        </w:trPr>
        <w:tc>
          <w:tcPr>
            <w:tcW w:w="1036" w:type="dxa"/>
            <w:tcBorders>
              <w:left w:val="nil"/>
            </w:tcBorders>
          </w:tcPr>
          <w:p w14:paraId="010CFFC7">
            <w:pPr>
              <w:pStyle w:val="17"/>
              <w:jc w:val="left"/>
              <w:rPr>
                <w:b/>
                <w:sz w:val="20"/>
              </w:rPr>
            </w:pPr>
          </w:p>
          <w:p w14:paraId="48BC6DC7">
            <w:pPr>
              <w:pStyle w:val="17"/>
              <w:jc w:val="left"/>
              <w:rPr>
                <w:b/>
                <w:sz w:val="20"/>
              </w:rPr>
            </w:pPr>
          </w:p>
          <w:p w14:paraId="6ADAABC4">
            <w:pPr>
              <w:pStyle w:val="17"/>
              <w:jc w:val="left"/>
              <w:rPr>
                <w:b/>
                <w:sz w:val="20"/>
              </w:rPr>
            </w:pPr>
          </w:p>
          <w:p w14:paraId="6A10B322">
            <w:pPr>
              <w:pStyle w:val="17"/>
              <w:jc w:val="left"/>
              <w:rPr>
                <w:b/>
                <w:sz w:val="20"/>
              </w:rPr>
            </w:pPr>
          </w:p>
          <w:p w14:paraId="5F7E2F3A">
            <w:pPr>
              <w:pStyle w:val="17"/>
              <w:jc w:val="left"/>
              <w:rPr>
                <w:b/>
                <w:sz w:val="20"/>
              </w:rPr>
            </w:pPr>
          </w:p>
          <w:p w14:paraId="4C245CEB">
            <w:pPr>
              <w:pStyle w:val="17"/>
              <w:jc w:val="left"/>
              <w:rPr>
                <w:b/>
                <w:sz w:val="20"/>
              </w:rPr>
            </w:pPr>
          </w:p>
          <w:p w14:paraId="4753BBF4">
            <w:pPr>
              <w:pStyle w:val="17"/>
              <w:jc w:val="left"/>
              <w:rPr>
                <w:b/>
                <w:sz w:val="20"/>
              </w:rPr>
            </w:pPr>
          </w:p>
          <w:p w14:paraId="67EFA6A9">
            <w:pPr>
              <w:pStyle w:val="17"/>
              <w:jc w:val="left"/>
              <w:rPr>
                <w:b/>
                <w:sz w:val="20"/>
              </w:rPr>
            </w:pPr>
          </w:p>
          <w:p w14:paraId="15F5745A">
            <w:pPr>
              <w:pStyle w:val="17"/>
              <w:spacing w:before="130" w:line="242" w:lineRule="auto"/>
              <w:ind w:left="416" w:right="192" w:hanging="209"/>
              <w:jc w:val="left"/>
              <w:rPr>
                <w:sz w:val="21"/>
              </w:rPr>
            </w:pPr>
            <w:r>
              <w:rPr>
                <w:sz w:val="21"/>
              </w:rPr>
              <w:t>主导产业</w:t>
            </w:r>
          </w:p>
        </w:tc>
        <w:tc>
          <w:tcPr>
            <w:tcW w:w="3961" w:type="dxa"/>
          </w:tcPr>
          <w:p w14:paraId="71EF45C5">
            <w:pPr>
              <w:pStyle w:val="17"/>
              <w:spacing w:before="1" w:line="242" w:lineRule="auto"/>
              <w:ind w:left="107" w:right="97" w:hanging="3"/>
              <w:rPr>
                <w:sz w:val="21"/>
              </w:rPr>
            </w:pPr>
            <w:r>
              <w:rPr>
                <w:sz w:val="21"/>
              </w:rPr>
              <w:t>湘环评函</w:t>
            </w:r>
            <w:r>
              <w:rPr>
                <w:rFonts w:ascii="Times New Roman" w:eastAsia="Times New Roman"/>
                <w:sz w:val="21"/>
              </w:rPr>
              <w:t xml:space="preserve">[2019]8 </w:t>
            </w:r>
            <w:r>
              <w:rPr>
                <w:sz w:val="21"/>
              </w:rPr>
              <w:t>号：以再生资源回收利</w:t>
            </w:r>
            <w:r>
              <w:rPr>
                <w:spacing w:val="-6"/>
                <w:w w:val="95"/>
                <w:sz w:val="21"/>
              </w:rPr>
              <w:t>用、有色金属精深加工、先进制造产业为</w:t>
            </w:r>
            <w:r>
              <w:rPr>
                <w:spacing w:val="-7"/>
                <w:w w:val="95"/>
                <w:sz w:val="21"/>
              </w:rPr>
              <w:t>主导，辅以发展安防建材、新材料、电子</w:t>
            </w:r>
            <w:r>
              <w:rPr>
                <w:spacing w:val="-7"/>
                <w:sz w:val="21"/>
              </w:rPr>
              <w:t>信息三大特色产业；</w:t>
            </w:r>
          </w:p>
          <w:p w14:paraId="36FADAAA">
            <w:pPr>
              <w:pStyle w:val="17"/>
              <w:spacing w:before="2" w:line="242" w:lineRule="auto"/>
              <w:ind w:left="107" w:right="61" w:hanging="37"/>
              <w:rPr>
                <w:sz w:val="21"/>
              </w:rPr>
            </w:pPr>
            <w:r>
              <w:rPr>
                <w:sz w:val="21"/>
              </w:rPr>
              <w:t>湘发改函</w:t>
            </w:r>
            <w:r>
              <w:rPr>
                <w:rFonts w:ascii="Times New Roman" w:eastAsia="Times New Roman"/>
                <w:sz w:val="21"/>
              </w:rPr>
              <w:t>[2018]126</w:t>
            </w:r>
            <w:r>
              <w:rPr>
                <w:rFonts w:ascii="Times New Roman" w:eastAsia="Times New Roman"/>
                <w:spacing w:val="-3"/>
                <w:sz w:val="21"/>
              </w:rPr>
              <w:t xml:space="preserve"> </w:t>
            </w:r>
            <w:r>
              <w:rPr>
                <w:sz w:val="21"/>
              </w:rPr>
              <w:t>号：新市片区重点发</w:t>
            </w:r>
            <w:r>
              <w:rPr>
                <w:spacing w:val="-4"/>
                <w:sz w:val="21"/>
              </w:rPr>
              <w:t>展再生资源深加工，先进制造，有色金属</w:t>
            </w:r>
            <w:r>
              <w:rPr>
                <w:spacing w:val="-4"/>
                <w:w w:val="95"/>
                <w:sz w:val="21"/>
              </w:rPr>
              <w:t xml:space="preserve">深加工，再生资源回收交易与拆解加工； </w:t>
            </w:r>
            <w:r>
              <w:rPr>
                <w:spacing w:val="-6"/>
                <w:sz w:val="21"/>
              </w:rPr>
              <w:t>弼时片区重点发展先进制造、新材料、电子信息产业。</w:t>
            </w:r>
          </w:p>
          <w:p w14:paraId="3F404825">
            <w:pPr>
              <w:pStyle w:val="17"/>
              <w:spacing w:before="2" w:line="244" w:lineRule="auto"/>
              <w:ind w:left="143" w:right="133"/>
              <w:rPr>
                <w:sz w:val="21"/>
              </w:rPr>
            </w:pPr>
            <w:r>
              <w:rPr>
                <w:spacing w:val="-10"/>
                <w:sz w:val="21"/>
              </w:rPr>
              <w:t xml:space="preserve">六部委公告 </w:t>
            </w:r>
            <w:r>
              <w:rPr>
                <w:rFonts w:ascii="Times New Roman" w:eastAsia="Times New Roman"/>
                <w:sz w:val="21"/>
              </w:rPr>
              <w:t xml:space="preserve">2018 </w:t>
            </w:r>
            <w:r>
              <w:rPr>
                <w:spacing w:val="-18"/>
                <w:sz w:val="21"/>
              </w:rPr>
              <w:t xml:space="preserve">年第 </w:t>
            </w:r>
            <w:r>
              <w:rPr>
                <w:rFonts w:ascii="Times New Roman" w:eastAsia="Times New Roman"/>
                <w:sz w:val="21"/>
              </w:rPr>
              <w:t xml:space="preserve">4 </w:t>
            </w:r>
            <w:r>
              <w:rPr>
                <w:sz w:val="21"/>
              </w:rPr>
              <w:t>号：再生资源、电子信息、机械；</w:t>
            </w:r>
          </w:p>
          <w:p w14:paraId="27D5DBA0">
            <w:pPr>
              <w:pStyle w:val="17"/>
              <w:spacing w:line="242" w:lineRule="auto"/>
              <w:ind w:left="107" w:right="97" w:hanging="5"/>
              <w:rPr>
                <w:sz w:val="21"/>
              </w:rPr>
            </w:pPr>
            <w:r>
              <w:rPr>
                <w:sz w:val="21"/>
              </w:rPr>
              <w:t>湘环评函〔</w:t>
            </w:r>
            <w:r>
              <w:rPr>
                <w:rFonts w:ascii="Times New Roman" w:hAnsi="Times New Roman" w:eastAsia="Times New Roman"/>
                <w:sz w:val="21"/>
              </w:rPr>
              <w:t>2014</w:t>
            </w:r>
            <w:r>
              <w:rPr>
                <w:sz w:val="21"/>
              </w:rPr>
              <w:t>〕</w:t>
            </w:r>
            <w:r>
              <w:rPr>
                <w:rFonts w:ascii="Times New Roman" w:hAnsi="Times New Roman" w:eastAsia="Times New Roman"/>
                <w:sz w:val="21"/>
              </w:rPr>
              <w:t xml:space="preserve">137 </w:t>
            </w:r>
            <w:r>
              <w:rPr>
                <w:sz w:val="21"/>
              </w:rPr>
              <w:t>号：新市片区功能定位为再生资源回收和再生资源加工基</w:t>
            </w:r>
            <w:r>
              <w:rPr>
                <w:spacing w:val="-6"/>
                <w:w w:val="95"/>
                <w:sz w:val="21"/>
              </w:rPr>
              <w:t>地；弼时片区为长沙经开区和汨罗市合作共建的跨市州合作的</w:t>
            </w:r>
            <w:r>
              <w:rPr>
                <w:rFonts w:ascii="Times New Roman" w:hAnsi="Times New Roman" w:eastAsia="Times New Roman"/>
                <w:spacing w:val="-6"/>
                <w:w w:val="95"/>
                <w:sz w:val="21"/>
              </w:rPr>
              <w:t>“</w:t>
            </w:r>
            <w:r>
              <w:rPr>
                <w:spacing w:val="-6"/>
                <w:w w:val="95"/>
                <w:sz w:val="21"/>
              </w:rPr>
              <w:t>飞地园区</w:t>
            </w:r>
            <w:r>
              <w:rPr>
                <w:rFonts w:ascii="Times New Roman" w:hAnsi="Times New Roman" w:eastAsia="Times New Roman"/>
                <w:spacing w:val="-5"/>
                <w:w w:val="95"/>
                <w:sz w:val="21"/>
              </w:rPr>
              <w:t>”</w:t>
            </w:r>
            <w:r>
              <w:rPr>
                <w:spacing w:val="-2"/>
                <w:w w:val="95"/>
                <w:sz w:val="21"/>
              </w:rPr>
              <w:t>，主要承接由长沙经开区</w:t>
            </w:r>
            <w:r>
              <w:rPr>
                <w:rFonts w:ascii="Times New Roman" w:hAnsi="Times New Roman" w:eastAsia="Times New Roman"/>
                <w:spacing w:val="-2"/>
                <w:w w:val="95"/>
                <w:sz w:val="21"/>
              </w:rPr>
              <w:t>“</w:t>
            </w:r>
            <w:r>
              <w:rPr>
                <w:spacing w:val="-2"/>
                <w:w w:val="95"/>
                <w:sz w:val="21"/>
              </w:rPr>
              <w:t>飞出</w:t>
            </w:r>
            <w:r>
              <w:rPr>
                <w:rFonts w:ascii="Times New Roman" w:hAnsi="Times New Roman" w:eastAsia="Times New Roman"/>
                <w:spacing w:val="-2"/>
                <w:w w:val="95"/>
                <w:sz w:val="21"/>
              </w:rPr>
              <w:t>”</w:t>
            </w:r>
            <w:r>
              <w:rPr>
                <w:spacing w:val="-4"/>
                <w:w w:val="95"/>
                <w:sz w:val="21"/>
              </w:rPr>
              <w:t>的先进制造业、新</w:t>
            </w:r>
            <w:r>
              <w:rPr>
                <w:spacing w:val="-7"/>
                <w:w w:val="95"/>
                <w:sz w:val="21"/>
              </w:rPr>
              <w:t>材料业、电子信息产业，功能定位为先进</w:t>
            </w:r>
          </w:p>
          <w:p w14:paraId="457753A6">
            <w:pPr>
              <w:pStyle w:val="17"/>
              <w:spacing w:line="251" w:lineRule="exact"/>
              <w:ind w:left="138" w:right="133"/>
              <w:rPr>
                <w:sz w:val="21"/>
              </w:rPr>
            </w:pPr>
            <w:r>
              <w:rPr>
                <w:sz w:val="21"/>
              </w:rPr>
              <w:t>制造基地</w:t>
            </w:r>
          </w:p>
        </w:tc>
        <w:tc>
          <w:tcPr>
            <w:tcW w:w="2466" w:type="dxa"/>
            <w:vMerge w:val="continue"/>
            <w:tcBorders>
              <w:top w:val="nil"/>
            </w:tcBorders>
          </w:tcPr>
          <w:p w14:paraId="0C14B21A">
            <w:pPr>
              <w:rPr>
                <w:sz w:val="2"/>
                <w:szCs w:val="2"/>
              </w:rPr>
            </w:pPr>
          </w:p>
        </w:tc>
        <w:tc>
          <w:tcPr>
            <w:tcW w:w="1056" w:type="dxa"/>
            <w:vMerge w:val="continue"/>
            <w:tcBorders>
              <w:top w:val="nil"/>
              <w:right w:val="nil"/>
            </w:tcBorders>
          </w:tcPr>
          <w:p w14:paraId="54FE94DA">
            <w:pPr>
              <w:rPr>
                <w:sz w:val="2"/>
                <w:szCs w:val="2"/>
              </w:rPr>
            </w:pPr>
          </w:p>
        </w:tc>
      </w:tr>
      <w:tr w14:paraId="7BBD2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5" w:hRule="atLeast"/>
        </w:trPr>
        <w:tc>
          <w:tcPr>
            <w:tcW w:w="1036" w:type="dxa"/>
            <w:tcBorders>
              <w:left w:val="nil"/>
            </w:tcBorders>
          </w:tcPr>
          <w:p w14:paraId="5499B021">
            <w:pPr>
              <w:pStyle w:val="17"/>
              <w:jc w:val="left"/>
              <w:rPr>
                <w:b/>
                <w:sz w:val="20"/>
              </w:rPr>
            </w:pPr>
          </w:p>
          <w:p w14:paraId="4B9391BB">
            <w:pPr>
              <w:pStyle w:val="17"/>
              <w:jc w:val="left"/>
              <w:rPr>
                <w:b/>
                <w:sz w:val="20"/>
              </w:rPr>
            </w:pPr>
          </w:p>
          <w:p w14:paraId="2AC69D71">
            <w:pPr>
              <w:pStyle w:val="17"/>
              <w:jc w:val="left"/>
              <w:rPr>
                <w:b/>
                <w:sz w:val="20"/>
              </w:rPr>
            </w:pPr>
          </w:p>
          <w:p w14:paraId="476D1DDC">
            <w:pPr>
              <w:pStyle w:val="17"/>
              <w:jc w:val="left"/>
              <w:rPr>
                <w:b/>
                <w:sz w:val="20"/>
              </w:rPr>
            </w:pPr>
          </w:p>
          <w:p w14:paraId="0A3897BE">
            <w:pPr>
              <w:pStyle w:val="17"/>
              <w:jc w:val="left"/>
              <w:rPr>
                <w:b/>
                <w:sz w:val="20"/>
              </w:rPr>
            </w:pPr>
          </w:p>
          <w:p w14:paraId="0321A8D0">
            <w:pPr>
              <w:pStyle w:val="17"/>
              <w:jc w:val="left"/>
              <w:rPr>
                <w:b/>
                <w:sz w:val="20"/>
              </w:rPr>
            </w:pPr>
          </w:p>
          <w:p w14:paraId="09ABF08B">
            <w:pPr>
              <w:pStyle w:val="17"/>
              <w:jc w:val="left"/>
              <w:rPr>
                <w:b/>
                <w:sz w:val="20"/>
              </w:rPr>
            </w:pPr>
          </w:p>
          <w:p w14:paraId="2A97B46D">
            <w:pPr>
              <w:pStyle w:val="17"/>
              <w:jc w:val="left"/>
              <w:rPr>
                <w:b/>
                <w:sz w:val="20"/>
              </w:rPr>
            </w:pPr>
          </w:p>
          <w:p w14:paraId="17A32277">
            <w:pPr>
              <w:pStyle w:val="17"/>
              <w:spacing w:before="9"/>
              <w:jc w:val="left"/>
              <w:rPr>
                <w:b/>
                <w:sz w:val="20"/>
              </w:rPr>
            </w:pPr>
          </w:p>
          <w:p w14:paraId="4EDFFA14">
            <w:pPr>
              <w:pStyle w:val="17"/>
              <w:spacing w:line="242" w:lineRule="auto"/>
              <w:ind w:left="207" w:right="192"/>
              <w:jc w:val="left"/>
              <w:rPr>
                <w:sz w:val="21"/>
              </w:rPr>
            </w:pPr>
            <w:r>
              <w:rPr>
                <w:sz w:val="21"/>
              </w:rPr>
              <w:t>空间布局约束</w:t>
            </w:r>
          </w:p>
        </w:tc>
        <w:tc>
          <w:tcPr>
            <w:tcW w:w="3961" w:type="dxa"/>
          </w:tcPr>
          <w:p w14:paraId="101EC13B">
            <w:pPr>
              <w:pStyle w:val="17"/>
              <w:spacing w:before="1"/>
              <w:ind w:left="138" w:right="133"/>
              <w:rPr>
                <w:sz w:val="21"/>
              </w:rPr>
            </w:pPr>
            <w:r>
              <w:rPr>
                <w:sz w:val="21"/>
              </w:rPr>
              <w:t>新市片区：</w:t>
            </w:r>
          </w:p>
          <w:p w14:paraId="3EA09BA7">
            <w:pPr>
              <w:pStyle w:val="17"/>
              <w:spacing w:before="3" w:line="242" w:lineRule="auto"/>
              <w:ind w:left="107" w:right="-44"/>
              <w:jc w:val="left"/>
              <w:rPr>
                <w:sz w:val="21"/>
              </w:rPr>
            </w:pPr>
            <w:r>
              <w:rPr>
                <w:spacing w:val="1"/>
                <w:w w:val="99"/>
                <w:sz w:val="21"/>
              </w:rPr>
              <w:t>（</w:t>
            </w:r>
            <w:r>
              <w:rPr>
                <w:rFonts w:ascii="Times New Roman" w:eastAsia="Times New Roman"/>
                <w:spacing w:val="0"/>
                <w:w w:val="99"/>
                <w:sz w:val="21"/>
              </w:rPr>
              <w:t>1</w:t>
            </w:r>
            <w:r>
              <w:rPr>
                <w:rFonts w:ascii="Times New Roman" w:eastAsia="Times New Roman"/>
                <w:w w:val="99"/>
                <w:sz w:val="21"/>
              </w:rPr>
              <w:t>.</w:t>
            </w:r>
            <w:r>
              <w:rPr>
                <w:rFonts w:ascii="Times New Roman" w:eastAsia="Times New Roman"/>
                <w:spacing w:val="-2"/>
                <w:w w:val="99"/>
                <w:sz w:val="21"/>
              </w:rPr>
              <w:t>1</w:t>
            </w:r>
            <w:r>
              <w:rPr>
                <w:spacing w:val="-87"/>
                <w:w w:val="99"/>
                <w:sz w:val="21"/>
              </w:rPr>
              <w:t>）</w:t>
            </w:r>
            <w:r>
              <w:rPr>
                <w:spacing w:val="-1"/>
                <w:w w:val="99"/>
                <w:sz w:val="21"/>
              </w:rPr>
              <w:t>再生资源回收利用行业禁止引进不</w:t>
            </w:r>
            <w:r>
              <w:rPr>
                <w:spacing w:val="-11"/>
                <w:w w:val="95"/>
                <w:sz w:val="21"/>
              </w:rPr>
              <w:t>能满足《废塑料综合利用行业规范条件》、</w:t>
            </w:r>
          </w:p>
          <w:p w14:paraId="5839DD7F">
            <w:pPr>
              <w:pStyle w:val="17"/>
              <w:spacing w:before="1" w:line="242" w:lineRule="auto"/>
              <w:ind w:left="107" w:right="61" w:hanging="39"/>
              <w:rPr>
                <w:sz w:val="21"/>
              </w:rPr>
            </w:pPr>
            <w:r>
              <w:rPr>
                <w:sz w:val="21"/>
              </w:rPr>
              <w:t xml:space="preserve">《废塑料回收与再生利用污染控制技术 </w:t>
            </w:r>
            <w:r>
              <w:rPr>
                <w:w w:val="95"/>
                <w:sz w:val="21"/>
              </w:rPr>
              <w:t>规范（试行）》、《铝行业规范条件》、</w:t>
            </w:r>
          </w:p>
          <w:p w14:paraId="07F8761E">
            <w:pPr>
              <w:pStyle w:val="17"/>
              <w:spacing w:before="1" w:line="244" w:lineRule="auto"/>
              <w:ind w:left="73" w:right="63"/>
              <w:rPr>
                <w:sz w:val="21"/>
              </w:rPr>
            </w:pPr>
            <w:r>
              <w:rPr>
                <w:w w:val="95"/>
                <w:sz w:val="21"/>
              </w:rPr>
              <w:t>《铜冶炼行业规范条件》要求的项目；禁</w:t>
            </w:r>
            <w:r>
              <w:rPr>
                <w:sz w:val="21"/>
              </w:rPr>
              <w:t>止引进水耗、能耗高的行业。</w:t>
            </w:r>
          </w:p>
          <w:p w14:paraId="439396F8">
            <w:pPr>
              <w:pStyle w:val="17"/>
              <w:spacing w:line="242" w:lineRule="auto"/>
              <w:ind w:left="107" w:right="97"/>
              <w:rPr>
                <w:sz w:val="21"/>
              </w:rPr>
            </w:pPr>
            <w:r>
              <w:rPr>
                <w:spacing w:val="1"/>
                <w:w w:val="99"/>
                <w:sz w:val="21"/>
              </w:rPr>
              <w:t>（</w:t>
            </w:r>
            <w:r>
              <w:rPr>
                <w:rFonts w:ascii="Times New Roman" w:eastAsia="Times New Roman"/>
                <w:spacing w:val="0"/>
                <w:w w:val="99"/>
                <w:sz w:val="21"/>
              </w:rPr>
              <w:t>1</w:t>
            </w:r>
            <w:r>
              <w:rPr>
                <w:rFonts w:ascii="Times New Roman" w:eastAsia="Times New Roman"/>
                <w:w w:val="99"/>
                <w:sz w:val="21"/>
              </w:rPr>
              <w:t>.</w:t>
            </w:r>
            <w:r>
              <w:rPr>
                <w:rFonts w:ascii="Times New Roman" w:eastAsia="Times New Roman"/>
                <w:spacing w:val="-2"/>
                <w:w w:val="99"/>
                <w:sz w:val="21"/>
              </w:rPr>
              <w:t>2</w:t>
            </w:r>
            <w:r>
              <w:rPr>
                <w:spacing w:val="-87"/>
                <w:w w:val="99"/>
                <w:sz w:val="21"/>
              </w:rPr>
              <w:t>）</w:t>
            </w:r>
            <w:r>
              <w:rPr>
                <w:spacing w:val="-1"/>
                <w:w w:val="99"/>
                <w:sz w:val="21"/>
              </w:rPr>
              <w:t>管委会采取分期拆迁和棚改拆迁的</w:t>
            </w:r>
            <w:r>
              <w:rPr>
                <w:spacing w:val="-1"/>
                <w:sz w:val="21"/>
              </w:rPr>
              <w:t>方式对与规划用地性质不符的安置区逐步拆迁到位。</w:t>
            </w:r>
          </w:p>
          <w:p w14:paraId="45E4E9B6">
            <w:pPr>
              <w:pStyle w:val="17"/>
              <w:spacing w:line="242" w:lineRule="auto"/>
              <w:ind w:left="107" w:right="61"/>
              <w:jc w:val="left"/>
              <w:rPr>
                <w:sz w:val="21"/>
              </w:rPr>
            </w:pPr>
            <w:r>
              <w:rPr>
                <w:spacing w:val="1"/>
                <w:w w:val="99"/>
                <w:sz w:val="21"/>
              </w:rPr>
              <w:t>（</w:t>
            </w:r>
            <w:r>
              <w:rPr>
                <w:rFonts w:ascii="Times New Roman" w:eastAsia="Times New Roman"/>
                <w:spacing w:val="0"/>
                <w:w w:val="99"/>
                <w:sz w:val="21"/>
              </w:rPr>
              <w:t>1</w:t>
            </w:r>
            <w:r>
              <w:rPr>
                <w:rFonts w:ascii="Times New Roman" w:eastAsia="Times New Roman"/>
                <w:w w:val="99"/>
                <w:sz w:val="21"/>
              </w:rPr>
              <w:t>.</w:t>
            </w:r>
            <w:r>
              <w:rPr>
                <w:rFonts w:ascii="Times New Roman" w:eastAsia="Times New Roman"/>
                <w:spacing w:val="-2"/>
                <w:w w:val="99"/>
                <w:sz w:val="21"/>
              </w:rPr>
              <w:t>3</w:t>
            </w:r>
            <w:r>
              <w:rPr>
                <w:spacing w:val="-87"/>
                <w:w w:val="99"/>
                <w:sz w:val="21"/>
              </w:rPr>
              <w:t>）</w:t>
            </w:r>
            <w:r>
              <w:rPr>
                <w:spacing w:val="-1"/>
                <w:w w:val="99"/>
                <w:sz w:val="21"/>
              </w:rPr>
              <w:t>在下一步控规编制和修编时将新市</w:t>
            </w:r>
            <w:r>
              <w:rPr>
                <w:spacing w:val="-5"/>
                <w:sz w:val="21"/>
              </w:rPr>
              <w:t>片区西片区规划的绿地</w:t>
            </w:r>
            <w:r>
              <w:rPr>
                <w:sz w:val="21"/>
              </w:rPr>
              <w:t>（现已开发为工业</w:t>
            </w:r>
            <w:r>
              <w:rPr>
                <w:w w:val="95"/>
                <w:sz w:val="21"/>
              </w:rPr>
              <w:t xml:space="preserve">用地）按实际使用功能调整为工业用地， </w:t>
            </w:r>
            <w:r>
              <w:rPr>
                <w:sz w:val="21"/>
              </w:rPr>
              <w:t xml:space="preserve">西片区靠近新市镇区的二类工业用地调 </w:t>
            </w:r>
            <w:r>
              <w:rPr>
                <w:spacing w:val="-4"/>
                <w:sz w:val="21"/>
              </w:rPr>
              <w:t>整为一类工业用地，以减轻对镇区环境的</w:t>
            </w:r>
            <w:r>
              <w:rPr>
                <w:spacing w:val="-7"/>
                <w:sz w:val="21"/>
              </w:rPr>
              <w:t>不利影响；新市片区南部远景规划用地位</w:t>
            </w:r>
            <w:r>
              <w:rPr>
                <w:spacing w:val="-9"/>
                <w:sz w:val="21"/>
              </w:rPr>
              <w:t>于工业区常年主导风向的下风向，远景规</w:t>
            </w:r>
            <w:r>
              <w:rPr>
                <w:spacing w:val="-12"/>
                <w:sz w:val="21"/>
              </w:rPr>
              <w:t>划时应合理规划用地性质，确保与工业区</w:t>
            </w:r>
          </w:p>
          <w:p w14:paraId="261DC80D">
            <w:pPr>
              <w:pStyle w:val="17"/>
              <w:spacing w:before="2" w:line="252" w:lineRule="exact"/>
              <w:ind w:left="138" w:right="133"/>
              <w:rPr>
                <w:sz w:val="21"/>
              </w:rPr>
            </w:pPr>
            <w:r>
              <w:rPr>
                <w:sz w:val="21"/>
              </w:rPr>
              <w:t>环境相容。</w:t>
            </w:r>
          </w:p>
        </w:tc>
        <w:tc>
          <w:tcPr>
            <w:tcW w:w="2466" w:type="dxa"/>
          </w:tcPr>
          <w:p w14:paraId="194F6A50">
            <w:pPr>
              <w:pStyle w:val="17"/>
              <w:jc w:val="left"/>
              <w:rPr>
                <w:b/>
                <w:sz w:val="20"/>
              </w:rPr>
            </w:pPr>
          </w:p>
          <w:p w14:paraId="5DF5AD04">
            <w:pPr>
              <w:pStyle w:val="17"/>
              <w:jc w:val="left"/>
              <w:rPr>
                <w:b/>
                <w:sz w:val="20"/>
              </w:rPr>
            </w:pPr>
          </w:p>
          <w:p w14:paraId="5989C655">
            <w:pPr>
              <w:pStyle w:val="17"/>
              <w:jc w:val="left"/>
              <w:rPr>
                <w:b/>
                <w:sz w:val="20"/>
              </w:rPr>
            </w:pPr>
          </w:p>
          <w:p w14:paraId="5907F6AD">
            <w:pPr>
              <w:pStyle w:val="17"/>
              <w:spacing w:before="12"/>
              <w:jc w:val="left"/>
              <w:rPr>
                <w:b/>
                <w:sz w:val="24"/>
              </w:rPr>
            </w:pPr>
          </w:p>
          <w:p w14:paraId="65780DE4">
            <w:pPr>
              <w:pStyle w:val="17"/>
              <w:spacing w:line="242" w:lineRule="auto"/>
              <w:ind w:left="106" w:right="98" w:firstLine="2"/>
              <w:rPr>
                <w:sz w:val="21"/>
              </w:rPr>
            </w:pPr>
            <w:r>
              <w:rPr>
                <w:sz w:val="21"/>
              </w:rPr>
              <w:t>本项目使用已破碎清洗</w:t>
            </w:r>
            <w:r>
              <w:rPr>
                <w:spacing w:val="-15"/>
                <w:sz w:val="21"/>
              </w:rPr>
              <w:t xml:space="preserve">后的废 </w:t>
            </w:r>
            <w:r>
              <w:rPr>
                <w:rFonts w:ascii="Times New Roman" w:eastAsia="Times New Roman"/>
                <w:sz w:val="21"/>
              </w:rPr>
              <w:t xml:space="preserve">PE </w:t>
            </w:r>
            <w:r>
              <w:rPr>
                <w:sz w:val="21"/>
              </w:rPr>
              <w:t>塑料经熔融造</w:t>
            </w:r>
            <w:r>
              <w:rPr>
                <w:spacing w:val="-15"/>
                <w:sz w:val="21"/>
              </w:rPr>
              <w:t xml:space="preserve">粒后的 </w:t>
            </w:r>
            <w:r>
              <w:rPr>
                <w:rFonts w:ascii="Times New Roman" w:eastAsia="Times New Roman"/>
                <w:sz w:val="21"/>
              </w:rPr>
              <w:t xml:space="preserve">PE </w:t>
            </w:r>
            <w:r>
              <w:rPr>
                <w:sz w:val="21"/>
              </w:rPr>
              <w:t>再生塑料颗粒</w:t>
            </w:r>
            <w:r>
              <w:rPr>
                <w:spacing w:val="-10"/>
                <w:sz w:val="21"/>
              </w:rPr>
              <w:t xml:space="preserve">作为原料与 </w:t>
            </w:r>
            <w:r>
              <w:rPr>
                <w:rFonts w:ascii="Times New Roman" w:eastAsia="Times New Roman"/>
                <w:sz w:val="21"/>
              </w:rPr>
              <w:t xml:space="preserve">PE </w:t>
            </w:r>
            <w:r>
              <w:rPr>
                <w:sz w:val="21"/>
              </w:rPr>
              <w:t>新料等原辅料混合后生产排水板</w:t>
            </w:r>
            <w:r>
              <w:rPr>
                <w:spacing w:val="-8"/>
                <w:w w:val="95"/>
                <w:sz w:val="21"/>
              </w:rPr>
              <w:t>系列产品，能满足《废塑</w:t>
            </w:r>
            <w:r>
              <w:rPr>
                <w:spacing w:val="-8"/>
                <w:sz w:val="21"/>
              </w:rPr>
              <w:t>料综合利用行业规范条</w:t>
            </w:r>
            <w:r>
              <w:rPr>
                <w:spacing w:val="-9"/>
                <w:w w:val="95"/>
                <w:sz w:val="21"/>
              </w:rPr>
              <w:t>件》、《废塑料回收与再</w:t>
            </w:r>
            <w:r>
              <w:rPr>
                <w:spacing w:val="-9"/>
                <w:sz w:val="21"/>
              </w:rPr>
              <w:t>生利用污染控制技术规</w:t>
            </w:r>
            <w:r>
              <w:rPr>
                <w:spacing w:val="-13"/>
                <w:w w:val="95"/>
                <w:sz w:val="21"/>
              </w:rPr>
              <w:t>范</w:t>
            </w:r>
            <w:r>
              <w:rPr>
                <w:w w:val="95"/>
                <w:sz w:val="21"/>
              </w:rPr>
              <w:t>（试行</w:t>
            </w:r>
            <w:r>
              <w:rPr>
                <w:spacing w:val="-15"/>
                <w:w w:val="95"/>
                <w:sz w:val="21"/>
              </w:rPr>
              <w:t>）</w:t>
            </w:r>
            <w:r>
              <w:rPr>
                <w:spacing w:val="-6"/>
                <w:w w:val="95"/>
                <w:sz w:val="21"/>
              </w:rPr>
              <w:t>》要求，不属</w:t>
            </w:r>
            <w:r>
              <w:rPr>
                <w:spacing w:val="-6"/>
                <w:sz w:val="21"/>
              </w:rPr>
              <w:t>于水耗、能耗高的行业</w:t>
            </w:r>
          </w:p>
        </w:tc>
        <w:tc>
          <w:tcPr>
            <w:tcW w:w="1056" w:type="dxa"/>
            <w:tcBorders>
              <w:right w:val="nil"/>
            </w:tcBorders>
          </w:tcPr>
          <w:p w14:paraId="34CCA9B4">
            <w:pPr>
              <w:pStyle w:val="17"/>
              <w:jc w:val="left"/>
              <w:rPr>
                <w:b/>
                <w:sz w:val="20"/>
              </w:rPr>
            </w:pPr>
          </w:p>
          <w:p w14:paraId="06C58E01">
            <w:pPr>
              <w:pStyle w:val="17"/>
              <w:jc w:val="left"/>
              <w:rPr>
                <w:b/>
                <w:sz w:val="20"/>
              </w:rPr>
            </w:pPr>
          </w:p>
          <w:p w14:paraId="3F156570">
            <w:pPr>
              <w:pStyle w:val="17"/>
              <w:jc w:val="left"/>
              <w:rPr>
                <w:b/>
                <w:sz w:val="20"/>
              </w:rPr>
            </w:pPr>
          </w:p>
          <w:p w14:paraId="0B38F5EE">
            <w:pPr>
              <w:pStyle w:val="17"/>
              <w:jc w:val="left"/>
              <w:rPr>
                <w:b/>
                <w:sz w:val="20"/>
              </w:rPr>
            </w:pPr>
          </w:p>
          <w:p w14:paraId="4155062F">
            <w:pPr>
              <w:pStyle w:val="17"/>
              <w:jc w:val="left"/>
              <w:rPr>
                <w:b/>
                <w:sz w:val="20"/>
              </w:rPr>
            </w:pPr>
          </w:p>
          <w:p w14:paraId="54CE3801">
            <w:pPr>
              <w:pStyle w:val="17"/>
              <w:jc w:val="left"/>
              <w:rPr>
                <w:b/>
                <w:sz w:val="20"/>
              </w:rPr>
            </w:pPr>
          </w:p>
          <w:p w14:paraId="72F3DC7A">
            <w:pPr>
              <w:pStyle w:val="17"/>
              <w:jc w:val="left"/>
              <w:rPr>
                <w:b/>
                <w:sz w:val="20"/>
              </w:rPr>
            </w:pPr>
          </w:p>
          <w:p w14:paraId="672FF239">
            <w:pPr>
              <w:pStyle w:val="17"/>
              <w:jc w:val="left"/>
              <w:rPr>
                <w:b/>
                <w:sz w:val="20"/>
              </w:rPr>
            </w:pPr>
          </w:p>
          <w:p w14:paraId="591081F2">
            <w:pPr>
              <w:pStyle w:val="17"/>
              <w:jc w:val="left"/>
              <w:rPr>
                <w:b/>
                <w:sz w:val="20"/>
              </w:rPr>
            </w:pPr>
          </w:p>
          <w:p w14:paraId="45D09A4A">
            <w:pPr>
              <w:pStyle w:val="17"/>
              <w:spacing w:before="146"/>
              <w:ind w:left="9" w:right="9"/>
              <w:rPr>
                <w:sz w:val="21"/>
              </w:rPr>
            </w:pPr>
            <w:r>
              <w:rPr>
                <w:sz w:val="21"/>
              </w:rPr>
              <w:t>符合</w:t>
            </w:r>
          </w:p>
        </w:tc>
      </w:tr>
      <w:tr w14:paraId="5F8D0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1036" w:type="dxa"/>
            <w:tcBorders>
              <w:left w:val="nil"/>
            </w:tcBorders>
          </w:tcPr>
          <w:p w14:paraId="360491C6">
            <w:pPr>
              <w:pStyle w:val="17"/>
              <w:jc w:val="left"/>
              <w:rPr>
                <w:b/>
                <w:sz w:val="20"/>
              </w:rPr>
            </w:pPr>
          </w:p>
          <w:p w14:paraId="080683C4">
            <w:pPr>
              <w:pStyle w:val="17"/>
              <w:jc w:val="left"/>
              <w:rPr>
                <w:b/>
                <w:sz w:val="20"/>
              </w:rPr>
            </w:pPr>
          </w:p>
          <w:p w14:paraId="3795F1F6">
            <w:pPr>
              <w:pStyle w:val="17"/>
              <w:spacing w:before="167" w:line="242" w:lineRule="auto"/>
              <w:ind w:left="207" w:right="192"/>
              <w:rPr>
                <w:sz w:val="21"/>
              </w:rPr>
            </w:pPr>
            <w:r>
              <w:rPr>
                <w:w w:val="95"/>
                <w:sz w:val="21"/>
              </w:rPr>
              <w:t>污染物排放管</w:t>
            </w:r>
            <w:r>
              <w:rPr>
                <w:sz w:val="21"/>
              </w:rPr>
              <w:t>控</w:t>
            </w:r>
          </w:p>
        </w:tc>
        <w:tc>
          <w:tcPr>
            <w:tcW w:w="3961" w:type="dxa"/>
          </w:tcPr>
          <w:p w14:paraId="3F0D8220">
            <w:pPr>
              <w:pStyle w:val="17"/>
              <w:spacing w:line="242" w:lineRule="auto"/>
              <w:ind w:left="73" w:right="63"/>
              <w:rPr>
                <w:sz w:val="21"/>
              </w:rPr>
            </w:pPr>
            <w:r>
              <w:rPr>
                <w:w w:val="95"/>
                <w:sz w:val="21"/>
              </w:rPr>
              <w:t>废水：不含重金属工业废水和生活污水经</w:t>
            </w:r>
            <w:r>
              <w:rPr>
                <w:sz w:val="21"/>
              </w:rPr>
              <w:t>预处理后汇入汨罗市城市污水处理厂处理达标后排至汨罗江。</w:t>
            </w:r>
          </w:p>
          <w:p w14:paraId="34E3E957">
            <w:pPr>
              <w:pStyle w:val="17"/>
              <w:spacing w:before="1" w:line="242" w:lineRule="auto"/>
              <w:ind w:left="70" w:right="62"/>
              <w:rPr>
                <w:sz w:val="21"/>
              </w:rPr>
            </w:pPr>
            <w:r>
              <w:rPr>
                <w:w w:val="95"/>
                <w:sz w:val="21"/>
              </w:rPr>
              <w:t>废气：加强企业管理，对有工艺废气产污节点的企业，须配置废气收集与处理净化</w:t>
            </w:r>
            <w:r>
              <w:rPr>
                <w:sz w:val="21"/>
              </w:rPr>
              <w:t>装置，确保达标排放。</w:t>
            </w:r>
          </w:p>
          <w:p w14:paraId="0D7E0A57">
            <w:pPr>
              <w:pStyle w:val="17"/>
              <w:spacing w:before="2" w:line="270" w:lineRule="atLeast"/>
              <w:ind w:left="107" w:right="61" w:hanging="37"/>
              <w:rPr>
                <w:sz w:val="21"/>
              </w:rPr>
            </w:pPr>
            <w:r>
              <w:rPr>
                <w:sz w:val="21"/>
              </w:rPr>
              <w:t>固废：做好工业固体废物和生活垃圾的分</w:t>
            </w:r>
            <w:r>
              <w:rPr>
                <w:w w:val="95"/>
                <w:sz w:val="21"/>
              </w:rPr>
              <w:t>类收集、转运、综合利用和无害化处理，</w:t>
            </w:r>
          </w:p>
        </w:tc>
        <w:tc>
          <w:tcPr>
            <w:tcW w:w="2466" w:type="dxa"/>
          </w:tcPr>
          <w:p w14:paraId="5FC1739A">
            <w:pPr>
              <w:pStyle w:val="17"/>
              <w:spacing w:line="242" w:lineRule="auto"/>
              <w:ind w:left="106" w:right="98"/>
              <w:rPr>
                <w:sz w:val="21"/>
              </w:rPr>
            </w:pPr>
            <w:r>
              <w:rPr>
                <w:spacing w:val="-8"/>
                <w:w w:val="95"/>
                <w:sz w:val="21"/>
              </w:rPr>
              <w:t>废水：本项目生活污水经</w:t>
            </w:r>
            <w:r>
              <w:rPr>
                <w:spacing w:val="-8"/>
                <w:sz w:val="21"/>
              </w:rPr>
              <w:t>预处理后汇入汨罗市城市污水处理厂处理达标后排放至汨罗江。</w:t>
            </w:r>
          </w:p>
          <w:p w14:paraId="491E6D24">
            <w:pPr>
              <w:pStyle w:val="17"/>
              <w:spacing w:before="1" w:line="244" w:lineRule="auto"/>
              <w:ind w:left="183" w:right="38" w:hanging="77"/>
              <w:jc w:val="left"/>
              <w:rPr>
                <w:sz w:val="21"/>
              </w:rPr>
            </w:pPr>
            <w:r>
              <w:rPr>
                <w:w w:val="95"/>
                <w:sz w:val="21"/>
              </w:rPr>
              <w:t>废气：本项目破碎粉尘、</w:t>
            </w:r>
            <w:r>
              <w:rPr>
                <w:sz w:val="21"/>
              </w:rPr>
              <w:t>混料粉尘采用全密闭收</w:t>
            </w:r>
            <w:r>
              <w:rPr>
                <w:w w:val="95"/>
                <w:sz w:val="21"/>
              </w:rPr>
              <w:t>集罩收集后经布袋除尘</w:t>
            </w:r>
          </w:p>
          <w:p w14:paraId="67DA8592">
            <w:pPr>
              <w:pStyle w:val="17"/>
              <w:spacing w:line="246" w:lineRule="exact"/>
              <w:ind w:left="154"/>
              <w:jc w:val="left"/>
              <w:rPr>
                <w:sz w:val="21"/>
              </w:rPr>
            </w:pPr>
            <w:r>
              <w:rPr>
                <w:sz w:val="21"/>
              </w:rPr>
              <w:t xml:space="preserve">器处理后经 </w:t>
            </w:r>
            <w:r>
              <w:rPr>
                <w:rFonts w:ascii="Times New Roman" w:eastAsia="Times New Roman"/>
                <w:sz w:val="21"/>
              </w:rPr>
              <w:t xml:space="preserve">15m </w:t>
            </w:r>
            <w:r>
              <w:rPr>
                <w:sz w:val="21"/>
              </w:rPr>
              <w:t>高排气</w:t>
            </w:r>
          </w:p>
        </w:tc>
        <w:tc>
          <w:tcPr>
            <w:tcW w:w="1056" w:type="dxa"/>
            <w:tcBorders>
              <w:right w:val="nil"/>
            </w:tcBorders>
          </w:tcPr>
          <w:p w14:paraId="0264CC51">
            <w:pPr>
              <w:pStyle w:val="17"/>
              <w:jc w:val="left"/>
              <w:rPr>
                <w:b/>
                <w:sz w:val="20"/>
              </w:rPr>
            </w:pPr>
          </w:p>
          <w:p w14:paraId="52C1437C">
            <w:pPr>
              <w:pStyle w:val="17"/>
              <w:jc w:val="left"/>
              <w:rPr>
                <w:b/>
                <w:sz w:val="20"/>
              </w:rPr>
            </w:pPr>
          </w:p>
          <w:p w14:paraId="5F3F761C">
            <w:pPr>
              <w:pStyle w:val="17"/>
              <w:jc w:val="left"/>
              <w:rPr>
                <w:b/>
                <w:sz w:val="20"/>
              </w:rPr>
            </w:pPr>
          </w:p>
          <w:p w14:paraId="228E7738">
            <w:pPr>
              <w:pStyle w:val="17"/>
              <w:spacing w:before="3"/>
              <w:jc w:val="left"/>
              <w:rPr>
                <w:b/>
                <w:sz w:val="14"/>
              </w:rPr>
            </w:pPr>
          </w:p>
          <w:p w14:paraId="55D011AD">
            <w:pPr>
              <w:pStyle w:val="17"/>
              <w:ind w:left="9" w:right="9"/>
              <w:rPr>
                <w:sz w:val="21"/>
              </w:rPr>
            </w:pPr>
            <w:r>
              <w:rPr>
                <w:sz w:val="21"/>
              </w:rPr>
              <w:t>符合</w:t>
            </w:r>
          </w:p>
        </w:tc>
      </w:tr>
    </w:tbl>
    <w:p w14:paraId="2394BBB6">
      <w:pPr>
        <w:spacing w:after="0"/>
        <w:rPr>
          <w:sz w:val="21"/>
        </w:rPr>
        <w:sectPr>
          <w:pgSz w:w="11910" w:h="16840"/>
          <w:pgMar w:top="1440" w:right="1440" w:bottom="122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6"/>
        <w:gridCol w:w="3961"/>
        <w:gridCol w:w="2466"/>
        <w:gridCol w:w="1056"/>
      </w:tblGrid>
      <w:tr w14:paraId="0A0D2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7" w:hRule="atLeast"/>
        </w:trPr>
        <w:tc>
          <w:tcPr>
            <w:tcW w:w="1036" w:type="dxa"/>
            <w:tcBorders>
              <w:left w:val="nil"/>
            </w:tcBorders>
          </w:tcPr>
          <w:p w14:paraId="5F5D5F65">
            <w:pPr>
              <w:pStyle w:val="17"/>
              <w:jc w:val="left"/>
              <w:rPr>
                <w:rFonts w:ascii="Times New Roman"/>
                <w:sz w:val="20"/>
              </w:rPr>
            </w:pPr>
          </w:p>
        </w:tc>
        <w:tc>
          <w:tcPr>
            <w:tcW w:w="3961" w:type="dxa"/>
          </w:tcPr>
          <w:p w14:paraId="265C21D9">
            <w:pPr>
              <w:pStyle w:val="17"/>
              <w:spacing w:before="2" w:line="242" w:lineRule="auto"/>
              <w:ind w:left="613" w:right="31" w:hanging="507"/>
              <w:jc w:val="left"/>
              <w:rPr>
                <w:sz w:val="21"/>
              </w:rPr>
            </w:pPr>
            <w:r>
              <w:rPr>
                <w:w w:val="95"/>
                <w:sz w:val="21"/>
              </w:rPr>
              <w:t>建立统一的固废收集、贮存、运输、综合</w:t>
            </w:r>
            <w:r>
              <w:rPr>
                <w:sz w:val="21"/>
              </w:rPr>
              <w:t>利用和安全处置的管理体系。</w:t>
            </w:r>
          </w:p>
        </w:tc>
        <w:tc>
          <w:tcPr>
            <w:tcW w:w="2466" w:type="dxa"/>
          </w:tcPr>
          <w:p w14:paraId="4CC48940">
            <w:pPr>
              <w:pStyle w:val="17"/>
              <w:spacing w:before="2" w:line="242" w:lineRule="auto"/>
              <w:ind w:left="123" w:right="112" w:hanging="3"/>
              <w:rPr>
                <w:sz w:val="21"/>
              </w:rPr>
            </w:pPr>
            <w:r>
              <w:rPr>
                <w:spacing w:val="-28"/>
                <w:sz w:val="21"/>
              </w:rPr>
              <w:t xml:space="preserve">筒 </w:t>
            </w:r>
            <w:r>
              <w:rPr>
                <w:rFonts w:ascii="Times New Roman" w:eastAsia="Times New Roman"/>
                <w:sz w:val="21"/>
              </w:rPr>
              <w:t xml:space="preserve">DA001 </w:t>
            </w:r>
            <w:r>
              <w:rPr>
                <w:sz w:val="21"/>
              </w:rPr>
              <w:t>排放；挤出造粒废气和挤出注塑废气采用全密闭负压收集罩收集后经</w:t>
            </w:r>
            <w:r>
              <w:rPr>
                <w:rFonts w:ascii="Times New Roman" w:eastAsia="Times New Roman"/>
                <w:sz w:val="21"/>
              </w:rPr>
              <w:t>+</w:t>
            </w:r>
            <w:r>
              <w:rPr>
                <w:sz w:val="21"/>
              </w:rPr>
              <w:t>布袋除尘器</w:t>
            </w:r>
            <w:r>
              <w:rPr>
                <w:rFonts w:ascii="Times New Roman" w:eastAsia="Times New Roman"/>
                <w:sz w:val="21"/>
              </w:rPr>
              <w:t xml:space="preserve">+ </w:t>
            </w:r>
            <w:r>
              <w:rPr>
                <w:w w:val="95"/>
                <w:sz w:val="21"/>
              </w:rPr>
              <w:t>过滤棉</w:t>
            </w:r>
            <w:r>
              <w:rPr>
                <w:rFonts w:ascii="Times New Roman" w:eastAsia="Times New Roman"/>
                <w:w w:val="95"/>
                <w:sz w:val="21"/>
              </w:rPr>
              <w:t>+</w:t>
            </w:r>
            <w:r>
              <w:rPr>
                <w:w w:val="95"/>
                <w:sz w:val="21"/>
              </w:rPr>
              <w:t>二级活性炭吸附</w:t>
            </w:r>
            <w:r>
              <w:rPr>
                <w:spacing w:val="-8"/>
                <w:sz w:val="21"/>
              </w:rPr>
              <w:t xml:space="preserve">处理达标后经 </w:t>
            </w:r>
            <w:r>
              <w:rPr>
                <w:rFonts w:ascii="Times New Roman" w:eastAsia="Times New Roman"/>
                <w:sz w:val="21"/>
              </w:rPr>
              <w:t xml:space="preserve">15m </w:t>
            </w:r>
            <w:r>
              <w:rPr>
                <w:sz w:val="21"/>
              </w:rPr>
              <w:t>高排</w:t>
            </w:r>
            <w:r>
              <w:rPr>
                <w:spacing w:val="-18"/>
                <w:sz w:val="21"/>
              </w:rPr>
              <w:t xml:space="preserve">气筒 </w:t>
            </w:r>
            <w:r>
              <w:rPr>
                <w:rFonts w:ascii="Times New Roman" w:eastAsia="Times New Roman"/>
                <w:sz w:val="21"/>
              </w:rPr>
              <w:t xml:space="preserve">DA002 </w:t>
            </w:r>
            <w:r>
              <w:rPr>
                <w:sz w:val="21"/>
              </w:rPr>
              <w:t>排放。</w:t>
            </w:r>
          </w:p>
          <w:p w14:paraId="40B108A4">
            <w:pPr>
              <w:pStyle w:val="17"/>
              <w:spacing w:before="3" w:line="242" w:lineRule="auto"/>
              <w:ind w:left="106" w:right="98"/>
              <w:jc w:val="both"/>
              <w:rPr>
                <w:sz w:val="21"/>
              </w:rPr>
            </w:pPr>
            <w:r>
              <w:rPr>
                <w:spacing w:val="-8"/>
                <w:w w:val="95"/>
                <w:sz w:val="21"/>
              </w:rPr>
              <w:t>固废：生活垃圾交由环卫</w:t>
            </w:r>
            <w:r>
              <w:rPr>
                <w:spacing w:val="-11"/>
                <w:w w:val="95"/>
                <w:sz w:val="21"/>
              </w:rPr>
              <w:t>部门回收处理；一般固废</w:t>
            </w:r>
            <w:r>
              <w:rPr>
                <w:spacing w:val="-15"/>
                <w:sz w:val="21"/>
              </w:rPr>
              <w:t>分类收集后综合利用；危险废物交由有资质单位</w:t>
            </w:r>
          </w:p>
          <w:p w14:paraId="02B24058">
            <w:pPr>
              <w:pStyle w:val="17"/>
              <w:spacing w:before="3" w:line="251" w:lineRule="exact"/>
              <w:ind w:left="106" w:right="98"/>
              <w:rPr>
                <w:sz w:val="21"/>
              </w:rPr>
            </w:pPr>
            <w:r>
              <w:rPr>
                <w:sz w:val="21"/>
              </w:rPr>
              <w:t>处置。</w:t>
            </w:r>
          </w:p>
        </w:tc>
        <w:tc>
          <w:tcPr>
            <w:tcW w:w="1056" w:type="dxa"/>
            <w:tcBorders>
              <w:right w:val="nil"/>
            </w:tcBorders>
          </w:tcPr>
          <w:p w14:paraId="5591FBE1">
            <w:pPr>
              <w:pStyle w:val="17"/>
              <w:jc w:val="left"/>
              <w:rPr>
                <w:rFonts w:ascii="Times New Roman"/>
                <w:sz w:val="20"/>
              </w:rPr>
            </w:pPr>
          </w:p>
        </w:tc>
      </w:tr>
      <w:tr w14:paraId="530EF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036" w:type="dxa"/>
            <w:tcBorders>
              <w:left w:val="nil"/>
            </w:tcBorders>
          </w:tcPr>
          <w:p w14:paraId="5DAC17C6">
            <w:pPr>
              <w:pStyle w:val="17"/>
              <w:jc w:val="left"/>
              <w:rPr>
                <w:b/>
                <w:sz w:val="20"/>
              </w:rPr>
            </w:pPr>
          </w:p>
          <w:p w14:paraId="7B127534">
            <w:pPr>
              <w:pStyle w:val="17"/>
              <w:spacing w:before="151" w:line="244" w:lineRule="auto"/>
              <w:ind w:left="207" w:right="192"/>
              <w:jc w:val="left"/>
              <w:rPr>
                <w:sz w:val="21"/>
              </w:rPr>
            </w:pPr>
            <w:r>
              <w:rPr>
                <w:sz w:val="21"/>
              </w:rPr>
              <w:t>环境风险防控</w:t>
            </w:r>
          </w:p>
        </w:tc>
        <w:tc>
          <w:tcPr>
            <w:tcW w:w="3961" w:type="dxa"/>
          </w:tcPr>
          <w:p w14:paraId="39D06C30">
            <w:pPr>
              <w:pStyle w:val="17"/>
              <w:spacing w:line="242" w:lineRule="auto"/>
              <w:ind w:left="107" w:right="-15" w:firstLine="86"/>
              <w:jc w:val="left"/>
              <w:rPr>
                <w:sz w:val="21"/>
              </w:rPr>
            </w:pPr>
            <w:r>
              <w:rPr>
                <w:sz w:val="21"/>
              </w:rPr>
              <w:t>可能发生突发环境事件的污染物排放企</w:t>
            </w:r>
            <w:r>
              <w:rPr>
                <w:spacing w:val="-6"/>
                <w:sz w:val="21"/>
              </w:rPr>
              <w:t>业，生产、储存、运输、使用危险化学品</w:t>
            </w:r>
            <w:r>
              <w:rPr>
                <w:spacing w:val="-14"/>
                <w:sz w:val="21"/>
              </w:rPr>
              <w:t>的企业，产生、收集、贮存、运输、利用、处置危险废物的企业应当编制和实施环</w:t>
            </w:r>
          </w:p>
          <w:p w14:paraId="707A1F20">
            <w:pPr>
              <w:pStyle w:val="17"/>
              <w:spacing w:before="2" w:line="252" w:lineRule="exact"/>
              <w:ind w:left="138" w:right="133"/>
              <w:rPr>
                <w:sz w:val="21"/>
              </w:rPr>
            </w:pPr>
            <w:r>
              <w:rPr>
                <w:sz w:val="21"/>
              </w:rPr>
              <w:t>境应急预案</w:t>
            </w:r>
          </w:p>
        </w:tc>
        <w:tc>
          <w:tcPr>
            <w:tcW w:w="2466" w:type="dxa"/>
          </w:tcPr>
          <w:p w14:paraId="11CE1631">
            <w:pPr>
              <w:pStyle w:val="17"/>
              <w:spacing w:before="2"/>
              <w:jc w:val="left"/>
              <w:rPr>
                <w:b/>
                <w:sz w:val="21"/>
              </w:rPr>
            </w:pPr>
          </w:p>
          <w:p w14:paraId="0D8BA8B1">
            <w:pPr>
              <w:pStyle w:val="17"/>
              <w:spacing w:line="242" w:lineRule="auto"/>
              <w:ind w:left="183" w:right="172"/>
              <w:rPr>
                <w:sz w:val="21"/>
              </w:rPr>
            </w:pPr>
            <w:r>
              <w:rPr>
                <w:w w:val="95"/>
                <w:sz w:val="21"/>
              </w:rPr>
              <w:t>本项目应根据要求进行环境应急预案的编制和</w:t>
            </w:r>
            <w:r>
              <w:rPr>
                <w:sz w:val="21"/>
              </w:rPr>
              <w:t>备案</w:t>
            </w:r>
          </w:p>
        </w:tc>
        <w:tc>
          <w:tcPr>
            <w:tcW w:w="1056" w:type="dxa"/>
            <w:tcBorders>
              <w:right w:val="nil"/>
            </w:tcBorders>
          </w:tcPr>
          <w:p w14:paraId="49B8BDD2">
            <w:pPr>
              <w:pStyle w:val="17"/>
              <w:jc w:val="left"/>
              <w:rPr>
                <w:b/>
                <w:sz w:val="20"/>
              </w:rPr>
            </w:pPr>
          </w:p>
          <w:p w14:paraId="080ECD7C">
            <w:pPr>
              <w:pStyle w:val="17"/>
              <w:spacing w:before="6"/>
              <w:jc w:val="left"/>
              <w:rPr>
                <w:b/>
                <w:sz w:val="22"/>
              </w:rPr>
            </w:pPr>
          </w:p>
          <w:p w14:paraId="4E3ECEFB">
            <w:pPr>
              <w:pStyle w:val="17"/>
              <w:ind w:left="9" w:right="9"/>
              <w:rPr>
                <w:sz w:val="21"/>
              </w:rPr>
            </w:pPr>
            <w:r>
              <w:rPr>
                <w:sz w:val="21"/>
              </w:rPr>
              <w:t>符合</w:t>
            </w:r>
          </w:p>
        </w:tc>
      </w:tr>
      <w:tr w14:paraId="61137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1036" w:type="dxa"/>
            <w:tcBorders>
              <w:left w:val="nil"/>
            </w:tcBorders>
          </w:tcPr>
          <w:p w14:paraId="6771A497">
            <w:pPr>
              <w:pStyle w:val="17"/>
              <w:jc w:val="left"/>
              <w:rPr>
                <w:b/>
                <w:sz w:val="20"/>
              </w:rPr>
            </w:pPr>
          </w:p>
          <w:p w14:paraId="27AF4C58">
            <w:pPr>
              <w:pStyle w:val="17"/>
              <w:spacing w:before="152" w:line="242" w:lineRule="auto"/>
              <w:ind w:left="207" w:right="192"/>
              <w:jc w:val="both"/>
              <w:rPr>
                <w:sz w:val="21"/>
              </w:rPr>
            </w:pPr>
            <w:r>
              <w:rPr>
                <w:sz w:val="21"/>
              </w:rPr>
              <w:t>资源开发效率要求</w:t>
            </w:r>
          </w:p>
        </w:tc>
        <w:tc>
          <w:tcPr>
            <w:tcW w:w="3961" w:type="dxa"/>
          </w:tcPr>
          <w:p w14:paraId="725ADCF8">
            <w:pPr>
              <w:pStyle w:val="17"/>
              <w:spacing w:before="135" w:line="244" w:lineRule="auto"/>
              <w:ind w:left="73" w:right="63"/>
              <w:rPr>
                <w:sz w:val="21"/>
              </w:rPr>
            </w:pPr>
            <w:r>
              <w:rPr>
                <w:w w:val="95"/>
                <w:sz w:val="21"/>
              </w:rPr>
              <w:t>水资源：加强工业节水，重点开展相关工</w:t>
            </w:r>
            <w:r>
              <w:rPr>
                <w:sz w:val="21"/>
              </w:rPr>
              <w:t>业行业节水技术改造。</w:t>
            </w:r>
          </w:p>
          <w:p w14:paraId="3DFFDBC4">
            <w:pPr>
              <w:pStyle w:val="17"/>
              <w:spacing w:line="242" w:lineRule="auto"/>
              <w:ind w:left="107" w:right="61"/>
              <w:rPr>
                <w:sz w:val="21"/>
              </w:rPr>
            </w:pPr>
            <w:r>
              <w:rPr>
                <w:w w:val="95"/>
                <w:sz w:val="21"/>
              </w:rPr>
              <w:t xml:space="preserve">土地资源：以国家产业发展政策为导向， </w:t>
            </w:r>
            <w:r>
              <w:rPr>
                <w:sz w:val="21"/>
              </w:rPr>
              <w:t>合理制定区域产业用地政策，优先保障主导产业发展用地。</w:t>
            </w:r>
          </w:p>
        </w:tc>
        <w:tc>
          <w:tcPr>
            <w:tcW w:w="2466" w:type="dxa"/>
          </w:tcPr>
          <w:p w14:paraId="791B0506">
            <w:pPr>
              <w:pStyle w:val="17"/>
              <w:spacing w:before="1" w:line="242" w:lineRule="auto"/>
              <w:ind w:left="106" w:right="98" w:hanging="1"/>
              <w:rPr>
                <w:sz w:val="21"/>
              </w:rPr>
            </w:pPr>
            <w:r>
              <w:rPr>
                <w:spacing w:val="-8"/>
                <w:w w:val="95"/>
                <w:sz w:val="21"/>
              </w:rPr>
              <w:t>水资源：本项目生产用水</w:t>
            </w:r>
            <w:r>
              <w:rPr>
                <w:spacing w:val="-12"/>
                <w:w w:val="95"/>
                <w:sz w:val="21"/>
              </w:rPr>
              <w:t>主要为间接冷却水，经循</w:t>
            </w:r>
            <w:r>
              <w:rPr>
                <w:spacing w:val="-16"/>
                <w:w w:val="95"/>
                <w:sz w:val="21"/>
              </w:rPr>
              <w:t>环冷却池沉淀后回用，不</w:t>
            </w:r>
            <w:r>
              <w:rPr>
                <w:spacing w:val="-16"/>
                <w:sz w:val="21"/>
              </w:rPr>
              <w:t>外排。</w:t>
            </w:r>
          </w:p>
          <w:p w14:paraId="2CFA49EA">
            <w:pPr>
              <w:pStyle w:val="17"/>
              <w:ind w:left="56" w:right="50"/>
              <w:rPr>
                <w:sz w:val="21"/>
              </w:rPr>
            </w:pPr>
            <w:r>
              <w:rPr>
                <w:sz w:val="21"/>
              </w:rPr>
              <w:t>土地资源：本项目建设符</w:t>
            </w:r>
          </w:p>
          <w:p w14:paraId="25F2FB9B">
            <w:pPr>
              <w:pStyle w:val="17"/>
              <w:spacing w:before="4" w:line="252" w:lineRule="exact"/>
              <w:ind w:left="104" w:right="98"/>
              <w:rPr>
                <w:sz w:val="21"/>
              </w:rPr>
            </w:pPr>
            <w:r>
              <w:rPr>
                <w:sz w:val="21"/>
              </w:rPr>
              <w:t>合国家产业发展政策</w:t>
            </w:r>
          </w:p>
        </w:tc>
        <w:tc>
          <w:tcPr>
            <w:tcW w:w="1056" w:type="dxa"/>
            <w:tcBorders>
              <w:right w:val="nil"/>
            </w:tcBorders>
          </w:tcPr>
          <w:p w14:paraId="1ED05546">
            <w:pPr>
              <w:pStyle w:val="17"/>
              <w:jc w:val="left"/>
              <w:rPr>
                <w:b/>
                <w:sz w:val="20"/>
              </w:rPr>
            </w:pPr>
          </w:p>
          <w:p w14:paraId="5128F225">
            <w:pPr>
              <w:pStyle w:val="17"/>
              <w:jc w:val="left"/>
              <w:rPr>
                <w:b/>
                <w:sz w:val="20"/>
              </w:rPr>
            </w:pPr>
          </w:p>
          <w:p w14:paraId="2FA1082F">
            <w:pPr>
              <w:pStyle w:val="17"/>
              <w:spacing w:before="167"/>
              <w:ind w:left="9" w:right="9"/>
              <w:rPr>
                <w:sz w:val="21"/>
              </w:rPr>
            </w:pPr>
            <w:r>
              <w:rPr>
                <w:sz w:val="21"/>
              </w:rPr>
              <w:t>符合</w:t>
            </w:r>
          </w:p>
        </w:tc>
      </w:tr>
    </w:tbl>
    <w:p w14:paraId="42B9AF5C">
      <w:pPr>
        <w:pStyle w:val="10"/>
        <w:spacing w:before="2" w:line="364" w:lineRule="auto"/>
        <w:ind w:left="220" w:right="357" w:firstLine="480"/>
        <w:jc w:val="both"/>
      </w:pPr>
      <w:r>
        <w:rPr>
          <w:spacing w:val="-9"/>
        </w:rPr>
        <w:t>综上所述，本项目建设符合《湖南省关于实施“三线一单”生态环境分区管</w:t>
      </w:r>
      <w:r>
        <w:rPr>
          <w:spacing w:val="-12"/>
        </w:rPr>
        <w:t>控的意见》和《湖南省“三线一单”生态环境总体管控要求暨省级以上产业园区生态环境准入清单》</w:t>
      </w:r>
      <w:r>
        <w:rPr>
          <w:rFonts w:ascii="Times New Roman" w:hAnsi="Times New Roman" w:eastAsia="Times New Roman"/>
          <w:spacing w:val="-12"/>
        </w:rPr>
        <w:t>(</w:t>
      </w:r>
      <w:r>
        <w:rPr>
          <w:spacing w:val="-12"/>
        </w:rPr>
        <w:t>统一登记号：</w:t>
      </w:r>
      <w:r>
        <w:rPr>
          <w:rFonts w:ascii="Times New Roman" w:hAnsi="Times New Roman" w:eastAsia="Times New Roman"/>
          <w:spacing w:val="-12"/>
        </w:rPr>
        <w:t>HNPR-2020-13005)</w:t>
      </w:r>
      <w:r>
        <w:rPr>
          <w:spacing w:val="-12"/>
        </w:rPr>
        <w:t>的要求。</w:t>
      </w:r>
    </w:p>
    <w:p w14:paraId="6BBDE443">
      <w:pPr>
        <w:pStyle w:val="9"/>
        <w:spacing w:before="0" w:line="304" w:lineRule="exact"/>
        <w:ind w:left="700"/>
      </w:pPr>
      <w:r>
        <w:t>（</w:t>
      </w:r>
      <w:r>
        <w:rPr>
          <w:rFonts w:ascii="Times New Roman" w:eastAsia="Times New Roman"/>
        </w:rPr>
        <w:t>12</w:t>
      </w:r>
      <w:r>
        <w:t>）与长江保护相关要求的符合性分析</w:t>
      </w:r>
    </w:p>
    <w:p w14:paraId="287EC0D6">
      <w:pPr>
        <w:pStyle w:val="10"/>
        <w:spacing w:before="9"/>
        <w:rPr>
          <w:b/>
          <w:sz w:val="18"/>
        </w:rPr>
      </w:pPr>
    </w:p>
    <w:p w14:paraId="16AD204E">
      <w:pPr>
        <w:pStyle w:val="10"/>
        <w:spacing w:line="364" w:lineRule="auto"/>
        <w:ind w:left="220" w:right="357" w:firstLine="480"/>
        <w:jc w:val="both"/>
      </w:pPr>
      <w:r>
        <w:rPr>
          <w:spacing w:val="-10"/>
        </w:rPr>
        <w:t>本项目与《中华人民共和国长江保护法</w:t>
      </w:r>
      <w:r>
        <w:rPr>
          <w:spacing w:val="-19"/>
        </w:rPr>
        <w:t>》《长江经济带发展负面清单指南</w:t>
      </w:r>
      <w:r>
        <w:t>（试行，</w:t>
      </w:r>
      <w:r>
        <w:rPr>
          <w:rFonts w:ascii="Times New Roman" w:eastAsia="Times New Roman"/>
        </w:rPr>
        <w:t xml:space="preserve">2022 </w:t>
      </w:r>
      <w:r>
        <w:t>年版）》《湖南省长江经济带发展负面清单实施细则（试行，</w:t>
      </w:r>
      <w:r>
        <w:rPr>
          <w:rFonts w:ascii="Times New Roman" w:eastAsia="Times New Roman"/>
        </w:rPr>
        <w:t xml:space="preserve">2022 </w:t>
      </w:r>
      <w:r>
        <w:t>年版）》等相关要求的符合性分析见下表：</w:t>
      </w:r>
    </w:p>
    <w:p w14:paraId="500996BD">
      <w:pPr>
        <w:pStyle w:val="9"/>
        <w:ind w:left="2236"/>
      </w:pPr>
      <w:r>
        <w:rPr>
          <w:spacing w:val="-31"/>
        </w:rPr>
        <w:t xml:space="preserve">表 </w:t>
      </w:r>
      <w:r>
        <w:rPr>
          <w:rFonts w:ascii="Times New Roman" w:eastAsia="Times New Roman"/>
        </w:rPr>
        <w:t>10</w:t>
      </w:r>
      <w:r>
        <w:rPr>
          <w:rFonts w:ascii="Times New Roman" w:eastAsia="Times New Roman"/>
          <w:spacing w:val="58"/>
        </w:rPr>
        <w:t xml:space="preserve"> </w:t>
      </w:r>
      <w:r>
        <w:t>与长江保护相关要求的符合性分析</w:t>
      </w:r>
    </w:p>
    <w:p w14:paraId="2F341A4C">
      <w:pPr>
        <w:pStyle w:val="10"/>
        <w:spacing w:before="2"/>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237"/>
        <w:gridCol w:w="2214"/>
        <w:gridCol w:w="986"/>
      </w:tblGrid>
      <w:tr w14:paraId="2A0E2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2" w:type="dxa"/>
            <w:tcBorders>
              <w:left w:val="nil"/>
            </w:tcBorders>
          </w:tcPr>
          <w:p w14:paraId="6FFB1F72">
            <w:pPr>
              <w:pStyle w:val="17"/>
              <w:spacing w:before="22"/>
              <w:ind w:left="126"/>
              <w:jc w:val="left"/>
              <w:rPr>
                <w:sz w:val="21"/>
              </w:rPr>
            </w:pPr>
            <w:r>
              <w:rPr>
                <w:sz w:val="21"/>
              </w:rPr>
              <w:t>文件名称</w:t>
            </w:r>
          </w:p>
        </w:tc>
        <w:tc>
          <w:tcPr>
            <w:tcW w:w="4237" w:type="dxa"/>
          </w:tcPr>
          <w:p w14:paraId="074A8F22">
            <w:pPr>
              <w:pStyle w:val="17"/>
              <w:spacing w:before="22"/>
              <w:ind w:left="119" w:right="114"/>
              <w:rPr>
                <w:sz w:val="21"/>
              </w:rPr>
            </w:pPr>
            <w:r>
              <w:rPr>
                <w:sz w:val="21"/>
              </w:rPr>
              <w:t>要求</w:t>
            </w:r>
          </w:p>
        </w:tc>
        <w:tc>
          <w:tcPr>
            <w:tcW w:w="2214" w:type="dxa"/>
          </w:tcPr>
          <w:p w14:paraId="33807F0A">
            <w:pPr>
              <w:pStyle w:val="17"/>
              <w:spacing w:before="22"/>
              <w:ind w:left="581"/>
              <w:jc w:val="left"/>
              <w:rPr>
                <w:sz w:val="21"/>
              </w:rPr>
            </w:pPr>
            <w:r>
              <w:rPr>
                <w:sz w:val="21"/>
              </w:rPr>
              <w:t>本项目情况</w:t>
            </w:r>
          </w:p>
        </w:tc>
        <w:tc>
          <w:tcPr>
            <w:tcW w:w="986" w:type="dxa"/>
            <w:tcBorders>
              <w:right w:val="nil"/>
            </w:tcBorders>
          </w:tcPr>
          <w:p w14:paraId="1FE2DF2D">
            <w:pPr>
              <w:pStyle w:val="17"/>
              <w:spacing w:before="22"/>
              <w:ind w:left="156" w:right="155"/>
              <w:rPr>
                <w:sz w:val="21"/>
              </w:rPr>
            </w:pPr>
            <w:r>
              <w:rPr>
                <w:sz w:val="21"/>
              </w:rPr>
              <w:t>相符性</w:t>
            </w:r>
          </w:p>
        </w:tc>
      </w:tr>
      <w:tr w14:paraId="49095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082" w:type="dxa"/>
            <w:tcBorders>
              <w:left w:val="nil"/>
            </w:tcBorders>
          </w:tcPr>
          <w:p w14:paraId="7F47CEBC">
            <w:pPr>
              <w:pStyle w:val="17"/>
              <w:jc w:val="left"/>
              <w:rPr>
                <w:b/>
                <w:sz w:val="20"/>
              </w:rPr>
            </w:pPr>
          </w:p>
          <w:p w14:paraId="2666783E">
            <w:pPr>
              <w:pStyle w:val="17"/>
              <w:spacing w:before="2"/>
              <w:jc w:val="left"/>
              <w:rPr>
                <w:b/>
                <w:sz w:val="18"/>
              </w:rPr>
            </w:pPr>
          </w:p>
          <w:p w14:paraId="5250D195">
            <w:pPr>
              <w:pStyle w:val="17"/>
              <w:spacing w:before="1" w:line="278" w:lineRule="auto"/>
              <w:ind w:left="126" w:right="111"/>
              <w:rPr>
                <w:sz w:val="21"/>
              </w:rPr>
            </w:pPr>
            <w:r>
              <w:rPr>
                <w:w w:val="95"/>
                <w:sz w:val="21"/>
              </w:rPr>
              <w:t>《中华人民共和国长江保护</w:t>
            </w:r>
            <w:r>
              <w:rPr>
                <w:sz w:val="21"/>
              </w:rPr>
              <w:t>法》</w:t>
            </w:r>
          </w:p>
        </w:tc>
        <w:tc>
          <w:tcPr>
            <w:tcW w:w="4237" w:type="dxa"/>
          </w:tcPr>
          <w:p w14:paraId="4ADA6823">
            <w:pPr>
              <w:pStyle w:val="17"/>
              <w:spacing w:before="21" w:line="278" w:lineRule="auto"/>
              <w:ind w:left="121" w:right="114"/>
              <w:rPr>
                <w:sz w:val="21"/>
              </w:rPr>
            </w:pPr>
            <w:r>
              <w:rPr>
                <w:w w:val="95"/>
                <w:sz w:val="21"/>
              </w:rPr>
              <w:t>禁止在长江干支流岸线一公里范围内新建、</w:t>
            </w:r>
            <w:r>
              <w:rPr>
                <w:sz w:val="21"/>
              </w:rPr>
              <w:t>扩建化工园区和化工项目。</w:t>
            </w:r>
          </w:p>
          <w:p w14:paraId="77E1E818">
            <w:pPr>
              <w:pStyle w:val="17"/>
              <w:spacing w:line="278" w:lineRule="auto"/>
              <w:ind w:left="121" w:right="114"/>
              <w:rPr>
                <w:sz w:val="21"/>
              </w:rPr>
            </w:pPr>
            <w:r>
              <w:rPr>
                <w:w w:val="95"/>
                <w:sz w:val="21"/>
              </w:rPr>
              <w:t>长江流域县级以上地方人民政府应当推动钢 铁、石油、化工、有色金属、建材、船舶等</w:t>
            </w:r>
            <w:r>
              <w:rPr>
                <w:sz w:val="21"/>
              </w:rPr>
              <w:t>产业升级改造，提升技术装备水平。</w:t>
            </w:r>
          </w:p>
          <w:p w14:paraId="1D1E826E">
            <w:pPr>
              <w:pStyle w:val="17"/>
              <w:spacing w:line="269" w:lineRule="exact"/>
              <w:ind w:left="165" w:right="43"/>
              <w:rPr>
                <w:sz w:val="21"/>
              </w:rPr>
            </w:pPr>
            <w:r>
              <w:rPr>
                <w:spacing w:val="-5"/>
                <w:w w:val="95"/>
                <w:sz w:val="21"/>
              </w:rPr>
              <w:t>禁止在长江流域河湖管理范围内倾倒、填埋、</w:t>
            </w:r>
          </w:p>
          <w:p w14:paraId="4C99DB6C">
            <w:pPr>
              <w:pStyle w:val="17"/>
              <w:spacing w:before="43"/>
              <w:ind w:left="121" w:right="114"/>
              <w:rPr>
                <w:sz w:val="21"/>
              </w:rPr>
            </w:pPr>
            <w:r>
              <w:rPr>
                <w:sz w:val="21"/>
              </w:rPr>
              <w:t>堆放、弃置、处理固体废物。</w:t>
            </w:r>
          </w:p>
        </w:tc>
        <w:tc>
          <w:tcPr>
            <w:tcW w:w="2214" w:type="dxa"/>
          </w:tcPr>
          <w:p w14:paraId="74CD5543">
            <w:pPr>
              <w:pStyle w:val="17"/>
              <w:spacing w:before="177" w:line="278" w:lineRule="auto"/>
              <w:ind w:left="108" w:right="-15" w:hanging="104"/>
              <w:rPr>
                <w:sz w:val="21"/>
              </w:rPr>
            </w:pPr>
            <w:r>
              <w:rPr>
                <w:sz w:val="21"/>
              </w:rPr>
              <w:t xml:space="preserve">本项目不属于化工项  </w:t>
            </w:r>
            <w:r>
              <w:rPr>
                <w:spacing w:val="-12"/>
                <w:sz w:val="21"/>
              </w:rPr>
              <w:t xml:space="preserve">目，本项目位于合规园 </w:t>
            </w:r>
            <w:r>
              <w:rPr>
                <w:spacing w:val="-14"/>
                <w:sz w:val="21"/>
              </w:rPr>
              <w:t xml:space="preserve">区，不涉及在长江流域 </w:t>
            </w:r>
            <w:r>
              <w:rPr>
                <w:spacing w:val="-14"/>
                <w:w w:val="95"/>
                <w:sz w:val="21"/>
              </w:rPr>
              <w:t xml:space="preserve">河湖管理范围内倾倒、 </w:t>
            </w:r>
            <w:r>
              <w:rPr>
                <w:spacing w:val="-15"/>
                <w:sz w:val="21"/>
              </w:rPr>
              <w:t>填埋、堆放、弃置、处 理固体废物等行为</w:t>
            </w:r>
          </w:p>
        </w:tc>
        <w:tc>
          <w:tcPr>
            <w:tcW w:w="986" w:type="dxa"/>
            <w:tcBorders>
              <w:right w:val="nil"/>
            </w:tcBorders>
          </w:tcPr>
          <w:p w14:paraId="323D433D">
            <w:pPr>
              <w:pStyle w:val="17"/>
              <w:jc w:val="left"/>
              <w:rPr>
                <w:b/>
                <w:sz w:val="20"/>
              </w:rPr>
            </w:pPr>
          </w:p>
          <w:p w14:paraId="128EA8E6">
            <w:pPr>
              <w:pStyle w:val="17"/>
              <w:jc w:val="left"/>
              <w:rPr>
                <w:b/>
                <w:sz w:val="20"/>
              </w:rPr>
            </w:pPr>
          </w:p>
          <w:p w14:paraId="2DF7C852">
            <w:pPr>
              <w:pStyle w:val="17"/>
              <w:jc w:val="left"/>
              <w:rPr>
                <w:b/>
                <w:sz w:val="20"/>
              </w:rPr>
            </w:pPr>
          </w:p>
          <w:p w14:paraId="57921590">
            <w:pPr>
              <w:pStyle w:val="17"/>
              <w:spacing w:before="9"/>
              <w:jc w:val="left"/>
              <w:rPr>
                <w:b/>
                <w:sz w:val="14"/>
              </w:rPr>
            </w:pPr>
          </w:p>
          <w:p w14:paraId="28BC2090">
            <w:pPr>
              <w:pStyle w:val="17"/>
              <w:ind w:left="156" w:right="155"/>
              <w:rPr>
                <w:sz w:val="21"/>
              </w:rPr>
            </w:pPr>
            <w:r>
              <w:rPr>
                <w:sz w:val="21"/>
              </w:rPr>
              <w:t>符合</w:t>
            </w:r>
          </w:p>
        </w:tc>
      </w:tr>
      <w:tr w14:paraId="32FDD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082" w:type="dxa"/>
            <w:tcBorders>
              <w:left w:val="nil"/>
            </w:tcBorders>
          </w:tcPr>
          <w:p w14:paraId="343B1017">
            <w:pPr>
              <w:pStyle w:val="17"/>
              <w:spacing w:before="21" w:line="278" w:lineRule="auto"/>
              <w:ind w:left="126" w:right="111"/>
              <w:jc w:val="both"/>
              <w:rPr>
                <w:sz w:val="21"/>
              </w:rPr>
            </w:pPr>
            <w:r>
              <w:rPr>
                <w:w w:val="95"/>
                <w:sz w:val="21"/>
              </w:rPr>
              <w:t>《长江经济带发展负面清单</w:t>
            </w:r>
          </w:p>
          <w:p w14:paraId="4752065E">
            <w:pPr>
              <w:pStyle w:val="17"/>
              <w:spacing w:line="268" w:lineRule="exact"/>
              <w:ind w:left="126"/>
              <w:jc w:val="both"/>
              <w:rPr>
                <w:sz w:val="21"/>
              </w:rPr>
            </w:pPr>
            <w:r>
              <w:rPr>
                <w:w w:val="95"/>
                <w:sz w:val="21"/>
              </w:rPr>
              <w:t>指南（试</w:t>
            </w:r>
          </w:p>
        </w:tc>
        <w:tc>
          <w:tcPr>
            <w:tcW w:w="4237" w:type="dxa"/>
          </w:tcPr>
          <w:p w14:paraId="32640682">
            <w:pPr>
              <w:pStyle w:val="17"/>
              <w:spacing w:before="21" w:line="278" w:lineRule="auto"/>
              <w:ind w:left="121" w:right="114"/>
              <w:jc w:val="both"/>
              <w:rPr>
                <w:sz w:val="21"/>
              </w:rPr>
            </w:pPr>
            <w:r>
              <w:rPr>
                <w:w w:val="95"/>
                <w:sz w:val="21"/>
              </w:rPr>
              <w:t>禁止建设不符合全国和省级港口布局规划以 及港口总体规划的码头项目，禁止建设不符 合《长江干线过江通道布局规划》的过长江</w:t>
            </w:r>
          </w:p>
          <w:p w14:paraId="7BEA255F">
            <w:pPr>
              <w:pStyle w:val="17"/>
              <w:spacing w:line="268" w:lineRule="exact"/>
              <w:ind w:left="121" w:right="114"/>
              <w:rPr>
                <w:sz w:val="21"/>
              </w:rPr>
            </w:pPr>
            <w:r>
              <w:rPr>
                <w:sz w:val="21"/>
              </w:rPr>
              <w:t>通道项目。</w:t>
            </w:r>
          </w:p>
        </w:tc>
        <w:tc>
          <w:tcPr>
            <w:tcW w:w="2214" w:type="dxa"/>
          </w:tcPr>
          <w:p w14:paraId="47E63847">
            <w:pPr>
              <w:pStyle w:val="17"/>
              <w:spacing w:before="21" w:line="278" w:lineRule="auto"/>
              <w:ind w:left="161" w:right="-15" w:hanging="53"/>
              <w:jc w:val="left"/>
              <w:rPr>
                <w:sz w:val="21"/>
              </w:rPr>
            </w:pPr>
            <w:r>
              <w:rPr>
                <w:sz w:val="21"/>
              </w:rPr>
              <w:t>本项目位于合规园区， 项目在租赁的闲置场地内进行，不新增用</w:t>
            </w:r>
          </w:p>
          <w:p w14:paraId="5BD50878">
            <w:pPr>
              <w:pStyle w:val="17"/>
              <w:spacing w:line="268" w:lineRule="exact"/>
              <w:ind w:left="108"/>
              <w:jc w:val="left"/>
              <w:rPr>
                <w:sz w:val="21"/>
              </w:rPr>
            </w:pPr>
            <w:r>
              <w:rPr>
                <w:spacing w:val="-12"/>
                <w:sz w:val="21"/>
              </w:rPr>
              <w:t>地，不涉及该指南中禁</w:t>
            </w:r>
          </w:p>
        </w:tc>
        <w:tc>
          <w:tcPr>
            <w:tcW w:w="986" w:type="dxa"/>
            <w:tcBorders>
              <w:right w:val="nil"/>
            </w:tcBorders>
          </w:tcPr>
          <w:p w14:paraId="18A95BEB">
            <w:pPr>
              <w:pStyle w:val="17"/>
              <w:jc w:val="left"/>
              <w:rPr>
                <w:b/>
                <w:sz w:val="20"/>
              </w:rPr>
            </w:pPr>
          </w:p>
          <w:p w14:paraId="46AB4492">
            <w:pPr>
              <w:pStyle w:val="17"/>
              <w:spacing w:before="2"/>
              <w:jc w:val="left"/>
              <w:rPr>
                <w:b/>
                <w:sz w:val="18"/>
              </w:rPr>
            </w:pPr>
          </w:p>
          <w:p w14:paraId="74B78CB8">
            <w:pPr>
              <w:pStyle w:val="17"/>
              <w:ind w:left="156" w:right="155"/>
              <w:rPr>
                <w:sz w:val="21"/>
              </w:rPr>
            </w:pPr>
            <w:r>
              <w:rPr>
                <w:sz w:val="21"/>
              </w:rPr>
              <w:t>符合</w:t>
            </w:r>
          </w:p>
        </w:tc>
      </w:tr>
    </w:tbl>
    <w:p w14:paraId="3B92D93F">
      <w:pPr>
        <w:spacing w:after="0"/>
        <w:rPr>
          <w:sz w:val="21"/>
        </w:rPr>
        <w:sectPr>
          <w:footerReference r:id="rId7" w:type="default"/>
          <w:pgSz w:w="11910" w:h="16840"/>
          <w:pgMar w:top="1420" w:right="1440" w:bottom="1140" w:left="1580" w:header="0" w:footer="944" w:gutter="0"/>
          <w:pgNumType w:start="2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237"/>
        <w:gridCol w:w="2214"/>
        <w:gridCol w:w="986"/>
      </w:tblGrid>
      <w:tr w14:paraId="1DD47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1082" w:type="dxa"/>
            <w:tcBorders>
              <w:left w:val="nil"/>
            </w:tcBorders>
          </w:tcPr>
          <w:p w14:paraId="2FD2B8B5">
            <w:pPr>
              <w:pStyle w:val="17"/>
              <w:spacing w:before="21" w:line="278" w:lineRule="auto"/>
              <w:ind w:left="126" w:right="111" w:hanging="15"/>
              <w:jc w:val="left"/>
              <w:rPr>
                <w:sz w:val="21"/>
              </w:rPr>
            </w:pPr>
            <w:r>
              <w:rPr>
                <w:sz w:val="21"/>
              </w:rPr>
              <w:t>行，</w:t>
            </w:r>
            <w:r>
              <w:rPr>
                <w:rFonts w:ascii="Times New Roman" w:eastAsia="Times New Roman"/>
                <w:sz w:val="21"/>
              </w:rPr>
              <w:t xml:space="preserve">2022 </w:t>
            </w:r>
            <w:r>
              <w:rPr>
                <w:w w:val="95"/>
                <w:sz w:val="21"/>
              </w:rPr>
              <w:t>年版）》</w:t>
            </w:r>
          </w:p>
        </w:tc>
        <w:tc>
          <w:tcPr>
            <w:tcW w:w="4237" w:type="dxa"/>
          </w:tcPr>
          <w:p w14:paraId="5EF2A7E8">
            <w:pPr>
              <w:pStyle w:val="17"/>
              <w:spacing w:before="21" w:line="278" w:lineRule="auto"/>
              <w:ind w:left="121" w:right="114"/>
              <w:rPr>
                <w:sz w:val="21"/>
              </w:rPr>
            </w:pPr>
            <w:r>
              <w:rPr>
                <w:w w:val="95"/>
                <w:sz w:val="21"/>
              </w:rPr>
              <w:t>禁止在自然保护区核心区、缓冲区地岸线和 河段范围内投资建设旅游和生产经营项目。 禁止在风景名胜区核心景区的岸线和河段范 围内投资建设与风景名胜资源保护无关的项</w:t>
            </w:r>
            <w:r>
              <w:rPr>
                <w:sz w:val="21"/>
              </w:rPr>
              <w:t>目。</w:t>
            </w:r>
          </w:p>
          <w:p w14:paraId="0BECE45D">
            <w:pPr>
              <w:pStyle w:val="17"/>
              <w:spacing w:line="278" w:lineRule="auto"/>
              <w:ind w:left="121" w:right="114"/>
              <w:rPr>
                <w:sz w:val="21"/>
              </w:rPr>
            </w:pPr>
            <w:r>
              <w:rPr>
                <w:w w:val="95"/>
                <w:sz w:val="21"/>
              </w:rPr>
              <w:t>禁止在饮用水水源一级保护区的岸线和河段 范围内新建、改建、扩建与供水设施和保护 水源无关的项目，以及网箱养殖、旅游等可 能污染饮用水水体的投资建设项目。禁止在 饮用水水源二级保护区地岸线和河段范围内 新建、改建、扩建排放污染物的投资建设项</w:t>
            </w:r>
            <w:r>
              <w:rPr>
                <w:sz w:val="21"/>
              </w:rPr>
              <w:t>目。</w:t>
            </w:r>
          </w:p>
          <w:p w14:paraId="7153AECA">
            <w:pPr>
              <w:pStyle w:val="17"/>
              <w:spacing w:line="278" w:lineRule="auto"/>
              <w:ind w:left="121" w:right="114"/>
              <w:rPr>
                <w:sz w:val="21"/>
              </w:rPr>
            </w:pPr>
            <w:r>
              <w:rPr>
                <w:w w:val="95"/>
                <w:sz w:val="21"/>
              </w:rPr>
              <w:t>禁止在水产种质资源保护区的岸线和河段范 围内新建围湖造田、围海造地或围填海等投 资建设项目。禁止在国家湿地公园的岸线和 河段范围内挖沙、采矿，以及任何不符合主</w:t>
            </w:r>
            <w:r>
              <w:rPr>
                <w:sz w:val="21"/>
              </w:rPr>
              <w:t>体功能定位的投资建设项目。</w:t>
            </w:r>
          </w:p>
          <w:p w14:paraId="09653EA2">
            <w:pPr>
              <w:pStyle w:val="17"/>
              <w:spacing w:line="278" w:lineRule="auto"/>
              <w:ind w:left="121" w:right="114"/>
              <w:rPr>
                <w:sz w:val="21"/>
              </w:rPr>
            </w:pPr>
            <w:r>
              <w:rPr>
                <w:w w:val="95"/>
                <w:sz w:val="21"/>
              </w:rPr>
              <w:t>禁止违法利用、占用长江流域河湖岸线。禁 止在《长江岸线保护和开发利用总体规划》 划定的岸线保护区和保留区内投资建设除事 关公共安全及公众利益的防洪护岸、河道治 理、供水、生态环境保护、航道整治、国家 重要基础设施以外的项目。禁止在《全国重 要江河湖泊水功能区划》划定的河段及湖泊 保护区、保留区内投资建设不利于水资源及</w:t>
            </w:r>
            <w:r>
              <w:rPr>
                <w:sz w:val="21"/>
              </w:rPr>
              <w:t>自然生态保护的项目。</w:t>
            </w:r>
          </w:p>
          <w:p w14:paraId="157E3118">
            <w:pPr>
              <w:pStyle w:val="17"/>
              <w:spacing w:line="278" w:lineRule="auto"/>
              <w:ind w:left="121" w:right="114"/>
              <w:rPr>
                <w:sz w:val="21"/>
              </w:rPr>
            </w:pPr>
            <w:r>
              <w:rPr>
                <w:w w:val="95"/>
                <w:sz w:val="21"/>
              </w:rPr>
              <w:t>禁止未经许可在长江干支流及湖泊新设、改</w:t>
            </w:r>
            <w:r>
              <w:rPr>
                <w:sz w:val="21"/>
              </w:rPr>
              <w:t>设或扩大排污口。</w:t>
            </w:r>
          </w:p>
          <w:p w14:paraId="7DAFBD30">
            <w:pPr>
              <w:pStyle w:val="17"/>
              <w:spacing w:line="278" w:lineRule="auto"/>
              <w:ind w:left="100" w:right="93"/>
              <w:rPr>
                <w:sz w:val="21"/>
              </w:rPr>
            </w:pPr>
            <w:r>
              <w:rPr>
                <w:sz w:val="21"/>
              </w:rPr>
              <w:t>禁止在</w:t>
            </w:r>
            <w:r>
              <w:rPr>
                <w:rFonts w:ascii="Times New Roman" w:hAnsi="Times New Roman" w:eastAsia="Times New Roman"/>
                <w:sz w:val="21"/>
              </w:rPr>
              <w:t>“</w:t>
            </w:r>
            <w:r>
              <w:rPr>
                <w:sz w:val="21"/>
              </w:rPr>
              <w:t>一江一口两湖七河</w:t>
            </w:r>
            <w:r>
              <w:rPr>
                <w:rFonts w:ascii="Times New Roman" w:hAnsi="Times New Roman" w:eastAsia="Times New Roman"/>
                <w:sz w:val="21"/>
              </w:rPr>
              <w:t>”</w:t>
            </w:r>
            <w:r>
              <w:rPr>
                <w:sz w:val="21"/>
              </w:rPr>
              <w:t xml:space="preserve">和 </w:t>
            </w:r>
            <w:r>
              <w:rPr>
                <w:rFonts w:ascii="Times New Roman" w:hAnsi="Times New Roman" w:eastAsia="Times New Roman"/>
                <w:sz w:val="21"/>
              </w:rPr>
              <w:t xml:space="preserve">332 </w:t>
            </w:r>
            <w:r>
              <w:rPr>
                <w:sz w:val="21"/>
              </w:rPr>
              <w:t>个水生生物保护区开展生产性捕捞。</w:t>
            </w:r>
          </w:p>
          <w:p w14:paraId="6FC95F01">
            <w:pPr>
              <w:pStyle w:val="17"/>
              <w:spacing w:line="278" w:lineRule="auto"/>
              <w:ind w:left="121" w:right="114"/>
              <w:rPr>
                <w:sz w:val="21"/>
              </w:rPr>
            </w:pPr>
            <w:r>
              <w:rPr>
                <w:w w:val="95"/>
                <w:sz w:val="21"/>
              </w:rPr>
              <w:t>禁止在长江干支流、重要湖泊岸线一公里范 围内新建、扩建化工园区和化工项目。禁止 在长江干流岸线三公里范围内和重要支流岸 线一公里范围内新建、改建、扩建尾矿库、 冶炼渣库和磷石膏库，以提升安全、生态环</w:t>
            </w:r>
            <w:r>
              <w:rPr>
                <w:sz w:val="21"/>
              </w:rPr>
              <w:t>境保护水平为目的的改建除外。</w:t>
            </w:r>
          </w:p>
          <w:p w14:paraId="75C1C470">
            <w:pPr>
              <w:pStyle w:val="17"/>
              <w:spacing w:line="278" w:lineRule="auto"/>
              <w:ind w:left="121" w:right="114"/>
              <w:rPr>
                <w:sz w:val="21"/>
              </w:rPr>
            </w:pPr>
            <w:r>
              <w:rPr>
                <w:w w:val="95"/>
                <w:sz w:val="21"/>
              </w:rPr>
              <w:t>禁止在合规园区外新建、扩建钢铁、石化、 化工、焦化、建材、有色、制浆造纸等高污</w:t>
            </w:r>
            <w:r>
              <w:rPr>
                <w:sz w:val="21"/>
              </w:rPr>
              <w:t>染项目。</w:t>
            </w:r>
          </w:p>
          <w:p w14:paraId="4DEF356A">
            <w:pPr>
              <w:pStyle w:val="17"/>
              <w:spacing w:line="278" w:lineRule="auto"/>
              <w:ind w:left="121" w:right="114"/>
              <w:rPr>
                <w:sz w:val="21"/>
              </w:rPr>
            </w:pPr>
            <w:r>
              <w:rPr>
                <w:w w:val="95"/>
                <w:sz w:val="21"/>
              </w:rPr>
              <w:t>禁止新建、扩建不符合国家石化、现代煤化</w:t>
            </w:r>
            <w:r>
              <w:rPr>
                <w:sz w:val="21"/>
              </w:rPr>
              <w:t>工等产业布局规划的项目。</w:t>
            </w:r>
          </w:p>
          <w:p w14:paraId="5C92B945">
            <w:pPr>
              <w:pStyle w:val="17"/>
              <w:spacing w:line="278" w:lineRule="auto"/>
              <w:ind w:left="121" w:right="114"/>
              <w:rPr>
                <w:sz w:val="21"/>
              </w:rPr>
            </w:pPr>
            <w:r>
              <w:rPr>
                <w:w w:val="95"/>
                <w:sz w:val="21"/>
              </w:rPr>
              <w:t>禁止新建、扩建法律法规和相关政策明令禁 止的落后产能项目。禁止新建、扩建不符合</w:t>
            </w:r>
          </w:p>
          <w:p w14:paraId="39157AEA">
            <w:pPr>
              <w:pStyle w:val="17"/>
              <w:spacing w:line="269" w:lineRule="exact"/>
              <w:ind w:left="119" w:right="114"/>
              <w:rPr>
                <w:sz w:val="21"/>
              </w:rPr>
            </w:pPr>
            <w:r>
              <w:rPr>
                <w:w w:val="95"/>
                <w:sz w:val="21"/>
              </w:rPr>
              <w:t>国家产能置换要求的严重过剩产能行业的项</w:t>
            </w:r>
          </w:p>
        </w:tc>
        <w:tc>
          <w:tcPr>
            <w:tcW w:w="2214" w:type="dxa"/>
          </w:tcPr>
          <w:p w14:paraId="4C637ED1">
            <w:pPr>
              <w:pStyle w:val="17"/>
              <w:spacing w:before="21" w:line="278" w:lineRule="auto"/>
              <w:ind w:left="108" w:right="-15" w:hanging="104"/>
              <w:rPr>
                <w:sz w:val="21"/>
              </w:rPr>
            </w:pPr>
            <w:r>
              <w:rPr>
                <w:spacing w:val="-1"/>
                <w:sz w:val="21"/>
              </w:rPr>
              <w:t>止建设的项目行为。 本项目依托中塑新材料废</w:t>
            </w:r>
            <w:r>
              <w:rPr>
                <w:spacing w:val="-1"/>
                <w:w w:val="95"/>
                <w:sz w:val="21"/>
              </w:rPr>
              <w:t xml:space="preserve">水排放口排放生活污水 ，不涉及新设、改设或 </w:t>
            </w:r>
            <w:r>
              <w:rPr>
                <w:spacing w:val="-1"/>
                <w:sz w:val="21"/>
              </w:rPr>
              <w:t>扩大排污口。本项目位</w:t>
            </w:r>
            <w:r>
              <w:rPr>
                <w:spacing w:val="-1"/>
                <w:w w:val="95"/>
                <w:sz w:val="21"/>
              </w:rPr>
              <w:t xml:space="preserve">于合规园区内，不属于 化工行业。本项目不属 </w:t>
            </w:r>
            <w:r>
              <w:rPr>
                <w:spacing w:val="-12"/>
                <w:sz w:val="21"/>
              </w:rPr>
              <w:t xml:space="preserve">于落后产能，不属于产 </w:t>
            </w:r>
            <w:r>
              <w:rPr>
                <w:spacing w:val="-18"/>
                <w:sz w:val="21"/>
              </w:rPr>
              <w:t xml:space="preserve">能过剩的项目，也不属 </w:t>
            </w:r>
            <w:r>
              <w:rPr>
                <w:spacing w:val="-18"/>
                <w:w w:val="95"/>
                <w:sz w:val="21"/>
              </w:rPr>
              <w:t>于高耗能高排放项目。</w:t>
            </w:r>
          </w:p>
        </w:tc>
        <w:tc>
          <w:tcPr>
            <w:tcW w:w="986" w:type="dxa"/>
            <w:tcBorders>
              <w:right w:val="nil"/>
            </w:tcBorders>
          </w:tcPr>
          <w:p w14:paraId="1E6C0DC8">
            <w:pPr>
              <w:pStyle w:val="17"/>
              <w:jc w:val="left"/>
              <w:rPr>
                <w:rFonts w:ascii="Times New Roman"/>
                <w:sz w:val="20"/>
              </w:rPr>
            </w:pPr>
          </w:p>
        </w:tc>
      </w:tr>
    </w:tbl>
    <w:p w14:paraId="53CF4AAB">
      <w:pPr>
        <w:spacing w:after="0"/>
        <w:jc w:val="left"/>
        <w:rPr>
          <w:rFonts w:ascii="Times New Roman"/>
          <w:sz w:val="20"/>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237"/>
        <w:gridCol w:w="2214"/>
        <w:gridCol w:w="986"/>
      </w:tblGrid>
      <w:tr w14:paraId="6193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2" w:type="dxa"/>
            <w:tcBorders>
              <w:left w:val="nil"/>
            </w:tcBorders>
          </w:tcPr>
          <w:p w14:paraId="77346A5F">
            <w:pPr>
              <w:pStyle w:val="17"/>
              <w:jc w:val="left"/>
              <w:rPr>
                <w:rFonts w:ascii="Times New Roman"/>
                <w:sz w:val="20"/>
              </w:rPr>
            </w:pPr>
          </w:p>
        </w:tc>
        <w:tc>
          <w:tcPr>
            <w:tcW w:w="4237" w:type="dxa"/>
          </w:tcPr>
          <w:p w14:paraId="4E8A5CA7">
            <w:pPr>
              <w:pStyle w:val="17"/>
              <w:spacing w:before="21"/>
              <w:ind w:left="48" w:right="43"/>
              <w:rPr>
                <w:sz w:val="21"/>
              </w:rPr>
            </w:pPr>
            <w:r>
              <w:rPr>
                <w:sz w:val="21"/>
              </w:rPr>
              <w:t>目。禁止新建、扩建不符合要求的高耗能高</w:t>
            </w:r>
          </w:p>
          <w:p w14:paraId="518FE8C2">
            <w:pPr>
              <w:pStyle w:val="17"/>
              <w:spacing w:before="43"/>
              <w:ind w:left="121" w:right="114"/>
              <w:rPr>
                <w:sz w:val="21"/>
              </w:rPr>
            </w:pPr>
            <w:r>
              <w:rPr>
                <w:sz w:val="21"/>
              </w:rPr>
              <w:t>排放项目。</w:t>
            </w:r>
          </w:p>
        </w:tc>
        <w:tc>
          <w:tcPr>
            <w:tcW w:w="2214" w:type="dxa"/>
            <w:vMerge w:val="restart"/>
          </w:tcPr>
          <w:p w14:paraId="513E2573">
            <w:pPr>
              <w:pStyle w:val="17"/>
              <w:jc w:val="left"/>
              <w:rPr>
                <w:rFonts w:ascii="Times New Roman"/>
                <w:sz w:val="20"/>
              </w:rPr>
            </w:pPr>
          </w:p>
        </w:tc>
        <w:tc>
          <w:tcPr>
            <w:tcW w:w="986" w:type="dxa"/>
            <w:tcBorders>
              <w:right w:val="nil"/>
            </w:tcBorders>
          </w:tcPr>
          <w:p w14:paraId="4971DA83">
            <w:pPr>
              <w:pStyle w:val="17"/>
              <w:jc w:val="left"/>
              <w:rPr>
                <w:rFonts w:ascii="Times New Roman"/>
                <w:sz w:val="20"/>
              </w:rPr>
            </w:pPr>
          </w:p>
        </w:tc>
      </w:tr>
      <w:tr w14:paraId="7140E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2" w:hRule="atLeast"/>
        </w:trPr>
        <w:tc>
          <w:tcPr>
            <w:tcW w:w="1082" w:type="dxa"/>
            <w:tcBorders>
              <w:left w:val="nil"/>
            </w:tcBorders>
          </w:tcPr>
          <w:p w14:paraId="68787043">
            <w:pPr>
              <w:pStyle w:val="17"/>
              <w:jc w:val="left"/>
              <w:rPr>
                <w:b/>
                <w:sz w:val="20"/>
              </w:rPr>
            </w:pPr>
          </w:p>
          <w:p w14:paraId="3BD145CC">
            <w:pPr>
              <w:pStyle w:val="17"/>
              <w:jc w:val="left"/>
              <w:rPr>
                <w:b/>
                <w:sz w:val="20"/>
              </w:rPr>
            </w:pPr>
          </w:p>
          <w:p w14:paraId="4E4A4995">
            <w:pPr>
              <w:pStyle w:val="17"/>
              <w:jc w:val="left"/>
              <w:rPr>
                <w:b/>
                <w:sz w:val="20"/>
              </w:rPr>
            </w:pPr>
          </w:p>
          <w:p w14:paraId="02FDF509">
            <w:pPr>
              <w:pStyle w:val="17"/>
              <w:jc w:val="left"/>
              <w:rPr>
                <w:b/>
                <w:sz w:val="20"/>
              </w:rPr>
            </w:pPr>
          </w:p>
          <w:p w14:paraId="543CD36C">
            <w:pPr>
              <w:pStyle w:val="17"/>
              <w:jc w:val="left"/>
              <w:rPr>
                <w:b/>
                <w:sz w:val="20"/>
              </w:rPr>
            </w:pPr>
          </w:p>
          <w:p w14:paraId="00BC3245">
            <w:pPr>
              <w:pStyle w:val="17"/>
              <w:jc w:val="left"/>
              <w:rPr>
                <w:b/>
                <w:sz w:val="20"/>
              </w:rPr>
            </w:pPr>
          </w:p>
          <w:p w14:paraId="65675C72">
            <w:pPr>
              <w:pStyle w:val="17"/>
              <w:jc w:val="left"/>
              <w:rPr>
                <w:b/>
                <w:sz w:val="20"/>
              </w:rPr>
            </w:pPr>
          </w:p>
          <w:p w14:paraId="359D3DF8">
            <w:pPr>
              <w:pStyle w:val="17"/>
              <w:jc w:val="left"/>
              <w:rPr>
                <w:b/>
                <w:sz w:val="20"/>
              </w:rPr>
            </w:pPr>
          </w:p>
          <w:p w14:paraId="0BD7674E">
            <w:pPr>
              <w:pStyle w:val="17"/>
              <w:jc w:val="left"/>
              <w:rPr>
                <w:b/>
                <w:sz w:val="20"/>
              </w:rPr>
            </w:pPr>
          </w:p>
          <w:p w14:paraId="26BC712C">
            <w:pPr>
              <w:pStyle w:val="17"/>
              <w:jc w:val="left"/>
              <w:rPr>
                <w:b/>
                <w:sz w:val="20"/>
              </w:rPr>
            </w:pPr>
          </w:p>
          <w:p w14:paraId="60817BB2">
            <w:pPr>
              <w:pStyle w:val="17"/>
              <w:jc w:val="left"/>
              <w:rPr>
                <w:b/>
                <w:sz w:val="20"/>
              </w:rPr>
            </w:pPr>
          </w:p>
          <w:p w14:paraId="290B64C0">
            <w:pPr>
              <w:pStyle w:val="17"/>
              <w:jc w:val="left"/>
              <w:rPr>
                <w:b/>
                <w:sz w:val="20"/>
              </w:rPr>
            </w:pPr>
          </w:p>
          <w:p w14:paraId="298E1E47">
            <w:pPr>
              <w:pStyle w:val="17"/>
              <w:jc w:val="left"/>
              <w:rPr>
                <w:b/>
                <w:sz w:val="20"/>
              </w:rPr>
            </w:pPr>
          </w:p>
          <w:p w14:paraId="31438A24">
            <w:pPr>
              <w:pStyle w:val="17"/>
              <w:jc w:val="left"/>
              <w:rPr>
                <w:b/>
                <w:sz w:val="20"/>
              </w:rPr>
            </w:pPr>
          </w:p>
          <w:p w14:paraId="7E53BF9C">
            <w:pPr>
              <w:pStyle w:val="17"/>
              <w:jc w:val="left"/>
              <w:rPr>
                <w:b/>
                <w:sz w:val="20"/>
              </w:rPr>
            </w:pPr>
          </w:p>
          <w:p w14:paraId="307D112C">
            <w:pPr>
              <w:pStyle w:val="17"/>
              <w:jc w:val="left"/>
              <w:rPr>
                <w:b/>
                <w:sz w:val="20"/>
              </w:rPr>
            </w:pPr>
          </w:p>
          <w:p w14:paraId="3F2A65A2">
            <w:pPr>
              <w:pStyle w:val="17"/>
              <w:jc w:val="left"/>
              <w:rPr>
                <w:b/>
                <w:sz w:val="20"/>
              </w:rPr>
            </w:pPr>
          </w:p>
          <w:p w14:paraId="05546309">
            <w:pPr>
              <w:pStyle w:val="17"/>
              <w:jc w:val="left"/>
              <w:rPr>
                <w:b/>
                <w:sz w:val="20"/>
              </w:rPr>
            </w:pPr>
          </w:p>
          <w:p w14:paraId="0FB5C5DA">
            <w:pPr>
              <w:pStyle w:val="17"/>
              <w:jc w:val="left"/>
              <w:rPr>
                <w:b/>
                <w:sz w:val="20"/>
              </w:rPr>
            </w:pPr>
          </w:p>
          <w:p w14:paraId="03B4614D">
            <w:pPr>
              <w:pStyle w:val="17"/>
              <w:jc w:val="left"/>
              <w:rPr>
                <w:b/>
                <w:sz w:val="20"/>
              </w:rPr>
            </w:pPr>
          </w:p>
          <w:p w14:paraId="49E47A5C">
            <w:pPr>
              <w:pStyle w:val="17"/>
              <w:spacing w:before="7"/>
              <w:jc w:val="left"/>
              <w:rPr>
                <w:b/>
                <w:sz w:val="15"/>
              </w:rPr>
            </w:pPr>
          </w:p>
          <w:p w14:paraId="6C877929">
            <w:pPr>
              <w:pStyle w:val="17"/>
              <w:spacing w:line="278" w:lineRule="auto"/>
              <w:ind w:left="126" w:right="111"/>
              <w:jc w:val="both"/>
              <w:rPr>
                <w:sz w:val="21"/>
              </w:rPr>
            </w:pPr>
            <w:r>
              <w:rPr>
                <w:w w:val="95"/>
                <w:sz w:val="21"/>
              </w:rPr>
              <w:t>《湖南省长江经济带发展负面清单实</w:t>
            </w:r>
            <w:r>
              <w:rPr>
                <w:sz w:val="21"/>
              </w:rPr>
              <w:t>施细则</w:t>
            </w:r>
          </w:p>
          <w:p w14:paraId="02335153">
            <w:pPr>
              <w:pStyle w:val="17"/>
              <w:spacing w:line="269" w:lineRule="exact"/>
              <w:ind w:left="126"/>
              <w:jc w:val="both"/>
              <w:rPr>
                <w:sz w:val="21"/>
              </w:rPr>
            </w:pPr>
            <w:r>
              <w:rPr>
                <w:sz w:val="21"/>
              </w:rPr>
              <w:t>（试行，</w:t>
            </w:r>
          </w:p>
          <w:p w14:paraId="71AACD64">
            <w:pPr>
              <w:pStyle w:val="17"/>
              <w:spacing w:before="43"/>
              <w:ind w:left="202"/>
              <w:jc w:val="both"/>
              <w:rPr>
                <w:sz w:val="21"/>
              </w:rPr>
            </w:pPr>
            <w:r>
              <w:rPr>
                <w:rFonts w:ascii="Times New Roman" w:eastAsia="Times New Roman"/>
                <w:sz w:val="21"/>
              </w:rPr>
              <w:t xml:space="preserve">2022 </w:t>
            </w:r>
            <w:r>
              <w:rPr>
                <w:sz w:val="21"/>
              </w:rPr>
              <w:t>年</w:t>
            </w:r>
          </w:p>
          <w:p w14:paraId="2F4B98AF">
            <w:pPr>
              <w:pStyle w:val="17"/>
              <w:spacing w:before="43"/>
              <w:ind w:left="126" w:right="111"/>
              <w:rPr>
                <w:sz w:val="21"/>
              </w:rPr>
            </w:pPr>
            <w:r>
              <w:rPr>
                <w:w w:val="95"/>
                <w:sz w:val="21"/>
              </w:rPr>
              <w:t>版）》</w:t>
            </w:r>
          </w:p>
        </w:tc>
        <w:tc>
          <w:tcPr>
            <w:tcW w:w="4237" w:type="dxa"/>
          </w:tcPr>
          <w:p w14:paraId="66ABBDB7">
            <w:pPr>
              <w:pStyle w:val="17"/>
              <w:spacing w:before="21" w:line="278" w:lineRule="auto"/>
              <w:ind w:left="107" w:right="97" w:hanging="3"/>
              <w:rPr>
                <w:sz w:val="21"/>
              </w:rPr>
            </w:pPr>
            <w:r>
              <w:rPr>
                <w:sz w:val="21"/>
              </w:rPr>
              <w:t>禁止建设不符合全国和省级港口布局规划以及港口总体规划的码头项目，对不符合港口</w:t>
            </w:r>
            <w:r>
              <w:rPr>
                <w:spacing w:val="-15"/>
                <w:w w:val="95"/>
                <w:sz w:val="21"/>
              </w:rPr>
              <w:t>总体规划的新建、改建和扩建的码头工程</w:t>
            </w:r>
            <w:r>
              <w:rPr>
                <w:w w:val="95"/>
                <w:sz w:val="21"/>
              </w:rPr>
              <w:t xml:space="preserve">（含 </w:t>
            </w:r>
            <w:r>
              <w:rPr>
                <w:sz w:val="21"/>
              </w:rPr>
              <w:t>舾装码头工程）及其同时建设的配套设施、防波堤、锚地、护岸等工程，投资主管部门不得审批或核准。码头工程建设项目需要使用港口岸线的，项目单位应当按照国省港口岸线使用的管理规定办理港口岸线使用手 续。未取得岸线使用批准文件或者岸线使用</w:t>
            </w:r>
            <w:r>
              <w:rPr>
                <w:spacing w:val="-15"/>
                <w:w w:val="95"/>
                <w:sz w:val="21"/>
              </w:rPr>
              <w:t>意见的，不得开工建设。禁止建设不符合《长</w:t>
            </w:r>
          </w:p>
          <w:p w14:paraId="5E1CF062">
            <w:pPr>
              <w:pStyle w:val="17"/>
              <w:spacing w:line="278" w:lineRule="auto"/>
              <w:ind w:left="107" w:right="-29"/>
              <w:rPr>
                <w:sz w:val="21"/>
              </w:rPr>
            </w:pPr>
            <w:r>
              <w:rPr>
                <w:spacing w:val="-5"/>
                <w:sz w:val="21"/>
              </w:rPr>
              <w:t>江干线过江通道布局规划</w:t>
            </w:r>
            <w:r>
              <w:rPr>
                <w:sz w:val="21"/>
              </w:rPr>
              <w:t>（</w:t>
            </w:r>
            <w:r>
              <w:rPr>
                <w:rFonts w:ascii="Times New Roman" w:hAnsi="Times New Roman" w:eastAsia="Times New Roman"/>
                <w:sz w:val="21"/>
              </w:rPr>
              <w:t>2020—2035</w:t>
            </w:r>
            <w:r>
              <w:rPr>
                <w:rFonts w:ascii="Times New Roman" w:hAnsi="Times New Roman" w:eastAsia="Times New Roman"/>
                <w:spacing w:val="-12"/>
                <w:sz w:val="21"/>
              </w:rPr>
              <w:t xml:space="preserve"> </w:t>
            </w:r>
            <w:r>
              <w:rPr>
                <w:sz w:val="21"/>
              </w:rPr>
              <w:t>年</w:t>
            </w:r>
            <w:r>
              <w:rPr>
                <w:spacing w:val="-51"/>
                <w:sz w:val="21"/>
              </w:rPr>
              <w:t>）</w:t>
            </w:r>
            <w:r>
              <w:rPr>
                <w:sz w:val="21"/>
              </w:rPr>
              <w:t>》的过长江通道项目。</w:t>
            </w:r>
          </w:p>
          <w:p w14:paraId="1CED2597">
            <w:pPr>
              <w:pStyle w:val="17"/>
              <w:spacing w:line="278" w:lineRule="auto"/>
              <w:ind w:left="121" w:right="114"/>
              <w:rPr>
                <w:sz w:val="21"/>
              </w:rPr>
            </w:pPr>
            <w:r>
              <w:rPr>
                <w:w w:val="95"/>
                <w:sz w:val="21"/>
              </w:rPr>
              <w:t>机场、铁路、公路、水利、围堰等公益性基 础设施的选址选线应多方案优化比选，尽量 避让相关自然保护区域、野生动物迁徙润游 通道；无法避让的，应当采取修建野生动物 通道、过鱼设施等措施，消除或者减少对野</w:t>
            </w:r>
            <w:r>
              <w:rPr>
                <w:sz w:val="21"/>
              </w:rPr>
              <w:t>生动物的不利影响。</w:t>
            </w:r>
          </w:p>
          <w:p w14:paraId="36441381">
            <w:pPr>
              <w:pStyle w:val="17"/>
              <w:spacing w:line="278" w:lineRule="auto"/>
              <w:ind w:left="121" w:right="114"/>
              <w:rPr>
                <w:sz w:val="21"/>
              </w:rPr>
            </w:pPr>
            <w:r>
              <w:rPr>
                <w:w w:val="95"/>
                <w:sz w:val="21"/>
              </w:rPr>
              <w:t xml:space="preserve">禁止违反风景名胜区规划，在风景名胜区内 设立各类开发区和在核心景区内建设宾馆、 招待所、培训中心，疗养院以及与风景名胜 资源保护无关的其他建筑物；已经建设的， </w:t>
            </w:r>
            <w:r>
              <w:rPr>
                <w:sz w:val="21"/>
              </w:rPr>
              <w:t>应当按照风景名胜区规划，逐步迁出。</w:t>
            </w:r>
          </w:p>
          <w:p w14:paraId="0CB1ED7E">
            <w:pPr>
              <w:pStyle w:val="17"/>
              <w:spacing w:line="278" w:lineRule="auto"/>
              <w:ind w:left="121" w:right="114"/>
              <w:rPr>
                <w:sz w:val="21"/>
              </w:rPr>
            </w:pPr>
            <w:r>
              <w:rPr>
                <w:w w:val="95"/>
                <w:sz w:val="21"/>
              </w:rPr>
              <w:t>饮用水水源一级保护区内禁止新建、改建、</w:t>
            </w:r>
            <w:r>
              <w:rPr>
                <w:sz w:val="21"/>
              </w:rPr>
              <w:t xml:space="preserve">扩建与供水设施和保护水源无关的建设项 </w:t>
            </w:r>
            <w:r>
              <w:rPr>
                <w:w w:val="95"/>
                <w:sz w:val="21"/>
              </w:rPr>
              <w:t>目，以及网箱养殖、畜禽养殖、旅游等可能 污染饮用水水体的投资建设项目；禁止向水 域排放污水，已设置的排污口必须拆除；不 得设置与供水需要无关的码头，禁止停靠船 舶；禁止堆置和存放工业废渣、城市垃圾、 粪便和其他废弃物；禁止设置油库；禁止使</w:t>
            </w:r>
            <w:r>
              <w:rPr>
                <w:sz w:val="21"/>
              </w:rPr>
              <w:t>用含磷洗涤用品。</w:t>
            </w:r>
          </w:p>
          <w:p w14:paraId="3A3B4012">
            <w:pPr>
              <w:pStyle w:val="17"/>
              <w:spacing w:line="278" w:lineRule="auto"/>
              <w:ind w:left="74" w:right="43"/>
              <w:rPr>
                <w:sz w:val="21"/>
              </w:rPr>
            </w:pPr>
            <w:r>
              <w:rPr>
                <w:sz w:val="21"/>
              </w:rPr>
              <w:t>饮用水水源二级保护区内禁止新建、 改建、扩建向水体排放污染物的投资建设项目。原有排污口依法拆除或关闭。禁止设立装卸垃圾、粪便、油类和有毒物品的码头。</w:t>
            </w:r>
          </w:p>
          <w:p w14:paraId="03D76BD6">
            <w:pPr>
              <w:pStyle w:val="17"/>
              <w:spacing w:line="278" w:lineRule="auto"/>
              <w:ind w:left="121" w:right="114"/>
              <w:rPr>
                <w:sz w:val="21"/>
              </w:rPr>
            </w:pPr>
            <w:r>
              <w:rPr>
                <w:w w:val="95"/>
                <w:sz w:val="21"/>
              </w:rPr>
              <w:t>禁止在水产种质资源保护区的岸线和河段范 围内新建排污口、实施非法围垦河道和围湖</w:t>
            </w:r>
            <w:r>
              <w:rPr>
                <w:sz w:val="21"/>
              </w:rPr>
              <w:t>造田造地等投资建设项目。</w:t>
            </w:r>
          </w:p>
          <w:p w14:paraId="25190AE1">
            <w:pPr>
              <w:pStyle w:val="17"/>
              <w:spacing w:line="278" w:lineRule="auto"/>
              <w:ind w:left="121" w:right="114"/>
              <w:rPr>
                <w:sz w:val="21"/>
              </w:rPr>
            </w:pPr>
            <w:r>
              <w:rPr>
                <w:w w:val="95"/>
                <w:sz w:val="21"/>
              </w:rPr>
              <w:t>除《中华人民共和国防洪法》规定的紧急防 汛期采取的紧急措施外，禁止在国家湿地公</w:t>
            </w:r>
          </w:p>
          <w:p w14:paraId="38DF2C6F">
            <w:pPr>
              <w:pStyle w:val="17"/>
              <w:spacing w:line="269" w:lineRule="exact"/>
              <w:ind w:left="119" w:right="114"/>
              <w:rPr>
                <w:sz w:val="21"/>
              </w:rPr>
            </w:pPr>
            <w:r>
              <w:rPr>
                <w:w w:val="95"/>
                <w:sz w:val="21"/>
              </w:rPr>
              <w:t>园的岸线和河段范围内挖沙、采矿，以及以</w:t>
            </w:r>
          </w:p>
        </w:tc>
        <w:tc>
          <w:tcPr>
            <w:tcW w:w="2214" w:type="dxa"/>
            <w:vMerge w:val="continue"/>
            <w:tcBorders>
              <w:top w:val="nil"/>
            </w:tcBorders>
          </w:tcPr>
          <w:p w14:paraId="1E7C9F49">
            <w:pPr>
              <w:rPr>
                <w:sz w:val="2"/>
                <w:szCs w:val="2"/>
              </w:rPr>
            </w:pPr>
          </w:p>
        </w:tc>
        <w:tc>
          <w:tcPr>
            <w:tcW w:w="986" w:type="dxa"/>
            <w:tcBorders>
              <w:right w:val="nil"/>
            </w:tcBorders>
          </w:tcPr>
          <w:p w14:paraId="11DF83D7">
            <w:pPr>
              <w:pStyle w:val="17"/>
              <w:jc w:val="left"/>
              <w:rPr>
                <w:b/>
                <w:sz w:val="20"/>
              </w:rPr>
            </w:pPr>
          </w:p>
          <w:p w14:paraId="31E08D4B">
            <w:pPr>
              <w:pStyle w:val="17"/>
              <w:jc w:val="left"/>
              <w:rPr>
                <w:b/>
                <w:sz w:val="20"/>
              </w:rPr>
            </w:pPr>
          </w:p>
          <w:p w14:paraId="5AA4101F">
            <w:pPr>
              <w:pStyle w:val="17"/>
              <w:jc w:val="left"/>
              <w:rPr>
                <w:b/>
                <w:sz w:val="20"/>
              </w:rPr>
            </w:pPr>
          </w:p>
          <w:p w14:paraId="72BCFDC2">
            <w:pPr>
              <w:pStyle w:val="17"/>
              <w:jc w:val="left"/>
              <w:rPr>
                <w:b/>
                <w:sz w:val="20"/>
              </w:rPr>
            </w:pPr>
          </w:p>
          <w:p w14:paraId="4593D47E">
            <w:pPr>
              <w:pStyle w:val="17"/>
              <w:jc w:val="left"/>
              <w:rPr>
                <w:b/>
                <w:sz w:val="20"/>
              </w:rPr>
            </w:pPr>
          </w:p>
          <w:p w14:paraId="3023B149">
            <w:pPr>
              <w:pStyle w:val="17"/>
              <w:jc w:val="left"/>
              <w:rPr>
                <w:b/>
                <w:sz w:val="20"/>
              </w:rPr>
            </w:pPr>
          </w:p>
          <w:p w14:paraId="3A8D10E0">
            <w:pPr>
              <w:pStyle w:val="17"/>
              <w:jc w:val="left"/>
              <w:rPr>
                <w:b/>
                <w:sz w:val="20"/>
              </w:rPr>
            </w:pPr>
          </w:p>
          <w:p w14:paraId="5620ADC1">
            <w:pPr>
              <w:pStyle w:val="17"/>
              <w:jc w:val="left"/>
              <w:rPr>
                <w:b/>
                <w:sz w:val="20"/>
              </w:rPr>
            </w:pPr>
          </w:p>
          <w:p w14:paraId="61C0EF0D">
            <w:pPr>
              <w:pStyle w:val="17"/>
              <w:jc w:val="left"/>
              <w:rPr>
                <w:b/>
                <w:sz w:val="20"/>
              </w:rPr>
            </w:pPr>
          </w:p>
          <w:p w14:paraId="0BE98530">
            <w:pPr>
              <w:pStyle w:val="17"/>
              <w:jc w:val="left"/>
              <w:rPr>
                <w:b/>
                <w:sz w:val="20"/>
              </w:rPr>
            </w:pPr>
          </w:p>
          <w:p w14:paraId="4ABDBB72">
            <w:pPr>
              <w:pStyle w:val="17"/>
              <w:jc w:val="left"/>
              <w:rPr>
                <w:b/>
                <w:sz w:val="20"/>
              </w:rPr>
            </w:pPr>
          </w:p>
          <w:p w14:paraId="4DF52EBF">
            <w:pPr>
              <w:pStyle w:val="17"/>
              <w:jc w:val="left"/>
              <w:rPr>
                <w:b/>
                <w:sz w:val="20"/>
              </w:rPr>
            </w:pPr>
          </w:p>
          <w:p w14:paraId="3772FB6D">
            <w:pPr>
              <w:pStyle w:val="17"/>
              <w:jc w:val="left"/>
              <w:rPr>
                <w:b/>
                <w:sz w:val="20"/>
              </w:rPr>
            </w:pPr>
          </w:p>
          <w:p w14:paraId="313ED214">
            <w:pPr>
              <w:pStyle w:val="17"/>
              <w:jc w:val="left"/>
              <w:rPr>
                <w:b/>
                <w:sz w:val="20"/>
              </w:rPr>
            </w:pPr>
          </w:p>
          <w:p w14:paraId="74D2D3C8">
            <w:pPr>
              <w:pStyle w:val="17"/>
              <w:jc w:val="left"/>
              <w:rPr>
                <w:b/>
                <w:sz w:val="20"/>
              </w:rPr>
            </w:pPr>
          </w:p>
          <w:p w14:paraId="18B21F91">
            <w:pPr>
              <w:pStyle w:val="17"/>
              <w:jc w:val="left"/>
              <w:rPr>
                <w:b/>
                <w:sz w:val="20"/>
              </w:rPr>
            </w:pPr>
          </w:p>
          <w:p w14:paraId="326EC27E">
            <w:pPr>
              <w:pStyle w:val="17"/>
              <w:jc w:val="left"/>
              <w:rPr>
                <w:b/>
                <w:sz w:val="20"/>
              </w:rPr>
            </w:pPr>
          </w:p>
          <w:p w14:paraId="1800DE18">
            <w:pPr>
              <w:pStyle w:val="17"/>
              <w:jc w:val="left"/>
              <w:rPr>
                <w:b/>
                <w:sz w:val="20"/>
              </w:rPr>
            </w:pPr>
          </w:p>
          <w:p w14:paraId="3EC6514E">
            <w:pPr>
              <w:pStyle w:val="17"/>
              <w:jc w:val="left"/>
              <w:rPr>
                <w:b/>
                <w:sz w:val="20"/>
              </w:rPr>
            </w:pPr>
          </w:p>
          <w:p w14:paraId="2D197C81">
            <w:pPr>
              <w:pStyle w:val="17"/>
              <w:jc w:val="left"/>
              <w:rPr>
                <w:b/>
                <w:sz w:val="20"/>
              </w:rPr>
            </w:pPr>
          </w:p>
          <w:p w14:paraId="318F5059">
            <w:pPr>
              <w:pStyle w:val="17"/>
              <w:jc w:val="left"/>
              <w:rPr>
                <w:b/>
                <w:sz w:val="20"/>
              </w:rPr>
            </w:pPr>
          </w:p>
          <w:p w14:paraId="76C292EB">
            <w:pPr>
              <w:pStyle w:val="17"/>
              <w:jc w:val="left"/>
              <w:rPr>
                <w:b/>
                <w:sz w:val="20"/>
              </w:rPr>
            </w:pPr>
          </w:p>
          <w:p w14:paraId="692272CC">
            <w:pPr>
              <w:pStyle w:val="17"/>
              <w:jc w:val="left"/>
              <w:rPr>
                <w:b/>
                <w:sz w:val="20"/>
              </w:rPr>
            </w:pPr>
          </w:p>
          <w:p w14:paraId="2DF4084D">
            <w:pPr>
              <w:pStyle w:val="17"/>
              <w:jc w:val="left"/>
              <w:rPr>
                <w:b/>
                <w:sz w:val="20"/>
              </w:rPr>
            </w:pPr>
          </w:p>
          <w:p w14:paraId="2E6641C5">
            <w:pPr>
              <w:pStyle w:val="17"/>
              <w:spacing w:before="10"/>
              <w:jc w:val="left"/>
              <w:rPr>
                <w:b/>
                <w:sz w:val="20"/>
              </w:rPr>
            </w:pPr>
          </w:p>
          <w:p w14:paraId="6EDB4992">
            <w:pPr>
              <w:pStyle w:val="17"/>
              <w:ind w:left="282"/>
              <w:jc w:val="left"/>
              <w:rPr>
                <w:sz w:val="21"/>
              </w:rPr>
            </w:pPr>
            <w:r>
              <w:rPr>
                <w:sz w:val="21"/>
              </w:rPr>
              <w:t>符合</w:t>
            </w:r>
          </w:p>
        </w:tc>
      </w:tr>
    </w:tbl>
    <w:p w14:paraId="6D9FFAA8">
      <w:pPr>
        <w:spacing w:after="0"/>
        <w:jc w:val="left"/>
        <w:rPr>
          <w:sz w:val="21"/>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237"/>
        <w:gridCol w:w="2214"/>
        <w:gridCol w:w="986"/>
      </w:tblGrid>
      <w:tr w14:paraId="1041D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1082" w:type="dxa"/>
            <w:tcBorders>
              <w:left w:val="nil"/>
            </w:tcBorders>
          </w:tcPr>
          <w:p w14:paraId="4ADF6BF9">
            <w:pPr>
              <w:pStyle w:val="17"/>
              <w:jc w:val="left"/>
              <w:rPr>
                <w:rFonts w:ascii="Times New Roman"/>
                <w:sz w:val="20"/>
              </w:rPr>
            </w:pPr>
          </w:p>
        </w:tc>
        <w:tc>
          <w:tcPr>
            <w:tcW w:w="4237" w:type="dxa"/>
          </w:tcPr>
          <w:p w14:paraId="20C9B77D">
            <w:pPr>
              <w:pStyle w:val="17"/>
              <w:spacing w:before="21" w:line="278" w:lineRule="auto"/>
              <w:ind w:left="107" w:right="-15"/>
              <w:rPr>
                <w:sz w:val="21"/>
              </w:rPr>
            </w:pPr>
            <w:r>
              <w:rPr>
                <w:spacing w:val="-3"/>
                <w:w w:val="95"/>
                <w:sz w:val="21"/>
              </w:rPr>
              <w:t>下不符合主体功能定位的行为和活动：</w:t>
            </w:r>
            <w:r>
              <w:rPr>
                <w:spacing w:val="-37"/>
                <w:w w:val="95"/>
                <w:sz w:val="21"/>
              </w:rPr>
              <w:t>（</w:t>
            </w:r>
            <w:r>
              <w:rPr>
                <w:w w:val="95"/>
                <w:sz w:val="21"/>
              </w:rPr>
              <w:t xml:space="preserve">一） </w:t>
            </w:r>
            <w:r>
              <w:rPr>
                <w:sz w:val="21"/>
              </w:rPr>
              <w:t>开（围）垦、填埋或者排干湿地。（二）截断湿地水源。</w:t>
            </w:r>
          </w:p>
          <w:p w14:paraId="5884C5B9">
            <w:pPr>
              <w:pStyle w:val="17"/>
              <w:spacing w:line="269" w:lineRule="exact"/>
              <w:ind w:left="48" w:right="43"/>
              <w:rPr>
                <w:sz w:val="21"/>
              </w:rPr>
            </w:pPr>
            <w:r>
              <w:rPr>
                <w:sz w:val="21"/>
              </w:rPr>
              <w:t>（三）倾倒有毒有害物质、废弃物、垃圾。</w:t>
            </w:r>
          </w:p>
          <w:p w14:paraId="11DC0570">
            <w:pPr>
              <w:pStyle w:val="17"/>
              <w:spacing w:before="43" w:line="278" w:lineRule="auto"/>
              <w:ind w:left="107" w:right="-15" w:firstLine="14"/>
              <w:jc w:val="both"/>
              <w:rPr>
                <w:sz w:val="21"/>
              </w:rPr>
            </w:pPr>
            <w:r>
              <w:rPr>
                <w:sz w:val="21"/>
              </w:rPr>
              <w:t xml:space="preserve">（四）从事房地产、度假村、高尔夫球场、风力发电、光伏发电等任何不符合主体功能定位的建设项目和开发活动。（五）破坏野生动物栖息地和迁徙通道、鱼类洄游通道， </w:t>
            </w:r>
            <w:r>
              <w:rPr>
                <w:w w:val="95"/>
                <w:sz w:val="21"/>
              </w:rPr>
              <w:t>滥采滥捕野生动植物。（六）引入外来物种。</w:t>
            </w:r>
          </w:p>
          <w:p w14:paraId="73DF2207">
            <w:pPr>
              <w:pStyle w:val="17"/>
              <w:spacing w:line="278" w:lineRule="auto"/>
              <w:ind w:left="107" w:right="-15"/>
              <w:rPr>
                <w:sz w:val="21"/>
              </w:rPr>
            </w:pPr>
            <w:r>
              <w:rPr>
                <w:w w:val="95"/>
                <w:sz w:val="21"/>
              </w:rPr>
              <w:t>（七</w:t>
            </w:r>
            <w:r>
              <w:rPr>
                <w:spacing w:val="-15"/>
                <w:w w:val="95"/>
                <w:sz w:val="21"/>
              </w:rPr>
              <w:t>）</w:t>
            </w:r>
            <w:r>
              <w:rPr>
                <w:spacing w:val="-7"/>
                <w:w w:val="95"/>
                <w:sz w:val="21"/>
              </w:rPr>
              <w:t xml:space="preserve">擅自放牧、捕捞、取土、取水、排污、 </w:t>
            </w:r>
            <w:r>
              <w:rPr>
                <w:spacing w:val="-7"/>
                <w:sz w:val="21"/>
              </w:rPr>
              <w:t>放生。（八）其他破坏湿地及其生态功能的活动。</w:t>
            </w:r>
          </w:p>
          <w:p w14:paraId="7EFA6DCE">
            <w:pPr>
              <w:pStyle w:val="17"/>
              <w:spacing w:line="278" w:lineRule="auto"/>
              <w:ind w:left="121" w:right="114"/>
              <w:rPr>
                <w:sz w:val="21"/>
              </w:rPr>
            </w:pPr>
            <w:r>
              <w:rPr>
                <w:w w:val="95"/>
                <w:sz w:val="21"/>
              </w:rPr>
              <w:t>禁止违法利用、占用长江流域河湖岸线。禁 止在《长江岸线保护和开发利用总体规划》 划定的岸线保护区和保留区内投资建设除事 关公共安全及公众利益的防洪护岸、河道治 理、供水、生态环境保护、航道整治、国家</w:t>
            </w:r>
            <w:r>
              <w:rPr>
                <w:sz w:val="21"/>
              </w:rPr>
              <w:t>重要基础设施以外的项目。</w:t>
            </w:r>
          </w:p>
          <w:p w14:paraId="2AECBC16">
            <w:pPr>
              <w:pStyle w:val="17"/>
              <w:spacing w:line="278" w:lineRule="auto"/>
              <w:ind w:left="107" w:right="-15" w:hanging="109"/>
              <w:rPr>
                <w:sz w:val="21"/>
              </w:rPr>
            </w:pPr>
            <w:r>
              <w:rPr>
                <w:sz w:val="21"/>
              </w:rPr>
              <w:t xml:space="preserve">禁止填湖造地、围湖造田及非法围垦河道， 禁止非法建设矮围网围、填埋湿地等侵占河 </w:t>
            </w:r>
            <w:r>
              <w:rPr>
                <w:spacing w:val="-8"/>
                <w:w w:val="95"/>
                <w:sz w:val="21"/>
              </w:rPr>
              <w:t xml:space="preserve">湖水域或者违法利用、占用河湖岸线的行为。  </w:t>
            </w:r>
            <w:r>
              <w:rPr>
                <w:spacing w:val="-8"/>
                <w:sz w:val="21"/>
              </w:rPr>
              <w:t>禁止在《全国重要江河湖泊水功能区划》划 定的河段及湖泊保护区、保留区内投资建设 不利于水资源及自然生态保护的项目。</w:t>
            </w:r>
          </w:p>
          <w:p w14:paraId="0220FF38">
            <w:pPr>
              <w:pStyle w:val="17"/>
              <w:spacing w:line="278" w:lineRule="auto"/>
              <w:ind w:left="121" w:right="114"/>
              <w:rPr>
                <w:sz w:val="21"/>
              </w:rPr>
            </w:pPr>
            <w:r>
              <w:rPr>
                <w:w w:val="95"/>
                <w:sz w:val="21"/>
              </w:rPr>
              <w:t>禁止未经许可在长江干支流及湖泊新设、改</w:t>
            </w:r>
            <w:r>
              <w:rPr>
                <w:sz w:val="21"/>
              </w:rPr>
              <w:t>设或扩大排污口。</w:t>
            </w:r>
          </w:p>
          <w:p w14:paraId="682819BE">
            <w:pPr>
              <w:pStyle w:val="17"/>
              <w:spacing w:line="278" w:lineRule="auto"/>
              <w:ind w:left="107" w:right="23" w:firstLine="14"/>
              <w:jc w:val="left"/>
              <w:rPr>
                <w:sz w:val="21"/>
              </w:rPr>
            </w:pPr>
            <w:r>
              <w:rPr>
                <w:sz w:val="21"/>
              </w:rPr>
              <w:t>禁止在洞庭湖、湘江、资江、元江、澧水干</w:t>
            </w:r>
            <w:r>
              <w:rPr>
                <w:spacing w:val="-19"/>
                <w:sz w:val="21"/>
              </w:rPr>
              <w:t xml:space="preserve">流和 </w:t>
            </w:r>
            <w:r>
              <w:rPr>
                <w:rFonts w:ascii="Times New Roman" w:eastAsia="Times New Roman"/>
                <w:sz w:val="21"/>
              </w:rPr>
              <w:t xml:space="preserve">45 </w:t>
            </w:r>
            <w:r>
              <w:rPr>
                <w:sz w:val="21"/>
              </w:rPr>
              <w:t>个水生生物保护区开展生产性捕捞。在相关自然保护区域和禁猎（渔）区、禁猎</w:t>
            </w:r>
          </w:p>
          <w:p w14:paraId="31BE31F4">
            <w:pPr>
              <w:pStyle w:val="17"/>
              <w:spacing w:line="278" w:lineRule="auto"/>
              <w:ind w:left="121" w:right="114"/>
              <w:rPr>
                <w:sz w:val="21"/>
              </w:rPr>
            </w:pPr>
            <w:r>
              <w:rPr>
                <w:w w:val="95"/>
                <w:sz w:val="21"/>
              </w:rPr>
              <w:t>（渔）期内，禁止猎捕以及其他妨碍野生动 物生息繁衍的活动，但法律法规另有规定的</w:t>
            </w:r>
            <w:r>
              <w:rPr>
                <w:sz w:val="21"/>
              </w:rPr>
              <w:t>除外。</w:t>
            </w:r>
          </w:p>
          <w:p w14:paraId="69827E7F">
            <w:pPr>
              <w:pStyle w:val="17"/>
              <w:spacing w:line="278" w:lineRule="auto"/>
              <w:ind w:left="121" w:right="114"/>
              <w:rPr>
                <w:sz w:val="21"/>
              </w:rPr>
            </w:pPr>
            <w:r>
              <w:rPr>
                <w:w w:val="95"/>
                <w:sz w:val="21"/>
              </w:rPr>
              <w:t>禁止在长江湖南段和洞庭湖、湘江、资江、 元江、澧水干流岸线一公里范围内新建、扩 建化工园区和化工项目，禁止在长江湖南段 岸线三公里范围内和湘江、资江、元江、澧 水岸线一公里范围内新建、改建、扩建尾矿 库、冶炼渣库和磷石膏库，以提升安全、生</w:t>
            </w:r>
            <w:r>
              <w:rPr>
                <w:sz w:val="21"/>
              </w:rPr>
              <w:t>态环境保护水平为目的的改建除外。</w:t>
            </w:r>
          </w:p>
          <w:p w14:paraId="134DC719">
            <w:pPr>
              <w:pStyle w:val="17"/>
              <w:spacing w:line="278" w:lineRule="auto"/>
              <w:ind w:left="107" w:right="97" w:firstLine="14"/>
              <w:jc w:val="both"/>
              <w:rPr>
                <w:sz w:val="21"/>
              </w:rPr>
            </w:pPr>
            <w:r>
              <w:rPr>
                <w:sz w:val="21"/>
              </w:rPr>
              <w:t>禁止在合规园区外新建、扩建钢铁、石化、化工、焦化、建材、有色、制浆造纸等高污</w:t>
            </w:r>
            <w:r>
              <w:rPr>
                <w:spacing w:val="-15"/>
                <w:w w:val="95"/>
                <w:sz w:val="21"/>
              </w:rPr>
              <w:t xml:space="preserve">染项目。高污染项目严格按照生态环境部《环 </w:t>
            </w:r>
            <w:r>
              <w:rPr>
                <w:spacing w:val="-14"/>
                <w:sz w:val="21"/>
              </w:rPr>
              <w:t>境保护综合名录</w:t>
            </w:r>
            <w:r>
              <w:rPr>
                <w:sz w:val="21"/>
              </w:rPr>
              <w:t>（</w:t>
            </w:r>
            <w:r>
              <w:rPr>
                <w:rFonts w:ascii="Times New Roman" w:eastAsia="Times New Roman"/>
                <w:sz w:val="21"/>
              </w:rPr>
              <w:t xml:space="preserve">2021 </w:t>
            </w:r>
            <w:r>
              <w:rPr>
                <w:sz w:val="21"/>
              </w:rPr>
              <w:t>年版</w:t>
            </w:r>
            <w:r>
              <w:rPr>
                <w:spacing w:val="-5"/>
                <w:sz w:val="21"/>
              </w:rPr>
              <w:t>）</w:t>
            </w:r>
            <w:r>
              <w:rPr>
                <w:spacing w:val="-3"/>
                <w:sz w:val="21"/>
              </w:rPr>
              <w:t>》有关要求执</w:t>
            </w:r>
          </w:p>
          <w:p w14:paraId="48F68959">
            <w:pPr>
              <w:pStyle w:val="17"/>
              <w:spacing w:line="269" w:lineRule="exact"/>
              <w:ind w:left="119" w:right="114"/>
              <w:rPr>
                <w:sz w:val="21"/>
              </w:rPr>
            </w:pPr>
            <w:r>
              <w:rPr>
                <w:sz w:val="21"/>
              </w:rPr>
              <w:t>行。</w:t>
            </w:r>
          </w:p>
        </w:tc>
        <w:tc>
          <w:tcPr>
            <w:tcW w:w="2214" w:type="dxa"/>
          </w:tcPr>
          <w:p w14:paraId="29AD9D77">
            <w:pPr>
              <w:pStyle w:val="17"/>
              <w:jc w:val="left"/>
              <w:rPr>
                <w:rFonts w:ascii="Times New Roman"/>
                <w:sz w:val="20"/>
              </w:rPr>
            </w:pPr>
          </w:p>
        </w:tc>
        <w:tc>
          <w:tcPr>
            <w:tcW w:w="986" w:type="dxa"/>
            <w:tcBorders>
              <w:right w:val="nil"/>
            </w:tcBorders>
          </w:tcPr>
          <w:p w14:paraId="4F93E0AC">
            <w:pPr>
              <w:pStyle w:val="17"/>
              <w:jc w:val="left"/>
              <w:rPr>
                <w:rFonts w:ascii="Times New Roman"/>
                <w:sz w:val="20"/>
              </w:rPr>
            </w:pPr>
          </w:p>
        </w:tc>
      </w:tr>
    </w:tbl>
    <w:p w14:paraId="3C0452CA">
      <w:pPr>
        <w:spacing w:after="0"/>
        <w:jc w:val="left"/>
        <w:rPr>
          <w:rFonts w:ascii="Times New Roman"/>
          <w:sz w:val="20"/>
        </w:rPr>
        <w:sectPr>
          <w:pgSz w:w="11910" w:h="16840"/>
          <w:pgMar w:top="1420" w:right="1440" w:bottom="1140" w:left="1580" w:header="0" w:footer="94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4237"/>
        <w:gridCol w:w="2214"/>
        <w:gridCol w:w="986"/>
      </w:tblGrid>
      <w:tr w14:paraId="4842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6" w:hRule="atLeast"/>
        </w:trPr>
        <w:tc>
          <w:tcPr>
            <w:tcW w:w="1082" w:type="dxa"/>
            <w:tcBorders>
              <w:left w:val="nil"/>
            </w:tcBorders>
          </w:tcPr>
          <w:p w14:paraId="470F9C2F">
            <w:pPr>
              <w:pStyle w:val="17"/>
              <w:jc w:val="left"/>
              <w:rPr>
                <w:rFonts w:ascii="Times New Roman"/>
                <w:sz w:val="20"/>
              </w:rPr>
            </w:pPr>
          </w:p>
        </w:tc>
        <w:tc>
          <w:tcPr>
            <w:tcW w:w="4237" w:type="dxa"/>
          </w:tcPr>
          <w:p w14:paraId="5CF5DDA6">
            <w:pPr>
              <w:pStyle w:val="17"/>
              <w:spacing w:before="21" w:line="278" w:lineRule="auto"/>
              <w:ind w:left="107" w:right="-15" w:hanging="109"/>
              <w:rPr>
                <w:sz w:val="21"/>
              </w:rPr>
            </w:pPr>
            <w:r>
              <w:rPr>
                <w:sz w:val="21"/>
              </w:rPr>
              <w:t xml:space="preserve">禁止新建、扩建不符合国家石化、现代煤化 工等产业布局规划的项目。未通过认定的化 </w:t>
            </w:r>
            <w:r>
              <w:rPr>
                <w:spacing w:val="-10"/>
                <w:w w:val="95"/>
                <w:sz w:val="21"/>
              </w:rPr>
              <w:t>工园区，不得新建、改扩建化工项目</w:t>
            </w:r>
            <w:r>
              <w:rPr>
                <w:w w:val="95"/>
                <w:sz w:val="21"/>
              </w:rPr>
              <w:t xml:space="preserve">（安全、  </w:t>
            </w:r>
            <w:r>
              <w:rPr>
                <w:sz w:val="21"/>
              </w:rPr>
              <w:t>环保、节能和智能化改造项目除外）。</w:t>
            </w:r>
          </w:p>
          <w:p w14:paraId="15B4C475">
            <w:pPr>
              <w:pStyle w:val="17"/>
              <w:spacing w:line="278" w:lineRule="auto"/>
              <w:ind w:left="121" w:right="114"/>
              <w:jc w:val="both"/>
              <w:rPr>
                <w:sz w:val="21"/>
              </w:rPr>
            </w:pPr>
            <w:r>
              <w:rPr>
                <w:w w:val="95"/>
                <w:sz w:val="21"/>
              </w:rPr>
              <w:t>禁止新建、扩建法律法规和相关政策明令禁 止的落后产能项目；对不符合要求的落后产 能存量项目依法依规退出，禁止新建、扩建 不符合国家产能置换要求的严重过剩产能行 业（钢铁、水泥、电解铝、平板玻璃、船舶 等行业）的项目对确有必要新建、扩建的， 必须严格执行产能置换实施办法，实施减量 或等量置换，依法依规办理有关手续。禁止</w:t>
            </w:r>
          </w:p>
          <w:p w14:paraId="5629FE8D">
            <w:pPr>
              <w:pStyle w:val="17"/>
              <w:spacing w:line="268" w:lineRule="exact"/>
              <w:ind w:left="107"/>
              <w:jc w:val="both"/>
              <w:rPr>
                <w:sz w:val="21"/>
              </w:rPr>
            </w:pPr>
            <w:r>
              <w:rPr>
                <w:w w:val="95"/>
                <w:sz w:val="21"/>
              </w:rPr>
              <w:t>新建、扩建不符合要求的高耗能高排放项目。</w:t>
            </w:r>
          </w:p>
        </w:tc>
        <w:tc>
          <w:tcPr>
            <w:tcW w:w="2214" w:type="dxa"/>
          </w:tcPr>
          <w:p w14:paraId="15DB0ACB">
            <w:pPr>
              <w:pStyle w:val="17"/>
              <w:jc w:val="left"/>
              <w:rPr>
                <w:rFonts w:ascii="Times New Roman"/>
                <w:sz w:val="20"/>
              </w:rPr>
            </w:pPr>
          </w:p>
        </w:tc>
        <w:tc>
          <w:tcPr>
            <w:tcW w:w="986" w:type="dxa"/>
            <w:tcBorders>
              <w:right w:val="nil"/>
            </w:tcBorders>
          </w:tcPr>
          <w:p w14:paraId="4F8298EB">
            <w:pPr>
              <w:pStyle w:val="17"/>
              <w:jc w:val="left"/>
              <w:rPr>
                <w:rFonts w:ascii="Times New Roman"/>
                <w:sz w:val="20"/>
              </w:rPr>
            </w:pPr>
          </w:p>
        </w:tc>
      </w:tr>
    </w:tbl>
    <w:p w14:paraId="6ABB71B0">
      <w:pPr>
        <w:pStyle w:val="9"/>
        <w:spacing w:before="82" w:line="364" w:lineRule="auto"/>
        <w:ind w:left="220" w:right="241" w:firstLine="480"/>
      </w:pPr>
      <w:r>
        <w:rPr>
          <w:spacing w:val="-15"/>
        </w:rPr>
        <w:t>（</w:t>
      </w:r>
      <w:r>
        <w:rPr>
          <w:rFonts w:ascii="Times New Roman" w:hAnsi="Times New Roman" w:eastAsia="Times New Roman"/>
          <w:spacing w:val="-15"/>
        </w:rPr>
        <w:t>13</w:t>
      </w:r>
      <w:r>
        <w:rPr>
          <w:spacing w:val="-15"/>
        </w:rPr>
        <w:t>）</w:t>
      </w:r>
      <w:r>
        <w:rPr>
          <w:spacing w:val="-8"/>
        </w:rPr>
        <w:t>与《湖南省大气污染防治</w:t>
      </w:r>
      <w:r>
        <w:rPr>
          <w:rFonts w:ascii="Times New Roman" w:hAnsi="Times New Roman" w:eastAsia="Times New Roman"/>
        </w:rPr>
        <w:t>“</w:t>
      </w:r>
      <w:r>
        <w:t>守护蓝天</w:t>
      </w:r>
      <w:r>
        <w:rPr>
          <w:rFonts w:ascii="Times New Roman" w:hAnsi="Times New Roman" w:eastAsia="Times New Roman"/>
        </w:rPr>
        <w:t>”</w:t>
      </w:r>
      <w:r>
        <w:rPr>
          <w:spacing w:val="-10"/>
        </w:rPr>
        <w:t>攻坚行动计划</w:t>
      </w:r>
      <w:r>
        <w:t>（</w:t>
      </w:r>
      <w:r>
        <w:rPr>
          <w:rFonts w:ascii="Times New Roman" w:hAnsi="Times New Roman" w:eastAsia="Times New Roman"/>
        </w:rPr>
        <w:t xml:space="preserve">2023—2025 </w:t>
      </w:r>
      <w:r>
        <w:t>年</w:t>
      </w:r>
      <w:r>
        <w:rPr>
          <w:spacing w:val="-120"/>
        </w:rPr>
        <w:t>）</w:t>
      </w:r>
      <w:r>
        <w:t>》相符性分析</w:t>
      </w:r>
    </w:p>
    <w:p w14:paraId="784154D5">
      <w:pPr>
        <w:pStyle w:val="10"/>
        <w:spacing w:before="1" w:line="364" w:lineRule="auto"/>
        <w:ind w:left="220" w:right="505" w:firstLine="480"/>
      </w:pPr>
      <w:r>
        <w:t>本项目与《湖南省大气污染防治“守护蓝天”攻坚行动计划（</w:t>
      </w:r>
      <w:r>
        <w:rPr>
          <w:rFonts w:ascii="Times New Roman" w:hAnsi="Times New Roman" w:eastAsia="Times New Roman"/>
        </w:rPr>
        <w:t xml:space="preserve">2023—2025 </w:t>
      </w:r>
      <w:r>
        <w:t>年）》的相符性如下：</w:t>
      </w:r>
    </w:p>
    <w:p w14:paraId="2835177A">
      <w:pPr>
        <w:pStyle w:val="9"/>
        <w:tabs>
          <w:tab w:val="left" w:pos="992"/>
        </w:tabs>
        <w:spacing w:before="0" w:after="2" w:line="229" w:lineRule="exact"/>
        <w:ind w:left="227"/>
      </w:pPr>
      <w:r>
        <w:t>表</w:t>
      </w:r>
      <w:r>
        <w:rPr>
          <w:spacing w:val="-61"/>
        </w:rPr>
        <w:t xml:space="preserve"> </w:t>
      </w:r>
      <w:r>
        <w:rPr>
          <w:rFonts w:ascii="Times New Roman" w:hAnsi="Times New Roman" w:eastAsia="Times New Roman"/>
          <w:spacing w:val="-8"/>
        </w:rPr>
        <w:t>11</w:t>
      </w:r>
      <w:r>
        <w:rPr>
          <w:rFonts w:ascii="Times New Roman" w:hAnsi="Times New Roman" w:eastAsia="Times New Roman"/>
          <w:spacing w:val="-8"/>
        </w:rPr>
        <w:tab/>
      </w:r>
      <w:r>
        <w:t>《湖南省大气污染防治“守护蓝天”攻坚行动计划（</w:t>
      </w:r>
      <w:r>
        <w:rPr>
          <w:rFonts w:ascii="Times New Roman" w:hAnsi="Times New Roman" w:eastAsia="Times New Roman"/>
        </w:rPr>
        <w:t>2023—2025</w:t>
      </w:r>
      <w:r>
        <w:rPr>
          <w:rFonts w:ascii="Times New Roman" w:hAnsi="Times New Roman" w:eastAsia="Times New Roman"/>
          <w:spacing w:val="-1"/>
        </w:rPr>
        <w:t xml:space="preserve"> </w:t>
      </w:r>
      <w:r>
        <w:t>年）》</w:t>
      </w: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3586"/>
        <w:gridCol w:w="2930"/>
        <w:gridCol w:w="1362"/>
      </w:tblGrid>
      <w:tr w14:paraId="04B22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1" w:type="dxa"/>
            <w:tcBorders>
              <w:left w:val="nil"/>
            </w:tcBorders>
          </w:tcPr>
          <w:p w14:paraId="406BAE34">
            <w:pPr>
              <w:pStyle w:val="17"/>
              <w:spacing w:before="20"/>
              <w:ind w:left="94" w:right="82"/>
              <w:rPr>
                <w:sz w:val="21"/>
              </w:rPr>
            </w:pPr>
            <w:r>
              <w:rPr>
                <w:sz w:val="21"/>
              </w:rPr>
              <w:t>序号</w:t>
            </w:r>
          </w:p>
        </w:tc>
        <w:tc>
          <w:tcPr>
            <w:tcW w:w="3586" w:type="dxa"/>
          </w:tcPr>
          <w:p w14:paraId="0C78A011">
            <w:pPr>
              <w:pStyle w:val="17"/>
              <w:spacing w:before="20"/>
              <w:ind w:left="49" w:right="43"/>
              <w:rPr>
                <w:sz w:val="21"/>
              </w:rPr>
            </w:pPr>
            <w:r>
              <w:rPr>
                <w:sz w:val="21"/>
              </w:rPr>
              <w:t>相关要求</w:t>
            </w:r>
          </w:p>
        </w:tc>
        <w:tc>
          <w:tcPr>
            <w:tcW w:w="2930" w:type="dxa"/>
          </w:tcPr>
          <w:p w14:paraId="2E97C891">
            <w:pPr>
              <w:pStyle w:val="17"/>
              <w:spacing w:before="20"/>
              <w:ind w:left="106" w:right="98"/>
              <w:rPr>
                <w:sz w:val="21"/>
              </w:rPr>
            </w:pPr>
            <w:r>
              <w:rPr>
                <w:sz w:val="21"/>
              </w:rPr>
              <w:t>项目情况</w:t>
            </w:r>
          </w:p>
        </w:tc>
        <w:tc>
          <w:tcPr>
            <w:tcW w:w="1362" w:type="dxa"/>
            <w:tcBorders>
              <w:right w:val="nil"/>
            </w:tcBorders>
          </w:tcPr>
          <w:p w14:paraId="33D90606">
            <w:pPr>
              <w:pStyle w:val="17"/>
              <w:spacing w:before="20"/>
              <w:ind w:left="135" w:right="132"/>
              <w:rPr>
                <w:sz w:val="21"/>
              </w:rPr>
            </w:pPr>
            <w:r>
              <w:rPr>
                <w:sz w:val="21"/>
              </w:rPr>
              <w:t>符合性分析</w:t>
            </w:r>
          </w:p>
        </w:tc>
      </w:tr>
      <w:tr w14:paraId="0029D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641" w:type="dxa"/>
            <w:tcBorders>
              <w:left w:val="nil"/>
            </w:tcBorders>
          </w:tcPr>
          <w:p w14:paraId="05817B45">
            <w:pPr>
              <w:pStyle w:val="17"/>
              <w:jc w:val="left"/>
              <w:rPr>
                <w:b/>
                <w:sz w:val="22"/>
              </w:rPr>
            </w:pPr>
          </w:p>
          <w:p w14:paraId="3CE11483">
            <w:pPr>
              <w:pStyle w:val="17"/>
              <w:jc w:val="left"/>
              <w:rPr>
                <w:b/>
                <w:sz w:val="22"/>
              </w:rPr>
            </w:pPr>
          </w:p>
          <w:p w14:paraId="155083B9">
            <w:pPr>
              <w:pStyle w:val="17"/>
              <w:jc w:val="left"/>
              <w:rPr>
                <w:b/>
                <w:sz w:val="22"/>
              </w:rPr>
            </w:pPr>
          </w:p>
          <w:p w14:paraId="1585BFDE">
            <w:pPr>
              <w:pStyle w:val="17"/>
              <w:jc w:val="left"/>
              <w:rPr>
                <w:b/>
                <w:sz w:val="22"/>
              </w:rPr>
            </w:pPr>
          </w:p>
          <w:p w14:paraId="3EF47B6B">
            <w:pPr>
              <w:pStyle w:val="17"/>
              <w:spacing w:before="154"/>
              <w:ind w:left="15"/>
              <w:rPr>
                <w:rFonts w:ascii="Times New Roman"/>
                <w:sz w:val="21"/>
              </w:rPr>
            </w:pPr>
            <w:r>
              <w:rPr>
                <w:rFonts w:ascii="Times New Roman"/>
                <w:w w:val="99"/>
                <w:sz w:val="21"/>
              </w:rPr>
              <w:t>1</w:t>
            </w:r>
          </w:p>
        </w:tc>
        <w:tc>
          <w:tcPr>
            <w:tcW w:w="3586" w:type="dxa"/>
          </w:tcPr>
          <w:p w14:paraId="2840641D">
            <w:pPr>
              <w:pStyle w:val="17"/>
              <w:spacing w:before="20" w:line="278" w:lineRule="auto"/>
              <w:ind w:left="107" w:right="-15"/>
              <w:jc w:val="left"/>
              <w:rPr>
                <w:sz w:val="21"/>
              </w:rPr>
            </w:pPr>
            <w:r>
              <w:rPr>
                <w:spacing w:val="-10"/>
                <w:sz w:val="21"/>
              </w:rPr>
              <w:t>优化产业结构和布局。严格项目准入， 遏制</w:t>
            </w:r>
            <w:r>
              <w:rPr>
                <w:rFonts w:ascii="Times New Roman" w:hAnsi="Times New Roman" w:eastAsia="Times New Roman"/>
                <w:spacing w:val="-10"/>
                <w:sz w:val="21"/>
              </w:rPr>
              <w:t>“</w:t>
            </w:r>
            <w:r>
              <w:rPr>
                <w:spacing w:val="-10"/>
                <w:sz w:val="21"/>
              </w:rPr>
              <w:t>两高一低</w:t>
            </w:r>
            <w:r>
              <w:rPr>
                <w:rFonts w:ascii="Times New Roman" w:hAnsi="Times New Roman" w:eastAsia="Times New Roman"/>
                <w:spacing w:val="-10"/>
                <w:sz w:val="21"/>
              </w:rPr>
              <w:t>”</w:t>
            </w:r>
            <w:r>
              <w:rPr>
                <w:spacing w:val="-10"/>
                <w:sz w:val="21"/>
              </w:rPr>
              <w:t>项目盲目发展。落实产业规划及产业政策，严格执行重点行业产能置换办法，依法依规淘汰落后产能。优化产业链布局，开展传统产业集群排查整治，推进重点涉气企</w:t>
            </w:r>
            <w:r>
              <w:rPr>
                <w:spacing w:val="-20"/>
                <w:sz w:val="21"/>
              </w:rPr>
              <w:t xml:space="preserve">业入区入园。到 </w:t>
            </w:r>
            <w:r>
              <w:rPr>
                <w:rFonts w:ascii="Times New Roman" w:hAnsi="Times New Roman" w:eastAsia="Times New Roman"/>
                <w:sz w:val="21"/>
              </w:rPr>
              <w:t>2025</w:t>
            </w:r>
            <w:r>
              <w:rPr>
                <w:rFonts w:ascii="Times New Roman" w:hAnsi="Times New Roman" w:eastAsia="Times New Roman"/>
                <w:spacing w:val="-3"/>
                <w:sz w:val="21"/>
              </w:rPr>
              <w:t xml:space="preserve"> </w:t>
            </w:r>
            <w:r>
              <w:rPr>
                <w:spacing w:val="-8"/>
                <w:sz w:val="21"/>
              </w:rPr>
              <w:t>年，按照相关政策和环保标准整合关停环境绩效水平</w:t>
            </w:r>
          </w:p>
          <w:p w14:paraId="629E49A9">
            <w:pPr>
              <w:pStyle w:val="17"/>
              <w:spacing w:line="268" w:lineRule="exact"/>
              <w:ind w:left="1057"/>
              <w:jc w:val="left"/>
              <w:rPr>
                <w:sz w:val="21"/>
              </w:rPr>
            </w:pPr>
            <w:r>
              <w:rPr>
                <w:sz w:val="21"/>
              </w:rPr>
              <w:t>低的砖瓦企业。</w:t>
            </w:r>
          </w:p>
        </w:tc>
        <w:tc>
          <w:tcPr>
            <w:tcW w:w="2930" w:type="dxa"/>
          </w:tcPr>
          <w:p w14:paraId="6B286473">
            <w:pPr>
              <w:pStyle w:val="17"/>
              <w:jc w:val="left"/>
              <w:rPr>
                <w:b/>
                <w:sz w:val="20"/>
              </w:rPr>
            </w:pPr>
          </w:p>
          <w:p w14:paraId="06553315">
            <w:pPr>
              <w:pStyle w:val="17"/>
              <w:jc w:val="left"/>
              <w:rPr>
                <w:b/>
                <w:sz w:val="20"/>
              </w:rPr>
            </w:pPr>
          </w:p>
          <w:p w14:paraId="6721881E">
            <w:pPr>
              <w:pStyle w:val="17"/>
              <w:jc w:val="left"/>
              <w:rPr>
                <w:b/>
                <w:sz w:val="20"/>
              </w:rPr>
            </w:pPr>
          </w:p>
          <w:p w14:paraId="38F27345">
            <w:pPr>
              <w:pStyle w:val="17"/>
              <w:spacing w:before="7"/>
              <w:jc w:val="left"/>
              <w:rPr>
                <w:b/>
                <w:sz w:val="14"/>
              </w:rPr>
            </w:pPr>
          </w:p>
          <w:p w14:paraId="5FF7149B">
            <w:pPr>
              <w:pStyle w:val="17"/>
              <w:spacing w:before="1" w:line="278" w:lineRule="auto"/>
              <w:ind w:left="107" w:right="81"/>
              <w:jc w:val="both"/>
              <w:rPr>
                <w:sz w:val="21"/>
              </w:rPr>
            </w:pPr>
            <w:r>
              <w:rPr>
                <w:w w:val="95"/>
                <w:sz w:val="21"/>
              </w:rPr>
              <w:t xml:space="preserve">本项目为塑料制品制造项目， </w:t>
            </w:r>
            <w:r>
              <w:rPr>
                <w:sz w:val="21"/>
              </w:rPr>
              <w:t>符合国家相关产业政策，不属于重点涉气企业和砖瓦企业</w:t>
            </w:r>
          </w:p>
        </w:tc>
        <w:tc>
          <w:tcPr>
            <w:tcW w:w="1362" w:type="dxa"/>
            <w:tcBorders>
              <w:right w:val="nil"/>
            </w:tcBorders>
          </w:tcPr>
          <w:p w14:paraId="49932D63">
            <w:pPr>
              <w:pStyle w:val="17"/>
              <w:jc w:val="left"/>
              <w:rPr>
                <w:b/>
                <w:sz w:val="20"/>
              </w:rPr>
            </w:pPr>
          </w:p>
          <w:p w14:paraId="548DFD35">
            <w:pPr>
              <w:pStyle w:val="17"/>
              <w:jc w:val="left"/>
              <w:rPr>
                <w:b/>
                <w:sz w:val="20"/>
              </w:rPr>
            </w:pPr>
          </w:p>
          <w:p w14:paraId="43D20846">
            <w:pPr>
              <w:pStyle w:val="17"/>
              <w:jc w:val="left"/>
              <w:rPr>
                <w:b/>
                <w:sz w:val="20"/>
              </w:rPr>
            </w:pPr>
          </w:p>
          <w:p w14:paraId="21285219">
            <w:pPr>
              <w:pStyle w:val="17"/>
              <w:jc w:val="left"/>
              <w:rPr>
                <w:b/>
                <w:sz w:val="20"/>
              </w:rPr>
            </w:pPr>
          </w:p>
          <w:p w14:paraId="6863EA08">
            <w:pPr>
              <w:pStyle w:val="17"/>
              <w:spacing w:before="12"/>
              <w:jc w:val="left"/>
              <w:rPr>
                <w:b/>
                <w:sz w:val="18"/>
              </w:rPr>
            </w:pPr>
          </w:p>
          <w:p w14:paraId="48FA6757">
            <w:pPr>
              <w:pStyle w:val="17"/>
              <w:ind w:left="132" w:right="132"/>
              <w:rPr>
                <w:sz w:val="21"/>
              </w:rPr>
            </w:pPr>
            <w:r>
              <w:rPr>
                <w:sz w:val="21"/>
              </w:rPr>
              <w:t>符合</w:t>
            </w:r>
          </w:p>
        </w:tc>
      </w:tr>
      <w:tr w14:paraId="1414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641" w:type="dxa"/>
            <w:tcBorders>
              <w:left w:val="nil"/>
            </w:tcBorders>
          </w:tcPr>
          <w:p w14:paraId="22E3161B">
            <w:pPr>
              <w:pStyle w:val="17"/>
              <w:jc w:val="left"/>
              <w:rPr>
                <w:b/>
                <w:sz w:val="22"/>
              </w:rPr>
            </w:pPr>
          </w:p>
          <w:p w14:paraId="17096F72">
            <w:pPr>
              <w:pStyle w:val="17"/>
              <w:jc w:val="left"/>
              <w:rPr>
                <w:b/>
                <w:sz w:val="22"/>
              </w:rPr>
            </w:pPr>
          </w:p>
          <w:p w14:paraId="523FD930">
            <w:pPr>
              <w:pStyle w:val="17"/>
              <w:jc w:val="left"/>
              <w:rPr>
                <w:b/>
                <w:sz w:val="22"/>
              </w:rPr>
            </w:pPr>
          </w:p>
          <w:p w14:paraId="0FF8704B">
            <w:pPr>
              <w:pStyle w:val="17"/>
              <w:jc w:val="left"/>
              <w:rPr>
                <w:b/>
                <w:sz w:val="22"/>
              </w:rPr>
            </w:pPr>
          </w:p>
          <w:p w14:paraId="050EBDDD">
            <w:pPr>
              <w:pStyle w:val="17"/>
              <w:jc w:val="left"/>
              <w:rPr>
                <w:b/>
                <w:sz w:val="22"/>
              </w:rPr>
            </w:pPr>
          </w:p>
          <w:p w14:paraId="597F1CC4">
            <w:pPr>
              <w:pStyle w:val="17"/>
              <w:spacing w:before="186"/>
              <w:ind w:left="15"/>
              <w:rPr>
                <w:rFonts w:ascii="Times New Roman"/>
                <w:sz w:val="21"/>
              </w:rPr>
            </w:pPr>
            <w:r>
              <w:rPr>
                <w:rFonts w:ascii="Times New Roman"/>
                <w:w w:val="99"/>
                <w:sz w:val="21"/>
              </w:rPr>
              <w:t>2</w:t>
            </w:r>
          </w:p>
        </w:tc>
        <w:tc>
          <w:tcPr>
            <w:tcW w:w="3586" w:type="dxa"/>
          </w:tcPr>
          <w:p w14:paraId="28A3F037">
            <w:pPr>
              <w:pStyle w:val="17"/>
              <w:spacing w:before="22" w:line="278" w:lineRule="auto"/>
              <w:ind w:left="107" w:right="97" w:firstLine="4"/>
              <w:jc w:val="both"/>
              <w:rPr>
                <w:sz w:val="21"/>
              </w:rPr>
            </w:pPr>
            <w:r>
              <w:rPr>
                <w:sz w:val="21"/>
              </w:rPr>
              <w:t>推动产业绿色低碳发展。健全节能标准体系，深入开展重点行业强制性清洁生产审核。大力推行绿色制造，推</w:t>
            </w:r>
            <w:r>
              <w:rPr>
                <w:spacing w:val="-10"/>
                <w:sz w:val="21"/>
              </w:rPr>
              <w:t xml:space="preserve">进绿色工厂、绿色园区建设。到 </w:t>
            </w:r>
            <w:r>
              <w:rPr>
                <w:rFonts w:ascii="Times New Roman" w:eastAsia="Times New Roman"/>
                <w:sz w:val="21"/>
              </w:rPr>
              <w:t xml:space="preserve">2025 </w:t>
            </w:r>
            <w:r>
              <w:rPr>
                <w:sz w:val="21"/>
              </w:rPr>
              <w:t>年，规模以上工业单位增加值能耗降</w:t>
            </w:r>
            <w:r>
              <w:rPr>
                <w:spacing w:val="-34"/>
                <w:sz w:val="21"/>
              </w:rPr>
              <w:t xml:space="preserve">低 </w:t>
            </w:r>
            <w:r>
              <w:rPr>
                <w:rFonts w:ascii="Times New Roman" w:eastAsia="Times New Roman"/>
                <w:sz w:val="21"/>
              </w:rPr>
              <w:t>14%</w:t>
            </w:r>
            <w:r>
              <w:rPr>
                <w:sz w:val="21"/>
              </w:rPr>
              <w:t>，重点行业主要污染物排放强</w:t>
            </w:r>
            <w:r>
              <w:rPr>
                <w:spacing w:val="-14"/>
                <w:sz w:val="21"/>
              </w:rPr>
              <w:t xml:space="preserve">度降低 </w:t>
            </w:r>
            <w:r>
              <w:rPr>
                <w:rFonts w:ascii="Times New Roman" w:eastAsia="Times New Roman"/>
                <w:sz w:val="21"/>
              </w:rPr>
              <w:t>10%</w:t>
            </w:r>
            <w:r>
              <w:rPr>
                <w:spacing w:val="-14"/>
                <w:sz w:val="21"/>
              </w:rPr>
              <w:t xml:space="preserve">；建成 </w:t>
            </w:r>
            <w:r>
              <w:rPr>
                <w:rFonts w:ascii="Times New Roman" w:eastAsia="Times New Roman"/>
                <w:sz w:val="21"/>
              </w:rPr>
              <w:t xml:space="preserve">50 </w:t>
            </w:r>
            <w:r>
              <w:rPr>
                <w:sz w:val="21"/>
              </w:rPr>
              <w:t>家省级及以上绿色园区、</w:t>
            </w:r>
            <w:r>
              <w:rPr>
                <w:rFonts w:ascii="Times New Roman" w:eastAsia="Times New Roman"/>
                <w:sz w:val="21"/>
              </w:rPr>
              <w:t xml:space="preserve">500 </w:t>
            </w:r>
            <w:r>
              <w:rPr>
                <w:sz w:val="21"/>
              </w:rPr>
              <w:t>家绿色工厂，各市州重点行业企业全面完成一轮清洁生产审核、全省自愿性清洁生产审核通过</w:t>
            </w:r>
          </w:p>
          <w:p w14:paraId="5133FD96">
            <w:pPr>
              <w:pStyle w:val="17"/>
              <w:spacing w:line="268" w:lineRule="exact"/>
              <w:ind w:left="899"/>
              <w:jc w:val="left"/>
              <w:rPr>
                <w:sz w:val="21"/>
              </w:rPr>
            </w:pPr>
            <w:r>
              <w:rPr>
                <w:sz w:val="21"/>
              </w:rPr>
              <w:t xml:space="preserve">企业 </w:t>
            </w:r>
            <w:r>
              <w:rPr>
                <w:rFonts w:ascii="Times New Roman" w:eastAsia="Times New Roman"/>
                <w:sz w:val="21"/>
              </w:rPr>
              <w:t xml:space="preserve">1500 </w:t>
            </w:r>
            <w:r>
              <w:rPr>
                <w:sz w:val="21"/>
              </w:rPr>
              <w:t>家以上。</w:t>
            </w:r>
          </w:p>
        </w:tc>
        <w:tc>
          <w:tcPr>
            <w:tcW w:w="2930" w:type="dxa"/>
          </w:tcPr>
          <w:p w14:paraId="4A5F5E4F">
            <w:pPr>
              <w:pStyle w:val="17"/>
              <w:jc w:val="left"/>
              <w:rPr>
                <w:b/>
                <w:sz w:val="20"/>
              </w:rPr>
            </w:pPr>
          </w:p>
          <w:p w14:paraId="4B69A245">
            <w:pPr>
              <w:pStyle w:val="17"/>
              <w:jc w:val="left"/>
              <w:rPr>
                <w:b/>
                <w:sz w:val="20"/>
              </w:rPr>
            </w:pPr>
          </w:p>
          <w:p w14:paraId="0D434024">
            <w:pPr>
              <w:pStyle w:val="17"/>
              <w:jc w:val="left"/>
              <w:rPr>
                <w:b/>
                <w:sz w:val="20"/>
              </w:rPr>
            </w:pPr>
          </w:p>
          <w:p w14:paraId="58D42318">
            <w:pPr>
              <w:pStyle w:val="17"/>
              <w:jc w:val="left"/>
              <w:rPr>
                <w:b/>
                <w:sz w:val="20"/>
              </w:rPr>
            </w:pPr>
          </w:p>
          <w:p w14:paraId="2817CC60">
            <w:pPr>
              <w:pStyle w:val="17"/>
              <w:spacing w:before="1"/>
              <w:jc w:val="left"/>
              <w:rPr>
                <w:b/>
                <w:sz w:val="19"/>
              </w:rPr>
            </w:pPr>
          </w:p>
          <w:p w14:paraId="22904125">
            <w:pPr>
              <w:pStyle w:val="17"/>
              <w:spacing w:line="278" w:lineRule="auto"/>
              <w:ind w:left="107" w:right="98"/>
              <w:rPr>
                <w:sz w:val="21"/>
              </w:rPr>
            </w:pPr>
            <w:r>
              <w:rPr>
                <w:w w:val="95"/>
                <w:sz w:val="21"/>
              </w:rPr>
              <w:t>本项目能源主要为电能，不涉及锅炉和炉窑。本项目不属于</w:t>
            </w:r>
            <w:r>
              <w:rPr>
                <w:sz w:val="21"/>
              </w:rPr>
              <w:t>重点行业。</w:t>
            </w:r>
          </w:p>
        </w:tc>
        <w:tc>
          <w:tcPr>
            <w:tcW w:w="1362" w:type="dxa"/>
            <w:tcBorders>
              <w:right w:val="nil"/>
            </w:tcBorders>
          </w:tcPr>
          <w:p w14:paraId="33011356">
            <w:pPr>
              <w:pStyle w:val="17"/>
              <w:jc w:val="left"/>
              <w:rPr>
                <w:b/>
                <w:sz w:val="20"/>
              </w:rPr>
            </w:pPr>
          </w:p>
          <w:p w14:paraId="1ED13BE6">
            <w:pPr>
              <w:pStyle w:val="17"/>
              <w:jc w:val="left"/>
              <w:rPr>
                <w:b/>
                <w:sz w:val="20"/>
              </w:rPr>
            </w:pPr>
          </w:p>
          <w:p w14:paraId="5CE73108">
            <w:pPr>
              <w:pStyle w:val="17"/>
              <w:jc w:val="left"/>
              <w:rPr>
                <w:b/>
                <w:sz w:val="20"/>
              </w:rPr>
            </w:pPr>
          </w:p>
          <w:p w14:paraId="41610689">
            <w:pPr>
              <w:pStyle w:val="17"/>
              <w:jc w:val="left"/>
              <w:rPr>
                <w:b/>
                <w:sz w:val="20"/>
              </w:rPr>
            </w:pPr>
          </w:p>
          <w:p w14:paraId="3A0A696E">
            <w:pPr>
              <w:pStyle w:val="17"/>
              <w:jc w:val="left"/>
              <w:rPr>
                <w:b/>
                <w:sz w:val="20"/>
              </w:rPr>
            </w:pPr>
          </w:p>
          <w:p w14:paraId="570A6EAD">
            <w:pPr>
              <w:pStyle w:val="17"/>
              <w:spacing w:before="6"/>
              <w:jc w:val="left"/>
              <w:rPr>
                <w:b/>
                <w:sz w:val="23"/>
              </w:rPr>
            </w:pPr>
          </w:p>
          <w:p w14:paraId="3FCB893C">
            <w:pPr>
              <w:pStyle w:val="17"/>
              <w:ind w:left="132" w:right="132"/>
              <w:rPr>
                <w:sz w:val="21"/>
              </w:rPr>
            </w:pPr>
            <w:r>
              <w:rPr>
                <w:sz w:val="21"/>
              </w:rPr>
              <w:t>符合</w:t>
            </w:r>
          </w:p>
        </w:tc>
      </w:tr>
      <w:tr w14:paraId="5FED5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641" w:type="dxa"/>
            <w:tcBorders>
              <w:left w:val="nil"/>
            </w:tcBorders>
          </w:tcPr>
          <w:p w14:paraId="063A135C">
            <w:pPr>
              <w:pStyle w:val="17"/>
              <w:spacing w:before="1"/>
              <w:jc w:val="left"/>
              <w:rPr>
                <w:b/>
                <w:sz w:val="27"/>
              </w:rPr>
            </w:pPr>
          </w:p>
          <w:p w14:paraId="09F3A1AF">
            <w:pPr>
              <w:pStyle w:val="17"/>
              <w:ind w:left="15"/>
              <w:rPr>
                <w:rFonts w:ascii="Times New Roman"/>
                <w:sz w:val="21"/>
              </w:rPr>
            </w:pPr>
            <w:r>
              <w:rPr>
                <w:rFonts w:ascii="Times New Roman"/>
                <w:w w:val="99"/>
                <w:sz w:val="21"/>
              </w:rPr>
              <w:t>3</w:t>
            </w:r>
          </w:p>
        </w:tc>
        <w:tc>
          <w:tcPr>
            <w:tcW w:w="3586" w:type="dxa"/>
          </w:tcPr>
          <w:p w14:paraId="2743C366">
            <w:pPr>
              <w:pStyle w:val="17"/>
              <w:spacing w:before="21"/>
              <w:ind w:left="112"/>
              <w:jc w:val="left"/>
              <w:rPr>
                <w:sz w:val="21"/>
              </w:rPr>
            </w:pPr>
            <w:r>
              <w:rPr>
                <w:sz w:val="21"/>
              </w:rPr>
              <w:t xml:space="preserve">加大低 </w:t>
            </w:r>
            <w:r>
              <w:rPr>
                <w:rFonts w:ascii="Times New Roman" w:eastAsia="Times New Roman"/>
                <w:sz w:val="21"/>
              </w:rPr>
              <w:t xml:space="preserve">VOCs </w:t>
            </w:r>
            <w:r>
              <w:rPr>
                <w:sz w:val="21"/>
              </w:rPr>
              <w:t>原辅材料替代力度。建</w:t>
            </w:r>
          </w:p>
          <w:p w14:paraId="668BA148">
            <w:pPr>
              <w:pStyle w:val="17"/>
              <w:spacing w:before="2" w:line="310" w:lineRule="atLeast"/>
              <w:ind w:left="107" w:right="103" w:firstLine="4"/>
              <w:jc w:val="left"/>
              <w:rPr>
                <w:sz w:val="21"/>
              </w:rPr>
            </w:pPr>
            <w:r>
              <w:rPr>
                <w:w w:val="95"/>
                <w:sz w:val="21"/>
              </w:rPr>
              <w:t>立多部门联合执法机制，加大监督检</w:t>
            </w:r>
            <w:r>
              <w:rPr>
                <w:sz w:val="21"/>
              </w:rPr>
              <w:t>查力度，确保生产、销售、使用符合</w:t>
            </w:r>
          </w:p>
        </w:tc>
        <w:tc>
          <w:tcPr>
            <w:tcW w:w="2930" w:type="dxa"/>
          </w:tcPr>
          <w:p w14:paraId="2B1B34BC">
            <w:pPr>
              <w:pStyle w:val="17"/>
              <w:spacing w:before="21"/>
              <w:ind w:left="107"/>
              <w:jc w:val="left"/>
              <w:rPr>
                <w:sz w:val="21"/>
              </w:rPr>
            </w:pPr>
            <w:r>
              <w:rPr>
                <w:w w:val="95"/>
                <w:sz w:val="21"/>
              </w:rPr>
              <w:t>本项目为塑料制品制造项目，</w:t>
            </w:r>
          </w:p>
          <w:p w14:paraId="5DB2633A">
            <w:pPr>
              <w:pStyle w:val="17"/>
              <w:spacing w:before="2" w:line="310" w:lineRule="atLeast"/>
              <w:ind w:left="107" w:right="23"/>
              <w:jc w:val="left"/>
              <w:rPr>
                <w:sz w:val="21"/>
              </w:rPr>
            </w:pPr>
            <w:r>
              <w:rPr>
                <w:sz w:val="21"/>
              </w:rPr>
              <w:t xml:space="preserve">使用原料属于低 </w:t>
            </w:r>
            <w:r>
              <w:rPr>
                <w:rFonts w:ascii="Times New Roman" w:eastAsia="Times New Roman"/>
                <w:sz w:val="21"/>
              </w:rPr>
              <w:t xml:space="preserve">VOCs </w:t>
            </w:r>
            <w:r>
              <w:rPr>
                <w:sz w:val="21"/>
              </w:rPr>
              <w:t>原辅材</w:t>
            </w:r>
            <w:r>
              <w:rPr>
                <w:w w:val="95"/>
                <w:sz w:val="21"/>
              </w:rPr>
              <w:t>料，不涉及工业涂装、包装印</w:t>
            </w:r>
          </w:p>
        </w:tc>
        <w:tc>
          <w:tcPr>
            <w:tcW w:w="1362" w:type="dxa"/>
            <w:tcBorders>
              <w:right w:val="nil"/>
            </w:tcBorders>
          </w:tcPr>
          <w:p w14:paraId="46CA66E9">
            <w:pPr>
              <w:pStyle w:val="17"/>
              <w:jc w:val="left"/>
              <w:rPr>
                <w:b/>
                <w:sz w:val="26"/>
              </w:rPr>
            </w:pPr>
          </w:p>
          <w:p w14:paraId="003C4B8E">
            <w:pPr>
              <w:pStyle w:val="17"/>
              <w:ind w:left="132" w:right="132"/>
              <w:rPr>
                <w:sz w:val="21"/>
              </w:rPr>
            </w:pPr>
            <w:r>
              <w:rPr>
                <w:sz w:val="21"/>
              </w:rPr>
              <w:t>符合</w:t>
            </w:r>
          </w:p>
        </w:tc>
      </w:tr>
    </w:tbl>
    <w:p w14:paraId="344C7068">
      <w:pPr>
        <w:spacing w:after="0"/>
        <w:rPr>
          <w:sz w:val="21"/>
        </w:rPr>
        <w:sectPr>
          <w:pgSz w:w="11910" w:h="16840"/>
          <w:pgMar w:top="1420" w:right="1440" w:bottom="1220" w:left="1580" w:header="0" w:footer="944" w:gutter="0"/>
          <w:cols w:space="720" w:num="1"/>
        </w:sect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3586"/>
        <w:gridCol w:w="2930"/>
        <w:gridCol w:w="1362"/>
      </w:tblGrid>
      <w:tr w14:paraId="76715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641" w:type="dxa"/>
            <w:tcBorders>
              <w:left w:val="nil"/>
            </w:tcBorders>
          </w:tcPr>
          <w:p w14:paraId="78D14C37">
            <w:pPr>
              <w:pStyle w:val="17"/>
              <w:jc w:val="left"/>
              <w:rPr>
                <w:rFonts w:ascii="Times New Roman"/>
                <w:sz w:val="20"/>
              </w:rPr>
            </w:pPr>
          </w:p>
        </w:tc>
        <w:tc>
          <w:tcPr>
            <w:tcW w:w="3586" w:type="dxa"/>
          </w:tcPr>
          <w:p w14:paraId="142A4305">
            <w:pPr>
              <w:pStyle w:val="17"/>
              <w:spacing w:before="21" w:line="278" w:lineRule="auto"/>
              <w:ind w:left="112" w:right="103" w:firstLine="26"/>
              <w:jc w:val="both"/>
              <w:rPr>
                <w:sz w:val="21"/>
              </w:rPr>
            </w:pPr>
            <w:r>
              <w:rPr>
                <w:rFonts w:ascii="Times New Roman" w:eastAsia="Times New Roman"/>
                <w:sz w:val="21"/>
              </w:rPr>
              <w:t xml:space="preserve">VOCs </w:t>
            </w:r>
            <w:r>
              <w:rPr>
                <w:sz w:val="21"/>
              </w:rPr>
              <w:t>含量限值标准的产品。以工业</w:t>
            </w:r>
            <w:r>
              <w:rPr>
                <w:w w:val="95"/>
                <w:sz w:val="21"/>
              </w:rPr>
              <w:t>涂装、包装印刷和胶粘剂使用等为重点，在企业清洁生产审核中明确提出</w:t>
            </w:r>
          </w:p>
          <w:p w14:paraId="7B419C5A">
            <w:pPr>
              <w:pStyle w:val="17"/>
              <w:spacing w:line="269" w:lineRule="exact"/>
              <w:ind w:left="426"/>
              <w:jc w:val="left"/>
              <w:rPr>
                <w:sz w:val="21"/>
              </w:rPr>
            </w:pPr>
            <w:r>
              <w:rPr>
                <w:sz w:val="21"/>
              </w:rPr>
              <w:t xml:space="preserve">低 </w:t>
            </w:r>
            <w:r>
              <w:rPr>
                <w:rFonts w:ascii="Times New Roman" w:eastAsia="Times New Roman"/>
                <w:sz w:val="21"/>
              </w:rPr>
              <w:t xml:space="preserve">VOCs </w:t>
            </w:r>
            <w:r>
              <w:rPr>
                <w:sz w:val="21"/>
              </w:rPr>
              <w:t>原辅材料替代要求。</w:t>
            </w:r>
          </w:p>
        </w:tc>
        <w:tc>
          <w:tcPr>
            <w:tcW w:w="2930" w:type="dxa"/>
          </w:tcPr>
          <w:p w14:paraId="2C18E39A">
            <w:pPr>
              <w:pStyle w:val="17"/>
              <w:spacing w:before="21"/>
              <w:ind w:left="625"/>
              <w:jc w:val="left"/>
              <w:rPr>
                <w:sz w:val="21"/>
              </w:rPr>
            </w:pPr>
            <w:r>
              <w:rPr>
                <w:sz w:val="21"/>
              </w:rPr>
              <w:t>刷和胶粘剂使用。</w:t>
            </w:r>
          </w:p>
        </w:tc>
        <w:tc>
          <w:tcPr>
            <w:tcW w:w="1362" w:type="dxa"/>
            <w:tcBorders>
              <w:right w:val="nil"/>
            </w:tcBorders>
          </w:tcPr>
          <w:p w14:paraId="324009B4">
            <w:pPr>
              <w:pStyle w:val="17"/>
              <w:jc w:val="left"/>
              <w:rPr>
                <w:rFonts w:ascii="Times New Roman"/>
                <w:sz w:val="20"/>
              </w:rPr>
            </w:pPr>
          </w:p>
        </w:tc>
      </w:tr>
      <w:tr w14:paraId="50C3A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641" w:type="dxa"/>
            <w:tcBorders>
              <w:left w:val="nil"/>
            </w:tcBorders>
          </w:tcPr>
          <w:p w14:paraId="65368052">
            <w:pPr>
              <w:pStyle w:val="17"/>
              <w:jc w:val="left"/>
              <w:rPr>
                <w:b/>
                <w:sz w:val="22"/>
              </w:rPr>
            </w:pPr>
          </w:p>
          <w:p w14:paraId="4F9818E9">
            <w:pPr>
              <w:pStyle w:val="17"/>
              <w:jc w:val="left"/>
              <w:rPr>
                <w:b/>
                <w:sz w:val="22"/>
              </w:rPr>
            </w:pPr>
          </w:p>
          <w:p w14:paraId="5027536D">
            <w:pPr>
              <w:pStyle w:val="17"/>
              <w:jc w:val="left"/>
              <w:rPr>
                <w:b/>
                <w:sz w:val="22"/>
              </w:rPr>
            </w:pPr>
          </w:p>
          <w:p w14:paraId="7EEFF4F1">
            <w:pPr>
              <w:pStyle w:val="17"/>
              <w:jc w:val="left"/>
              <w:rPr>
                <w:b/>
                <w:sz w:val="22"/>
              </w:rPr>
            </w:pPr>
          </w:p>
          <w:p w14:paraId="43BD7700">
            <w:pPr>
              <w:pStyle w:val="17"/>
              <w:spacing w:before="3"/>
              <w:jc w:val="left"/>
              <w:rPr>
                <w:b/>
                <w:sz w:val="24"/>
              </w:rPr>
            </w:pPr>
          </w:p>
          <w:p w14:paraId="297FCABC">
            <w:pPr>
              <w:pStyle w:val="17"/>
              <w:ind w:right="255"/>
              <w:jc w:val="right"/>
              <w:rPr>
                <w:rFonts w:ascii="Times New Roman"/>
                <w:sz w:val="21"/>
              </w:rPr>
            </w:pPr>
            <w:r>
              <w:rPr>
                <w:rFonts w:ascii="Times New Roman"/>
                <w:w w:val="99"/>
                <w:sz w:val="21"/>
              </w:rPr>
              <w:t>4</w:t>
            </w:r>
          </w:p>
        </w:tc>
        <w:tc>
          <w:tcPr>
            <w:tcW w:w="3586" w:type="dxa"/>
          </w:tcPr>
          <w:p w14:paraId="2C0C26BC">
            <w:pPr>
              <w:pStyle w:val="17"/>
              <w:spacing w:before="21" w:line="278" w:lineRule="auto"/>
              <w:ind w:left="107" w:right="-15"/>
              <w:jc w:val="left"/>
              <w:rPr>
                <w:sz w:val="21"/>
              </w:rPr>
            </w:pPr>
            <w:r>
              <w:rPr>
                <w:b/>
                <w:sz w:val="21"/>
              </w:rPr>
              <w:t>推进锅窑炉超低排放与深度治理。</w:t>
            </w:r>
            <w:r>
              <w:rPr>
                <w:sz w:val="21"/>
              </w:rPr>
              <w:t>全</w:t>
            </w:r>
            <w:r>
              <w:rPr>
                <w:spacing w:val="-11"/>
                <w:sz w:val="21"/>
              </w:rPr>
              <w:t>面开展钢铁、水泥行业超低排放改造， 深入开展锅炉窑炉深度治理和简易低效处理设施排查，对高排放重点行业开展专项整治。生物质锅炉使用专用炉具和成型燃料并配套高效治理设</w:t>
            </w:r>
          </w:p>
          <w:p w14:paraId="50F65760">
            <w:pPr>
              <w:pStyle w:val="17"/>
              <w:spacing w:line="278" w:lineRule="auto"/>
              <w:ind w:left="107" w:right="99" w:firstLine="4"/>
              <w:jc w:val="both"/>
              <w:rPr>
                <w:sz w:val="21"/>
              </w:rPr>
            </w:pPr>
            <w:r>
              <w:rPr>
                <w:sz w:val="21"/>
              </w:rPr>
              <w:t>施，推动城市建成区生物质锅炉安装</w:t>
            </w:r>
            <w:r>
              <w:rPr>
                <w:spacing w:val="-11"/>
                <w:sz w:val="21"/>
              </w:rPr>
              <w:t xml:space="preserve">烟气在线监测设施。到 </w:t>
            </w:r>
            <w:r>
              <w:rPr>
                <w:rFonts w:ascii="Times New Roman" w:eastAsia="Times New Roman"/>
                <w:sz w:val="21"/>
              </w:rPr>
              <w:t xml:space="preserve">2025 </w:t>
            </w:r>
            <w:r>
              <w:rPr>
                <w:spacing w:val="-12"/>
                <w:sz w:val="21"/>
              </w:rPr>
              <w:t>年，全面完成钢铁和重点城市水泥企业超低排</w:t>
            </w:r>
          </w:p>
          <w:p w14:paraId="7CD06A23">
            <w:pPr>
              <w:pStyle w:val="17"/>
              <w:spacing w:line="269" w:lineRule="exact"/>
              <w:ind w:left="49" w:right="43"/>
              <w:rPr>
                <w:sz w:val="21"/>
              </w:rPr>
            </w:pPr>
            <w:r>
              <w:rPr>
                <w:sz w:val="21"/>
              </w:rPr>
              <w:t>放改造。</w:t>
            </w:r>
          </w:p>
        </w:tc>
        <w:tc>
          <w:tcPr>
            <w:tcW w:w="2930" w:type="dxa"/>
          </w:tcPr>
          <w:p w14:paraId="1B794FEB">
            <w:pPr>
              <w:pStyle w:val="17"/>
              <w:jc w:val="left"/>
              <w:rPr>
                <w:b/>
                <w:sz w:val="20"/>
              </w:rPr>
            </w:pPr>
          </w:p>
          <w:p w14:paraId="64F12040">
            <w:pPr>
              <w:pStyle w:val="17"/>
              <w:jc w:val="left"/>
              <w:rPr>
                <w:b/>
                <w:sz w:val="20"/>
              </w:rPr>
            </w:pPr>
          </w:p>
          <w:p w14:paraId="6F3FE535">
            <w:pPr>
              <w:pStyle w:val="17"/>
              <w:jc w:val="left"/>
              <w:rPr>
                <w:b/>
                <w:sz w:val="20"/>
              </w:rPr>
            </w:pPr>
          </w:p>
          <w:p w14:paraId="07CBA3FC">
            <w:pPr>
              <w:pStyle w:val="17"/>
              <w:spacing w:before="10"/>
              <w:jc w:val="left"/>
              <w:rPr>
                <w:b/>
                <w:sz w:val="26"/>
              </w:rPr>
            </w:pPr>
          </w:p>
          <w:p w14:paraId="3ADE8AB9">
            <w:pPr>
              <w:pStyle w:val="17"/>
              <w:spacing w:before="1" w:line="278" w:lineRule="auto"/>
              <w:ind w:left="107" w:right="98"/>
              <w:rPr>
                <w:sz w:val="21"/>
              </w:rPr>
            </w:pPr>
            <w:r>
              <w:rPr>
                <w:w w:val="95"/>
                <w:sz w:val="21"/>
              </w:rPr>
              <w:t>本项目能源主要为电能，不涉及锅炉和炉窑。项目不属于钢</w:t>
            </w:r>
            <w:r>
              <w:rPr>
                <w:sz w:val="21"/>
              </w:rPr>
              <w:t>铁和水泥企业。</w:t>
            </w:r>
          </w:p>
        </w:tc>
        <w:tc>
          <w:tcPr>
            <w:tcW w:w="1362" w:type="dxa"/>
            <w:tcBorders>
              <w:right w:val="nil"/>
            </w:tcBorders>
          </w:tcPr>
          <w:p w14:paraId="17346970">
            <w:pPr>
              <w:pStyle w:val="17"/>
              <w:jc w:val="left"/>
              <w:rPr>
                <w:b/>
                <w:sz w:val="20"/>
              </w:rPr>
            </w:pPr>
          </w:p>
          <w:p w14:paraId="2CCC0D07">
            <w:pPr>
              <w:pStyle w:val="17"/>
              <w:jc w:val="left"/>
              <w:rPr>
                <w:b/>
                <w:sz w:val="20"/>
              </w:rPr>
            </w:pPr>
          </w:p>
          <w:p w14:paraId="129278D4">
            <w:pPr>
              <w:pStyle w:val="17"/>
              <w:jc w:val="left"/>
              <w:rPr>
                <w:b/>
                <w:sz w:val="20"/>
              </w:rPr>
            </w:pPr>
          </w:p>
          <w:p w14:paraId="3608E778">
            <w:pPr>
              <w:pStyle w:val="17"/>
              <w:jc w:val="left"/>
              <w:rPr>
                <w:b/>
                <w:sz w:val="20"/>
              </w:rPr>
            </w:pPr>
          </w:p>
          <w:p w14:paraId="38820972">
            <w:pPr>
              <w:pStyle w:val="17"/>
              <w:jc w:val="left"/>
              <w:rPr>
                <w:b/>
                <w:sz w:val="20"/>
              </w:rPr>
            </w:pPr>
          </w:p>
          <w:p w14:paraId="03F48A9E">
            <w:pPr>
              <w:pStyle w:val="17"/>
              <w:spacing w:before="143"/>
              <w:ind w:left="469"/>
              <w:jc w:val="left"/>
              <w:rPr>
                <w:sz w:val="21"/>
              </w:rPr>
            </w:pPr>
            <w:r>
              <w:rPr>
                <w:sz w:val="21"/>
              </w:rPr>
              <w:t>符合</w:t>
            </w:r>
          </w:p>
        </w:tc>
      </w:tr>
      <w:tr w14:paraId="66590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641" w:type="dxa"/>
            <w:tcBorders>
              <w:left w:val="nil"/>
            </w:tcBorders>
          </w:tcPr>
          <w:p w14:paraId="0D3BDD2B">
            <w:pPr>
              <w:pStyle w:val="17"/>
              <w:jc w:val="left"/>
              <w:rPr>
                <w:b/>
                <w:sz w:val="22"/>
              </w:rPr>
            </w:pPr>
          </w:p>
          <w:p w14:paraId="26F5A98E">
            <w:pPr>
              <w:pStyle w:val="17"/>
              <w:jc w:val="left"/>
              <w:rPr>
                <w:b/>
                <w:sz w:val="22"/>
              </w:rPr>
            </w:pPr>
          </w:p>
          <w:p w14:paraId="35423EE3">
            <w:pPr>
              <w:pStyle w:val="17"/>
              <w:spacing w:before="9"/>
              <w:jc w:val="left"/>
              <w:rPr>
                <w:b/>
                <w:sz w:val="31"/>
              </w:rPr>
            </w:pPr>
          </w:p>
          <w:p w14:paraId="32A625E3">
            <w:pPr>
              <w:pStyle w:val="17"/>
              <w:ind w:right="255"/>
              <w:jc w:val="right"/>
              <w:rPr>
                <w:rFonts w:ascii="Times New Roman"/>
                <w:sz w:val="21"/>
              </w:rPr>
            </w:pPr>
            <w:r>
              <w:rPr>
                <w:rFonts w:ascii="Times New Roman"/>
                <w:w w:val="99"/>
                <w:sz w:val="21"/>
              </w:rPr>
              <w:t>5</w:t>
            </w:r>
          </w:p>
        </w:tc>
        <w:tc>
          <w:tcPr>
            <w:tcW w:w="3586" w:type="dxa"/>
          </w:tcPr>
          <w:p w14:paraId="513875CF">
            <w:pPr>
              <w:pStyle w:val="17"/>
              <w:spacing w:before="20" w:line="278" w:lineRule="auto"/>
              <w:ind w:left="73" w:right="43"/>
              <w:rPr>
                <w:sz w:val="21"/>
              </w:rPr>
            </w:pPr>
            <w:r>
              <w:rPr>
                <w:b/>
                <w:sz w:val="21"/>
              </w:rPr>
              <w:t xml:space="preserve">开展涉 </w:t>
            </w:r>
            <w:r>
              <w:rPr>
                <w:rFonts w:ascii="Times New Roman" w:hAnsi="Times New Roman" w:eastAsia="Times New Roman"/>
                <w:b/>
                <w:sz w:val="21"/>
              </w:rPr>
              <w:t xml:space="preserve">VOCs </w:t>
            </w:r>
            <w:r>
              <w:rPr>
                <w:b/>
                <w:sz w:val="21"/>
              </w:rPr>
              <w:t>重点行业全流程整治。</w:t>
            </w:r>
            <w:r>
              <w:rPr>
                <w:sz w:val="21"/>
              </w:rPr>
              <w:t xml:space="preserve">持续开展 </w:t>
            </w:r>
            <w:r>
              <w:rPr>
                <w:rFonts w:ascii="Times New Roman" w:hAnsi="Times New Roman" w:eastAsia="Times New Roman"/>
                <w:sz w:val="21"/>
              </w:rPr>
              <w:t xml:space="preserve">VOCs </w:t>
            </w:r>
            <w:r>
              <w:rPr>
                <w:sz w:val="21"/>
              </w:rPr>
              <w:t xml:space="preserve">治理突出问题排查， 清理整顿简易低效、不合规定治理设施，强化无组织和非正常工况废气排放管控。规范开展泄漏检测与修复。推动各市州分别新建 </w:t>
            </w:r>
            <w:r>
              <w:rPr>
                <w:rFonts w:ascii="Times New Roman" w:hAnsi="Times New Roman" w:eastAsia="Times New Roman"/>
                <w:sz w:val="21"/>
              </w:rPr>
              <w:t xml:space="preserve">1—3 </w:t>
            </w:r>
            <w:r>
              <w:rPr>
                <w:sz w:val="21"/>
              </w:rPr>
              <w:t>个涉</w:t>
            </w:r>
          </w:p>
          <w:p w14:paraId="033667B2">
            <w:pPr>
              <w:pStyle w:val="17"/>
              <w:spacing w:line="268" w:lineRule="exact"/>
              <w:ind w:left="49" w:right="43"/>
              <w:rPr>
                <w:sz w:val="21"/>
              </w:rPr>
            </w:pPr>
            <w:r>
              <w:rPr>
                <w:rFonts w:ascii="Times New Roman" w:hAnsi="Times New Roman" w:eastAsia="Times New Roman"/>
                <w:sz w:val="21"/>
              </w:rPr>
              <w:t>VOCs“</w:t>
            </w:r>
            <w:r>
              <w:rPr>
                <w:sz w:val="21"/>
              </w:rPr>
              <w:t>绿岛</w:t>
            </w:r>
            <w:r>
              <w:rPr>
                <w:rFonts w:ascii="Times New Roman" w:hAnsi="Times New Roman" w:eastAsia="Times New Roman"/>
                <w:sz w:val="21"/>
              </w:rPr>
              <w:t>”</w:t>
            </w:r>
            <w:r>
              <w:rPr>
                <w:sz w:val="21"/>
              </w:rPr>
              <w:t>项目。</w:t>
            </w:r>
          </w:p>
        </w:tc>
        <w:tc>
          <w:tcPr>
            <w:tcW w:w="2930" w:type="dxa"/>
          </w:tcPr>
          <w:p w14:paraId="7B0B32B7">
            <w:pPr>
              <w:pStyle w:val="17"/>
              <w:spacing w:before="176" w:line="278" w:lineRule="auto"/>
              <w:ind w:left="128" w:right="120" w:firstLine="2"/>
              <w:rPr>
                <w:sz w:val="21"/>
              </w:rPr>
            </w:pPr>
            <w:r>
              <w:rPr>
                <w:sz w:val="21"/>
              </w:rPr>
              <w:t>本项目挤出造粒废气和挤出注塑废气采用全密闭收集罩收集后经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二级活性炭吸附处理达标</w:t>
            </w:r>
            <w:r>
              <w:rPr>
                <w:spacing w:val="-18"/>
                <w:sz w:val="21"/>
              </w:rPr>
              <w:t xml:space="preserve">后经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DA002 </w:t>
            </w:r>
            <w:r>
              <w:rPr>
                <w:sz w:val="21"/>
              </w:rPr>
              <w:t>排放，满足达标排放的要求</w:t>
            </w:r>
          </w:p>
        </w:tc>
        <w:tc>
          <w:tcPr>
            <w:tcW w:w="1362" w:type="dxa"/>
            <w:tcBorders>
              <w:right w:val="nil"/>
            </w:tcBorders>
          </w:tcPr>
          <w:p w14:paraId="47314551">
            <w:pPr>
              <w:pStyle w:val="17"/>
              <w:jc w:val="left"/>
              <w:rPr>
                <w:b/>
                <w:sz w:val="20"/>
              </w:rPr>
            </w:pPr>
          </w:p>
          <w:p w14:paraId="311A6BA6">
            <w:pPr>
              <w:pStyle w:val="17"/>
              <w:jc w:val="left"/>
              <w:rPr>
                <w:b/>
                <w:sz w:val="20"/>
              </w:rPr>
            </w:pPr>
          </w:p>
          <w:p w14:paraId="6DEC2EB6">
            <w:pPr>
              <w:pStyle w:val="17"/>
              <w:jc w:val="left"/>
              <w:rPr>
                <w:b/>
                <w:sz w:val="20"/>
              </w:rPr>
            </w:pPr>
          </w:p>
          <w:p w14:paraId="790DFC03">
            <w:pPr>
              <w:pStyle w:val="17"/>
              <w:spacing w:before="8"/>
              <w:jc w:val="left"/>
              <w:rPr>
                <w:b/>
                <w:sz w:val="14"/>
              </w:rPr>
            </w:pPr>
          </w:p>
          <w:p w14:paraId="6FBBEB38">
            <w:pPr>
              <w:pStyle w:val="17"/>
              <w:ind w:left="469"/>
              <w:jc w:val="left"/>
              <w:rPr>
                <w:sz w:val="21"/>
              </w:rPr>
            </w:pPr>
            <w:r>
              <w:rPr>
                <w:sz w:val="21"/>
              </w:rPr>
              <w:t>符合</w:t>
            </w:r>
          </w:p>
        </w:tc>
      </w:tr>
      <w:tr w14:paraId="63619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641" w:type="dxa"/>
            <w:tcBorders>
              <w:left w:val="nil"/>
            </w:tcBorders>
          </w:tcPr>
          <w:p w14:paraId="6F15A67F">
            <w:pPr>
              <w:pStyle w:val="17"/>
              <w:jc w:val="left"/>
              <w:rPr>
                <w:b/>
                <w:sz w:val="22"/>
              </w:rPr>
            </w:pPr>
          </w:p>
          <w:p w14:paraId="6ACB5701">
            <w:pPr>
              <w:pStyle w:val="17"/>
              <w:jc w:val="left"/>
              <w:rPr>
                <w:b/>
                <w:sz w:val="22"/>
              </w:rPr>
            </w:pPr>
          </w:p>
          <w:p w14:paraId="7E072890">
            <w:pPr>
              <w:pStyle w:val="17"/>
              <w:jc w:val="left"/>
              <w:rPr>
                <w:b/>
                <w:sz w:val="22"/>
              </w:rPr>
            </w:pPr>
          </w:p>
          <w:p w14:paraId="6C4338DC">
            <w:pPr>
              <w:pStyle w:val="17"/>
              <w:jc w:val="left"/>
              <w:rPr>
                <w:b/>
                <w:sz w:val="22"/>
              </w:rPr>
            </w:pPr>
          </w:p>
          <w:p w14:paraId="2AA7198E">
            <w:pPr>
              <w:pStyle w:val="17"/>
              <w:jc w:val="left"/>
              <w:rPr>
                <w:b/>
                <w:sz w:val="22"/>
              </w:rPr>
            </w:pPr>
          </w:p>
          <w:p w14:paraId="7D95CA41">
            <w:pPr>
              <w:pStyle w:val="17"/>
              <w:spacing w:before="184"/>
              <w:ind w:right="255"/>
              <w:jc w:val="right"/>
              <w:rPr>
                <w:rFonts w:ascii="Times New Roman"/>
                <w:sz w:val="21"/>
              </w:rPr>
            </w:pPr>
            <w:r>
              <w:rPr>
                <w:rFonts w:ascii="Times New Roman"/>
                <w:w w:val="99"/>
                <w:sz w:val="21"/>
              </w:rPr>
              <w:t>6</w:t>
            </w:r>
          </w:p>
        </w:tc>
        <w:tc>
          <w:tcPr>
            <w:tcW w:w="3586" w:type="dxa"/>
          </w:tcPr>
          <w:p w14:paraId="09896865">
            <w:pPr>
              <w:pStyle w:val="17"/>
              <w:spacing w:before="20" w:line="278" w:lineRule="auto"/>
              <w:ind w:left="107" w:right="96"/>
              <w:rPr>
                <w:rFonts w:ascii="Times New Roman" w:eastAsia="Times New Roman"/>
                <w:sz w:val="21"/>
              </w:rPr>
            </w:pPr>
            <w:r>
              <w:rPr>
                <w:b/>
                <w:w w:val="95"/>
                <w:sz w:val="21"/>
              </w:rPr>
              <w:t>加强工业源重污染天气应对。</w:t>
            </w:r>
            <w:r>
              <w:rPr>
                <w:w w:val="95"/>
                <w:sz w:val="21"/>
              </w:rPr>
              <w:t>完善应急减排清单，确保涉气企业全覆盖。</w:t>
            </w:r>
            <w:r>
              <w:rPr>
                <w:sz w:val="21"/>
              </w:rPr>
              <w:t xml:space="preserve">将应急减排措施纳入排污许可证管 </w:t>
            </w:r>
            <w:r>
              <w:rPr>
                <w:w w:val="95"/>
                <w:sz w:val="21"/>
              </w:rPr>
              <w:t>理。严厉打击在线监控运维及手工监测报告弄虚作假、治理设施不正常运行和重污染应急减排措施未落实等违法行为。积极提升应急减排重点行业</w:t>
            </w:r>
            <w:r>
              <w:rPr>
                <w:spacing w:val="-11"/>
                <w:sz w:val="21"/>
              </w:rPr>
              <w:t xml:space="preserve">企业环境绩效水平。到 </w:t>
            </w:r>
            <w:r>
              <w:rPr>
                <w:rFonts w:ascii="Times New Roman" w:eastAsia="Times New Roman"/>
                <w:sz w:val="21"/>
              </w:rPr>
              <w:t>2025</w:t>
            </w:r>
            <w:r>
              <w:rPr>
                <w:rFonts w:ascii="Times New Roman" w:eastAsia="Times New Roman"/>
                <w:spacing w:val="-7"/>
                <w:sz w:val="21"/>
              </w:rPr>
              <w:t xml:space="preserve"> </w:t>
            </w:r>
            <w:r>
              <w:rPr>
                <w:spacing w:val="-12"/>
                <w:sz w:val="21"/>
              </w:rPr>
              <w:t>年，全省</w:t>
            </w:r>
            <w:r>
              <w:rPr>
                <w:spacing w:val="-12"/>
                <w:w w:val="95"/>
                <w:sz w:val="21"/>
              </w:rPr>
              <w:t>非最低等级绩效水平企业占比力争达</w:t>
            </w:r>
            <w:r>
              <w:rPr>
                <w:spacing w:val="-35"/>
                <w:sz w:val="21"/>
              </w:rPr>
              <w:t xml:space="preserve">到 </w:t>
            </w:r>
            <w:r>
              <w:rPr>
                <w:rFonts w:ascii="Times New Roman" w:eastAsia="Times New Roman"/>
                <w:sz w:val="21"/>
              </w:rPr>
              <w:t>10%</w:t>
            </w:r>
            <w:r>
              <w:rPr>
                <w:spacing w:val="-5"/>
                <w:sz w:val="21"/>
              </w:rPr>
              <w:t xml:space="preserve">，钢铁、水泥企业全部达到 </w:t>
            </w:r>
            <w:r>
              <w:rPr>
                <w:rFonts w:ascii="Times New Roman" w:eastAsia="Times New Roman"/>
                <w:sz w:val="21"/>
              </w:rPr>
              <w:t>B</w:t>
            </w:r>
          </w:p>
          <w:p w14:paraId="0A114BC8">
            <w:pPr>
              <w:pStyle w:val="17"/>
              <w:spacing w:line="268" w:lineRule="exact"/>
              <w:ind w:left="47" w:right="43"/>
              <w:rPr>
                <w:sz w:val="21"/>
              </w:rPr>
            </w:pPr>
            <w:r>
              <w:rPr>
                <w:sz w:val="21"/>
              </w:rPr>
              <w:t xml:space="preserve">（含 </w:t>
            </w:r>
            <w:r>
              <w:rPr>
                <w:rFonts w:ascii="Times New Roman" w:eastAsia="Times New Roman"/>
                <w:sz w:val="21"/>
              </w:rPr>
              <w:t>B-</w:t>
            </w:r>
            <w:r>
              <w:rPr>
                <w:sz w:val="21"/>
              </w:rPr>
              <w:t>）级及以上。</w:t>
            </w:r>
          </w:p>
        </w:tc>
        <w:tc>
          <w:tcPr>
            <w:tcW w:w="2930" w:type="dxa"/>
          </w:tcPr>
          <w:p w14:paraId="58984633">
            <w:pPr>
              <w:pStyle w:val="17"/>
              <w:jc w:val="left"/>
              <w:rPr>
                <w:b/>
                <w:sz w:val="20"/>
              </w:rPr>
            </w:pPr>
          </w:p>
          <w:p w14:paraId="1577B1F7">
            <w:pPr>
              <w:pStyle w:val="17"/>
              <w:jc w:val="left"/>
              <w:rPr>
                <w:b/>
                <w:sz w:val="20"/>
              </w:rPr>
            </w:pPr>
          </w:p>
          <w:p w14:paraId="1BD444C9">
            <w:pPr>
              <w:pStyle w:val="17"/>
              <w:jc w:val="left"/>
              <w:rPr>
                <w:b/>
                <w:sz w:val="20"/>
              </w:rPr>
            </w:pPr>
          </w:p>
          <w:p w14:paraId="00D9D2DA">
            <w:pPr>
              <w:pStyle w:val="17"/>
              <w:spacing w:before="10"/>
              <w:jc w:val="left"/>
              <w:rPr>
                <w:b/>
                <w:sz w:val="26"/>
              </w:rPr>
            </w:pPr>
          </w:p>
          <w:p w14:paraId="3EEF87B1">
            <w:pPr>
              <w:pStyle w:val="17"/>
              <w:spacing w:line="278" w:lineRule="auto"/>
              <w:ind w:left="107" w:right="81" w:firstLine="98"/>
              <w:jc w:val="left"/>
              <w:rPr>
                <w:sz w:val="21"/>
              </w:rPr>
            </w:pPr>
            <w:r>
              <w:rPr>
                <w:sz w:val="21"/>
              </w:rPr>
              <w:t>本项目将按要求实施重污染天气应对，及时申报排污许可相关手续，本项目为塑料制品</w:t>
            </w:r>
            <w:r>
              <w:rPr>
                <w:w w:val="95"/>
                <w:sz w:val="21"/>
              </w:rPr>
              <w:t>制造项目，不属于重点行业。</w:t>
            </w:r>
          </w:p>
        </w:tc>
        <w:tc>
          <w:tcPr>
            <w:tcW w:w="1362" w:type="dxa"/>
            <w:tcBorders>
              <w:right w:val="nil"/>
            </w:tcBorders>
          </w:tcPr>
          <w:p w14:paraId="130129BD">
            <w:pPr>
              <w:pStyle w:val="17"/>
              <w:jc w:val="left"/>
              <w:rPr>
                <w:b/>
                <w:sz w:val="20"/>
              </w:rPr>
            </w:pPr>
          </w:p>
          <w:p w14:paraId="3D90DB71">
            <w:pPr>
              <w:pStyle w:val="17"/>
              <w:jc w:val="left"/>
              <w:rPr>
                <w:b/>
                <w:sz w:val="20"/>
              </w:rPr>
            </w:pPr>
          </w:p>
          <w:p w14:paraId="2042DDD7">
            <w:pPr>
              <w:pStyle w:val="17"/>
              <w:jc w:val="left"/>
              <w:rPr>
                <w:b/>
                <w:sz w:val="20"/>
              </w:rPr>
            </w:pPr>
          </w:p>
          <w:p w14:paraId="07230AC3">
            <w:pPr>
              <w:pStyle w:val="17"/>
              <w:jc w:val="left"/>
              <w:rPr>
                <w:b/>
                <w:sz w:val="20"/>
              </w:rPr>
            </w:pPr>
          </w:p>
          <w:p w14:paraId="2F1D58F9">
            <w:pPr>
              <w:pStyle w:val="17"/>
              <w:jc w:val="left"/>
              <w:rPr>
                <w:b/>
                <w:sz w:val="20"/>
              </w:rPr>
            </w:pPr>
          </w:p>
          <w:p w14:paraId="06CE0BF5">
            <w:pPr>
              <w:pStyle w:val="17"/>
              <w:spacing w:before="4"/>
              <w:jc w:val="left"/>
              <w:rPr>
                <w:b/>
                <w:sz w:val="23"/>
              </w:rPr>
            </w:pPr>
          </w:p>
          <w:p w14:paraId="63159620">
            <w:pPr>
              <w:pStyle w:val="17"/>
              <w:ind w:left="469"/>
              <w:jc w:val="left"/>
              <w:rPr>
                <w:sz w:val="21"/>
              </w:rPr>
            </w:pPr>
            <w:r>
              <w:rPr>
                <w:sz w:val="21"/>
              </w:rPr>
              <w:t>符合</w:t>
            </w:r>
          </w:p>
        </w:tc>
      </w:tr>
    </w:tbl>
    <w:p w14:paraId="073673EF">
      <w:pPr>
        <w:pStyle w:val="10"/>
        <w:spacing w:before="1"/>
        <w:ind w:left="700"/>
      </w:pPr>
      <w:r>
        <w:t>综上所述，本项目符合《湖南省大气污染防治</w:t>
      </w:r>
      <w:r>
        <w:rPr>
          <w:rFonts w:ascii="Times New Roman" w:hAnsi="Times New Roman" w:eastAsia="Times New Roman"/>
        </w:rPr>
        <w:t>“</w:t>
      </w:r>
      <w:r>
        <w:t>守护蓝天</w:t>
      </w:r>
      <w:r>
        <w:rPr>
          <w:rFonts w:ascii="Times New Roman" w:hAnsi="Times New Roman" w:eastAsia="Times New Roman"/>
        </w:rPr>
        <w:t>”</w:t>
      </w:r>
      <w:r>
        <w:t>攻坚行动计划</w:t>
      </w:r>
    </w:p>
    <w:p w14:paraId="5B58F4DA">
      <w:pPr>
        <w:pStyle w:val="10"/>
        <w:spacing w:before="159"/>
        <w:ind w:left="220"/>
      </w:pPr>
      <w:r>
        <w:t>（</w:t>
      </w:r>
      <w:r>
        <w:rPr>
          <w:rFonts w:ascii="Times New Roman" w:hAnsi="Times New Roman" w:eastAsia="Times New Roman"/>
        </w:rPr>
        <w:t xml:space="preserve">2023—2025 </w:t>
      </w:r>
      <w:r>
        <w:t>年）》中的相关要求。</w:t>
      </w:r>
    </w:p>
    <w:p w14:paraId="3E7A756E">
      <w:pPr>
        <w:pStyle w:val="9"/>
        <w:spacing w:before="160"/>
        <w:ind w:left="700"/>
      </w:pPr>
      <w:r>
        <w:t>（</w:t>
      </w:r>
      <w:r>
        <w:rPr>
          <w:rFonts w:ascii="Times New Roman" w:eastAsia="Times New Roman"/>
        </w:rPr>
        <w:t>14</w:t>
      </w:r>
      <w:r>
        <w:t>）平面布局合理性分析</w:t>
      </w:r>
    </w:p>
    <w:p w14:paraId="5905110D">
      <w:pPr>
        <w:pStyle w:val="10"/>
        <w:spacing w:before="161" w:line="364" w:lineRule="auto"/>
        <w:ind w:left="220" w:right="265" w:firstLine="480"/>
      </w:pPr>
      <w:r>
        <w:rPr>
          <w:spacing w:val="-5"/>
        </w:rPr>
        <w:t>本项目厂区西南侧为再生塑料造粒区，中部为产品挤出成型区，原料和辅料</w:t>
      </w:r>
      <w:r>
        <w:rPr>
          <w:spacing w:val="-11"/>
        </w:rPr>
        <w:t>区位于厂区西侧，成品区位于厂区东侧，废气排气筒位于厂区南侧，危废暂存间</w:t>
      </w:r>
      <w:r>
        <w:rPr>
          <w:spacing w:val="-13"/>
        </w:rPr>
        <w:t xml:space="preserve">位于厂区东北角，一般固废暂存间位于厂区东北角。根据总平面布置原则，项目总体布局简洁紧凑，土地利用率较高。建、构筑物的布置满足工艺流程的顺畅， </w:t>
      </w:r>
      <w:r>
        <w:rPr>
          <w:spacing w:val="-16"/>
        </w:rPr>
        <w:t>便于物流人流畅通的同时，保证了卫生、消防安全要求。本项目的平面设计根据</w:t>
      </w:r>
    </w:p>
    <w:p w14:paraId="08C24B74">
      <w:pPr>
        <w:spacing w:after="0" w:line="364" w:lineRule="auto"/>
        <w:sectPr>
          <w:pgSz w:w="11910" w:h="16840"/>
          <w:pgMar w:top="1420" w:right="1440" w:bottom="1220" w:left="1580" w:header="0" w:footer="944" w:gutter="0"/>
          <w:cols w:space="720" w:num="1"/>
        </w:sectPr>
      </w:pPr>
    </w:p>
    <w:p w14:paraId="0AA0A31C">
      <w:pPr>
        <w:pStyle w:val="10"/>
        <w:spacing w:before="43" w:line="364" w:lineRule="auto"/>
        <w:ind w:left="220" w:right="357"/>
        <w:jc w:val="both"/>
      </w:pPr>
      <w:r>
        <w:rPr>
          <w:spacing w:val="-8"/>
        </w:rPr>
        <w:t>流程和设备运转的要求，按照工艺过程、运转顺序和安全生产的需要布置生产装</w:t>
      </w:r>
      <w:r>
        <w:rPr>
          <w:spacing w:val="-10"/>
        </w:rPr>
        <w:t>置，满足了工艺流程的合理顺畅，使生产设备集中布置。综上所述，本项目厂区布局合理。</w:t>
      </w:r>
    </w:p>
    <w:p w14:paraId="4A7C4981">
      <w:pPr>
        <w:pStyle w:val="3"/>
        <w:numPr>
          <w:ilvl w:val="0"/>
          <w:numId w:val="3"/>
        </w:numPr>
        <w:tabs>
          <w:tab w:val="left" w:pos="446"/>
        </w:tabs>
        <w:spacing w:before="117" w:after="0" w:line="240" w:lineRule="auto"/>
        <w:ind w:left="445" w:right="0" w:hanging="225"/>
        <w:jc w:val="both"/>
        <w:rPr>
          <w:rFonts w:ascii="Times New Roman" w:eastAsia="Times New Roman"/>
        </w:rPr>
      </w:pPr>
      <w:bookmarkStart w:id="5" w:name="_TOC_250050"/>
      <w:bookmarkEnd w:id="5"/>
      <w:r>
        <w:t>主要环境问题及环境影响</w:t>
      </w:r>
    </w:p>
    <w:p w14:paraId="0BC16FD4">
      <w:pPr>
        <w:pStyle w:val="10"/>
        <w:spacing w:before="122"/>
        <w:ind w:left="700"/>
      </w:pPr>
      <w:r>
        <w:t>本项目关注的主要环境问题是：</w:t>
      </w:r>
    </w:p>
    <w:p w14:paraId="7E8038D9">
      <w:pPr>
        <w:pStyle w:val="10"/>
        <w:spacing w:before="158"/>
        <w:ind w:left="700"/>
      </w:pPr>
      <w:r>
        <w:t>（</w:t>
      </w:r>
      <w:r>
        <w:rPr>
          <w:rFonts w:ascii="Times New Roman" w:eastAsia="Times New Roman"/>
        </w:rPr>
        <w:t>1</w:t>
      </w:r>
      <w:r>
        <w:t>）本项目污染物的排放量核算，以及对环境空气造成的影响程度及范围。</w:t>
      </w:r>
    </w:p>
    <w:p w14:paraId="355483E4">
      <w:pPr>
        <w:pStyle w:val="10"/>
        <w:spacing w:before="160"/>
        <w:ind w:left="700"/>
      </w:pPr>
      <w:r>
        <w:t>（</w:t>
      </w:r>
      <w:r>
        <w:rPr>
          <w:rFonts w:ascii="Times New Roman" w:eastAsia="Times New Roman"/>
        </w:rPr>
        <w:t>2</w:t>
      </w:r>
      <w:r>
        <w:t>）本项目外排废水达标排放可行性分析。</w:t>
      </w:r>
    </w:p>
    <w:p w14:paraId="2EC46B42">
      <w:pPr>
        <w:pStyle w:val="10"/>
        <w:spacing w:before="158"/>
        <w:ind w:left="700"/>
      </w:pPr>
      <w:r>
        <w:t>（</w:t>
      </w:r>
      <w:r>
        <w:rPr>
          <w:rFonts w:ascii="Times New Roman" w:eastAsia="Times New Roman"/>
        </w:rPr>
        <w:t>3</w:t>
      </w:r>
      <w:r>
        <w:t>）各种设备运行时产生的噪声对周围声环境的影响；</w:t>
      </w:r>
    </w:p>
    <w:p w14:paraId="2CB62E3F">
      <w:pPr>
        <w:pStyle w:val="10"/>
        <w:spacing w:before="161"/>
        <w:ind w:left="700"/>
      </w:pPr>
      <w:r>
        <w:t>（</w:t>
      </w:r>
      <w:r>
        <w:rPr>
          <w:rFonts w:ascii="Times New Roman" w:eastAsia="Times New Roman"/>
        </w:rPr>
        <w:t>4</w:t>
      </w:r>
      <w:r>
        <w:t>）项目产生的一般工业固废和危险废物等对周围环境的影响；</w:t>
      </w:r>
    </w:p>
    <w:p w14:paraId="5CF02F3B">
      <w:pPr>
        <w:pStyle w:val="10"/>
        <w:spacing w:before="160"/>
        <w:ind w:left="700"/>
      </w:pPr>
      <w:r>
        <w:t>（</w:t>
      </w:r>
      <w:r>
        <w:rPr>
          <w:rFonts w:ascii="Times New Roman" w:eastAsia="Times New Roman"/>
        </w:rPr>
        <w:t>5</w:t>
      </w:r>
      <w:r>
        <w:t>）项目拟采取的污染防治措施和风险防范措施的可行性和可靠性。</w:t>
      </w:r>
    </w:p>
    <w:p w14:paraId="20A769EB">
      <w:pPr>
        <w:pStyle w:val="10"/>
        <w:spacing w:before="7"/>
        <w:rPr>
          <w:sz w:val="21"/>
        </w:rPr>
      </w:pPr>
    </w:p>
    <w:p w14:paraId="7D7DC31B">
      <w:pPr>
        <w:pStyle w:val="3"/>
        <w:numPr>
          <w:ilvl w:val="0"/>
          <w:numId w:val="3"/>
        </w:numPr>
        <w:tabs>
          <w:tab w:val="left" w:pos="446"/>
        </w:tabs>
        <w:spacing w:before="0" w:after="0" w:line="240" w:lineRule="auto"/>
        <w:ind w:left="445" w:right="0" w:hanging="225"/>
        <w:jc w:val="both"/>
        <w:rPr>
          <w:rFonts w:ascii="Times New Roman" w:eastAsia="Times New Roman"/>
        </w:rPr>
      </w:pPr>
      <w:bookmarkStart w:id="6" w:name="_TOC_250049"/>
      <w:bookmarkEnd w:id="6"/>
      <w:r>
        <w:t>环境影响评价主要结论</w:t>
      </w:r>
    </w:p>
    <w:p w14:paraId="7CA1C806">
      <w:pPr>
        <w:pStyle w:val="10"/>
        <w:spacing w:before="201" w:line="364" w:lineRule="auto"/>
        <w:ind w:left="220" w:right="357" w:firstLine="480"/>
        <w:jc w:val="both"/>
      </w:pPr>
      <w:r>
        <w:rPr>
          <w:spacing w:val="-2"/>
        </w:rPr>
        <w:t xml:space="preserve">湖南鑫诚复合材料有限公司年产 </w:t>
      </w:r>
      <w:r>
        <w:rPr>
          <w:rFonts w:ascii="Times New Roman" w:eastAsia="Times New Roman"/>
        </w:rPr>
        <w:t xml:space="preserve">1 </w:t>
      </w:r>
      <w:r>
        <w:rPr>
          <w:spacing w:val="0"/>
        </w:rPr>
        <w:t>万吨塑料排水板系列产品建设项目建设</w:t>
      </w:r>
      <w:r>
        <w:rPr>
          <w:spacing w:val="-5"/>
        </w:rPr>
        <w:t>符合国家产业政策和环境保护政策要求，符合汨罗高新技术产业开发区规划环评</w:t>
      </w:r>
      <w:r>
        <w:rPr>
          <w:spacing w:val="-12"/>
        </w:rPr>
        <w:t>及其审查意见的要求，项目在严格落实环评报告书提出的环境保护措施、环境风</w:t>
      </w:r>
      <w:r>
        <w:rPr>
          <w:spacing w:val="-15"/>
        </w:rPr>
        <w:t>险防范及应急管理措施后，环境影响可以接受，从环境保护角度考虑，本项目的建设是可行的。</w:t>
      </w:r>
    </w:p>
    <w:p w14:paraId="1E9A0653">
      <w:pPr>
        <w:spacing w:after="0" w:line="364" w:lineRule="auto"/>
        <w:jc w:val="both"/>
        <w:sectPr>
          <w:pgSz w:w="11910" w:h="16840"/>
          <w:pgMar w:top="1380" w:right="1440" w:bottom="1220" w:left="1580" w:header="0" w:footer="944" w:gutter="0"/>
          <w:cols w:space="720" w:num="1"/>
        </w:sectPr>
      </w:pPr>
    </w:p>
    <w:p w14:paraId="6BFE594A">
      <w:pPr>
        <w:pStyle w:val="2"/>
        <w:numPr>
          <w:ilvl w:val="0"/>
          <w:numId w:val="4"/>
        </w:numPr>
        <w:tabs>
          <w:tab w:val="left" w:pos="540"/>
        </w:tabs>
        <w:spacing w:before="50" w:after="0" w:line="240" w:lineRule="auto"/>
        <w:ind w:left="539" w:right="0" w:hanging="319"/>
        <w:jc w:val="left"/>
      </w:pPr>
      <w:bookmarkStart w:id="7" w:name="_TOC_250048"/>
      <w:bookmarkEnd w:id="7"/>
      <w:r>
        <w:t>总则</w:t>
      </w:r>
    </w:p>
    <w:p w14:paraId="40F55954">
      <w:pPr>
        <w:pStyle w:val="3"/>
        <w:numPr>
          <w:ilvl w:val="1"/>
          <w:numId w:val="4"/>
        </w:numPr>
        <w:tabs>
          <w:tab w:val="left" w:pos="669"/>
        </w:tabs>
        <w:spacing w:before="227" w:after="0" w:line="240" w:lineRule="auto"/>
        <w:ind w:left="668" w:right="0" w:hanging="448"/>
        <w:jc w:val="left"/>
      </w:pPr>
      <w:bookmarkStart w:id="8" w:name="_TOC_250047"/>
      <w:bookmarkEnd w:id="8"/>
      <w:r>
        <w:t>编制依据</w:t>
      </w:r>
    </w:p>
    <w:p w14:paraId="668E847E">
      <w:pPr>
        <w:pStyle w:val="16"/>
        <w:numPr>
          <w:ilvl w:val="2"/>
          <w:numId w:val="4"/>
        </w:numPr>
        <w:tabs>
          <w:tab w:val="left" w:pos="895"/>
        </w:tabs>
        <w:spacing w:before="239" w:after="0" w:line="240" w:lineRule="auto"/>
        <w:ind w:left="894" w:right="0" w:hanging="674"/>
        <w:jc w:val="left"/>
        <w:rPr>
          <w:b/>
          <w:sz w:val="30"/>
        </w:rPr>
      </w:pPr>
      <w:r>
        <w:rPr>
          <w:b/>
          <w:sz w:val="30"/>
        </w:rPr>
        <w:t>国家法律、法规和政策</w:t>
      </w:r>
    </w:p>
    <w:p w14:paraId="108D03E6">
      <w:pPr>
        <w:pStyle w:val="10"/>
        <w:spacing w:before="199"/>
        <w:ind w:left="700"/>
        <w:rPr>
          <w:rFonts w:ascii="Times New Roman" w:eastAsia="Times New Roman"/>
        </w:rPr>
      </w:pPr>
      <w:r>
        <w:t>（</w:t>
      </w:r>
      <w:r>
        <w:rPr>
          <w:rFonts w:ascii="Times New Roman" w:eastAsia="Times New Roman"/>
        </w:rPr>
        <w:t>1</w:t>
      </w:r>
      <w:r>
        <w:t>）《中华人民共和国环境保护法》，</w:t>
      </w:r>
      <w:r>
        <w:rPr>
          <w:rFonts w:ascii="Times New Roman" w:eastAsia="Times New Roman"/>
        </w:rPr>
        <w:t xml:space="preserve">2014 </w:t>
      </w:r>
      <w:r>
        <w:t xml:space="preserve">年 </w:t>
      </w:r>
      <w:r>
        <w:rPr>
          <w:rFonts w:ascii="Times New Roman" w:eastAsia="Times New Roman"/>
        </w:rPr>
        <w:t xml:space="preserve">4 </w:t>
      </w:r>
      <w:r>
        <w:t xml:space="preserve">月 </w:t>
      </w:r>
      <w:r>
        <w:rPr>
          <w:rFonts w:ascii="Times New Roman" w:eastAsia="Times New Roman"/>
        </w:rPr>
        <w:t xml:space="preserve">24 </w:t>
      </w:r>
      <w:r>
        <w:t>日修订，</w:t>
      </w:r>
      <w:r>
        <w:rPr>
          <w:rFonts w:ascii="Times New Roman" w:eastAsia="Times New Roman"/>
        </w:rPr>
        <w:t xml:space="preserve">2015 </w:t>
      </w:r>
      <w:r>
        <w:t xml:space="preserve">年 </w:t>
      </w:r>
      <w:r>
        <w:rPr>
          <w:rFonts w:ascii="Times New Roman" w:eastAsia="Times New Roman"/>
        </w:rPr>
        <w:t>1</w:t>
      </w:r>
    </w:p>
    <w:p w14:paraId="06779650">
      <w:pPr>
        <w:pStyle w:val="10"/>
        <w:spacing w:before="161"/>
        <w:ind w:left="220"/>
      </w:pPr>
      <w:r>
        <w:t xml:space="preserve">月 </w:t>
      </w:r>
      <w:r>
        <w:rPr>
          <w:rFonts w:ascii="Times New Roman" w:eastAsia="Times New Roman"/>
        </w:rPr>
        <w:t xml:space="preserve">1 </w:t>
      </w:r>
      <w:r>
        <w:t>日起实施；</w:t>
      </w:r>
    </w:p>
    <w:p w14:paraId="678145AD">
      <w:pPr>
        <w:pStyle w:val="10"/>
        <w:spacing w:before="160"/>
        <w:ind w:left="700"/>
      </w:pPr>
      <w:r>
        <w:t>（</w:t>
      </w:r>
      <w:r>
        <w:rPr>
          <w:rFonts w:ascii="Times New Roman" w:eastAsia="Times New Roman"/>
        </w:rPr>
        <w:t>2</w:t>
      </w:r>
      <w:r>
        <w:t>）《中华人民共和国环境影响评价法》，</w:t>
      </w:r>
      <w:r>
        <w:rPr>
          <w:rFonts w:ascii="Times New Roman" w:eastAsia="Times New Roman"/>
        </w:rPr>
        <w:t xml:space="preserve">2018 </w:t>
      </w:r>
      <w:r>
        <w:t xml:space="preserve">年 </w:t>
      </w:r>
      <w:r>
        <w:rPr>
          <w:rFonts w:ascii="Times New Roman" w:eastAsia="Times New Roman"/>
        </w:rPr>
        <w:t xml:space="preserve">12 </w:t>
      </w:r>
      <w:r>
        <w:t xml:space="preserve">月 </w:t>
      </w:r>
      <w:r>
        <w:rPr>
          <w:rFonts w:ascii="Times New Roman" w:eastAsia="Times New Roman"/>
        </w:rPr>
        <w:t xml:space="preserve">29 </w:t>
      </w:r>
      <w:r>
        <w:t>日修订实施；</w:t>
      </w:r>
    </w:p>
    <w:p w14:paraId="1403DDFF">
      <w:pPr>
        <w:pStyle w:val="10"/>
        <w:spacing w:before="161"/>
        <w:ind w:left="700"/>
      </w:pPr>
      <w:r>
        <w:t>（</w:t>
      </w:r>
      <w:r>
        <w:rPr>
          <w:rFonts w:ascii="Times New Roman" w:eastAsia="Times New Roman"/>
        </w:rPr>
        <w:t>3</w:t>
      </w:r>
      <w:r>
        <w:t>）《中华人民共和国水污染防治法》，</w:t>
      </w:r>
      <w:r>
        <w:rPr>
          <w:rFonts w:ascii="Times New Roman" w:eastAsia="Times New Roman"/>
        </w:rPr>
        <w:t xml:space="preserve">2017 </w:t>
      </w:r>
      <w:r>
        <w:t xml:space="preserve">年 </w:t>
      </w:r>
      <w:r>
        <w:rPr>
          <w:rFonts w:ascii="Times New Roman" w:eastAsia="Times New Roman"/>
        </w:rPr>
        <w:t xml:space="preserve">6 </w:t>
      </w:r>
      <w:r>
        <w:t xml:space="preserve">月 </w:t>
      </w:r>
      <w:r>
        <w:rPr>
          <w:rFonts w:ascii="Times New Roman" w:eastAsia="Times New Roman"/>
        </w:rPr>
        <w:t xml:space="preserve">27 </w:t>
      </w:r>
      <w:r>
        <w:t>日修订，</w:t>
      </w:r>
      <w:r>
        <w:rPr>
          <w:rFonts w:ascii="Times New Roman" w:eastAsia="Times New Roman"/>
        </w:rPr>
        <w:t xml:space="preserve">2018 </w:t>
      </w:r>
      <w:r>
        <w:t>年</w:t>
      </w:r>
    </w:p>
    <w:p w14:paraId="17BE49E2">
      <w:pPr>
        <w:pStyle w:val="10"/>
        <w:spacing w:before="160"/>
        <w:ind w:left="220"/>
      </w:pPr>
      <w:r>
        <w:rPr>
          <w:rFonts w:ascii="Times New Roman" w:eastAsia="Times New Roman"/>
        </w:rPr>
        <w:t xml:space="preserve">1 </w:t>
      </w:r>
      <w:r>
        <w:t xml:space="preserve">月 </w:t>
      </w:r>
      <w:r>
        <w:rPr>
          <w:rFonts w:ascii="Times New Roman" w:eastAsia="Times New Roman"/>
        </w:rPr>
        <w:t xml:space="preserve">1 </w:t>
      </w:r>
      <w:r>
        <w:t>日起实施；</w:t>
      </w:r>
    </w:p>
    <w:p w14:paraId="3BB1C076">
      <w:pPr>
        <w:pStyle w:val="10"/>
        <w:spacing w:before="161"/>
        <w:ind w:left="700"/>
      </w:pPr>
      <w:r>
        <w:t>（</w:t>
      </w:r>
      <w:r>
        <w:rPr>
          <w:rFonts w:ascii="Times New Roman" w:eastAsia="Times New Roman"/>
        </w:rPr>
        <w:t>4</w:t>
      </w:r>
      <w:r>
        <w:t>）《中华人民共和国大气污染防治法》，</w:t>
      </w:r>
      <w:r>
        <w:rPr>
          <w:rFonts w:ascii="Times New Roman" w:eastAsia="Times New Roman"/>
        </w:rPr>
        <w:t xml:space="preserve">2018 </w:t>
      </w:r>
      <w:r>
        <w:t xml:space="preserve">年 </w:t>
      </w:r>
      <w:r>
        <w:rPr>
          <w:rFonts w:ascii="Times New Roman" w:eastAsia="Times New Roman"/>
        </w:rPr>
        <w:t xml:space="preserve">10 </w:t>
      </w:r>
      <w:r>
        <w:t xml:space="preserve">月 </w:t>
      </w:r>
      <w:r>
        <w:rPr>
          <w:rFonts w:ascii="Times New Roman" w:eastAsia="Times New Roman"/>
        </w:rPr>
        <w:t xml:space="preserve">26 </w:t>
      </w:r>
      <w:r>
        <w:t>日修订实施；</w:t>
      </w:r>
    </w:p>
    <w:p w14:paraId="61E81843">
      <w:pPr>
        <w:pStyle w:val="10"/>
        <w:spacing w:before="160" w:line="364" w:lineRule="auto"/>
        <w:ind w:left="220" w:right="302" w:firstLine="480"/>
      </w:pPr>
      <w:r>
        <w:t>（</w:t>
      </w:r>
      <w:r>
        <w:rPr>
          <w:rFonts w:ascii="Times New Roman" w:eastAsia="Times New Roman"/>
        </w:rPr>
        <w:t>5</w:t>
      </w:r>
      <w:r>
        <w:t>）《中华人民共和国固体废物污染环境防治法》，</w:t>
      </w: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29 </w:t>
      </w:r>
      <w:r>
        <w:t>日修正；</w:t>
      </w:r>
    </w:p>
    <w:p w14:paraId="44F2C0A4">
      <w:pPr>
        <w:pStyle w:val="10"/>
        <w:spacing w:before="1"/>
        <w:ind w:left="700"/>
      </w:pPr>
      <w:r>
        <w:t>（</w:t>
      </w:r>
      <w:r>
        <w:rPr>
          <w:rFonts w:ascii="Times New Roman" w:eastAsia="Times New Roman"/>
        </w:rPr>
        <w:t>6</w:t>
      </w:r>
      <w:r>
        <w:t>）《中华人民共和国噪声污染防治法》，</w:t>
      </w:r>
      <w:r>
        <w:rPr>
          <w:rFonts w:ascii="Times New Roman" w:eastAsia="Times New Roman"/>
        </w:rPr>
        <w:t xml:space="preserve">2022 </w:t>
      </w:r>
      <w:r>
        <w:t xml:space="preserve">年 </w:t>
      </w:r>
      <w:r>
        <w:rPr>
          <w:rFonts w:ascii="Times New Roman" w:eastAsia="Times New Roman"/>
        </w:rPr>
        <w:t xml:space="preserve">6 </w:t>
      </w:r>
      <w:r>
        <w:t xml:space="preserve">月 </w:t>
      </w:r>
      <w:r>
        <w:rPr>
          <w:rFonts w:ascii="Times New Roman" w:eastAsia="Times New Roman"/>
        </w:rPr>
        <w:t xml:space="preserve">5 </w:t>
      </w:r>
      <w:r>
        <w:t>日起实施；</w:t>
      </w:r>
    </w:p>
    <w:p w14:paraId="336B5200">
      <w:pPr>
        <w:pStyle w:val="10"/>
        <w:spacing w:before="161"/>
        <w:ind w:left="700"/>
      </w:pPr>
      <w:r>
        <w:t>（</w:t>
      </w:r>
      <w:r>
        <w:rPr>
          <w:rFonts w:ascii="Times New Roman" w:eastAsia="Times New Roman"/>
        </w:rPr>
        <w:t>7</w:t>
      </w:r>
      <w:r>
        <w:t>）《中华人民共和国土壤污染防治法》，</w:t>
      </w:r>
      <w:r>
        <w:rPr>
          <w:rFonts w:ascii="Times New Roman" w:eastAsia="Times New Roman"/>
        </w:rPr>
        <w:t xml:space="preserve">2019 </w:t>
      </w:r>
      <w:r>
        <w:t xml:space="preserve">年 </w:t>
      </w:r>
      <w:r>
        <w:rPr>
          <w:rFonts w:ascii="Times New Roman" w:eastAsia="Times New Roman"/>
        </w:rPr>
        <w:t xml:space="preserve">1 </w:t>
      </w:r>
      <w:r>
        <w:t xml:space="preserve">月 </w:t>
      </w:r>
      <w:r>
        <w:rPr>
          <w:rFonts w:ascii="Times New Roman" w:eastAsia="Times New Roman"/>
        </w:rPr>
        <w:t xml:space="preserve">1 </w:t>
      </w:r>
      <w:r>
        <w:t>日修订实施；</w:t>
      </w:r>
    </w:p>
    <w:p w14:paraId="1FF0F4F9">
      <w:pPr>
        <w:pStyle w:val="10"/>
        <w:spacing w:before="160"/>
        <w:ind w:left="700"/>
      </w:pPr>
      <w:r>
        <w:t>（</w:t>
      </w:r>
      <w:r>
        <w:rPr>
          <w:rFonts w:ascii="Times New Roman" w:eastAsia="Times New Roman"/>
        </w:rPr>
        <w:t>8</w:t>
      </w:r>
      <w:r>
        <w:t>）《中华人民共和国长江保护法》，</w:t>
      </w:r>
      <w:r>
        <w:rPr>
          <w:rFonts w:ascii="Times New Roman" w:eastAsia="Times New Roman"/>
        </w:rPr>
        <w:t xml:space="preserve">2021 </w:t>
      </w:r>
      <w:r>
        <w:t xml:space="preserve">年 </w:t>
      </w:r>
      <w:r>
        <w:rPr>
          <w:rFonts w:ascii="Times New Roman" w:eastAsia="Times New Roman"/>
        </w:rPr>
        <w:t xml:space="preserve">3 </w:t>
      </w:r>
      <w:r>
        <w:t xml:space="preserve">月 </w:t>
      </w:r>
      <w:r>
        <w:rPr>
          <w:rFonts w:ascii="Times New Roman" w:eastAsia="Times New Roman"/>
        </w:rPr>
        <w:t xml:space="preserve">1 </w:t>
      </w:r>
      <w:r>
        <w:t>日起实施；</w:t>
      </w:r>
    </w:p>
    <w:p w14:paraId="605CA1DD">
      <w:pPr>
        <w:pStyle w:val="10"/>
        <w:spacing w:before="161"/>
        <w:ind w:left="700"/>
      </w:pPr>
      <w:r>
        <w:t>（</w:t>
      </w:r>
      <w:r>
        <w:rPr>
          <w:rFonts w:ascii="Times New Roman" w:eastAsia="Times New Roman"/>
        </w:rPr>
        <w:t>9</w:t>
      </w:r>
      <w:r>
        <w:t>）《中华人民共和国循环经济促进法》，</w:t>
      </w:r>
      <w:r>
        <w:rPr>
          <w:rFonts w:ascii="Times New Roman" w:eastAsia="Times New Roman"/>
        </w:rPr>
        <w:t xml:space="preserve">2018 </w:t>
      </w:r>
      <w:r>
        <w:t>年修正；</w:t>
      </w:r>
    </w:p>
    <w:p w14:paraId="638E0DD1">
      <w:pPr>
        <w:pStyle w:val="10"/>
        <w:spacing w:before="160"/>
        <w:ind w:left="700"/>
        <w:rPr>
          <w:rFonts w:ascii="Times New Roman" w:eastAsia="Times New Roman"/>
        </w:rPr>
      </w:pPr>
      <w:r>
        <w:t>（</w:t>
      </w:r>
      <w:r>
        <w:rPr>
          <w:rFonts w:ascii="Times New Roman" w:eastAsia="Times New Roman"/>
        </w:rPr>
        <w:t>10</w:t>
      </w:r>
      <w:r>
        <w:t xml:space="preserve">）《建设项目环境保护管理条例》，（国务院令第 </w:t>
      </w:r>
      <w:r>
        <w:rPr>
          <w:rFonts w:ascii="Times New Roman" w:eastAsia="Times New Roman"/>
        </w:rPr>
        <w:t xml:space="preserve">682 </w:t>
      </w:r>
      <w:r>
        <w:t>号），</w:t>
      </w:r>
      <w:r>
        <w:rPr>
          <w:rFonts w:ascii="Times New Roman" w:eastAsia="Times New Roman"/>
        </w:rPr>
        <w:t xml:space="preserve">2017 </w:t>
      </w:r>
      <w:r>
        <w:t xml:space="preserve">年 </w:t>
      </w:r>
      <w:r>
        <w:rPr>
          <w:rFonts w:ascii="Times New Roman" w:eastAsia="Times New Roman"/>
        </w:rPr>
        <w:t>8</w:t>
      </w:r>
    </w:p>
    <w:p w14:paraId="384C7EEE">
      <w:pPr>
        <w:pStyle w:val="10"/>
        <w:spacing w:before="161"/>
        <w:ind w:left="220"/>
      </w:pPr>
      <w:r>
        <w:t xml:space="preserve">月 </w:t>
      </w:r>
      <w:r>
        <w:rPr>
          <w:rFonts w:ascii="Times New Roman" w:eastAsia="Times New Roman"/>
        </w:rPr>
        <w:t xml:space="preserve">1 </w:t>
      </w:r>
      <w:r>
        <w:t>日修订，</w:t>
      </w:r>
      <w:r>
        <w:rPr>
          <w:rFonts w:ascii="Times New Roman" w:eastAsia="Times New Roman"/>
        </w:rPr>
        <w:t xml:space="preserve">2017 </w:t>
      </w:r>
      <w:r>
        <w:t xml:space="preserve">年 </w:t>
      </w:r>
      <w:r>
        <w:rPr>
          <w:rFonts w:ascii="Times New Roman" w:eastAsia="Times New Roman"/>
        </w:rPr>
        <w:t xml:space="preserve">10 </w:t>
      </w:r>
      <w:r>
        <w:t xml:space="preserve">月 </w:t>
      </w:r>
      <w:r>
        <w:rPr>
          <w:rFonts w:ascii="Times New Roman" w:eastAsia="Times New Roman"/>
        </w:rPr>
        <w:t xml:space="preserve">1 </w:t>
      </w:r>
      <w:r>
        <w:t>日起实施；</w:t>
      </w:r>
    </w:p>
    <w:p w14:paraId="365EB660">
      <w:pPr>
        <w:pStyle w:val="10"/>
        <w:spacing w:before="160"/>
        <w:ind w:left="700"/>
      </w:pPr>
      <w:r>
        <w:t>（</w:t>
      </w:r>
      <w:r>
        <w:rPr>
          <w:rFonts w:ascii="Times New Roman" w:eastAsia="Times New Roman"/>
        </w:rPr>
        <w:t>11</w:t>
      </w:r>
      <w:r>
        <w:t xml:space="preserve">）《建设项目环境影响评价分类管理名录》，生态环境部第 </w:t>
      </w:r>
      <w:r>
        <w:rPr>
          <w:rFonts w:ascii="Times New Roman" w:eastAsia="Times New Roman"/>
        </w:rPr>
        <w:t xml:space="preserve">16 </w:t>
      </w:r>
      <w:r>
        <w:t>号令，</w:t>
      </w:r>
    </w:p>
    <w:p w14:paraId="20EC32E0">
      <w:pPr>
        <w:pStyle w:val="10"/>
        <w:spacing w:before="161"/>
        <w:ind w:left="220"/>
      </w:pPr>
      <w:r>
        <w:rPr>
          <w:rFonts w:ascii="Times New Roman" w:eastAsia="Times New Roman"/>
        </w:rPr>
        <w:t xml:space="preserve">2021 </w:t>
      </w:r>
      <w:r>
        <w:t xml:space="preserve">年 </w:t>
      </w:r>
      <w:r>
        <w:rPr>
          <w:rFonts w:ascii="Times New Roman" w:eastAsia="Times New Roman"/>
        </w:rPr>
        <w:t xml:space="preserve">1 </w:t>
      </w:r>
      <w:r>
        <w:t xml:space="preserve">月 </w:t>
      </w:r>
      <w:r>
        <w:rPr>
          <w:rFonts w:ascii="Times New Roman" w:eastAsia="Times New Roman"/>
        </w:rPr>
        <w:t xml:space="preserve">1 </w:t>
      </w:r>
      <w:r>
        <w:t>日起实施；</w:t>
      </w:r>
    </w:p>
    <w:p w14:paraId="51E3045E">
      <w:pPr>
        <w:pStyle w:val="10"/>
        <w:spacing w:before="160"/>
        <w:ind w:left="700"/>
        <w:rPr>
          <w:rFonts w:ascii="Times New Roman" w:eastAsia="Times New Roman"/>
        </w:rPr>
      </w:pPr>
      <w:r>
        <w:t>（</w:t>
      </w:r>
      <w:r>
        <w:rPr>
          <w:rFonts w:ascii="Times New Roman" w:eastAsia="Times New Roman"/>
        </w:rPr>
        <w:t>12</w:t>
      </w:r>
      <w:r>
        <w:t xml:space="preserve">）《环境影响评价公众参与办法》，生态环境部第 </w:t>
      </w:r>
      <w:r>
        <w:rPr>
          <w:rFonts w:ascii="Times New Roman" w:eastAsia="Times New Roman"/>
        </w:rPr>
        <w:t xml:space="preserve">4 </w:t>
      </w:r>
      <w:r>
        <w:t>号令，</w:t>
      </w:r>
      <w:r>
        <w:rPr>
          <w:rFonts w:ascii="Times New Roman" w:eastAsia="Times New Roman"/>
        </w:rPr>
        <w:t xml:space="preserve">2019 </w:t>
      </w:r>
      <w:r>
        <w:t xml:space="preserve">年 </w:t>
      </w:r>
      <w:r>
        <w:rPr>
          <w:rFonts w:ascii="Times New Roman" w:eastAsia="Times New Roman"/>
        </w:rPr>
        <w:t>1</w:t>
      </w:r>
    </w:p>
    <w:p w14:paraId="61CB0E95">
      <w:pPr>
        <w:pStyle w:val="10"/>
        <w:spacing w:before="161"/>
        <w:ind w:left="220"/>
      </w:pPr>
      <w:r>
        <w:t xml:space="preserve">月 </w:t>
      </w:r>
      <w:r>
        <w:rPr>
          <w:rFonts w:ascii="Times New Roman" w:eastAsia="Times New Roman"/>
        </w:rPr>
        <w:t xml:space="preserve">1 </w:t>
      </w:r>
      <w:r>
        <w:t>日公布实施；</w:t>
      </w:r>
    </w:p>
    <w:p w14:paraId="6EED1912">
      <w:pPr>
        <w:pStyle w:val="10"/>
        <w:spacing w:before="160"/>
        <w:ind w:left="700"/>
      </w:pPr>
      <w:r>
        <w:t>（</w:t>
      </w:r>
      <w:r>
        <w:rPr>
          <w:rFonts w:ascii="Times New Roman" w:eastAsia="Times New Roman"/>
        </w:rPr>
        <w:t>13</w:t>
      </w:r>
      <w:r>
        <w:t>）《产业结构调整指导目录（</w:t>
      </w:r>
      <w:r>
        <w:rPr>
          <w:rFonts w:ascii="Times New Roman" w:eastAsia="Times New Roman"/>
        </w:rPr>
        <w:t xml:space="preserve">2024 </w:t>
      </w:r>
      <w:r>
        <w:t>年本）》；</w:t>
      </w:r>
    </w:p>
    <w:p w14:paraId="3D54B9FE">
      <w:pPr>
        <w:pStyle w:val="10"/>
        <w:spacing w:before="161" w:line="364" w:lineRule="auto"/>
        <w:ind w:left="220" w:right="357" w:firstLine="480"/>
      </w:pPr>
      <w:r>
        <w:rPr>
          <w:spacing w:val="-12"/>
        </w:rPr>
        <w:t>（</w:t>
      </w:r>
      <w:r>
        <w:rPr>
          <w:rFonts w:ascii="Times New Roman" w:eastAsia="Times New Roman"/>
          <w:spacing w:val="-12"/>
        </w:rPr>
        <w:t>14</w:t>
      </w:r>
      <w:r>
        <w:rPr>
          <w:spacing w:val="-12"/>
        </w:rPr>
        <w:t>）</w:t>
      </w:r>
      <w:r>
        <w:rPr>
          <w:spacing w:val="-4"/>
        </w:rPr>
        <w:t>中华人民共和国工业和信息化部《部分工业行业淘汰落后生产工艺装置和产品指导目录（</w:t>
      </w:r>
      <w:r>
        <w:rPr>
          <w:rFonts w:ascii="Times New Roman" w:eastAsia="Times New Roman"/>
          <w:spacing w:val="-4"/>
        </w:rPr>
        <w:t xml:space="preserve">2010 </w:t>
      </w:r>
      <w:r>
        <w:rPr>
          <w:spacing w:val="-4"/>
        </w:rPr>
        <w:t>年本）》（</w:t>
      </w:r>
      <w:r>
        <w:rPr>
          <w:rFonts w:ascii="Times New Roman" w:eastAsia="Times New Roman"/>
          <w:spacing w:val="-4"/>
        </w:rPr>
        <w:t xml:space="preserve">2010 </w:t>
      </w:r>
      <w:r>
        <w:rPr>
          <w:spacing w:val="-32"/>
        </w:rPr>
        <w:t xml:space="preserve">年 </w:t>
      </w:r>
      <w:r>
        <w:rPr>
          <w:rFonts w:ascii="Times New Roman" w:eastAsia="Times New Roman"/>
        </w:rPr>
        <w:t xml:space="preserve">10 </w:t>
      </w:r>
      <w:r>
        <w:rPr>
          <w:spacing w:val="-30"/>
        </w:rPr>
        <w:t xml:space="preserve">月 </w:t>
      </w:r>
      <w:r>
        <w:rPr>
          <w:rFonts w:ascii="Times New Roman" w:eastAsia="Times New Roman"/>
        </w:rPr>
        <w:t xml:space="preserve">13 </w:t>
      </w:r>
      <w:r>
        <w:t>日起实施）；</w:t>
      </w:r>
    </w:p>
    <w:p w14:paraId="0D59CEA6">
      <w:pPr>
        <w:pStyle w:val="10"/>
        <w:spacing w:before="1"/>
        <w:ind w:left="700"/>
      </w:pPr>
      <w:r>
        <w:t>（</w:t>
      </w:r>
      <w:r>
        <w:rPr>
          <w:rFonts w:ascii="Times New Roman" w:eastAsia="Times New Roman"/>
        </w:rPr>
        <w:t>15</w:t>
      </w:r>
      <w:r>
        <w:rPr>
          <w:spacing w:val="-29"/>
        </w:rPr>
        <w:t>）</w:t>
      </w:r>
      <w:r>
        <w:rPr>
          <w:spacing w:val="-4"/>
        </w:rPr>
        <w:t>《环境保护综合名录</w:t>
      </w:r>
      <w:r>
        <w:t>（</w:t>
      </w:r>
      <w:r>
        <w:rPr>
          <w:rFonts w:ascii="Times New Roman" w:eastAsia="Times New Roman"/>
        </w:rPr>
        <w:t xml:space="preserve">2021 </w:t>
      </w:r>
      <w:r>
        <w:t>年版</w:t>
      </w:r>
      <w:r>
        <w:rPr>
          <w:spacing w:val="-17"/>
        </w:rPr>
        <w:t>）</w:t>
      </w:r>
      <w:r>
        <w:rPr>
          <w:spacing w:val="-29"/>
        </w:rPr>
        <w:t>》</w:t>
      </w:r>
      <w:r>
        <w:t>（</w:t>
      </w:r>
      <w:r>
        <w:rPr>
          <w:spacing w:val="-3"/>
        </w:rPr>
        <w:t>环办综合函〔</w:t>
      </w:r>
      <w:r>
        <w:rPr>
          <w:rFonts w:ascii="Times New Roman" w:eastAsia="Times New Roman"/>
        </w:rPr>
        <w:t>2021</w:t>
      </w:r>
      <w:r>
        <w:rPr>
          <w:spacing w:val="-15"/>
        </w:rPr>
        <w:t>〕</w:t>
      </w:r>
      <w:r>
        <w:rPr>
          <w:rFonts w:ascii="Times New Roman" w:eastAsia="Times New Roman"/>
        </w:rPr>
        <w:t xml:space="preserve">495 </w:t>
      </w:r>
      <w:r>
        <w:t>号</w:t>
      </w:r>
      <w:r>
        <w:rPr>
          <w:spacing w:val="-97"/>
        </w:rPr>
        <w:t>）</w:t>
      </w:r>
      <w:r>
        <w:t>；</w:t>
      </w:r>
    </w:p>
    <w:p w14:paraId="5E98D83E">
      <w:pPr>
        <w:pStyle w:val="10"/>
        <w:spacing w:before="161" w:line="364" w:lineRule="auto"/>
        <w:ind w:left="220" w:right="361" w:firstLine="480"/>
      </w:pPr>
      <w:r>
        <w:t>（</w:t>
      </w:r>
      <w:r>
        <w:rPr>
          <w:rFonts w:ascii="Times New Roman" w:eastAsia="Times New Roman"/>
        </w:rPr>
        <w:t>16</w:t>
      </w:r>
      <w:r>
        <w:t>）国务院关于印发《水污染防治行动计划》的通知（国发〔</w:t>
      </w:r>
      <w:r>
        <w:rPr>
          <w:rFonts w:ascii="Times New Roman" w:eastAsia="Times New Roman"/>
        </w:rPr>
        <w:t>2015</w:t>
      </w:r>
      <w:r>
        <w:t>〕</w:t>
      </w:r>
      <w:r>
        <w:rPr>
          <w:rFonts w:ascii="Times New Roman" w:eastAsia="Times New Roman"/>
        </w:rPr>
        <w:t xml:space="preserve">17 </w:t>
      </w:r>
      <w:r>
        <w:t>号），</w:t>
      </w:r>
      <w:r>
        <w:rPr>
          <w:rFonts w:ascii="Times New Roman" w:eastAsia="Times New Roman"/>
        </w:rPr>
        <w:t xml:space="preserve">2015 </w:t>
      </w:r>
      <w:r>
        <w:t xml:space="preserve">年 </w:t>
      </w:r>
      <w:r>
        <w:rPr>
          <w:rFonts w:ascii="Times New Roman" w:eastAsia="Times New Roman"/>
        </w:rPr>
        <w:t xml:space="preserve">4 </w:t>
      </w:r>
      <w:r>
        <w:t xml:space="preserve">月 </w:t>
      </w:r>
      <w:r>
        <w:rPr>
          <w:rFonts w:ascii="Times New Roman" w:eastAsia="Times New Roman"/>
        </w:rPr>
        <w:t xml:space="preserve">2 </w:t>
      </w:r>
      <w:r>
        <w:t>日起实施；</w:t>
      </w:r>
    </w:p>
    <w:p w14:paraId="78EC1DF8">
      <w:pPr>
        <w:pStyle w:val="10"/>
        <w:spacing w:before="1"/>
        <w:ind w:left="700"/>
        <w:rPr>
          <w:rFonts w:ascii="Times New Roman" w:eastAsia="Times New Roman"/>
        </w:rPr>
      </w:pPr>
      <w:r>
        <w:t>（</w:t>
      </w:r>
      <w:r>
        <w:rPr>
          <w:rFonts w:ascii="Times New Roman" w:eastAsia="Times New Roman"/>
        </w:rPr>
        <w:t>17</w:t>
      </w:r>
      <w:r>
        <w:t>）国务院关于印发《大气污染防治行动计划》的通知（国发〔</w:t>
      </w:r>
      <w:r>
        <w:rPr>
          <w:rFonts w:ascii="Times New Roman" w:eastAsia="Times New Roman"/>
        </w:rPr>
        <w:t>2013</w:t>
      </w:r>
      <w:r>
        <w:t>〕</w:t>
      </w:r>
      <w:r>
        <w:rPr>
          <w:rFonts w:ascii="Times New Roman" w:eastAsia="Times New Roman"/>
        </w:rPr>
        <w:t>37</w:t>
      </w:r>
    </w:p>
    <w:p w14:paraId="4141A067">
      <w:pPr>
        <w:spacing w:after="0"/>
        <w:rPr>
          <w:rFonts w:ascii="Times New Roman" w:eastAsia="Times New Roman"/>
        </w:rPr>
        <w:sectPr>
          <w:pgSz w:w="11910" w:h="16840"/>
          <w:pgMar w:top="1480" w:right="1440" w:bottom="1220" w:left="1580" w:header="0" w:footer="944" w:gutter="0"/>
          <w:cols w:space="720" w:num="1"/>
        </w:sectPr>
      </w:pPr>
    </w:p>
    <w:p w14:paraId="38791535">
      <w:pPr>
        <w:pStyle w:val="10"/>
        <w:spacing w:before="62"/>
        <w:ind w:left="220"/>
      </w:pPr>
      <w:r>
        <w:t>号），</w:t>
      </w:r>
      <w:r>
        <w:rPr>
          <w:rFonts w:ascii="Times New Roman" w:eastAsia="Times New Roman"/>
        </w:rPr>
        <w:t xml:space="preserve">2013 </w:t>
      </w:r>
      <w:r>
        <w:t xml:space="preserve">年 </w:t>
      </w:r>
      <w:r>
        <w:rPr>
          <w:rFonts w:ascii="Times New Roman" w:eastAsia="Times New Roman"/>
        </w:rPr>
        <w:t xml:space="preserve">9 </w:t>
      </w:r>
      <w:r>
        <w:t xml:space="preserve">月 </w:t>
      </w:r>
      <w:r>
        <w:rPr>
          <w:rFonts w:ascii="Times New Roman" w:eastAsia="Times New Roman"/>
        </w:rPr>
        <w:t xml:space="preserve">10 </w:t>
      </w:r>
      <w:r>
        <w:t>日起实施。</w:t>
      </w:r>
    </w:p>
    <w:p w14:paraId="6AF52396">
      <w:pPr>
        <w:pStyle w:val="10"/>
        <w:spacing w:before="160" w:line="364" w:lineRule="auto"/>
        <w:ind w:left="220" w:right="265" w:firstLine="480"/>
      </w:pPr>
      <w:r>
        <w:t>（</w:t>
      </w:r>
      <w:r>
        <w:rPr>
          <w:rFonts w:ascii="Times New Roman" w:hAnsi="Times New Roman" w:eastAsia="Times New Roman"/>
        </w:rPr>
        <w:t>18</w:t>
      </w:r>
      <w:r>
        <w:t>）《关于实施“三线一单”生态环境分区管控的指导意见（试行）》， 环环评</w:t>
      </w:r>
      <w:r>
        <w:rPr>
          <w:rFonts w:ascii="Times New Roman" w:hAnsi="Times New Roman" w:eastAsia="Times New Roman"/>
        </w:rPr>
        <w:t xml:space="preserve">[2021]108 </w:t>
      </w:r>
      <w:r>
        <w:t>号，</w:t>
      </w:r>
      <w:r>
        <w:rPr>
          <w:rFonts w:ascii="Times New Roman" w:hAnsi="Times New Roman" w:eastAsia="Times New Roman"/>
        </w:rPr>
        <w:t xml:space="preserve">2021 </w:t>
      </w:r>
      <w:r>
        <w:t xml:space="preserve">年 </w:t>
      </w:r>
      <w:r>
        <w:rPr>
          <w:rFonts w:ascii="Times New Roman" w:hAnsi="Times New Roman" w:eastAsia="Times New Roman"/>
        </w:rPr>
        <w:t xml:space="preserve">11 </w:t>
      </w:r>
      <w:r>
        <w:t xml:space="preserve">月 </w:t>
      </w:r>
      <w:r>
        <w:rPr>
          <w:rFonts w:ascii="Times New Roman" w:hAnsi="Times New Roman" w:eastAsia="Times New Roman"/>
        </w:rPr>
        <w:t xml:space="preserve">19 </w:t>
      </w:r>
      <w:r>
        <w:t>号实施；</w:t>
      </w:r>
    </w:p>
    <w:p w14:paraId="2617FEFA">
      <w:pPr>
        <w:pStyle w:val="10"/>
        <w:spacing w:before="2"/>
        <w:ind w:left="700"/>
      </w:pPr>
      <w:r>
        <w:t>（</w:t>
      </w:r>
      <w:r>
        <w:rPr>
          <w:rFonts w:ascii="Times New Roman" w:eastAsia="Times New Roman"/>
        </w:rPr>
        <w:t>19</w:t>
      </w:r>
      <w:r>
        <w:t>）《土壤污染防治行动计划》（国发〔</w:t>
      </w:r>
      <w:r>
        <w:rPr>
          <w:rFonts w:ascii="Times New Roman" w:eastAsia="Times New Roman"/>
        </w:rPr>
        <w:t>2016</w:t>
      </w:r>
      <w:r>
        <w:t>〕</w:t>
      </w:r>
      <w:r>
        <w:rPr>
          <w:rFonts w:ascii="Times New Roman" w:eastAsia="Times New Roman"/>
        </w:rPr>
        <w:t xml:space="preserve">31 </w:t>
      </w:r>
      <w:r>
        <w:t>号）；</w:t>
      </w:r>
    </w:p>
    <w:p w14:paraId="2CA05286">
      <w:pPr>
        <w:pStyle w:val="10"/>
        <w:spacing w:before="160"/>
        <w:ind w:left="700"/>
        <w:rPr>
          <w:rFonts w:ascii="Times New Roman" w:eastAsia="Times New Roman"/>
        </w:rPr>
      </w:pPr>
      <w:r>
        <w:t>（</w:t>
      </w:r>
      <w:r>
        <w:rPr>
          <w:rFonts w:ascii="Times New Roman" w:eastAsia="Times New Roman"/>
        </w:rPr>
        <w:t>20</w:t>
      </w:r>
      <w:r>
        <w:t>）《挥发性有机物（</w:t>
      </w:r>
      <w:r>
        <w:rPr>
          <w:rFonts w:ascii="Times New Roman" w:eastAsia="Times New Roman"/>
        </w:rPr>
        <w:t>VOCs</w:t>
      </w:r>
      <w:r>
        <w:t xml:space="preserve">）污染防治技术政策》（公告 </w:t>
      </w:r>
      <w:r>
        <w:rPr>
          <w:rFonts w:ascii="Times New Roman" w:eastAsia="Times New Roman"/>
        </w:rPr>
        <w:t xml:space="preserve">2013 </w:t>
      </w:r>
      <w:r>
        <w:t xml:space="preserve">年第 </w:t>
      </w:r>
      <w:r>
        <w:rPr>
          <w:rFonts w:ascii="Times New Roman" w:eastAsia="Times New Roman"/>
        </w:rPr>
        <w:t>31</w:t>
      </w:r>
    </w:p>
    <w:p w14:paraId="0C115A21">
      <w:pPr>
        <w:pStyle w:val="10"/>
        <w:spacing w:before="161"/>
        <w:ind w:left="220"/>
      </w:pPr>
      <w:r>
        <w:t>号），</w:t>
      </w:r>
      <w:r>
        <w:rPr>
          <w:rFonts w:ascii="Times New Roman" w:eastAsia="Times New Roman"/>
        </w:rPr>
        <w:t xml:space="preserve">2013 </w:t>
      </w:r>
      <w:r>
        <w:t xml:space="preserve">年 </w:t>
      </w:r>
      <w:r>
        <w:rPr>
          <w:rFonts w:ascii="Times New Roman" w:eastAsia="Times New Roman"/>
        </w:rPr>
        <w:t xml:space="preserve">5 </w:t>
      </w:r>
      <w:r>
        <w:t xml:space="preserve">月 </w:t>
      </w:r>
      <w:r>
        <w:rPr>
          <w:rFonts w:ascii="Times New Roman" w:eastAsia="Times New Roman"/>
        </w:rPr>
        <w:t xml:space="preserve">24 </w:t>
      </w:r>
      <w:r>
        <w:t>日起实施；</w:t>
      </w:r>
    </w:p>
    <w:p w14:paraId="1373EBAA">
      <w:pPr>
        <w:pStyle w:val="10"/>
        <w:spacing w:before="160"/>
        <w:ind w:left="700"/>
      </w:pPr>
      <w:r>
        <w:t>（</w:t>
      </w:r>
      <w:r>
        <w:rPr>
          <w:rFonts w:ascii="Times New Roman" w:eastAsia="Times New Roman"/>
        </w:rPr>
        <w:t>21</w:t>
      </w:r>
      <w:r>
        <w:t>）关于印发《重点行业挥发性有机物综合治理方案》的通知（环大气</w:t>
      </w:r>
    </w:p>
    <w:p w14:paraId="40EF84E0">
      <w:pPr>
        <w:pStyle w:val="10"/>
        <w:spacing w:before="161"/>
        <w:ind w:left="220"/>
      </w:pPr>
      <w:r>
        <w:rPr>
          <w:rFonts w:ascii="Times New Roman" w:eastAsia="Times New Roman"/>
        </w:rPr>
        <w:t xml:space="preserve">[2019]53 </w:t>
      </w:r>
      <w:r>
        <w:t>号），</w:t>
      </w:r>
      <w:r>
        <w:rPr>
          <w:rFonts w:ascii="Times New Roman" w:eastAsia="Times New Roman"/>
        </w:rPr>
        <w:t xml:space="preserve">2019 </w:t>
      </w:r>
      <w:r>
        <w:t xml:space="preserve">年 </w:t>
      </w:r>
      <w:r>
        <w:rPr>
          <w:rFonts w:ascii="Times New Roman" w:eastAsia="Times New Roman"/>
        </w:rPr>
        <w:t xml:space="preserve">6 </w:t>
      </w:r>
      <w:r>
        <w:t xml:space="preserve">月 </w:t>
      </w:r>
      <w:r>
        <w:rPr>
          <w:rFonts w:ascii="Times New Roman" w:eastAsia="Times New Roman"/>
        </w:rPr>
        <w:t xml:space="preserve">26 </w:t>
      </w:r>
      <w:r>
        <w:t>日起实施；</w:t>
      </w:r>
    </w:p>
    <w:p w14:paraId="04249629">
      <w:pPr>
        <w:pStyle w:val="10"/>
        <w:spacing w:before="160"/>
        <w:ind w:left="700"/>
      </w:pPr>
      <w:r>
        <w:t>（</w:t>
      </w:r>
      <w:r>
        <w:rPr>
          <w:rFonts w:ascii="Times New Roman" w:eastAsia="Times New Roman"/>
        </w:rPr>
        <w:t>22</w:t>
      </w:r>
      <w:r>
        <w:t>）关于印发《</w:t>
      </w:r>
      <w:r>
        <w:rPr>
          <w:rFonts w:ascii="Times New Roman" w:eastAsia="Times New Roman"/>
        </w:rPr>
        <w:t xml:space="preserve">2020 </w:t>
      </w:r>
      <w:r>
        <w:t>年挥发性有机物治理攻坚方案》的通知（环大气</w:t>
      </w:r>
    </w:p>
    <w:p w14:paraId="4C15DE2C">
      <w:pPr>
        <w:pStyle w:val="10"/>
        <w:spacing w:before="161"/>
        <w:ind w:left="220"/>
      </w:pPr>
      <w:r>
        <w:rPr>
          <w:rFonts w:ascii="Times New Roman" w:eastAsia="Times New Roman"/>
        </w:rPr>
        <w:t xml:space="preserve">[2020]33 </w:t>
      </w:r>
      <w:r>
        <w:t>号），</w:t>
      </w:r>
      <w:r>
        <w:rPr>
          <w:rFonts w:ascii="Times New Roman" w:eastAsia="Times New Roman"/>
        </w:rPr>
        <w:t xml:space="preserve">2020 </w:t>
      </w:r>
      <w:r>
        <w:t xml:space="preserve">年 </w:t>
      </w:r>
      <w:r>
        <w:rPr>
          <w:rFonts w:ascii="Times New Roman" w:eastAsia="Times New Roman"/>
        </w:rPr>
        <w:t xml:space="preserve">6 </w:t>
      </w:r>
      <w:r>
        <w:t xml:space="preserve">月 </w:t>
      </w:r>
      <w:r>
        <w:rPr>
          <w:rFonts w:ascii="Times New Roman" w:eastAsia="Times New Roman"/>
        </w:rPr>
        <w:t xml:space="preserve">23 </w:t>
      </w:r>
      <w:r>
        <w:t>日起实施；</w:t>
      </w:r>
    </w:p>
    <w:p w14:paraId="6E554F25">
      <w:pPr>
        <w:pStyle w:val="10"/>
        <w:spacing w:before="160" w:line="364" w:lineRule="auto"/>
        <w:ind w:left="220" w:right="357" w:firstLine="480"/>
      </w:pPr>
      <w:r>
        <w:t>（</w:t>
      </w:r>
      <w:r>
        <w:rPr>
          <w:rFonts w:ascii="Times New Roman" w:eastAsia="Times New Roman"/>
        </w:rPr>
        <w:t>23</w:t>
      </w:r>
      <w:r>
        <w:rPr>
          <w:spacing w:val="-123"/>
        </w:rPr>
        <w:t>）</w:t>
      </w:r>
      <w:r>
        <w:rPr>
          <w:spacing w:val="-7"/>
        </w:rPr>
        <w:t>《长江经济带发展负面清单指南</w:t>
      </w:r>
      <w:r>
        <w:rPr>
          <w:spacing w:val="-3"/>
        </w:rPr>
        <w:t>（</w:t>
      </w:r>
      <w:r>
        <w:rPr>
          <w:spacing w:val="-20"/>
        </w:rPr>
        <w:t>试行，</w:t>
      </w:r>
      <w:r>
        <w:rPr>
          <w:rFonts w:ascii="Times New Roman" w:eastAsia="Times New Roman"/>
        </w:rPr>
        <w:t xml:space="preserve">2022 </w:t>
      </w:r>
      <w:r>
        <w:t>年版</w:t>
      </w:r>
      <w:r>
        <w:rPr>
          <w:spacing w:val="-63"/>
        </w:rPr>
        <w:t>）</w:t>
      </w:r>
      <w:r>
        <w:rPr>
          <w:spacing w:val="-26"/>
        </w:rPr>
        <w:t>》，长江办</w:t>
      </w:r>
      <w:r>
        <w:rPr>
          <w:rFonts w:ascii="Times New Roman" w:eastAsia="Times New Roman"/>
          <w:spacing w:val="0"/>
        </w:rPr>
        <w:t>[</w:t>
      </w:r>
      <w:r>
        <w:rPr>
          <w:rFonts w:ascii="Times New Roman" w:eastAsia="Times New Roman"/>
        </w:rPr>
        <w:t>2022</w:t>
      </w:r>
      <w:r>
        <w:rPr>
          <w:rFonts w:ascii="Times New Roman" w:eastAsia="Times New Roman"/>
          <w:spacing w:val="-1"/>
        </w:rPr>
        <w:t>]</w:t>
      </w:r>
      <w:r>
        <w:rPr>
          <w:rFonts w:ascii="Times New Roman" w:eastAsia="Times New Roman"/>
        </w:rPr>
        <w:t>7</w:t>
      </w:r>
      <w:r>
        <w:t>号，</w:t>
      </w:r>
      <w:r>
        <w:rPr>
          <w:rFonts w:ascii="Times New Roman" w:eastAsia="Times New Roman"/>
        </w:rPr>
        <w:t xml:space="preserve">2022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19 </w:t>
      </w:r>
      <w:r>
        <w:t>号实施；</w:t>
      </w:r>
    </w:p>
    <w:p w14:paraId="65A20761">
      <w:pPr>
        <w:pStyle w:val="10"/>
        <w:spacing w:before="1"/>
        <w:ind w:left="700"/>
      </w:pPr>
      <w:r>
        <w:t>（</w:t>
      </w:r>
      <w:r>
        <w:rPr>
          <w:rFonts w:ascii="Times New Roman" w:eastAsia="Times New Roman"/>
        </w:rPr>
        <w:t>24</w:t>
      </w:r>
      <w:r>
        <w:rPr>
          <w:spacing w:val="-51"/>
        </w:rPr>
        <w:t>）</w:t>
      </w:r>
      <w:r>
        <w:rPr>
          <w:spacing w:val="-5"/>
        </w:rPr>
        <w:t>《关于进一步加强塑料污染治理的意见》</w:t>
      </w:r>
      <w:r>
        <w:t>（</w:t>
      </w:r>
      <w:r>
        <w:rPr>
          <w:spacing w:val="-6"/>
        </w:rPr>
        <w:t>发改环资〔</w:t>
      </w:r>
      <w:r>
        <w:rPr>
          <w:rFonts w:ascii="Times New Roman" w:eastAsia="Times New Roman"/>
        </w:rPr>
        <w:t>2020</w:t>
      </w:r>
      <w:r>
        <w:rPr>
          <w:spacing w:val="-25"/>
        </w:rPr>
        <w:t>〕</w:t>
      </w:r>
      <w:r>
        <w:rPr>
          <w:rFonts w:ascii="Times New Roman" w:eastAsia="Times New Roman"/>
        </w:rPr>
        <w:t xml:space="preserve">80 </w:t>
      </w:r>
      <w:r>
        <w:t>号</w:t>
      </w:r>
      <w:r>
        <w:rPr>
          <w:spacing w:val="-120"/>
        </w:rPr>
        <w:t>）</w:t>
      </w:r>
      <w:r>
        <w:t>；</w:t>
      </w:r>
    </w:p>
    <w:p w14:paraId="54AC1A6D">
      <w:pPr>
        <w:pStyle w:val="10"/>
        <w:spacing w:before="161"/>
        <w:ind w:left="700"/>
      </w:pPr>
      <w:r>
        <w:rPr>
          <w:spacing w:val="-10"/>
        </w:rPr>
        <w:t>（</w:t>
      </w:r>
      <w:r>
        <w:rPr>
          <w:rFonts w:ascii="Times New Roman" w:hAnsi="Times New Roman" w:eastAsia="Times New Roman"/>
          <w:spacing w:val="-10"/>
        </w:rPr>
        <w:t>25</w:t>
      </w:r>
      <w:r>
        <w:rPr>
          <w:spacing w:val="-10"/>
        </w:rPr>
        <w:t>）</w:t>
      </w:r>
      <w:r>
        <w:rPr>
          <w:spacing w:val="-9"/>
        </w:rPr>
        <w:t>《“十四五”塑料污染治理行动方案》</w:t>
      </w:r>
      <w:r>
        <w:t>（</w:t>
      </w:r>
      <w:r>
        <w:rPr>
          <w:spacing w:val="-4"/>
        </w:rPr>
        <w:t>发改环资〔</w:t>
      </w:r>
      <w:r>
        <w:rPr>
          <w:rFonts w:ascii="Times New Roman" w:hAnsi="Times New Roman" w:eastAsia="Times New Roman"/>
        </w:rPr>
        <w:t>2021</w:t>
      </w:r>
      <w:r>
        <w:rPr>
          <w:spacing w:val="-20"/>
        </w:rPr>
        <w:t>〕</w:t>
      </w:r>
      <w:r>
        <w:rPr>
          <w:rFonts w:ascii="Times New Roman" w:hAnsi="Times New Roman" w:eastAsia="Times New Roman"/>
        </w:rPr>
        <w:t xml:space="preserve">1298 </w:t>
      </w:r>
      <w:r>
        <w:t>号</w:t>
      </w:r>
      <w:r>
        <w:rPr>
          <w:spacing w:val="-120"/>
        </w:rPr>
        <w:t>）</w:t>
      </w:r>
      <w:r>
        <w:t>。</w:t>
      </w:r>
    </w:p>
    <w:p w14:paraId="6B025872">
      <w:pPr>
        <w:pStyle w:val="16"/>
        <w:numPr>
          <w:ilvl w:val="2"/>
          <w:numId w:val="4"/>
        </w:numPr>
        <w:tabs>
          <w:tab w:val="left" w:pos="895"/>
        </w:tabs>
        <w:spacing w:before="201" w:after="0" w:line="240" w:lineRule="auto"/>
        <w:ind w:left="894" w:right="0" w:hanging="674"/>
        <w:jc w:val="left"/>
        <w:rPr>
          <w:b/>
          <w:sz w:val="30"/>
        </w:rPr>
      </w:pPr>
      <w:r>
        <w:rPr>
          <w:b/>
          <w:sz w:val="30"/>
        </w:rPr>
        <w:t>地方法规、规划</w:t>
      </w:r>
    </w:p>
    <w:p w14:paraId="305ADFE1">
      <w:pPr>
        <w:pStyle w:val="10"/>
        <w:spacing w:before="199"/>
        <w:ind w:left="700"/>
      </w:pPr>
      <w:r>
        <w:t>（</w:t>
      </w:r>
      <w:r>
        <w:rPr>
          <w:rFonts w:ascii="Times New Roman" w:eastAsia="Times New Roman"/>
        </w:rPr>
        <w:t>1</w:t>
      </w:r>
      <w:r>
        <w:t>）《湖南省环境保护条例》（</w:t>
      </w:r>
      <w:r>
        <w:rPr>
          <w:rFonts w:ascii="Times New Roman" w:eastAsia="Times New Roman"/>
        </w:rPr>
        <w:t xml:space="preserve">2019 </w:t>
      </w:r>
      <w:r>
        <w:t xml:space="preserve">年 </w:t>
      </w:r>
      <w:r>
        <w:rPr>
          <w:rFonts w:ascii="Times New Roman" w:eastAsia="Times New Roman"/>
        </w:rPr>
        <w:t xml:space="preserve">9 </w:t>
      </w:r>
      <w:r>
        <w:t xml:space="preserve">月 </w:t>
      </w:r>
      <w:r>
        <w:rPr>
          <w:rFonts w:ascii="Times New Roman" w:eastAsia="Times New Roman"/>
        </w:rPr>
        <w:t xml:space="preserve">28 </w:t>
      </w:r>
      <w:r>
        <w:t>日修正）；</w:t>
      </w:r>
    </w:p>
    <w:p w14:paraId="3F80A0F8">
      <w:pPr>
        <w:pStyle w:val="10"/>
        <w:spacing w:before="160" w:line="364" w:lineRule="auto"/>
        <w:ind w:left="220" w:right="360" w:firstLine="480"/>
      </w:pPr>
      <w:r>
        <w:t>（</w:t>
      </w:r>
      <w:r>
        <w:rPr>
          <w:rFonts w:ascii="Times New Roman" w:eastAsia="Times New Roman"/>
        </w:rPr>
        <w:t>2</w:t>
      </w:r>
      <w:r>
        <w:t>）《湖南省人民政府关于印发〈湖南省主体功能区规划〉的通知》（湘政发〔</w:t>
      </w:r>
      <w:r>
        <w:rPr>
          <w:rFonts w:ascii="Times New Roman" w:eastAsia="Times New Roman"/>
        </w:rPr>
        <w:t>2012</w:t>
      </w:r>
      <w:r>
        <w:t>〕</w:t>
      </w:r>
      <w:r>
        <w:rPr>
          <w:rFonts w:ascii="Times New Roman" w:eastAsia="Times New Roman"/>
        </w:rPr>
        <w:t xml:space="preserve">39 </w:t>
      </w:r>
      <w:r>
        <w:t>号）；</w:t>
      </w:r>
    </w:p>
    <w:p w14:paraId="04558C8C">
      <w:pPr>
        <w:pStyle w:val="10"/>
        <w:spacing w:before="2"/>
        <w:ind w:left="700"/>
      </w:pPr>
      <w:r>
        <w:t>（</w:t>
      </w:r>
      <w:r>
        <w:rPr>
          <w:rFonts w:ascii="Times New Roman" w:eastAsia="Times New Roman"/>
        </w:rPr>
        <w:t>3</w:t>
      </w:r>
      <w:r>
        <w:t>）《湖南省贯彻落实〈大气污染防治行动计划〉实施细则》（湘政办发</w:t>
      </w:r>
    </w:p>
    <w:p w14:paraId="4D629460">
      <w:pPr>
        <w:pStyle w:val="10"/>
        <w:spacing w:before="160"/>
        <w:ind w:left="220"/>
      </w:pPr>
      <w:r>
        <w:t>〔</w:t>
      </w:r>
      <w:r>
        <w:rPr>
          <w:rFonts w:ascii="Times New Roman" w:eastAsia="Times New Roman"/>
        </w:rPr>
        <w:t>2013</w:t>
      </w:r>
      <w:r>
        <w:t>〕</w:t>
      </w:r>
      <w:r>
        <w:rPr>
          <w:rFonts w:ascii="Times New Roman" w:eastAsia="Times New Roman"/>
        </w:rPr>
        <w:t xml:space="preserve">77 </w:t>
      </w:r>
      <w:r>
        <w:t>号）；</w:t>
      </w:r>
    </w:p>
    <w:p w14:paraId="44797C68">
      <w:pPr>
        <w:pStyle w:val="10"/>
        <w:spacing w:before="161"/>
        <w:ind w:left="700"/>
      </w:pPr>
      <w:r>
        <w:t>（</w:t>
      </w:r>
      <w:r>
        <w:rPr>
          <w:rFonts w:ascii="Times New Roman" w:hAnsi="Times New Roman" w:eastAsia="Times New Roman"/>
        </w:rPr>
        <w:t>4</w:t>
      </w:r>
      <w:r>
        <w:rPr>
          <w:spacing w:val="-108"/>
        </w:rPr>
        <w:t>）</w:t>
      </w:r>
      <w:r>
        <w:rPr>
          <w:spacing w:val="-14"/>
        </w:rPr>
        <w:t>《湖南省贯彻落实〈水污染防治行动计划〉实施方案</w:t>
      </w:r>
      <w:r>
        <w:rPr>
          <w:spacing w:val="-3"/>
        </w:rPr>
        <w:t>（</w:t>
      </w:r>
      <w:r>
        <w:rPr>
          <w:rFonts w:ascii="Times New Roman" w:hAnsi="Times New Roman" w:eastAsia="Times New Roman"/>
        </w:rPr>
        <w:t>2016</w:t>
      </w:r>
      <w:r>
        <w:t>—</w:t>
      </w:r>
      <w:r>
        <w:rPr>
          <w:rFonts w:ascii="Times New Roman" w:hAnsi="Times New Roman" w:eastAsia="Times New Roman"/>
        </w:rPr>
        <w:t>2020</w:t>
      </w:r>
      <w:r>
        <w:rPr>
          <w:rFonts w:ascii="Times New Roman" w:hAnsi="Times New Roman" w:eastAsia="Times New Roman"/>
          <w:spacing w:val="-1"/>
        </w:rPr>
        <w:t xml:space="preserve"> </w:t>
      </w:r>
      <w:r>
        <w:t>年</w:t>
      </w:r>
      <w:r>
        <w:rPr>
          <w:spacing w:val="-120"/>
        </w:rPr>
        <w:t>）</w:t>
      </w:r>
      <w:r>
        <w:t>》</w:t>
      </w:r>
    </w:p>
    <w:p w14:paraId="2C3FA580">
      <w:pPr>
        <w:pStyle w:val="10"/>
        <w:spacing w:before="160"/>
        <w:ind w:left="220"/>
      </w:pPr>
      <w:r>
        <w:t>（湘政发〔</w:t>
      </w:r>
      <w:r>
        <w:rPr>
          <w:rFonts w:ascii="Times New Roman" w:eastAsia="Times New Roman"/>
        </w:rPr>
        <w:t>2015</w:t>
      </w:r>
      <w:r>
        <w:t>〕</w:t>
      </w:r>
      <w:r>
        <w:rPr>
          <w:rFonts w:ascii="Times New Roman" w:eastAsia="Times New Roman"/>
        </w:rPr>
        <w:t xml:space="preserve">53 </w:t>
      </w:r>
      <w:r>
        <w:t>号）；</w:t>
      </w:r>
    </w:p>
    <w:p w14:paraId="7F192C2C">
      <w:pPr>
        <w:pStyle w:val="10"/>
        <w:spacing w:before="161"/>
        <w:ind w:left="700"/>
      </w:pPr>
      <w:r>
        <w:t>（</w:t>
      </w:r>
      <w:r>
        <w:rPr>
          <w:rFonts w:ascii="Times New Roman" w:eastAsia="Times New Roman"/>
        </w:rPr>
        <w:t>5</w:t>
      </w:r>
      <w:r>
        <w:t>）《湖南省土壤污染防治工作方案》（湘政发〔</w:t>
      </w:r>
      <w:r>
        <w:rPr>
          <w:rFonts w:ascii="Times New Roman" w:eastAsia="Times New Roman"/>
        </w:rPr>
        <w:t>2017</w:t>
      </w:r>
      <w:r>
        <w:t>〕</w:t>
      </w:r>
      <w:r>
        <w:rPr>
          <w:rFonts w:ascii="Times New Roman" w:eastAsia="Times New Roman"/>
        </w:rPr>
        <w:t xml:space="preserve">4 </w:t>
      </w:r>
      <w:r>
        <w:t>号）；</w:t>
      </w:r>
    </w:p>
    <w:p w14:paraId="06EA4D79">
      <w:pPr>
        <w:pStyle w:val="10"/>
        <w:spacing w:before="160"/>
        <w:ind w:left="700"/>
      </w:pPr>
      <w:r>
        <w:t>（</w:t>
      </w:r>
      <w:r>
        <w:rPr>
          <w:rFonts w:ascii="Times New Roman" w:eastAsia="Times New Roman"/>
        </w:rPr>
        <w:t>6</w:t>
      </w:r>
      <w:r>
        <w:t>）《湖南省大气污染防治条例》，</w:t>
      </w:r>
      <w:r>
        <w:rPr>
          <w:rFonts w:ascii="Times New Roman" w:eastAsia="Times New Roman"/>
        </w:rPr>
        <w:t xml:space="preserve">2017 </w:t>
      </w:r>
      <w:r>
        <w:t xml:space="preserve">年 </w:t>
      </w:r>
      <w:r>
        <w:rPr>
          <w:rFonts w:ascii="Times New Roman" w:eastAsia="Times New Roman"/>
        </w:rPr>
        <w:t xml:space="preserve">6 </w:t>
      </w:r>
      <w:r>
        <w:t xml:space="preserve">月 </w:t>
      </w:r>
      <w:r>
        <w:rPr>
          <w:rFonts w:ascii="Times New Roman" w:eastAsia="Times New Roman"/>
        </w:rPr>
        <w:t xml:space="preserve">1 </w:t>
      </w:r>
      <w:r>
        <w:t>日起施行；</w:t>
      </w:r>
    </w:p>
    <w:p w14:paraId="44ED4E54">
      <w:pPr>
        <w:pStyle w:val="10"/>
        <w:spacing w:before="161"/>
        <w:ind w:left="700"/>
      </w:pPr>
      <w:r>
        <w:t>（</w:t>
      </w:r>
      <w:r>
        <w:rPr>
          <w:rFonts w:ascii="Times New Roman" w:hAnsi="Times New Roman" w:eastAsia="Times New Roman"/>
        </w:rPr>
        <w:t>7</w:t>
      </w:r>
      <w:r>
        <w:t>）《湖南省“十四五”生态环境保护规划》（湘政办发〔</w:t>
      </w:r>
      <w:r>
        <w:rPr>
          <w:rFonts w:ascii="Times New Roman" w:hAnsi="Times New Roman" w:eastAsia="Times New Roman"/>
        </w:rPr>
        <w:t>2021</w:t>
      </w:r>
      <w:r>
        <w:t>〕</w:t>
      </w:r>
      <w:r>
        <w:rPr>
          <w:rFonts w:ascii="Times New Roman" w:hAnsi="Times New Roman" w:eastAsia="Times New Roman"/>
        </w:rPr>
        <w:t xml:space="preserve">61 </w:t>
      </w:r>
      <w:r>
        <w:t>号）；</w:t>
      </w:r>
    </w:p>
    <w:p w14:paraId="2EBA4B3C">
      <w:pPr>
        <w:pStyle w:val="10"/>
        <w:spacing w:before="160"/>
        <w:ind w:left="700"/>
      </w:pPr>
      <w:r>
        <w:t>（</w:t>
      </w:r>
      <w:r>
        <w:rPr>
          <w:rFonts w:ascii="Times New Roman" w:hAnsi="Times New Roman" w:eastAsia="Times New Roman"/>
        </w:rPr>
        <w:t>8</w:t>
      </w:r>
      <w:r>
        <w:t>）《湖南省关于实施“三线一单”生态环境分区管控的意见》（湘政发</w:t>
      </w:r>
    </w:p>
    <w:p w14:paraId="31F08792">
      <w:pPr>
        <w:pStyle w:val="10"/>
        <w:spacing w:before="161"/>
        <w:ind w:left="220"/>
      </w:pPr>
      <w:r>
        <w:t>〔</w:t>
      </w:r>
      <w:r>
        <w:rPr>
          <w:rFonts w:ascii="Times New Roman" w:eastAsia="Times New Roman"/>
        </w:rPr>
        <w:t>2020</w:t>
      </w:r>
      <w:r>
        <w:t>〕</w:t>
      </w:r>
      <w:r>
        <w:rPr>
          <w:rFonts w:ascii="Times New Roman" w:eastAsia="Times New Roman"/>
        </w:rPr>
        <w:t xml:space="preserve">12 </w:t>
      </w:r>
      <w:r>
        <w:t>号）；</w:t>
      </w:r>
    </w:p>
    <w:p w14:paraId="26CFF33A">
      <w:pPr>
        <w:pStyle w:val="10"/>
        <w:spacing w:before="160" w:line="364" w:lineRule="auto"/>
        <w:ind w:left="220" w:right="357" w:firstLine="480"/>
      </w:pPr>
      <w:r>
        <w:t>（</w:t>
      </w:r>
      <w:r>
        <w:rPr>
          <w:rFonts w:ascii="Times New Roman" w:hAnsi="Times New Roman" w:eastAsia="Times New Roman"/>
        </w:rPr>
        <w:t>9</w:t>
      </w:r>
      <w:r>
        <w:t>）《湖南省生态环境厅关于发布〈湖南省“三线一单”生态环境总体管控要求暨省级以上产业园区生态环境准入清单〉的函》（ 统一登记号：</w:t>
      </w:r>
    </w:p>
    <w:p w14:paraId="1C6C963D">
      <w:pPr>
        <w:spacing w:after="0" w:line="364" w:lineRule="auto"/>
        <w:sectPr>
          <w:pgSz w:w="11910" w:h="16840"/>
          <w:pgMar w:top="1440" w:right="1440" w:bottom="1220" w:left="1580" w:header="0" w:footer="944" w:gutter="0"/>
          <w:cols w:space="720" w:num="1"/>
        </w:sectPr>
      </w:pPr>
    </w:p>
    <w:p w14:paraId="3D3DDEF2">
      <w:pPr>
        <w:pStyle w:val="10"/>
        <w:spacing w:before="62"/>
        <w:ind w:left="220"/>
      </w:pPr>
      <w:r>
        <w:rPr>
          <w:rFonts w:ascii="Times New Roman" w:eastAsia="Times New Roman"/>
        </w:rPr>
        <w:t>HNPR-2020-13005</w:t>
      </w:r>
      <w:r>
        <w:t>）；</w:t>
      </w:r>
    </w:p>
    <w:p w14:paraId="1545DB9E">
      <w:pPr>
        <w:pStyle w:val="10"/>
        <w:spacing w:before="160"/>
        <w:ind w:left="700"/>
      </w:pPr>
      <w:r>
        <w:t>（</w:t>
      </w:r>
      <w:r>
        <w:rPr>
          <w:rFonts w:ascii="Times New Roman" w:eastAsia="Times New Roman"/>
        </w:rPr>
        <w:t>10</w:t>
      </w:r>
      <w:r>
        <w:t>）《湖南省长江经济带发展负面清单实施细则（试行，</w:t>
      </w:r>
      <w:r>
        <w:rPr>
          <w:rFonts w:ascii="Times New Roman" w:eastAsia="Times New Roman"/>
        </w:rPr>
        <w:t xml:space="preserve">2022 </w:t>
      </w:r>
      <w:r>
        <w:t>年版）》；</w:t>
      </w:r>
    </w:p>
    <w:p w14:paraId="2A8C3031">
      <w:pPr>
        <w:pStyle w:val="10"/>
        <w:spacing w:before="161" w:line="364" w:lineRule="auto"/>
        <w:ind w:left="220" w:right="237" w:firstLine="480"/>
      </w:pPr>
      <w:r>
        <w:rPr>
          <w:spacing w:val="-23"/>
        </w:rPr>
        <w:t>（</w:t>
      </w:r>
      <w:r>
        <w:rPr>
          <w:rFonts w:ascii="Times New Roman" w:hAnsi="Times New Roman" w:eastAsia="Times New Roman"/>
          <w:spacing w:val="-23"/>
        </w:rPr>
        <w:t>11</w:t>
      </w:r>
      <w:r>
        <w:rPr>
          <w:spacing w:val="-23"/>
        </w:rPr>
        <w:t>）</w:t>
      </w:r>
      <w:r>
        <w:rPr>
          <w:spacing w:val="-7"/>
        </w:rPr>
        <w:t>《湖南省发展和改革委员会关于印发〈湖南省“两高”项目管理目录〉的通知》湘发改环资〔</w:t>
      </w:r>
      <w:r>
        <w:rPr>
          <w:rFonts w:ascii="Times New Roman" w:hAnsi="Times New Roman" w:eastAsia="Times New Roman"/>
          <w:spacing w:val="-7"/>
        </w:rPr>
        <w:t>2021</w:t>
      </w:r>
      <w:r>
        <w:rPr>
          <w:spacing w:val="-7"/>
        </w:rPr>
        <w:t>〕</w:t>
      </w:r>
      <w:r>
        <w:rPr>
          <w:rFonts w:ascii="Times New Roman" w:hAnsi="Times New Roman" w:eastAsia="Times New Roman"/>
          <w:spacing w:val="-7"/>
        </w:rPr>
        <w:t xml:space="preserve">968 </w:t>
      </w:r>
      <w:r>
        <w:rPr>
          <w:spacing w:val="-7"/>
        </w:rPr>
        <w:t>号；</w:t>
      </w:r>
    </w:p>
    <w:p w14:paraId="30C7050C">
      <w:pPr>
        <w:pStyle w:val="10"/>
        <w:spacing w:before="1"/>
        <w:ind w:left="700"/>
      </w:pPr>
      <w:r>
        <w:t>（</w:t>
      </w:r>
      <w:r>
        <w:rPr>
          <w:rFonts w:ascii="Times New Roman" w:hAnsi="Times New Roman" w:eastAsia="Times New Roman"/>
        </w:rPr>
        <w:t>12</w:t>
      </w:r>
      <w:r>
        <w:rPr>
          <w:spacing w:val="-39"/>
        </w:rPr>
        <w:t>）</w:t>
      </w:r>
      <w:r>
        <w:rPr>
          <w:spacing w:val="-8"/>
        </w:rPr>
        <w:t>《湖南省“十四五”生态环境保护规划》</w:t>
      </w:r>
      <w:r>
        <w:t>（</w:t>
      </w:r>
      <w:r>
        <w:rPr>
          <w:spacing w:val="-4"/>
        </w:rPr>
        <w:t>湘政办发〔</w:t>
      </w:r>
      <w:r>
        <w:rPr>
          <w:rFonts w:ascii="Times New Roman" w:hAnsi="Times New Roman" w:eastAsia="Times New Roman"/>
        </w:rPr>
        <w:t>2021</w:t>
      </w:r>
      <w:r>
        <w:rPr>
          <w:spacing w:val="-20"/>
        </w:rPr>
        <w:t>〕</w:t>
      </w:r>
      <w:r>
        <w:rPr>
          <w:rFonts w:ascii="Times New Roman" w:hAnsi="Times New Roman" w:eastAsia="Times New Roman"/>
        </w:rPr>
        <w:t xml:space="preserve">61 </w:t>
      </w:r>
      <w:r>
        <w:t>号</w:t>
      </w:r>
      <w:r>
        <w:rPr>
          <w:spacing w:val="-120"/>
        </w:rPr>
        <w:t>）</w:t>
      </w:r>
      <w:r>
        <w:t>；</w:t>
      </w:r>
    </w:p>
    <w:p w14:paraId="75A1F173">
      <w:pPr>
        <w:pStyle w:val="10"/>
        <w:spacing w:before="161" w:line="364" w:lineRule="auto"/>
        <w:ind w:left="220" w:right="361" w:firstLine="480"/>
      </w:pPr>
      <w:r>
        <w:t>（</w:t>
      </w:r>
      <w:r>
        <w:rPr>
          <w:rFonts w:ascii="Times New Roman" w:hAnsi="Times New Roman" w:eastAsia="Times New Roman"/>
        </w:rPr>
        <w:t>13</w:t>
      </w:r>
      <w:r>
        <w:t>）《湖南省“十四五”固体废物环境管理规划》（湘环发〔</w:t>
      </w:r>
      <w:r>
        <w:rPr>
          <w:rFonts w:ascii="Times New Roman" w:hAnsi="Times New Roman" w:eastAsia="Times New Roman"/>
        </w:rPr>
        <w:t>2021</w:t>
      </w:r>
      <w:r>
        <w:t>〕</w:t>
      </w:r>
      <w:r>
        <w:rPr>
          <w:rFonts w:ascii="Times New Roman" w:hAnsi="Times New Roman" w:eastAsia="Times New Roman"/>
        </w:rPr>
        <w:t xml:space="preserve">52 </w:t>
      </w:r>
      <w:r>
        <w:t>号）；</w:t>
      </w:r>
    </w:p>
    <w:p w14:paraId="23678A1F">
      <w:pPr>
        <w:pStyle w:val="10"/>
        <w:spacing w:before="1" w:line="364" w:lineRule="auto"/>
        <w:ind w:left="220" w:right="360" w:firstLine="480"/>
      </w:pPr>
      <w:r>
        <w:t>（</w:t>
      </w:r>
      <w:r>
        <w:rPr>
          <w:rFonts w:ascii="Times New Roman" w:eastAsia="Times New Roman"/>
        </w:rPr>
        <w:t>14</w:t>
      </w:r>
      <w:r>
        <w:t>）《湖南省生态环境厅关于</w:t>
      </w:r>
      <w:r>
        <w:rPr>
          <w:rFonts w:ascii="Times New Roman" w:eastAsia="Times New Roman"/>
        </w:rPr>
        <w:t>&lt;</w:t>
      </w:r>
      <w:r>
        <w:t>汨罗高新技术产业开发区扩区规划环境影响报告书</w:t>
      </w:r>
      <w:r>
        <w:rPr>
          <w:rFonts w:ascii="Times New Roman" w:eastAsia="Times New Roman"/>
        </w:rPr>
        <w:t>&gt;</w:t>
      </w:r>
      <w:r>
        <w:t>审查意见的函》（湘环评</w:t>
      </w:r>
      <w:r>
        <w:rPr>
          <w:rFonts w:ascii="Times New Roman" w:eastAsia="Times New Roman"/>
        </w:rPr>
        <w:t xml:space="preserve">[2024]41 </w:t>
      </w:r>
      <w:r>
        <w:t>号）；</w:t>
      </w:r>
    </w:p>
    <w:p w14:paraId="0B51C2DB">
      <w:pPr>
        <w:pStyle w:val="10"/>
        <w:spacing w:before="1"/>
        <w:ind w:left="700"/>
      </w:pPr>
      <w:r>
        <w:t>（</w:t>
      </w:r>
      <w:r>
        <w:rPr>
          <w:rFonts w:ascii="Times New Roman" w:hAnsi="Times New Roman" w:eastAsia="Times New Roman"/>
        </w:rPr>
        <w:t>16</w:t>
      </w:r>
      <w:r>
        <w:rPr>
          <w:spacing w:val="-108"/>
        </w:rPr>
        <w:t>）</w:t>
      </w:r>
      <w:r>
        <w:rPr>
          <w:spacing w:val="-13"/>
        </w:rPr>
        <w:t>《湖南省大气污染防治“守护蓝天”攻坚行动计划</w:t>
      </w:r>
      <w:r>
        <w:rPr>
          <w:spacing w:val="-3"/>
        </w:rPr>
        <w:t>（</w:t>
      </w:r>
      <w:r>
        <w:rPr>
          <w:rFonts w:ascii="Times New Roman" w:hAnsi="Times New Roman" w:eastAsia="Times New Roman"/>
        </w:rPr>
        <w:t>2023</w:t>
      </w:r>
      <w:r>
        <w:t>—</w:t>
      </w:r>
      <w:r>
        <w:rPr>
          <w:rFonts w:ascii="Times New Roman" w:hAnsi="Times New Roman" w:eastAsia="Times New Roman"/>
        </w:rPr>
        <w:t>2025</w:t>
      </w:r>
      <w:r>
        <w:rPr>
          <w:rFonts w:ascii="Times New Roman" w:hAnsi="Times New Roman" w:eastAsia="Times New Roman"/>
          <w:spacing w:val="-1"/>
        </w:rPr>
        <w:t xml:space="preserve"> </w:t>
      </w:r>
      <w:r>
        <w:t>年</w:t>
      </w:r>
      <w:r>
        <w:rPr>
          <w:spacing w:val="-120"/>
        </w:rPr>
        <w:t>）</w:t>
      </w:r>
      <w:r>
        <w:rPr>
          <w:spacing w:val="-60"/>
        </w:rPr>
        <w:t>》。</w:t>
      </w:r>
    </w:p>
    <w:p w14:paraId="614673A7">
      <w:pPr>
        <w:pStyle w:val="16"/>
        <w:numPr>
          <w:ilvl w:val="2"/>
          <w:numId w:val="4"/>
        </w:numPr>
        <w:tabs>
          <w:tab w:val="left" w:pos="895"/>
        </w:tabs>
        <w:spacing w:before="201" w:after="0" w:line="240" w:lineRule="auto"/>
        <w:ind w:left="894" w:right="0" w:hanging="674"/>
        <w:jc w:val="left"/>
        <w:rPr>
          <w:b/>
          <w:sz w:val="30"/>
        </w:rPr>
      </w:pPr>
      <w:r>
        <w:rPr>
          <w:b/>
          <w:sz w:val="30"/>
        </w:rPr>
        <w:t>相关的技术规范</w:t>
      </w:r>
    </w:p>
    <w:p w14:paraId="30E98CA3">
      <w:pPr>
        <w:pStyle w:val="10"/>
        <w:spacing w:before="199"/>
        <w:ind w:left="700"/>
      </w:pPr>
      <w:r>
        <w:t>（</w:t>
      </w:r>
      <w:r>
        <w:rPr>
          <w:rFonts w:ascii="Times New Roman" w:eastAsia="Times New Roman"/>
        </w:rPr>
        <w:t>1</w:t>
      </w:r>
      <w:r>
        <w:t>）《建设项目环境影响评价技术导则 总纲》</w:t>
      </w:r>
      <w:r>
        <w:rPr>
          <w:rFonts w:ascii="Times New Roman" w:eastAsia="Times New Roman"/>
        </w:rPr>
        <w:t>(HJ2.1-2016)</w:t>
      </w:r>
      <w:r>
        <w:t>；</w:t>
      </w:r>
    </w:p>
    <w:p w14:paraId="1E5CA29C">
      <w:pPr>
        <w:pStyle w:val="10"/>
        <w:spacing w:before="161"/>
        <w:ind w:left="700"/>
      </w:pPr>
      <w:r>
        <w:t>（</w:t>
      </w:r>
      <w:r>
        <w:rPr>
          <w:rFonts w:ascii="Times New Roman" w:eastAsia="Times New Roman"/>
        </w:rPr>
        <w:t>2</w:t>
      </w:r>
      <w:r>
        <w:t>）《环境影响评价技术导则 大气环境》</w:t>
      </w:r>
      <w:r>
        <w:rPr>
          <w:rFonts w:ascii="Times New Roman" w:eastAsia="Times New Roman"/>
        </w:rPr>
        <w:t>(HJ2.2-2018)</w:t>
      </w:r>
      <w:r>
        <w:t>；</w:t>
      </w:r>
    </w:p>
    <w:p w14:paraId="37AF837B">
      <w:pPr>
        <w:pStyle w:val="10"/>
        <w:spacing w:before="160"/>
        <w:ind w:left="700"/>
      </w:pPr>
      <w:r>
        <w:t>（</w:t>
      </w:r>
      <w:r>
        <w:rPr>
          <w:rFonts w:ascii="Times New Roman" w:eastAsia="Times New Roman"/>
        </w:rPr>
        <w:t>3</w:t>
      </w:r>
      <w:r>
        <w:t>）《环境影响评价技术导则 地表水环境》</w:t>
      </w:r>
      <w:r>
        <w:rPr>
          <w:rFonts w:ascii="Times New Roman" w:eastAsia="Times New Roman"/>
        </w:rPr>
        <w:t>(HJ2.3-2018)</w:t>
      </w:r>
      <w:r>
        <w:t>；</w:t>
      </w:r>
    </w:p>
    <w:p w14:paraId="174AE5CC">
      <w:pPr>
        <w:pStyle w:val="10"/>
        <w:spacing w:before="161"/>
        <w:ind w:left="700"/>
      </w:pPr>
      <w:r>
        <w:t>（</w:t>
      </w:r>
      <w:r>
        <w:rPr>
          <w:rFonts w:ascii="Times New Roman" w:eastAsia="Times New Roman"/>
        </w:rPr>
        <w:t>4</w:t>
      </w:r>
      <w:r>
        <w:t>）《环境影响评价技术导则 声环境》</w:t>
      </w:r>
      <w:r>
        <w:rPr>
          <w:rFonts w:ascii="Times New Roman" w:eastAsia="Times New Roman"/>
        </w:rPr>
        <w:t>(HJ2.4-2021)</w:t>
      </w:r>
      <w:r>
        <w:t>；</w:t>
      </w:r>
    </w:p>
    <w:p w14:paraId="45BEC546">
      <w:pPr>
        <w:pStyle w:val="10"/>
        <w:spacing w:before="160"/>
        <w:ind w:left="700"/>
      </w:pPr>
      <w:r>
        <w:t>（</w:t>
      </w:r>
      <w:r>
        <w:rPr>
          <w:rFonts w:ascii="Times New Roman" w:eastAsia="Times New Roman"/>
        </w:rPr>
        <w:t>5</w:t>
      </w:r>
      <w:r>
        <w:t>）《环境影响评价技术导则 地下水环境》（</w:t>
      </w:r>
      <w:r>
        <w:rPr>
          <w:rFonts w:ascii="Times New Roman" w:eastAsia="Times New Roman"/>
        </w:rPr>
        <w:t>HJ610-2016</w:t>
      </w:r>
      <w:r>
        <w:t>）</w:t>
      </w:r>
    </w:p>
    <w:p w14:paraId="14577845">
      <w:pPr>
        <w:pStyle w:val="10"/>
        <w:spacing w:before="161"/>
        <w:ind w:left="700"/>
      </w:pPr>
      <w:r>
        <w:t>（</w:t>
      </w:r>
      <w:r>
        <w:rPr>
          <w:rFonts w:ascii="Times New Roman" w:eastAsia="Times New Roman"/>
        </w:rPr>
        <w:t>6</w:t>
      </w:r>
      <w:r>
        <w:t>）《环境影响评价技术导则 土壤环境（试行）》（</w:t>
      </w:r>
      <w:r>
        <w:rPr>
          <w:rFonts w:ascii="Times New Roman" w:eastAsia="Times New Roman"/>
        </w:rPr>
        <w:t>HJ964-2018</w:t>
      </w:r>
      <w:r>
        <w:t>）</w:t>
      </w:r>
    </w:p>
    <w:p w14:paraId="3344AA95">
      <w:pPr>
        <w:pStyle w:val="10"/>
        <w:spacing w:before="160"/>
        <w:ind w:left="700"/>
      </w:pPr>
      <w:r>
        <w:t>（</w:t>
      </w:r>
      <w:r>
        <w:rPr>
          <w:rFonts w:ascii="Times New Roman" w:eastAsia="Times New Roman"/>
        </w:rPr>
        <w:t>7</w:t>
      </w:r>
      <w:r>
        <w:t>）《建设项目环境风险评价技术导则》</w:t>
      </w:r>
      <w:r>
        <w:rPr>
          <w:rFonts w:ascii="Times New Roman" w:eastAsia="Times New Roman"/>
        </w:rPr>
        <w:t>(HJ169-2018)</w:t>
      </w:r>
      <w:r>
        <w:t>；</w:t>
      </w:r>
    </w:p>
    <w:p w14:paraId="3658639B">
      <w:pPr>
        <w:pStyle w:val="10"/>
        <w:spacing w:before="161"/>
        <w:ind w:left="700"/>
      </w:pPr>
      <w:r>
        <w:t>（</w:t>
      </w:r>
      <w:r>
        <w:rPr>
          <w:rFonts w:ascii="Times New Roman" w:eastAsia="Times New Roman"/>
        </w:rPr>
        <w:t>8</w:t>
      </w:r>
      <w:r>
        <w:t>）《环境影响评价技术导则 生态影响》</w:t>
      </w:r>
      <w:r>
        <w:rPr>
          <w:rFonts w:ascii="Times New Roman" w:eastAsia="Times New Roman"/>
        </w:rPr>
        <w:t>(HJ19-2022)</w:t>
      </w:r>
      <w:r>
        <w:t>；</w:t>
      </w:r>
    </w:p>
    <w:p w14:paraId="10F58077">
      <w:pPr>
        <w:pStyle w:val="10"/>
        <w:spacing w:before="160"/>
        <w:ind w:left="700"/>
      </w:pPr>
      <w:r>
        <w:t>（</w:t>
      </w:r>
      <w:r>
        <w:rPr>
          <w:rFonts w:ascii="Times New Roman" w:eastAsia="Times New Roman"/>
        </w:rPr>
        <w:t>9</w:t>
      </w:r>
      <w:r>
        <w:t>）《国家危险废物名录（</w:t>
      </w:r>
      <w:r>
        <w:rPr>
          <w:rFonts w:ascii="Times New Roman" w:eastAsia="Times New Roman"/>
        </w:rPr>
        <w:t xml:space="preserve">2021 </w:t>
      </w:r>
      <w:r>
        <w:t>版）》；</w:t>
      </w:r>
    </w:p>
    <w:p w14:paraId="4F9E3D49">
      <w:pPr>
        <w:pStyle w:val="10"/>
        <w:spacing w:before="161"/>
        <w:ind w:left="700"/>
      </w:pPr>
      <w:r>
        <w:t>（</w:t>
      </w:r>
      <w:r>
        <w:rPr>
          <w:spacing w:val="-83"/>
        </w:rPr>
        <w:t xml:space="preserve"> </w:t>
      </w:r>
      <w:r>
        <w:rPr>
          <w:rFonts w:ascii="Times New Roman" w:eastAsia="Times New Roman"/>
        </w:rPr>
        <w:t xml:space="preserve">10 </w:t>
      </w:r>
      <w:r>
        <w:t>）</w:t>
      </w:r>
      <w:r>
        <w:rPr>
          <w:spacing w:val="21"/>
        </w:rPr>
        <w:t xml:space="preserve"> 《排污许可证申请与核发技术规范 橡胶和塑料制品工业》</w:t>
      </w:r>
    </w:p>
    <w:p w14:paraId="13A71167">
      <w:pPr>
        <w:pStyle w:val="10"/>
        <w:spacing w:before="160"/>
        <w:ind w:left="220"/>
      </w:pPr>
      <w:r>
        <w:t>（</w:t>
      </w:r>
      <w:r>
        <w:rPr>
          <w:rFonts w:ascii="Times New Roman" w:eastAsia="Times New Roman"/>
        </w:rPr>
        <w:t>HJ1122-2020</w:t>
      </w:r>
      <w:r>
        <w:t>）；</w:t>
      </w:r>
    </w:p>
    <w:p w14:paraId="67CDDDCE">
      <w:pPr>
        <w:pStyle w:val="10"/>
        <w:spacing w:before="161"/>
        <w:ind w:left="700"/>
      </w:pPr>
      <w:r>
        <w:t>（</w:t>
      </w:r>
      <w:r>
        <w:rPr>
          <w:rFonts w:ascii="Times New Roman" w:eastAsia="Times New Roman"/>
        </w:rPr>
        <w:t>11</w:t>
      </w:r>
      <w:r>
        <w:t>）《排污单位自行监测技术指南总则》；</w:t>
      </w:r>
    </w:p>
    <w:p w14:paraId="3E56F342">
      <w:pPr>
        <w:pStyle w:val="10"/>
        <w:spacing w:before="160"/>
        <w:ind w:left="700"/>
      </w:pPr>
      <w:r>
        <w:t>（</w:t>
      </w:r>
      <w:r>
        <w:rPr>
          <w:rFonts w:ascii="Times New Roman" w:eastAsia="Times New Roman"/>
        </w:rPr>
        <w:t>12</w:t>
      </w:r>
      <w:r>
        <w:t>）《一般工业固体废物贮存和填埋污染控制标准》（</w:t>
      </w:r>
      <w:r>
        <w:rPr>
          <w:rFonts w:ascii="Times New Roman" w:eastAsia="Times New Roman"/>
        </w:rPr>
        <w:t>GB18599-2020</w:t>
      </w:r>
      <w:r>
        <w:t>）；</w:t>
      </w:r>
    </w:p>
    <w:p w14:paraId="57DED01E">
      <w:pPr>
        <w:pStyle w:val="10"/>
        <w:spacing w:before="161"/>
        <w:ind w:left="700"/>
      </w:pPr>
      <w:r>
        <w:t>（</w:t>
      </w:r>
      <w:r>
        <w:rPr>
          <w:rFonts w:ascii="Times New Roman" w:eastAsia="Times New Roman"/>
        </w:rPr>
        <w:t>13</w:t>
      </w:r>
      <w:r>
        <w:t>）《危险废物贮存污染控制标准》（</w:t>
      </w:r>
      <w:r>
        <w:rPr>
          <w:rFonts w:ascii="Times New Roman" w:eastAsia="Times New Roman"/>
        </w:rPr>
        <w:t>GB18597-2023</w:t>
      </w:r>
      <w:r>
        <w:t>）；</w:t>
      </w:r>
    </w:p>
    <w:p w14:paraId="026A0256">
      <w:pPr>
        <w:pStyle w:val="10"/>
        <w:spacing w:before="160"/>
        <w:ind w:left="700"/>
      </w:pPr>
      <w:r>
        <w:t>（</w:t>
      </w:r>
      <w:r>
        <w:rPr>
          <w:rFonts w:ascii="Times New Roman" w:eastAsia="Times New Roman"/>
        </w:rPr>
        <w:t>14</w:t>
      </w:r>
      <w:r>
        <w:t>）《挥发性有机物无组织排放控制标准》（</w:t>
      </w:r>
      <w:r>
        <w:rPr>
          <w:rFonts w:ascii="Times New Roman" w:eastAsia="Times New Roman"/>
        </w:rPr>
        <w:t>GB 37822-2019</w:t>
      </w:r>
      <w:r>
        <w:t>），</w:t>
      </w:r>
      <w:r>
        <w:rPr>
          <w:rFonts w:ascii="Times New Roman" w:eastAsia="Times New Roman"/>
        </w:rPr>
        <w:t xml:space="preserve">2019 </w:t>
      </w:r>
      <w:r>
        <w:t>年</w:t>
      </w:r>
    </w:p>
    <w:p w14:paraId="434431FC">
      <w:pPr>
        <w:pStyle w:val="10"/>
        <w:spacing w:before="161"/>
        <w:ind w:left="220"/>
      </w:pPr>
      <w:r>
        <w:rPr>
          <w:rFonts w:ascii="Times New Roman" w:eastAsia="Times New Roman"/>
        </w:rPr>
        <w:t xml:space="preserve">7 </w:t>
      </w:r>
      <w:r>
        <w:t xml:space="preserve">月 </w:t>
      </w:r>
      <w:r>
        <w:rPr>
          <w:rFonts w:ascii="Times New Roman" w:eastAsia="Times New Roman"/>
        </w:rPr>
        <w:t xml:space="preserve">1 </w:t>
      </w:r>
      <w:r>
        <w:t>日起实施；</w:t>
      </w:r>
    </w:p>
    <w:p w14:paraId="0EDB6175">
      <w:pPr>
        <w:pStyle w:val="10"/>
        <w:spacing w:before="160"/>
        <w:ind w:left="700"/>
      </w:pPr>
      <w:r>
        <w:t>（</w:t>
      </w:r>
      <w:r>
        <w:rPr>
          <w:rFonts w:ascii="Times New Roman" w:eastAsia="Times New Roman"/>
        </w:rPr>
        <w:t>15</w:t>
      </w:r>
      <w:r>
        <w:t>）《废塑料污染控制技术规范》（</w:t>
      </w:r>
      <w:r>
        <w:rPr>
          <w:rFonts w:ascii="Times New Roman" w:eastAsia="Times New Roman"/>
        </w:rPr>
        <w:t>HJ364-2022</w:t>
      </w:r>
      <w:r>
        <w:t>）；</w:t>
      </w:r>
    </w:p>
    <w:p w14:paraId="056FB71E">
      <w:pPr>
        <w:pStyle w:val="10"/>
        <w:spacing w:before="161"/>
        <w:ind w:left="700"/>
      </w:pPr>
      <w:r>
        <w:t>（</w:t>
      </w:r>
      <w:r>
        <w:rPr>
          <w:rFonts w:ascii="Times New Roman" w:eastAsia="Times New Roman"/>
        </w:rPr>
        <w:t>16</w:t>
      </w:r>
      <w:r>
        <w:rPr>
          <w:spacing w:val="-221"/>
        </w:rPr>
        <w:t>）</w:t>
      </w:r>
      <w:r>
        <w:t>《排污许可证申请与核发技术规范 废弃资源加工工业</w:t>
      </w:r>
      <w:r>
        <w:rPr>
          <w:spacing w:val="-221"/>
        </w:rPr>
        <w:t>》</w:t>
      </w:r>
      <w:r>
        <w:t>（</w:t>
      </w:r>
      <w:r>
        <w:rPr>
          <w:rFonts w:ascii="Times New Roman" w:eastAsia="Times New Roman"/>
          <w:spacing w:val="-1"/>
        </w:rPr>
        <w:t>H</w:t>
      </w:r>
      <w:r>
        <w:rPr>
          <w:rFonts w:ascii="Times New Roman" w:eastAsia="Times New Roman"/>
          <w:spacing w:val="1"/>
        </w:rPr>
        <w:t>J</w:t>
      </w:r>
      <w:r>
        <w:rPr>
          <w:rFonts w:ascii="Times New Roman" w:eastAsia="Times New Roman"/>
        </w:rPr>
        <w:t>1034</w:t>
      </w:r>
      <w:r>
        <w:rPr>
          <w:rFonts w:ascii="Times New Roman" w:eastAsia="Times New Roman"/>
          <w:spacing w:val="-1"/>
        </w:rPr>
        <w:t>-</w:t>
      </w:r>
      <w:r>
        <w:rPr>
          <w:rFonts w:ascii="Times New Roman" w:eastAsia="Times New Roman"/>
        </w:rPr>
        <w:t>2019</w:t>
      </w:r>
      <w:r>
        <w:rPr>
          <w:spacing w:val="-120"/>
        </w:rPr>
        <w:t>）</w:t>
      </w:r>
      <w:r>
        <w:t>；</w:t>
      </w:r>
    </w:p>
    <w:p w14:paraId="18C398B3">
      <w:pPr>
        <w:spacing w:after="0"/>
        <w:sectPr>
          <w:pgSz w:w="11910" w:h="16840"/>
          <w:pgMar w:top="1440" w:right="1440" w:bottom="1220" w:left="1580" w:header="0" w:footer="944" w:gutter="0"/>
          <w:cols w:space="720" w:num="1"/>
        </w:sectPr>
      </w:pPr>
    </w:p>
    <w:p w14:paraId="3B861CA6">
      <w:pPr>
        <w:pStyle w:val="10"/>
        <w:spacing w:before="62"/>
        <w:ind w:left="700"/>
      </w:pPr>
      <w:r>
        <w:t>（</w:t>
      </w:r>
      <w:r>
        <w:rPr>
          <w:rFonts w:ascii="Times New Roman" w:eastAsia="Times New Roman"/>
        </w:rPr>
        <w:t>17</w:t>
      </w:r>
      <w:r>
        <w:t>）《废塑料综合利用行业规范条件》。</w:t>
      </w:r>
    </w:p>
    <w:p w14:paraId="3AA2EEE3">
      <w:pPr>
        <w:pStyle w:val="16"/>
        <w:numPr>
          <w:ilvl w:val="2"/>
          <w:numId w:val="4"/>
        </w:numPr>
        <w:tabs>
          <w:tab w:val="left" w:pos="895"/>
        </w:tabs>
        <w:spacing w:before="220" w:after="0" w:line="240" w:lineRule="auto"/>
        <w:ind w:left="894" w:right="0" w:hanging="674"/>
        <w:jc w:val="left"/>
        <w:rPr>
          <w:b/>
          <w:sz w:val="30"/>
        </w:rPr>
      </w:pPr>
      <w:r>
        <w:rPr>
          <w:b/>
          <w:sz w:val="30"/>
        </w:rPr>
        <w:t>其他编制依据及工程资料</w:t>
      </w:r>
    </w:p>
    <w:p w14:paraId="0C36266E">
      <w:pPr>
        <w:pStyle w:val="10"/>
        <w:spacing w:before="221"/>
        <w:ind w:left="700"/>
      </w:pPr>
      <w:r>
        <w:t>（</w:t>
      </w:r>
      <w:r>
        <w:rPr>
          <w:rFonts w:ascii="Times New Roman" w:eastAsia="Times New Roman"/>
        </w:rPr>
        <w:t>1</w:t>
      </w:r>
      <w:r>
        <w:t>）环评委托书；</w:t>
      </w:r>
    </w:p>
    <w:p w14:paraId="131EA0A3">
      <w:pPr>
        <w:pStyle w:val="10"/>
        <w:spacing w:before="160"/>
        <w:ind w:left="700"/>
      </w:pPr>
      <w:r>
        <w:t>（</w:t>
      </w:r>
      <w:r>
        <w:rPr>
          <w:rFonts w:ascii="Times New Roman" w:eastAsia="Times New Roman"/>
        </w:rPr>
        <w:t>2</w:t>
      </w:r>
      <w:r>
        <w:t>）项目备案证明；</w:t>
      </w:r>
    </w:p>
    <w:p w14:paraId="6D7D39B0">
      <w:pPr>
        <w:pStyle w:val="10"/>
        <w:spacing w:before="161"/>
        <w:ind w:left="700"/>
      </w:pPr>
      <w:r>
        <w:t>（</w:t>
      </w:r>
      <w:r>
        <w:rPr>
          <w:rFonts w:ascii="Times New Roman" w:eastAsia="Times New Roman"/>
        </w:rPr>
        <w:t>3</w:t>
      </w:r>
      <w:r>
        <w:t>）项目评价执行标准函；</w:t>
      </w:r>
    </w:p>
    <w:p w14:paraId="6519224B">
      <w:pPr>
        <w:pStyle w:val="10"/>
        <w:spacing w:before="160"/>
        <w:ind w:left="700"/>
      </w:pPr>
      <w:r>
        <w:t>（</w:t>
      </w:r>
      <w:r>
        <w:rPr>
          <w:rFonts w:ascii="Times New Roman" w:eastAsia="Times New Roman"/>
        </w:rPr>
        <w:t>4</w:t>
      </w:r>
      <w:r>
        <w:t>）企业提供的其他相关资料。</w:t>
      </w:r>
    </w:p>
    <w:p w14:paraId="1720BD9A">
      <w:pPr>
        <w:pStyle w:val="3"/>
        <w:numPr>
          <w:ilvl w:val="1"/>
          <w:numId w:val="5"/>
        </w:numPr>
        <w:tabs>
          <w:tab w:val="left" w:pos="669"/>
        </w:tabs>
        <w:spacing w:before="199" w:after="0" w:line="240" w:lineRule="auto"/>
        <w:ind w:left="668" w:right="0" w:hanging="448"/>
        <w:jc w:val="left"/>
      </w:pPr>
      <w:bookmarkStart w:id="9" w:name="_TOC_250046"/>
      <w:bookmarkEnd w:id="9"/>
      <w:r>
        <w:t>环境影响要素识别和评价因子筛选</w:t>
      </w:r>
    </w:p>
    <w:p w14:paraId="1BB495B5">
      <w:pPr>
        <w:pStyle w:val="16"/>
        <w:numPr>
          <w:ilvl w:val="2"/>
          <w:numId w:val="5"/>
        </w:numPr>
        <w:tabs>
          <w:tab w:val="left" w:pos="849"/>
        </w:tabs>
        <w:spacing w:before="274" w:after="0" w:line="240" w:lineRule="auto"/>
        <w:ind w:left="848" w:right="0" w:hanging="628"/>
        <w:jc w:val="left"/>
        <w:rPr>
          <w:b/>
          <w:sz w:val="28"/>
        </w:rPr>
      </w:pPr>
      <w:r>
        <w:rPr>
          <w:b/>
          <w:sz w:val="28"/>
        </w:rPr>
        <w:t>环境影响要素识别</w:t>
      </w:r>
    </w:p>
    <w:p w14:paraId="21BEE102">
      <w:pPr>
        <w:pStyle w:val="10"/>
        <w:spacing w:before="233" w:line="364" w:lineRule="auto"/>
        <w:ind w:left="220" w:right="357" w:firstLine="480"/>
        <w:jc w:val="both"/>
      </w:pPr>
      <w:r>
        <w:rPr>
          <w:spacing w:val="-7"/>
        </w:rPr>
        <w:t>经过对项目建设、运行特点的初步分析，结合项目当地的环境特征，对可能</w:t>
      </w:r>
      <w:r>
        <w:rPr>
          <w:spacing w:val="-12"/>
        </w:rPr>
        <w:t>受项目开发、运行影响的环境因素进行了识别，确定了项目建设、运营期对各方面环境可能带来的影响，详见下表。</w:t>
      </w:r>
    </w:p>
    <w:p w14:paraId="5039D748">
      <w:pPr>
        <w:pStyle w:val="9"/>
        <w:ind w:left="2586"/>
      </w:pPr>
      <w:r>
        <w:t xml:space="preserve">表 </w:t>
      </w:r>
      <w:r>
        <w:rPr>
          <w:rFonts w:ascii="Times New Roman" w:eastAsia="Times New Roman"/>
        </w:rPr>
        <w:t xml:space="preserve">1.2-1 </w:t>
      </w:r>
      <w:r>
        <w:t>项目环境影响因素识别表</w:t>
      </w:r>
    </w:p>
    <w:p w14:paraId="1F2C9B7F">
      <w:pPr>
        <w:pStyle w:val="10"/>
        <w:spacing w:before="2"/>
        <w:rPr>
          <w:b/>
          <w:sz w:val="6"/>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1352"/>
        <w:gridCol w:w="735"/>
        <w:gridCol w:w="1045"/>
        <w:gridCol w:w="1045"/>
        <w:gridCol w:w="1045"/>
        <w:gridCol w:w="1045"/>
        <w:gridCol w:w="1309"/>
      </w:tblGrid>
      <w:tr w14:paraId="74E56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3" w:type="dxa"/>
            <w:tcBorders>
              <w:left w:val="nil"/>
            </w:tcBorders>
          </w:tcPr>
          <w:p w14:paraId="69B87604">
            <w:pPr>
              <w:pStyle w:val="17"/>
              <w:spacing w:before="20"/>
              <w:ind w:left="139" w:right="125"/>
              <w:rPr>
                <w:b/>
                <w:sz w:val="21"/>
              </w:rPr>
            </w:pPr>
            <w:r>
              <w:rPr>
                <w:b/>
                <w:sz w:val="21"/>
              </w:rPr>
              <w:t>项目阶</w:t>
            </w:r>
          </w:p>
          <w:p w14:paraId="41114242">
            <w:pPr>
              <w:pStyle w:val="17"/>
              <w:spacing w:before="43"/>
              <w:ind w:left="10"/>
              <w:rPr>
                <w:b/>
                <w:sz w:val="21"/>
              </w:rPr>
            </w:pPr>
            <w:r>
              <w:rPr>
                <w:b/>
                <w:w w:val="99"/>
                <w:sz w:val="21"/>
              </w:rPr>
              <w:t>段</w:t>
            </w:r>
          </w:p>
        </w:tc>
        <w:tc>
          <w:tcPr>
            <w:tcW w:w="1352" w:type="dxa"/>
          </w:tcPr>
          <w:p w14:paraId="2089E57F">
            <w:pPr>
              <w:pStyle w:val="17"/>
              <w:spacing w:before="20"/>
              <w:ind w:left="126" w:right="120"/>
              <w:rPr>
                <w:b/>
                <w:sz w:val="21"/>
              </w:rPr>
            </w:pPr>
            <w:r>
              <w:rPr>
                <w:b/>
                <w:sz w:val="21"/>
              </w:rPr>
              <w:t>影响分析环</w:t>
            </w:r>
          </w:p>
          <w:p w14:paraId="21DF32AF">
            <w:pPr>
              <w:pStyle w:val="17"/>
              <w:spacing w:before="43"/>
              <w:ind w:left="126" w:right="117"/>
              <w:rPr>
                <w:b/>
                <w:sz w:val="21"/>
              </w:rPr>
            </w:pPr>
            <w:r>
              <w:rPr>
                <w:b/>
                <w:sz w:val="21"/>
              </w:rPr>
              <w:t>境要素</w:t>
            </w:r>
          </w:p>
        </w:tc>
        <w:tc>
          <w:tcPr>
            <w:tcW w:w="735" w:type="dxa"/>
          </w:tcPr>
          <w:p w14:paraId="203A7B3C">
            <w:pPr>
              <w:pStyle w:val="17"/>
              <w:spacing w:before="20"/>
              <w:ind w:left="155"/>
              <w:jc w:val="left"/>
              <w:rPr>
                <w:b/>
                <w:sz w:val="21"/>
              </w:rPr>
            </w:pPr>
            <w:r>
              <w:rPr>
                <w:b/>
                <w:w w:val="95"/>
                <w:sz w:val="21"/>
              </w:rPr>
              <w:t>短期</w:t>
            </w:r>
          </w:p>
          <w:p w14:paraId="399B58ED">
            <w:pPr>
              <w:pStyle w:val="17"/>
              <w:spacing w:before="43"/>
              <w:ind w:left="155"/>
              <w:jc w:val="left"/>
              <w:rPr>
                <w:b/>
                <w:sz w:val="21"/>
              </w:rPr>
            </w:pPr>
            <w:r>
              <w:rPr>
                <w:b/>
                <w:w w:val="95"/>
                <w:sz w:val="21"/>
              </w:rPr>
              <w:t>影响</w:t>
            </w:r>
          </w:p>
        </w:tc>
        <w:tc>
          <w:tcPr>
            <w:tcW w:w="1045" w:type="dxa"/>
          </w:tcPr>
          <w:p w14:paraId="3FECBBD5">
            <w:pPr>
              <w:pStyle w:val="17"/>
              <w:spacing w:before="20"/>
              <w:ind w:left="36" w:right="30"/>
              <w:rPr>
                <w:b/>
                <w:sz w:val="21"/>
              </w:rPr>
            </w:pPr>
            <w:r>
              <w:rPr>
                <w:b/>
                <w:sz w:val="21"/>
              </w:rPr>
              <w:t>长期影</w:t>
            </w:r>
          </w:p>
          <w:p w14:paraId="6BA5172D">
            <w:pPr>
              <w:pStyle w:val="17"/>
              <w:spacing w:before="43"/>
              <w:ind w:left="6"/>
              <w:rPr>
                <w:b/>
                <w:sz w:val="21"/>
              </w:rPr>
            </w:pPr>
            <w:r>
              <w:rPr>
                <w:b/>
                <w:w w:val="99"/>
                <w:sz w:val="21"/>
              </w:rPr>
              <w:t>响</w:t>
            </w:r>
          </w:p>
        </w:tc>
        <w:tc>
          <w:tcPr>
            <w:tcW w:w="1045" w:type="dxa"/>
          </w:tcPr>
          <w:p w14:paraId="4D787EEE">
            <w:pPr>
              <w:pStyle w:val="17"/>
              <w:spacing w:before="20"/>
              <w:ind w:left="39" w:right="30"/>
              <w:rPr>
                <w:b/>
                <w:sz w:val="21"/>
              </w:rPr>
            </w:pPr>
            <w:r>
              <w:rPr>
                <w:b/>
                <w:sz w:val="21"/>
              </w:rPr>
              <w:t>直接影</w:t>
            </w:r>
          </w:p>
          <w:p w14:paraId="35BAED80">
            <w:pPr>
              <w:pStyle w:val="17"/>
              <w:spacing w:before="43"/>
              <w:ind w:left="9"/>
              <w:rPr>
                <w:b/>
                <w:sz w:val="21"/>
              </w:rPr>
            </w:pPr>
            <w:r>
              <w:rPr>
                <w:b/>
                <w:w w:val="99"/>
                <w:sz w:val="21"/>
              </w:rPr>
              <w:t>响</w:t>
            </w:r>
          </w:p>
        </w:tc>
        <w:tc>
          <w:tcPr>
            <w:tcW w:w="1045" w:type="dxa"/>
          </w:tcPr>
          <w:p w14:paraId="1787251E">
            <w:pPr>
              <w:pStyle w:val="17"/>
              <w:spacing w:before="20"/>
              <w:ind w:left="37" w:right="30"/>
              <w:rPr>
                <w:b/>
                <w:sz w:val="21"/>
              </w:rPr>
            </w:pPr>
            <w:r>
              <w:rPr>
                <w:b/>
                <w:sz w:val="21"/>
              </w:rPr>
              <w:t>间接影</w:t>
            </w:r>
          </w:p>
          <w:p w14:paraId="04715A37">
            <w:pPr>
              <w:pStyle w:val="17"/>
              <w:spacing w:before="43"/>
              <w:ind w:left="7"/>
              <w:rPr>
                <w:b/>
                <w:sz w:val="21"/>
              </w:rPr>
            </w:pPr>
            <w:r>
              <w:rPr>
                <w:b/>
                <w:w w:val="99"/>
                <w:sz w:val="21"/>
              </w:rPr>
              <w:t>响</w:t>
            </w:r>
          </w:p>
        </w:tc>
        <w:tc>
          <w:tcPr>
            <w:tcW w:w="1045" w:type="dxa"/>
          </w:tcPr>
          <w:p w14:paraId="26B524F6">
            <w:pPr>
              <w:pStyle w:val="17"/>
              <w:spacing w:before="20"/>
              <w:ind w:left="39" w:right="30"/>
              <w:rPr>
                <w:b/>
                <w:sz w:val="21"/>
              </w:rPr>
            </w:pPr>
            <w:r>
              <w:rPr>
                <w:b/>
                <w:sz w:val="21"/>
              </w:rPr>
              <w:t>可逆影</w:t>
            </w:r>
          </w:p>
          <w:p w14:paraId="3B845B76">
            <w:pPr>
              <w:pStyle w:val="17"/>
              <w:spacing w:before="43"/>
              <w:ind w:left="5"/>
              <w:rPr>
                <w:b/>
                <w:sz w:val="21"/>
              </w:rPr>
            </w:pPr>
            <w:r>
              <w:rPr>
                <w:b/>
                <w:w w:val="99"/>
                <w:sz w:val="21"/>
              </w:rPr>
              <w:t>响</w:t>
            </w:r>
          </w:p>
        </w:tc>
        <w:tc>
          <w:tcPr>
            <w:tcW w:w="1309" w:type="dxa"/>
            <w:tcBorders>
              <w:right w:val="nil"/>
            </w:tcBorders>
          </w:tcPr>
          <w:p w14:paraId="7B376D95">
            <w:pPr>
              <w:pStyle w:val="17"/>
              <w:spacing w:before="176"/>
              <w:ind w:left="104" w:right="104"/>
              <w:rPr>
                <w:b/>
                <w:sz w:val="21"/>
              </w:rPr>
            </w:pPr>
            <w:r>
              <w:rPr>
                <w:b/>
                <w:sz w:val="21"/>
              </w:rPr>
              <w:t>不可逆影响</w:t>
            </w:r>
          </w:p>
        </w:tc>
      </w:tr>
      <w:tr w14:paraId="0B404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restart"/>
            <w:tcBorders>
              <w:left w:val="nil"/>
            </w:tcBorders>
          </w:tcPr>
          <w:p w14:paraId="0D19552B">
            <w:pPr>
              <w:pStyle w:val="17"/>
              <w:jc w:val="left"/>
              <w:rPr>
                <w:b/>
                <w:sz w:val="20"/>
              </w:rPr>
            </w:pPr>
          </w:p>
          <w:p w14:paraId="16278B9F">
            <w:pPr>
              <w:pStyle w:val="17"/>
              <w:jc w:val="left"/>
              <w:rPr>
                <w:b/>
                <w:sz w:val="20"/>
              </w:rPr>
            </w:pPr>
          </w:p>
          <w:p w14:paraId="0686D5D6">
            <w:pPr>
              <w:pStyle w:val="17"/>
              <w:jc w:val="left"/>
              <w:rPr>
                <w:b/>
                <w:sz w:val="20"/>
              </w:rPr>
            </w:pPr>
          </w:p>
          <w:p w14:paraId="577608B4">
            <w:pPr>
              <w:pStyle w:val="17"/>
              <w:spacing w:before="2"/>
              <w:jc w:val="left"/>
              <w:rPr>
                <w:b/>
                <w:sz w:val="24"/>
              </w:rPr>
            </w:pPr>
          </w:p>
          <w:p w14:paraId="40122D1D">
            <w:pPr>
              <w:pStyle w:val="17"/>
              <w:ind w:left="160"/>
              <w:jc w:val="left"/>
              <w:rPr>
                <w:sz w:val="21"/>
              </w:rPr>
            </w:pPr>
            <w:r>
              <w:rPr>
                <w:sz w:val="21"/>
              </w:rPr>
              <w:t>运营期</w:t>
            </w:r>
          </w:p>
        </w:tc>
        <w:tc>
          <w:tcPr>
            <w:tcW w:w="1352" w:type="dxa"/>
          </w:tcPr>
          <w:p w14:paraId="048D6C6D">
            <w:pPr>
              <w:pStyle w:val="17"/>
              <w:spacing w:before="34"/>
              <w:ind w:left="126" w:right="117"/>
              <w:rPr>
                <w:sz w:val="21"/>
              </w:rPr>
            </w:pPr>
            <w:r>
              <w:rPr>
                <w:sz w:val="21"/>
              </w:rPr>
              <w:t>环境空气</w:t>
            </w:r>
          </w:p>
        </w:tc>
        <w:tc>
          <w:tcPr>
            <w:tcW w:w="735" w:type="dxa"/>
          </w:tcPr>
          <w:p w14:paraId="7A95F065">
            <w:pPr>
              <w:pStyle w:val="17"/>
              <w:jc w:val="left"/>
              <w:rPr>
                <w:rFonts w:ascii="Times New Roman"/>
                <w:sz w:val="22"/>
              </w:rPr>
            </w:pPr>
          </w:p>
        </w:tc>
        <w:tc>
          <w:tcPr>
            <w:tcW w:w="1045" w:type="dxa"/>
          </w:tcPr>
          <w:p w14:paraId="0FE59156">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14C2001C">
            <w:pPr>
              <w:pStyle w:val="17"/>
              <w:spacing w:before="48"/>
              <w:ind w:left="10"/>
              <w:rPr>
                <w:rFonts w:ascii="Times New Roman" w:hAnsi="Times New Roman"/>
                <w:sz w:val="21"/>
              </w:rPr>
            </w:pPr>
            <w:r>
              <w:rPr>
                <w:rFonts w:ascii="Times New Roman" w:hAnsi="Times New Roman"/>
                <w:w w:val="99"/>
                <w:sz w:val="21"/>
              </w:rPr>
              <w:t>√</w:t>
            </w:r>
          </w:p>
        </w:tc>
        <w:tc>
          <w:tcPr>
            <w:tcW w:w="1045" w:type="dxa"/>
          </w:tcPr>
          <w:p w14:paraId="6C0761A5">
            <w:pPr>
              <w:pStyle w:val="17"/>
              <w:jc w:val="left"/>
              <w:rPr>
                <w:rFonts w:ascii="Times New Roman"/>
                <w:sz w:val="22"/>
              </w:rPr>
            </w:pPr>
          </w:p>
        </w:tc>
        <w:tc>
          <w:tcPr>
            <w:tcW w:w="1045" w:type="dxa"/>
          </w:tcPr>
          <w:p w14:paraId="52750E42">
            <w:pPr>
              <w:pStyle w:val="17"/>
              <w:spacing w:before="48"/>
              <w:ind w:left="6"/>
              <w:rPr>
                <w:rFonts w:ascii="Times New Roman" w:hAnsi="Times New Roman"/>
                <w:sz w:val="21"/>
              </w:rPr>
            </w:pPr>
            <w:r>
              <w:rPr>
                <w:rFonts w:ascii="Times New Roman" w:hAnsi="Times New Roman"/>
                <w:w w:val="99"/>
                <w:sz w:val="21"/>
              </w:rPr>
              <w:t>√</w:t>
            </w:r>
          </w:p>
        </w:tc>
        <w:tc>
          <w:tcPr>
            <w:tcW w:w="1309" w:type="dxa"/>
            <w:tcBorders>
              <w:right w:val="nil"/>
            </w:tcBorders>
          </w:tcPr>
          <w:p w14:paraId="10C88A02">
            <w:pPr>
              <w:pStyle w:val="17"/>
              <w:jc w:val="left"/>
              <w:rPr>
                <w:rFonts w:ascii="Times New Roman"/>
                <w:sz w:val="22"/>
              </w:rPr>
            </w:pPr>
          </w:p>
        </w:tc>
      </w:tr>
      <w:tr w14:paraId="4E695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322C1010">
            <w:pPr>
              <w:rPr>
                <w:sz w:val="2"/>
                <w:szCs w:val="2"/>
              </w:rPr>
            </w:pPr>
          </w:p>
        </w:tc>
        <w:tc>
          <w:tcPr>
            <w:tcW w:w="1352" w:type="dxa"/>
          </w:tcPr>
          <w:p w14:paraId="4C089BF2">
            <w:pPr>
              <w:pStyle w:val="17"/>
              <w:spacing w:before="34"/>
              <w:ind w:left="126" w:right="117"/>
              <w:rPr>
                <w:sz w:val="21"/>
              </w:rPr>
            </w:pPr>
            <w:r>
              <w:rPr>
                <w:sz w:val="21"/>
              </w:rPr>
              <w:t>地表水环境</w:t>
            </w:r>
          </w:p>
        </w:tc>
        <w:tc>
          <w:tcPr>
            <w:tcW w:w="735" w:type="dxa"/>
          </w:tcPr>
          <w:p w14:paraId="536D9C04">
            <w:pPr>
              <w:pStyle w:val="17"/>
              <w:jc w:val="left"/>
              <w:rPr>
                <w:rFonts w:ascii="Times New Roman"/>
                <w:sz w:val="22"/>
              </w:rPr>
            </w:pPr>
          </w:p>
        </w:tc>
        <w:tc>
          <w:tcPr>
            <w:tcW w:w="1045" w:type="dxa"/>
          </w:tcPr>
          <w:p w14:paraId="72DE8730">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22B3EFB1">
            <w:pPr>
              <w:pStyle w:val="17"/>
              <w:spacing w:before="48"/>
              <w:ind w:left="10"/>
              <w:rPr>
                <w:rFonts w:ascii="Times New Roman" w:hAnsi="Times New Roman"/>
                <w:sz w:val="21"/>
              </w:rPr>
            </w:pPr>
            <w:r>
              <w:rPr>
                <w:rFonts w:ascii="Times New Roman" w:hAnsi="Times New Roman"/>
                <w:w w:val="99"/>
                <w:sz w:val="21"/>
              </w:rPr>
              <w:t>√</w:t>
            </w:r>
          </w:p>
        </w:tc>
        <w:tc>
          <w:tcPr>
            <w:tcW w:w="1045" w:type="dxa"/>
          </w:tcPr>
          <w:p w14:paraId="46B5261D">
            <w:pPr>
              <w:pStyle w:val="17"/>
              <w:jc w:val="left"/>
              <w:rPr>
                <w:rFonts w:ascii="Times New Roman"/>
                <w:sz w:val="22"/>
              </w:rPr>
            </w:pPr>
          </w:p>
        </w:tc>
        <w:tc>
          <w:tcPr>
            <w:tcW w:w="1045" w:type="dxa"/>
          </w:tcPr>
          <w:p w14:paraId="7832B348">
            <w:pPr>
              <w:pStyle w:val="17"/>
              <w:spacing w:before="48"/>
              <w:ind w:left="6"/>
              <w:rPr>
                <w:rFonts w:ascii="Times New Roman" w:hAnsi="Times New Roman"/>
                <w:sz w:val="21"/>
              </w:rPr>
            </w:pPr>
            <w:r>
              <w:rPr>
                <w:rFonts w:ascii="Times New Roman" w:hAnsi="Times New Roman"/>
                <w:w w:val="99"/>
                <w:sz w:val="21"/>
              </w:rPr>
              <w:t>√</w:t>
            </w:r>
          </w:p>
        </w:tc>
        <w:tc>
          <w:tcPr>
            <w:tcW w:w="1309" w:type="dxa"/>
            <w:tcBorders>
              <w:right w:val="nil"/>
            </w:tcBorders>
          </w:tcPr>
          <w:p w14:paraId="77503E1E">
            <w:pPr>
              <w:pStyle w:val="17"/>
              <w:jc w:val="left"/>
              <w:rPr>
                <w:rFonts w:ascii="Times New Roman"/>
                <w:sz w:val="22"/>
              </w:rPr>
            </w:pPr>
          </w:p>
        </w:tc>
      </w:tr>
      <w:tr w14:paraId="1BAE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7661B933">
            <w:pPr>
              <w:rPr>
                <w:sz w:val="2"/>
                <w:szCs w:val="2"/>
              </w:rPr>
            </w:pPr>
          </w:p>
        </w:tc>
        <w:tc>
          <w:tcPr>
            <w:tcW w:w="1352" w:type="dxa"/>
          </w:tcPr>
          <w:p w14:paraId="7329D2D3">
            <w:pPr>
              <w:pStyle w:val="17"/>
              <w:spacing w:before="34"/>
              <w:ind w:left="126" w:right="117"/>
              <w:rPr>
                <w:sz w:val="21"/>
              </w:rPr>
            </w:pPr>
            <w:r>
              <w:rPr>
                <w:sz w:val="21"/>
              </w:rPr>
              <w:t>地下水环境</w:t>
            </w:r>
          </w:p>
        </w:tc>
        <w:tc>
          <w:tcPr>
            <w:tcW w:w="735" w:type="dxa"/>
          </w:tcPr>
          <w:p w14:paraId="33B55870">
            <w:pPr>
              <w:pStyle w:val="17"/>
              <w:jc w:val="left"/>
              <w:rPr>
                <w:rFonts w:ascii="Times New Roman"/>
                <w:sz w:val="22"/>
              </w:rPr>
            </w:pPr>
          </w:p>
        </w:tc>
        <w:tc>
          <w:tcPr>
            <w:tcW w:w="1045" w:type="dxa"/>
          </w:tcPr>
          <w:p w14:paraId="7DB88AD2">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748EBF19">
            <w:pPr>
              <w:pStyle w:val="17"/>
              <w:jc w:val="left"/>
              <w:rPr>
                <w:rFonts w:ascii="Times New Roman"/>
                <w:sz w:val="22"/>
              </w:rPr>
            </w:pPr>
          </w:p>
        </w:tc>
        <w:tc>
          <w:tcPr>
            <w:tcW w:w="1045" w:type="dxa"/>
          </w:tcPr>
          <w:p w14:paraId="17357299">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0A3A14D9">
            <w:pPr>
              <w:pStyle w:val="17"/>
              <w:jc w:val="left"/>
              <w:rPr>
                <w:rFonts w:ascii="Times New Roman"/>
                <w:sz w:val="22"/>
              </w:rPr>
            </w:pPr>
          </w:p>
        </w:tc>
        <w:tc>
          <w:tcPr>
            <w:tcW w:w="1309" w:type="dxa"/>
            <w:tcBorders>
              <w:right w:val="nil"/>
            </w:tcBorders>
          </w:tcPr>
          <w:p w14:paraId="71AEF726">
            <w:pPr>
              <w:pStyle w:val="17"/>
              <w:spacing w:before="48"/>
              <w:ind w:left="4"/>
              <w:rPr>
                <w:rFonts w:ascii="Times New Roman" w:hAnsi="Times New Roman"/>
                <w:sz w:val="21"/>
              </w:rPr>
            </w:pPr>
            <w:r>
              <w:rPr>
                <w:rFonts w:ascii="Times New Roman" w:hAnsi="Times New Roman"/>
                <w:w w:val="99"/>
                <w:sz w:val="21"/>
              </w:rPr>
              <w:t>√</w:t>
            </w:r>
          </w:p>
        </w:tc>
      </w:tr>
      <w:tr w14:paraId="408EE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continue"/>
            <w:tcBorders>
              <w:top w:val="nil"/>
              <w:left w:val="nil"/>
            </w:tcBorders>
          </w:tcPr>
          <w:p w14:paraId="6BAB961A">
            <w:pPr>
              <w:rPr>
                <w:sz w:val="2"/>
                <w:szCs w:val="2"/>
              </w:rPr>
            </w:pPr>
          </w:p>
        </w:tc>
        <w:tc>
          <w:tcPr>
            <w:tcW w:w="1352" w:type="dxa"/>
          </w:tcPr>
          <w:p w14:paraId="245E6A5D">
            <w:pPr>
              <w:pStyle w:val="17"/>
              <w:spacing w:before="34"/>
              <w:ind w:left="126" w:right="117"/>
              <w:rPr>
                <w:sz w:val="21"/>
              </w:rPr>
            </w:pPr>
            <w:r>
              <w:rPr>
                <w:sz w:val="21"/>
              </w:rPr>
              <w:t>土壤环境</w:t>
            </w:r>
          </w:p>
        </w:tc>
        <w:tc>
          <w:tcPr>
            <w:tcW w:w="735" w:type="dxa"/>
          </w:tcPr>
          <w:p w14:paraId="2B514B69">
            <w:pPr>
              <w:pStyle w:val="17"/>
              <w:jc w:val="left"/>
              <w:rPr>
                <w:rFonts w:ascii="Times New Roman"/>
                <w:sz w:val="22"/>
              </w:rPr>
            </w:pPr>
          </w:p>
        </w:tc>
        <w:tc>
          <w:tcPr>
            <w:tcW w:w="1045" w:type="dxa"/>
          </w:tcPr>
          <w:p w14:paraId="70E123DE">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1D9C9CBF">
            <w:pPr>
              <w:pStyle w:val="17"/>
              <w:spacing w:before="48"/>
              <w:ind w:left="10"/>
              <w:rPr>
                <w:rFonts w:ascii="Times New Roman" w:hAnsi="Times New Roman"/>
                <w:sz w:val="21"/>
              </w:rPr>
            </w:pPr>
            <w:r>
              <w:rPr>
                <w:rFonts w:ascii="Times New Roman" w:hAnsi="Times New Roman"/>
                <w:w w:val="99"/>
                <w:sz w:val="21"/>
              </w:rPr>
              <w:t>√</w:t>
            </w:r>
          </w:p>
        </w:tc>
        <w:tc>
          <w:tcPr>
            <w:tcW w:w="1045" w:type="dxa"/>
          </w:tcPr>
          <w:p w14:paraId="452C640E">
            <w:pPr>
              <w:pStyle w:val="17"/>
              <w:jc w:val="left"/>
              <w:rPr>
                <w:rFonts w:ascii="Times New Roman"/>
                <w:sz w:val="22"/>
              </w:rPr>
            </w:pPr>
          </w:p>
        </w:tc>
        <w:tc>
          <w:tcPr>
            <w:tcW w:w="1045" w:type="dxa"/>
          </w:tcPr>
          <w:p w14:paraId="5504EEDE">
            <w:pPr>
              <w:pStyle w:val="17"/>
              <w:jc w:val="left"/>
              <w:rPr>
                <w:rFonts w:ascii="Times New Roman"/>
                <w:sz w:val="22"/>
              </w:rPr>
            </w:pPr>
          </w:p>
        </w:tc>
        <w:tc>
          <w:tcPr>
            <w:tcW w:w="1309" w:type="dxa"/>
            <w:tcBorders>
              <w:right w:val="nil"/>
            </w:tcBorders>
          </w:tcPr>
          <w:p w14:paraId="3202D33F">
            <w:pPr>
              <w:pStyle w:val="17"/>
              <w:jc w:val="left"/>
              <w:rPr>
                <w:rFonts w:ascii="Times New Roman"/>
                <w:sz w:val="22"/>
              </w:rPr>
            </w:pPr>
          </w:p>
        </w:tc>
      </w:tr>
      <w:tr w14:paraId="4B0C0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3CFAFE5F">
            <w:pPr>
              <w:rPr>
                <w:sz w:val="2"/>
                <w:szCs w:val="2"/>
              </w:rPr>
            </w:pPr>
          </w:p>
        </w:tc>
        <w:tc>
          <w:tcPr>
            <w:tcW w:w="1352" w:type="dxa"/>
          </w:tcPr>
          <w:p w14:paraId="6A581458">
            <w:pPr>
              <w:pStyle w:val="17"/>
              <w:spacing w:before="34"/>
              <w:ind w:left="126" w:right="120"/>
              <w:rPr>
                <w:sz w:val="21"/>
              </w:rPr>
            </w:pPr>
            <w:r>
              <w:rPr>
                <w:sz w:val="21"/>
              </w:rPr>
              <w:t>声环境</w:t>
            </w:r>
          </w:p>
        </w:tc>
        <w:tc>
          <w:tcPr>
            <w:tcW w:w="735" w:type="dxa"/>
          </w:tcPr>
          <w:p w14:paraId="0072138B">
            <w:pPr>
              <w:pStyle w:val="17"/>
              <w:jc w:val="left"/>
              <w:rPr>
                <w:rFonts w:ascii="Times New Roman"/>
                <w:sz w:val="22"/>
              </w:rPr>
            </w:pPr>
          </w:p>
        </w:tc>
        <w:tc>
          <w:tcPr>
            <w:tcW w:w="1045" w:type="dxa"/>
          </w:tcPr>
          <w:p w14:paraId="2E33EFE8">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3734BF59">
            <w:pPr>
              <w:pStyle w:val="17"/>
              <w:spacing w:before="48"/>
              <w:ind w:left="10"/>
              <w:rPr>
                <w:rFonts w:ascii="Times New Roman" w:hAnsi="Times New Roman"/>
                <w:sz w:val="21"/>
              </w:rPr>
            </w:pPr>
            <w:r>
              <w:rPr>
                <w:rFonts w:ascii="Times New Roman" w:hAnsi="Times New Roman"/>
                <w:w w:val="99"/>
                <w:sz w:val="21"/>
              </w:rPr>
              <w:t>√</w:t>
            </w:r>
          </w:p>
        </w:tc>
        <w:tc>
          <w:tcPr>
            <w:tcW w:w="1045" w:type="dxa"/>
          </w:tcPr>
          <w:p w14:paraId="2C585778">
            <w:pPr>
              <w:pStyle w:val="17"/>
              <w:jc w:val="left"/>
              <w:rPr>
                <w:rFonts w:ascii="Times New Roman"/>
                <w:sz w:val="22"/>
              </w:rPr>
            </w:pPr>
          </w:p>
        </w:tc>
        <w:tc>
          <w:tcPr>
            <w:tcW w:w="1045" w:type="dxa"/>
          </w:tcPr>
          <w:p w14:paraId="5C6F1895">
            <w:pPr>
              <w:pStyle w:val="17"/>
              <w:spacing w:before="48"/>
              <w:ind w:left="6"/>
              <w:rPr>
                <w:rFonts w:ascii="Times New Roman" w:hAnsi="Times New Roman"/>
                <w:sz w:val="21"/>
              </w:rPr>
            </w:pPr>
            <w:r>
              <w:rPr>
                <w:rFonts w:ascii="Times New Roman" w:hAnsi="Times New Roman"/>
                <w:w w:val="99"/>
                <w:sz w:val="21"/>
              </w:rPr>
              <w:t>√</w:t>
            </w:r>
          </w:p>
        </w:tc>
        <w:tc>
          <w:tcPr>
            <w:tcW w:w="1309" w:type="dxa"/>
            <w:tcBorders>
              <w:right w:val="nil"/>
            </w:tcBorders>
          </w:tcPr>
          <w:p w14:paraId="03FE799E">
            <w:pPr>
              <w:pStyle w:val="17"/>
              <w:jc w:val="left"/>
              <w:rPr>
                <w:rFonts w:ascii="Times New Roman"/>
                <w:sz w:val="22"/>
              </w:rPr>
            </w:pPr>
          </w:p>
        </w:tc>
      </w:tr>
      <w:tr w14:paraId="6A766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43" w:type="dxa"/>
            <w:vMerge w:val="continue"/>
            <w:tcBorders>
              <w:top w:val="nil"/>
              <w:left w:val="nil"/>
            </w:tcBorders>
          </w:tcPr>
          <w:p w14:paraId="4F604631">
            <w:pPr>
              <w:rPr>
                <w:sz w:val="2"/>
                <w:szCs w:val="2"/>
              </w:rPr>
            </w:pPr>
          </w:p>
        </w:tc>
        <w:tc>
          <w:tcPr>
            <w:tcW w:w="1352" w:type="dxa"/>
          </w:tcPr>
          <w:p w14:paraId="294E7454">
            <w:pPr>
              <w:pStyle w:val="17"/>
              <w:spacing w:before="34"/>
              <w:ind w:left="126" w:right="117"/>
              <w:rPr>
                <w:sz w:val="21"/>
              </w:rPr>
            </w:pPr>
            <w:r>
              <w:rPr>
                <w:sz w:val="21"/>
              </w:rPr>
              <w:t>生态环境</w:t>
            </w:r>
          </w:p>
        </w:tc>
        <w:tc>
          <w:tcPr>
            <w:tcW w:w="735" w:type="dxa"/>
          </w:tcPr>
          <w:p w14:paraId="23515D0A">
            <w:pPr>
              <w:pStyle w:val="17"/>
              <w:jc w:val="left"/>
              <w:rPr>
                <w:rFonts w:ascii="Times New Roman"/>
                <w:sz w:val="22"/>
              </w:rPr>
            </w:pPr>
          </w:p>
        </w:tc>
        <w:tc>
          <w:tcPr>
            <w:tcW w:w="1045" w:type="dxa"/>
          </w:tcPr>
          <w:p w14:paraId="66FB4254">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4420A363">
            <w:pPr>
              <w:pStyle w:val="17"/>
              <w:jc w:val="left"/>
              <w:rPr>
                <w:rFonts w:ascii="Times New Roman"/>
                <w:sz w:val="22"/>
              </w:rPr>
            </w:pPr>
          </w:p>
        </w:tc>
        <w:tc>
          <w:tcPr>
            <w:tcW w:w="1045" w:type="dxa"/>
          </w:tcPr>
          <w:p w14:paraId="004EB415">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542BAEF3">
            <w:pPr>
              <w:pStyle w:val="17"/>
              <w:jc w:val="left"/>
              <w:rPr>
                <w:rFonts w:ascii="Times New Roman"/>
                <w:sz w:val="22"/>
              </w:rPr>
            </w:pPr>
          </w:p>
        </w:tc>
        <w:tc>
          <w:tcPr>
            <w:tcW w:w="1309" w:type="dxa"/>
            <w:tcBorders>
              <w:right w:val="nil"/>
            </w:tcBorders>
          </w:tcPr>
          <w:p w14:paraId="42169DB1">
            <w:pPr>
              <w:pStyle w:val="17"/>
              <w:spacing w:before="48"/>
              <w:ind w:left="4"/>
              <w:rPr>
                <w:rFonts w:ascii="Times New Roman" w:hAnsi="Times New Roman"/>
                <w:sz w:val="21"/>
              </w:rPr>
            </w:pPr>
            <w:r>
              <w:rPr>
                <w:rFonts w:ascii="Times New Roman" w:hAnsi="Times New Roman"/>
                <w:w w:val="99"/>
                <w:sz w:val="21"/>
              </w:rPr>
              <w:t>√</w:t>
            </w:r>
          </w:p>
        </w:tc>
      </w:tr>
      <w:tr w14:paraId="74675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43" w:type="dxa"/>
            <w:vMerge w:val="continue"/>
            <w:tcBorders>
              <w:top w:val="nil"/>
              <w:left w:val="nil"/>
            </w:tcBorders>
          </w:tcPr>
          <w:p w14:paraId="6B05CDE6">
            <w:pPr>
              <w:rPr>
                <w:sz w:val="2"/>
                <w:szCs w:val="2"/>
              </w:rPr>
            </w:pPr>
          </w:p>
        </w:tc>
        <w:tc>
          <w:tcPr>
            <w:tcW w:w="1352" w:type="dxa"/>
          </w:tcPr>
          <w:p w14:paraId="44D31991">
            <w:pPr>
              <w:pStyle w:val="17"/>
              <w:spacing w:before="34"/>
              <w:ind w:left="126" w:right="117"/>
              <w:rPr>
                <w:sz w:val="21"/>
              </w:rPr>
            </w:pPr>
            <w:r>
              <w:rPr>
                <w:sz w:val="21"/>
              </w:rPr>
              <w:t>人群健康</w:t>
            </w:r>
          </w:p>
        </w:tc>
        <w:tc>
          <w:tcPr>
            <w:tcW w:w="735" w:type="dxa"/>
          </w:tcPr>
          <w:p w14:paraId="59647CCE">
            <w:pPr>
              <w:pStyle w:val="17"/>
              <w:jc w:val="left"/>
              <w:rPr>
                <w:rFonts w:ascii="Times New Roman"/>
                <w:sz w:val="22"/>
              </w:rPr>
            </w:pPr>
          </w:p>
        </w:tc>
        <w:tc>
          <w:tcPr>
            <w:tcW w:w="1045" w:type="dxa"/>
          </w:tcPr>
          <w:p w14:paraId="1A07D2E7">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25588C11">
            <w:pPr>
              <w:pStyle w:val="17"/>
              <w:jc w:val="left"/>
              <w:rPr>
                <w:rFonts w:ascii="Times New Roman"/>
                <w:sz w:val="22"/>
              </w:rPr>
            </w:pPr>
          </w:p>
        </w:tc>
        <w:tc>
          <w:tcPr>
            <w:tcW w:w="1045" w:type="dxa"/>
          </w:tcPr>
          <w:p w14:paraId="7C38BFEB">
            <w:pPr>
              <w:pStyle w:val="17"/>
              <w:spacing w:before="48"/>
              <w:ind w:left="8"/>
              <w:rPr>
                <w:rFonts w:ascii="Times New Roman" w:hAnsi="Times New Roman"/>
                <w:sz w:val="21"/>
              </w:rPr>
            </w:pPr>
            <w:r>
              <w:rPr>
                <w:rFonts w:ascii="Times New Roman" w:hAnsi="Times New Roman"/>
                <w:w w:val="99"/>
                <w:sz w:val="21"/>
              </w:rPr>
              <w:t>√</w:t>
            </w:r>
          </w:p>
        </w:tc>
        <w:tc>
          <w:tcPr>
            <w:tcW w:w="1045" w:type="dxa"/>
          </w:tcPr>
          <w:p w14:paraId="7E4BFDE6">
            <w:pPr>
              <w:pStyle w:val="17"/>
              <w:spacing w:before="48"/>
              <w:ind w:left="6"/>
              <w:rPr>
                <w:rFonts w:ascii="Times New Roman" w:hAnsi="Times New Roman"/>
                <w:sz w:val="21"/>
              </w:rPr>
            </w:pPr>
            <w:r>
              <w:rPr>
                <w:rFonts w:ascii="Times New Roman" w:hAnsi="Times New Roman"/>
                <w:w w:val="99"/>
                <w:sz w:val="21"/>
              </w:rPr>
              <w:t>√</w:t>
            </w:r>
          </w:p>
        </w:tc>
        <w:tc>
          <w:tcPr>
            <w:tcW w:w="1309" w:type="dxa"/>
            <w:tcBorders>
              <w:right w:val="nil"/>
            </w:tcBorders>
          </w:tcPr>
          <w:p w14:paraId="46D5464F">
            <w:pPr>
              <w:pStyle w:val="17"/>
              <w:jc w:val="left"/>
              <w:rPr>
                <w:rFonts w:ascii="Times New Roman"/>
                <w:sz w:val="22"/>
              </w:rPr>
            </w:pPr>
          </w:p>
        </w:tc>
      </w:tr>
    </w:tbl>
    <w:p w14:paraId="37728308">
      <w:pPr>
        <w:pStyle w:val="16"/>
        <w:numPr>
          <w:ilvl w:val="2"/>
          <w:numId w:val="5"/>
        </w:numPr>
        <w:tabs>
          <w:tab w:val="left" w:pos="849"/>
        </w:tabs>
        <w:spacing w:before="154" w:after="0" w:line="240" w:lineRule="auto"/>
        <w:ind w:left="848" w:right="0" w:hanging="628"/>
        <w:jc w:val="left"/>
        <w:rPr>
          <w:b/>
          <w:sz w:val="28"/>
        </w:rPr>
      </w:pPr>
      <w:r>
        <w:rPr>
          <w:b/>
          <w:sz w:val="28"/>
        </w:rPr>
        <w:t>评价因子筛选</w:t>
      </w:r>
    </w:p>
    <w:p w14:paraId="7D421B32">
      <w:pPr>
        <w:pStyle w:val="10"/>
        <w:spacing w:before="234" w:line="364" w:lineRule="auto"/>
        <w:ind w:left="220" w:right="357" w:firstLine="480"/>
        <w:jc w:val="both"/>
      </w:pPr>
      <w:r>
        <w:rPr>
          <w:spacing w:val="-6"/>
        </w:rPr>
        <w:t>根据环境影响要素初步识别结果，结合各生产环节的排污特征，所排放污染</w:t>
      </w:r>
      <w:r>
        <w:rPr>
          <w:spacing w:val="-12"/>
        </w:rPr>
        <w:t>物对环境危害的性质，对所识别的环境影响要素做进一步分析，将工程建设对环</w:t>
      </w:r>
      <w:r>
        <w:rPr>
          <w:spacing w:val="-14"/>
        </w:rPr>
        <w:t>境的危害相对较大，对环境影响较为突出的污染因子作为评价因子。确定本项目评价因子见下表。</w:t>
      </w:r>
    </w:p>
    <w:p w14:paraId="16ECD6A6">
      <w:pPr>
        <w:pStyle w:val="9"/>
        <w:ind w:left="0" w:right="140"/>
        <w:jc w:val="center"/>
      </w:pPr>
      <w:r>
        <w:rPr>
          <w:spacing w:val="-31"/>
        </w:rPr>
        <w:t xml:space="preserve">表 </w:t>
      </w:r>
      <w:r>
        <w:rPr>
          <w:rFonts w:ascii="Times New Roman" w:eastAsia="Times New Roman"/>
        </w:rPr>
        <w:t>1.2-2</w:t>
      </w:r>
      <w:r>
        <w:rPr>
          <w:rFonts w:ascii="Times New Roman" w:eastAsia="Times New Roman"/>
          <w:spacing w:val="58"/>
        </w:rPr>
        <w:t xml:space="preserve"> </w:t>
      </w:r>
      <w:r>
        <w:t>评价因子筛选</w:t>
      </w:r>
    </w:p>
    <w:p w14:paraId="7A6ED5DD">
      <w:pPr>
        <w:pStyle w:val="10"/>
        <w:spacing w:before="2"/>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3167"/>
        <w:gridCol w:w="2200"/>
        <w:gridCol w:w="2395"/>
      </w:tblGrid>
      <w:tr w14:paraId="7C90A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tcBorders>
              <w:left w:val="nil"/>
            </w:tcBorders>
          </w:tcPr>
          <w:p w14:paraId="57C5EA80">
            <w:pPr>
              <w:pStyle w:val="17"/>
              <w:spacing w:before="20"/>
              <w:ind w:left="171"/>
              <w:jc w:val="left"/>
              <w:rPr>
                <w:sz w:val="21"/>
              </w:rPr>
            </w:pPr>
            <w:r>
              <w:rPr>
                <w:w w:val="95"/>
                <w:sz w:val="21"/>
              </w:rPr>
              <w:t>评价</w:t>
            </w:r>
          </w:p>
          <w:p w14:paraId="1E5A30D4">
            <w:pPr>
              <w:pStyle w:val="17"/>
              <w:spacing w:before="43"/>
              <w:ind w:left="171"/>
              <w:jc w:val="left"/>
              <w:rPr>
                <w:sz w:val="21"/>
              </w:rPr>
            </w:pPr>
            <w:r>
              <w:rPr>
                <w:w w:val="95"/>
                <w:sz w:val="21"/>
              </w:rPr>
              <w:t>要素</w:t>
            </w:r>
          </w:p>
        </w:tc>
        <w:tc>
          <w:tcPr>
            <w:tcW w:w="3167" w:type="dxa"/>
          </w:tcPr>
          <w:p w14:paraId="15B26DF8">
            <w:pPr>
              <w:pStyle w:val="17"/>
              <w:spacing w:before="176"/>
              <w:ind w:left="532"/>
              <w:jc w:val="left"/>
              <w:rPr>
                <w:sz w:val="21"/>
              </w:rPr>
            </w:pPr>
            <w:r>
              <w:rPr>
                <w:sz w:val="21"/>
              </w:rPr>
              <w:t>环境质量现状评价因子</w:t>
            </w:r>
          </w:p>
        </w:tc>
        <w:tc>
          <w:tcPr>
            <w:tcW w:w="2200" w:type="dxa"/>
          </w:tcPr>
          <w:p w14:paraId="1E498084">
            <w:pPr>
              <w:pStyle w:val="17"/>
              <w:spacing w:before="176"/>
              <w:ind w:left="680"/>
              <w:jc w:val="left"/>
              <w:rPr>
                <w:sz w:val="21"/>
              </w:rPr>
            </w:pPr>
            <w:r>
              <w:rPr>
                <w:sz w:val="21"/>
              </w:rPr>
              <w:t>污染因子</w:t>
            </w:r>
          </w:p>
        </w:tc>
        <w:tc>
          <w:tcPr>
            <w:tcW w:w="2395" w:type="dxa"/>
            <w:tcBorders>
              <w:right w:val="nil"/>
            </w:tcBorders>
          </w:tcPr>
          <w:p w14:paraId="5002F615">
            <w:pPr>
              <w:pStyle w:val="17"/>
              <w:spacing w:before="176"/>
              <w:ind w:left="565"/>
              <w:jc w:val="left"/>
              <w:rPr>
                <w:sz w:val="21"/>
              </w:rPr>
            </w:pPr>
            <w:r>
              <w:rPr>
                <w:sz w:val="21"/>
              </w:rPr>
              <w:t>影响预测因子</w:t>
            </w:r>
          </w:p>
        </w:tc>
      </w:tr>
      <w:tr w14:paraId="329CE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57" w:type="dxa"/>
            <w:tcBorders>
              <w:left w:val="nil"/>
            </w:tcBorders>
          </w:tcPr>
          <w:p w14:paraId="38A17809">
            <w:pPr>
              <w:pStyle w:val="17"/>
              <w:spacing w:before="176" w:line="278" w:lineRule="auto"/>
              <w:ind w:left="171" w:right="160"/>
              <w:jc w:val="left"/>
              <w:rPr>
                <w:sz w:val="21"/>
              </w:rPr>
            </w:pPr>
            <w:r>
              <w:rPr>
                <w:w w:val="95"/>
                <w:sz w:val="21"/>
              </w:rPr>
              <w:t>大气环境</w:t>
            </w:r>
          </w:p>
        </w:tc>
        <w:tc>
          <w:tcPr>
            <w:tcW w:w="3167" w:type="dxa"/>
          </w:tcPr>
          <w:p w14:paraId="2A42A7E5">
            <w:pPr>
              <w:pStyle w:val="17"/>
              <w:spacing w:before="175"/>
              <w:ind w:left="101" w:right="95"/>
              <w:rPr>
                <w:sz w:val="21"/>
              </w:rPr>
            </w:pPr>
            <w:r>
              <w:rPr>
                <w:position w:val="2"/>
                <w:sz w:val="21"/>
              </w:rPr>
              <w:t>：</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CO</w:t>
            </w:r>
            <w:r>
              <w:rPr>
                <w:position w:val="2"/>
                <w:sz w:val="21"/>
                <w:vertAlign w:val="baseline"/>
              </w:rPr>
              <w:t>、</w:t>
            </w:r>
            <w:r>
              <w:rPr>
                <w:rFonts w:ascii="Times New Roman" w:eastAsia="Times New Roman"/>
                <w:position w:val="2"/>
                <w:sz w:val="21"/>
                <w:vertAlign w:val="baseline"/>
              </w:rPr>
              <w:t>O</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PM</w:t>
            </w:r>
            <w:r>
              <w:rPr>
                <w:rFonts w:ascii="Times New Roman" w:eastAsia="Times New Roman"/>
                <w:position w:val="2"/>
                <w:sz w:val="21"/>
                <w:vertAlign w:val="subscript"/>
              </w:rPr>
              <w:t>10</w:t>
            </w:r>
            <w:r>
              <w:rPr>
                <w:position w:val="2"/>
                <w:sz w:val="21"/>
                <w:vertAlign w:val="baseline"/>
              </w:rPr>
              <w:t>、</w:t>
            </w:r>
          </w:p>
          <w:p w14:paraId="3F40E86A">
            <w:pPr>
              <w:pStyle w:val="17"/>
              <w:spacing w:before="36"/>
              <w:ind w:left="101" w:right="95"/>
              <w:rPr>
                <w:sz w:val="21"/>
              </w:rPr>
            </w:pPr>
            <w:r>
              <w:rPr>
                <w:rFonts w:ascii="Times New Roman" w:eastAsia="Times New Roman"/>
                <w:position w:val="2"/>
                <w:sz w:val="21"/>
              </w:rPr>
              <w:t>PM</w:t>
            </w:r>
            <w:r>
              <w:rPr>
                <w:rFonts w:ascii="Times New Roman" w:eastAsia="Times New Roman"/>
                <w:position w:val="2"/>
                <w:sz w:val="21"/>
                <w:vertAlign w:val="subscript"/>
              </w:rPr>
              <w:t>2.5</w:t>
            </w:r>
            <w:r>
              <w:rPr>
                <w:position w:val="2"/>
                <w:sz w:val="21"/>
                <w:vertAlign w:val="baseline"/>
              </w:rPr>
              <w:t>、</w:t>
            </w:r>
            <w:r>
              <w:rPr>
                <w:rFonts w:ascii="Times New Roman" w:eastAsia="Times New Roman"/>
                <w:position w:val="2"/>
                <w:sz w:val="21"/>
                <w:vertAlign w:val="baseline"/>
              </w:rPr>
              <w:t>TSP</w:t>
            </w:r>
            <w:r>
              <w:rPr>
                <w:position w:val="2"/>
                <w:sz w:val="21"/>
                <w:vertAlign w:val="baseline"/>
              </w:rPr>
              <w:t>、非甲烷总烃</w:t>
            </w:r>
          </w:p>
        </w:tc>
        <w:tc>
          <w:tcPr>
            <w:tcW w:w="2200" w:type="dxa"/>
          </w:tcPr>
          <w:p w14:paraId="24E03CB5">
            <w:pPr>
              <w:pStyle w:val="17"/>
              <w:spacing w:before="20" w:line="278" w:lineRule="auto"/>
              <w:ind w:left="154" w:right="144" w:hanging="1"/>
              <w:rPr>
                <w:sz w:val="21"/>
              </w:rPr>
            </w:pPr>
            <w:r>
              <w:rPr>
                <w:w w:val="95"/>
                <w:sz w:val="21"/>
              </w:rPr>
              <w:t>颗粒物、挥发性有机物（以非甲烷总烃表</w:t>
            </w:r>
          </w:p>
          <w:p w14:paraId="032AD632">
            <w:pPr>
              <w:pStyle w:val="17"/>
              <w:spacing w:line="269" w:lineRule="exact"/>
              <w:ind w:left="132" w:right="126"/>
              <w:rPr>
                <w:sz w:val="21"/>
              </w:rPr>
            </w:pPr>
            <w:r>
              <w:rPr>
                <w:sz w:val="21"/>
              </w:rPr>
              <w:t>征）、臭气浓度</w:t>
            </w:r>
          </w:p>
        </w:tc>
        <w:tc>
          <w:tcPr>
            <w:tcW w:w="2395" w:type="dxa"/>
            <w:tcBorders>
              <w:right w:val="nil"/>
            </w:tcBorders>
          </w:tcPr>
          <w:p w14:paraId="5E9EEFB3">
            <w:pPr>
              <w:pStyle w:val="17"/>
              <w:spacing w:before="175" w:line="273" w:lineRule="auto"/>
              <w:ind w:left="107" w:right="-15"/>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spacing w:val="-46"/>
                <w:position w:val="2"/>
                <w:sz w:val="21"/>
                <w:vertAlign w:val="baseline"/>
              </w:rPr>
              <w:t>、</w:t>
            </w:r>
            <w:r>
              <w:rPr>
                <w:rFonts w:ascii="Times New Roman" w:eastAsia="Times New Roman"/>
                <w:position w:val="2"/>
                <w:sz w:val="21"/>
                <w:vertAlign w:val="baseline"/>
              </w:rPr>
              <w:t>TSP</w:t>
            </w:r>
            <w:r>
              <w:rPr>
                <w:spacing w:val="-9"/>
                <w:position w:val="2"/>
                <w:sz w:val="21"/>
                <w:vertAlign w:val="baseline"/>
              </w:rPr>
              <w:t>、挥发性有机</w:t>
            </w:r>
            <w:r>
              <w:rPr>
                <w:spacing w:val="-25"/>
                <w:sz w:val="21"/>
                <w:vertAlign w:val="baseline"/>
              </w:rPr>
              <w:t>物</w:t>
            </w:r>
            <w:r>
              <w:rPr>
                <w:sz w:val="21"/>
                <w:vertAlign w:val="baseline"/>
              </w:rPr>
              <w:t>（以非甲烷总烃表征）</w:t>
            </w:r>
          </w:p>
        </w:tc>
      </w:tr>
    </w:tbl>
    <w:p w14:paraId="74B52FEF">
      <w:pPr>
        <w:spacing w:after="0" w:line="273" w:lineRule="auto"/>
        <w:jc w:val="left"/>
        <w:rPr>
          <w:sz w:val="21"/>
        </w:rPr>
        <w:sectPr>
          <w:footerReference r:id="rId8" w:type="default"/>
          <w:pgSz w:w="11910" w:h="16840"/>
          <w:pgMar w:top="1440" w:right="1440" w:bottom="1220" w:left="1580" w:header="0" w:footer="1024" w:gutter="0"/>
          <w:pgNumType w:start="3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3167"/>
        <w:gridCol w:w="2200"/>
        <w:gridCol w:w="2395"/>
      </w:tblGrid>
      <w:tr w14:paraId="12716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57" w:type="dxa"/>
            <w:tcBorders>
              <w:left w:val="nil"/>
            </w:tcBorders>
          </w:tcPr>
          <w:p w14:paraId="51EB7DC8">
            <w:pPr>
              <w:pStyle w:val="17"/>
              <w:jc w:val="left"/>
              <w:rPr>
                <w:b/>
                <w:sz w:val="26"/>
              </w:rPr>
            </w:pPr>
          </w:p>
          <w:p w14:paraId="0A9C6C74">
            <w:pPr>
              <w:pStyle w:val="17"/>
              <w:spacing w:line="278" w:lineRule="auto"/>
              <w:ind w:left="171" w:right="160"/>
              <w:jc w:val="both"/>
              <w:rPr>
                <w:sz w:val="21"/>
              </w:rPr>
            </w:pPr>
            <w:r>
              <w:rPr>
                <w:w w:val="95"/>
                <w:sz w:val="21"/>
              </w:rPr>
              <w:t>地表水环</w:t>
            </w:r>
            <w:r>
              <w:rPr>
                <w:sz w:val="21"/>
              </w:rPr>
              <w:t>境</w:t>
            </w:r>
          </w:p>
        </w:tc>
        <w:tc>
          <w:tcPr>
            <w:tcW w:w="3167" w:type="dxa"/>
          </w:tcPr>
          <w:p w14:paraId="5F9C069B">
            <w:pPr>
              <w:pStyle w:val="17"/>
              <w:spacing w:before="18" w:line="278" w:lineRule="auto"/>
              <w:ind w:left="108" w:right="-15"/>
              <w:jc w:val="left"/>
              <w:rPr>
                <w:sz w:val="21"/>
              </w:rPr>
            </w:pPr>
            <w:r>
              <w:rPr>
                <w:rFonts w:ascii="Times New Roman" w:eastAsia="Times New Roman"/>
                <w:w w:val="95"/>
                <w:position w:val="2"/>
                <w:sz w:val="21"/>
              </w:rPr>
              <w:t>pH</w:t>
            </w:r>
            <w:r>
              <w:rPr>
                <w:spacing w:val="-26"/>
                <w:w w:val="95"/>
                <w:position w:val="2"/>
                <w:sz w:val="21"/>
              </w:rPr>
              <w:t>、水温、溶解氧、</w:t>
            </w:r>
            <w:r>
              <w:rPr>
                <w:rFonts w:ascii="Times New Roman" w:eastAsia="Times New Roman"/>
                <w:w w:val="95"/>
                <w:position w:val="2"/>
                <w:sz w:val="21"/>
              </w:rPr>
              <w:t>COD</w:t>
            </w:r>
            <w:r>
              <w:rPr>
                <w:spacing w:val="-63"/>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sz w:val="21"/>
                <w:vertAlign w:val="baseline"/>
              </w:rPr>
              <w:t>氨氮、总磷、石油类、铜、铅、锌、镉、砷、汞、氟化物、阴离</w:t>
            </w:r>
            <w:r>
              <w:rPr>
                <w:spacing w:val="-11"/>
                <w:sz w:val="21"/>
                <w:vertAlign w:val="baseline"/>
              </w:rPr>
              <w:t>子表面活性剂、硫化物、氰化物、</w:t>
            </w:r>
          </w:p>
          <w:p w14:paraId="09A226CA">
            <w:pPr>
              <w:pStyle w:val="17"/>
              <w:spacing w:line="265" w:lineRule="exact"/>
              <w:ind w:left="741"/>
              <w:jc w:val="left"/>
              <w:rPr>
                <w:sz w:val="21"/>
              </w:rPr>
            </w:pPr>
            <w:r>
              <w:rPr>
                <w:sz w:val="21"/>
              </w:rPr>
              <w:t>硒、粪大肠菌群等</w:t>
            </w:r>
          </w:p>
        </w:tc>
        <w:tc>
          <w:tcPr>
            <w:tcW w:w="2200" w:type="dxa"/>
          </w:tcPr>
          <w:p w14:paraId="26CA786C">
            <w:pPr>
              <w:pStyle w:val="17"/>
              <w:jc w:val="left"/>
              <w:rPr>
                <w:b/>
                <w:sz w:val="22"/>
              </w:rPr>
            </w:pPr>
          </w:p>
          <w:p w14:paraId="5F73964B">
            <w:pPr>
              <w:pStyle w:val="17"/>
              <w:spacing w:before="11"/>
              <w:jc w:val="left"/>
              <w:rPr>
                <w:b/>
                <w:sz w:val="15"/>
              </w:rPr>
            </w:pPr>
          </w:p>
          <w:p w14:paraId="689AB0D2">
            <w:pPr>
              <w:pStyle w:val="17"/>
              <w:spacing w:before="1" w:line="285" w:lineRule="auto"/>
              <w:ind w:left="802" w:right="98" w:hanging="694"/>
              <w:jc w:val="left"/>
              <w:rPr>
                <w:rFonts w:ascii="Times New Roman" w:eastAsia="Times New Roman"/>
                <w:sz w:val="21"/>
              </w:rPr>
            </w:pPr>
            <w:r>
              <w:rPr>
                <w:rFonts w:ascii="Times New Roman" w:eastAsia="Times New Roman"/>
                <w:w w:val="95"/>
                <w:position w:val="2"/>
                <w:sz w:val="21"/>
              </w:rPr>
              <w:t>CODcr</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p>
        </w:tc>
        <w:tc>
          <w:tcPr>
            <w:tcW w:w="2395" w:type="dxa"/>
            <w:tcBorders>
              <w:right w:val="nil"/>
            </w:tcBorders>
          </w:tcPr>
          <w:p w14:paraId="1EC428FC">
            <w:pPr>
              <w:pStyle w:val="17"/>
              <w:jc w:val="left"/>
              <w:rPr>
                <w:b/>
                <w:sz w:val="22"/>
              </w:rPr>
            </w:pPr>
          </w:p>
          <w:p w14:paraId="0329DC3C">
            <w:pPr>
              <w:pStyle w:val="17"/>
              <w:spacing w:before="11"/>
              <w:jc w:val="left"/>
              <w:rPr>
                <w:b/>
                <w:sz w:val="15"/>
              </w:rPr>
            </w:pPr>
          </w:p>
          <w:p w14:paraId="1A51486E">
            <w:pPr>
              <w:pStyle w:val="17"/>
              <w:spacing w:before="1" w:line="285" w:lineRule="auto"/>
              <w:ind w:left="899" w:right="201" w:hanging="694"/>
              <w:jc w:val="left"/>
              <w:rPr>
                <w:rFonts w:ascii="Times New Roman" w:eastAsia="Times New Roman"/>
                <w:sz w:val="21"/>
              </w:rPr>
            </w:pPr>
            <w:r>
              <w:rPr>
                <w:rFonts w:ascii="Times New Roman" w:eastAsia="Times New Roman"/>
                <w:w w:val="95"/>
                <w:position w:val="2"/>
                <w:sz w:val="21"/>
              </w:rPr>
              <w:t>CODcr</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p>
        </w:tc>
      </w:tr>
      <w:tr w14:paraId="6BBE8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757" w:type="dxa"/>
            <w:tcBorders>
              <w:left w:val="nil"/>
            </w:tcBorders>
          </w:tcPr>
          <w:p w14:paraId="6EBBBEA9">
            <w:pPr>
              <w:pStyle w:val="17"/>
              <w:jc w:val="left"/>
              <w:rPr>
                <w:b/>
                <w:sz w:val="20"/>
              </w:rPr>
            </w:pPr>
          </w:p>
          <w:p w14:paraId="051939BB">
            <w:pPr>
              <w:pStyle w:val="17"/>
              <w:jc w:val="left"/>
              <w:rPr>
                <w:b/>
                <w:sz w:val="20"/>
              </w:rPr>
            </w:pPr>
          </w:p>
          <w:p w14:paraId="149E8555">
            <w:pPr>
              <w:pStyle w:val="17"/>
              <w:jc w:val="left"/>
              <w:rPr>
                <w:b/>
                <w:sz w:val="20"/>
              </w:rPr>
            </w:pPr>
          </w:p>
          <w:p w14:paraId="1DCD79A4">
            <w:pPr>
              <w:pStyle w:val="17"/>
              <w:spacing w:before="8"/>
              <w:jc w:val="left"/>
              <w:rPr>
                <w:b/>
                <w:sz w:val="14"/>
              </w:rPr>
            </w:pPr>
          </w:p>
          <w:p w14:paraId="5BA5A3AE">
            <w:pPr>
              <w:pStyle w:val="17"/>
              <w:spacing w:line="278" w:lineRule="auto"/>
              <w:ind w:left="171" w:right="160"/>
              <w:jc w:val="both"/>
              <w:rPr>
                <w:sz w:val="21"/>
              </w:rPr>
            </w:pPr>
            <w:r>
              <w:rPr>
                <w:w w:val="95"/>
                <w:sz w:val="21"/>
              </w:rPr>
              <w:t>地下水环</w:t>
            </w:r>
            <w:r>
              <w:rPr>
                <w:sz w:val="21"/>
              </w:rPr>
              <w:t>境</w:t>
            </w:r>
          </w:p>
        </w:tc>
        <w:tc>
          <w:tcPr>
            <w:tcW w:w="3167" w:type="dxa"/>
          </w:tcPr>
          <w:p w14:paraId="61028541">
            <w:pPr>
              <w:pStyle w:val="17"/>
              <w:tabs>
                <w:tab w:val="left" w:pos="2935"/>
                <w:tab w:val="right" w:pos="2980"/>
              </w:tabs>
              <w:spacing w:before="21" w:line="210" w:lineRule="atLeast"/>
              <w:ind w:left="542" w:right="130" w:hanging="404"/>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spacing w:val="5"/>
                <w:sz w:val="21"/>
              </w:rPr>
              <w:t xml:space="preserve">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w:t>
            </w:r>
            <w:r>
              <w:rPr>
                <w:rFonts w:ascii="Times New Roman" w:eastAsia="Times New Roman"/>
                <w:sz w:val="13"/>
              </w:rPr>
              <w:t>2-</w:t>
            </w:r>
            <w:r>
              <w:rPr>
                <w:rFonts w:ascii="Times New Roman" w:eastAsia="Times New Roman"/>
                <w:sz w:val="13"/>
              </w:rPr>
              <w:tab/>
            </w:r>
            <w:r>
              <w:rPr>
                <w:rFonts w:ascii="Times New Roman" w:eastAsia="Times New Roman"/>
                <w:sz w:val="13"/>
              </w:rPr>
              <w:tab/>
            </w:r>
            <w:r>
              <w:rPr>
                <w:rFonts w:ascii="Times New Roman" w:eastAsia="Times New Roman"/>
                <w:spacing w:val="-17"/>
                <w:sz w:val="13"/>
              </w:rPr>
              <w:t>3-</w:t>
            </w:r>
            <w:r>
              <w:rPr>
                <w:rFonts w:ascii="Times New Roman" w:eastAsia="Times New Roman"/>
                <w:spacing w:val="-17"/>
                <w:sz w:val="13"/>
              </w:rPr>
              <w:tab/>
            </w:r>
            <w:r>
              <w:rPr>
                <w:rFonts w:ascii="Times New Roman" w:eastAsia="Times New Roman"/>
                <w:sz w:val="13"/>
              </w:rPr>
              <w:t xml:space="preserve"> -</w:t>
            </w:r>
          </w:p>
          <w:p w14:paraId="260733E5">
            <w:pPr>
              <w:pStyle w:val="17"/>
              <w:spacing w:line="67" w:lineRule="auto"/>
              <w:ind w:left="184"/>
              <w:jc w:val="left"/>
              <w:rPr>
                <w:rFonts w:ascii="Times New Roman" w:eastAsia="Times New Roman"/>
                <w:sz w:val="21"/>
              </w:rPr>
            </w:pPr>
            <w:r>
              <w:rPr>
                <w:rFonts w:ascii="Times New Roman" w:eastAsia="Times New Roman"/>
                <w:position w:val="2"/>
                <w:sz w:val="21"/>
              </w:rPr>
              <w:t>CO</w:t>
            </w:r>
            <w:r>
              <w:rPr>
                <w:rFonts w:ascii="Times New Roman" w:eastAsia="Times New Roman"/>
                <w:position w:val="2"/>
                <w:sz w:val="21"/>
                <w:vertAlign w:val="subscript"/>
              </w:rPr>
              <w:t>3</w:t>
            </w:r>
            <w:r>
              <w:rPr>
                <w:rFonts w:ascii="Times New Roman" w:eastAsia="Times New Roman"/>
                <w:position w:val="2"/>
                <w:sz w:val="21"/>
                <w:vertAlign w:val="baseline"/>
              </w:rPr>
              <w:t xml:space="preserve"> </w:t>
            </w:r>
            <w:r>
              <w:rPr>
                <w:position w:val="2"/>
                <w:sz w:val="21"/>
                <w:vertAlign w:val="baseline"/>
              </w:rPr>
              <w:t>、</w:t>
            </w:r>
            <w:r>
              <w:rPr>
                <w:rFonts w:ascii="Times New Roman" w:eastAsia="Times New Roman"/>
                <w:position w:val="2"/>
                <w:sz w:val="21"/>
                <w:vertAlign w:val="baseline"/>
              </w:rPr>
              <w:t xml:space="preserve">HCO </w:t>
            </w:r>
            <w:r>
              <w:rPr>
                <w:position w:val="2"/>
                <w:sz w:val="21"/>
                <w:vertAlign w:val="baseline"/>
              </w:rPr>
              <w:t xml:space="preserve">、氯化物（以 </w:t>
            </w:r>
            <w:r>
              <w:rPr>
                <w:rFonts w:ascii="Times New Roman" w:eastAsia="Times New Roman"/>
                <w:position w:val="2"/>
                <w:sz w:val="21"/>
                <w:vertAlign w:val="baseline"/>
              </w:rPr>
              <w:t>Cl</w:t>
            </w:r>
          </w:p>
          <w:p w14:paraId="29F87803">
            <w:pPr>
              <w:pStyle w:val="17"/>
              <w:spacing w:before="82" w:line="64" w:lineRule="exact"/>
              <w:ind w:left="2104"/>
              <w:jc w:val="left"/>
              <w:rPr>
                <w:rFonts w:ascii="Times New Roman"/>
                <w:sz w:val="13"/>
              </w:rPr>
            </w:pPr>
            <w:r>
              <w:rPr>
                <w:rFonts w:ascii="Times New Roman"/>
                <w:w w:val="105"/>
                <w:sz w:val="13"/>
              </w:rPr>
              <w:t>2-</w:t>
            </w:r>
          </w:p>
          <w:p w14:paraId="283DC910">
            <w:pPr>
              <w:pStyle w:val="17"/>
              <w:spacing w:line="190" w:lineRule="exact"/>
              <w:ind w:left="108"/>
              <w:jc w:val="left"/>
              <w:rPr>
                <w:rFonts w:ascii="Times New Roman" w:eastAsia="Times New Roman"/>
                <w:sz w:val="21"/>
              </w:rPr>
            </w:pPr>
            <w:r>
              <w:rPr>
                <w:position w:val="2"/>
                <w:sz w:val="21"/>
              </w:rPr>
              <w:t>计</w:t>
            </w:r>
            <w:r>
              <w:rPr>
                <w:spacing w:val="-22"/>
                <w:position w:val="2"/>
                <w:sz w:val="21"/>
              </w:rPr>
              <w:t>）</w:t>
            </w:r>
            <w:r>
              <w:rPr>
                <w:spacing w:val="-13"/>
                <w:position w:val="2"/>
                <w:sz w:val="21"/>
              </w:rPr>
              <w:t>、硫酸盐</w:t>
            </w:r>
            <w:r>
              <w:rPr>
                <w:position w:val="2"/>
                <w:sz w:val="21"/>
              </w:rPr>
              <w:t>（</w:t>
            </w:r>
            <w:r>
              <w:rPr>
                <w:spacing w:val="-28"/>
                <w:position w:val="2"/>
                <w:sz w:val="21"/>
              </w:rPr>
              <w:t xml:space="preserve">以 </w:t>
            </w:r>
            <w:r>
              <w:rPr>
                <w:rFonts w:ascii="Times New Roman" w:eastAsia="Times New Roman"/>
                <w:position w:val="2"/>
                <w:sz w:val="21"/>
              </w:rPr>
              <w:t>SO</w:t>
            </w:r>
            <w:r>
              <w:rPr>
                <w:rFonts w:ascii="Times New Roman" w:eastAsia="Times New Roman"/>
                <w:position w:val="2"/>
                <w:sz w:val="21"/>
                <w:vertAlign w:val="subscript"/>
              </w:rPr>
              <w:t>4</w:t>
            </w:r>
            <w:r>
              <w:rPr>
                <w:rFonts w:ascii="Times New Roman" w:eastAsia="Times New Roman"/>
                <w:position w:val="2"/>
                <w:sz w:val="21"/>
                <w:vertAlign w:val="baseline"/>
              </w:rPr>
              <w:t xml:space="preserve">  </w:t>
            </w:r>
            <w:r>
              <w:rPr>
                <w:position w:val="2"/>
                <w:sz w:val="21"/>
                <w:vertAlign w:val="baseline"/>
              </w:rPr>
              <w:t>计</w:t>
            </w:r>
            <w:r>
              <w:rPr>
                <w:spacing w:val="-25"/>
                <w:position w:val="2"/>
                <w:sz w:val="21"/>
                <w:vertAlign w:val="baseline"/>
              </w:rPr>
              <w:t>）</w:t>
            </w:r>
            <w:r>
              <w:rPr>
                <w:spacing w:val="-22"/>
                <w:position w:val="2"/>
                <w:sz w:val="21"/>
                <w:vertAlign w:val="baseline"/>
              </w:rPr>
              <w:t>、</w:t>
            </w:r>
            <w:r>
              <w:rPr>
                <w:rFonts w:ascii="Times New Roman" w:eastAsia="Times New Roman"/>
                <w:position w:val="2"/>
                <w:sz w:val="21"/>
                <w:vertAlign w:val="baseline"/>
              </w:rPr>
              <w:t>pH</w:t>
            </w:r>
          </w:p>
          <w:p w14:paraId="203B0E54">
            <w:pPr>
              <w:pStyle w:val="17"/>
              <w:spacing w:before="40" w:line="276" w:lineRule="auto"/>
              <w:ind w:left="108" w:right="-15" w:firstLine="4"/>
              <w:jc w:val="left"/>
              <w:rPr>
                <w:sz w:val="21"/>
              </w:rPr>
            </w:pPr>
            <w:r>
              <w:rPr>
                <w:sz w:val="21"/>
              </w:rPr>
              <w:t>值、溶解性总固体、总硬度、耗</w:t>
            </w:r>
            <w:r>
              <w:rPr>
                <w:spacing w:val="-3"/>
                <w:position w:val="2"/>
                <w:sz w:val="21"/>
              </w:rPr>
              <w:t>氧量</w:t>
            </w:r>
            <w:r>
              <w:rPr>
                <w:position w:val="2"/>
                <w:sz w:val="21"/>
              </w:rPr>
              <w:t>（</w:t>
            </w:r>
            <w:r>
              <w:rPr>
                <w:rFonts w:ascii="Times New Roman" w:eastAsia="Times New Roman"/>
                <w:position w:val="2"/>
                <w:sz w:val="21"/>
              </w:rPr>
              <w:t>COD</w:t>
            </w:r>
            <w:r>
              <w:rPr>
                <w:rFonts w:ascii="Times New Roman" w:eastAsia="Times New Roman"/>
                <w:position w:val="2"/>
                <w:sz w:val="21"/>
                <w:vertAlign w:val="subscript"/>
              </w:rPr>
              <w:t>Mn</w:t>
            </w:r>
            <w:r>
              <w:rPr>
                <w:rFonts w:ascii="Times New Roman" w:eastAsia="Times New Roman"/>
                <w:spacing w:val="-22"/>
                <w:position w:val="2"/>
                <w:sz w:val="21"/>
                <w:vertAlign w:val="baseline"/>
              </w:rPr>
              <w:t xml:space="preserve"> </w:t>
            </w:r>
            <w:r>
              <w:rPr>
                <w:position w:val="2"/>
                <w:sz w:val="21"/>
                <w:vertAlign w:val="baseline"/>
              </w:rPr>
              <w:t>法</w:t>
            </w:r>
            <w:r>
              <w:rPr>
                <w:spacing w:val="-5"/>
                <w:position w:val="2"/>
                <w:sz w:val="21"/>
                <w:vertAlign w:val="baseline"/>
              </w:rPr>
              <w:t>）</w:t>
            </w:r>
            <w:r>
              <w:rPr>
                <w:spacing w:val="-3"/>
                <w:position w:val="2"/>
                <w:sz w:val="21"/>
                <w:vertAlign w:val="baseline"/>
              </w:rPr>
              <w:t>、六价铬、硝</w:t>
            </w:r>
            <w:r>
              <w:rPr>
                <w:spacing w:val="-3"/>
                <w:sz w:val="21"/>
                <w:vertAlign w:val="baseline"/>
              </w:rPr>
              <w:t>酸盐、亚硝酸盐、氨氮、挥发性</w:t>
            </w:r>
            <w:r>
              <w:rPr>
                <w:spacing w:val="-11"/>
                <w:sz w:val="21"/>
                <w:vertAlign w:val="baseline"/>
              </w:rPr>
              <w:t>酚类、氟化物、铁、铜、锌、锰、砷、铅、镉、汞、钴、锂、镍、</w:t>
            </w:r>
          </w:p>
          <w:p w14:paraId="38E94AE1">
            <w:pPr>
              <w:pStyle w:val="17"/>
              <w:spacing w:before="6"/>
              <w:ind w:left="112"/>
              <w:jc w:val="left"/>
              <w:rPr>
                <w:sz w:val="21"/>
              </w:rPr>
            </w:pPr>
            <w:r>
              <w:rPr>
                <w:w w:val="95"/>
                <w:sz w:val="21"/>
              </w:rPr>
              <w:t>阴离子表面活性剂、总大肠菌群</w:t>
            </w:r>
          </w:p>
        </w:tc>
        <w:tc>
          <w:tcPr>
            <w:tcW w:w="2200" w:type="dxa"/>
          </w:tcPr>
          <w:p w14:paraId="7BA7B05A">
            <w:pPr>
              <w:pStyle w:val="17"/>
              <w:jc w:val="left"/>
              <w:rPr>
                <w:b/>
                <w:sz w:val="22"/>
              </w:rPr>
            </w:pPr>
          </w:p>
          <w:p w14:paraId="79556CDC">
            <w:pPr>
              <w:pStyle w:val="17"/>
              <w:jc w:val="left"/>
              <w:rPr>
                <w:b/>
                <w:sz w:val="22"/>
              </w:rPr>
            </w:pPr>
          </w:p>
          <w:p w14:paraId="0EAED582">
            <w:pPr>
              <w:pStyle w:val="17"/>
              <w:jc w:val="left"/>
              <w:rPr>
                <w:b/>
                <w:sz w:val="22"/>
              </w:rPr>
            </w:pPr>
          </w:p>
          <w:p w14:paraId="770758F3">
            <w:pPr>
              <w:pStyle w:val="17"/>
              <w:jc w:val="left"/>
              <w:rPr>
                <w:b/>
                <w:sz w:val="22"/>
              </w:rPr>
            </w:pPr>
          </w:p>
          <w:p w14:paraId="372BC1BF">
            <w:pPr>
              <w:pStyle w:val="17"/>
              <w:spacing w:before="3"/>
              <w:jc w:val="left"/>
              <w:rPr>
                <w:b/>
                <w:sz w:val="24"/>
              </w:rPr>
            </w:pPr>
          </w:p>
          <w:p w14:paraId="71B1BDCD">
            <w:pPr>
              <w:pStyle w:val="17"/>
              <w:ind w:left="11"/>
              <w:rPr>
                <w:rFonts w:ascii="Times New Roman"/>
                <w:sz w:val="21"/>
              </w:rPr>
            </w:pPr>
            <w:r>
              <w:rPr>
                <w:rFonts w:ascii="Times New Roman"/>
                <w:w w:val="99"/>
                <w:sz w:val="21"/>
              </w:rPr>
              <w:t>/</w:t>
            </w:r>
          </w:p>
        </w:tc>
        <w:tc>
          <w:tcPr>
            <w:tcW w:w="2395" w:type="dxa"/>
            <w:tcBorders>
              <w:right w:val="nil"/>
            </w:tcBorders>
          </w:tcPr>
          <w:p w14:paraId="411D6385">
            <w:pPr>
              <w:pStyle w:val="17"/>
              <w:jc w:val="left"/>
              <w:rPr>
                <w:b/>
                <w:sz w:val="22"/>
              </w:rPr>
            </w:pPr>
          </w:p>
          <w:p w14:paraId="47757558">
            <w:pPr>
              <w:pStyle w:val="17"/>
              <w:jc w:val="left"/>
              <w:rPr>
                <w:b/>
                <w:sz w:val="22"/>
              </w:rPr>
            </w:pPr>
          </w:p>
          <w:p w14:paraId="1630FD41">
            <w:pPr>
              <w:pStyle w:val="17"/>
              <w:jc w:val="left"/>
              <w:rPr>
                <w:b/>
                <w:sz w:val="22"/>
              </w:rPr>
            </w:pPr>
          </w:p>
          <w:p w14:paraId="56892016">
            <w:pPr>
              <w:pStyle w:val="17"/>
              <w:jc w:val="left"/>
              <w:rPr>
                <w:b/>
                <w:sz w:val="22"/>
              </w:rPr>
            </w:pPr>
          </w:p>
          <w:p w14:paraId="061850A0">
            <w:pPr>
              <w:pStyle w:val="17"/>
              <w:spacing w:before="155"/>
              <w:ind w:left="4"/>
              <w:rPr>
                <w:rFonts w:ascii="Times New Roman"/>
                <w:sz w:val="21"/>
              </w:rPr>
            </w:pPr>
            <w:r>
              <w:rPr>
                <w:rFonts w:ascii="Times New Roman"/>
                <w:w w:val="99"/>
                <w:sz w:val="21"/>
              </w:rPr>
              <w:t>/</w:t>
            </w:r>
          </w:p>
        </w:tc>
      </w:tr>
      <w:tr w14:paraId="1CB1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tcBorders>
              <w:left w:val="nil"/>
            </w:tcBorders>
          </w:tcPr>
          <w:p w14:paraId="27C38F5F">
            <w:pPr>
              <w:pStyle w:val="17"/>
              <w:spacing w:before="20"/>
              <w:ind w:left="150" w:right="141"/>
              <w:rPr>
                <w:sz w:val="21"/>
              </w:rPr>
            </w:pPr>
            <w:r>
              <w:rPr>
                <w:sz w:val="21"/>
              </w:rPr>
              <w:t>声环</w:t>
            </w:r>
          </w:p>
          <w:p w14:paraId="66E71751">
            <w:pPr>
              <w:pStyle w:val="17"/>
              <w:spacing w:before="43"/>
              <w:ind w:left="11"/>
              <w:rPr>
                <w:sz w:val="21"/>
              </w:rPr>
            </w:pPr>
            <w:r>
              <w:rPr>
                <w:w w:val="99"/>
                <w:sz w:val="21"/>
              </w:rPr>
              <w:t>境</w:t>
            </w:r>
          </w:p>
        </w:tc>
        <w:tc>
          <w:tcPr>
            <w:tcW w:w="3167" w:type="dxa"/>
          </w:tcPr>
          <w:p w14:paraId="6B21EB90">
            <w:pPr>
              <w:pStyle w:val="17"/>
              <w:spacing w:before="176"/>
              <w:ind w:left="101" w:right="95"/>
              <w:rPr>
                <w:sz w:val="21"/>
              </w:rPr>
            </w:pPr>
            <w:r>
              <w:rPr>
                <w:sz w:val="21"/>
              </w:rPr>
              <w:t xml:space="preserve">昼间、夜间等效连续 </w:t>
            </w:r>
            <w:r>
              <w:rPr>
                <w:rFonts w:ascii="Times New Roman" w:eastAsia="Times New Roman"/>
                <w:sz w:val="21"/>
              </w:rPr>
              <w:t xml:space="preserve">A </w:t>
            </w:r>
            <w:r>
              <w:rPr>
                <w:sz w:val="21"/>
              </w:rPr>
              <w:t>声级</w:t>
            </w:r>
          </w:p>
        </w:tc>
        <w:tc>
          <w:tcPr>
            <w:tcW w:w="2200" w:type="dxa"/>
          </w:tcPr>
          <w:p w14:paraId="116D5D8F">
            <w:pPr>
              <w:pStyle w:val="17"/>
              <w:spacing w:before="176"/>
              <w:ind w:left="132" w:right="126"/>
              <w:rPr>
                <w:sz w:val="21"/>
              </w:rPr>
            </w:pPr>
            <w:r>
              <w:rPr>
                <w:sz w:val="21"/>
              </w:rPr>
              <w:t>噪声级</w:t>
            </w:r>
          </w:p>
        </w:tc>
        <w:tc>
          <w:tcPr>
            <w:tcW w:w="2395" w:type="dxa"/>
            <w:tcBorders>
              <w:right w:val="nil"/>
            </w:tcBorders>
          </w:tcPr>
          <w:p w14:paraId="0C6ABB96">
            <w:pPr>
              <w:pStyle w:val="17"/>
              <w:spacing w:before="20"/>
              <w:ind w:left="103" w:right="99"/>
              <w:rPr>
                <w:rFonts w:ascii="Times New Roman" w:eastAsia="Times New Roman"/>
                <w:sz w:val="21"/>
              </w:rPr>
            </w:pPr>
            <w:r>
              <w:rPr>
                <w:sz w:val="21"/>
              </w:rPr>
              <w:t xml:space="preserve">昼间、夜间等效连续 </w:t>
            </w:r>
            <w:r>
              <w:rPr>
                <w:rFonts w:ascii="Times New Roman" w:eastAsia="Times New Roman"/>
                <w:sz w:val="21"/>
              </w:rPr>
              <w:t>A</w:t>
            </w:r>
          </w:p>
          <w:p w14:paraId="4D914EEA">
            <w:pPr>
              <w:pStyle w:val="17"/>
              <w:spacing w:before="43"/>
              <w:ind w:left="99" w:right="99"/>
              <w:rPr>
                <w:sz w:val="21"/>
              </w:rPr>
            </w:pPr>
            <w:r>
              <w:rPr>
                <w:sz w:val="21"/>
              </w:rPr>
              <w:t>声级</w:t>
            </w:r>
          </w:p>
        </w:tc>
      </w:tr>
      <w:tr w14:paraId="4DF8E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57" w:type="dxa"/>
            <w:tcBorders>
              <w:left w:val="nil"/>
            </w:tcBorders>
          </w:tcPr>
          <w:p w14:paraId="0A9DBA9E">
            <w:pPr>
              <w:pStyle w:val="17"/>
              <w:spacing w:before="20"/>
              <w:ind w:left="171"/>
              <w:jc w:val="left"/>
              <w:rPr>
                <w:sz w:val="21"/>
              </w:rPr>
            </w:pPr>
            <w:r>
              <w:rPr>
                <w:w w:val="95"/>
                <w:sz w:val="21"/>
              </w:rPr>
              <w:t>固体</w:t>
            </w:r>
          </w:p>
          <w:p w14:paraId="29031A4E">
            <w:pPr>
              <w:pStyle w:val="17"/>
              <w:spacing w:before="43"/>
              <w:ind w:left="171"/>
              <w:jc w:val="left"/>
              <w:rPr>
                <w:sz w:val="21"/>
              </w:rPr>
            </w:pPr>
            <w:r>
              <w:rPr>
                <w:w w:val="95"/>
                <w:sz w:val="21"/>
              </w:rPr>
              <w:t>废物</w:t>
            </w:r>
          </w:p>
        </w:tc>
        <w:tc>
          <w:tcPr>
            <w:tcW w:w="3167" w:type="dxa"/>
          </w:tcPr>
          <w:p w14:paraId="55AAF933">
            <w:pPr>
              <w:pStyle w:val="17"/>
              <w:spacing w:before="190"/>
              <w:ind w:left="7"/>
              <w:rPr>
                <w:rFonts w:ascii="Times New Roman"/>
                <w:sz w:val="21"/>
              </w:rPr>
            </w:pPr>
            <w:r>
              <w:rPr>
                <w:rFonts w:ascii="Times New Roman"/>
                <w:w w:val="99"/>
                <w:sz w:val="21"/>
              </w:rPr>
              <w:t>/</w:t>
            </w:r>
          </w:p>
        </w:tc>
        <w:tc>
          <w:tcPr>
            <w:tcW w:w="2200" w:type="dxa"/>
          </w:tcPr>
          <w:p w14:paraId="5D068F63">
            <w:pPr>
              <w:pStyle w:val="17"/>
              <w:spacing w:before="20"/>
              <w:ind w:left="134" w:right="126"/>
              <w:rPr>
                <w:sz w:val="21"/>
              </w:rPr>
            </w:pPr>
            <w:r>
              <w:rPr>
                <w:sz w:val="21"/>
              </w:rPr>
              <w:t>生活垃圾、一般工业</w:t>
            </w:r>
          </w:p>
          <w:p w14:paraId="26AA6C64">
            <w:pPr>
              <w:pStyle w:val="17"/>
              <w:spacing w:before="43"/>
              <w:ind w:left="132" w:right="126"/>
              <w:rPr>
                <w:sz w:val="21"/>
              </w:rPr>
            </w:pPr>
            <w:r>
              <w:rPr>
                <w:sz w:val="21"/>
              </w:rPr>
              <w:t>固废、危险废物</w:t>
            </w:r>
          </w:p>
        </w:tc>
        <w:tc>
          <w:tcPr>
            <w:tcW w:w="2395" w:type="dxa"/>
            <w:tcBorders>
              <w:right w:val="nil"/>
            </w:tcBorders>
          </w:tcPr>
          <w:p w14:paraId="6A6C2D74">
            <w:pPr>
              <w:pStyle w:val="17"/>
              <w:spacing w:before="20"/>
              <w:ind w:left="99" w:right="99"/>
              <w:rPr>
                <w:sz w:val="21"/>
              </w:rPr>
            </w:pPr>
            <w:r>
              <w:rPr>
                <w:sz w:val="21"/>
              </w:rPr>
              <w:t>生活垃圾、一般工业固</w:t>
            </w:r>
          </w:p>
          <w:p w14:paraId="7E444EEC">
            <w:pPr>
              <w:pStyle w:val="17"/>
              <w:spacing w:before="43"/>
              <w:ind w:left="99" w:right="99"/>
              <w:rPr>
                <w:sz w:val="21"/>
              </w:rPr>
            </w:pPr>
            <w:r>
              <w:rPr>
                <w:sz w:val="21"/>
              </w:rPr>
              <w:t>废、危险废物</w:t>
            </w:r>
          </w:p>
        </w:tc>
      </w:tr>
    </w:tbl>
    <w:p w14:paraId="5B220BDA">
      <w:pPr>
        <w:pStyle w:val="3"/>
        <w:numPr>
          <w:ilvl w:val="1"/>
          <w:numId w:val="5"/>
        </w:numPr>
        <w:tabs>
          <w:tab w:val="left" w:pos="669"/>
        </w:tabs>
        <w:spacing w:before="119" w:after="0" w:line="240" w:lineRule="auto"/>
        <w:ind w:left="668" w:right="0" w:hanging="448"/>
        <w:jc w:val="left"/>
      </w:pPr>
      <w:bookmarkStart w:id="10" w:name="_TOC_250045"/>
      <w:bookmarkEnd w:id="10"/>
      <w:r>
        <w:t>环境功能区划</w:t>
      </w:r>
    </w:p>
    <w:p w14:paraId="06EACFB8">
      <w:pPr>
        <w:pStyle w:val="10"/>
        <w:spacing w:before="201"/>
        <w:ind w:left="700"/>
      </w:pPr>
      <w:r>
        <w:t>本项目区各环境功能属性见下表。</w:t>
      </w:r>
    </w:p>
    <w:p w14:paraId="7DC444A7">
      <w:pPr>
        <w:pStyle w:val="9"/>
        <w:spacing w:before="161"/>
        <w:ind w:left="2586"/>
      </w:pPr>
      <w:r>
        <w:rPr>
          <w:spacing w:val="-31"/>
        </w:rPr>
        <w:t xml:space="preserve">表 </w:t>
      </w:r>
      <w:r>
        <w:rPr>
          <w:rFonts w:ascii="Times New Roman" w:eastAsia="Times New Roman"/>
        </w:rPr>
        <w:t>1.3-1</w:t>
      </w:r>
      <w:r>
        <w:rPr>
          <w:rFonts w:ascii="Times New Roman" w:eastAsia="Times New Roman"/>
          <w:spacing w:val="58"/>
        </w:rPr>
        <w:t xml:space="preserve"> </w:t>
      </w:r>
      <w:r>
        <w:t>项目拟选址环境功能属性</w:t>
      </w:r>
    </w:p>
    <w:p w14:paraId="6A854418">
      <w:pPr>
        <w:pStyle w:val="10"/>
        <w:spacing w:before="3"/>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3"/>
        <w:gridCol w:w="2810"/>
        <w:gridCol w:w="1021"/>
        <w:gridCol w:w="1411"/>
        <w:gridCol w:w="2624"/>
      </w:tblGrid>
      <w:tr w14:paraId="01E64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3379A1B1">
            <w:pPr>
              <w:pStyle w:val="17"/>
              <w:spacing w:before="36"/>
              <w:ind w:left="100" w:right="88"/>
              <w:rPr>
                <w:sz w:val="21"/>
              </w:rPr>
            </w:pPr>
            <w:r>
              <w:rPr>
                <w:sz w:val="21"/>
              </w:rPr>
              <w:t>编号</w:t>
            </w:r>
          </w:p>
        </w:tc>
        <w:tc>
          <w:tcPr>
            <w:tcW w:w="2810" w:type="dxa"/>
          </w:tcPr>
          <w:p w14:paraId="366235A7">
            <w:pPr>
              <w:pStyle w:val="17"/>
              <w:spacing w:before="36"/>
              <w:ind w:left="121" w:right="116"/>
              <w:rPr>
                <w:sz w:val="21"/>
              </w:rPr>
            </w:pPr>
            <w:r>
              <w:rPr>
                <w:sz w:val="21"/>
              </w:rPr>
              <w:t>项目</w:t>
            </w:r>
          </w:p>
        </w:tc>
        <w:tc>
          <w:tcPr>
            <w:tcW w:w="5056" w:type="dxa"/>
            <w:gridSpan w:val="3"/>
            <w:tcBorders>
              <w:right w:val="nil"/>
            </w:tcBorders>
          </w:tcPr>
          <w:p w14:paraId="1DB5E9C9">
            <w:pPr>
              <w:pStyle w:val="17"/>
              <w:spacing w:before="36"/>
              <w:ind w:left="1582"/>
              <w:jc w:val="left"/>
              <w:rPr>
                <w:sz w:val="21"/>
              </w:rPr>
            </w:pPr>
            <w:r>
              <w:rPr>
                <w:sz w:val="21"/>
              </w:rPr>
              <w:t>功能属性及执行标准</w:t>
            </w:r>
          </w:p>
        </w:tc>
      </w:tr>
      <w:tr w14:paraId="72493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53" w:type="dxa"/>
            <w:vMerge w:val="restart"/>
            <w:tcBorders>
              <w:left w:val="nil"/>
            </w:tcBorders>
          </w:tcPr>
          <w:p w14:paraId="193F0E1A">
            <w:pPr>
              <w:pStyle w:val="17"/>
              <w:jc w:val="left"/>
              <w:rPr>
                <w:b/>
                <w:sz w:val="22"/>
              </w:rPr>
            </w:pPr>
          </w:p>
          <w:p w14:paraId="560BF117">
            <w:pPr>
              <w:pStyle w:val="17"/>
              <w:spacing w:before="9"/>
              <w:jc w:val="left"/>
              <w:rPr>
                <w:b/>
                <w:sz w:val="17"/>
              </w:rPr>
            </w:pPr>
          </w:p>
          <w:p w14:paraId="3AB94828">
            <w:pPr>
              <w:pStyle w:val="17"/>
              <w:ind w:left="16"/>
              <w:rPr>
                <w:rFonts w:ascii="Times New Roman"/>
                <w:sz w:val="21"/>
              </w:rPr>
            </w:pPr>
            <w:r>
              <w:rPr>
                <w:rFonts w:ascii="Times New Roman"/>
                <w:w w:val="99"/>
                <w:sz w:val="21"/>
              </w:rPr>
              <w:t>1</w:t>
            </w:r>
          </w:p>
        </w:tc>
        <w:tc>
          <w:tcPr>
            <w:tcW w:w="2810" w:type="dxa"/>
          </w:tcPr>
          <w:p w14:paraId="25E68E25">
            <w:pPr>
              <w:pStyle w:val="17"/>
              <w:spacing w:before="178"/>
              <w:ind w:left="123" w:right="116"/>
              <w:rPr>
                <w:sz w:val="21"/>
              </w:rPr>
            </w:pPr>
            <w:r>
              <w:rPr>
                <w:sz w:val="21"/>
              </w:rPr>
              <w:t>地表水环境功能区</w:t>
            </w:r>
          </w:p>
        </w:tc>
        <w:tc>
          <w:tcPr>
            <w:tcW w:w="1021" w:type="dxa"/>
          </w:tcPr>
          <w:p w14:paraId="67B911C8">
            <w:pPr>
              <w:pStyle w:val="17"/>
              <w:spacing w:before="22"/>
              <w:ind w:left="195"/>
              <w:jc w:val="left"/>
              <w:rPr>
                <w:sz w:val="21"/>
              </w:rPr>
            </w:pPr>
            <w:r>
              <w:rPr>
                <w:w w:val="95"/>
                <w:sz w:val="21"/>
              </w:rPr>
              <w:t>新市桥</w:t>
            </w:r>
          </w:p>
          <w:p w14:paraId="72906569">
            <w:pPr>
              <w:pStyle w:val="17"/>
              <w:spacing w:before="43"/>
              <w:ind w:left="195"/>
              <w:jc w:val="left"/>
              <w:rPr>
                <w:sz w:val="21"/>
              </w:rPr>
            </w:pPr>
            <w:r>
              <w:rPr>
                <w:w w:val="95"/>
                <w:sz w:val="21"/>
              </w:rPr>
              <w:t>至磊石</w:t>
            </w:r>
          </w:p>
        </w:tc>
        <w:tc>
          <w:tcPr>
            <w:tcW w:w="1411" w:type="dxa"/>
          </w:tcPr>
          <w:p w14:paraId="44DB1AEF">
            <w:pPr>
              <w:pStyle w:val="17"/>
              <w:spacing w:before="178"/>
              <w:ind w:left="16" w:right="13"/>
              <w:rPr>
                <w:sz w:val="21"/>
              </w:rPr>
            </w:pPr>
            <w:r>
              <w:rPr>
                <w:sz w:val="21"/>
              </w:rPr>
              <w:t>渔业用水</w:t>
            </w:r>
          </w:p>
        </w:tc>
        <w:tc>
          <w:tcPr>
            <w:tcW w:w="2624" w:type="dxa"/>
            <w:tcBorders>
              <w:right w:val="nil"/>
            </w:tcBorders>
          </w:tcPr>
          <w:p w14:paraId="7A77AB96">
            <w:pPr>
              <w:pStyle w:val="17"/>
              <w:spacing w:before="22"/>
              <w:ind w:left="128" w:right="125"/>
              <w:rPr>
                <w:sz w:val="21"/>
              </w:rPr>
            </w:pPr>
            <w:r>
              <w:rPr>
                <w:sz w:val="21"/>
              </w:rPr>
              <w:t>《地表水环境质量标准》</w:t>
            </w:r>
          </w:p>
          <w:p w14:paraId="654ABB03">
            <w:pPr>
              <w:pStyle w:val="17"/>
              <w:spacing w:before="43"/>
              <w:ind w:left="128" w:right="125"/>
              <w:rPr>
                <w:sz w:val="21"/>
              </w:rPr>
            </w:pPr>
            <w:r>
              <w:rPr>
                <w:sz w:val="21"/>
              </w:rPr>
              <w:t>（</w:t>
            </w:r>
            <w:r>
              <w:rPr>
                <w:rFonts w:ascii="Times New Roman" w:hAnsi="Times New Roman" w:eastAsia="Times New Roman"/>
                <w:sz w:val="21"/>
              </w:rPr>
              <w:t>GB3838-2002</w:t>
            </w:r>
            <w:r>
              <w:rPr>
                <w:sz w:val="21"/>
              </w:rPr>
              <w:t>）</w:t>
            </w:r>
            <w:r>
              <w:rPr>
                <w:rFonts w:ascii="Times New Roman" w:hAnsi="Times New Roman" w:eastAsia="Times New Roman"/>
                <w:sz w:val="21"/>
              </w:rPr>
              <w:t>Ⅲ</w:t>
            </w:r>
            <w:r>
              <w:rPr>
                <w:sz w:val="21"/>
              </w:rPr>
              <w:t>类</w:t>
            </w:r>
          </w:p>
        </w:tc>
      </w:tr>
      <w:tr w14:paraId="3C35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53" w:type="dxa"/>
            <w:vMerge w:val="continue"/>
            <w:tcBorders>
              <w:top w:val="nil"/>
              <w:left w:val="nil"/>
            </w:tcBorders>
          </w:tcPr>
          <w:p w14:paraId="1DB4CED8">
            <w:pPr>
              <w:rPr>
                <w:sz w:val="2"/>
                <w:szCs w:val="2"/>
              </w:rPr>
            </w:pPr>
          </w:p>
        </w:tc>
        <w:tc>
          <w:tcPr>
            <w:tcW w:w="2810" w:type="dxa"/>
          </w:tcPr>
          <w:p w14:paraId="57FF3FC0">
            <w:pPr>
              <w:pStyle w:val="17"/>
              <w:spacing w:before="177"/>
              <w:ind w:left="123" w:right="116"/>
              <w:rPr>
                <w:sz w:val="21"/>
              </w:rPr>
            </w:pPr>
            <w:r>
              <w:rPr>
                <w:sz w:val="21"/>
              </w:rPr>
              <w:t>地下水环境功能区</w:t>
            </w:r>
          </w:p>
        </w:tc>
        <w:tc>
          <w:tcPr>
            <w:tcW w:w="1021" w:type="dxa"/>
          </w:tcPr>
          <w:p w14:paraId="7B076856">
            <w:pPr>
              <w:pStyle w:val="17"/>
              <w:spacing w:before="177"/>
              <w:ind w:left="195"/>
              <w:jc w:val="left"/>
              <w:rPr>
                <w:sz w:val="21"/>
              </w:rPr>
            </w:pPr>
            <w:r>
              <w:rPr>
                <w:sz w:val="21"/>
              </w:rPr>
              <w:t>地下水</w:t>
            </w:r>
          </w:p>
        </w:tc>
        <w:tc>
          <w:tcPr>
            <w:tcW w:w="1411" w:type="dxa"/>
          </w:tcPr>
          <w:p w14:paraId="1F1DB547">
            <w:pPr>
              <w:pStyle w:val="17"/>
              <w:spacing w:before="177"/>
              <w:ind w:left="16" w:right="13"/>
              <w:rPr>
                <w:sz w:val="21"/>
              </w:rPr>
            </w:pPr>
            <w:r>
              <w:rPr>
                <w:sz w:val="21"/>
              </w:rPr>
              <w:t>农业用水</w:t>
            </w:r>
          </w:p>
        </w:tc>
        <w:tc>
          <w:tcPr>
            <w:tcW w:w="2624" w:type="dxa"/>
            <w:tcBorders>
              <w:right w:val="nil"/>
            </w:tcBorders>
          </w:tcPr>
          <w:p w14:paraId="78081720">
            <w:pPr>
              <w:pStyle w:val="17"/>
              <w:spacing w:before="21"/>
              <w:ind w:left="128" w:right="123"/>
              <w:rPr>
                <w:sz w:val="21"/>
              </w:rPr>
            </w:pPr>
            <w:r>
              <w:rPr>
                <w:sz w:val="21"/>
              </w:rPr>
              <w:t>《地下水质量标准》</w:t>
            </w:r>
          </w:p>
          <w:p w14:paraId="398CB2E7">
            <w:pPr>
              <w:pStyle w:val="17"/>
              <w:spacing w:before="43"/>
              <w:ind w:left="128" w:right="125"/>
              <w:rPr>
                <w:sz w:val="21"/>
              </w:rPr>
            </w:pPr>
            <w:r>
              <w:rPr>
                <w:sz w:val="21"/>
              </w:rPr>
              <w:t>（</w:t>
            </w:r>
            <w:r>
              <w:rPr>
                <w:rFonts w:ascii="Times New Roman" w:hAnsi="Times New Roman" w:eastAsia="Times New Roman"/>
                <w:sz w:val="21"/>
              </w:rPr>
              <w:t>GB/T14848-2017</w:t>
            </w:r>
            <w:r>
              <w:rPr>
                <w:sz w:val="21"/>
              </w:rPr>
              <w:t>）</w:t>
            </w:r>
            <w:r>
              <w:rPr>
                <w:rFonts w:ascii="Times New Roman" w:hAnsi="Times New Roman" w:eastAsia="Times New Roman"/>
                <w:sz w:val="21"/>
              </w:rPr>
              <w:t>Ⅲ</w:t>
            </w:r>
            <w:r>
              <w:rPr>
                <w:sz w:val="21"/>
              </w:rPr>
              <w:t>类</w:t>
            </w:r>
          </w:p>
        </w:tc>
      </w:tr>
      <w:tr w14:paraId="65FD5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53" w:type="dxa"/>
            <w:tcBorders>
              <w:left w:val="nil"/>
            </w:tcBorders>
          </w:tcPr>
          <w:p w14:paraId="36686212">
            <w:pPr>
              <w:pStyle w:val="17"/>
              <w:spacing w:before="191"/>
              <w:ind w:left="16"/>
              <w:rPr>
                <w:rFonts w:ascii="Times New Roman"/>
                <w:sz w:val="21"/>
              </w:rPr>
            </w:pPr>
            <w:r>
              <w:rPr>
                <w:rFonts w:ascii="Times New Roman"/>
                <w:w w:val="99"/>
                <w:sz w:val="21"/>
              </w:rPr>
              <w:t>2</w:t>
            </w:r>
          </w:p>
        </w:tc>
        <w:tc>
          <w:tcPr>
            <w:tcW w:w="2810" w:type="dxa"/>
          </w:tcPr>
          <w:p w14:paraId="72D49544">
            <w:pPr>
              <w:pStyle w:val="17"/>
              <w:spacing w:before="177"/>
              <w:ind w:left="123" w:right="116"/>
              <w:rPr>
                <w:sz w:val="21"/>
              </w:rPr>
            </w:pPr>
            <w:r>
              <w:rPr>
                <w:sz w:val="21"/>
              </w:rPr>
              <w:t>环境空气质量功能区</w:t>
            </w:r>
          </w:p>
        </w:tc>
        <w:tc>
          <w:tcPr>
            <w:tcW w:w="5056" w:type="dxa"/>
            <w:gridSpan w:val="3"/>
            <w:tcBorders>
              <w:right w:val="nil"/>
            </w:tcBorders>
          </w:tcPr>
          <w:p w14:paraId="5621129E">
            <w:pPr>
              <w:pStyle w:val="17"/>
              <w:spacing w:before="21"/>
              <w:ind w:left="231" w:right="110"/>
              <w:rPr>
                <w:sz w:val="21"/>
              </w:rPr>
            </w:pPr>
            <w:r>
              <w:rPr>
                <w:spacing w:val="-5"/>
                <w:w w:val="95"/>
                <w:sz w:val="21"/>
              </w:rPr>
              <w:t>二类区，执行《环境空气质量标准》</w:t>
            </w:r>
            <w:r>
              <w:rPr>
                <w:w w:val="95"/>
                <w:sz w:val="21"/>
              </w:rPr>
              <w:t>（</w:t>
            </w:r>
            <w:r>
              <w:rPr>
                <w:rFonts w:ascii="Times New Roman" w:eastAsia="Times New Roman"/>
                <w:w w:val="95"/>
                <w:sz w:val="21"/>
              </w:rPr>
              <w:t>GB3095-2012</w:t>
            </w:r>
            <w:r>
              <w:rPr>
                <w:w w:val="95"/>
                <w:sz w:val="21"/>
              </w:rPr>
              <w:t>）</w:t>
            </w:r>
          </w:p>
          <w:p w14:paraId="28AED785">
            <w:pPr>
              <w:pStyle w:val="17"/>
              <w:spacing w:before="43"/>
              <w:ind w:left="111" w:right="110"/>
              <w:rPr>
                <w:sz w:val="21"/>
              </w:rPr>
            </w:pPr>
            <w:r>
              <w:rPr>
                <w:sz w:val="21"/>
              </w:rPr>
              <w:t>中的二级标准</w:t>
            </w:r>
          </w:p>
        </w:tc>
      </w:tr>
      <w:tr w14:paraId="5C91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53" w:type="dxa"/>
            <w:tcBorders>
              <w:left w:val="nil"/>
            </w:tcBorders>
          </w:tcPr>
          <w:p w14:paraId="76613730">
            <w:pPr>
              <w:pStyle w:val="17"/>
              <w:spacing w:before="190"/>
              <w:ind w:left="16"/>
              <w:rPr>
                <w:rFonts w:ascii="Times New Roman"/>
                <w:sz w:val="21"/>
              </w:rPr>
            </w:pPr>
            <w:r>
              <w:rPr>
                <w:rFonts w:ascii="Times New Roman"/>
                <w:w w:val="99"/>
                <w:sz w:val="21"/>
              </w:rPr>
              <w:t>3</w:t>
            </w:r>
          </w:p>
        </w:tc>
        <w:tc>
          <w:tcPr>
            <w:tcW w:w="2810" w:type="dxa"/>
          </w:tcPr>
          <w:p w14:paraId="528671E4">
            <w:pPr>
              <w:pStyle w:val="17"/>
              <w:spacing w:before="176"/>
              <w:ind w:left="121" w:right="116"/>
              <w:rPr>
                <w:sz w:val="21"/>
              </w:rPr>
            </w:pPr>
            <w:r>
              <w:rPr>
                <w:sz w:val="21"/>
              </w:rPr>
              <w:t>声环境功能区</w:t>
            </w:r>
          </w:p>
        </w:tc>
        <w:tc>
          <w:tcPr>
            <w:tcW w:w="5056" w:type="dxa"/>
            <w:gridSpan w:val="3"/>
            <w:tcBorders>
              <w:right w:val="nil"/>
            </w:tcBorders>
          </w:tcPr>
          <w:p w14:paraId="4F94F053">
            <w:pPr>
              <w:pStyle w:val="17"/>
              <w:spacing w:before="20"/>
              <w:ind w:left="231" w:right="110"/>
              <w:rPr>
                <w:sz w:val="21"/>
              </w:rPr>
            </w:pPr>
            <w:r>
              <w:rPr>
                <w:spacing w:val="-4"/>
                <w:w w:val="95"/>
                <w:sz w:val="21"/>
              </w:rPr>
              <w:t>区域声环境执行《声环境质量标准》</w:t>
            </w:r>
            <w:r>
              <w:rPr>
                <w:w w:val="95"/>
                <w:sz w:val="21"/>
              </w:rPr>
              <w:t>（</w:t>
            </w:r>
            <w:r>
              <w:rPr>
                <w:rFonts w:ascii="Times New Roman" w:eastAsia="Times New Roman"/>
                <w:w w:val="95"/>
                <w:sz w:val="21"/>
              </w:rPr>
              <w:t>GB3096-2008</w:t>
            </w:r>
            <w:r>
              <w:rPr>
                <w:w w:val="95"/>
                <w:sz w:val="21"/>
              </w:rPr>
              <w:t>）</w:t>
            </w:r>
          </w:p>
          <w:p w14:paraId="5CEC6A8A">
            <w:pPr>
              <w:pStyle w:val="17"/>
              <w:spacing w:before="43"/>
              <w:ind w:left="113" w:right="110"/>
              <w:rPr>
                <w:sz w:val="21"/>
              </w:rPr>
            </w:pPr>
            <w:r>
              <w:rPr>
                <w:sz w:val="21"/>
              </w:rPr>
              <w:t xml:space="preserve">中的 </w:t>
            </w:r>
            <w:r>
              <w:rPr>
                <w:rFonts w:ascii="Times New Roman" w:eastAsia="Times New Roman"/>
                <w:sz w:val="21"/>
              </w:rPr>
              <w:t xml:space="preserve">3 </w:t>
            </w:r>
            <w:r>
              <w:rPr>
                <w:sz w:val="21"/>
              </w:rPr>
              <w:t>类标准</w:t>
            </w:r>
          </w:p>
        </w:tc>
      </w:tr>
      <w:tr w14:paraId="4BB5E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22AD201B">
            <w:pPr>
              <w:pStyle w:val="17"/>
              <w:spacing w:before="48"/>
              <w:ind w:left="16"/>
              <w:rPr>
                <w:rFonts w:ascii="Times New Roman"/>
                <w:sz w:val="21"/>
              </w:rPr>
            </w:pPr>
            <w:r>
              <w:rPr>
                <w:rFonts w:ascii="Times New Roman"/>
                <w:w w:val="99"/>
                <w:sz w:val="21"/>
              </w:rPr>
              <w:t>4</w:t>
            </w:r>
          </w:p>
        </w:tc>
        <w:tc>
          <w:tcPr>
            <w:tcW w:w="2810" w:type="dxa"/>
          </w:tcPr>
          <w:p w14:paraId="368FB4A7">
            <w:pPr>
              <w:pStyle w:val="17"/>
              <w:spacing w:before="34"/>
              <w:ind w:left="123" w:right="116"/>
              <w:rPr>
                <w:sz w:val="21"/>
              </w:rPr>
            </w:pPr>
            <w:r>
              <w:rPr>
                <w:sz w:val="21"/>
              </w:rPr>
              <w:t>是否基本农田保护区</w:t>
            </w:r>
          </w:p>
        </w:tc>
        <w:tc>
          <w:tcPr>
            <w:tcW w:w="5056" w:type="dxa"/>
            <w:gridSpan w:val="3"/>
            <w:tcBorders>
              <w:right w:val="nil"/>
            </w:tcBorders>
          </w:tcPr>
          <w:p w14:paraId="3FD9D01A">
            <w:pPr>
              <w:pStyle w:val="17"/>
              <w:spacing w:before="34"/>
              <w:ind w:left="3"/>
              <w:rPr>
                <w:sz w:val="21"/>
              </w:rPr>
            </w:pPr>
            <w:r>
              <w:rPr>
                <w:w w:val="99"/>
                <w:sz w:val="21"/>
              </w:rPr>
              <w:t>否</w:t>
            </w:r>
          </w:p>
        </w:tc>
      </w:tr>
      <w:tr w14:paraId="693E6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0774B7DA">
            <w:pPr>
              <w:pStyle w:val="17"/>
              <w:spacing w:before="49"/>
              <w:ind w:left="16"/>
              <w:rPr>
                <w:rFonts w:ascii="Times New Roman"/>
                <w:sz w:val="21"/>
              </w:rPr>
            </w:pPr>
            <w:r>
              <w:rPr>
                <w:rFonts w:ascii="Times New Roman"/>
                <w:w w:val="99"/>
                <w:sz w:val="21"/>
              </w:rPr>
              <w:t>5</w:t>
            </w:r>
          </w:p>
        </w:tc>
        <w:tc>
          <w:tcPr>
            <w:tcW w:w="2810" w:type="dxa"/>
          </w:tcPr>
          <w:p w14:paraId="71F2538F">
            <w:pPr>
              <w:pStyle w:val="17"/>
              <w:spacing w:before="35"/>
              <w:ind w:left="123" w:right="113"/>
              <w:rPr>
                <w:sz w:val="21"/>
              </w:rPr>
            </w:pPr>
            <w:r>
              <w:rPr>
                <w:sz w:val="21"/>
              </w:rPr>
              <w:t>是否森林、公园</w:t>
            </w:r>
          </w:p>
        </w:tc>
        <w:tc>
          <w:tcPr>
            <w:tcW w:w="5056" w:type="dxa"/>
            <w:gridSpan w:val="3"/>
            <w:tcBorders>
              <w:right w:val="nil"/>
            </w:tcBorders>
          </w:tcPr>
          <w:p w14:paraId="3693E4B8">
            <w:pPr>
              <w:pStyle w:val="17"/>
              <w:spacing w:before="35"/>
              <w:ind w:left="3"/>
              <w:rPr>
                <w:sz w:val="21"/>
              </w:rPr>
            </w:pPr>
            <w:r>
              <w:rPr>
                <w:w w:val="99"/>
                <w:sz w:val="21"/>
              </w:rPr>
              <w:t>否</w:t>
            </w:r>
          </w:p>
        </w:tc>
      </w:tr>
      <w:tr w14:paraId="42BC2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2B8EEE21">
            <w:pPr>
              <w:pStyle w:val="17"/>
              <w:spacing w:before="49"/>
              <w:ind w:left="16"/>
              <w:rPr>
                <w:rFonts w:ascii="Times New Roman"/>
                <w:sz w:val="21"/>
              </w:rPr>
            </w:pPr>
            <w:r>
              <w:rPr>
                <w:rFonts w:ascii="Times New Roman"/>
                <w:w w:val="99"/>
                <w:sz w:val="21"/>
              </w:rPr>
              <w:t>6</w:t>
            </w:r>
          </w:p>
        </w:tc>
        <w:tc>
          <w:tcPr>
            <w:tcW w:w="2810" w:type="dxa"/>
          </w:tcPr>
          <w:p w14:paraId="40EB0DC0">
            <w:pPr>
              <w:pStyle w:val="17"/>
              <w:spacing w:before="35"/>
              <w:ind w:left="123" w:right="116"/>
              <w:rPr>
                <w:sz w:val="21"/>
              </w:rPr>
            </w:pPr>
            <w:r>
              <w:rPr>
                <w:sz w:val="21"/>
              </w:rPr>
              <w:t>是否生态功能保护区</w:t>
            </w:r>
          </w:p>
        </w:tc>
        <w:tc>
          <w:tcPr>
            <w:tcW w:w="5056" w:type="dxa"/>
            <w:gridSpan w:val="3"/>
            <w:tcBorders>
              <w:right w:val="nil"/>
            </w:tcBorders>
          </w:tcPr>
          <w:p w14:paraId="4DA57676">
            <w:pPr>
              <w:pStyle w:val="17"/>
              <w:spacing w:before="35"/>
              <w:ind w:left="3"/>
              <w:rPr>
                <w:sz w:val="21"/>
              </w:rPr>
            </w:pPr>
            <w:r>
              <w:rPr>
                <w:w w:val="99"/>
                <w:sz w:val="21"/>
              </w:rPr>
              <w:t>否</w:t>
            </w:r>
          </w:p>
        </w:tc>
      </w:tr>
      <w:tr w14:paraId="6982A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435C4572">
            <w:pPr>
              <w:pStyle w:val="17"/>
              <w:spacing w:before="50"/>
              <w:ind w:left="16"/>
              <w:rPr>
                <w:rFonts w:ascii="Times New Roman"/>
                <w:sz w:val="21"/>
              </w:rPr>
            </w:pPr>
            <w:r>
              <w:rPr>
                <w:rFonts w:ascii="Times New Roman"/>
                <w:w w:val="99"/>
                <w:sz w:val="21"/>
              </w:rPr>
              <w:t>7</w:t>
            </w:r>
          </w:p>
        </w:tc>
        <w:tc>
          <w:tcPr>
            <w:tcW w:w="2810" w:type="dxa"/>
          </w:tcPr>
          <w:p w14:paraId="1F59D1A4">
            <w:pPr>
              <w:pStyle w:val="17"/>
              <w:spacing w:before="36"/>
              <w:ind w:left="123" w:right="113"/>
              <w:rPr>
                <w:sz w:val="21"/>
              </w:rPr>
            </w:pPr>
            <w:r>
              <w:rPr>
                <w:sz w:val="21"/>
              </w:rPr>
              <w:t>是否水土流失重点防治区</w:t>
            </w:r>
          </w:p>
        </w:tc>
        <w:tc>
          <w:tcPr>
            <w:tcW w:w="5056" w:type="dxa"/>
            <w:gridSpan w:val="3"/>
            <w:tcBorders>
              <w:right w:val="nil"/>
            </w:tcBorders>
          </w:tcPr>
          <w:p w14:paraId="4AC2B7DC">
            <w:pPr>
              <w:pStyle w:val="17"/>
              <w:spacing w:before="36"/>
              <w:ind w:left="3"/>
              <w:rPr>
                <w:sz w:val="21"/>
              </w:rPr>
            </w:pPr>
            <w:r>
              <w:rPr>
                <w:w w:val="99"/>
                <w:sz w:val="21"/>
              </w:rPr>
              <w:t>否</w:t>
            </w:r>
          </w:p>
        </w:tc>
      </w:tr>
      <w:tr w14:paraId="1BCD3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15DBC857">
            <w:pPr>
              <w:pStyle w:val="17"/>
              <w:spacing w:before="48"/>
              <w:ind w:left="16"/>
              <w:rPr>
                <w:rFonts w:ascii="Times New Roman"/>
                <w:sz w:val="21"/>
              </w:rPr>
            </w:pPr>
            <w:r>
              <w:rPr>
                <w:rFonts w:ascii="Times New Roman"/>
                <w:w w:val="99"/>
                <w:sz w:val="21"/>
              </w:rPr>
              <w:t>8</w:t>
            </w:r>
          </w:p>
        </w:tc>
        <w:tc>
          <w:tcPr>
            <w:tcW w:w="2810" w:type="dxa"/>
          </w:tcPr>
          <w:p w14:paraId="60F14B47">
            <w:pPr>
              <w:pStyle w:val="17"/>
              <w:spacing w:before="34"/>
              <w:ind w:left="121" w:right="116"/>
              <w:rPr>
                <w:sz w:val="21"/>
              </w:rPr>
            </w:pPr>
            <w:r>
              <w:rPr>
                <w:sz w:val="21"/>
              </w:rPr>
              <w:t>是否重点文物保护单位</w:t>
            </w:r>
          </w:p>
        </w:tc>
        <w:tc>
          <w:tcPr>
            <w:tcW w:w="5056" w:type="dxa"/>
            <w:gridSpan w:val="3"/>
            <w:tcBorders>
              <w:right w:val="nil"/>
            </w:tcBorders>
          </w:tcPr>
          <w:p w14:paraId="63E758C2">
            <w:pPr>
              <w:pStyle w:val="17"/>
              <w:spacing w:before="34"/>
              <w:ind w:left="3"/>
              <w:rPr>
                <w:sz w:val="21"/>
              </w:rPr>
            </w:pPr>
            <w:r>
              <w:rPr>
                <w:w w:val="99"/>
                <w:sz w:val="21"/>
              </w:rPr>
              <w:t>否</w:t>
            </w:r>
          </w:p>
        </w:tc>
      </w:tr>
      <w:tr w14:paraId="5415B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79DE069C">
            <w:pPr>
              <w:pStyle w:val="17"/>
              <w:spacing w:before="48"/>
              <w:ind w:left="16"/>
              <w:rPr>
                <w:rFonts w:ascii="Times New Roman"/>
                <w:sz w:val="21"/>
              </w:rPr>
            </w:pPr>
            <w:r>
              <w:rPr>
                <w:rFonts w:ascii="Times New Roman"/>
                <w:w w:val="99"/>
                <w:sz w:val="21"/>
              </w:rPr>
              <w:t>9</w:t>
            </w:r>
          </w:p>
        </w:tc>
        <w:tc>
          <w:tcPr>
            <w:tcW w:w="2810" w:type="dxa"/>
          </w:tcPr>
          <w:p w14:paraId="0C46A782">
            <w:pPr>
              <w:pStyle w:val="17"/>
              <w:spacing w:before="34"/>
              <w:ind w:left="123" w:right="113"/>
              <w:rPr>
                <w:sz w:val="21"/>
              </w:rPr>
            </w:pPr>
            <w:r>
              <w:rPr>
                <w:sz w:val="21"/>
              </w:rPr>
              <w:t>是否属于饮用水源保护区</w:t>
            </w:r>
          </w:p>
        </w:tc>
        <w:tc>
          <w:tcPr>
            <w:tcW w:w="5056" w:type="dxa"/>
            <w:gridSpan w:val="3"/>
            <w:tcBorders>
              <w:right w:val="nil"/>
            </w:tcBorders>
          </w:tcPr>
          <w:p w14:paraId="1BDEE9B5">
            <w:pPr>
              <w:pStyle w:val="17"/>
              <w:spacing w:before="34"/>
              <w:ind w:left="3"/>
              <w:rPr>
                <w:sz w:val="21"/>
              </w:rPr>
            </w:pPr>
            <w:r>
              <w:rPr>
                <w:w w:val="99"/>
                <w:sz w:val="21"/>
              </w:rPr>
              <w:t>否</w:t>
            </w:r>
          </w:p>
        </w:tc>
      </w:tr>
      <w:tr w14:paraId="22A8B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5F85D076">
            <w:pPr>
              <w:pStyle w:val="17"/>
              <w:spacing w:before="48"/>
              <w:ind w:left="99" w:right="88"/>
              <w:rPr>
                <w:rFonts w:ascii="Times New Roman"/>
                <w:sz w:val="21"/>
              </w:rPr>
            </w:pPr>
            <w:r>
              <w:rPr>
                <w:rFonts w:ascii="Times New Roman"/>
                <w:sz w:val="21"/>
              </w:rPr>
              <w:t>10</w:t>
            </w:r>
          </w:p>
        </w:tc>
        <w:tc>
          <w:tcPr>
            <w:tcW w:w="2810" w:type="dxa"/>
          </w:tcPr>
          <w:p w14:paraId="4DA4033F">
            <w:pPr>
              <w:pStyle w:val="17"/>
              <w:spacing w:before="34"/>
              <w:ind w:left="123" w:right="113"/>
              <w:rPr>
                <w:sz w:val="21"/>
              </w:rPr>
            </w:pPr>
            <w:r>
              <w:rPr>
                <w:sz w:val="21"/>
              </w:rPr>
              <w:t>是否污水处理厂集水范围</w:t>
            </w:r>
          </w:p>
        </w:tc>
        <w:tc>
          <w:tcPr>
            <w:tcW w:w="5056" w:type="dxa"/>
            <w:gridSpan w:val="3"/>
            <w:tcBorders>
              <w:right w:val="nil"/>
            </w:tcBorders>
          </w:tcPr>
          <w:p w14:paraId="5E05B7DA">
            <w:pPr>
              <w:pStyle w:val="17"/>
              <w:spacing w:before="34"/>
              <w:ind w:left="1162"/>
              <w:jc w:val="left"/>
              <w:rPr>
                <w:sz w:val="21"/>
              </w:rPr>
            </w:pPr>
            <w:r>
              <w:rPr>
                <w:sz w:val="21"/>
              </w:rPr>
              <w:t>是（汨罗市城市污水处理厂）</w:t>
            </w:r>
          </w:p>
        </w:tc>
      </w:tr>
      <w:tr w14:paraId="69C2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3" w:type="dxa"/>
            <w:tcBorders>
              <w:left w:val="nil"/>
            </w:tcBorders>
          </w:tcPr>
          <w:p w14:paraId="0ED0D11C">
            <w:pPr>
              <w:pStyle w:val="17"/>
              <w:spacing w:before="49"/>
              <w:ind w:left="100" w:right="84"/>
              <w:rPr>
                <w:rFonts w:ascii="Times New Roman"/>
                <w:sz w:val="21"/>
              </w:rPr>
            </w:pPr>
            <w:r>
              <w:rPr>
                <w:rFonts w:ascii="Times New Roman"/>
                <w:sz w:val="21"/>
              </w:rPr>
              <w:t>11</w:t>
            </w:r>
          </w:p>
        </w:tc>
        <w:tc>
          <w:tcPr>
            <w:tcW w:w="2810" w:type="dxa"/>
          </w:tcPr>
          <w:p w14:paraId="50F2950D">
            <w:pPr>
              <w:pStyle w:val="17"/>
              <w:spacing w:before="35"/>
              <w:ind w:left="123" w:right="116"/>
              <w:rPr>
                <w:sz w:val="21"/>
              </w:rPr>
            </w:pPr>
            <w:r>
              <w:rPr>
                <w:sz w:val="21"/>
              </w:rPr>
              <w:t>是否属于生态敏感与脆弱区</w:t>
            </w:r>
          </w:p>
        </w:tc>
        <w:tc>
          <w:tcPr>
            <w:tcW w:w="5056" w:type="dxa"/>
            <w:gridSpan w:val="3"/>
            <w:tcBorders>
              <w:right w:val="nil"/>
            </w:tcBorders>
          </w:tcPr>
          <w:p w14:paraId="70A8DEF2">
            <w:pPr>
              <w:pStyle w:val="17"/>
              <w:spacing w:before="35"/>
              <w:ind w:left="3"/>
              <w:rPr>
                <w:sz w:val="21"/>
              </w:rPr>
            </w:pPr>
            <w:r>
              <w:rPr>
                <w:w w:val="99"/>
                <w:sz w:val="21"/>
              </w:rPr>
              <w:t>否</w:t>
            </w:r>
          </w:p>
        </w:tc>
      </w:tr>
    </w:tbl>
    <w:p w14:paraId="760EBFCD">
      <w:pPr>
        <w:spacing w:after="0"/>
        <w:rPr>
          <w:sz w:val="21"/>
        </w:rPr>
        <w:sectPr>
          <w:pgSz w:w="11910" w:h="16840"/>
          <w:pgMar w:top="1420" w:right="1440" w:bottom="1220" w:left="1580" w:header="0" w:footer="1024" w:gutter="0"/>
          <w:cols w:space="720" w:num="1"/>
        </w:sectPr>
      </w:pPr>
    </w:p>
    <w:p w14:paraId="43B64D06">
      <w:pPr>
        <w:pStyle w:val="3"/>
        <w:numPr>
          <w:ilvl w:val="1"/>
          <w:numId w:val="5"/>
        </w:numPr>
        <w:tabs>
          <w:tab w:val="left" w:pos="669"/>
        </w:tabs>
        <w:spacing w:before="43" w:after="0" w:line="240" w:lineRule="auto"/>
        <w:ind w:left="668" w:right="0" w:hanging="448"/>
        <w:jc w:val="left"/>
      </w:pPr>
      <w:bookmarkStart w:id="11" w:name="_TOC_250044"/>
      <w:bookmarkEnd w:id="11"/>
      <w:r>
        <w:t>评价标准</w:t>
      </w:r>
    </w:p>
    <w:p w14:paraId="72601199">
      <w:pPr>
        <w:pStyle w:val="16"/>
        <w:numPr>
          <w:ilvl w:val="2"/>
          <w:numId w:val="5"/>
        </w:numPr>
        <w:tabs>
          <w:tab w:val="left" w:pos="849"/>
        </w:tabs>
        <w:spacing w:before="271" w:after="0" w:line="240" w:lineRule="auto"/>
        <w:ind w:left="848" w:right="0" w:hanging="628"/>
        <w:jc w:val="left"/>
        <w:rPr>
          <w:b/>
          <w:sz w:val="28"/>
        </w:rPr>
      </w:pPr>
      <w:r>
        <w:rPr>
          <w:b/>
          <w:sz w:val="28"/>
        </w:rPr>
        <w:t>环境质量标准</w:t>
      </w:r>
    </w:p>
    <w:p w14:paraId="440F2AFB">
      <w:pPr>
        <w:pStyle w:val="10"/>
        <w:spacing w:before="234"/>
        <w:ind w:left="700"/>
      </w:pPr>
      <w:r>
        <w:rPr>
          <w:rFonts w:ascii="Times New Roman" w:eastAsia="Times New Roman"/>
        </w:rPr>
        <w:t>1</w:t>
      </w:r>
      <w:r>
        <w:t>、空气环境</w:t>
      </w:r>
    </w:p>
    <w:p w14:paraId="2B7FE2E5">
      <w:pPr>
        <w:pStyle w:val="10"/>
        <w:spacing w:before="157" w:line="364" w:lineRule="auto"/>
        <w:ind w:left="220" w:right="117" w:firstLine="480"/>
      </w:pPr>
      <w:r>
        <w:rPr>
          <w:rFonts w:ascii="Times New Roman" w:eastAsia="Times New Roman"/>
          <w:position w:val="2"/>
        </w:rPr>
        <w:t>SO</w:t>
      </w:r>
      <w:r>
        <w:rPr>
          <w:rFonts w:ascii="Times New Roman" w:eastAsia="Times New Roman"/>
          <w:position w:val="2"/>
          <w:vertAlign w:val="subscript"/>
        </w:rPr>
        <w:t>2</w:t>
      </w:r>
      <w:r>
        <w:rPr>
          <w:spacing w:val="-113"/>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r>
        <w:rPr>
          <w:spacing w:val="-116"/>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10</w:t>
      </w:r>
      <w:r>
        <w:rPr>
          <w:spacing w:val="-113"/>
          <w:position w:val="2"/>
          <w:vertAlign w:val="baseline"/>
        </w:rPr>
        <w:t>、</w:t>
      </w:r>
      <w:r>
        <w:rPr>
          <w:rFonts w:ascii="Times New Roman" w:eastAsia="Times New Roman"/>
          <w:position w:val="2"/>
          <w:vertAlign w:val="baseline"/>
        </w:rPr>
        <w:t>CO</w:t>
      </w:r>
      <w:r>
        <w:rPr>
          <w:spacing w:val="-113"/>
          <w:position w:val="2"/>
          <w:vertAlign w:val="baseline"/>
        </w:rPr>
        <w:t>、</w:t>
      </w:r>
      <w:r>
        <w:rPr>
          <w:rFonts w:ascii="Times New Roman" w:eastAsia="Times New Roman"/>
          <w:position w:val="2"/>
          <w:vertAlign w:val="baseline"/>
        </w:rPr>
        <w:t>O</w:t>
      </w:r>
      <w:r>
        <w:rPr>
          <w:rFonts w:ascii="Times New Roman" w:eastAsia="Times New Roman"/>
          <w:position w:val="2"/>
          <w:vertAlign w:val="subscript"/>
        </w:rPr>
        <w:t>3</w:t>
      </w:r>
      <w:r>
        <w:rPr>
          <w:spacing w:val="-113"/>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2.5</w:t>
      </w:r>
      <w:r>
        <w:rPr>
          <w:spacing w:val="-113"/>
          <w:position w:val="2"/>
          <w:vertAlign w:val="baseline"/>
        </w:rPr>
        <w:t>、</w:t>
      </w:r>
      <w:r>
        <w:rPr>
          <w:rFonts w:ascii="Times New Roman" w:eastAsia="Times New Roman"/>
          <w:position w:val="2"/>
          <w:vertAlign w:val="baseline"/>
        </w:rPr>
        <w:t>TSP</w:t>
      </w:r>
      <w:r>
        <w:rPr>
          <w:rFonts w:ascii="Times New Roman" w:eastAsia="Times New Roman"/>
          <w:spacing w:val="-6"/>
          <w:position w:val="2"/>
          <w:vertAlign w:val="baseline"/>
        </w:rPr>
        <w:t xml:space="preserve"> </w:t>
      </w:r>
      <w:r>
        <w:rPr>
          <w:spacing w:val="-13"/>
          <w:position w:val="2"/>
          <w:vertAlign w:val="baseline"/>
        </w:rPr>
        <w:t>执行《环境空气质量标准</w:t>
      </w:r>
      <w:r>
        <w:rPr>
          <w:spacing w:val="-221"/>
          <w:position w:val="2"/>
          <w:vertAlign w:val="baseline"/>
        </w:rPr>
        <w:t>》</w:t>
      </w:r>
      <w:r>
        <w:rPr>
          <w:position w:val="2"/>
          <w:vertAlign w:val="baseline"/>
        </w:rPr>
        <w:t>（</w:t>
      </w:r>
      <w:r>
        <w:rPr>
          <w:rFonts w:ascii="Times New Roman" w:eastAsia="Times New Roman"/>
          <w:position w:val="2"/>
          <w:vertAlign w:val="baseline"/>
        </w:rPr>
        <w:t>GB3095-2012</w:t>
      </w:r>
      <w:r>
        <w:rPr>
          <w:position w:val="2"/>
          <w:vertAlign w:val="baseline"/>
        </w:rPr>
        <w:t xml:space="preserve">） </w:t>
      </w:r>
      <w:r>
        <w:rPr>
          <w:vertAlign w:val="baseline"/>
        </w:rPr>
        <w:t>中的二级标准；</w:t>
      </w:r>
      <w:r>
        <w:rPr>
          <w:rFonts w:ascii="Times New Roman" w:eastAsia="Times New Roman"/>
          <w:vertAlign w:val="baseline"/>
        </w:rPr>
        <w:t>TVOC</w:t>
      </w:r>
      <w:r>
        <w:rPr>
          <w:rFonts w:ascii="Times New Roman" w:eastAsia="Times New Roman"/>
          <w:spacing w:val="-2"/>
          <w:vertAlign w:val="baseline"/>
        </w:rPr>
        <w:t xml:space="preserve"> </w:t>
      </w:r>
      <w:r>
        <w:rPr>
          <w:spacing w:val="-4"/>
          <w:vertAlign w:val="baseline"/>
        </w:rPr>
        <w:t>执行《环境影响评价技术导则 大气环境》</w:t>
      </w:r>
      <w:r>
        <w:rPr>
          <w:vertAlign w:val="baseline"/>
        </w:rPr>
        <w:t>（</w:t>
      </w:r>
      <w:r>
        <w:rPr>
          <w:rFonts w:ascii="Times New Roman" w:eastAsia="Times New Roman"/>
          <w:vertAlign w:val="baseline"/>
        </w:rPr>
        <w:t>HJ2.2-2018</w:t>
      </w:r>
      <w:r>
        <w:rPr>
          <w:vertAlign w:val="baseline"/>
        </w:rPr>
        <w:t xml:space="preserve">） </w:t>
      </w:r>
      <w:r>
        <w:rPr>
          <w:spacing w:val="-14"/>
          <w:vertAlign w:val="baseline"/>
        </w:rPr>
        <w:t xml:space="preserve">附录 </w:t>
      </w:r>
      <w:r>
        <w:rPr>
          <w:rFonts w:ascii="Times New Roman" w:eastAsia="Times New Roman"/>
          <w:vertAlign w:val="baseline"/>
        </w:rPr>
        <w:t>D</w:t>
      </w:r>
      <w:r>
        <w:rPr>
          <w:rFonts w:ascii="Times New Roman" w:eastAsia="Times New Roman"/>
          <w:spacing w:val="21"/>
          <w:vertAlign w:val="baseline"/>
        </w:rPr>
        <w:t xml:space="preserve"> </w:t>
      </w:r>
      <w:r>
        <w:rPr>
          <w:spacing w:val="-14"/>
          <w:vertAlign w:val="baseline"/>
        </w:rPr>
        <w:t xml:space="preserve">中表 </w:t>
      </w:r>
      <w:r>
        <w:rPr>
          <w:rFonts w:ascii="Times New Roman" w:eastAsia="Times New Roman"/>
          <w:vertAlign w:val="baseline"/>
        </w:rPr>
        <w:t>D.1</w:t>
      </w:r>
      <w:r>
        <w:rPr>
          <w:rFonts w:ascii="Times New Roman" w:eastAsia="Times New Roman"/>
          <w:spacing w:val="21"/>
          <w:vertAlign w:val="baseline"/>
        </w:rPr>
        <w:t xml:space="preserve"> </w:t>
      </w:r>
      <w:r>
        <w:rPr>
          <w:vertAlign w:val="baseline"/>
        </w:rPr>
        <w:t xml:space="preserve">相应的标准；非甲烷总烃参照执行《大气污染物综合排放标准 </w:t>
      </w:r>
      <w:r>
        <w:rPr>
          <w:spacing w:val="-12"/>
          <w:vertAlign w:val="baseline"/>
        </w:rPr>
        <w:t xml:space="preserve">详解》中 </w:t>
      </w:r>
      <w:r>
        <w:rPr>
          <w:rFonts w:ascii="Times New Roman" w:eastAsia="Times New Roman"/>
          <w:vertAlign w:val="baseline"/>
        </w:rPr>
        <w:t>2.0mg/m</w:t>
      </w:r>
      <w:r>
        <w:rPr>
          <w:rFonts w:ascii="Times New Roman" w:eastAsia="Times New Roman"/>
          <w:position w:val="8"/>
          <w:sz w:val="15"/>
          <w:vertAlign w:val="baseline"/>
        </w:rPr>
        <w:t>3</w:t>
      </w:r>
      <w:r>
        <w:rPr>
          <w:rFonts w:ascii="Times New Roman" w:eastAsia="Times New Roman"/>
          <w:spacing w:val="0"/>
          <w:position w:val="8"/>
          <w:sz w:val="15"/>
          <w:vertAlign w:val="baseline"/>
        </w:rPr>
        <w:t xml:space="preserve"> </w:t>
      </w:r>
      <w:r>
        <w:rPr>
          <w:vertAlign w:val="baseline"/>
        </w:rPr>
        <w:t>的限值。</w:t>
      </w:r>
    </w:p>
    <w:p w14:paraId="03408411">
      <w:pPr>
        <w:pStyle w:val="9"/>
        <w:spacing w:before="1"/>
        <w:ind w:left="1717"/>
      </w:pPr>
      <w:r>
        <w:t xml:space="preserve">表 </w:t>
      </w:r>
      <w:r>
        <w:rPr>
          <w:rFonts w:ascii="Times New Roman" w:hAnsi="Times New Roman" w:eastAsia="Times New Roman"/>
        </w:rPr>
        <w:t xml:space="preserve">1.4-1 </w:t>
      </w:r>
      <w:r>
        <w:t>环境空气污染物质量标准（单位：</w:t>
      </w:r>
      <w:r>
        <w:rPr>
          <w:rFonts w:ascii="Times New Roman" w:hAnsi="Times New Roman" w:eastAsia="Times New Roman"/>
        </w:rPr>
        <w:t>μg/m³</w:t>
      </w:r>
      <w:r>
        <w:t>）</w:t>
      </w:r>
    </w:p>
    <w:p w14:paraId="57502520">
      <w:pPr>
        <w:pStyle w:val="10"/>
        <w:spacing w:before="2"/>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1774"/>
        <w:gridCol w:w="1805"/>
        <w:gridCol w:w="1798"/>
        <w:gridCol w:w="1803"/>
      </w:tblGrid>
      <w:tr w14:paraId="6287D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vMerge w:val="restart"/>
            <w:tcBorders>
              <w:left w:val="nil"/>
            </w:tcBorders>
          </w:tcPr>
          <w:p w14:paraId="0DDC05C9">
            <w:pPr>
              <w:pStyle w:val="17"/>
              <w:spacing w:before="4"/>
              <w:jc w:val="left"/>
              <w:rPr>
                <w:b/>
                <w:sz w:val="16"/>
              </w:rPr>
            </w:pPr>
          </w:p>
          <w:p w14:paraId="60D15C25">
            <w:pPr>
              <w:pStyle w:val="17"/>
              <w:ind w:left="147"/>
              <w:jc w:val="left"/>
              <w:rPr>
                <w:sz w:val="21"/>
              </w:rPr>
            </w:pPr>
            <w:r>
              <w:rPr>
                <w:sz w:val="21"/>
              </w:rPr>
              <w:t>污染物名称</w:t>
            </w:r>
          </w:p>
        </w:tc>
        <w:tc>
          <w:tcPr>
            <w:tcW w:w="7180" w:type="dxa"/>
            <w:gridSpan w:val="4"/>
            <w:tcBorders>
              <w:right w:val="nil"/>
            </w:tcBorders>
          </w:tcPr>
          <w:p w14:paraId="021E9851">
            <w:pPr>
              <w:pStyle w:val="17"/>
              <w:spacing w:before="34"/>
              <w:ind w:left="3148" w:right="3147"/>
              <w:rPr>
                <w:sz w:val="21"/>
              </w:rPr>
            </w:pPr>
            <w:r>
              <w:rPr>
                <w:sz w:val="21"/>
              </w:rPr>
              <w:t>标准限值</w:t>
            </w:r>
          </w:p>
        </w:tc>
      </w:tr>
      <w:tr w14:paraId="6EDD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vMerge w:val="continue"/>
            <w:tcBorders>
              <w:top w:val="nil"/>
              <w:left w:val="nil"/>
            </w:tcBorders>
          </w:tcPr>
          <w:p w14:paraId="3A1945AB">
            <w:pPr>
              <w:rPr>
                <w:sz w:val="2"/>
                <w:szCs w:val="2"/>
              </w:rPr>
            </w:pPr>
          </w:p>
        </w:tc>
        <w:tc>
          <w:tcPr>
            <w:tcW w:w="1774" w:type="dxa"/>
          </w:tcPr>
          <w:p w14:paraId="3E2269DF">
            <w:pPr>
              <w:pStyle w:val="17"/>
              <w:spacing w:before="34"/>
              <w:ind w:left="365" w:right="360"/>
              <w:rPr>
                <w:sz w:val="21"/>
              </w:rPr>
            </w:pPr>
            <w:r>
              <w:rPr>
                <w:rFonts w:ascii="Times New Roman" w:eastAsia="Times New Roman"/>
                <w:sz w:val="21"/>
              </w:rPr>
              <w:t xml:space="preserve">1 </w:t>
            </w:r>
            <w:r>
              <w:rPr>
                <w:sz w:val="21"/>
              </w:rPr>
              <w:t>小时平均</w:t>
            </w:r>
          </w:p>
        </w:tc>
        <w:tc>
          <w:tcPr>
            <w:tcW w:w="1805" w:type="dxa"/>
          </w:tcPr>
          <w:p w14:paraId="28E0200B">
            <w:pPr>
              <w:pStyle w:val="17"/>
              <w:spacing w:before="34"/>
              <w:ind w:left="566" w:right="559"/>
              <w:rPr>
                <w:sz w:val="21"/>
              </w:rPr>
            </w:pPr>
            <w:r>
              <w:rPr>
                <w:sz w:val="21"/>
              </w:rPr>
              <w:t>日平均</w:t>
            </w:r>
          </w:p>
        </w:tc>
        <w:tc>
          <w:tcPr>
            <w:tcW w:w="1798" w:type="dxa"/>
          </w:tcPr>
          <w:p w14:paraId="69B1A88B">
            <w:pPr>
              <w:pStyle w:val="17"/>
              <w:spacing w:before="34"/>
              <w:ind w:left="378" w:right="372"/>
              <w:rPr>
                <w:sz w:val="21"/>
              </w:rPr>
            </w:pPr>
            <w:r>
              <w:rPr>
                <w:rFonts w:ascii="Times New Roman" w:eastAsia="Times New Roman"/>
                <w:sz w:val="21"/>
              </w:rPr>
              <w:t xml:space="preserve">8 </w:t>
            </w:r>
            <w:r>
              <w:rPr>
                <w:sz w:val="21"/>
              </w:rPr>
              <w:t>小时均值</w:t>
            </w:r>
          </w:p>
        </w:tc>
        <w:tc>
          <w:tcPr>
            <w:tcW w:w="1803" w:type="dxa"/>
            <w:tcBorders>
              <w:right w:val="nil"/>
            </w:tcBorders>
          </w:tcPr>
          <w:p w14:paraId="05080534">
            <w:pPr>
              <w:pStyle w:val="17"/>
              <w:spacing w:before="34"/>
              <w:ind w:left="565" w:right="563"/>
              <w:rPr>
                <w:sz w:val="21"/>
              </w:rPr>
            </w:pPr>
            <w:r>
              <w:rPr>
                <w:sz w:val="21"/>
              </w:rPr>
              <w:t>年均值</w:t>
            </w:r>
          </w:p>
        </w:tc>
      </w:tr>
      <w:tr w14:paraId="4D1FE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7B5B01A5">
            <w:pPr>
              <w:pStyle w:val="17"/>
              <w:spacing w:before="45"/>
              <w:ind w:left="173" w:right="159"/>
              <w:rPr>
                <w:rFonts w:ascii="Times New Roman"/>
                <w:sz w:val="21"/>
              </w:rPr>
            </w:pPr>
            <w:r>
              <w:rPr>
                <w:rFonts w:ascii="Times New Roman"/>
                <w:position w:val="2"/>
                <w:sz w:val="21"/>
              </w:rPr>
              <w:t>SO</w:t>
            </w:r>
            <w:r>
              <w:rPr>
                <w:rFonts w:ascii="Times New Roman"/>
                <w:position w:val="2"/>
                <w:sz w:val="21"/>
                <w:vertAlign w:val="subscript"/>
              </w:rPr>
              <w:t>2</w:t>
            </w:r>
          </w:p>
        </w:tc>
        <w:tc>
          <w:tcPr>
            <w:tcW w:w="1774" w:type="dxa"/>
          </w:tcPr>
          <w:p w14:paraId="31B3F4E9">
            <w:pPr>
              <w:pStyle w:val="17"/>
              <w:spacing w:before="48"/>
              <w:ind w:left="365" w:right="357"/>
              <w:rPr>
                <w:rFonts w:ascii="Times New Roman"/>
                <w:sz w:val="21"/>
              </w:rPr>
            </w:pPr>
            <w:r>
              <w:rPr>
                <w:rFonts w:ascii="Times New Roman"/>
                <w:sz w:val="21"/>
              </w:rPr>
              <w:t>500</w:t>
            </w:r>
          </w:p>
        </w:tc>
        <w:tc>
          <w:tcPr>
            <w:tcW w:w="1805" w:type="dxa"/>
          </w:tcPr>
          <w:p w14:paraId="0B9AFAAC">
            <w:pPr>
              <w:pStyle w:val="17"/>
              <w:spacing w:before="48"/>
              <w:ind w:left="566" w:right="556"/>
              <w:rPr>
                <w:rFonts w:ascii="Times New Roman"/>
                <w:sz w:val="21"/>
              </w:rPr>
            </w:pPr>
            <w:r>
              <w:rPr>
                <w:rFonts w:ascii="Times New Roman"/>
                <w:sz w:val="21"/>
              </w:rPr>
              <w:t>150</w:t>
            </w:r>
          </w:p>
        </w:tc>
        <w:tc>
          <w:tcPr>
            <w:tcW w:w="1798" w:type="dxa"/>
          </w:tcPr>
          <w:p w14:paraId="46071E99">
            <w:pPr>
              <w:pStyle w:val="17"/>
              <w:spacing w:before="48"/>
              <w:ind w:left="9"/>
              <w:rPr>
                <w:rFonts w:ascii="Times New Roman"/>
                <w:sz w:val="21"/>
              </w:rPr>
            </w:pPr>
            <w:r>
              <w:rPr>
                <w:rFonts w:ascii="Times New Roman"/>
                <w:w w:val="99"/>
                <w:sz w:val="21"/>
              </w:rPr>
              <w:t>/</w:t>
            </w:r>
          </w:p>
        </w:tc>
        <w:tc>
          <w:tcPr>
            <w:tcW w:w="1803" w:type="dxa"/>
            <w:tcBorders>
              <w:right w:val="nil"/>
            </w:tcBorders>
          </w:tcPr>
          <w:p w14:paraId="2685C96B">
            <w:pPr>
              <w:pStyle w:val="17"/>
              <w:spacing w:before="48"/>
              <w:ind w:left="564" w:right="563"/>
              <w:rPr>
                <w:rFonts w:ascii="Times New Roman"/>
                <w:sz w:val="21"/>
              </w:rPr>
            </w:pPr>
            <w:r>
              <w:rPr>
                <w:rFonts w:ascii="Times New Roman"/>
                <w:sz w:val="21"/>
              </w:rPr>
              <w:t>60</w:t>
            </w:r>
          </w:p>
        </w:tc>
      </w:tr>
      <w:tr w14:paraId="04EDC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339" w:type="dxa"/>
            <w:tcBorders>
              <w:left w:val="nil"/>
            </w:tcBorders>
          </w:tcPr>
          <w:p w14:paraId="1282DDB3">
            <w:pPr>
              <w:pStyle w:val="17"/>
              <w:spacing w:before="46"/>
              <w:ind w:left="173" w:right="159"/>
              <w:rPr>
                <w:rFonts w:ascii="Times New Roman"/>
                <w:sz w:val="21"/>
              </w:rPr>
            </w:pPr>
            <w:r>
              <w:rPr>
                <w:rFonts w:ascii="Times New Roman"/>
                <w:position w:val="2"/>
                <w:sz w:val="21"/>
              </w:rPr>
              <w:t>NO</w:t>
            </w:r>
            <w:r>
              <w:rPr>
                <w:rFonts w:ascii="Times New Roman"/>
                <w:position w:val="2"/>
                <w:sz w:val="21"/>
                <w:vertAlign w:val="subscript"/>
              </w:rPr>
              <w:t>2</w:t>
            </w:r>
          </w:p>
        </w:tc>
        <w:tc>
          <w:tcPr>
            <w:tcW w:w="1774" w:type="dxa"/>
          </w:tcPr>
          <w:p w14:paraId="52A29A67">
            <w:pPr>
              <w:pStyle w:val="17"/>
              <w:spacing w:before="49"/>
              <w:ind w:left="365" w:right="357"/>
              <w:rPr>
                <w:rFonts w:ascii="Times New Roman"/>
                <w:sz w:val="21"/>
              </w:rPr>
            </w:pPr>
            <w:r>
              <w:rPr>
                <w:rFonts w:ascii="Times New Roman"/>
                <w:sz w:val="21"/>
              </w:rPr>
              <w:t>200</w:t>
            </w:r>
          </w:p>
        </w:tc>
        <w:tc>
          <w:tcPr>
            <w:tcW w:w="1805" w:type="dxa"/>
          </w:tcPr>
          <w:p w14:paraId="60BCB259">
            <w:pPr>
              <w:pStyle w:val="17"/>
              <w:spacing w:before="49"/>
              <w:ind w:left="566" w:right="556"/>
              <w:rPr>
                <w:rFonts w:ascii="Times New Roman"/>
                <w:sz w:val="21"/>
              </w:rPr>
            </w:pPr>
            <w:r>
              <w:rPr>
                <w:rFonts w:ascii="Times New Roman"/>
                <w:sz w:val="21"/>
              </w:rPr>
              <w:t>80</w:t>
            </w:r>
          </w:p>
        </w:tc>
        <w:tc>
          <w:tcPr>
            <w:tcW w:w="1798" w:type="dxa"/>
          </w:tcPr>
          <w:p w14:paraId="6CAB1167">
            <w:pPr>
              <w:pStyle w:val="17"/>
              <w:spacing w:before="49"/>
              <w:ind w:left="9"/>
              <w:rPr>
                <w:rFonts w:ascii="Times New Roman"/>
                <w:sz w:val="21"/>
              </w:rPr>
            </w:pPr>
            <w:r>
              <w:rPr>
                <w:rFonts w:ascii="Times New Roman"/>
                <w:w w:val="99"/>
                <w:sz w:val="21"/>
              </w:rPr>
              <w:t>/</w:t>
            </w:r>
          </w:p>
        </w:tc>
        <w:tc>
          <w:tcPr>
            <w:tcW w:w="1803" w:type="dxa"/>
            <w:tcBorders>
              <w:right w:val="nil"/>
            </w:tcBorders>
          </w:tcPr>
          <w:p w14:paraId="178C25A3">
            <w:pPr>
              <w:pStyle w:val="17"/>
              <w:spacing w:before="49"/>
              <w:ind w:left="564" w:right="563"/>
              <w:rPr>
                <w:rFonts w:ascii="Times New Roman"/>
                <w:sz w:val="21"/>
              </w:rPr>
            </w:pPr>
            <w:r>
              <w:rPr>
                <w:rFonts w:ascii="Times New Roman"/>
                <w:sz w:val="21"/>
              </w:rPr>
              <w:t>40</w:t>
            </w:r>
          </w:p>
        </w:tc>
      </w:tr>
      <w:tr w14:paraId="53960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10E9D552">
            <w:pPr>
              <w:pStyle w:val="17"/>
              <w:spacing w:before="46"/>
              <w:ind w:left="173" w:right="159"/>
              <w:rPr>
                <w:rFonts w:ascii="Times New Roman"/>
                <w:sz w:val="21"/>
              </w:rPr>
            </w:pPr>
            <w:r>
              <w:rPr>
                <w:rFonts w:ascii="Times New Roman"/>
                <w:position w:val="2"/>
                <w:sz w:val="21"/>
              </w:rPr>
              <w:t>PM</w:t>
            </w:r>
            <w:r>
              <w:rPr>
                <w:rFonts w:ascii="Times New Roman"/>
                <w:position w:val="2"/>
                <w:sz w:val="21"/>
                <w:vertAlign w:val="subscript"/>
              </w:rPr>
              <w:t>10</w:t>
            </w:r>
          </w:p>
        </w:tc>
        <w:tc>
          <w:tcPr>
            <w:tcW w:w="1774" w:type="dxa"/>
          </w:tcPr>
          <w:p w14:paraId="750E2477">
            <w:pPr>
              <w:pStyle w:val="17"/>
              <w:spacing w:before="49"/>
              <w:ind w:left="10"/>
              <w:rPr>
                <w:rFonts w:ascii="Times New Roman"/>
                <w:sz w:val="21"/>
              </w:rPr>
            </w:pPr>
            <w:r>
              <w:rPr>
                <w:rFonts w:ascii="Times New Roman"/>
                <w:w w:val="99"/>
                <w:sz w:val="21"/>
              </w:rPr>
              <w:t>/</w:t>
            </w:r>
          </w:p>
        </w:tc>
        <w:tc>
          <w:tcPr>
            <w:tcW w:w="1805" w:type="dxa"/>
          </w:tcPr>
          <w:p w14:paraId="5D9F72E5">
            <w:pPr>
              <w:pStyle w:val="17"/>
              <w:spacing w:before="49"/>
              <w:ind w:left="566" w:right="556"/>
              <w:rPr>
                <w:rFonts w:ascii="Times New Roman"/>
                <w:sz w:val="21"/>
              </w:rPr>
            </w:pPr>
            <w:r>
              <w:rPr>
                <w:rFonts w:ascii="Times New Roman"/>
                <w:sz w:val="21"/>
              </w:rPr>
              <w:t>150</w:t>
            </w:r>
          </w:p>
        </w:tc>
        <w:tc>
          <w:tcPr>
            <w:tcW w:w="1798" w:type="dxa"/>
          </w:tcPr>
          <w:p w14:paraId="5D8CDAFF">
            <w:pPr>
              <w:pStyle w:val="17"/>
              <w:spacing w:before="49"/>
              <w:ind w:left="9"/>
              <w:rPr>
                <w:rFonts w:ascii="Times New Roman"/>
                <w:sz w:val="21"/>
              </w:rPr>
            </w:pPr>
            <w:r>
              <w:rPr>
                <w:rFonts w:ascii="Times New Roman"/>
                <w:w w:val="99"/>
                <w:sz w:val="21"/>
              </w:rPr>
              <w:t>/</w:t>
            </w:r>
          </w:p>
        </w:tc>
        <w:tc>
          <w:tcPr>
            <w:tcW w:w="1803" w:type="dxa"/>
            <w:tcBorders>
              <w:right w:val="nil"/>
            </w:tcBorders>
          </w:tcPr>
          <w:p w14:paraId="2427228B">
            <w:pPr>
              <w:pStyle w:val="17"/>
              <w:spacing w:before="49"/>
              <w:ind w:left="564" w:right="563"/>
              <w:rPr>
                <w:rFonts w:ascii="Times New Roman"/>
                <w:sz w:val="21"/>
              </w:rPr>
            </w:pPr>
            <w:r>
              <w:rPr>
                <w:rFonts w:ascii="Times New Roman"/>
                <w:sz w:val="21"/>
              </w:rPr>
              <w:t>70</w:t>
            </w:r>
          </w:p>
        </w:tc>
      </w:tr>
      <w:tr w14:paraId="507BB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3A66AF3D">
            <w:pPr>
              <w:pStyle w:val="17"/>
              <w:spacing w:before="46"/>
              <w:ind w:left="172" w:right="161"/>
              <w:rPr>
                <w:rFonts w:ascii="Times New Roman"/>
                <w:sz w:val="13"/>
              </w:rPr>
            </w:pPr>
            <w:r>
              <w:rPr>
                <w:rFonts w:ascii="Times New Roman"/>
                <w:w w:val="105"/>
                <w:position w:val="2"/>
                <w:sz w:val="21"/>
              </w:rPr>
              <w:t>PM</w:t>
            </w:r>
            <w:r>
              <w:rPr>
                <w:rFonts w:ascii="Times New Roman"/>
                <w:w w:val="105"/>
                <w:sz w:val="13"/>
              </w:rPr>
              <w:t>2.5</w:t>
            </w:r>
          </w:p>
        </w:tc>
        <w:tc>
          <w:tcPr>
            <w:tcW w:w="1774" w:type="dxa"/>
          </w:tcPr>
          <w:p w14:paraId="7D86AA1D">
            <w:pPr>
              <w:pStyle w:val="17"/>
              <w:spacing w:before="50"/>
              <w:ind w:left="10"/>
              <w:rPr>
                <w:rFonts w:ascii="Times New Roman"/>
                <w:sz w:val="21"/>
              </w:rPr>
            </w:pPr>
            <w:r>
              <w:rPr>
                <w:rFonts w:ascii="Times New Roman"/>
                <w:w w:val="99"/>
                <w:sz w:val="21"/>
              </w:rPr>
              <w:t>/</w:t>
            </w:r>
          </w:p>
        </w:tc>
        <w:tc>
          <w:tcPr>
            <w:tcW w:w="1805" w:type="dxa"/>
          </w:tcPr>
          <w:p w14:paraId="487B60FD">
            <w:pPr>
              <w:pStyle w:val="17"/>
              <w:spacing w:before="50"/>
              <w:ind w:left="566" w:right="556"/>
              <w:rPr>
                <w:rFonts w:ascii="Times New Roman"/>
                <w:sz w:val="21"/>
              </w:rPr>
            </w:pPr>
            <w:r>
              <w:rPr>
                <w:rFonts w:ascii="Times New Roman"/>
                <w:sz w:val="21"/>
              </w:rPr>
              <w:t>75</w:t>
            </w:r>
          </w:p>
        </w:tc>
        <w:tc>
          <w:tcPr>
            <w:tcW w:w="1798" w:type="dxa"/>
          </w:tcPr>
          <w:p w14:paraId="67821E64">
            <w:pPr>
              <w:pStyle w:val="17"/>
              <w:spacing w:before="50"/>
              <w:ind w:left="9"/>
              <w:rPr>
                <w:rFonts w:ascii="Times New Roman"/>
                <w:sz w:val="21"/>
              </w:rPr>
            </w:pPr>
            <w:r>
              <w:rPr>
                <w:rFonts w:ascii="Times New Roman"/>
                <w:w w:val="99"/>
                <w:sz w:val="21"/>
              </w:rPr>
              <w:t>/</w:t>
            </w:r>
          </w:p>
        </w:tc>
        <w:tc>
          <w:tcPr>
            <w:tcW w:w="1803" w:type="dxa"/>
            <w:tcBorders>
              <w:right w:val="nil"/>
            </w:tcBorders>
          </w:tcPr>
          <w:p w14:paraId="3CA65606">
            <w:pPr>
              <w:pStyle w:val="17"/>
              <w:spacing w:before="50"/>
              <w:ind w:left="564" w:right="563"/>
              <w:rPr>
                <w:rFonts w:ascii="Times New Roman"/>
                <w:sz w:val="21"/>
              </w:rPr>
            </w:pPr>
            <w:r>
              <w:rPr>
                <w:rFonts w:ascii="Times New Roman"/>
                <w:sz w:val="21"/>
              </w:rPr>
              <w:t>35</w:t>
            </w:r>
          </w:p>
        </w:tc>
      </w:tr>
      <w:tr w14:paraId="36437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1C546091">
            <w:pPr>
              <w:pStyle w:val="17"/>
              <w:spacing w:before="48"/>
              <w:ind w:left="173" w:right="161"/>
              <w:rPr>
                <w:rFonts w:ascii="Times New Roman"/>
                <w:sz w:val="21"/>
              </w:rPr>
            </w:pPr>
            <w:r>
              <w:rPr>
                <w:rFonts w:ascii="Times New Roman"/>
                <w:sz w:val="21"/>
              </w:rPr>
              <w:t>CO</w:t>
            </w:r>
          </w:p>
        </w:tc>
        <w:tc>
          <w:tcPr>
            <w:tcW w:w="1774" w:type="dxa"/>
          </w:tcPr>
          <w:p w14:paraId="6711FA17">
            <w:pPr>
              <w:pStyle w:val="17"/>
              <w:spacing w:before="48"/>
              <w:ind w:left="365" w:right="359"/>
              <w:rPr>
                <w:rFonts w:ascii="Times New Roman"/>
                <w:sz w:val="21"/>
              </w:rPr>
            </w:pPr>
            <w:r>
              <w:rPr>
                <w:rFonts w:ascii="Times New Roman"/>
                <w:sz w:val="21"/>
              </w:rPr>
              <w:t>10000</w:t>
            </w:r>
          </w:p>
        </w:tc>
        <w:tc>
          <w:tcPr>
            <w:tcW w:w="1805" w:type="dxa"/>
          </w:tcPr>
          <w:p w14:paraId="2E9EE3B1">
            <w:pPr>
              <w:pStyle w:val="17"/>
              <w:spacing w:before="48"/>
              <w:ind w:left="566" w:right="556"/>
              <w:rPr>
                <w:rFonts w:ascii="Times New Roman"/>
                <w:sz w:val="21"/>
              </w:rPr>
            </w:pPr>
            <w:r>
              <w:rPr>
                <w:rFonts w:ascii="Times New Roman"/>
                <w:sz w:val="21"/>
              </w:rPr>
              <w:t>4000</w:t>
            </w:r>
          </w:p>
        </w:tc>
        <w:tc>
          <w:tcPr>
            <w:tcW w:w="1798" w:type="dxa"/>
          </w:tcPr>
          <w:p w14:paraId="759D435C">
            <w:pPr>
              <w:pStyle w:val="17"/>
              <w:spacing w:before="48"/>
              <w:ind w:left="9"/>
              <w:rPr>
                <w:rFonts w:ascii="Times New Roman"/>
                <w:sz w:val="21"/>
              </w:rPr>
            </w:pPr>
            <w:r>
              <w:rPr>
                <w:rFonts w:ascii="Times New Roman"/>
                <w:w w:val="99"/>
                <w:sz w:val="21"/>
              </w:rPr>
              <w:t>/</w:t>
            </w:r>
          </w:p>
        </w:tc>
        <w:tc>
          <w:tcPr>
            <w:tcW w:w="1803" w:type="dxa"/>
            <w:tcBorders>
              <w:right w:val="nil"/>
            </w:tcBorders>
          </w:tcPr>
          <w:p w14:paraId="49C57011">
            <w:pPr>
              <w:pStyle w:val="17"/>
              <w:spacing w:before="48"/>
              <w:ind w:left="3"/>
              <w:rPr>
                <w:rFonts w:ascii="Times New Roman"/>
                <w:sz w:val="21"/>
              </w:rPr>
            </w:pPr>
            <w:r>
              <w:rPr>
                <w:rFonts w:ascii="Times New Roman"/>
                <w:w w:val="99"/>
                <w:sz w:val="21"/>
              </w:rPr>
              <w:t>/</w:t>
            </w:r>
          </w:p>
        </w:tc>
      </w:tr>
      <w:tr w14:paraId="6B804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5D3F58C9">
            <w:pPr>
              <w:pStyle w:val="17"/>
              <w:spacing w:before="45"/>
              <w:ind w:left="172" w:right="161"/>
              <w:rPr>
                <w:rFonts w:ascii="Times New Roman"/>
                <w:sz w:val="21"/>
              </w:rPr>
            </w:pPr>
            <w:r>
              <w:rPr>
                <w:rFonts w:ascii="Times New Roman"/>
                <w:position w:val="2"/>
                <w:sz w:val="21"/>
              </w:rPr>
              <w:t>O</w:t>
            </w:r>
            <w:r>
              <w:rPr>
                <w:rFonts w:ascii="Times New Roman"/>
                <w:position w:val="2"/>
                <w:sz w:val="21"/>
                <w:vertAlign w:val="subscript"/>
              </w:rPr>
              <w:t>3</w:t>
            </w:r>
          </w:p>
        </w:tc>
        <w:tc>
          <w:tcPr>
            <w:tcW w:w="1774" w:type="dxa"/>
          </w:tcPr>
          <w:p w14:paraId="3EE3F265">
            <w:pPr>
              <w:pStyle w:val="17"/>
              <w:spacing w:before="48"/>
              <w:ind w:left="365" w:right="357"/>
              <w:rPr>
                <w:rFonts w:ascii="Times New Roman"/>
                <w:sz w:val="21"/>
              </w:rPr>
            </w:pPr>
            <w:r>
              <w:rPr>
                <w:rFonts w:ascii="Times New Roman"/>
                <w:sz w:val="21"/>
              </w:rPr>
              <w:t>200</w:t>
            </w:r>
          </w:p>
        </w:tc>
        <w:tc>
          <w:tcPr>
            <w:tcW w:w="1805" w:type="dxa"/>
          </w:tcPr>
          <w:p w14:paraId="70D94797">
            <w:pPr>
              <w:pStyle w:val="17"/>
              <w:spacing w:before="48"/>
              <w:ind w:left="7"/>
              <w:rPr>
                <w:rFonts w:ascii="Times New Roman"/>
                <w:sz w:val="21"/>
              </w:rPr>
            </w:pPr>
            <w:r>
              <w:rPr>
                <w:rFonts w:ascii="Times New Roman"/>
                <w:w w:val="99"/>
                <w:sz w:val="21"/>
              </w:rPr>
              <w:t>/</w:t>
            </w:r>
          </w:p>
        </w:tc>
        <w:tc>
          <w:tcPr>
            <w:tcW w:w="1798" w:type="dxa"/>
          </w:tcPr>
          <w:p w14:paraId="72F14774">
            <w:pPr>
              <w:pStyle w:val="17"/>
              <w:spacing w:before="48"/>
              <w:ind w:left="378" w:right="371"/>
              <w:rPr>
                <w:rFonts w:ascii="Times New Roman"/>
                <w:sz w:val="21"/>
              </w:rPr>
            </w:pPr>
            <w:r>
              <w:rPr>
                <w:rFonts w:ascii="Times New Roman"/>
                <w:sz w:val="21"/>
              </w:rPr>
              <w:t>160</w:t>
            </w:r>
          </w:p>
        </w:tc>
        <w:tc>
          <w:tcPr>
            <w:tcW w:w="1803" w:type="dxa"/>
            <w:tcBorders>
              <w:right w:val="nil"/>
            </w:tcBorders>
          </w:tcPr>
          <w:p w14:paraId="4E8A0CA9">
            <w:pPr>
              <w:pStyle w:val="17"/>
              <w:spacing w:before="48"/>
              <w:ind w:left="3"/>
              <w:rPr>
                <w:rFonts w:ascii="Times New Roman"/>
                <w:sz w:val="21"/>
              </w:rPr>
            </w:pPr>
            <w:r>
              <w:rPr>
                <w:rFonts w:ascii="Times New Roman"/>
                <w:w w:val="99"/>
                <w:sz w:val="21"/>
              </w:rPr>
              <w:t>/</w:t>
            </w:r>
          </w:p>
        </w:tc>
      </w:tr>
      <w:tr w14:paraId="1F341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409FDCD5">
            <w:pPr>
              <w:pStyle w:val="17"/>
              <w:spacing w:before="48"/>
              <w:ind w:left="172" w:right="161"/>
              <w:rPr>
                <w:rFonts w:ascii="Times New Roman"/>
                <w:sz w:val="21"/>
              </w:rPr>
            </w:pPr>
            <w:r>
              <w:rPr>
                <w:rFonts w:ascii="Times New Roman"/>
                <w:sz w:val="21"/>
              </w:rPr>
              <w:t>TSP</w:t>
            </w:r>
          </w:p>
        </w:tc>
        <w:tc>
          <w:tcPr>
            <w:tcW w:w="1774" w:type="dxa"/>
          </w:tcPr>
          <w:p w14:paraId="07213A60">
            <w:pPr>
              <w:pStyle w:val="17"/>
              <w:spacing w:before="48"/>
              <w:ind w:left="10"/>
              <w:rPr>
                <w:rFonts w:ascii="Times New Roman"/>
                <w:sz w:val="21"/>
              </w:rPr>
            </w:pPr>
            <w:r>
              <w:rPr>
                <w:rFonts w:ascii="Times New Roman"/>
                <w:w w:val="99"/>
                <w:sz w:val="21"/>
              </w:rPr>
              <w:t>/</w:t>
            </w:r>
          </w:p>
        </w:tc>
        <w:tc>
          <w:tcPr>
            <w:tcW w:w="1805" w:type="dxa"/>
          </w:tcPr>
          <w:p w14:paraId="7F14CA0C">
            <w:pPr>
              <w:pStyle w:val="17"/>
              <w:spacing w:before="48"/>
              <w:ind w:left="566" w:right="556"/>
              <w:rPr>
                <w:rFonts w:ascii="Times New Roman"/>
                <w:sz w:val="21"/>
              </w:rPr>
            </w:pPr>
            <w:r>
              <w:rPr>
                <w:rFonts w:ascii="Times New Roman"/>
                <w:sz w:val="21"/>
              </w:rPr>
              <w:t>300</w:t>
            </w:r>
          </w:p>
        </w:tc>
        <w:tc>
          <w:tcPr>
            <w:tcW w:w="1798" w:type="dxa"/>
          </w:tcPr>
          <w:p w14:paraId="29EA27E9">
            <w:pPr>
              <w:pStyle w:val="17"/>
              <w:spacing w:before="48"/>
              <w:ind w:left="9"/>
              <w:rPr>
                <w:rFonts w:ascii="Times New Roman"/>
                <w:sz w:val="21"/>
              </w:rPr>
            </w:pPr>
            <w:r>
              <w:rPr>
                <w:rFonts w:ascii="Times New Roman"/>
                <w:w w:val="99"/>
                <w:sz w:val="21"/>
              </w:rPr>
              <w:t>/</w:t>
            </w:r>
          </w:p>
        </w:tc>
        <w:tc>
          <w:tcPr>
            <w:tcW w:w="1803" w:type="dxa"/>
            <w:tcBorders>
              <w:right w:val="nil"/>
            </w:tcBorders>
          </w:tcPr>
          <w:p w14:paraId="1C64C354">
            <w:pPr>
              <w:pStyle w:val="17"/>
              <w:spacing w:before="48"/>
              <w:ind w:left="565" w:right="559"/>
              <w:rPr>
                <w:rFonts w:ascii="Times New Roman"/>
                <w:sz w:val="21"/>
              </w:rPr>
            </w:pPr>
            <w:r>
              <w:rPr>
                <w:rFonts w:ascii="Times New Roman"/>
                <w:sz w:val="21"/>
              </w:rPr>
              <w:t>200</w:t>
            </w:r>
          </w:p>
        </w:tc>
      </w:tr>
      <w:tr w14:paraId="6EEA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9" w:type="dxa"/>
            <w:tcBorders>
              <w:left w:val="nil"/>
            </w:tcBorders>
          </w:tcPr>
          <w:p w14:paraId="7A5F470C">
            <w:pPr>
              <w:pStyle w:val="17"/>
              <w:spacing w:before="49"/>
              <w:ind w:left="171" w:right="161"/>
              <w:rPr>
                <w:rFonts w:ascii="Times New Roman"/>
                <w:sz w:val="21"/>
              </w:rPr>
            </w:pPr>
            <w:r>
              <w:rPr>
                <w:rFonts w:ascii="Times New Roman"/>
                <w:sz w:val="21"/>
              </w:rPr>
              <w:t>TVOC</w:t>
            </w:r>
          </w:p>
        </w:tc>
        <w:tc>
          <w:tcPr>
            <w:tcW w:w="1774" w:type="dxa"/>
          </w:tcPr>
          <w:p w14:paraId="616BC3A1">
            <w:pPr>
              <w:pStyle w:val="17"/>
              <w:spacing w:before="49"/>
              <w:ind w:left="10"/>
              <w:rPr>
                <w:rFonts w:ascii="Times New Roman"/>
                <w:sz w:val="21"/>
              </w:rPr>
            </w:pPr>
            <w:r>
              <w:rPr>
                <w:rFonts w:ascii="Times New Roman"/>
                <w:w w:val="99"/>
                <w:sz w:val="21"/>
              </w:rPr>
              <w:t>/</w:t>
            </w:r>
          </w:p>
        </w:tc>
        <w:tc>
          <w:tcPr>
            <w:tcW w:w="1805" w:type="dxa"/>
          </w:tcPr>
          <w:p w14:paraId="57EE4FC2">
            <w:pPr>
              <w:pStyle w:val="17"/>
              <w:spacing w:before="49"/>
              <w:ind w:left="7"/>
              <w:rPr>
                <w:rFonts w:ascii="Times New Roman"/>
                <w:sz w:val="21"/>
              </w:rPr>
            </w:pPr>
            <w:r>
              <w:rPr>
                <w:rFonts w:ascii="Times New Roman"/>
                <w:w w:val="99"/>
                <w:sz w:val="21"/>
              </w:rPr>
              <w:t>/</w:t>
            </w:r>
          </w:p>
        </w:tc>
        <w:tc>
          <w:tcPr>
            <w:tcW w:w="1798" w:type="dxa"/>
          </w:tcPr>
          <w:p w14:paraId="0A51052D">
            <w:pPr>
              <w:pStyle w:val="17"/>
              <w:spacing w:before="49"/>
              <w:ind w:left="378" w:right="371"/>
              <w:rPr>
                <w:rFonts w:ascii="Times New Roman"/>
                <w:sz w:val="21"/>
              </w:rPr>
            </w:pPr>
            <w:r>
              <w:rPr>
                <w:rFonts w:ascii="Times New Roman"/>
                <w:sz w:val="21"/>
              </w:rPr>
              <w:t>600</w:t>
            </w:r>
          </w:p>
        </w:tc>
        <w:tc>
          <w:tcPr>
            <w:tcW w:w="1803" w:type="dxa"/>
            <w:tcBorders>
              <w:right w:val="nil"/>
            </w:tcBorders>
          </w:tcPr>
          <w:p w14:paraId="4CECAAAE">
            <w:pPr>
              <w:pStyle w:val="17"/>
              <w:spacing w:before="49"/>
              <w:ind w:left="3"/>
              <w:rPr>
                <w:rFonts w:ascii="Times New Roman"/>
                <w:sz w:val="21"/>
              </w:rPr>
            </w:pPr>
            <w:r>
              <w:rPr>
                <w:rFonts w:ascii="Times New Roman"/>
                <w:w w:val="99"/>
                <w:sz w:val="21"/>
              </w:rPr>
              <w:t>/</w:t>
            </w:r>
          </w:p>
        </w:tc>
      </w:tr>
      <w:tr w14:paraId="09E62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9" w:type="dxa"/>
            <w:tcBorders>
              <w:left w:val="nil"/>
            </w:tcBorders>
          </w:tcPr>
          <w:p w14:paraId="27439F28">
            <w:pPr>
              <w:pStyle w:val="17"/>
              <w:spacing w:before="3"/>
              <w:ind w:left="173" w:right="161"/>
              <w:rPr>
                <w:sz w:val="24"/>
              </w:rPr>
            </w:pPr>
            <w:r>
              <w:rPr>
                <w:sz w:val="24"/>
              </w:rPr>
              <w:t>非甲烷总</w:t>
            </w:r>
          </w:p>
          <w:p w14:paraId="35A11AF1">
            <w:pPr>
              <w:pStyle w:val="17"/>
              <w:spacing w:before="4" w:line="289" w:lineRule="exact"/>
              <w:ind w:left="12"/>
              <w:rPr>
                <w:sz w:val="24"/>
              </w:rPr>
            </w:pPr>
            <w:r>
              <w:rPr>
                <w:sz w:val="24"/>
              </w:rPr>
              <w:t>烃</w:t>
            </w:r>
          </w:p>
        </w:tc>
        <w:tc>
          <w:tcPr>
            <w:tcW w:w="1774" w:type="dxa"/>
          </w:tcPr>
          <w:p w14:paraId="0E437FCD">
            <w:pPr>
              <w:pStyle w:val="17"/>
              <w:spacing w:before="191"/>
              <w:ind w:left="365" w:right="357"/>
              <w:rPr>
                <w:rFonts w:ascii="Times New Roman"/>
                <w:sz w:val="21"/>
              </w:rPr>
            </w:pPr>
            <w:r>
              <w:rPr>
                <w:rFonts w:ascii="Times New Roman"/>
                <w:sz w:val="21"/>
              </w:rPr>
              <w:t>2000</w:t>
            </w:r>
          </w:p>
        </w:tc>
        <w:tc>
          <w:tcPr>
            <w:tcW w:w="1805" w:type="dxa"/>
          </w:tcPr>
          <w:p w14:paraId="7206169A">
            <w:pPr>
              <w:pStyle w:val="17"/>
              <w:spacing w:before="191"/>
              <w:ind w:left="7"/>
              <w:rPr>
                <w:rFonts w:ascii="Times New Roman"/>
                <w:sz w:val="21"/>
              </w:rPr>
            </w:pPr>
            <w:r>
              <w:rPr>
                <w:rFonts w:ascii="Times New Roman"/>
                <w:w w:val="99"/>
                <w:sz w:val="21"/>
              </w:rPr>
              <w:t>/</w:t>
            </w:r>
          </w:p>
        </w:tc>
        <w:tc>
          <w:tcPr>
            <w:tcW w:w="1798" w:type="dxa"/>
          </w:tcPr>
          <w:p w14:paraId="5CDFDE26">
            <w:pPr>
              <w:pStyle w:val="17"/>
              <w:spacing w:before="191"/>
              <w:ind w:left="9"/>
              <w:rPr>
                <w:rFonts w:ascii="Times New Roman"/>
                <w:sz w:val="21"/>
              </w:rPr>
            </w:pPr>
            <w:r>
              <w:rPr>
                <w:rFonts w:ascii="Times New Roman"/>
                <w:w w:val="99"/>
                <w:sz w:val="21"/>
              </w:rPr>
              <w:t>/</w:t>
            </w:r>
          </w:p>
        </w:tc>
        <w:tc>
          <w:tcPr>
            <w:tcW w:w="1803" w:type="dxa"/>
            <w:tcBorders>
              <w:right w:val="nil"/>
            </w:tcBorders>
          </w:tcPr>
          <w:p w14:paraId="23E5F1EA">
            <w:pPr>
              <w:pStyle w:val="17"/>
              <w:spacing w:before="191"/>
              <w:ind w:left="3"/>
              <w:rPr>
                <w:rFonts w:ascii="Times New Roman"/>
                <w:sz w:val="21"/>
              </w:rPr>
            </w:pPr>
            <w:r>
              <w:rPr>
                <w:rFonts w:ascii="Times New Roman"/>
                <w:w w:val="99"/>
                <w:sz w:val="21"/>
              </w:rPr>
              <w:t>/</w:t>
            </w:r>
          </w:p>
        </w:tc>
      </w:tr>
    </w:tbl>
    <w:p w14:paraId="04C90654">
      <w:pPr>
        <w:pStyle w:val="10"/>
        <w:spacing w:before="83"/>
        <w:ind w:left="700"/>
      </w:pPr>
      <w:r>
        <w:rPr>
          <w:rFonts w:ascii="Times New Roman" w:eastAsia="Times New Roman"/>
        </w:rPr>
        <w:t>2</w:t>
      </w:r>
      <w:r>
        <w:t>、地表水环境</w:t>
      </w:r>
    </w:p>
    <w:p w14:paraId="0DCDA2EF">
      <w:pPr>
        <w:pStyle w:val="10"/>
        <w:spacing w:before="160"/>
        <w:ind w:left="700"/>
      </w:pPr>
      <w:r>
        <w:t>本项目纳污水体为汨罗江，根据《湖南省主要地表水系水环境功能区划》</w:t>
      </w:r>
    </w:p>
    <w:p w14:paraId="69193611">
      <w:pPr>
        <w:pStyle w:val="10"/>
        <w:spacing w:before="161" w:line="364" w:lineRule="auto"/>
        <w:ind w:left="220" w:right="357"/>
        <w:jc w:val="both"/>
      </w:pPr>
      <w:r>
        <w:t>（</w:t>
      </w:r>
      <w:r>
        <w:rPr>
          <w:rFonts w:ascii="Times New Roman" w:hAnsi="Times New Roman" w:eastAsia="Times New Roman"/>
        </w:rPr>
        <w:t>DB43/023-2005</w:t>
      </w:r>
      <w:r>
        <w:t>）、《湖南省生态环境厅关于划定岳阳市汨罗市新市自来水厂汨罗江饮用水水源保护区的复函》（湘环函</w:t>
      </w:r>
      <w:r>
        <w:rPr>
          <w:rFonts w:ascii="Times New Roman" w:hAnsi="Times New Roman" w:eastAsia="Times New Roman"/>
        </w:rPr>
        <w:t xml:space="preserve">[2021]216 </w:t>
      </w:r>
      <w:r>
        <w:t>号），新市桥至磊石水域地表水环境质量执行《地表水环境质量标准》</w:t>
      </w:r>
      <w:r>
        <w:rPr>
          <w:rFonts w:ascii="Times New Roman" w:hAnsi="Times New Roman" w:eastAsia="Times New Roman"/>
        </w:rPr>
        <w:t>(GB3838-2002)</w:t>
      </w:r>
      <w:r>
        <w:t>中Ⅲ类。</w:t>
      </w:r>
    </w:p>
    <w:p w14:paraId="66703852">
      <w:pPr>
        <w:spacing w:before="2"/>
        <w:ind w:left="0" w:right="140" w:firstLine="0"/>
        <w:jc w:val="center"/>
        <w:rPr>
          <w:b/>
          <w:sz w:val="24"/>
        </w:rPr>
      </w:pPr>
      <w:r>
        <w:rPr>
          <w:b/>
          <w:spacing w:val="-32"/>
          <w:sz w:val="24"/>
        </w:rPr>
        <w:t xml:space="preserve">表 </w:t>
      </w:r>
      <w:r>
        <w:rPr>
          <w:rFonts w:ascii="Times New Roman" w:eastAsia="Times New Roman"/>
          <w:b/>
          <w:sz w:val="24"/>
        </w:rPr>
        <w:t>1.4-2</w:t>
      </w:r>
      <w:r>
        <w:rPr>
          <w:rFonts w:ascii="Times New Roman" w:eastAsia="Times New Roman"/>
          <w:b/>
          <w:spacing w:val="56"/>
          <w:sz w:val="24"/>
        </w:rPr>
        <w:t xml:space="preserve"> </w:t>
      </w:r>
      <w:r>
        <w:rPr>
          <w:b/>
          <w:sz w:val="24"/>
        </w:rPr>
        <w:t>地表水环境质量标准（单位：</w:t>
      </w:r>
      <w:r>
        <w:rPr>
          <w:rFonts w:ascii="Times New Roman" w:eastAsia="Times New Roman"/>
          <w:b/>
          <w:sz w:val="24"/>
        </w:rPr>
        <w:t>mg/L</w:t>
      </w:r>
      <w:r>
        <w:rPr>
          <w:b/>
          <w:sz w:val="24"/>
        </w:rPr>
        <w:t>，</w:t>
      </w:r>
      <w:r>
        <w:rPr>
          <w:rFonts w:ascii="Times New Roman" w:eastAsia="Times New Roman"/>
          <w:b/>
          <w:sz w:val="21"/>
        </w:rPr>
        <w:t xml:space="preserve">pH </w:t>
      </w:r>
      <w:r>
        <w:rPr>
          <w:b/>
          <w:sz w:val="21"/>
        </w:rPr>
        <w:t>无量纲，粪大肠菌群：个</w:t>
      </w:r>
      <w:r>
        <w:rPr>
          <w:rFonts w:ascii="Times New Roman" w:eastAsia="Times New Roman"/>
          <w:b/>
          <w:sz w:val="21"/>
        </w:rPr>
        <w:t>/L</w:t>
      </w:r>
      <w:r>
        <w:rPr>
          <w:b/>
          <w:sz w:val="24"/>
        </w:rPr>
        <w:t>）</w:t>
      </w:r>
    </w:p>
    <w:p w14:paraId="6A4EF1F9">
      <w:pPr>
        <w:pStyle w:val="10"/>
        <w:spacing w:before="1"/>
        <w:rPr>
          <w:b/>
          <w:sz w:val="6"/>
        </w:rPr>
      </w:pPr>
    </w:p>
    <w:tbl>
      <w:tblPr>
        <w:tblStyle w:val="13"/>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9"/>
        <w:gridCol w:w="3882"/>
        <w:gridCol w:w="3072"/>
      </w:tblGrid>
      <w:tr w14:paraId="6A69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0E6BE375">
            <w:pPr>
              <w:pStyle w:val="17"/>
              <w:spacing w:before="34"/>
              <w:ind w:left="450" w:right="443"/>
              <w:rPr>
                <w:sz w:val="21"/>
              </w:rPr>
            </w:pPr>
            <w:r>
              <w:rPr>
                <w:sz w:val="21"/>
              </w:rPr>
              <w:t>序号</w:t>
            </w:r>
          </w:p>
        </w:tc>
        <w:tc>
          <w:tcPr>
            <w:tcW w:w="3882" w:type="dxa"/>
          </w:tcPr>
          <w:p w14:paraId="5EE8D59B">
            <w:pPr>
              <w:pStyle w:val="17"/>
              <w:spacing w:before="34"/>
              <w:ind w:left="1078" w:right="1070"/>
              <w:rPr>
                <w:sz w:val="21"/>
              </w:rPr>
            </w:pPr>
            <w:r>
              <w:rPr>
                <w:sz w:val="21"/>
              </w:rPr>
              <w:t>项目</w:t>
            </w:r>
          </w:p>
        </w:tc>
        <w:tc>
          <w:tcPr>
            <w:tcW w:w="3072" w:type="dxa"/>
            <w:tcBorders>
              <w:right w:val="nil"/>
            </w:tcBorders>
          </w:tcPr>
          <w:p w14:paraId="7D7A0266">
            <w:pPr>
              <w:pStyle w:val="17"/>
              <w:spacing w:before="34"/>
              <w:ind w:left="1227" w:right="1221"/>
              <w:rPr>
                <w:sz w:val="21"/>
              </w:rPr>
            </w:pPr>
            <w:r>
              <w:rPr>
                <w:rFonts w:ascii="Times New Roman" w:hAnsi="Times New Roman" w:eastAsia="Times New Roman"/>
                <w:sz w:val="21"/>
              </w:rPr>
              <w:t>Ⅲ</w:t>
            </w:r>
            <w:r>
              <w:rPr>
                <w:sz w:val="21"/>
              </w:rPr>
              <w:t>类</w:t>
            </w:r>
          </w:p>
        </w:tc>
      </w:tr>
      <w:tr w14:paraId="00AEE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68AFF24F">
            <w:pPr>
              <w:pStyle w:val="17"/>
              <w:spacing w:before="49"/>
              <w:ind w:left="6"/>
              <w:rPr>
                <w:rFonts w:ascii="Times New Roman"/>
                <w:sz w:val="21"/>
              </w:rPr>
            </w:pPr>
            <w:r>
              <w:rPr>
                <w:rFonts w:ascii="Times New Roman"/>
                <w:w w:val="99"/>
                <w:sz w:val="21"/>
              </w:rPr>
              <w:t>1</w:t>
            </w:r>
          </w:p>
        </w:tc>
        <w:tc>
          <w:tcPr>
            <w:tcW w:w="3882" w:type="dxa"/>
          </w:tcPr>
          <w:p w14:paraId="53F84C9A">
            <w:pPr>
              <w:pStyle w:val="17"/>
              <w:spacing w:before="35"/>
              <w:ind w:left="1078" w:right="1073"/>
              <w:rPr>
                <w:sz w:val="21"/>
              </w:rPr>
            </w:pPr>
            <w:r>
              <w:rPr>
                <w:rFonts w:ascii="Times New Roman" w:eastAsia="Times New Roman"/>
                <w:sz w:val="21"/>
              </w:rPr>
              <w:t>pH</w:t>
            </w:r>
            <w:r>
              <w:rPr>
                <w:sz w:val="21"/>
              </w:rPr>
              <w:t>（无量纲）</w:t>
            </w:r>
          </w:p>
        </w:tc>
        <w:tc>
          <w:tcPr>
            <w:tcW w:w="3072" w:type="dxa"/>
            <w:tcBorders>
              <w:right w:val="nil"/>
            </w:tcBorders>
          </w:tcPr>
          <w:p w14:paraId="2564B32B">
            <w:pPr>
              <w:pStyle w:val="17"/>
              <w:spacing w:before="49"/>
              <w:ind w:left="1227" w:right="1222"/>
              <w:rPr>
                <w:rFonts w:ascii="Times New Roman"/>
                <w:sz w:val="21"/>
              </w:rPr>
            </w:pPr>
            <w:r>
              <w:rPr>
                <w:rFonts w:ascii="Times New Roman"/>
                <w:sz w:val="21"/>
              </w:rPr>
              <w:t>6~9</w:t>
            </w:r>
          </w:p>
        </w:tc>
      </w:tr>
      <w:tr w14:paraId="1ABFB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18B80D0B">
            <w:pPr>
              <w:pStyle w:val="17"/>
              <w:spacing w:before="49"/>
              <w:ind w:left="6"/>
              <w:rPr>
                <w:rFonts w:ascii="Times New Roman"/>
                <w:sz w:val="21"/>
              </w:rPr>
            </w:pPr>
            <w:r>
              <w:rPr>
                <w:rFonts w:ascii="Times New Roman"/>
                <w:w w:val="99"/>
                <w:sz w:val="21"/>
              </w:rPr>
              <w:t>2</w:t>
            </w:r>
          </w:p>
        </w:tc>
        <w:tc>
          <w:tcPr>
            <w:tcW w:w="3882" w:type="dxa"/>
          </w:tcPr>
          <w:p w14:paraId="46A59662">
            <w:pPr>
              <w:pStyle w:val="17"/>
              <w:spacing w:before="35"/>
              <w:ind w:left="1078" w:right="1070"/>
              <w:rPr>
                <w:sz w:val="21"/>
              </w:rPr>
            </w:pPr>
            <w:r>
              <w:rPr>
                <w:sz w:val="21"/>
              </w:rPr>
              <w:t>溶解氧</w:t>
            </w:r>
          </w:p>
        </w:tc>
        <w:tc>
          <w:tcPr>
            <w:tcW w:w="3072" w:type="dxa"/>
            <w:tcBorders>
              <w:right w:val="nil"/>
            </w:tcBorders>
          </w:tcPr>
          <w:p w14:paraId="65743779">
            <w:pPr>
              <w:pStyle w:val="17"/>
              <w:spacing w:before="35"/>
              <w:ind w:left="1227" w:right="1220"/>
              <w:rPr>
                <w:rFonts w:ascii="Times New Roman" w:hAnsi="Times New Roman"/>
                <w:sz w:val="21"/>
              </w:rPr>
            </w:pPr>
            <w:r>
              <w:rPr>
                <w:sz w:val="21"/>
              </w:rPr>
              <w:t>≥</w:t>
            </w:r>
            <w:r>
              <w:rPr>
                <w:rFonts w:ascii="Times New Roman" w:hAnsi="Times New Roman"/>
                <w:sz w:val="21"/>
              </w:rPr>
              <w:t>5</w:t>
            </w:r>
          </w:p>
        </w:tc>
      </w:tr>
      <w:tr w14:paraId="754A0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1A4F836">
            <w:pPr>
              <w:pStyle w:val="17"/>
              <w:spacing w:before="50"/>
              <w:ind w:left="6"/>
              <w:rPr>
                <w:rFonts w:ascii="Times New Roman"/>
                <w:sz w:val="21"/>
              </w:rPr>
            </w:pPr>
            <w:r>
              <w:rPr>
                <w:rFonts w:ascii="Times New Roman"/>
                <w:w w:val="99"/>
                <w:sz w:val="21"/>
              </w:rPr>
              <w:t>3</w:t>
            </w:r>
          </w:p>
        </w:tc>
        <w:tc>
          <w:tcPr>
            <w:tcW w:w="3882" w:type="dxa"/>
          </w:tcPr>
          <w:p w14:paraId="433B81F8">
            <w:pPr>
              <w:pStyle w:val="17"/>
              <w:spacing w:before="36"/>
              <w:ind w:left="1078" w:right="1068"/>
              <w:rPr>
                <w:sz w:val="21"/>
              </w:rPr>
            </w:pPr>
            <w:r>
              <w:rPr>
                <w:sz w:val="21"/>
              </w:rPr>
              <w:t>化学需氧量</w:t>
            </w:r>
          </w:p>
        </w:tc>
        <w:tc>
          <w:tcPr>
            <w:tcW w:w="3072" w:type="dxa"/>
            <w:tcBorders>
              <w:right w:val="nil"/>
            </w:tcBorders>
          </w:tcPr>
          <w:p w14:paraId="5A0FBEC9">
            <w:pPr>
              <w:pStyle w:val="17"/>
              <w:spacing w:before="50"/>
              <w:ind w:left="1227" w:right="1220"/>
              <w:rPr>
                <w:rFonts w:ascii="Times New Roman"/>
                <w:sz w:val="21"/>
              </w:rPr>
            </w:pPr>
            <w:r>
              <w:rPr>
                <w:rFonts w:ascii="Times New Roman"/>
                <w:sz w:val="21"/>
              </w:rPr>
              <w:t>20</w:t>
            </w:r>
          </w:p>
        </w:tc>
      </w:tr>
      <w:tr w14:paraId="71D86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36D9D58">
            <w:pPr>
              <w:pStyle w:val="17"/>
              <w:spacing w:before="48"/>
              <w:ind w:left="6"/>
              <w:rPr>
                <w:rFonts w:ascii="Times New Roman"/>
                <w:sz w:val="21"/>
              </w:rPr>
            </w:pPr>
            <w:r>
              <w:rPr>
                <w:rFonts w:ascii="Times New Roman"/>
                <w:w w:val="99"/>
                <w:sz w:val="21"/>
              </w:rPr>
              <w:t>4</w:t>
            </w:r>
          </w:p>
        </w:tc>
        <w:tc>
          <w:tcPr>
            <w:tcW w:w="3882" w:type="dxa"/>
          </w:tcPr>
          <w:p w14:paraId="19D0266A">
            <w:pPr>
              <w:pStyle w:val="17"/>
              <w:spacing w:before="34"/>
              <w:ind w:left="1078" w:right="1070"/>
              <w:rPr>
                <w:sz w:val="21"/>
              </w:rPr>
            </w:pPr>
            <w:r>
              <w:rPr>
                <w:sz w:val="21"/>
              </w:rPr>
              <w:t>五日生化需氧量</w:t>
            </w:r>
          </w:p>
        </w:tc>
        <w:tc>
          <w:tcPr>
            <w:tcW w:w="3072" w:type="dxa"/>
            <w:tcBorders>
              <w:right w:val="nil"/>
            </w:tcBorders>
          </w:tcPr>
          <w:p w14:paraId="10B6AA1A">
            <w:pPr>
              <w:pStyle w:val="17"/>
              <w:spacing w:before="48"/>
              <w:ind w:left="7"/>
              <w:rPr>
                <w:rFonts w:ascii="Times New Roman"/>
                <w:sz w:val="21"/>
              </w:rPr>
            </w:pPr>
            <w:r>
              <w:rPr>
                <w:rFonts w:ascii="Times New Roman"/>
                <w:w w:val="99"/>
                <w:sz w:val="21"/>
              </w:rPr>
              <w:t>4</w:t>
            </w:r>
          </w:p>
        </w:tc>
      </w:tr>
      <w:tr w14:paraId="6FE83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CCB3747">
            <w:pPr>
              <w:pStyle w:val="17"/>
              <w:spacing w:before="48"/>
              <w:ind w:left="6"/>
              <w:rPr>
                <w:rFonts w:ascii="Times New Roman"/>
                <w:sz w:val="21"/>
              </w:rPr>
            </w:pPr>
            <w:r>
              <w:rPr>
                <w:rFonts w:ascii="Times New Roman"/>
                <w:w w:val="99"/>
                <w:sz w:val="21"/>
              </w:rPr>
              <w:t>5</w:t>
            </w:r>
          </w:p>
        </w:tc>
        <w:tc>
          <w:tcPr>
            <w:tcW w:w="3882" w:type="dxa"/>
          </w:tcPr>
          <w:p w14:paraId="3816D189">
            <w:pPr>
              <w:pStyle w:val="17"/>
              <w:spacing w:before="34"/>
              <w:ind w:left="1078" w:right="1070"/>
              <w:rPr>
                <w:sz w:val="21"/>
              </w:rPr>
            </w:pPr>
            <w:r>
              <w:rPr>
                <w:sz w:val="21"/>
              </w:rPr>
              <w:t>氨氮</w:t>
            </w:r>
          </w:p>
        </w:tc>
        <w:tc>
          <w:tcPr>
            <w:tcW w:w="3072" w:type="dxa"/>
            <w:tcBorders>
              <w:right w:val="nil"/>
            </w:tcBorders>
          </w:tcPr>
          <w:p w14:paraId="009324EE">
            <w:pPr>
              <w:pStyle w:val="17"/>
              <w:spacing w:before="48"/>
              <w:ind w:left="1227" w:right="1220"/>
              <w:rPr>
                <w:rFonts w:ascii="Times New Roman"/>
                <w:sz w:val="21"/>
              </w:rPr>
            </w:pPr>
            <w:r>
              <w:rPr>
                <w:rFonts w:ascii="Times New Roman"/>
                <w:sz w:val="21"/>
              </w:rPr>
              <w:t>1.0</w:t>
            </w:r>
          </w:p>
        </w:tc>
      </w:tr>
      <w:tr w14:paraId="25ED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3A25249A">
            <w:pPr>
              <w:pStyle w:val="17"/>
              <w:spacing w:before="48"/>
              <w:ind w:left="6"/>
              <w:rPr>
                <w:rFonts w:ascii="Times New Roman"/>
                <w:sz w:val="21"/>
              </w:rPr>
            </w:pPr>
            <w:r>
              <w:rPr>
                <w:rFonts w:ascii="Times New Roman"/>
                <w:w w:val="99"/>
                <w:sz w:val="21"/>
              </w:rPr>
              <w:t>6</w:t>
            </w:r>
          </w:p>
        </w:tc>
        <w:tc>
          <w:tcPr>
            <w:tcW w:w="3882" w:type="dxa"/>
          </w:tcPr>
          <w:p w14:paraId="695882F3">
            <w:pPr>
              <w:pStyle w:val="17"/>
              <w:spacing w:before="35"/>
              <w:ind w:left="1078" w:right="1070"/>
              <w:rPr>
                <w:sz w:val="21"/>
              </w:rPr>
            </w:pPr>
            <w:r>
              <w:rPr>
                <w:sz w:val="21"/>
              </w:rPr>
              <w:t>石油类</w:t>
            </w:r>
          </w:p>
        </w:tc>
        <w:tc>
          <w:tcPr>
            <w:tcW w:w="3072" w:type="dxa"/>
            <w:tcBorders>
              <w:right w:val="nil"/>
            </w:tcBorders>
          </w:tcPr>
          <w:p w14:paraId="3793055D">
            <w:pPr>
              <w:pStyle w:val="17"/>
              <w:spacing w:before="48"/>
              <w:ind w:left="1227" w:right="1220"/>
              <w:rPr>
                <w:rFonts w:ascii="Times New Roman"/>
                <w:sz w:val="21"/>
              </w:rPr>
            </w:pPr>
            <w:r>
              <w:rPr>
                <w:rFonts w:ascii="Times New Roman"/>
                <w:sz w:val="21"/>
              </w:rPr>
              <w:t>0.05</w:t>
            </w:r>
          </w:p>
        </w:tc>
      </w:tr>
      <w:tr w14:paraId="248E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359" w:type="dxa"/>
            <w:tcBorders>
              <w:left w:val="nil"/>
            </w:tcBorders>
          </w:tcPr>
          <w:p w14:paraId="2F00C96A">
            <w:pPr>
              <w:pStyle w:val="17"/>
              <w:spacing w:before="49"/>
              <w:ind w:left="6"/>
              <w:rPr>
                <w:rFonts w:ascii="Times New Roman"/>
                <w:sz w:val="21"/>
              </w:rPr>
            </w:pPr>
            <w:r>
              <w:rPr>
                <w:rFonts w:ascii="Times New Roman"/>
                <w:w w:val="99"/>
                <w:sz w:val="21"/>
              </w:rPr>
              <w:t>7</w:t>
            </w:r>
          </w:p>
        </w:tc>
        <w:tc>
          <w:tcPr>
            <w:tcW w:w="3882" w:type="dxa"/>
          </w:tcPr>
          <w:p w14:paraId="12C1EDDA">
            <w:pPr>
              <w:pStyle w:val="17"/>
              <w:spacing w:before="35"/>
              <w:ind w:left="1078" w:right="1070"/>
              <w:rPr>
                <w:sz w:val="21"/>
              </w:rPr>
            </w:pPr>
            <w:r>
              <w:rPr>
                <w:sz w:val="21"/>
              </w:rPr>
              <w:t>总磷</w:t>
            </w:r>
          </w:p>
        </w:tc>
        <w:tc>
          <w:tcPr>
            <w:tcW w:w="3072" w:type="dxa"/>
            <w:tcBorders>
              <w:right w:val="nil"/>
            </w:tcBorders>
          </w:tcPr>
          <w:p w14:paraId="63198697">
            <w:pPr>
              <w:pStyle w:val="17"/>
              <w:spacing w:before="49"/>
              <w:ind w:left="1227" w:right="1220"/>
              <w:rPr>
                <w:rFonts w:ascii="Times New Roman"/>
                <w:sz w:val="21"/>
              </w:rPr>
            </w:pPr>
            <w:r>
              <w:rPr>
                <w:rFonts w:ascii="Times New Roman"/>
                <w:sz w:val="21"/>
              </w:rPr>
              <w:t>0.2</w:t>
            </w:r>
          </w:p>
        </w:tc>
      </w:tr>
    </w:tbl>
    <w:p w14:paraId="5D7DAA46">
      <w:pPr>
        <w:spacing w:after="0"/>
        <w:rPr>
          <w:rFonts w:ascii="Times New Roman"/>
          <w:sz w:val="21"/>
        </w:rPr>
        <w:sectPr>
          <w:pgSz w:w="11910" w:h="16840"/>
          <w:pgMar w:top="1500" w:right="1440" w:bottom="1220" w:left="1580" w:header="0" w:footer="1024" w:gutter="0"/>
          <w:cols w:space="720" w:num="1"/>
        </w:sectPr>
      </w:pPr>
    </w:p>
    <w:tbl>
      <w:tblPr>
        <w:tblStyle w:val="13"/>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9"/>
        <w:gridCol w:w="3882"/>
        <w:gridCol w:w="3072"/>
      </w:tblGrid>
      <w:tr w14:paraId="4FF39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2B5CDFBB">
            <w:pPr>
              <w:pStyle w:val="17"/>
              <w:spacing w:before="49"/>
              <w:ind w:right="619"/>
              <w:jc w:val="right"/>
              <w:rPr>
                <w:rFonts w:ascii="Times New Roman"/>
                <w:sz w:val="21"/>
              </w:rPr>
            </w:pPr>
            <w:r>
              <w:rPr>
                <w:rFonts w:ascii="Times New Roman"/>
                <w:w w:val="99"/>
                <w:sz w:val="21"/>
              </w:rPr>
              <w:t>8</w:t>
            </w:r>
          </w:p>
        </w:tc>
        <w:tc>
          <w:tcPr>
            <w:tcW w:w="3882" w:type="dxa"/>
          </w:tcPr>
          <w:p w14:paraId="03489C5F">
            <w:pPr>
              <w:pStyle w:val="17"/>
              <w:spacing w:before="35"/>
              <w:ind w:left="10"/>
              <w:rPr>
                <w:sz w:val="21"/>
              </w:rPr>
            </w:pPr>
            <w:r>
              <w:rPr>
                <w:w w:val="99"/>
                <w:sz w:val="21"/>
              </w:rPr>
              <w:t>铜</w:t>
            </w:r>
          </w:p>
        </w:tc>
        <w:tc>
          <w:tcPr>
            <w:tcW w:w="3072" w:type="dxa"/>
            <w:tcBorders>
              <w:right w:val="nil"/>
            </w:tcBorders>
          </w:tcPr>
          <w:p w14:paraId="3A6348A3">
            <w:pPr>
              <w:pStyle w:val="17"/>
              <w:spacing w:before="49"/>
              <w:ind w:left="1227" w:right="1220"/>
              <w:rPr>
                <w:rFonts w:ascii="Times New Roman"/>
                <w:sz w:val="21"/>
              </w:rPr>
            </w:pPr>
            <w:r>
              <w:rPr>
                <w:rFonts w:ascii="Times New Roman"/>
                <w:sz w:val="21"/>
              </w:rPr>
              <w:t>1.0</w:t>
            </w:r>
          </w:p>
        </w:tc>
      </w:tr>
      <w:tr w14:paraId="33D93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55FD9CD9">
            <w:pPr>
              <w:pStyle w:val="17"/>
              <w:spacing w:before="50"/>
              <w:ind w:right="619"/>
              <w:jc w:val="right"/>
              <w:rPr>
                <w:rFonts w:ascii="Times New Roman"/>
                <w:sz w:val="21"/>
              </w:rPr>
            </w:pPr>
            <w:r>
              <w:rPr>
                <w:rFonts w:ascii="Times New Roman"/>
                <w:w w:val="99"/>
                <w:sz w:val="21"/>
              </w:rPr>
              <w:t>9</w:t>
            </w:r>
          </w:p>
        </w:tc>
        <w:tc>
          <w:tcPr>
            <w:tcW w:w="3882" w:type="dxa"/>
          </w:tcPr>
          <w:p w14:paraId="1146EBEF">
            <w:pPr>
              <w:pStyle w:val="17"/>
              <w:spacing w:before="36"/>
              <w:ind w:left="10"/>
              <w:rPr>
                <w:sz w:val="21"/>
              </w:rPr>
            </w:pPr>
            <w:r>
              <w:rPr>
                <w:w w:val="99"/>
                <w:sz w:val="21"/>
              </w:rPr>
              <w:t>铅</w:t>
            </w:r>
          </w:p>
        </w:tc>
        <w:tc>
          <w:tcPr>
            <w:tcW w:w="3072" w:type="dxa"/>
            <w:tcBorders>
              <w:right w:val="nil"/>
            </w:tcBorders>
          </w:tcPr>
          <w:p w14:paraId="385F34BE">
            <w:pPr>
              <w:pStyle w:val="17"/>
              <w:spacing w:before="50"/>
              <w:ind w:left="1227" w:right="1220"/>
              <w:rPr>
                <w:rFonts w:ascii="Times New Roman"/>
                <w:sz w:val="21"/>
              </w:rPr>
            </w:pPr>
            <w:r>
              <w:rPr>
                <w:rFonts w:ascii="Times New Roman"/>
                <w:sz w:val="21"/>
              </w:rPr>
              <w:t>0.05</w:t>
            </w:r>
          </w:p>
        </w:tc>
      </w:tr>
      <w:tr w14:paraId="04152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0C3FA753">
            <w:pPr>
              <w:pStyle w:val="17"/>
              <w:spacing w:before="48"/>
              <w:ind w:right="564"/>
              <w:jc w:val="right"/>
              <w:rPr>
                <w:rFonts w:ascii="Times New Roman"/>
                <w:sz w:val="21"/>
              </w:rPr>
            </w:pPr>
            <w:r>
              <w:rPr>
                <w:rFonts w:ascii="Times New Roman"/>
                <w:sz w:val="21"/>
              </w:rPr>
              <w:t>10</w:t>
            </w:r>
          </w:p>
        </w:tc>
        <w:tc>
          <w:tcPr>
            <w:tcW w:w="3882" w:type="dxa"/>
          </w:tcPr>
          <w:p w14:paraId="1883256C">
            <w:pPr>
              <w:pStyle w:val="17"/>
              <w:spacing w:before="34"/>
              <w:ind w:left="10"/>
              <w:rPr>
                <w:sz w:val="21"/>
              </w:rPr>
            </w:pPr>
            <w:r>
              <w:rPr>
                <w:w w:val="99"/>
                <w:sz w:val="21"/>
              </w:rPr>
              <w:t>镉</w:t>
            </w:r>
          </w:p>
        </w:tc>
        <w:tc>
          <w:tcPr>
            <w:tcW w:w="3072" w:type="dxa"/>
            <w:tcBorders>
              <w:right w:val="nil"/>
            </w:tcBorders>
          </w:tcPr>
          <w:p w14:paraId="3EBEDE84">
            <w:pPr>
              <w:pStyle w:val="17"/>
              <w:spacing w:before="48"/>
              <w:ind w:left="1227" w:right="1217"/>
              <w:rPr>
                <w:rFonts w:ascii="Times New Roman"/>
                <w:sz w:val="21"/>
              </w:rPr>
            </w:pPr>
            <w:r>
              <w:rPr>
                <w:rFonts w:ascii="Times New Roman"/>
                <w:sz w:val="21"/>
              </w:rPr>
              <w:t>0.005</w:t>
            </w:r>
          </w:p>
        </w:tc>
      </w:tr>
      <w:tr w14:paraId="5C0CE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7C2306FE">
            <w:pPr>
              <w:pStyle w:val="17"/>
              <w:spacing w:before="48"/>
              <w:ind w:right="566"/>
              <w:jc w:val="right"/>
              <w:rPr>
                <w:rFonts w:ascii="Times New Roman"/>
                <w:sz w:val="21"/>
              </w:rPr>
            </w:pPr>
            <w:r>
              <w:rPr>
                <w:rFonts w:ascii="Times New Roman"/>
                <w:w w:val="95"/>
                <w:sz w:val="21"/>
              </w:rPr>
              <w:t>11</w:t>
            </w:r>
          </w:p>
        </w:tc>
        <w:tc>
          <w:tcPr>
            <w:tcW w:w="3882" w:type="dxa"/>
          </w:tcPr>
          <w:p w14:paraId="112B5977">
            <w:pPr>
              <w:pStyle w:val="17"/>
              <w:spacing w:before="34"/>
              <w:ind w:left="10"/>
              <w:rPr>
                <w:sz w:val="21"/>
              </w:rPr>
            </w:pPr>
            <w:r>
              <w:rPr>
                <w:w w:val="99"/>
                <w:sz w:val="21"/>
              </w:rPr>
              <w:t>砷</w:t>
            </w:r>
          </w:p>
        </w:tc>
        <w:tc>
          <w:tcPr>
            <w:tcW w:w="3072" w:type="dxa"/>
            <w:tcBorders>
              <w:right w:val="nil"/>
            </w:tcBorders>
          </w:tcPr>
          <w:p w14:paraId="32C35122">
            <w:pPr>
              <w:pStyle w:val="17"/>
              <w:spacing w:before="48"/>
              <w:ind w:left="1227" w:right="1220"/>
              <w:rPr>
                <w:rFonts w:ascii="Times New Roman"/>
                <w:sz w:val="21"/>
              </w:rPr>
            </w:pPr>
            <w:r>
              <w:rPr>
                <w:rFonts w:ascii="Times New Roman"/>
                <w:sz w:val="21"/>
              </w:rPr>
              <w:t>0.05</w:t>
            </w:r>
          </w:p>
        </w:tc>
      </w:tr>
      <w:tr w14:paraId="539F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04DCB823">
            <w:pPr>
              <w:pStyle w:val="17"/>
              <w:spacing w:before="48"/>
              <w:ind w:right="564"/>
              <w:jc w:val="right"/>
              <w:rPr>
                <w:rFonts w:ascii="Times New Roman"/>
                <w:sz w:val="21"/>
              </w:rPr>
            </w:pPr>
            <w:r>
              <w:rPr>
                <w:rFonts w:ascii="Times New Roman"/>
                <w:sz w:val="21"/>
              </w:rPr>
              <w:t>12</w:t>
            </w:r>
          </w:p>
        </w:tc>
        <w:tc>
          <w:tcPr>
            <w:tcW w:w="3882" w:type="dxa"/>
          </w:tcPr>
          <w:p w14:paraId="26A673F2">
            <w:pPr>
              <w:pStyle w:val="17"/>
              <w:spacing w:before="35"/>
              <w:ind w:left="10"/>
              <w:rPr>
                <w:sz w:val="21"/>
              </w:rPr>
            </w:pPr>
            <w:r>
              <w:rPr>
                <w:w w:val="99"/>
                <w:sz w:val="21"/>
              </w:rPr>
              <w:t>汞</w:t>
            </w:r>
          </w:p>
        </w:tc>
        <w:tc>
          <w:tcPr>
            <w:tcW w:w="3072" w:type="dxa"/>
            <w:tcBorders>
              <w:right w:val="nil"/>
            </w:tcBorders>
          </w:tcPr>
          <w:p w14:paraId="34F2F161">
            <w:pPr>
              <w:pStyle w:val="17"/>
              <w:spacing w:before="48"/>
              <w:ind w:left="1227" w:right="1222"/>
              <w:rPr>
                <w:rFonts w:ascii="Times New Roman"/>
                <w:sz w:val="21"/>
              </w:rPr>
            </w:pPr>
            <w:r>
              <w:rPr>
                <w:rFonts w:ascii="Times New Roman"/>
                <w:sz w:val="21"/>
              </w:rPr>
              <w:t>0.0001</w:t>
            </w:r>
          </w:p>
        </w:tc>
      </w:tr>
      <w:tr w14:paraId="2E5D4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72695C27">
            <w:pPr>
              <w:pStyle w:val="17"/>
              <w:spacing w:before="34"/>
              <w:ind w:right="564"/>
              <w:jc w:val="right"/>
              <w:rPr>
                <w:rFonts w:ascii="Times New Roman"/>
                <w:sz w:val="21"/>
              </w:rPr>
            </w:pPr>
            <w:r>
              <w:rPr>
                <w:rFonts w:ascii="Times New Roman"/>
                <w:sz w:val="21"/>
              </w:rPr>
              <w:t>13</w:t>
            </w:r>
          </w:p>
        </w:tc>
        <w:tc>
          <w:tcPr>
            <w:tcW w:w="3882" w:type="dxa"/>
          </w:tcPr>
          <w:p w14:paraId="114C950F">
            <w:pPr>
              <w:pStyle w:val="17"/>
              <w:spacing w:before="35"/>
              <w:ind w:left="1078" w:right="1070"/>
              <w:rPr>
                <w:sz w:val="21"/>
              </w:rPr>
            </w:pPr>
            <w:r>
              <w:rPr>
                <w:sz w:val="21"/>
              </w:rPr>
              <w:t>氟化物</w:t>
            </w:r>
          </w:p>
        </w:tc>
        <w:tc>
          <w:tcPr>
            <w:tcW w:w="3072" w:type="dxa"/>
            <w:tcBorders>
              <w:right w:val="nil"/>
            </w:tcBorders>
          </w:tcPr>
          <w:p w14:paraId="175F7F1E">
            <w:pPr>
              <w:pStyle w:val="17"/>
              <w:spacing w:before="49"/>
              <w:ind w:left="1227" w:right="1220"/>
              <w:rPr>
                <w:rFonts w:ascii="Times New Roman"/>
                <w:sz w:val="21"/>
              </w:rPr>
            </w:pPr>
            <w:r>
              <w:rPr>
                <w:rFonts w:ascii="Times New Roman"/>
                <w:sz w:val="21"/>
              </w:rPr>
              <w:t>1.0</w:t>
            </w:r>
          </w:p>
        </w:tc>
      </w:tr>
      <w:tr w14:paraId="1E9A7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4E166E9C">
            <w:pPr>
              <w:pStyle w:val="17"/>
              <w:spacing w:before="35"/>
              <w:ind w:right="564"/>
              <w:jc w:val="right"/>
              <w:rPr>
                <w:rFonts w:ascii="Times New Roman"/>
                <w:sz w:val="21"/>
              </w:rPr>
            </w:pPr>
            <w:r>
              <w:rPr>
                <w:rFonts w:ascii="Times New Roman"/>
                <w:sz w:val="21"/>
              </w:rPr>
              <w:t>14</w:t>
            </w:r>
          </w:p>
        </w:tc>
        <w:tc>
          <w:tcPr>
            <w:tcW w:w="3882" w:type="dxa"/>
          </w:tcPr>
          <w:p w14:paraId="0BB88400">
            <w:pPr>
              <w:pStyle w:val="17"/>
              <w:spacing w:before="35"/>
              <w:ind w:left="1078" w:right="1073"/>
              <w:rPr>
                <w:sz w:val="21"/>
              </w:rPr>
            </w:pPr>
            <w:r>
              <w:rPr>
                <w:sz w:val="21"/>
              </w:rPr>
              <w:t>阴离子表面活性剂</w:t>
            </w:r>
          </w:p>
        </w:tc>
        <w:tc>
          <w:tcPr>
            <w:tcW w:w="3072" w:type="dxa"/>
            <w:tcBorders>
              <w:right w:val="nil"/>
            </w:tcBorders>
          </w:tcPr>
          <w:p w14:paraId="332F6DAA">
            <w:pPr>
              <w:pStyle w:val="17"/>
              <w:spacing w:before="49"/>
              <w:ind w:left="1227" w:right="1220"/>
              <w:rPr>
                <w:rFonts w:ascii="Times New Roman"/>
                <w:sz w:val="21"/>
              </w:rPr>
            </w:pPr>
            <w:r>
              <w:rPr>
                <w:rFonts w:ascii="Times New Roman"/>
                <w:sz w:val="21"/>
              </w:rPr>
              <w:t>0.2</w:t>
            </w:r>
          </w:p>
        </w:tc>
      </w:tr>
      <w:tr w14:paraId="721AB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02243CE9">
            <w:pPr>
              <w:pStyle w:val="17"/>
              <w:spacing w:before="35"/>
              <w:ind w:right="564"/>
              <w:jc w:val="right"/>
              <w:rPr>
                <w:rFonts w:ascii="Times New Roman"/>
                <w:sz w:val="21"/>
              </w:rPr>
            </w:pPr>
            <w:r>
              <w:rPr>
                <w:rFonts w:ascii="Times New Roman"/>
                <w:sz w:val="21"/>
              </w:rPr>
              <w:t>15</w:t>
            </w:r>
          </w:p>
        </w:tc>
        <w:tc>
          <w:tcPr>
            <w:tcW w:w="3882" w:type="dxa"/>
          </w:tcPr>
          <w:p w14:paraId="4173B014">
            <w:pPr>
              <w:pStyle w:val="17"/>
              <w:spacing w:before="36"/>
              <w:ind w:left="1078" w:right="1070"/>
              <w:rPr>
                <w:sz w:val="21"/>
              </w:rPr>
            </w:pPr>
            <w:r>
              <w:rPr>
                <w:sz w:val="21"/>
              </w:rPr>
              <w:t>硫化物</w:t>
            </w:r>
          </w:p>
        </w:tc>
        <w:tc>
          <w:tcPr>
            <w:tcW w:w="3072" w:type="dxa"/>
            <w:tcBorders>
              <w:right w:val="nil"/>
            </w:tcBorders>
          </w:tcPr>
          <w:p w14:paraId="5F8690A9">
            <w:pPr>
              <w:pStyle w:val="17"/>
              <w:spacing w:before="50"/>
              <w:ind w:left="1227" w:right="1220"/>
              <w:rPr>
                <w:rFonts w:ascii="Times New Roman"/>
                <w:sz w:val="21"/>
              </w:rPr>
            </w:pPr>
            <w:r>
              <w:rPr>
                <w:rFonts w:ascii="Times New Roman"/>
                <w:sz w:val="21"/>
              </w:rPr>
              <w:t>0.2</w:t>
            </w:r>
          </w:p>
        </w:tc>
      </w:tr>
      <w:tr w14:paraId="2A62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1440E11E">
            <w:pPr>
              <w:pStyle w:val="17"/>
              <w:spacing w:before="36"/>
              <w:ind w:right="564"/>
              <w:jc w:val="right"/>
              <w:rPr>
                <w:rFonts w:ascii="Times New Roman"/>
                <w:sz w:val="21"/>
              </w:rPr>
            </w:pPr>
            <w:r>
              <w:rPr>
                <w:rFonts w:ascii="Times New Roman"/>
                <w:sz w:val="21"/>
              </w:rPr>
              <w:t>16</w:t>
            </w:r>
          </w:p>
        </w:tc>
        <w:tc>
          <w:tcPr>
            <w:tcW w:w="3882" w:type="dxa"/>
          </w:tcPr>
          <w:p w14:paraId="45642978">
            <w:pPr>
              <w:pStyle w:val="17"/>
              <w:spacing w:before="34"/>
              <w:ind w:left="1078" w:right="1070"/>
              <w:rPr>
                <w:sz w:val="21"/>
              </w:rPr>
            </w:pPr>
            <w:r>
              <w:rPr>
                <w:sz w:val="21"/>
              </w:rPr>
              <w:t>氰化物</w:t>
            </w:r>
          </w:p>
        </w:tc>
        <w:tc>
          <w:tcPr>
            <w:tcW w:w="3072" w:type="dxa"/>
            <w:tcBorders>
              <w:right w:val="nil"/>
            </w:tcBorders>
          </w:tcPr>
          <w:p w14:paraId="5B5E54AA">
            <w:pPr>
              <w:pStyle w:val="17"/>
              <w:spacing w:before="48"/>
              <w:ind w:left="1227" w:right="1220"/>
              <w:rPr>
                <w:rFonts w:ascii="Times New Roman"/>
                <w:sz w:val="21"/>
              </w:rPr>
            </w:pPr>
            <w:r>
              <w:rPr>
                <w:rFonts w:ascii="Times New Roman"/>
                <w:sz w:val="21"/>
              </w:rPr>
              <w:t>0.2</w:t>
            </w:r>
          </w:p>
        </w:tc>
      </w:tr>
      <w:tr w14:paraId="7B793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59" w:type="dxa"/>
            <w:tcBorders>
              <w:left w:val="nil"/>
            </w:tcBorders>
          </w:tcPr>
          <w:p w14:paraId="44F7BDFF">
            <w:pPr>
              <w:pStyle w:val="17"/>
              <w:spacing w:before="34"/>
              <w:ind w:right="564"/>
              <w:jc w:val="right"/>
              <w:rPr>
                <w:rFonts w:ascii="Times New Roman"/>
                <w:sz w:val="21"/>
              </w:rPr>
            </w:pPr>
            <w:r>
              <w:rPr>
                <w:rFonts w:ascii="Times New Roman"/>
                <w:sz w:val="21"/>
              </w:rPr>
              <w:t>17</w:t>
            </w:r>
          </w:p>
        </w:tc>
        <w:tc>
          <w:tcPr>
            <w:tcW w:w="3882" w:type="dxa"/>
          </w:tcPr>
          <w:p w14:paraId="30430955">
            <w:pPr>
              <w:pStyle w:val="17"/>
              <w:spacing w:before="34"/>
              <w:ind w:left="10"/>
              <w:rPr>
                <w:sz w:val="21"/>
              </w:rPr>
            </w:pPr>
            <w:r>
              <w:rPr>
                <w:w w:val="99"/>
                <w:sz w:val="21"/>
              </w:rPr>
              <w:t>硒</w:t>
            </w:r>
          </w:p>
        </w:tc>
        <w:tc>
          <w:tcPr>
            <w:tcW w:w="3072" w:type="dxa"/>
            <w:tcBorders>
              <w:right w:val="nil"/>
            </w:tcBorders>
          </w:tcPr>
          <w:p w14:paraId="7AEDFB61">
            <w:pPr>
              <w:pStyle w:val="17"/>
              <w:spacing w:before="48"/>
              <w:ind w:left="1227" w:right="1220"/>
              <w:rPr>
                <w:rFonts w:ascii="Times New Roman"/>
                <w:sz w:val="21"/>
              </w:rPr>
            </w:pPr>
            <w:r>
              <w:rPr>
                <w:rFonts w:ascii="Times New Roman"/>
                <w:sz w:val="21"/>
              </w:rPr>
              <w:t>0.01</w:t>
            </w:r>
          </w:p>
        </w:tc>
      </w:tr>
    </w:tbl>
    <w:p w14:paraId="080126E7">
      <w:pPr>
        <w:pStyle w:val="10"/>
        <w:spacing w:before="81"/>
        <w:ind w:left="700"/>
      </w:pPr>
      <w:r>
        <w:rPr>
          <w:rFonts w:ascii="Times New Roman" w:eastAsia="Times New Roman"/>
        </w:rPr>
        <w:t>3</w:t>
      </w:r>
      <w:r>
        <w:t>、声环境</w:t>
      </w:r>
    </w:p>
    <w:p w14:paraId="6706B60A">
      <w:pPr>
        <w:pStyle w:val="10"/>
        <w:spacing w:before="161" w:line="364" w:lineRule="auto"/>
        <w:ind w:left="220" w:right="357" w:firstLine="480"/>
        <w:jc w:val="both"/>
      </w:pPr>
      <w:r>
        <w:rPr>
          <w:spacing w:val="5"/>
        </w:rPr>
        <w:t>根据《汨罗市人民政府办公室关于印发</w:t>
      </w:r>
      <w:r>
        <w:rPr>
          <w:rFonts w:ascii="Times New Roman" w:eastAsia="Times New Roman"/>
          <w:spacing w:val="6"/>
        </w:rPr>
        <w:t>&lt;</w:t>
      </w:r>
      <w:r>
        <w:rPr>
          <w:spacing w:val="5"/>
        </w:rPr>
        <w:t>汨罗市中心城区声环境功能区划分</w:t>
      </w:r>
      <w:r>
        <w:rPr>
          <w:rFonts w:ascii="Times New Roman" w:eastAsia="Times New Roman"/>
          <w:spacing w:val="5"/>
        </w:rPr>
        <w:t>&gt;</w:t>
      </w:r>
      <w:r>
        <w:rPr>
          <w:spacing w:val="-8"/>
        </w:rPr>
        <w:t>的通知》</w:t>
      </w:r>
      <w:r>
        <w:rPr>
          <w:spacing w:val="-3"/>
        </w:rPr>
        <w:t>（</w:t>
      </w:r>
      <w:r>
        <w:t>汨政办函</w:t>
      </w:r>
      <w:r>
        <w:rPr>
          <w:rFonts w:ascii="Times New Roman" w:eastAsia="Times New Roman"/>
        </w:rPr>
        <w:t xml:space="preserve">[2020]126 </w:t>
      </w:r>
      <w:r>
        <w:t>号</w:t>
      </w:r>
      <w:r>
        <w:rPr>
          <w:spacing w:val="-22"/>
        </w:rPr>
        <w:t>），</w:t>
      </w:r>
      <w:r>
        <w:t>本项目位于湖南汨罗高新技术产业开发</w:t>
      </w:r>
      <w:r>
        <w:rPr>
          <w:spacing w:val="-4"/>
        </w:rPr>
        <w:t xml:space="preserve">区新市片区中塑新材料公司内 </w:t>
      </w:r>
      <w:r>
        <w:rPr>
          <w:rFonts w:ascii="Times New Roman" w:eastAsia="Times New Roman"/>
        </w:rPr>
        <w:t xml:space="preserve">16 </w:t>
      </w:r>
      <w:r>
        <w:rPr>
          <w:spacing w:val="-5"/>
        </w:rPr>
        <w:t xml:space="preserve">栋厂房，属于声环境功能 </w:t>
      </w:r>
      <w:r>
        <w:rPr>
          <w:rFonts w:ascii="Times New Roman" w:eastAsia="Times New Roman"/>
        </w:rPr>
        <w:t xml:space="preserve">3 </w:t>
      </w:r>
      <w:r>
        <w:t>类区；根据现场踏</w:t>
      </w:r>
      <w:r>
        <w:rPr>
          <w:spacing w:val="-11"/>
        </w:rPr>
        <w:t xml:space="preserve">勘，项目南侧距离平益高速 </w:t>
      </w:r>
      <w:r>
        <w:rPr>
          <w:rFonts w:ascii="Times New Roman" w:eastAsia="Times New Roman"/>
          <w:spacing w:val="-5"/>
        </w:rPr>
        <w:t>10~30m</w:t>
      </w:r>
      <w:r>
        <w:rPr>
          <w:spacing w:val="-9"/>
        </w:rPr>
        <w:t xml:space="preserve">，位于声环境功能 </w:t>
      </w:r>
      <w:r>
        <w:rPr>
          <w:rFonts w:ascii="Times New Roman" w:eastAsia="Times New Roman"/>
        </w:rPr>
        <w:t xml:space="preserve">4a </w:t>
      </w:r>
      <w:r>
        <w:rPr>
          <w:spacing w:val="-6"/>
        </w:rPr>
        <w:t>类区；故项目所在区域</w:t>
      </w:r>
      <w:r>
        <w:rPr>
          <w:spacing w:val="-5"/>
        </w:rPr>
        <w:t>执行《声环境质量标准》</w:t>
      </w:r>
      <w:r>
        <w:t>（</w:t>
      </w:r>
      <w:r>
        <w:rPr>
          <w:rFonts w:ascii="Times New Roman" w:eastAsia="Times New Roman"/>
        </w:rPr>
        <w:t>GB3096-2008</w:t>
      </w:r>
      <w:r>
        <w:t>）</w:t>
      </w:r>
      <w:r>
        <w:rPr>
          <w:spacing w:val="-31"/>
        </w:rPr>
        <w:t xml:space="preserve">表 </w:t>
      </w:r>
      <w:r>
        <w:rPr>
          <w:rFonts w:ascii="Times New Roman" w:eastAsia="Times New Roman"/>
        </w:rPr>
        <w:t xml:space="preserve">1 </w:t>
      </w:r>
      <w:r>
        <w:rPr>
          <w:spacing w:val="-21"/>
        </w:rPr>
        <w:t xml:space="preserve">中的 </w:t>
      </w:r>
      <w:r>
        <w:rPr>
          <w:rFonts w:ascii="Times New Roman" w:eastAsia="Times New Roman"/>
        </w:rPr>
        <w:t xml:space="preserve">3 </w:t>
      </w:r>
      <w:r>
        <w:rPr>
          <w:spacing w:val="-1"/>
        </w:rPr>
        <w:t>类标准</w:t>
      </w:r>
      <w:r>
        <w:t>（</w:t>
      </w:r>
      <w:r>
        <w:rPr>
          <w:spacing w:val="-3"/>
        </w:rPr>
        <w:t>东侧、西侧、北侧）</w:t>
      </w:r>
      <w:r>
        <w:rPr>
          <w:spacing w:val="-32"/>
        </w:rPr>
        <w:t xml:space="preserve">和 </w:t>
      </w:r>
      <w:r>
        <w:rPr>
          <w:rFonts w:ascii="Times New Roman" w:eastAsia="Times New Roman"/>
        </w:rPr>
        <w:t xml:space="preserve">4a </w:t>
      </w:r>
      <w:r>
        <w:t>类标准（南侧厂界）。</w:t>
      </w:r>
    </w:p>
    <w:p w14:paraId="4BFF1C27">
      <w:pPr>
        <w:pStyle w:val="9"/>
        <w:spacing w:before="4"/>
        <w:ind w:left="2828"/>
      </w:pPr>
      <w:r>
        <w:rPr>
          <w:spacing w:val="-31"/>
        </w:rPr>
        <w:t xml:space="preserve">表 </w:t>
      </w:r>
      <w:r>
        <w:rPr>
          <w:rFonts w:ascii="Times New Roman" w:eastAsia="Times New Roman"/>
        </w:rPr>
        <w:t>1.4-3</w:t>
      </w:r>
      <w:r>
        <w:rPr>
          <w:rFonts w:ascii="Times New Roman" w:eastAsia="Times New Roman"/>
          <w:spacing w:val="58"/>
        </w:rPr>
        <w:t xml:space="preserve"> </w:t>
      </w:r>
      <w:r>
        <w:t>声环境质量评价标准</w:t>
      </w:r>
    </w:p>
    <w:p w14:paraId="410B5289">
      <w:pPr>
        <w:pStyle w:val="10"/>
        <w:spacing w:before="2"/>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1"/>
        <w:gridCol w:w="1450"/>
        <w:gridCol w:w="1466"/>
        <w:gridCol w:w="3212"/>
      </w:tblGrid>
      <w:tr w14:paraId="502CA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91" w:type="dxa"/>
            <w:vMerge w:val="restart"/>
            <w:tcBorders>
              <w:left w:val="nil"/>
            </w:tcBorders>
          </w:tcPr>
          <w:p w14:paraId="5AE16575">
            <w:pPr>
              <w:pStyle w:val="17"/>
              <w:spacing w:before="4"/>
              <w:jc w:val="left"/>
              <w:rPr>
                <w:b/>
                <w:sz w:val="16"/>
              </w:rPr>
            </w:pPr>
          </w:p>
          <w:p w14:paraId="02E72268">
            <w:pPr>
              <w:pStyle w:val="17"/>
              <w:ind w:left="129" w:right="117"/>
              <w:rPr>
                <w:sz w:val="21"/>
              </w:rPr>
            </w:pPr>
            <w:r>
              <w:rPr>
                <w:sz w:val="21"/>
              </w:rPr>
              <w:t>区域</w:t>
            </w:r>
          </w:p>
        </w:tc>
        <w:tc>
          <w:tcPr>
            <w:tcW w:w="2916" w:type="dxa"/>
            <w:gridSpan w:val="2"/>
          </w:tcPr>
          <w:p w14:paraId="275E3EB1">
            <w:pPr>
              <w:pStyle w:val="17"/>
              <w:spacing w:before="34"/>
              <w:ind w:left="523"/>
              <w:jc w:val="left"/>
              <w:rPr>
                <w:sz w:val="21"/>
              </w:rPr>
            </w:pPr>
            <w:r>
              <w:rPr>
                <w:sz w:val="21"/>
              </w:rPr>
              <w:t>标准值（</w:t>
            </w:r>
            <w:r>
              <w:rPr>
                <w:rFonts w:ascii="Times New Roman" w:eastAsia="Times New Roman"/>
                <w:sz w:val="21"/>
              </w:rPr>
              <w:t>dB</w:t>
            </w:r>
            <w:r>
              <w:rPr>
                <w:sz w:val="21"/>
              </w:rPr>
              <w:t>（</w:t>
            </w:r>
            <w:r>
              <w:rPr>
                <w:rFonts w:ascii="Times New Roman" w:eastAsia="Times New Roman"/>
                <w:sz w:val="21"/>
              </w:rPr>
              <w:t>A</w:t>
            </w:r>
            <w:r>
              <w:rPr>
                <w:sz w:val="21"/>
              </w:rPr>
              <w:t>））</w:t>
            </w:r>
          </w:p>
        </w:tc>
        <w:tc>
          <w:tcPr>
            <w:tcW w:w="3212" w:type="dxa"/>
            <w:vMerge w:val="restart"/>
            <w:tcBorders>
              <w:right w:val="nil"/>
            </w:tcBorders>
          </w:tcPr>
          <w:p w14:paraId="70D5F565">
            <w:pPr>
              <w:pStyle w:val="17"/>
              <w:spacing w:before="4"/>
              <w:jc w:val="left"/>
              <w:rPr>
                <w:b/>
                <w:sz w:val="16"/>
              </w:rPr>
            </w:pPr>
          </w:p>
          <w:p w14:paraId="690B62B8">
            <w:pPr>
              <w:pStyle w:val="17"/>
              <w:ind w:left="150" w:right="147"/>
              <w:rPr>
                <w:sz w:val="21"/>
              </w:rPr>
            </w:pPr>
            <w:r>
              <w:rPr>
                <w:sz w:val="21"/>
              </w:rPr>
              <w:t>评价标准</w:t>
            </w:r>
          </w:p>
        </w:tc>
      </w:tr>
      <w:tr w14:paraId="3B6B5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91" w:type="dxa"/>
            <w:vMerge w:val="continue"/>
            <w:tcBorders>
              <w:top w:val="nil"/>
              <w:left w:val="nil"/>
            </w:tcBorders>
          </w:tcPr>
          <w:p w14:paraId="39C2775C">
            <w:pPr>
              <w:rPr>
                <w:sz w:val="2"/>
                <w:szCs w:val="2"/>
              </w:rPr>
            </w:pPr>
          </w:p>
        </w:tc>
        <w:tc>
          <w:tcPr>
            <w:tcW w:w="1450" w:type="dxa"/>
          </w:tcPr>
          <w:p w14:paraId="4C23BF15">
            <w:pPr>
              <w:pStyle w:val="17"/>
              <w:spacing w:before="34"/>
              <w:ind w:left="98" w:right="92"/>
              <w:rPr>
                <w:sz w:val="21"/>
              </w:rPr>
            </w:pPr>
            <w:r>
              <w:rPr>
                <w:sz w:val="21"/>
              </w:rPr>
              <w:t>昼间</w:t>
            </w:r>
          </w:p>
        </w:tc>
        <w:tc>
          <w:tcPr>
            <w:tcW w:w="1466" w:type="dxa"/>
          </w:tcPr>
          <w:p w14:paraId="151276D9">
            <w:pPr>
              <w:pStyle w:val="17"/>
              <w:spacing w:before="34"/>
              <w:ind w:left="181" w:right="173"/>
              <w:rPr>
                <w:sz w:val="21"/>
              </w:rPr>
            </w:pPr>
            <w:r>
              <w:rPr>
                <w:sz w:val="21"/>
              </w:rPr>
              <w:t>夜间</w:t>
            </w:r>
          </w:p>
        </w:tc>
        <w:tc>
          <w:tcPr>
            <w:tcW w:w="3212" w:type="dxa"/>
            <w:vMerge w:val="continue"/>
            <w:tcBorders>
              <w:top w:val="nil"/>
              <w:right w:val="nil"/>
            </w:tcBorders>
          </w:tcPr>
          <w:p w14:paraId="597A8F1F">
            <w:pPr>
              <w:rPr>
                <w:sz w:val="2"/>
                <w:szCs w:val="2"/>
              </w:rPr>
            </w:pPr>
          </w:p>
        </w:tc>
      </w:tr>
      <w:tr w14:paraId="5D970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91" w:type="dxa"/>
            <w:tcBorders>
              <w:left w:val="nil"/>
            </w:tcBorders>
          </w:tcPr>
          <w:p w14:paraId="285FF8E0">
            <w:pPr>
              <w:pStyle w:val="17"/>
              <w:spacing w:before="20"/>
              <w:ind w:left="129" w:right="117"/>
              <w:rPr>
                <w:sz w:val="21"/>
              </w:rPr>
            </w:pPr>
            <w:r>
              <w:rPr>
                <w:sz w:val="21"/>
              </w:rPr>
              <w:t>项目区东侧、西侧、北</w:t>
            </w:r>
          </w:p>
          <w:p w14:paraId="5DA1539A">
            <w:pPr>
              <w:pStyle w:val="17"/>
              <w:spacing w:before="43"/>
              <w:ind w:left="129" w:right="117"/>
              <w:rPr>
                <w:sz w:val="21"/>
              </w:rPr>
            </w:pPr>
            <w:r>
              <w:rPr>
                <w:sz w:val="21"/>
              </w:rPr>
              <w:t>侧厂界</w:t>
            </w:r>
          </w:p>
        </w:tc>
        <w:tc>
          <w:tcPr>
            <w:tcW w:w="1450" w:type="dxa"/>
          </w:tcPr>
          <w:p w14:paraId="114D2690">
            <w:pPr>
              <w:pStyle w:val="17"/>
              <w:spacing w:before="190"/>
              <w:ind w:left="99" w:right="90"/>
              <w:rPr>
                <w:rFonts w:ascii="Times New Roman"/>
                <w:sz w:val="21"/>
              </w:rPr>
            </w:pPr>
            <w:r>
              <w:rPr>
                <w:rFonts w:ascii="Times New Roman"/>
                <w:sz w:val="21"/>
              </w:rPr>
              <w:t>65</w:t>
            </w:r>
          </w:p>
        </w:tc>
        <w:tc>
          <w:tcPr>
            <w:tcW w:w="1466" w:type="dxa"/>
          </w:tcPr>
          <w:p w14:paraId="0A12348D">
            <w:pPr>
              <w:pStyle w:val="17"/>
              <w:spacing w:before="190"/>
              <w:ind w:left="181" w:right="174"/>
              <w:rPr>
                <w:rFonts w:ascii="Times New Roman"/>
                <w:sz w:val="21"/>
              </w:rPr>
            </w:pPr>
            <w:r>
              <w:rPr>
                <w:rFonts w:ascii="Times New Roman"/>
                <w:sz w:val="21"/>
              </w:rPr>
              <w:t>55</w:t>
            </w:r>
          </w:p>
        </w:tc>
        <w:tc>
          <w:tcPr>
            <w:tcW w:w="3212" w:type="dxa"/>
            <w:tcBorders>
              <w:right w:val="nil"/>
            </w:tcBorders>
          </w:tcPr>
          <w:p w14:paraId="633077A5">
            <w:pPr>
              <w:pStyle w:val="17"/>
              <w:spacing w:before="20"/>
              <w:ind w:left="150" w:right="147"/>
              <w:rPr>
                <w:sz w:val="21"/>
              </w:rPr>
            </w:pPr>
            <w:r>
              <w:rPr>
                <w:sz w:val="21"/>
              </w:rPr>
              <w:t>《声环境质量标准》</w:t>
            </w:r>
          </w:p>
          <w:p w14:paraId="04314674">
            <w:pPr>
              <w:pStyle w:val="17"/>
              <w:spacing w:before="43"/>
              <w:ind w:left="150" w:right="147"/>
              <w:rPr>
                <w:sz w:val="21"/>
              </w:rPr>
            </w:pPr>
            <w:r>
              <w:rPr>
                <w:sz w:val="21"/>
              </w:rPr>
              <w:t>（</w:t>
            </w:r>
            <w:r>
              <w:rPr>
                <w:rFonts w:ascii="Times New Roman" w:eastAsia="Times New Roman"/>
                <w:sz w:val="21"/>
              </w:rPr>
              <w:t>GB3096-2008</w:t>
            </w:r>
            <w:r>
              <w:rPr>
                <w:sz w:val="21"/>
              </w:rPr>
              <w:t xml:space="preserve">）表 </w:t>
            </w:r>
            <w:r>
              <w:rPr>
                <w:rFonts w:ascii="Times New Roman" w:eastAsia="Times New Roman"/>
                <w:sz w:val="21"/>
              </w:rPr>
              <w:t xml:space="preserve">1 </w:t>
            </w:r>
            <w:r>
              <w:rPr>
                <w:sz w:val="21"/>
              </w:rPr>
              <w:t xml:space="preserve">中 </w:t>
            </w:r>
            <w:r>
              <w:rPr>
                <w:rFonts w:ascii="Times New Roman" w:eastAsia="Times New Roman"/>
                <w:sz w:val="21"/>
              </w:rPr>
              <w:t xml:space="preserve">3 </w:t>
            </w:r>
            <w:r>
              <w:rPr>
                <w:sz w:val="21"/>
              </w:rPr>
              <w:t>类</w:t>
            </w:r>
          </w:p>
        </w:tc>
      </w:tr>
      <w:tr w14:paraId="35302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91" w:type="dxa"/>
            <w:tcBorders>
              <w:left w:val="nil"/>
            </w:tcBorders>
          </w:tcPr>
          <w:p w14:paraId="7A6978B6">
            <w:pPr>
              <w:pStyle w:val="17"/>
              <w:spacing w:before="176"/>
              <w:ind w:left="464"/>
              <w:jc w:val="left"/>
              <w:rPr>
                <w:sz w:val="21"/>
              </w:rPr>
            </w:pPr>
            <w:r>
              <w:rPr>
                <w:sz w:val="21"/>
              </w:rPr>
              <w:t>项目区南侧厂界</w:t>
            </w:r>
          </w:p>
        </w:tc>
        <w:tc>
          <w:tcPr>
            <w:tcW w:w="1450" w:type="dxa"/>
          </w:tcPr>
          <w:p w14:paraId="45996069">
            <w:pPr>
              <w:pStyle w:val="17"/>
              <w:spacing w:before="190"/>
              <w:ind w:left="99" w:right="90"/>
              <w:rPr>
                <w:rFonts w:ascii="Times New Roman"/>
                <w:sz w:val="21"/>
              </w:rPr>
            </w:pPr>
            <w:r>
              <w:rPr>
                <w:rFonts w:ascii="Times New Roman"/>
                <w:sz w:val="21"/>
              </w:rPr>
              <w:t>70</w:t>
            </w:r>
          </w:p>
        </w:tc>
        <w:tc>
          <w:tcPr>
            <w:tcW w:w="1466" w:type="dxa"/>
          </w:tcPr>
          <w:p w14:paraId="7F853867">
            <w:pPr>
              <w:pStyle w:val="17"/>
              <w:spacing w:before="190"/>
              <w:ind w:left="181" w:right="174"/>
              <w:rPr>
                <w:rFonts w:ascii="Times New Roman"/>
                <w:sz w:val="21"/>
              </w:rPr>
            </w:pPr>
            <w:r>
              <w:rPr>
                <w:rFonts w:ascii="Times New Roman"/>
                <w:sz w:val="21"/>
              </w:rPr>
              <w:t>55</w:t>
            </w:r>
          </w:p>
        </w:tc>
        <w:tc>
          <w:tcPr>
            <w:tcW w:w="3212" w:type="dxa"/>
            <w:tcBorders>
              <w:right w:val="nil"/>
            </w:tcBorders>
          </w:tcPr>
          <w:p w14:paraId="39FDD13D">
            <w:pPr>
              <w:pStyle w:val="17"/>
              <w:spacing w:before="20"/>
              <w:ind w:left="150" w:right="147"/>
              <w:rPr>
                <w:sz w:val="21"/>
              </w:rPr>
            </w:pPr>
            <w:r>
              <w:rPr>
                <w:sz w:val="21"/>
              </w:rPr>
              <w:t>《声环境质量标准》</w:t>
            </w:r>
          </w:p>
          <w:p w14:paraId="3172316D">
            <w:pPr>
              <w:pStyle w:val="17"/>
              <w:spacing w:before="43"/>
              <w:ind w:left="150" w:right="147"/>
              <w:rPr>
                <w:sz w:val="21"/>
              </w:rPr>
            </w:pPr>
            <w:r>
              <w:rPr>
                <w:sz w:val="21"/>
              </w:rPr>
              <w:t>（</w:t>
            </w:r>
            <w:r>
              <w:rPr>
                <w:rFonts w:ascii="Times New Roman" w:eastAsia="Times New Roman"/>
                <w:sz w:val="21"/>
              </w:rPr>
              <w:t>GB3096-2008</w:t>
            </w:r>
            <w:r>
              <w:rPr>
                <w:sz w:val="21"/>
              </w:rPr>
              <w:t xml:space="preserve">）表 </w:t>
            </w:r>
            <w:r>
              <w:rPr>
                <w:rFonts w:ascii="Times New Roman" w:eastAsia="Times New Roman"/>
                <w:sz w:val="21"/>
              </w:rPr>
              <w:t xml:space="preserve">1 </w:t>
            </w:r>
            <w:r>
              <w:rPr>
                <w:sz w:val="21"/>
              </w:rPr>
              <w:t xml:space="preserve">中 </w:t>
            </w:r>
            <w:r>
              <w:rPr>
                <w:rFonts w:ascii="Times New Roman" w:eastAsia="Times New Roman"/>
                <w:sz w:val="21"/>
              </w:rPr>
              <w:t xml:space="preserve">4a </w:t>
            </w:r>
            <w:r>
              <w:rPr>
                <w:sz w:val="21"/>
              </w:rPr>
              <w:t>类</w:t>
            </w:r>
          </w:p>
        </w:tc>
      </w:tr>
    </w:tbl>
    <w:p w14:paraId="50D8465C">
      <w:pPr>
        <w:pStyle w:val="10"/>
        <w:spacing w:before="81"/>
        <w:ind w:left="700"/>
      </w:pPr>
      <w:r>
        <w:rPr>
          <w:rFonts w:ascii="Times New Roman" w:eastAsia="Times New Roman"/>
        </w:rPr>
        <w:t>4</w:t>
      </w:r>
      <w:r>
        <w:t>、地下水环境</w:t>
      </w:r>
    </w:p>
    <w:p w14:paraId="6DBB02B6">
      <w:pPr>
        <w:tabs>
          <w:tab w:val="left" w:pos="5372"/>
        </w:tabs>
        <w:spacing w:before="161" w:line="364" w:lineRule="auto"/>
        <w:ind w:left="2103" w:right="237" w:hanging="1404"/>
        <w:jc w:val="left"/>
        <w:rPr>
          <w:rFonts w:ascii="Times New Roman" w:eastAsia="Times New Roman"/>
          <w:b/>
          <w:sz w:val="24"/>
        </w:rPr>
      </w:pPr>
      <w:r>
        <w:pict>
          <v:shape id="_x0000_s1219" o:spid="_x0000_s1219" o:spt="202" type="#_x0000_t202" style="position:absolute;left:0pt;margin-left:87.85pt;margin-top:50.8pt;height:158.3pt;width:419.85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5"/>
                    <w:gridCol w:w="1892"/>
                    <w:gridCol w:w="1729"/>
                    <w:gridCol w:w="842"/>
                    <w:gridCol w:w="1523"/>
                    <w:gridCol w:w="1471"/>
                  </w:tblGrid>
                  <w:tr w14:paraId="218F4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145D73E9">
                        <w:pPr>
                          <w:pStyle w:val="17"/>
                          <w:spacing w:before="34"/>
                          <w:ind w:left="232" w:right="227"/>
                          <w:rPr>
                            <w:sz w:val="21"/>
                          </w:rPr>
                        </w:pPr>
                        <w:r>
                          <w:rPr>
                            <w:sz w:val="21"/>
                          </w:rPr>
                          <w:t>序号</w:t>
                        </w:r>
                      </w:p>
                    </w:tc>
                    <w:tc>
                      <w:tcPr>
                        <w:tcW w:w="1892" w:type="dxa"/>
                      </w:tcPr>
                      <w:p w14:paraId="28612609">
                        <w:pPr>
                          <w:pStyle w:val="17"/>
                          <w:spacing w:before="34"/>
                          <w:ind w:left="83" w:right="77"/>
                          <w:rPr>
                            <w:sz w:val="21"/>
                          </w:rPr>
                        </w:pPr>
                        <w:r>
                          <w:rPr>
                            <w:sz w:val="21"/>
                          </w:rPr>
                          <w:t>名称</w:t>
                        </w:r>
                      </w:p>
                    </w:tc>
                    <w:tc>
                      <w:tcPr>
                        <w:tcW w:w="1729" w:type="dxa"/>
                      </w:tcPr>
                      <w:p w14:paraId="7C7A3A38">
                        <w:pPr>
                          <w:pStyle w:val="17"/>
                          <w:spacing w:before="34"/>
                          <w:ind w:left="212" w:right="203"/>
                          <w:rPr>
                            <w:sz w:val="21"/>
                          </w:rPr>
                        </w:pPr>
                        <w:r>
                          <w:rPr>
                            <w:sz w:val="21"/>
                          </w:rPr>
                          <w:t>标准值</w:t>
                        </w:r>
                      </w:p>
                    </w:tc>
                    <w:tc>
                      <w:tcPr>
                        <w:tcW w:w="842" w:type="dxa"/>
                      </w:tcPr>
                      <w:p w14:paraId="21064641">
                        <w:pPr>
                          <w:pStyle w:val="17"/>
                          <w:spacing w:before="34"/>
                          <w:ind w:left="189" w:right="183"/>
                          <w:rPr>
                            <w:sz w:val="21"/>
                          </w:rPr>
                        </w:pPr>
                        <w:r>
                          <w:rPr>
                            <w:sz w:val="21"/>
                          </w:rPr>
                          <w:t>序号</w:t>
                        </w:r>
                      </w:p>
                    </w:tc>
                    <w:tc>
                      <w:tcPr>
                        <w:tcW w:w="1523" w:type="dxa"/>
                      </w:tcPr>
                      <w:p w14:paraId="68E81D57">
                        <w:pPr>
                          <w:pStyle w:val="17"/>
                          <w:spacing w:before="34"/>
                          <w:ind w:left="214" w:right="207"/>
                          <w:rPr>
                            <w:sz w:val="21"/>
                          </w:rPr>
                        </w:pPr>
                        <w:r>
                          <w:rPr>
                            <w:sz w:val="21"/>
                          </w:rPr>
                          <w:t>名称</w:t>
                        </w:r>
                      </w:p>
                    </w:tc>
                    <w:tc>
                      <w:tcPr>
                        <w:tcW w:w="1471" w:type="dxa"/>
                        <w:tcBorders>
                          <w:right w:val="nil"/>
                        </w:tcBorders>
                      </w:tcPr>
                      <w:p w14:paraId="23DCA1EA">
                        <w:pPr>
                          <w:pStyle w:val="17"/>
                          <w:spacing w:before="34"/>
                          <w:ind w:left="21" w:right="13"/>
                          <w:rPr>
                            <w:sz w:val="21"/>
                          </w:rPr>
                        </w:pPr>
                        <w:r>
                          <w:rPr>
                            <w:sz w:val="21"/>
                          </w:rPr>
                          <w:t>标准值</w:t>
                        </w:r>
                      </w:p>
                    </w:tc>
                  </w:tr>
                  <w:tr w14:paraId="320D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6D80764F">
                        <w:pPr>
                          <w:pStyle w:val="17"/>
                          <w:spacing w:before="48"/>
                          <w:ind w:left="9"/>
                          <w:rPr>
                            <w:rFonts w:ascii="Times New Roman"/>
                            <w:sz w:val="21"/>
                          </w:rPr>
                        </w:pPr>
                        <w:r>
                          <w:rPr>
                            <w:rFonts w:ascii="Times New Roman"/>
                            <w:w w:val="99"/>
                            <w:sz w:val="21"/>
                          </w:rPr>
                          <w:t>1</w:t>
                        </w:r>
                      </w:p>
                    </w:tc>
                    <w:tc>
                      <w:tcPr>
                        <w:tcW w:w="1892" w:type="dxa"/>
                      </w:tcPr>
                      <w:p w14:paraId="210E60FE">
                        <w:pPr>
                          <w:pStyle w:val="17"/>
                          <w:spacing w:before="48"/>
                          <w:ind w:left="85" w:right="77"/>
                          <w:rPr>
                            <w:rFonts w:ascii="Times New Roman"/>
                            <w:sz w:val="21"/>
                          </w:rPr>
                        </w:pPr>
                        <w:r>
                          <w:rPr>
                            <w:rFonts w:ascii="Times New Roman"/>
                            <w:sz w:val="21"/>
                          </w:rPr>
                          <w:t>pH</w:t>
                        </w:r>
                      </w:p>
                    </w:tc>
                    <w:tc>
                      <w:tcPr>
                        <w:tcW w:w="1729" w:type="dxa"/>
                      </w:tcPr>
                      <w:p w14:paraId="408639A1">
                        <w:pPr>
                          <w:pStyle w:val="17"/>
                          <w:spacing w:before="48"/>
                          <w:ind w:left="212" w:right="202"/>
                          <w:rPr>
                            <w:rFonts w:ascii="Times New Roman"/>
                            <w:sz w:val="21"/>
                          </w:rPr>
                        </w:pPr>
                        <w:r>
                          <w:rPr>
                            <w:rFonts w:ascii="Times New Roman"/>
                            <w:sz w:val="21"/>
                          </w:rPr>
                          <w:t>6.5~8.5</w:t>
                        </w:r>
                      </w:p>
                    </w:tc>
                    <w:tc>
                      <w:tcPr>
                        <w:tcW w:w="842" w:type="dxa"/>
                      </w:tcPr>
                      <w:p w14:paraId="7EC6555A">
                        <w:pPr>
                          <w:pStyle w:val="17"/>
                          <w:spacing w:before="48"/>
                          <w:ind w:left="189" w:right="180"/>
                          <w:rPr>
                            <w:rFonts w:ascii="Times New Roman"/>
                            <w:sz w:val="21"/>
                          </w:rPr>
                        </w:pPr>
                        <w:r>
                          <w:rPr>
                            <w:rFonts w:ascii="Times New Roman"/>
                            <w:sz w:val="21"/>
                          </w:rPr>
                          <w:t>18</w:t>
                        </w:r>
                      </w:p>
                    </w:tc>
                    <w:tc>
                      <w:tcPr>
                        <w:tcW w:w="1523" w:type="dxa"/>
                      </w:tcPr>
                      <w:p w14:paraId="6B0D24E8">
                        <w:pPr>
                          <w:pStyle w:val="17"/>
                          <w:spacing w:before="34"/>
                          <w:ind w:left="214" w:right="207"/>
                          <w:rPr>
                            <w:sz w:val="21"/>
                          </w:rPr>
                        </w:pPr>
                        <w:r>
                          <w:rPr>
                            <w:sz w:val="21"/>
                          </w:rPr>
                          <w:t>硫酸盐</w:t>
                        </w:r>
                      </w:p>
                    </w:tc>
                    <w:tc>
                      <w:tcPr>
                        <w:tcW w:w="1471" w:type="dxa"/>
                        <w:tcBorders>
                          <w:right w:val="nil"/>
                        </w:tcBorders>
                      </w:tcPr>
                      <w:p w14:paraId="644A2287">
                        <w:pPr>
                          <w:pStyle w:val="17"/>
                          <w:spacing w:before="48"/>
                          <w:ind w:left="21" w:right="14"/>
                          <w:rPr>
                            <w:rFonts w:ascii="Times New Roman"/>
                            <w:sz w:val="21"/>
                          </w:rPr>
                        </w:pPr>
                        <w:r>
                          <w:rPr>
                            <w:rFonts w:ascii="Times New Roman"/>
                            <w:sz w:val="21"/>
                          </w:rPr>
                          <w:t>250</w:t>
                        </w:r>
                      </w:p>
                    </w:tc>
                  </w:tr>
                  <w:tr w14:paraId="3E449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C09CF8A">
                        <w:pPr>
                          <w:pStyle w:val="17"/>
                          <w:spacing w:before="48"/>
                          <w:ind w:left="9"/>
                          <w:rPr>
                            <w:rFonts w:ascii="Times New Roman"/>
                            <w:sz w:val="21"/>
                          </w:rPr>
                        </w:pPr>
                        <w:r>
                          <w:rPr>
                            <w:rFonts w:ascii="Times New Roman"/>
                            <w:w w:val="99"/>
                            <w:sz w:val="21"/>
                          </w:rPr>
                          <w:t>2</w:t>
                        </w:r>
                      </w:p>
                    </w:tc>
                    <w:tc>
                      <w:tcPr>
                        <w:tcW w:w="1892" w:type="dxa"/>
                      </w:tcPr>
                      <w:p w14:paraId="7579A8DC">
                        <w:pPr>
                          <w:pStyle w:val="17"/>
                          <w:spacing w:before="35"/>
                          <w:ind w:left="83" w:right="77"/>
                          <w:rPr>
                            <w:sz w:val="21"/>
                          </w:rPr>
                        </w:pPr>
                        <w:r>
                          <w:rPr>
                            <w:sz w:val="21"/>
                          </w:rPr>
                          <w:t>溶解性总固体</w:t>
                        </w:r>
                      </w:p>
                    </w:tc>
                    <w:tc>
                      <w:tcPr>
                        <w:tcW w:w="1729" w:type="dxa"/>
                      </w:tcPr>
                      <w:p w14:paraId="67AC1308">
                        <w:pPr>
                          <w:pStyle w:val="17"/>
                          <w:spacing w:before="48"/>
                          <w:ind w:left="212" w:right="205"/>
                          <w:rPr>
                            <w:rFonts w:ascii="Times New Roman"/>
                            <w:sz w:val="21"/>
                          </w:rPr>
                        </w:pPr>
                        <w:r>
                          <w:rPr>
                            <w:rFonts w:ascii="Times New Roman"/>
                            <w:sz w:val="21"/>
                          </w:rPr>
                          <w:t>1000</w:t>
                        </w:r>
                      </w:p>
                    </w:tc>
                    <w:tc>
                      <w:tcPr>
                        <w:tcW w:w="842" w:type="dxa"/>
                      </w:tcPr>
                      <w:p w14:paraId="0FFC4BD5">
                        <w:pPr>
                          <w:pStyle w:val="17"/>
                          <w:spacing w:before="48"/>
                          <w:ind w:left="189" w:right="180"/>
                          <w:rPr>
                            <w:rFonts w:ascii="Times New Roman"/>
                            <w:sz w:val="21"/>
                          </w:rPr>
                        </w:pPr>
                        <w:r>
                          <w:rPr>
                            <w:rFonts w:ascii="Times New Roman"/>
                            <w:sz w:val="21"/>
                          </w:rPr>
                          <w:t>19</w:t>
                        </w:r>
                      </w:p>
                    </w:tc>
                    <w:tc>
                      <w:tcPr>
                        <w:tcW w:w="1523" w:type="dxa"/>
                      </w:tcPr>
                      <w:p w14:paraId="12EFD74D">
                        <w:pPr>
                          <w:pStyle w:val="17"/>
                          <w:spacing w:before="35"/>
                          <w:ind w:left="214" w:right="207"/>
                          <w:rPr>
                            <w:sz w:val="21"/>
                          </w:rPr>
                        </w:pPr>
                        <w:r>
                          <w:rPr>
                            <w:sz w:val="21"/>
                          </w:rPr>
                          <w:t>氯化物</w:t>
                        </w:r>
                      </w:p>
                    </w:tc>
                    <w:tc>
                      <w:tcPr>
                        <w:tcW w:w="1471" w:type="dxa"/>
                        <w:tcBorders>
                          <w:right w:val="nil"/>
                        </w:tcBorders>
                      </w:tcPr>
                      <w:p w14:paraId="70408502">
                        <w:pPr>
                          <w:pStyle w:val="17"/>
                          <w:spacing w:before="48"/>
                          <w:ind w:left="21" w:right="14"/>
                          <w:rPr>
                            <w:rFonts w:ascii="Times New Roman"/>
                            <w:sz w:val="21"/>
                          </w:rPr>
                        </w:pPr>
                        <w:r>
                          <w:rPr>
                            <w:rFonts w:ascii="Times New Roman"/>
                            <w:sz w:val="21"/>
                          </w:rPr>
                          <w:t>250</w:t>
                        </w:r>
                      </w:p>
                    </w:tc>
                  </w:tr>
                  <w:tr w14:paraId="52D07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5" w:type="dxa"/>
                        <w:tcBorders>
                          <w:left w:val="nil"/>
                        </w:tcBorders>
                      </w:tcPr>
                      <w:p w14:paraId="0237589D">
                        <w:pPr>
                          <w:pStyle w:val="17"/>
                          <w:spacing w:before="66"/>
                          <w:ind w:left="9"/>
                          <w:rPr>
                            <w:rFonts w:ascii="Times New Roman"/>
                            <w:sz w:val="21"/>
                          </w:rPr>
                        </w:pPr>
                        <w:r>
                          <w:rPr>
                            <w:rFonts w:ascii="Times New Roman"/>
                            <w:w w:val="99"/>
                            <w:sz w:val="21"/>
                          </w:rPr>
                          <w:t>3</w:t>
                        </w:r>
                      </w:p>
                    </w:tc>
                    <w:tc>
                      <w:tcPr>
                        <w:tcW w:w="1892" w:type="dxa"/>
                      </w:tcPr>
                      <w:p w14:paraId="45A08CC4">
                        <w:pPr>
                          <w:pStyle w:val="17"/>
                          <w:spacing w:before="52"/>
                          <w:ind w:left="83" w:right="77"/>
                          <w:rPr>
                            <w:sz w:val="21"/>
                          </w:rPr>
                        </w:pPr>
                        <w:r>
                          <w:rPr>
                            <w:sz w:val="21"/>
                          </w:rPr>
                          <w:t>耗氧量</w:t>
                        </w:r>
                      </w:p>
                    </w:tc>
                    <w:tc>
                      <w:tcPr>
                        <w:tcW w:w="1729" w:type="dxa"/>
                      </w:tcPr>
                      <w:p w14:paraId="549819A2">
                        <w:pPr>
                          <w:pStyle w:val="17"/>
                          <w:spacing w:before="66"/>
                          <w:ind w:left="7"/>
                          <w:rPr>
                            <w:rFonts w:ascii="Times New Roman"/>
                            <w:sz w:val="21"/>
                          </w:rPr>
                        </w:pPr>
                        <w:r>
                          <w:rPr>
                            <w:rFonts w:ascii="Times New Roman"/>
                            <w:w w:val="99"/>
                            <w:sz w:val="21"/>
                          </w:rPr>
                          <w:t>3</w:t>
                        </w:r>
                      </w:p>
                    </w:tc>
                    <w:tc>
                      <w:tcPr>
                        <w:tcW w:w="842" w:type="dxa"/>
                      </w:tcPr>
                      <w:p w14:paraId="33ACF242">
                        <w:pPr>
                          <w:pStyle w:val="17"/>
                          <w:spacing w:before="66"/>
                          <w:ind w:left="189" w:right="180"/>
                          <w:rPr>
                            <w:rFonts w:ascii="Times New Roman"/>
                            <w:sz w:val="21"/>
                          </w:rPr>
                        </w:pPr>
                        <w:r>
                          <w:rPr>
                            <w:rFonts w:ascii="Times New Roman"/>
                            <w:sz w:val="21"/>
                          </w:rPr>
                          <w:t>20</w:t>
                        </w:r>
                      </w:p>
                    </w:tc>
                    <w:tc>
                      <w:tcPr>
                        <w:tcW w:w="1523" w:type="dxa"/>
                      </w:tcPr>
                      <w:p w14:paraId="1A8F986C">
                        <w:pPr>
                          <w:pStyle w:val="17"/>
                          <w:spacing w:before="52"/>
                          <w:ind w:left="214" w:right="207"/>
                          <w:rPr>
                            <w:sz w:val="21"/>
                          </w:rPr>
                        </w:pPr>
                        <w:r>
                          <w:rPr>
                            <w:sz w:val="21"/>
                          </w:rPr>
                          <w:t>总硬度</w:t>
                        </w:r>
                      </w:p>
                    </w:tc>
                    <w:tc>
                      <w:tcPr>
                        <w:tcW w:w="1471" w:type="dxa"/>
                        <w:tcBorders>
                          <w:right w:val="nil"/>
                        </w:tcBorders>
                      </w:tcPr>
                      <w:p w14:paraId="04DFB954">
                        <w:pPr>
                          <w:pStyle w:val="17"/>
                          <w:spacing w:before="66"/>
                          <w:ind w:left="21" w:right="14"/>
                          <w:rPr>
                            <w:rFonts w:ascii="Times New Roman"/>
                            <w:sz w:val="21"/>
                          </w:rPr>
                        </w:pPr>
                        <w:r>
                          <w:rPr>
                            <w:rFonts w:ascii="Times New Roman"/>
                            <w:sz w:val="21"/>
                          </w:rPr>
                          <w:t>450</w:t>
                        </w:r>
                      </w:p>
                    </w:tc>
                  </w:tr>
                  <w:tr w14:paraId="38B9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1CABCE94">
                        <w:pPr>
                          <w:pStyle w:val="17"/>
                          <w:spacing w:before="49"/>
                          <w:ind w:left="9"/>
                          <w:rPr>
                            <w:rFonts w:ascii="Times New Roman"/>
                            <w:sz w:val="21"/>
                          </w:rPr>
                        </w:pPr>
                        <w:r>
                          <w:rPr>
                            <w:rFonts w:ascii="Times New Roman"/>
                            <w:w w:val="99"/>
                            <w:sz w:val="21"/>
                          </w:rPr>
                          <w:t>4</w:t>
                        </w:r>
                      </w:p>
                    </w:tc>
                    <w:tc>
                      <w:tcPr>
                        <w:tcW w:w="1892" w:type="dxa"/>
                      </w:tcPr>
                      <w:p w14:paraId="62B71B88">
                        <w:pPr>
                          <w:pStyle w:val="17"/>
                          <w:spacing w:before="35"/>
                          <w:ind w:left="83" w:right="77"/>
                          <w:rPr>
                            <w:sz w:val="21"/>
                          </w:rPr>
                        </w:pPr>
                        <w:r>
                          <w:rPr>
                            <w:sz w:val="21"/>
                          </w:rPr>
                          <w:t>硝酸盐</w:t>
                        </w:r>
                      </w:p>
                    </w:tc>
                    <w:tc>
                      <w:tcPr>
                        <w:tcW w:w="1729" w:type="dxa"/>
                      </w:tcPr>
                      <w:p w14:paraId="5BD05591">
                        <w:pPr>
                          <w:pStyle w:val="17"/>
                          <w:spacing w:before="49"/>
                          <w:ind w:left="212" w:right="205"/>
                          <w:rPr>
                            <w:rFonts w:ascii="Times New Roman"/>
                            <w:sz w:val="21"/>
                          </w:rPr>
                        </w:pPr>
                        <w:r>
                          <w:rPr>
                            <w:rFonts w:ascii="Times New Roman"/>
                            <w:sz w:val="21"/>
                          </w:rPr>
                          <w:t>20</w:t>
                        </w:r>
                      </w:p>
                    </w:tc>
                    <w:tc>
                      <w:tcPr>
                        <w:tcW w:w="842" w:type="dxa"/>
                      </w:tcPr>
                      <w:p w14:paraId="767BAB65">
                        <w:pPr>
                          <w:pStyle w:val="17"/>
                          <w:spacing w:before="49"/>
                          <w:ind w:left="189" w:right="180"/>
                          <w:rPr>
                            <w:rFonts w:ascii="Times New Roman"/>
                            <w:sz w:val="21"/>
                          </w:rPr>
                        </w:pPr>
                        <w:r>
                          <w:rPr>
                            <w:rFonts w:ascii="Times New Roman"/>
                            <w:sz w:val="21"/>
                          </w:rPr>
                          <w:t>21</w:t>
                        </w:r>
                      </w:p>
                    </w:tc>
                    <w:tc>
                      <w:tcPr>
                        <w:tcW w:w="1523" w:type="dxa"/>
                      </w:tcPr>
                      <w:p w14:paraId="43095363">
                        <w:pPr>
                          <w:pStyle w:val="17"/>
                          <w:spacing w:before="35"/>
                          <w:ind w:left="5"/>
                          <w:rPr>
                            <w:sz w:val="21"/>
                          </w:rPr>
                        </w:pPr>
                        <w:r>
                          <w:rPr>
                            <w:w w:val="99"/>
                            <w:sz w:val="21"/>
                          </w:rPr>
                          <w:t>铁</w:t>
                        </w:r>
                      </w:p>
                    </w:tc>
                    <w:tc>
                      <w:tcPr>
                        <w:tcW w:w="1471" w:type="dxa"/>
                        <w:tcBorders>
                          <w:right w:val="nil"/>
                        </w:tcBorders>
                      </w:tcPr>
                      <w:p w14:paraId="1428D9F9">
                        <w:pPr>
                          <w:pStyle w:val="17"/>
                          <w:spacing w:before="49"/>
                          <w:ind w:left="21" w:right="14"/>
                          <w:rPr>
                            <w:rFonts w:ascii="Times New Roman"/>
                            <w:sz w:val="21"/>
                          </w:rPr>
                        </w:pPr>
                        <w:r>
                          <w:rPr>
                            <w:rFonts w:ascii="Times New Roman"/>
                            <w:sz w:val="21"/>
                          </w:rPr>
                          <w:t>0.3</w:t>
                        </w:r>
                      </w:p>
                    </w:tc>
                  </w:tr>
                  <w:tr w14:paraId="10FD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7004D945">
                        <w:pPr>
                          <w:pStyle w:val="17"/>
                          <w:spacing w:before="50"/>
                          <w:ind w:left="9"/>
                          <w:rPr>
                            <w:rFonts w:ascii="Times New Roman"/>
                            <w:sz w:val="21"/>
                          </w:rPr>
                        </w:pPr>
                        <w:r>
                          <w:rPr>
                            <w:rFonts w:ascii="Times New Roman"/>
                            <w:w w:val="99"/>
                            <w:sz w:val="21"/>
                          </w:rPr>
                          <w:t>5</w:t>
                        </w:r>
                      </w:p>
                    </w:tc>
                    <w:tc>
                      <w:tcPr>
                        <w:tcW w:w="1892" w:type="dxa"/>
                      </w:tcPr>
                      <w:p w14:paraId="173F50CF">
                        <w:pPr>
                          <w:pStyle w:val="17"/>
                          <w:spacing w:before="36"/>
                          <w:ind w:left="85" w:right="77"/>
                          <w:rPr>
                            <w:sz w:val="21"/>
                          </w:rPr>
                        </w:pPr>
                        <w:r>
                          <w:rPr>
                            <w:sz w:val="21"/>
                          </w:rPr>
                          <w:t>亚硝酸盐</w:t>
                        </w:r>
                      </w:p>
                    </w:tc>
                    <w:tc>
                      <w:tcPr>
                        <w:tcW w:w="1729" w:type="dxa"/>
                      </w:tcPr>
                      <w:p w14:paraId="1025E022">
                        <w:pPr>
                          <w:pStyle w:val="17"/>
                          <w:spacing w:before="50"/>
                          <w:ind w:left="7"/>
                          <w:rPr>
                            <w:rFonts w:ascii="Times New Roman"/>
                            <w:sz w:val="21"/>
                          </w:rPr>
                        </w:pPr>
                        <w:r>
                          <w:rPr>
                            <w:rFonts w:ascii="Times New Roman"/>
                            <w:w w:val="99"/>
                            <w:sz w:val="21"/>
                          </w:rPr>
                          <w:t>1</w:t>
                        </w:r>
                      </w:p>
                    </w:tc>
                    <w:tc>
                      <w:tcPr>
                        <w:tcW w:w="842" w:type="dxa"/>
                      </w:tcPr>
                      <w:p w14:paraId="6A397753">
                        <w:pPr>
                          <w:pStyle w:val="17"/>
                          <w:spacing w:before="50"/>
                          <w:ind w:left="189" w:right="180"/>
                          <w:rPr>
                            <w:rFonts w:ascii="Times New Roman"/>
                            <w:sz w:val="21"/>
                          </w:rPr>
                        </w:pPr>
                        <w:r>
                          <w:rPr>
                            <w:rFonts w:ascii="Times New Roman"/>
                            <w:sz w:val="21"/>
                          </w:rPr>
                          <w:t>22</w:t>
                        </w:r>
                      </w:p>
                    </w:tc>
                    <w:tc>
                      <w:tcPr>
                        <w:tcW w:w="1523" w:type="dxa"/>
                      </w:tcPr>
                      <w:p w14:paraId="7A2E1388">
                        <w:pPr>
                          <w:pStyle w:val="17"/>
                          <w:spacing w:before="36"/>
                          <w:ind w:left="5"/>
                          <w:rPr>
                            <w:sz w:val="21"/>
                          </w:rPr>
                        </w:pPr>
                        <w:r>
                          <w:rPr>
                            <w:w w:val="99"/>
                            <w:sz w:val="21"/>
                          </w:rPr>
                          <w:t>铜</w:t>
                        </w:r>
                      </w:p>
                    </w:tc>
                    <w:tc>
                      <w:tcPr>
                        <w:tcW w:w="1471" w:type="dxa"/>
                        <w:tcBorders>
                          <w:right w:val="nil"/>
                        </w:tcBorders>
                      </w:tcPr>
                      <w:p w14:paraId="2E1A4D80">
                        <w:pPr>
                          <w:pStyle w:val="17"/>
                          <w:spacing w:before="50"/>
                          <w:ind w:left="7"/>
                          <w:rPr>
                            <w:rFonts w:ascii="Times New Roman"/>
                            <w:sz w:val="21"/>
                          </w:rPr>
                        </w:pPr>
                        <w:r>
                          <w:rPr>
                            <w:rFonts w:ascii="Times New Roman"/>
                            <w:w w:val="99"/>
                            <w:sz w:val="21"/>
                          </w:rPr>
                          <w:t>1</w:t>
                        </w:r>
                      </w:p>
                    </w:tc>
                  </w:tr>
                  <w:tr w14:paraId="709FC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25" w:type="dxa"/>
                        <w:tcBorders>
                          <w:left w:val="nil"/>
                        </w:tcBorders>
                      </w:tcPr>
                      <w:p w14:paraId="1ECF2350">
                        <w:pPr>
                          <w:pStyle w:val="17"/>
                          <w:spacing w:before="36"/>
                          <w:ind w:left="9"/>
                          <w:rPr>
                            <w:rFonts w:ascii="Times New Roman"/>
                            <w:sz w:val="21"/>
                          </w:rPr>
                        </w:pPr>
                        <w:r>
                          <w:rPr>
                            <w:rFonts w:ascii="Times New Roman"/>
                            <w:w w:val="99"/>
                            <w:sz w:val="21"/>
                          </w:rPr>
                          <w:t>6</w:t>
                        </w:r>
                      </w:p>
                    </w:tc>
                    <w:tc>
                      <w:tcPr>
                        <w:tcW w:w="1892" w:type="dxa"/>
                      </w:tcPr>
                      <w:p w14:paraId="721CDD5C">
                        <w:pPr>
                          <w:pStyle w:val="17"/>
                          <w:spacing w:before="22"/>
                          <w:ind w:left="83" w:right="77"/>
                          <w:rPr>
                            <w:sz w:val="21"/>
                          </w:rPr>
                        </w:pPr>
                        <w:r>
                          <w:rPr>
                            <w:sz w:val="21"/>
                          </w:rPr>
                          <w:t>氨氮</w:t>
                        </w:r>
                      </w:p>
                    </w:tc>
                    <w:tc>
                      <w:tcPr>
                        <w:tcW w:w="1729" w:type="dxa"/>
                      </w:tcPr>
                      <w:p w14:paraId="0F85507B">
                        <w:pPr>
                          <w:pStyle w:val="17"/>
                          <w:spacing w:before="36"/>
                          <w:ind w:left="212" w:right="205"/>
                          <w:rPr>
                            <w:rFonts w:ascii="Times New Roman"/>
                            <w:sz w:val="21"/>
                          </w:rPr>
                        </w:pPr>
                        <w:r>
                          <w:rPr>
                            <w:rFonts w:ascii="Times New Roman"/>
                            <w:sz w:val="21"/>
                          </w:rPr>
                          <w:t>0.5</w:t>
                        </w:r>
                      </w:p>
                    </w:tc>
                    <w:tc>
                      <w:tcPr>
                        <w:tcW w:w="842" w:type="dxa"/>
                      </w:tcPr>
                      <w:p w14:paraId="5913FE18">
                        <w:pPr>
                          <w:pStyle w:val="17"/>
                          <w:spacing w:before="36"/>
                          <w:ind w:left="189" w:right="180"/>
                          <w:rPr>
                            <w:rFonts w:ascii="Times New Roman"/>
                            <w:sz w:val="21"/>
                          </w:rPr>
                        </w:pPr>
                        <w:r>
                          <w:rPr>
                            <w:rFonts w:ascii="Times New Roman"/>
                            <w:sz w:val="21"/>
                          </w:rPr>
                          <w:t>23</w:t>
                        </w:r>
                      </w:p>
                    </w:tc>
                    <w:tc>
                      <w:tcPr>
                        <w:tcW w:w="1523" w:type="dxa"/>
                      </w:tcPr>
                      <w:p w14:paraId="1B84CCFD">
                        <w:pPr>
                          <w:pStyle w:val="17"/>
                          <w:spacing w:before="22"/>
                          <w:ind w:left="5"/>
                          <w:rPr>
                            <w:sz w:val="21"/>
                          </w:rPr>
                        </w:pPr>
                        <w:r>
                          <w:rPr>
                            <w:w w:val="99"/>
                            <w:sz w:val="21"/>
                          </w:rPr>
                          <w:t>锌</w:t>
                        </w:r>
                      </w:p>
                    </w:tc>
                    <w:tc>
                      <w:tcPr>
                        <w:tcW w:w="1471" w:type="dxa"/>
                        <w:tcBorders>
                          <w:right w:val="nil"/>
                        </w:tcBorders>
                      </w:tcPr>
                      <w:p w14:paraId="3E90A311">
                        <w:pPr>
                          <w:pStyle w:val="17"/>
                          <w:spacing w:before="36"/>
                          <w:ind w:left="7"/>
                          <w:rPr>
                            <w:rFonts w:ascii="Times New Roman"/>
                            <w:sz w:val="21"/>
                          </w:rPr>
                        </w:pPr>
                        <w:r>
                          <w:rPr>
                            <w:rFonts w:ascii="Times New Roman"/>
                            <w:w w:val="99"/>
                            <w:sz w:val="21"/>
                          </w:rPr>
                          <w:t>1</w:t>
                        </w:r>
                      </w:p>
                    </w:tc>
                  </w:tr>
                  <w:tr w14:paraId="094D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4A9A1FBE">
                        <w:pPr>
                          <w:pStyle w:val="17"/>
                          <w:spacing w:before="50"/>
                          <w:ind w:left="9"/>
                          <w:rPr>
                            <w:rFonts w:ascii="Times New Roman"/>
                            <w:sz w:val="21"/>
                          </w:rPr>
                        </w:pPr>
                        <w:r>
                          <w:rPr>
                            <w:rFonts w:ascii="Times New Roman"/>
                            <w:w w:val="99"/>
                            <w:sz w:val="21"/>
                          </w:rPr>
                          <w:t>7</w:t>
                        </w:r>
                      </w:p>
                    </w:tc>
                    <w:tc>
                      <w:tcPr>
                        <w:tcW w:w="1892" w:type="dxa"/>
                      </w:tcPr>
                      <w:p w14:paraId="031118BB">
                        <w:pPr>
                          <w:pStyle w:val="17"/>
                          <w:spacing w:before="36"/>
                          <w:ind w:left="8"/>
                          <w:rPr>
                            <w:sz w:val="21"/>
                          </w:rPr>
                        </w:pPr>
                        <w:r>
                          <w:rPr>
                            <w:w w:val="99"/>
                            <w:sz w:val="21"/>
                          </w:rPr>
                          <w:t>砷</w:t>
                        </w:r>
                      </w:p>
                    </w:tc>
                    <w:tc>
                      <w:tcPr>
                        <w:tcW w:w="1729" w:type="dxa"/>
                      </w:tcPr>
                      <w:p w14:paraId="39F84520">
                        <w:pPr>
                          <w:pStyle w:val="17"/>
                          <w:spacing w:before="50"/>
                          <w:ind w:left="212" w:right="205"/>
                          <w:rPr>
                            <w:rFonts w:ascii="Times New Roman"/>
                            <w:sz w:val="21"/>
                          </w:rPr>
                        </w:pPr>
                        <w:r>
                          <w:rPr>
                            <w:rFonts w:ascii="Times New Roman"/>
                            <w:sz w:val="21"/>
                          </w:rPr>
                          <w:t>0.01</w:t>
                        </w:r>
                      </w:p>
                    </w:tc>
                    <w:tc>
                      <w:tcPr>
                        <w:tcW w:w="842" w:type="dxa"/>
                      </w:tcPr>
                      <w:p w14:paraId="68BF4096">
                        <w:pPr>
                          <w:pStyle w:val="17"/>
                          <w:spacing w:before="50"/>
                          <w:ind w:left="189" w:right="180"/>
                          <w:rPr>
                            <w:rFonts w:ascii="Times New Roman"/>
                            <w:sz w:val="21"/>
                          </w:rPr>
                        </w:pPr>
                        <w:r>
                          <w:rPr>
                            <w:rFonts w:ascii="Times New Roman"/>
                            <w:sz w:val="21"/>
                          </w:rPr>
                          <w:t>24</w:t>
                        </w:r>
                      </w:p>
                    </w:tc>
                    <w:tc>
                      <w:tcPr>
                        <w:tcW w:w="1523" w:type="dxa"/>
                      </w:tcPr>
                      <w:p w14:paraId="0D884335">
                        <w:pPr>
                          <w:pStyle w:val="17"/>
                          <w:spacing w:before="36"/>
                          <w:ind w:left="5"/>
                          <w:rPr>
                            <w:sz w:val="21"/>
                          </w:rPr>
                        </w:pPr>
                        <w:r>
                          <w:rPr>
                            <w:w w:val="99"/>
                            <w:sz w:val="21"/>
                          </w:rPr>
                          <w:t>镍</w:t>
                        </w:r>
                      </w:p>
                    </w:tc>
                    <w:tc>
                      <w:tcPr>
                        <w:tcW w:w="1471" w:type="dxa"/>
                        <w:tcBorders>
                          <w:right w:val="nil"/>
                        </w:tcBorders>
                      </w:tcPr>
                      <w:p w14:paraId="5A4886B7">
                        <w:pPr>
                          <w:pStyle w:val="17"/>
                          <w:spacing w:before="50"/>
                          <w:ind w:left="21" w:right="12"/>
                          <w:rPr>
                            <w:rFonts w:ascii="Times New Roman"/>
                            <w:sz w:val="21"/>
                          </w:rPr>
                        </w:pPr>
                        <w:r>
                          <w:rPr>
                            <w:rFonts w:ascii="Times New Roman"/>
                            <w:sz w:val="21"/>
                          </w:rPr>
                          <w:t>0.02</w:t>
                        </w:r>
                      </w:p>
                    </w:tc>
                  </w:tr>
                  <w:tr w14:paraId="6A7C6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25" w:type="dxa"/>
                        <w:tcBorders>
                          <w:left w:val="nil"/>
                        </w:tcBorders>
                      </w:tcPr>
                      <w:p w14:paraId="31EFAE65">
                        <w:pPr>
                          <w:pStyle w:val="17"/>
                          <w:spacing w:before="48"/>
                          <w:ind w:left="9"/>
                          <w:rPr>
                            <w:rFonts w:ascii="Times New Roman"/>
                            <w:sz w:val="21"/>
                          </w:rPr>
                        </w:pPr>
                        <w:r>
                          <w:rPr>
                            <w:rFonts w:ascii="Times New Roman"/>
                            <w:w w:val="99"/>
                            <w:sz w:val="21"/>
                          </w:rPr>
                          <w:t>8</w:t>
                        </w:r>
                      </w:p>
                    </w:tc>
                    <w:tc>
                      <w:tcPr>
                        <w:tcW w:w="1892" w:type="dxa"/>
                      </w:tcPr>
                      <w:p w14:paraId="1DC9ABB6">
                        <w:pPr>
                          <w:pStyle w:val="17"/>
                          <w:spacing w:before="34"/>
                          <w:ind w:left="8"/>
                          <w:rPr>
                            <w:sz w:val="21"/>
                          </w:rPr>
                        </w:pPr>
                        <w:r>
                          <w:rPr>
                            <w:w w:val="99"/>
                            <w:sz w:val="21"/>
                          </w:rPr>
                          <w:t>汞</w:t>
                        </w:r>
                      </w:p>
                    </w:tc>
                    <w:tc>
                      <w:tcPr>
                        <w:tcW w:w="1729" w:type="dxa"/>
                      </w:tcPr>
                      <w:p w14:paraId="39DF71C0">
                        <w:pPr>
                          <w:pStyle w:val="17"/>
                          <w:spacing w:before="48"/>
                          <w:ind w:left="212" w:right="202"/>
                          <w:rPr>
                            <w:rFonts w:ascii="Times New Roman"/>
                            <w:sz w:val="21"/>
                          </w:rPr>
                        </w:pPr>
                        <w:r>
                          <w:rPr>
                            <w:rFonts w:ascii="Times New Roman"/>
                            <w:sz w:val="21"/>
                          </w:rPr>
                          <w:t>0.001</w:t>
                        </w:r>
                      </w:p>
                    </w:tc>
                    <w:tc>
                      <w:tcPr>
                        <w:tcW w:w="842" w:type="dxa"/>
                      </w:tcPr>
                      <w:p w14:paraId="4D52F91C">
                        <w:pPr>
                          <w:pStyle w:val="17"/>
                          <w:spacing w:before="48"/>
                          <w:ind w:left="189" w:right="180"/>
                          <w:rPr>
                            <w:rFonts w:ascii="Times New Roman"/>
                            <w:sz w:val="21"/>
                          </w:rPr>
                        </w:pPr>
                        <w:r>
                          <w:rPr>
                            <w:rFonts w:ascii="Times New Roman"/>
                            <w:sz w:val="21"/>
                          </w:rPr>
                          <w:t>25</w:t>
                        </w:r>
                      </w:p>
                    </w:tc>
                    <w:tc>
                      <w:tcPr>
                        <w:tcW w:w="1523" w:type="dxa"/>
                      </w:tcPr>
                      <w:p w14:paraId="391A82F0">
                        <w:pPr>
                          <w:pStyle w:val="17"/>
                          <w:spacing w:before="34"/>
                          <w:ind w:left="214" w:right="207"/>
                          <w:rPr>
                            <w:sz w:val="21"/>
                          </w:rPr>
                        </w:pPr>
                        <w:r>
                          <w:rPr>
                            <w:sz w:val="21"/>
                          </w:rPr>
                          <w:t>氟化物</w:t>
                        </w:r>
                      </w:p>
                    </w:tc>
                    <w:tc>
                      <w:tcPr>
                        <w:tcW w:w="1471" w:type="dxa"/>
                        <w:tcBorders>
                          <w:right w:val="nil"/>
                        </w:tcBorders>
                      </w:tcPr>
                      <w:p w14:paraId="67F7F62A">
                        <w:pPr>
                          <w:pStyle w:val="17"/>
                          <w:spacing w:before="48"/>
                          <w:ind w:left="7"/>
                          <w:rPr>
                            <w:rFonts w:ascii="Times New Roman"/>
                            <w:sz w:val="21"/>
                          </w:rPr>
                        </w:pPr>
                        <w:r>
                          <w:rPr>
                            <w:rFonts w:ascii="Times New Roman"/>
                            <w:w w:val="99"/>
                            <w:sz w:val="21"/>
                          </w:rPr>
                          <w:t>1</w:t>
                        </w:r>
                      </w:p>
                    </w:tc>
                  </w:tr>
                </w:tbl>
                <w:p w14:paraId="2BDB6137">
                  <w:pPr>
                    <w:pStyle w:val="10"/>
                  </w:pPr>
                </w:p>
              </w:txbxContent>
            </v:textbox>
          </v:shape>
        </w:pict>
      </w:r>
      <w:r>
        <w:rPr>
          <w:sz w:val="24"/>
        </w:rPr>
        <w:t>项目所在地地下水执</w:t>
      </w:r>
      <w:r>
        <w:rPr>
          <w:spacing w:val="-15"/>
          <w:sz w:val="24"/>
        </w:rPr>
        <w:t>行</w:t>
      </w:r>
      <w:r>
        <w:rPr>
          <w:spacing w:val="-3"/>
          <w:sz w:val="24"/>
        </w:rPr>
        <w:t>《</w:t>
      </w:r>
      <w:r>
        <w:rPr>
          <w:sz w:val="24"/>
        </w:rPr>
        <w:t>地下水质量标准</w:t>
      </w:r>
      <w:r>
        <w:rPr>
          <w:spacing w:val="-29"/>
          <w:sz w:val="24"/>
        </w:rPr>
        <w:t>》</w:t>
      </w:r>
      <w:r>
        <w:rPr>
          <w:sz w:val="24"/>
        </w:rPr>
        <w:t>（</w:t>
      </w:r>
      <w:r>
        <w:rPr>
          <w:rFonts w:ascii="Times New Roman" w:eastAsia="Times New Roman"/>
          <w:sz w:val="24"/>
        </w:rPr>
        <w:t>GB/T14848-2017</w:t>
      </w:r>
      <w:r>
        <w:rPr>
          <w:sz w:val="24"/>
        </w:rPr>
        <w:t>）</w:t>
      </w:r>
      <w:r>
        <w:rPr>
          <w:rFonts w:ascii="Times New Roman" w:eastAsia="Times New Roman"/>
          <w:sz w:val="24"/>
        </w:rPr>
        <w:t>III</w:t>
      </w:r>
      <w:r>
        <w:rPr>
          <w:rFonts w:ascii="Times New Roman" w:eastAsia="Times New Roman"/>
          <w:spacing w:val="-15"/>
          <w:sz w:val="24"/>
        </w:rPr>
        <w:t xml:space="preserve"> </w:t>
      </w:r>
      <w:r>
        <w:rPr>
          <w:sz w:val="24"/>
        </w:rPr>
        <w:t>类标准。</w:t>
      </w:r>
      <w:r>
        <w:rPr>
          <w:b/>
          <w:sz w:val="24"/>
        </w:rPr>
        <w:t>表</w:t>
      </w:r>
      <w:r>
        <w:rPr>
          <w:b/>
          <w:spacing w:val="-62"/>
          <w:sz w:val="24"/>
        </w:rPr>
        <w:t xml:space="preserve"> </w:t>
      </w:r>
      <w:r>
        <w:rPr>
          <w:rFonts w:ascii="Times New Roman" w:eastAsia="Times New Roman"/>
          <w:b/>
          <w:sz w:val="24"/>
        </w:rPr>
        <w:t>1.4-4</w:t>
      </w:r>
      <w:r>
        <w:rPr>
          <w:rFonts w:ascii="Times New Roman" w:eastAsia="Times New Roman"/>
          <w:b/>
          <w:spacing w:val="-2"/>
          <w:sz w:val="24"/>
        </w:rPr>
        <w:t xml:space="preserve"> </w:t>
      </w:r>
      <w:r>
        <w:rPr>
          <w:b/>
          <w:sz w:val="24"/>
        </w:rPr>
        <w:t>地下水环境质量标准</w:t>
      </w:r>
      <w:r>
        <w:rPr>
          <w:b/>
          <w:sz w:val="24"/>
        </w:rPr>
        <w:tab/>
      </w:r>
      <w:r>
        <w:rPr>
          <w:b/>
          <w:sz w:val="24"/>
        </w:rPr>
        <w:t>单位：</w:t>
      </w:r>
      <w:r>
        <w:rPr>
          <w:rFonts w:ascii="Times New Roman" w:eastAsia="Times New Roman"/>
          <w:b/>
          <w:sz w:val="24"/>
        </w:rPr>
        <w:t>mg/L</w:t>
      </w:r>
    </w:p>
    <w:p w14:paraId="53F1D906">
      <w:pPr>
        <w:spacing w:after="0" w:line="364" w:lineRule="auto"/>
        <w:jc w:val="left"/>
        <w:rPr>
          <w:rFonts w:ascii="Times New Roman" w:eastAsia="Times New Roman"/>
          <w:sz w:val="24"/>
        </w:rPr>
        <w:sectPr>
          <w:pgSz w:w="11910" w:h="16840"/>
          <w:pgMar w:top="1420" w:right="1440" w:bottom="1220" w:left="1580" w:header="0" w:footer="1024" w:gutter="0"/>
          <w:cols w:space="720" w:num="1"/>
        </w:sectPr>
      </w:pPr>
    </w:p>
    <w:tbl>
      <w:tblPr>
        <w:tblStyle w:val="13"/>
        <w:tblW w:w="0" w:type="auto"/>
        <w:tblInd w:w="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5"/>
        <w:gridCol w:w="1892"/>
        <w:gridCol w:w="1729"/>
        <w:gridCol w:w="842"/>
        <w:gridCol w:w="1523"/>
        <w:gridCol w:w="1471"/>
      </w:tblGrid>
      <w:tr w14:paraId="65D61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6CB161B8">
            <w:pPr>
              <w:pStyle w:val="17"/>
              <w:spacing w:before="49"/>
              <w:ind w:left="9"/>
              <w:rPr>
                <w:rFonts w:ascii="Times New Roman"/>
                <w:sz w:val="21"/>
              </w:rPr>
            </w:pPr>
            <w:r>
              <w:rPr>
                <w:rFonts w:ascii="Times New Roman"/>
                <w:w w:val="99"/>
                <w:sz w:val="21"/>
              </w:rPr>
              <w:t>9</w:t>
            </w:r>
          </w:p>
        </w:tc>
        <w:tc>
          <w:tcPr>
            <w:tcW w:w="1892" w:type="dxa"/>
          </w:tcPr>
          <w:p w14:paraId="6653A42C">
            <w:pPr>
              <w:pStyle w:val="17"/>
              <w:spacing w:before="35"/>
              <w:ind w:left="83" w:right="77"/>
              <w:rPr>
                <w:sz w:val="21"/>
              </w:rPr>
            </w:pPr>
            <w:r>
              <w:rPr>
                <w:sz w:val="21"/>
              </w:rPr>
              <w:t>六价铬</w:t>
            </w:r>
          </w:p>
        </w:tc>
        <w:tc>
          <w:tcPr>
            <w:tcW w:w="1729" w:type="dxa"/>
          </w:tcPr>
          <w:p w14:paraId="3D282B63">
            <w:pPr>
              <w:pStyle w:val="17"/>
              <w:spacing w:before="49"/>
              <w:ind w:left="212" w:right="205"/>
              <w:rPr>
                <w:rFonts w:ascii="Times New Roman"/>
                <w:sz w:val="21"/>
              </w:rPr>
            </w:pPr>
            <w:r>
              <w:rPr>
                <w:rFonts w:ascii="Times New Roman"/>
                <w:sz w:val="21"/>
              </w:rPr>
              <w:t>0.05</w:t>
            </w:r>
          </w:p>
        </w:tc>
        <w:tc>
          <w:tcPr>
            <w:tcW w:w="842" w:type="dxa"/>
          </w:tcPr>
          <w:p w14:paraId="322E2ED6">
            <w:pPr>
              <w:pStyle w:val="17"/>
              <w:spacing w:before="49"/>
              <w:ind w:left="189" w:right="180"/>
              <w:rPr>
                <w:rFonts w:ascii="Times New Roman"/>
                <w:sz w:val="21"/>
              </w:rPr>
            </w:pPr>
            <w:r>
              <w:rPr>
                <w:rFonts w:ascii="Times New Roman"/>
                <w:sz w:val="21"/>
              </w:rPr>
              <w:t>26</w:t>
            </w:r>
          </w:p>
        </w:tc>
        <w:tc>
          <w:tcPr>
            <w:tcW w:w="1523" w:type="dxa"/>
          </w:tcPr>
          <w:p w14:paraId="4273DB87">
            <w:pPr>
              <w:pStyle w:val="17"/>
              <w:spacing w:before="35"/>
              <w:ind w:left="5"/>
              <w:rPr>
                <w:sz w:val="21"/>
              </w:rPr>
            </w:pPr>
            <w:r>
              <w:rPr>
                <w:w w:val="99"/>
                <w:sz w:val="21"/>
              </w:rPr>
              <w:t>镉</w:t>
            </w:r>
          </w:p>
        </w:tc>
        <w:tc>
          <w:tcPr>
            <w:tcW w:w="1471" w:type="dxa"/>
            <w:tcBorders>
              <w:right w:val="nil"/>
            </w:tcBorders>
          </w:tcPr>
          <w:p w14:paraId="63E7263F">
            <w:pPr>
              <w:pStyle w:val="17"/>
              <w:spacing w:before="49"/>
              <w:ind w:left="21" w:right="14"/>
              <w:rPr>
                <w:rFonts w:ascii="Times New Roman"/>
                <w:sz w:val="21"/>
              </w:rPr>
            </w:pPr>
            <w:r>
              <w:rPr>
                <w:rFonts w:ascii="Times New Roman"/>
                <w:sz w:val="21"/>
              </w:rPr>
              <w:t>0.005</w:t>
            </w:r>
          </w:p>
        </w:tc>
      </w:tr>
      <w:tr w14:paraId="6F76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7A82D4A6">
            <w:pPr>
              <w:pStyle w:val="17"/>
              <w:spacing w:before="50"/>
              <w:ind w:left="232" w:right="223"/>
              <w:rPr>
                <w:rFonts w:ascii="Times New Roman"/>
                <w:sz w:val="21"/>
              </w:rPr>
            </w:pPr>
            <w:r>
              <w:rPr>
                <w:rFonts w:ascii="Times New Roman"/>
                <w:sz w:val="21"/>
              </w:rPr>
              <w:t>10</w:t>
            </w:r>
          </w:p>
        </w:tc>
        <w:tc>
          <w:tcPr>
            <w:tcW w:w="1892" w:type="dxa"/>
          </w:tcPr>
          <w:p w14:paraId="77578D6C">
            <w:pPr>
              <w:pStyle w:val="17"/>
              <w:spacing w:before="36"/>
              <w:ind w:left="8"/>
              <w:rPr>
                <w:sz w:val="21"/>
              </w:rPr>
            </w:pPr>
            <w:r>
              <w:rPr>
                <w:w w:val="99"/>
                <w:sz w:val="21"/>
              </w:rPr>
              <w:t>铅</w:t>
            </w:r>
          </w:p>
        </w:tc>
        <w:tc>
          <w:tcPr>
            <w:tcW w:w="1729" w:type="dxa"/>
          </w:tcPr>
          <w:p w14:paraId="059A52D8">
            <w:pPr>
              <w:pStyle w:val="17"/>
              <w:spacing w:before="50"/>
              <w:ind w:left="212" w:right="205"/>
              <w:rPr>
                <w:rFonts w:ascii="Times New Roman"/>
                <w:sz w:val="21"/>
              </w:rPr>
            </w:pPr>
            <w:r>
              <w:rPr>
                <w:rFonts w:ascii="Times New Roman"/>
                <w:sz w:val="21"/>
              </w:rPr>
              <w:t>0.01</w:t>
            </w:r>
          </w:p>
        </w:tc>
        <w:tc>
          <w:tcPr>
            <w:tcW w:w="842" w:type="dxa"/>
          </w:tcPr>
          <w:p w14:paraId="3F3E7DFC">
            <w:pPr>
              <w:pStyle w:val="17"/>
              <w:spacing w:before="50"/>
              <w:ind w:left="189" w:right="180"/>
              <w:rPr>
                <w:rFonts w:ascii="Times New Roman"/>
                <w:sz w:val="21"/>
              </w:rPr>
            </w:pPr>
            <w:r>
              <w:rPr>
                <w:rFonts w:ascii="Times New Roman"/>
                <w:sz w:val="21"/>
              </w:rPr>
              <w:t>27</w:t>
            </w:r>
          </w:p>
        </w:tc>
        <w:tc>
          <w:tcPr>
            <w:tcW w:w="1523" w:type="dxa"/>
          </w:tcPr>
          <w:p w14:paraId="5B9E6F29">
            <w:pPr>
              <w:pStyle w:val="17"/>
              <w:spacing w:before="36"/>
              <w:ind w:left="5"/>
              <w:rPr>
                <w:sz w:val="21"/>
              </w:rPr>
            </w:pPr>
            <w:r>
              <w:rPr>
                <w:w w:val="99"/>
                <w:sz w:val="21"/>
              </w:rPr>
              <w:t>锰</w:t>
            </w:r>
          </w:p>
        </w:tc>
        <w:tc>
          <w:tcPr>
            <w:tcW w:w="1471" w:type="dxa"/>
            <w:tcBorders>
              <w:right w:val="nil"/>
            </w:tcBorders>
          </w:tcPr>
          <w:p w14:paraId="29B1E135">
            <w:pPr>
              <w:pStyle w:val="17"/>
              <w:spacing w:before="50"/>
              <w:ind w:left="21" w:right="12"/>
              <w:rPr>
                <w:rFonts w:ascii="Times New Roman"/>
                <w:sz w:val="21"/>
              </w:rPr>
            </w:pPr>
            <w:r>
              <w:rPr>
                <w:rFonts w:ascii="Times New Roman"/>
                <w:sz w:val="21"/>
              </w:rPr>
              <w:t>0.10</w:t>
            </w:r>
          </w:p>
        </w:tc>
      </w:tr>
      <w:tr w14:paraId="0F18C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2EED53E4">
            <w:pPr>
              <w:pStyle w:val="17"/>
              <w:spacing w:before="48"/>
              <w:ind w:left="232" w:right="223"/>
              <w:rPr>
                <w:rFonts w:ascii="Times New Roman"/>
                <w:sz w:val="21"/>
              </w:rPr>
            </w:pPr>
            <w:r>
              <w:rPr>
                <w:rFonts w:ascii="Times New Roman"/>
                <w:sz w:val="21"/>
              </w:rPr>
              <w:t>11</w:t>
            </w:r>
          </w:p>
        </w:tc>
        <w:tc>
          <w:tcPr>
            <w:tcW w:w="1892" w:type="dxa"/>
          </w:tcPr>
          <w:p w14:paraId="3DA400C2">
            <w:pPr>
              <w:pStyle w:val="17"/>
              <w:spacing w:before="34"/>
              <w:ind w:left="85" w:right="77"/>
              <w:rPr>
                <w:sz w:val="21"/>
              </w:rPr>
            </w:pPr>
            <w:r>
              <w:rPr>
                <w:sz w:val="21"/>
              </w:rPr>
              <w:t>阴离子表面活性剂</w:t>
            </w:r>
          </w:p>
        </w:tc>
        <w:tc>
          <w:tcPr>
            <w:tcW w:w="1729" w:type="dxa"/>
          </w:tcPr>
          <w:p w14:paraId="437DAAA6">
            <w:pPr>
              <w:pStyle w:val="17"/>
              <w:spacing w:before="48"/>
              <w:ind w:left="212" w:right="205"/>
              <w:rPr>
                <w:rFonts w:ascii="Times New Roman"/>
                <w:sz w:val="21"/>
              </w:rPr>
            </w:pPr>
            <w:r>
              <w:rPr>
                <w:rFonts w:ascii="Times New Roman"/>
                <w:sz w:val="21"/>
              </w:rPr>
              <w:t>0.3</w:t>
            </w:r>
          </w:p>
        </w:tc>
        <w:tc>
          <w:tcPr>
            <w:tcW w:w="842" w:type="dxa"/>
          </w:tcPr>
          <w:p w14:paraId="2B4F6DA1">
            <w:pPr>
              <w:pStyle w:val="17"/>
              <w:spacing w:before="48"/>
              <w:ind w:left="189" w:right="180"/>
              <w:rPr>
                <w:rFonts w:ascii="Times New Roman"/>
                <w:sz w:val="21"/>
              </w:rPr>
            </w:pPr>
            <w:r>
              <w:rPr>
                <w:rFonts w:ascii="Times New Roman"/>
                <w:sz w:val="21"/>
              </w:rPr>
              <w:t>28</w:t>
            </w:r>
          </w:p>
        </w:tc>
        <w:tc>
          <w:tcPr>
            <w:tcW w:w="1523" w:type="dxa"/>
          </w:tcPr>
          <w:p w14:paraId="4A400052">
            <w:pPr>
              <w:pStyle w:val="17"/>
              <w:spacing w:before="34"/>
              <w:ind w:left="214" w:right="209"/>
              <w:rPr>
                <w:sz w:val="21"/>
              </w:rPr>
            </w:pPr>
            <w:r>
              <w:rPr>
                <w:sz w:val="21"/>
              </w:rPr>
              <w:t>挥发性酚类</w:t>
            </w:r>
          </w:p>
        </w:tc>
        <w:tc>
          <w:tcPr>
            <w:tcW w:w="1471" w:type="dxa"/>
            <w:tcBorders>
              <w:right w:val="nil"/>
            </w:tcBorders>
          </w:tcPr>
          <w:p w14:paraId="194716F3">
            <w:pPr>
              <w:pStyle w:val="17"/>
              <w:spacing w:before="48"/>
              <w:ind w:left="21" w:right="14"/>
              <w:rPr>
                <w:rFonts w:ascii="Times New Roman"/>
                <w:sz w:val="21"/>
              </w:rPr>
            </w:pPr>
            <w:r>
              <w:rPr>
                <w:rFonts w:ascii="Times New Roman"/>
                <w:sz w:val="21"/>
              </w:rPr>
              <w:t>0.002</w:t>
            </w:r>
          </w:p>
        </w:tc>
      </w:tr>
      <w:tr w14:paraId="01AD3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1E724E4C">
            <w:pPr>
              <w:pStyle w:val="17"/>
              <w:spacing w:before="34"/>
              <w:ind w:left="232" w:right="223"/>
              <w:rPr>
                <w:rFonts w:ascii="Times New Roman"/>
                <w:sz w:val="21"/>
              </w:rPr>
            </w:pPr>
            <w:r>
              <w:rPr>
                <w:rFonts w:ascii="Times New Roman"/>
                <w:sz w:val="21"/>
              </w:rPr>
              <w:t>12</w:t>
            </w:r>
          </w:p>
        </w:tc>
        <w:tc>
          <w:tcPr>
            <w:tcW w:w="1892" w:type="dxa"/>
          </w:tcPr>
          <w:p w14:paraId="25DCBB0C">
            <w:pPr>
              <w:pStyle w:val="17"/>
              <w:spacing w:before="34"/>
              <w:ind w:left="8"/>
              <w:rPr>
                <w:sz w:val="21"/>
              </w:rPr>
            </w:pPr>
            <w:r>
              <w:rPr>
                <w:w w:val="99"/>
                <w:sz w:val="21"/>
              </w:rPr>
              <w:t>钾</w:t>
            </w:r>
          </w:p>
        </w:tc>
        <w:tc>
          <w:tcPr>
            <w:tcW w:w="1729" w:type="dxa"/>
          </w:tcPr>
          <w:p w14:paraId="787BDFA1">
            <w:pPr>
              <w:pStyle w:val="17"/>
              <w:spacing w:before="48"/>
              <w:ind w:left="9"/>
              <w:rPr>
                <w:rFonts w:ascii="Times New Roman"/>
                <w:sz w:val="21"/>
              </w:rPr>
            </w:pPr>
            <w:r>
              <w:rPr>
                <w:rFonts w:ascii="Times New Roman"/>
                <w:w w:val="99"/>
                <w:sz w:val="21"/>
              </w:rPr>
              <w:t>/</w:t>
            </w:r>
          </w:p>
        </w:tc>
        <w:tc>
          <w:tcPr>
            <w:tcW w:w="842" w:type="dxa"/>
          </w:tcPr>
          <w:p w14:paraId="5B44D6A7">
            <w:pPr>
              <w:pStyle w:val="17"/>
              <w:spacing w:before="34"/>
              <w:ind w:left="189" w:right="180"/>
              <w:rPr>
                <w:rFonts w:ascii="Times New Roman"/>
                <w:sz w:val="21"/>
              </w:rPr>
            </w:pPr>
            <w:r>
              <w:rPr>
                <w:rFonts w:ascii="Times New Roman"/>
                <w:sz w:val="21"/>
              </w:rPr>
              <w:t>29</w:t>
            </w:r>
          </w:p>
        </w:tc>
        <w:tc>
          <w:tcPr>
            <w:tcW w:w="1523" w:type="dxa"/>
          </w:tcPr>
          <w:p w14:paraId="0F64B22C">
            <w:pPr>
              <w:pStyle w:val="17"/>
              <w:spacing w:before="34"/>
              <w:ind w:left="5"/>
              <w:rPr>
                <w:sz w:val="21"/>
              </w:rPr>
            </w:pPr>
            <w:r>
              <w:rPr>
                <w:w w:val="99"/>
                <w:sz w:val="21"/>
              </w:rPr>
              <w:t>铝</w:t>
            </w:r>
          </w:p>
        </w:tc>
        <w:tc>
          <w:tcPr>
            <w:tcW w:w="1471" w:type="dxa"/>
            <w:tcBorders>
              <w:right w:val="nil"/>
            </w:tcBorders>
          </w:tcPr>
          <w:p w14:paraId="1875B4E4">
            <w:pPr>
              <w:pStyle w:val="17"/>
              <w:spacing w:before="48"/>
              <w:ind w:left="21" w:right="14"/>
              <w:rPr>
                <w:rFonts w:ascii="Times New Roman"/>
                <w:sz w:val="21"/>
              </w:rPr>
            </w:pPr>
            <w:r>
              <w:rPr>
                <w:rFonts w:ascii="Times New Roman"/>
                <w:sz w:val="21"/>
              </w:rPr>
              <w:t>0.2</w:t>
            </w:r>
          </w:p>
        </w:tc>
      </w:tr>
      <w:tr w14:paraId="5F6D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03DDA770">
            <w:pPr>
              <w:pStyle w:val="17"/>
              <w:spacing w:before="34"/>
              <w:ind w:left="232" w:right="223"/>
              <w:rPr>
                <w:rFonts w:ascii="Times New Roman"/>
                <w:sz w:val="21"/>
              </w:rPr>
            </w:pPr>
            <w:r>
              <w:rPr>
                <w:rFonts w:ascii="Times New Roman"/>
                <w:sz w:val="21"/>
              </w:rPr>
              <w:t>13</w:t>
            </w:r>
          </w:p>
        </w:tc>
        <w:tc>
          <w:tcPr>
            <w:tcW w:w="1892" w:type="dxa"/>
          </w:tcPr>
          <w:p w14:paraId="30A3335F">
            <w:pPr>
              <w:pStyle w:val="17"/>
              <w:spacing w:before="35"/>
              <w:ind w:left="8"/>
              <w:rPr>
                <w:sz w:val="21"/>
              </w:rPr>
            </w:pPr>
            <w:r>
              <w:rPr>
                <w:w w:val="99"/>
                <w:sz w:val="21"/>
              </w:rPr>
              <w:t>钠</w:t>
            </w:r>
          </w:p>
        </w:tc>
        <w:tc>
          <w:tcPr>
            <w:tcW w:w="1729" w:type="dxa"/>
          </w:tcPr>
          <w:p w14:paraId="73BEAA5A">
            <w:pPr>
              <w:pStyle w:val="17"/>
              <w:spacing w:before="48"/>
              <w:ind w:left="212" w:right="205"/>
              <w:rPr>
                <w:rFonts w:ascii="Times New Roman"/>
                <w:sz w:val="21"/>
              </w:rPr>
            </w:pPr>
            <w:r>
              <w:rPr>
                <w:rFonts w:ascii="Times New Roman"/>
                <w:sz w:val="21"/>
              </w:rPr>
              <w:t>200</w:t>
            </w:r>
          </w:p>
        </w:tc>
        <w:tc>
          <w:tcPr>
            <w:tcW w:w="842" w:type="dxa"/>
          </w:tcPr>
          <w:p w14:paraId="1C0F4BDA">
            <w:pPr>
              <w:pStyle w:val="17"/>
              <w:spacing w:before="34"/>
              <w:ind w:left="189" w:right="180"/>
              <w:rPr>
                <w:rFonts w:ascii="Times New Roman"/>
                <w:sz w:val="21"/>
              </w:rPr>
            </w:pPr>
            <w:r>
              <w:rPr>
                <w:rFonts w:ascii="Times New Roman"/>
                <w:sz w:val="21"/>
              </w:rPr>
              <w:t>30</w:t>
            </w:r>
          </w:p>
        </w:tc>
        <w:tc>
          <w:tcPr>
            <w:tcW w:w="1523" w:type="dxa"/>
          </w:tcPr>
          <w:p w14:paraId="5D414DD3">
            <w:pPr>
              <w:pStyle w:val="17"/>
              <w:spacing w:before="35"/>
              <w:ind w:left="214" w:right="209"/>
              <w:rPr>
                <w:sz w:val="21"/>
              </w:rPr>
            </w:pPr>
            <w:r>
              <w:rPr>
                <w:sz w:val="21"/>
              </w:rPr>
              <w:t>总大肠菌群</w:t>
            </w:r>
          </w:p>
        </w:tc>
        <w:tc>
          <w:tcPr>
            <w:tcW w:w="1471" w:type="dxa"/>
            <w:tcBorders>
              <w:right w:val="nil"/>
            </w:tcBorders>
          </w:tcPr>
          <w:p w14:paraId="02D05DB7">
            <w:pPr>
              <w:pStyle w:val="17"/>
              <w:spacing w:before="48"/>
              <w:ind w:left="21" w:right="15"/>
              <w:rPr>
                <w:rFonts w:ascii="Times New Roman"/>
                <w:sz w:val="21"/>
              </w:rPr>
            </w:pPr>
            <w:r>
              <w:rPr>
                <w:rFonts w:ascii="Times New Roman"/>
                <w:sz w:val="21"/>
              </w:rPr>
              <w:t>3.0CFU/100mL</w:t>
            </w:r>
          </w:p>
        </w:tc>
      </w:tr>
      <w:tr w14:paraId="35756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49588BF6">
            <w:pPr>
              <w:pStyle w:val="17"/>
              <w:spacing w:before="34"/>
              <w:ind w:left="232" w:right="223"/>
              <w:rPr>
                <w:rFonts w:ascii="Times New Roman"/>
                <w:sz w:val="21"/>
              </w:rPr>
            </w:pPr>
            <w:r>
              <w:rPr>
                <w:rFonts w:ascii="Times New Roman"/>
                <w:sz w:val="21"/>
              </w:rPr>
              <w:t>14</w:t>
            </w:r>
          </w:p>
        </w:tc>
        <w:tc>
          <w:tcPr>
            <w:tcW w:w="1892" w:type="dxa"/>
          </w:tcPr>
          <w:p w14:paraId="0625FABA">
            <w:pPr>
              <w:pStyle w:val="17"/>
              <w:spacing w:before="35"/>
              <w:ind w:left="8"/>
              <w:rPr>
                <w:sz w:val="21"/>
              </w:rPr>
            </w:pPr>
            <w:r>
              <w:rPr>
                <w:w w:val="99"/>
                <w:sz w:val="21"/>
              </w:rPr>
              <w:t>钙</w:t>
            </w:r>
          </w:p>
        </w:tc>
        <w:tc>
          <w:tcPr>
            <w:tcW w:w="1729" w:type="dxa"/>
          </w:tcPr>
          <w:p w14:paraId="1DABE522">
            <w:pPr>
              <w:pStyle w:val="17"/>
              <w:spacing w:before="49"/>
              <w:ind w:left="9"/>
              <w:rPr>
                <w:rFonts w:ascii="Times New Roman"/>
                <w:sz w:val="21"/>
              </w:rPr>
            </w:pPr>
            <w:r>
              <w:rPr>
                <w:rFonts w:ascii="Times New Roman"/>
                <w:w w:val="99"/>
                <w:sz w:val="21"/>
              </w:rPr>
              <w:t>/</w:t>
            </w:r>
          </w:p>
        </w:tc>
        <w:tc>
          <w:tcPr>
            <w:tcW w:w="842" w:type="dxa"/>
          </w:tcPr>
          <w:p w14:paraId="173A2F5C">
            <w:pPr>
              <w:pStyle w:val="17"/>
              <w:spacing w:before="34"/>
              <w:ind w:left="189" w:right="180"/>
              <w:rPr>
                <w:rFonts w:ascii="Times New Roman"/>
                <w:sz w:val="21"/>
              </w:rPr>
            </w:pPr>
            <w:r>
              <w:rPr>
                <w:rFonts w:ascii="Times New Roman"/>
                <w:sz w:val="21"/>
              </w:rPr>
              <w:t>31</w:t>
            </w:r>
          </w:p>
        </w:tc>
        <w:tc>
          <w:tcPr>
            <w:tcW w:w="1523" w:type="dxa"/>
          </w:tcPr>
          <w:p w14:paraId="367B58A7">
            <w:pPr>
              <w:pStyle w:val="17"/>
              <w:spacing w:before="35"/>
              <w:ind w:left="214" w:right="209"/>
              <w:rPr>
                <w:sz w:val="21"/>
              </w:rPr>
            </w:pPr>
            <w:r>
              <w:rPr>
                <w:sz w:val="21"/>
              </w:rPr>
              <w:t>菌落总数</w:t>
            </w:r>
          </w:p>
        </w:tc>
        <w:tc>
          <w:tcPr>
            <w:tcW w:w="1471" w:type="dxa"/>
            <w:tcBorders>
              <w:right w:val="nil"/>
            </w:tcBorders>
          </w:tcPr>
          <w:p w14:paraId="253A3456">
            <w:pPr>
              <w:pStyle w:val="17"/>
              <w:spacing w:before="49"/>
              <w:ind w:left="21" w:right="15"/>
              <w:rPr>
                <w:rFonts w:ascii="Times New Roman"/>
                <w:sz w:val="21"/>
              </w:rPr>
            </w:pPr>
            <w:r>
              <w:rPr>
                <w:rFonts w:ascii="Times New Roman"/>
                <w:sz w:val="21"/>
              </w:rPr>
              <w:t>100CFU/100mL</w:t>
            </w:r>
          </w:p>
        </w:tc>
      </w:tr>
      <w:tr w14:paraId="07DF9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540EA9CF">
            <w:pPr>
              <w:pStyle w:val="17"/>
              <w:spacing w:before="35"/>
              <w:ind w:left="232" w:right="223"/>
              <w:rPr>
                <w:rFonts w:ascii="Times New Roman"/>
                <w:sz w:val="21"/>
              </w:rPr>
            </w:pPr>
            <w:r>
              <w:rPr>
                <w:rFonts w:ascii="Times New Roman"/>
                <w:sz w:val="21"/>
              </w:rPr>
              <w:t>15</w:t>
            </w:r>
          </w:p>
        </w:tc>
        <w:tc>
          <w:tcPr>
            <w:tcW w:w="1892" w:type="dxa"/>
          </w:tcPr>
          <w:p w14:paraId="12431FA3">
            <w:pPr>
              <w:pStyle w:val="17"/>
              <w:spacing w:before="35"/>
              <w:ind w:left="8"/>
              <w:rPr>
                <w:sz w:val="21"/>
              </w:rPr>
            </w:pPr>
            <w:r>
              <w:rPr>
                <w:w w:val="99"/>
                <w:sz w:val="21"/>
              </w:rPr>
              <w:t>镁</w:t>
            </w:r>
          </w:p>
        </w:tc>
        <w:tc>
          <w:tcPr>
            <w:tcW w:w="1729" w:type="dxa"/>
          </w:tcPr>
          <w:p w14:paraId="52D50D12">
            <w:pPr>
              <w:pStyle w:val="17"/>
              <w:spacing w:before="49"/>
              <w:ind w:left="9"/>
              <w:rPr>
                <w:rFonts w:ascii="Times New Roman"/>
                <w:sz w:val="21"/>
              </w:rPr>
            </w:pPr>
            <w:r>
              <w:rPr>
                <w:rFonts w:ascii="Times New Roman"/>
                <w:w w:val="99"/>
                <w:sz w:val="21"/>
              </w:rPr>
              <w:t>/</w:t>
            </w:r>
          </w:p>
        </w:tc>
        <w:tc>
          <w:tcPr>
            <w:tcW w:w="842" w:type="dxa"/>
          </w:tcPr>
          <w:p w14:paraId="21C33CDC">
            <w:pPr>
              <w:pStyle w:val="17"/>
              <w:spacing w:before="35"/>
              <w:ind w:left="189" w:right="180"/>
              <w:rPr>
                <w:rFonts w:ascii="Times New Roman"/>
                <w:sz w:val="21"/>
              </w:rPr>
            </w:pPr>
            <w:r>
              <w:rPr>
                <w:rFonts w:ascii="Times New Roman"/>
                <w:sz w:val="21"/>
              </w:rPr>
              <w:t>32</w:t>
            </w:r>
          </w:p>
        </w:tc>
        <w:tc>
          <w:tcPr>
            <w:tcW w:w="1523" w:type="dxa"/>
          </w:tcPr>
          <w:p w14:paraId="567A7D41">
            <w:pPr>
              <w:pStyle w:val="17"/>
              <w:spacing w:before="35"/>
              <w:ind w:left="5"/>
              <w:rPr>
                <w:sz w:val="21"/>
              </w:rPr>
            </w:pPr>
            <w:r>
              <w:rPr>
                <w:w w:val="99"/>
                <w:sz w:val="21"/>
              </w:rPr>
              <w:t>钴</w:t>
            </w:r>
          </w:p>
        </w:tc>
        <w:tc>
          <w:tcPr>
            <w:tcW w:w="1471" w:type="dxa"/>
            <w:tcBorders>
              <w:right w:val="nil"/>
            </w:tcBorders>
          </w:tcPr>
          <w:p w14:paraId="2C2FF119">
            <w:pPr>
              <w:pStyle w:val="17"/>
              <w:spacing w:before="49"/>
              <w:ind w:left="21" w:right="12"/>
              <w:rPr>
                <w:rFonts w:ascii="Times New Roman"/>
                <w:sz w:val="21"/>
              </w:rPr>
            </w:pPr>
            <w:r>
              <w:rPr>
                <w:rFonts w:ascii="Times New Roman"/>
                <w:sz w:val="21"/>
              </w:rPr>
              <w:t>0.05</w:t>
            </w:r>
          </w:p>
        </w:tc>
      </w:tr>
      <w:tr w14:paraId="48F6E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78DC3105">
            <w:pPr>
              <w:pStyle w:val="17"/>
              <w:spacing w:before="35"/>
              <w:ind w:left="232" w:right="223"/>
              <w:rPr>
                <w:rFonts w:ascii="Times New Roman"/>
                <w:sz w:val="21"/>
              </w:rPr>
            </w:pPr>
            <w:r>
              <w:rPr>
                <w:rFonts w:ascii="Times New Roman"/>
                <w:sz w:val="21"/>
              </w:rPr>
              <w:t>16</w:t>
            </w:r>
          </w:p>
        </w:tc>
        <w:tc>
          <w:tcPr>
            <w:tcW w:w="1892" w:type="dxa"/>
          </w:tcPr>
          <w:p w14:paraId="22A61925">
            <w:pPr>
              <w:pStyle w:val="17"/>
              <w:spacing w:before="36"/>
              <w:ind w:left="83" w:right="77"/>
              <w:rPr>
                <w:sz w:val="21"/>
              </w:rPr>
            </w:pPr>
            <w:r>
              <w:rPr>
                <w:sz w:val="21"/>
              </w:rPr>
              <w:t>碳酸根</w:t>
            </w:r>
          </w:p>
        </w:tc>
        <w:tc>
          <w:tcPr>
            <w:tcW w:w="1729" w:type="dxa"/>
          </w:tcPr>
          <w:p w14:paraId="1D77235F">
            <w:pPr>
              <w:pStyle w:val="17"/>
              <w:spacing w:before="50"/>
              <w:ind w:left="9"/>
              <w:rPr>
                <w:rFonts w:ascii="Times New Roman"/>
                <w:sz w:val="21"/>
              </w:rPr>
            </w:pPr>
            <w:r>
              <w:rPr>
                <w:rFonts w:ascii="Times New Roman"/>
                <w:w w:val="99"/>
                <w:sz w:val="21"/>
              </w:rPr>
              <w:t>/</w:t>
            </w:r>
          </w:p>
        </w:tc>
        <w:tc>
          <w:tcPr>
            <w:tcW w:w="842" w:type="dxa"/>
          </w:tcPr>
          <w:p w14:paraId="60272C92">
            <w:pPr>
              <w:pStyle w:val="17"/>
              <w:spacing w:before="35"/>
              <w:ind w:left="189" w:right="180"/>
              <w:rPr>
                <w:rFonts w:ascii="Times New Roman"/>
                <w:sz w:val="21"/>
              </w:rPr>
            </w:pPr>
            <w:r>
              <w:rPr>
                <w:rFonts w:ascii="Times New Roman"/>
                <w:sz w:val="21"/>
              </w:rPr>
              <w:t>33</w:t>
            </w:r>
          </w:p>
        </w:tc>
        <w:tc>
          <w:tcPr>
            <w:tcW w:w="1523" w:type="dxa"/>
          </w:tcPr>
          <w:p w14:paraId="3F5B49FA">
            <w:pPr>
              <w:pStyle w:val="17"/>
              <w:spacing w:before="36"/>
              <w:ind w:left="5"/>
              <w:rPr>
                <w:sz w:val="21"/>
              </w:rPr>
            </w:pPr>
            <w:r>
              <w:rPr>
                <w:w w:val="99"/>
                <w:sz w:val="21"/>
              </w:rPr>
              <w:t>锂</w:t>
            </w:r>
          </w:p>
        </w:tc>
        <w:tc>
          <w:tcPr>
            <w:tcW w:w="1471" w:type="dxa"/>
            <w:tcBorders>
              <w:right w:val="nil"/>
            </w:tcBorders>
          </w:tcPr>
          <w:p w14:paraId="1EB12757">
            <w:pPr>
              <w:pStyle w:val="17"/>
              <w:spacing w:before="50"/>
              <w:ind w:left="8"/>
              <w:rPr>
                <w:rFonts w:ascii="Times New Roman"/>
                <w:sz w:val="21"/>
              </w:rPr>
            </w:pPr>
            <w:r>
              <w:rPr>
                <w:rFonts w:ascii="Times New Roman"/>
                <w:w w:val="99"/>
                <w:sz w:val="21"/>
              </w:rPr>
              <w:t>/</w:t>
            </w:r>
          </w:p>
        </w:tc>
      </w:tr>
      <w:tr w14:paraId="54027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25" w:type="dxa"/>
            <w:tcBorders>
              <w:left w:val="nil"/>
            </w:tcBorders>
          </w:tcPr>
          <w:p w14:paraId="4E6B166E">
            <w:pPr>
              <w:pStyle w:val="17"/>
              <w:spacing w:before="36"/>
              <w:ind w:left="232" w:right="223"/>
              <w:rPr>
                <w:rFonts w:ascii="Times New Roman"/>
                <w:sz w:val="21"/>
              </w:rPr>
            </w:pPr>
            <w:r>
              <w:rPr>
                <w:rFonts w:ascii="Times New Roman"/>
                <w:sz w:val="21"/>
              </w:rPr>
              <w:t>17</w:t>
            </w:r>
          </w:p>
        </w:tc>
        <w:tc>
          <w:tcPr>
            <w:tcW w:w="1892" w:type="dxa"/>
          </w:tcPr>
          <w:p w14:paraId="478D01B4">
            <w:pPr>
              <w:pStyle w:val="17"/>
              <w:spacing w:before="22"/>
              <w:ind w:left="85" w:right="77"/>
              <w:rPr>
                <w:sz w:val="21"/>
              </w:rPr>
            </w:pPr>
            <w:r>
              <w:rPr>
                <w:sz w:val="21"/>
              </w:rPr>
              <w:t>碳酸氢根</w:t>
            </w:r>
          </w:p>
        </w:tc>
        <w:tc>
          <w:tcPr>
            <w:tcW w:w="1729" w:type="dxa"/>
          </w:tcPr>
          <w:p w14:paraId="30EA9B8A">
            <w:pPr>
              <w:pStyle w:val="17"/>
              <w:spacing w:before="48"/>
              <w:ind w:left="9"/>
              <w:rPr>
                <w:rFonts w:ascii="Times New Roman"/>
                <w:sz w:val="21"/>
              </w:rPr>
            </w:pPr>
            <w:r>
              <w:rPr>
                <w:rFonts w:ascii="Times New Roman"/>
                <w:w w:val="99"/>
                <w:sz w:val="21"/>
              </w:rPr>
              <w:t>/</w:t>
            </w:r>
          </w:p>
        </w:tc>
        <w:tc>
          <w:tcPr>
            <w:tcW w:w="842" w:type="dxa"/>
          </w:tcPr>
          <w:p w14:paraId="539BF5D6">
            <w:pPr>
              <w:pStyle w:val="17"/>
              <w:spacing w:before="36"/>
              <w:ind w:left="189" w:right="180"/>
              <w:rPr>
                <w:rFonts w:ascii="Times New Roman"/>
                <w:sz w:val="21"/>
              </w:rPr>
            </w:pPr>
            <w:r>
              <w:rPr>
                <w:rFonts w:ascii="Times New Roman"/>
                <w:sz w:val="21"/>
              </w:rPr>
              <w:t>34</w:t>
            </w:r>
          </w:p>
        </w:tc>
        <w:tc>
          <w:tcPr>
            <w:tcW w:w="1523" w:type="dxa"/>
          </w:tcPr>
          <w:p w14:paraId="1AAB6D36">
            <w:pPr>
              <w:pStyle w:val="17"/>
              <w:spacing w:before="34"/>
              <w:ind w:left="214" w:right="207"/>
              <w:rPr>
                <w:sz w:val="21"/>
              </w:rPr>
            </w:pPr>
            <w:r>
              <w:rPr>
                <w:sz w:val="21"/>
              </w:rPr>
              <w:t>氰化物</w:t>
            </w:r>
          </w:p>
        </w:tc>
        <w:tc>
          <w:tcPr>
            <w:tcW w:w="1471" w:type="dxa"/>
            <w:tcBorders>
              <w:right w:val="nil"/>
            </w:tcBorders>
          </w:tcPr>
          <w:p w14:paraId="2F7D06ED">
            <w:pPr>
              <w:pStyle w:val="17"/>
              <w:spacing w:before="48"/>
              <w:ind w:left="21" w:right="12"/>
              <w:rPr>
                <w:rFonts w:ascii="Times New Roman"/>
                <w:sz w:val="21"/>
              </w:rPr>
            </w:pPr>
            <w:r>
              <w:rPr>
                <w:rFonts w:ascii="Times New Roman"/>
                <w:sz w:val="21"/>
              </w:rPr>
              <w:t>0.05</w:t>
            </w:r>
          </w:p>
        </w:tc>
      </w:tr>
    </w:tbl>
    <w:p w14:paraId="3376B1AB">
      <w:pPr>
        <w:pStyle w:val="16"/>
        <w:numPr>
          <w:ilvl w:val="2"/>
          <w:numId w:val="5"/>
        </w:numPr>
        <w:tabs>
          <w:tab w:val="left" w:pos="849"/>
        </w:tabs>
        <w:spacing w:before="132" w:after="0" w:line="240" w:lineRule="auto"/>
        <w:ind w:left="848" w:right="0" w:hanging="628"/>
        <w:jc w:val="left"/>
        <w:rPr>
          <w:b/>
          <w:sz w:val="28"/>
        </w:rPr>
      </w:pPr>
      <w:r>
        <w:rPr>
          <w:b/>
          <w:sz w:val="28"/>
        </w:rPr>
        <w:t>污染物排放标准</w:t>
      </w:r>
    </w:p>
    <w:p w14:paraId="32CE6DF6">
      <w:pPr>
        <w:pStyle w:val="10"/>
        <w:spacing w:before="214"/>
        <w:ind w:left="700"/>
      </w:pPr>
      <w:r>
        <w:rPr>
          <w:rFonts w:ascii="Times New Roman" w:eastAsia="Times New Roman"/>
        </w:rPr>
        <w:t>1</w:t>
      </w:r>
      <w:r>
        <w:t>、废气</w:t>
      </w:r>
    </w:p>
    <w:p w14:paraId="2BFCAE6A">
      <w:pPr>
        <w:pStyle w:val="10"/>
        <w:spacing w:before="161" w:line="364" w:lineRule="auto"/>
        <w:ind w:left="220" w:right="357" w:firstLine="480"/>
      </w:pPr>
      <w:r>
        <w:t>废气：根据《合成树脂工业污染物排放标准》（</w:t>
      </w:r>
      <w:r>
        <w:rPr>
          <w:rFonts w:ascii="Times New Roman" w:hAnsi="Times New Roman" w:eastAsia="Times New Roman"/>
        </w:rPr>
        <w:t>GB31572-2015</w:t>
      </w:r>
      <w:r>
        <w:t>）及其修改</w:t>
      </w:r>
      <w:r>
        <w:rPr>
          <w:spacing w:val="-30"/>
        </w:rPr>
        <w:t xml:space="preserve">单 </w:t>
      </w:r>
      <w:r>
        <w:rPr>
          <w:rFonts w:ascii="Times New Roman" w:hAnsi="Times New Roman" w:eastAsia="Times New Roman"/>
        </w:rPr>
        <w:t xml:space="preserve">5.6 </w:t>
      </w:r>
      <w:r>
        <w:rPr>
          <w:spacing w:val="-6"/>
        </w:rPr>
        <w:t>条规定，“塑料制品工业企业或生产设施的大气污染物排放限值根据其涉</w:t>
      </w:r>
    </w:p>
    <w:p w14:paraId="7514DF85">
      <w:pPr>
        <w:pStyle w:val="10"/>
        <w:spacing w:before="1" w:line="364" w:lineRule="auto"/>
        <w:ind w:left="220" w:right="357"/>
        <w:jc w:val="both"/>
      </w:pPr>
      <w:r>
        <w:rPr>
          <w:spacing w:val="-6"/>
        </w:rPr>
        <w:t xml:space="preserve">及到的合成树脂种类，分别执行表 </w:t>
      </w:r>
      <w:r>
        <w:rPr>
          <w:rFonts w:ascii="Times New Roman" w:hAnsi="Times New Roman" w:eastAsia="Times New Roman"/>
        </w:rPr>
        <w:t xml:space="preserve">4 </w:t>
      </w:r>
      <w:r>
        <w:t xml:space="preserve">或表 </w:t>
      </w:r>
      <w:r>
        <w:rPr>
          <w:rFonts w:ascii="Times New Roman" w:hAnsi="Times New Roman" w:eastAsia="Times New Roman"/>
        </w:rPr>
        <w:t xml:space="preserve">5 </w:t>
      </w:r>
      <w:r>
        <w:rPr>
          <w:spacing w:val="-4"/>
        </w:rPr>
        <w:t>的标准限值</w:t>
      </w:r>
      <w:r>
        <w:t>（单位产品非甲烷总烃排放量除外</w:t>
      </w:r>
      <w:r>
        <w:rPr>
          <w:spacing w:val="-17"/>
        </w:rPr>
        <w:t>）；</w:t>
      </w:r>
      <w:r>
        <w:rPr>
          <w:spacing w:val="-6"/>
        </w:rPr>
        <w:t xml:space="preserve">无组织排放控制要求按 </w:t>
      </w:r>
      <w:r>
        <w:rPr>
          <w:rFonts w:ascii="Times New Roman" w:hAnsi="Times New Roman" w:eastAsia="Times New Roman"/>
        </w:rPr>
        <w:t>GB 37822</w:t>
      </w:r>
      <w:r>
        <w:rPr>
          <w:rFonts w:ascii="Times New Roman" w:hAnsi="Times New Roman" w:eastAsia="Times New Roman"/>
          <w:spacing w:val="58"/>
        </w:rPr>
        <w:t xml:space="preserve"> </w:t>
      </w:r>
      <w:r>
        <w:rPr>
          <w:spacing w:val="-6"/>
        </w:rPr>
        <w:t>执行。”营运期有组织排放的颗粒物、非甲烷总烃执</w:t>
      </w:r>
      <w:r>
        <w:fldChar w:fldCharType="begin"/>
      </w:r>
      <w:r>
        <w:instrText xml:space="preserve"> HYPERLINK "https://www.mee.gov.cn/ywgz/fgbz/bz/bzwb/dqhjbh/dqgdwrywrwpfbz/201505/W020150506393371746579.pdf" \h </w:instrText>
      </w:r>
      <w:r>
        <w:fldChar w:fldCharType="separate"/>
      </w:r>
      <w:r>
        <w:rPr>
          <w:spacing w:val="-6"/>
        </w:rPr>
        <w:t>行《合成树脂工业污染物排放标准</w:t>
      </w:r>
      <w:r>
        <w:rPr>
          <w:spacing w:val="-6"/>
        </w:rPr>
        <w:fldChar w:fldCharType="end"/>
      </w:r>
      <w:r>
        <w:rPr>
          <w:spacing w:val="-6"/>
        </w:rPr>
        <w:t>》（</w:t>
      </w:r>
      <w:r>
        <w:rPr>
          <w:rFonts w:ascii="Times New Roman" w:hAnsi="Times New Roman" w:eastAsia="Times New Roman"/>
          <w:spacing w:val="-6"/>
        </w:rPr>
        <w:t xml:space="preserve">GB </w:t>
      </w:r>
      <w:r>
        <w:rPr>
          <w:rFonts w:ascii="Times New Roman" w:hAnsi="Times New Roman" w:eastAsia="Times New Roman"/>
        </w:rPr>
        <w:t>31572-2015</w:t>
      </w:r>
      <w:r>
        <w:t xml:space="preserve">） </w:t>
      </w:r>
      <w:r>
        <w:rPr>
          <w:spacing w:val="-19"/>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大气污染物排放限值要求，厂内无组织排放非甲烷总烃</w:t>
      </w:r>
      <w:r>
        <w:rPr>
          <w:spacing w:val="-10"/>
        </w:rPr>
        <w:t>执行《</w:t>
      </w:r>
      <w:r>
        <w:fldChar w:fldCharType="begin"/>
      </w:r>
      <w:r>
        <w:instrText xml:space="preserve"> HYPERLINK "https://www.mee.gov.cn/ywgz/fgbz/bz/bzwb/dqhjbh/dqgdwrywrwpfbz/201906/W020190606587693632696.pdf" \h </w:instrText>
      </w:r>
      <w:r>
        <w:fldChar w:fldCharType="separate"/>
      </w:r>
      <w:r>
        <w:rPr>
          <w:spacing w:val="-2"/>
        </w:rPr>
        <w:t>挥发性有机物无组织排放控制标准</w:t>
      </w:r>
      <w:r>
        <w:t>（</w:t>
      </w:r>
      <w:r>
        <w:rPr>
          <w:rFonts w:ascii="Times New Roman" w:hAnsi="Times New Roman" w:eastAsia="Times New Roman"/>
        </w:rPr>
        <w:t xml:space="preserve">GB </w:t>
      </w:r>
      <w:r>
        <w:rPr>
          <w:rFonts w:ascii="Times New Roman" w:hAnsi="Times New Roman" w:eastAsia="Times New Roman"/>
          <w:spacing w:val="-3"/>
        </w:rPr>
        <w:t>37822</w:t>
      </w:r>
      <w:r>
        <w:rPr>
          <w:spacing w:val="-3"/>
        </w:rPr>
        <w:t>—</w:t>
      </w:r>
      <w:r>
        <w:rPr>
          <w:rFonts w:ascii="Times New Roman" w:hAnsi="Times New Roman" w:eastAsia="Times New Roman"/>
          <w:spacing w:val="-3"/>
        </w:rPr>
        <w:t>2019</w:t>
      </w:r>
      <w:r>
        <w:rPr>
          <w:spacing w:val="-3"/>
        </w:rPr>
        <w:t>）</w:t>
      </w:r>
      <w:r>
        <w:rPr>
          <w:spacing w:val="-3"/>
        </w:rPr>
        <w:fldChar w:fldCharType="end"/>
      </w:r>
      <w:r>
        <w:rPr>
          <w:spacing w:val="-23"/>
        </w:rPr>
        <w:t xml:space="preserve">》附录 </w:t>
      </w:r>
      <w:r>
        <w:rPr>
          <w:rFonts w:ascii="Times New Roman" w:hAnsi="Times New Roman" w:eastAsia="Times New Roman"/>
        </w:rPr>
        <w:t xml:space="preserve">A </w:t>
      </w:r>
      <w:r>
        <w:rPr>
          <w:spacing w:val="-20"/>
        </w:rPr>
        <w:t xml:space="preserve">中表 </w:t>
      </w:r>
      <w:r>
        <w:rPr>
          <w:rFonts w:ascii="Times New Roman" w:hAnsi="Times New Roman" w:eastAsia="Times New Roman"/>
        </w:rPr>
        <w:t xml:space="preserve">A.1 </w:t>
      </w:r>
      <w:r>
        <w:rPr>
          <w:spacing w:val="-16"/>
        </w:rPr>
        <w:t>排放限值要求；厂界无组织排放颗粒物执行《</w:t>
      </w:r>
      <w:r>
        <w:fldChar w:fldCharType="begin"/>
      </w:r>
      <w:r>
        <w:instrText xml:space="preserve"> HYPERLINK "https://www.mee.gov.cn/ywgz/fgbz/bz/bzwb/dqhjbh/dqgdwrywrwpfbz/201505/W020150506393371746579.pdf" \h </w:instrText>
      </w:r>
      <w:r>
        <w:fldChar w:fldCharType="separate"/>
      </w:r>
      <w:r>
        <w:t>合成树脂工业污染物排放标准</w:t>
      </w:r>
      <w:r>
        <w:fldChar w:fldCharType="end"/>
      </w:r>
      <w:r>
        <w:rPr>
          <w:spacing w:val="-212"/>
        </w:rPr>
        <w:t>》</w:t>
      </w:r>
      <w:r>
        <w:t>（</w:t>
      </w:r>
      <w:r>
        <w:rPr>
          <w:rFonts w:ascii="Times New Roman" w:hAnsi="Times New Roman" w:eastAsia="Times New Roman"/>
        </w:rPr>
        <w:t>GB 31572-2015</w:t>
      </w:r>
      <w:r>
        <w:t>）</w:t>
      </w:r>
      <w:r>
        <w:rPr>
          <w:spacing w:val="-16"/>
        </w:rPr>
        <w:t xml:space="preserve">及其 </w:t>
      </w:r>
      <w:r>
        <w:rPr>
          <w:rFonts w:ascii="Times New Roman" w:hAnsi="Times New Roman" w:eastAsia="Times New Roman"/>
        </w:rPr>
        <w:t xml:space="preserve">2024 </w:t>
      </w:r>
      <w:r>
        <w:rPr>
          <w:spacing w:val="-8"/>
        </w:rPr>
        <w:t xml:space="preserve">年修改单表 </w:t>
      </w:r>
      <w:r>
        <w:rPr>
          <w:rFonts w:ascii="Times New Roman" w:hAnsi="Times New Roman" w:eastAsia="Times New Roman"/>
        </w:rPr>
        <w:t xml:space="preserve">9 </w:t>
      </w:r>
      <w:r>
        <w:t>浓度限值要求。臭气浓度执行《恶臭污染</w:t>
      </w:r>
    </w:p>
    <w:p w14:paraId="7616D4F9">
      <w:pPr>
        <w:spacing w:before="4" w:line="364" w:lineRule="auto"/>
        <w:ind w:left="539" w:right="679" w:hanging="320"/>
        <w:jc w:val="left"/>
        <w:rPr>
          <w:b/>
          <w:sz w:val="24"/>
        </w:rPr>
      </w:pPr>
      <w:r>
        <w:pict>
          <v:shape id="_x0000_s1220" o:spid="_x0000_s1220" o:spt="202" type="#_x0000_t202" style="position:absolute;left:0pt;margin-left:84.4pt;margin-top:42.9pt;height:67.4pt;width:426.7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3"/>
                    <w:gridCol w:w="2978"/>
                    <w:gridCol w:w="2978"/>
                  </w:tblGrid>
                  <w:tr w14:paraId="26FA3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2563" w:type="dxa"/>
                        <w:tcBorders>
                          <w:left w:val="nil"/>
                        </w:tcBorders>
                      </w:tcPr>
                      <w:p w14:paraId="3AC2107A">
                        <w:pPr>
                          <w:pStyle w:val="17"/>
                          <w:spacing w:before="178"/>
                          <w:ind w:left="249" w:right="237"/>
                          <w:rPr>
                            <w:sz w:val="21"/>
                          </w:rPr>
                        </w:pPr>
                        <w:r>
                          <w:rPr>
                            <w:sz w:val="21"/>
                          </w:rPr>
                          <w:t>污染物</w:t>
                        </w:r>
                      </w:p>
                    </w:tc>
                    <w:tc>
                      <w:tcPr>
                        <w:tcW w:w="2978" w:type="dxa"/>
                      </w:tcPr>
                      <w:p w14:paraId="194FC3B4">
                        <w:pPr>
                          <w:pStyle w:val="17"/>
                          <w:spacing w:before="178"/>
                          <w:ind w:left="236" w:right="231"/>
                          <w:rPr>
                            <w:rFonts w:ascii="Times New Roman" w:eastAsia="Times New Roman"/>
                            <w:sz w:val="21"/>
                          </w:rPr>
                        </w:pPr>
                        <w:r>
                          <w:rPr>
                            <w:sz w:val="21"/>
                          </w:rPr>
                          <w:t>最高允许排放浓度</w:t>
                        </w:r>
                        <w:r>
                          <w:rPr>
                            <w:rFonts w:ascii="Times New Roman" w:eastAsia="Times New Roman"/>
                            <w:sz w:val="21"/>
                          </w:rPr>
                          <w:t xml:space="preserve">(mg/m </w:t>
                        </w:r>
                        <w:r>
                          <w:rPr>
                            <w:rFonts w:ascii="Times New Roman" w:eastAsia="Times New Roman"/>
                            <w:position w:val="7"/>
                            <w:sz w:val="13"/>
                          </w:rPr>
                          <w:t xml:space="preserve">3 </w:t>
                        </w:r>
                        <w:r>
                          <w:rPr>
                            <w:rFonts w:ascii="Times New Roman" w:eastAsia="Times New Roman"/>
                            <w:sz w:val="21"/>
                          </w:rPr>
                          <w:t>)</w:t>
                        </w:r>
                      </w:p>
                    </w:tc>
                    <w:tc>
                      <w:tcPr>
                        <w:tcW w:w="2978" w:type="dxa"/>
                        <w:tcBorders>
                          <w:right w:val="nil"/>
                        </w:tcBorders>
                      </w:tcPr>
                      <w:p w14:paraId="02BAC9BD">
                        <w:pPr>
                          <w:pStyle w:val="17"/>
                          <w:spacing w:before="22"/>
                          <w:ind w:left="103" w:right="99"/>
                          <w:rPr>
                            <w:sz w:val="21"/>
                          </w:rPr>
                        </w:pPr>
                        <w:r>
                          <w:rPr>
                            <w:sz w:val="21"/>
                          </w:rPr>
                          <w:t>企业边界大气污染物浓度限值</w:t>
                        </w:r>
                      </w:p>
                      <w:p w14:paraId="1F1DB3E1">
                        <w:pPr>
                          <w:pStyle w:val="17"/>
                          <w:spacing w:before="57"/>
                          <w:ind w:left="100" w:right="99"/>
                          <w:rPr>
                            <w:rFonts w:ascii="Times New Roman"/>
                            <w:sz w:val="21"/>
                          </w:rPr>
                        </w:pPr>
                        <w:r>
                          <w:rPr>
                            <w:rFonts w:ascii="Times New Roman"/>
                            <w:sz w:val="21"/>
                          </w:rPr>
                          <w:t xml:space="preserve">(mg/m </w:t>
                        </w:r>
                        <w:r>
                          <w:rPr>
                            <w:rFonts w:ascii="Times New Roman"/>
                            <w:position w:val="7"/>
                            <w:sz w:val="13"/>
                          </w:rPr>
                          <w:t xml:space="preserve">3 </w:t>
                        </w:r>
                        <w:r>
                          <w:rPr>
                            <w:rFonts w:ascii="Times New Roman"/>
                            <w:sz w:val="21"/>
                          </w:rPr>
                          <w:t>)</w:t>
                        </w:r>
                      </w:p>
                    </w:tc>
                  </w:tr>
                  <w:tr w14:paraId="3A308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63" w:type="dxa"/>
                        <w:tcBorders>
                          <w:left w:val="nil"/>
                        </w:tcBorders>
                      </w:tcPr>
                      <w:p w14:paraId="04E30A18">
                        <w:pPr>
                          <w:pStyle w:val="17"/>
                          <w:spacing w:before="34"/>
                          <w:ind w:left="249" w:right="237"/>
                          <w:rPr>
                            <w:sz w:val="21"/>
                          </w:rPr>
                        </w:pPr>
                        <w:r>
                          <w:rPr>
                            <w:sz w:val="21"/>
                          </w:rPr>
                          <w:t>颗粒物</w:t>
                        </w:r>
                      </w:p>
                    </w:tc>
                    <w:tc>
                      <w:tcPr>
                        <w:tcW w:w="2978" w:type="dxa"/>
                      </w:tcPr>
                      <w:p w14:paraId="4BFCFE96">
                        <w:pPr>
                          <w:pStyle w:val="17"/>
                          <w:spacing w:before="48"/>
                          <w:ind w:left="236" w:right="227"/>
                          <w:rPr>
                            <w:rFonts w:ascii="Times New Roman"/>
                            <w:sz w:val="21"/>
                          </w:rPr>
                        </w:pPr>
                        <w:r>
                          <w:rPr>
                            <w:rFonts w:ascii="Times New Roman"/>
                            <w:sz w:val="21"/>
                          </w:rPr>
                          <w:t>30</w:t>
                        </w:r>
                      </w:p>
                    </w:tc>
                    <w:tc>
                      <w:tcPr>
                        <w:tcW w:w="2978" w:type="dxa"/>
                        <w:tcBorders>
                          <w:right w:val="nil"/>
                        </w:tcBorders>
                      </w:tcPr>
                      <w:p w14:paraId="3995A1CA">
                        <w:pPr>
                          <w:pStyle w:val="17"/>
                          <w:spacing w:before="48"/>
                          <w:ind w:left="103" w:right="98"/>
                          <w:rPr>
                            <w:rFonts w:ascii="Times New Roman"/>
                            <w:sz w:val="21"/>
                          </w:rPr>
                        </w:pPr>
                        <w:r>
                          <w:rPr>
                            <w:rFonts w:ascii="Times New Roman"/>
                            <w:sz w:val="21"/>
                          </w:rPr>
                          <w:t>1.0</w:t>
                        </w:r>
                      </w:p>
                    </w:tc>
                  </w:tr>
                  <w:tr w14:paraId="685F4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63" w:type="dxa"/>
                        <w:tcBorders>
                          <w:left w:val="nil"/>
                        </w:tcBorders>
                      </w:tcPr>
                      <w:p w14:paraId="074213AD">
                        <w:pPr>
                          <w:pStyle w:val="17"/>
                          <w:spacing w:before="34"/>
                          <w:ind w:left="247" w:right="237"/>
                          <w:rPr>
                            <w:sz w:val="21"/>
                          </w:rPr>
                        </w:pPr>
                        <w:r>
                          <w:rPr>
                            <w:sz w:val="21"/>
                          </w:rPr>
                          <w:t>非甲烷总烃</w:t>
                        </w:r>
                      </w:p>
                    </w:tc>
                    <w:tc>
                      <w:tcPr>
                        <w:tcW w:w="2978" w:type="dxa"/>
                      </w:tcPr>
                      <w:p w14:paraId="1C25AE28">
                        <w:pPr>
                          <w:pStyle w:val="17"/>
                          <w:spacing w:before="48"/>
                          <w:ind w:left="236" w:right="229"/>
                          <w:rPr>
                            <w:rFonts w:ascii="Times New Roman"/>
                            <w:sz w:val="21"/>
                          </w:rPr>
                        </w:pPr>
                        <w:r>
                          <w:rPr>
                            <w:rFonts w:ascii="Times New Roman"/>
                            <w:sz w:val="21"/>
                          </w:rPr>
                          <w:t>100</w:t>
                        </w:r>
                      </w:p>
                    </w:tc>
                    <w:tc>
                      <w:tcPr>
                        <w:tcW w:w="2978" w:type="dxa"/>
                        <w:tcBorders>
                          <w:right w:val="nil"/>
                        </w:tcBorders>
                      </w:tcPr>
                      <w:p w14:paraId="33DE536C">
                        <w:pPr>
                          <w:pStyle w:val="17"/>
                          <w:spacing w:before="48"/>
                          <w:ind w:left="2"/>
                          <w:rPr>
                            <w:rFonts w:ascii="Times New Roman"/>
                            <w:sz w:val="21"/>
                          </w:rPr>
                        </w:pPr>
                        <w:r>
                          <w:rPr>
                            <w:rFonts w:ascii="Times New Roman"/>
                            <w:w w:val="99"/>
                            <w:sz w:val="21"/>
                          </w:rPr>
                          <w:t>/</w:t>
                        </w:r>
                      </w:p>
                    </w:tc>
                  </w:tr>
                </w:tbl>
                <w:p w14:paraId="47A2D2C7">
                  <w:pPr>
                    <w:pStyle w:val="10"/>
                  </w:pPr>
                </w:p>
              </w:txbxContent>
            </v:textbox>
          </v:shape>
        </w:pict>
      </w:r>
      <w:r>
        <w:rPr>
          <w:sz w:val="24"/>
        </w:rPr>
        <w:t>物排放标准》（</w:t>
      </w:r>
      <w:r>
        <w:rPr>
          <w:rFonts w:ascii="Times New Roman" w:eastAsia="Times New Roman"/>
          <w:sz w:val="24"/>
        </w:rPr>
        <w:t>GB14554-93</w:t>
      </w:r>
      <w:r>
        <w:rPr>
          <w:sz w:val="24"/>
        </w:rPr>
        <w:t>）</w:t>
      </w:r>
      <w:r>
        <w:rPr>
          <w:spacing w:val="-19"/>
          <w:sz w:val="24"/>
        </w:rPr>
        <w:t xml:space="preserve">中表 </w:t>
      </w:r>
      <w:r>
        <w:rPr>
          <w:rFonts w:ascii="Times New Roman" w:eastAsia="Times New Roman"/>
          <w:sz w:val="24"/>
        </w:rPr>
        <w:t xml:space="preserve">1 </w:t>
      </w:r>
      <w:r>
        <w:rPr>
          <w:spacing w:val="-7"/>
          <w:sz w:val="24"/>
        </w:rPr>
        <w:t xml:space="preserve">二级新扩改建和表 </w:t>
      </w:r>
      <w:r>
        <w:rPr>
          <w:rFonts w:ascii="Times New Roman" w:eastAsia="Times New Roman"/>
          <w:sz w:val="24"/>
        </w:rPr>
        <w:t xml:space="preserve">2 </w:t>
      </w:r>
      <w:r>
        <w:rPr>
          <w:sz w:val="24"/>
        </w:rPr>
        <w:t>排放标准要求。</w:t>
      </w:r>
      <w:r>
        <w:rPr>
          <w:b/>
          <w:sz w:val="24"/>
        </w:rPr>
        <w:t>表</w:t>
      </w:r>
      <w:r>
        <w:rPr>
          <w:b/>
          <w:spacing w:val="-66"/>
          <w:sz w:val="24"/>
        </w:rPr>
        <w:t xml:space="preserve"> </w:t>
      </w:r>
      <w:r>
        <w:rPr>
          <w:rFonts w:ascii="Times New Roman" w:eastAsia="Times New Roman"/>
          <w:b/>
          <w:sz w:val="24"/>
        </w:rPr>
        <w:t>1.4-5</w:t>
      </w:r>
      <w:r>
        <w:rPr>
          <w:b/>
          <w:sz w:val="24"/>
        </w:rPr>
        <w:t>《</w:t>
      </w:r>
      <w:r>
        <w:fldChar w:fldCharType="begin"/>
      </w:r>
      <w:r>
        <w:instrText xml:space="preserve"> HYPERLINK "https://www.mee.gov.cn/ywgz/fgbz/bz/bzwb/dqhjbh/dqgdwrywrwpfbz/201505/W020150506393371746579.pdf" \h </w:instrText>
      </w:r>
      <w:r>
        <w:fldChar w:fldCharType="separate"/>
      </w:r>
      <w:r>
        <w:rPr>
          <w:b/>
          <w:sz w:val="24"/>
        </w:rPr>
        <w:t>合成树脂工业污染物排放标准</w:t>
      </w:r>
      <w:r>
        <w:rPr>
          <w:b/>
          <w:sz w:val="24"/>
        </w:rPr>
        <w:fldChar w:fldCharType="end"/>
      </w:r>
      <w:r>
        <w:rPr>
          <w:b/>
          <w:sz w:val="24"/>
        </w:rPr>
        <w:t>》（</w:t>
      </w:r>
      <w:r>
        <w:rPr>
          <w:rFonts w:ascii="Times New Roman" w:eastAsia="Times New Roman"/>
          <w:b/>
          <w:sz w:val="24"/>
        </w:rPr>
        <w:t>GB 31572-2015</w:t>
      </w:r>
      <w:r>
        <w:rPr>
          <w:b/>
          <w:sz w:val="24"/>
        </w:rPr>
        <w:t>）及其修改单</w:t>
      </w:r>
    </w:p>
    <w:p w14:paraId="7F61A1C5">
      <w:pPr>
        <w:pStyle w:val="10"/>
        <w:rPr>
          <w:b/>
          <w:sz w:val="26"/>
        </w:rPr>
      </w:pPr>
    </w:p>
    <w:p w14:paraId="0EAFB7EB">
      <w:pPr>
        <w:pStyle w:val="10"/>
        <w:rPr>
          <w:b/>
          <w:sz w:val="26"/>
        </w:rPr>
      </w:pPr>
    </w:p>
    <w:p w14:paraId="48A47E3E">
      <w:pPr>
        <w:pStyle w:val="10"/>
        <w:rPr>
          <w:b/>
          <w:sz w:val="26"/>
        </w:rPr>
      </w:pPr>
    </w:p>
    <w:p w14:paraId="467FB06E">
      <w:pPr>
        <w:pStyle w:val="10"/>
        <w:spacing w:before="5"/>
        <w:rPr>
          <w:b/>
          <w:sz w:val="27"/>
        </w:rPr>
      </w:pPr>
    </w:p>
    <w:p w14:paraId="03D0082E">
      <w:pPr>
        <w:pStyle w:val="9"/>
        <w:spacing w:before="0"/>
        <w:ind w:left="0" w:right="141"/>
        <w:jc w:val="center"/>
      </w:pPr>
      <w:r>
        <w:t xml:space="preserve">表 </w:t>
      </w:r>
      <w:r>
        <w:rPr>
          <w:rFonts w:ascii="Times New Roman" w:eastAsia="Times New Roman"/>
        </w:rPr>
        <w:t>1.4-6</w:t>
      </w:r>
      <w:r>
        <w:t>《挥发性有机物无组织排放控制标准》（</w:t>
      </w:r>
      <w:r>
        <w:rPr>
          <w:rFonts w:ascii="Times New Roman" w:eastAsia="Times New Roman"/>
        </w:rPr>
        <w:t>GB37822-2019</w:t>
      </w:r>
      <w:r>
        <w:t>）</w:t>
      </w:r>
    </w:p>
    <w:p w14:paraId="0A0D9D1C">
      <w:pPr>
        <w:pStyle w:val="10"/>
        <w:spacing w:before="2"/>
        <w:rPr>
          <w:b/>
          <w:sz w:val="6"/>
        </w:rPr>
      </w:pPr>
    </w:p>
    <w:tbl>
      <w:tblPr>
        <w:tblStyle w:val="13"/>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1261"/>
        <w:gridCol w:w="3149"/>
        <w:gridCol w:w="2787"/>
      </w:tblGrid>
      <w:tr w14:paraId="5C38D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305" w:type="dxa"/>
            <w:tcBorders>
              <w:left w:val="nil"/>
            </w:tcBorders>
          </w:tcPr>
          <w:p w14:paraId="2562309D">
            <w:pPr>
              <w:pStyle w:val="17"/>
              <w:spacing w:before="35"/>
              <w:ind w:left="342"/>
              <w:jc w:val="left"/>
              <w:rPr>
                <w:sz w:val="21"/>
              </w:rPr>
            </w:pPr>
            <w:r>
              <w:rPr>
                <w:sz w:val="21"/>
              </w:rPr>
              <w:t>污染物</w:t>
            </w:r>
          </w:p>
        </w:tc>
        <w:tc>
          <w:tcPr>
            <w:tcW w:w="1261" w:type="dxa"/>
          </w:tcPr>
          <w:p w14:paraId="7D01AE0F">
            <w:pPr>
              <w:pStyle w:val="17"/>
              <w:spacing w:before="35"/>
              <w:ind w:left="187" w:right="183"/>
              <w:rPr>
                <w:sz w:val="21"/>
              </w:rPr>
            </w:pPr>
            <w:r>
              <w:rPr>
                <w:sz w:val="21"/>
              </w:rPr>
              <w:t>排放限值</w:t>
            </w:r>
          </w:p>
        </w:tc>
        <w:tc>
          <w:tcPr>
            <w:tcW w:w="3149" w:type="dxa"/>
          </w:tcPr>
          <w:p w14:paraId="3CE7DD89">
            <w:pPr>
              <w:pStyle w:val="17"/>
              <w:spacing w:before="35"/>
              <w:ind w:left="396" w:right="391"/>
              <w:rPr>
                <w:sz w:val="21"/>
              </w:rPr>
            </w:pPr>
            <w:r>
              <w:rPr>
                <w:sz w:val="21"/>
              </w:rPr>
              <w:t>限值含义</w:t>
            </w:r>
          </w:p>
        </w:tc>
        <w:tc>
          <w:tcPr>
            <w:tcW w:w="2787" w:type="dxa"/>
            <w:tcBorders>
              <w:right w:val="nil"/>
            </w:tcBorders>
          </w:tcPr>
          <w:p w14:paraId="13E1F575">
            <w:pPr>
              <w:pStyle w:val="17"/>
              <w:spacing w:before="35"/>
              <w:ind w:left="1058" w:right="1054"/>
              <w:rPr>
                <w:sz w:val="21"/>
              </w:rPr>
            </w:pPr>
            <w:r>
              <w:rPr>
                <w:sz w:val="21"/>
              </w:rPr>
              <w:t>监控点</w:t>
            </w:r>
          </w:p>
        </w:tc>
      </w:tr>
      <w:tr w14:paraId="1DA5D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restart"/>
            <w:tcBorders>
              <w:left w:val="nil"/>
            </w:tcBorders>
          </w:tcPr>
          <w:p w14:paraId="4DF6E8E3">
            <w:pPr>
              <w:pStyle w:val="17"/>
              <w:spacing w:before="6"/>
              <w:jc w:val="left"/>
              <w:rPr>
                <w:b/>
                <w:sz w:val="17"/>
              </w:rPr>
            </w:pPr>
          </w:p>
          <w:p w14:paraId="3012F7E0">
            <w:pPr>
              <w:pStyle w:val="17"/>
              <w:ind w:left="342"/>
              <w:jc w:val="left"/>
              <w:rPr>
                <w:rFonts w:ascii="Times New Roman"/>
                <w:sz w:val="21"/>
              </w:rPr>
            </w:pPr>
            <w:r>
              <w:rPr>
                <w:rFonts w:ascii="Times New Roman"/>
                <w:sz w:val="21"/>
              </w:rPr>
              <w:t>NMHC</w:t>
            </w:r>
          </w:p>
        </w:tc>
        <w:tc>
          <w:tcPr>
            <w:tcW w:w="1261" w:type="dxa"/>
          </w:tcPr>
          <w:p w14:paraId="213E0640">
            <w:pPr>
              <w:pStyle w:val="17"/>
              <w:spacing w:before="49"/>
              <w:ind w:left="187" w:right="177"/>
              <w:rPr>
                <w:rFonts w:ascii="Times New Roman"/>
                <w:sz w:val="21"/>
              </w:rPr>
            </w:pPr>
            <w:r>
              <w:rPr>
                <w:rFonts w:ascii="Times New Roman"/>
                <w:sz w:val="21"/>
              </w:rPr>
              <w:t>10</w:t>
            </w:r>
          </w:p>
        </w:tc>
        <w:tc>
          <w:tcPr>
            <w:tcW w:w="3149" w:type="dxa"/>
          </w:tcPr>
          <w:p w14:paraId="4EA388E6">
            <w:pPr>
              <w:pStyle w:val="17"/>
              <w:spacing w:before="35"/>
              <w:ind w:left="398" w:right="391"/>
              <w:rPr>
                <w:sz w:val="21"/>
              </w:rPr>
            </w:pPr>
            <w:r>
              <w:rPr>
                <w:sz w:val="21"/>
              </w:rPr>
              <w:t xml:space="preserve">监控点处 </w:t>
            </w:r>
            <w:r>
              <w:rPr>
                <w:rFonts w:ascii="Times New Roman" w:eastAsia="Times New Roman"/>
                <w:sz w:val="21"/>
              </w:rPr>
              <w:t xml:space="preserve">1h </w:t>
            </w:r>
            <w:r>
              <w:rPr>
                <w:sz w:val="21"/>
              </w:rPr>
              <w:t>平均浓度值</w:t>
            </w:r>
          </w:p>
        </w:tc>
        <w:tc>
          <w:tcPr>
            <w:tcW w:w="2787" w:type="dxa"/>
            <w:vMerge w:val="restart"/>
            <w:tcBorders>
              <w:right w:val="nil"/>
            </w:tcBorders>
          </w:tcPr>
          <w:p w14:paraId="6DDC7ACB">
            <w:pPr>
              <w:pStyle w:val="17"/>
              <w:spacing w:before="13" w:line="310" w:lineRule="atLeast"/>
              <w:ind w:left="973" w:right="129" w:hanging="840"/>
              <w:jc w:val="left"/>
              <w:rPr>
                <w:sz w:val="21"/>
              </w:rPr>
            </w:pPr>
            <w:r>
              <w:rPr>
                <w:w w:val="95"/>
                <w:sz w:val="21"/>
              </w:rPr>
              <w:t>在厂房外设置监控点（厂房</w:t>
            </w:r>
            <w:r>
              <w:rPr>
                <w:sz w:val="21"/>
              </w:rPr>
              <w:t>门窗处）</w:t>
            </w:r>
          </w:p>
        </w:tc>
      </w:tr>
      <w:tr w14:paraId="17088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op w:val="nil"/>
              <w:left w:val="nil"/>
            </w:tcBorders>
          </w:tcPr>
          <w:p w14:paraId="2686A897">
            <w:pPr>
              <w:rPr>
                <w:sz w:val="2"/>
                <w:szCs w:val="2"/>
              </w:rPr>
            </w:pPr>
          </w:p>
        </w:tc>
        <w:tc>
          <w:tcPr>
            <w:tcW w:w="1261" w:type="dxa"/>
          </w:tcPr>
          <w:p w14:paraId="12BF4E6A">
            <w:pPr>
              <w:pStyle w:val="17"/>
              <w:spacing w:before="49"/>
              <w:ind w:left="187" w:right="177"/>
              <w:rPr>
                <w:rFonts w:ascii="Times New Roman"/>
                <w:sz w:val="21"/>
              </w:rPr>
            </w:pPr>
            <w:r>
              <w:rPr>
                <w:rFonts w:ascii="Times New Roman"/>
                <w:sz w:val="21"/>
              </w:rPr>
              <w:t>30</w:t>
            </w:r>
          </w:p>
        </w:tc>
        <w:tc>
          <w:tcPr>
            <w:tcW w:w="3149" w:type="dxa"/>
          </w:tcPr>
          <w:p w14:paraId="2E728F26">
            <w:pPr>
              <w:pStyle w:val="17"/>
              <w:spacing w:before="35"/>
              <w:ind w:left="398" w:right="391"/>
              <w:rPr>
                <w:sz w:val="21"/>
              </w:rPr>
            </w:pPr>
            <w:r>
              <w:rPr>
                <w:sz w:val="21"/>
              </w:rPr>
              <w:t>监控点处任意一次浓度值</w:t>
            </w:r>
          </w:p>
        </w:tc>
        <w:tc>
          <w:tcPr>
            <w:tcW w:w="2787" w:type="dxa"/>
            <w:vMerge w:val="continue"/>
            <w:tcBorders>
              <w:top w:val="nil"/>
              <w:right w:val="nil"/>
            </w:tcBorders>
          </w:tcPr>
          <w:p w14:paraId="43EEBCAA">
            <w:pPr>
              <w:rPr>
                <w:sz w:val="2"/>
                <w:szCs w:val="2"/>
              </w:rPr>
            </w:pPr>
          </w:p>
        </w:tc>
      </w:tr>
    </w:tbl>
    <w:p w14:paraId="0E7CD6F0">
      <w:pPr>
        <w:pStyle w:val="9"/>
        <w:spacing w:before="80"/>
        <w:ind w:left="0" w:right="140"/>
        <w:jc w:val="center"/>
      </w:pPr>
      <w:r>
        <w:rPr>
          <w:spacing w:val="-31"/>
        </w:rPr>
        <w:t xml:space="preserve">表 </w:t>
      </w:r>
      <w:r>
        <w:rPr>
          <w:rFonts w:ascii="Times New Roman" w:eastAsia="Times New Roman"/>
        </w:rPr>
        <w:t>1.4-7</w:t>
      </w:r>
      <w:r>
        <w:rPr>
          <w:rFonts w:ascii="Times New Roman" w:eastAsia="Times New Roman"/>
          <w:spacing w:val="58"/>
        </w:rPr>
        <w:t xml:space="preserve"> </w:t>
      </w:r>
      <w:r>
        <w:t>《恶臭污染物排放标准》（</w:t>
      </w:r>
      <w:r>
        <w:rPr>
          <w:rFonts w:ascii="Times New Roman" w:eastAsia="Times New Roman"/>
        </w:rPr>
        <w:t>GB14554-93</w:t>
      </w:r>
      <w:r>
        <w:t>）</w:t>
      </w:r>
    </w:p>
    <w:p w14:paraId="16039294">
      <w:pPr>
        <w:pStyle w:val="10"/>
        <w:spacing w:before="4"/>
        <w:rPr>
          <w:b/>
          <w:sz w:val="6"/>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828"/>
        <w:gridCol w:w="1925"/>
        <w:gridCol w:w="2087"/>
        <w:gridCol w:w="1468"/>
      </w:tblGrid>
      <w:tr w14:paraId="53216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214" w:type="dxa"/>
            <w:vMerge w:val="restart"/>
            <w:tcBorders>
              <w:left w:val="nil"/>
            </w:tcBorders>
          </w:tcPr>
          <w:p w14:paraId="6A3F17D6">
            <w:pPr>
              <w:pStyle w:val="17"/>
              <w:jc w:val="left"/>
              <w:rPr>
                <w:b/>
                <w:sz w:val="28"/>
              </w:rPr>
            </w:pPr>
          </w:p>
          <w:p w14:paraId="71CF4869">
            <w:pPr>
              <w:pStyle w:val="17"/>
              <w:spacing w:before="1"/>
              <w:ind w:left="297"/>
              <w:jc w:val="left"/>
              <w:rPr>
                <w:sz w:val="21"/>
              </w:rPr>
            </w:pPr>
            <w:r>
              <w:rPr>
                <w:sz w:val="21"/>
              </w:rPr>
              <w:t>污染物</w:t>
            </w:r>
          </w:p>
        </w:tc>
        <w:tc>
          <w:tcPr>
            <w:tcW w:w="1828" w:type="dxa"/>
            <w:vMerge w:val="restart"/>
          </w:tcPr>
          <w:p w14:paraId="0DE8131F">
            <w:pPr>
              <w:pStyle w:val="17"/>
              <w:jc w:val="left"/>
              <w:rPr>
                <w:b/>
                <w:sz w:val="28"/>
              </w:rPr>
            </w:pPr>
          </w:p>
          <w:p w14:paraId="62E732B5">
            <w:pPr>
              <w:pStyle w:val="17"/>
              <w:spacing w:before="1"/>
              <w:ind w:left="108"/>
              <w:jc w:val="left"/>
              <w:rPr>
                <w:sz w:val="21"/>
              </w:rPr>
            </w:pPr>
            <w:r>
              <w:rPr>
                <w:sz w:val="21"/>
              </w:rPr>
              <w:t>排气筒高度（</w:t>
            </w:r>
            <w:r>
              <w:rPr>
                <w:rFonts w:ascii="Times New Roman" w:eastAsia="Times New Roman"/>
                <w:sz w:val="21"/>
              </w:rPr>
              <w:t>m</w:t>
            </w:r>
            <w:r>
              <w:rPr>
                <w:sz w:val="21"/>
              </w:rPr>
              <w:t>）</w:t>
            </w:r>
          </w:p>
        </w:tc>
        <w:tc>
          <w:tcPr>
            <w:tcW w:w="1925" w:type="dxa"/>
            <w:vMerge w:val="restart"/>
          </w:tcPr>
          <w:p w14:paraId="79F3DD7C">
            <w:pPr>
              <w:pStyle w:val="17"/>
              <w:jc w:val="left"/>
              <w:rPr>
                <w:b/>
                <w:sz w:val="28"/>
              </w:rPr>
            </w:pPr>
          </w:p>
          <w:p w14:paraId="16390C99">
            <w:pPr>
              <w:pStyle w:val="17"/>
              <w:spacing w:before="1"/>
              <w:ind w:left="120"/>
              <w:jc w:val="left"/>
              <w:rPr>
                <w:sz w:val="21"/>
              </w:rPr>
            </w:pPr>
            <w:r>
              <w:rPr>
                <w:sz w:val="21"/>
              </w:rPr>
              <w:t>标准值（无量纲）</w:t>
            </w:r>
          </w:p>
        </w:tc>
        <w:tc>
          <w:tcPr>
            <w:tcW w:w="3555" w:type="dxa"/>
            <w:gridSpan w:val="2"/>
            <w:tcBorders>
              <w:right w:val="nil"/>
            </w:tcBorders>
          </w:tcPr>
          <w:p w14:paraId="4D48D36D">
            <w:pPr>
              <w:pStyle w:val="17"/>
              <w:spacing w:before="110"/>
              <w:ind w:left="867"/>
              <w:jc w:val="left"/>
              <w:rPr>
                <w:rFonts w:ascii="Times New Roman" w:eastAsia="Times New Roman"/>
                <w:sz w:val="21"/>
              </w:rPr>
            </w:pPr>
            <w:r>
              <w:rPr>
                <w:sz w:val="21"/>
              </w:rPr>
              <w:t>厂界标准值</w:t>
            </w:r>
            <w:r>
              <w:rPr>
                <w:rFonts w:ascii="Times New Roman" w:eastAsia="Times New Roman"/>
                <w:sz w:val="21"/>
              </w:rPr>
              <w:t>(</w:t>
            </w:r>
            <w:r>
              <w:rPr>
                <w:sz w:val="21"/>
              </w:rPr>
              <w:t>无量纲</w:t>
            </w:r>
            <w:r>
              <w:rPr>
                <w:rFonts w:ascii="Times New Roman" w:eastAsia="Times New Roman"/>
                <w:sz w:val="21"/>
              </w:rPr>
              <w:t>)</w:t>
            </w:r>
          </w:p>
        </w:tc>
      </w:tr>
      <w:tr w14:paraId="112A8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214" w:type="dxa"/>
            <w:vMerge w:val="continue"/>
            <w:tcBorders>
              <w:top w:val="nil"/>
              <w:left w:val="nil"/>
            </w:tcBorders>
          </w:tcPr>
          <w:p w14:paraId="09BDBC38">
            <w:pPr>
              <w:rPr>
                <w:sz w:val="2"/>
                <w:szCs w:val="2"/>
              </w:rPr>
            </w:pPr>
          </w:p>
        </w:tc>
        <w:tc>
          <w:tcPr>
            <w:tcW w:w="1828" w:type="dxa"/>
            <w:vMerge w:val="continue"/>
            <w:tcBorders>
              <w:top w:val="nil"/>
            </w:tcBorders>
          </w:tcPr>
          <w:p w14:paraId="0351D433">
            <w:pPr>
              <w:rPr>
                <w:sz w:val="2"/>
                <w:szCs w:val="2"/>
              </w:rPr>
            </w:pPr>
          </w:p>
        </w:tc>
        <w:tc>
          <w:tcPr>
            <w:tcW w:w="1925" w:type="dxa"/>
            <w:vMerge w:val="continue"/>
            <w:tcBorders>
              <w:top w:val="nil"/>
            </w:tcBorders>
          </w:tcPr>
          <w:p w14:paraId="6FA8E906">
            <w:pPr>
              <w:rPr>
                <w:sz w:val="2"/>
                <w:szCs w:val="2"/>
              </w:rPr>
            </w:pPr>
          </w:p>
        </w:tc>
        <w:tc>
          <w:tcPr>
            <w:tcW w:w="2087" w:type="dxa"/>
          </w:tcPr>
          <w:p w14:paraId="065B2683">
            <w:pPr>
              <w:pStyle w:val="17"/>
              <w:spacing w:before="109"/>
              <w:ind w:left="707" w:right="700"/>
              <w:rPr>
                <w:sz w:val="21"/>
              </w:rPr>
            </w:pPr>
            <w:r>
              <w:rPr>
                <w:sz w:val="21"/>
              </w:rPr>
              <w:t>监控点</w:t>
            </w:r>
          </w:p>
        </w:tc>
        <w:tc>
          <w:tcPr>
            <w:tcW w:w="1468" w:type="dxa"/>
            <w:tcBorders>
              <w:right w:val="nil"/>
            </w:tcBorders>
          </w:tcPr>
          <w:p w14:paraId="6E4BEEB8">
            <w:pPr>
              <w:pStyle w:val="17"/>
              <w:spacing w:before="109"/>
              <w:ind w:left="501" w:right="501"/>
              <w:rPr>
                <w:sz w:val="21"/>
              </w:rPr>
            </w:pPr>
            <w:r>
              <w:rPr>
                <w:sz w:val="21"/>
              </w:rPr>
              <w:t>限值</w:t>
            </w:r>
          </w:p>
        </w:tc>
      </w:tr>
    </w:tbl>
    <w:p w14:paraId="5BC59DE7">
      <w:pPr>
        <w:spacing w:after="0"/>
        <w:rPr>
          <w:sz w:val="21"/>
        </w:rPr>
        <w:sectPr>
          <w:pgSz w:w="11910" w:h="16840"/>
          <w:pgMar w:top="1420" w:right="1440" w:bottom="1220" w:left="1580" w:header="0" w:footer="1024" w:gutter="0"/>
          <w:cols w:space="720" w:num="1"/>
        </w:sect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828"/>
        <w:gridCol w:w="1925"/>
        <w:gridCol w:w="2087"/>
        <w:gridCol w:w="1468"/>
      </w:tblGrid>
      <w:tr w14:paraId="4ABEC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14" w:type="dxa"/>
            <w:tcBorders>
              <w:left w:val="nil"/>
            </w:tcBorders>
          </w:tcPr>
          <w:p w14:paraId="642D3AE7">
            <w:pPr>
              <w:pStyle w:val="17"/>
              <w:spacing w:before="35"/>
              <w:ind w:left="191"/>
              <w:jc w:val="left"/>
              <w:rPr>
                <w:sz w:val="21"/>
              </w:rPr>
            </w:pPr>
            <w:r>
              <w:rPr>
                <w:sz w:val="21"/>
              </w:rPr>
              <w:t>臭气浓度</w:t>
            </w:r>
          </w:p>
        </w:tc>
        <w:tc>
          <w:tcPr>
            <w:tcW w:w="1828" w:type="dxa"/>
          </w:tcPr>
          <w:p w14:paraId="4E220B97">
            <w:pPr>
              <w:pStyle w:val="17"/>
              <w:spacing w:before="49"/>
              <w:ind w:left="530" w:right="520"/>
              <w:rPr>
                <w:rFonts w:ascii="Times New Roman"/>
                <w:sz w:val="21"/>
              </w:rPr>
            </w:pPr>
            <w:r>
              <w:rPr>
                <w:rFonts w:ascii="Times New Roman"/>
                <w:sz w:val="21"/>
              </w:rPr>
              <w:t>15</w:t>
            </w:r>
          </w:p>
        </w:tc>
        <w:tc>
          <w:tcPr>
            <w:tcW w:w="1925" w:type="dxa"/>
          </w:tcPr>
          <w:p w14:paraId="70246A83">
            <w:pPr>
              <w:pStyle w:val="17"/>
              <w:spacing w:before="49"/>
              <w:ind w:left="732" w:right="722"/>
              <w:rPr>
                <w:rFonts w:ascii="Times New Roman"/>
                <w:sz w:val="21"/>
              </w:rPr>
            </w:pPr>
            <w:r>
              <w:rPr>
                <w:rFonts w:ascii="Times New Roman"/>
                <w:sz w:val="21"/>
              </w:rPr>
              <w:t>2000</w:t>
            </w:r>
          </w:p>
        </w:tc>
        <w:tc>
          <w:tcPr>
            <w:tcW w:w="2087" w:type="dxa"/>
          </w:tcPr>
          <w:p w14:paraId="403FAA75">
            <w:pPr>
              <w:pStyle w:val="17"/>
              <w:spacing w:before="35"/>
              <w:ind w:left="707" w:right="700"/>
              <w:rPr>
                <w:sz w:val="21"/>
              </w:rPr>
            </w:pPr>
            <w:r>
              <w:rPr>
                <w:sz w:val="21"/>
              </w:rPr>
              <w:t>厂界</w:t>
            </w:r>
          </w:p>
        </w:tc>
        <w:tc>
          <w:tcPr>
            <w:tcW w:w="1468" w:type="dxa"/>
            <w:tcBorders>
              <w:right w:val="nil"/>
            </w:tcBorders>
          </w:tcPr>
          <w:p w14:paraId="09005826">
            <w:pPr>
              <w:pStyle w:val="17"/>
              <w:spacing w:before="49"/>
              <w:ind w:left="501" w:right="498"/>
              <w:rPr>
                <w:rFonts w:ascii="Times New Roman"/>
                <w:sz w:val="21"/>
              </w:rPr>
            </w:pPr>
            <w:r>
              <w:rPr>
                <w:rFonts w:ascii="Times New Roman"/>
                <w:sz w:val="21"/>
              </w:rPr>
              <w:t>20</w:t>
            </w:r>
          </w:p>
        </w:tc>
      </w:tr>
    </w:tbl>
    <w:p w14:paraId="0854AB14">
      <w:pPr>
        <w:pStyle w:val="10"/>
        <w:spacing w:before="80"/>
        <w:ind w:left="700"/>
      </w:pPr>
      <w:r>
        <w:rPr>
          <w:rFonts w:ascii="Times New Roman" w:eastAsia="Times New Roman"/>
        </w:rPr>
        <w:t>2</w:t>
      </w:r>
      <w:r>
        <w:t>、废水</w:t>
      </w:r>
    </w:p>
    <w:p w14:paraId="34664235">
      <w:pPr>
        <w:pStyle w:val="10"/>
        <w:spacing w:before="161" w:line="364" w:lineRule="auto"/>
        <w:ind w:left="220" w:right="357" w:firstLine="480"/>
        <w:jc w:val="both"/>
      </w:pPr>
      <w:r>
        <w:rPr>
          <w:spacing w:val="-4"/>
        </w:rPr>
        <w:t>项目生活污水经化粪池处理排入汨罗市城市污水处理厂进行处理。废水排放</w:t>
      </w:r>
      <w:r>
        <w:rPr>
          <w:spacing w:val="-5"/>
        </w:rPr>
        <w:t>执行《污水综合排放标准》</w:t>
      </w:r>
      <w:r>
        <w:t>（</w:t>
      </w:r>
      <w:r>
        <w:rPr>
          <w:rFonts w:ascii="Times New Roman" w:eastAsia="Times New Roman"/>
        </w:rPr>
        <w:t>GB8978-1996</w:t>
      </w:r>
      <w:r>
        <w:t>）三级标准与汨罗市城市污水处理厂进水水质标准较严值。</w:t>
      </w:r>
    </w:p>
    <w:p w14:paraId="7C0435C8">
      <w:pPr>
        <w:pStyle w:val="9"/>
        <w:ind w:left="0" w:right="139"/>
        <w:jc w:val="center"/>
        <w:rPr>
          <w:rFonts w:ascii="Times New Roman" w:eastAsia="Times New Roman"/>
        </w:rPr>
      </w:pPr>
      <w:r>
        <w:rPr>
          <w:spacing w:val="-31"/>
        </w:rPr>
        <w:t xml:space="preserve">表 </w:t>
      </w:r>
      <w:r>
        <w:rPr>
          <w:rFonts w:ascii="Times New Roman" w:eastAsia="Times New Roman"/>
        </w:rPr>
        <w:t>1.4-8</w:t>
      </w:r>
      <w:r>
        <w:rPr>
          <w:rFonts w:ascii="Times New Roman" w:eastAsia="Times New Roman"/>
          <w:spacing w:val="57"/>
        </w:rPr>
        <w:t xml:space="preserve"> </w:t>
      </w:r>
      <w:r>
        <w:t>污水排放标准 单位：</w:t>
      </w:r>
      <w:r>
        <w:rPr>
          <w:rFonts w:ascii="Times New Roman" w:eastAsia="Times New Roman"/>
        </w:rPr>
        <w:t xml:space="preserve">mg/L(pH </w:t>
      </w:r>
      <w:r>
        <w:t>除外</w:t>
      </w:r>
      <w:r>
        <w:rPr>
          <w:rFonts w:ascii="Times New Roman" w:eastAsia="Times New Roman"/>
        </w:rPr>
        <w:t>)</w:t>
      </w:r>
    </w:p>
    <w:p w14:paraId="219571D1">
      <w:pPr>
        <w:pStyle w:val="10"/>
        <w:spacing w:before="11"/>
        <w:rPr>
          <w:rFonts w:ascii="Times New Roman"/>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396"/>
        <w:gridCol w:w="2686"/>
        <w:gridCol w:w="1474"/>
        <w:gridCol w:w="2102"/>
      </w:tblGrid>
      <w:tr w14:paraId="6E9FB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61" w:type="dxa"/>
            <w:tcBorders>
              <w:left w:val="nil"/>
            </w:tcBorders>
          </w:tcPr>
          <w:p w14:paraId="590D4829">
            <w:pPr>
              <w:pStyle w:val="17"/>
              <w:spacing w:before="177"/>
              <w:ind w:left="203" w:right="193"/>
              <w:rPr>
                <w:sz w:val="21"/>
              </w:rPr>
            </w:pPr>
            <w:r>
              <w:rPr>
                <w:sz w:val="21"/>
              </w:rPr>
              <w:t>序号</w:t>
            </w:r>
          </w:p>
        </w:tc>
        <w:tc>
          <w:tcPr>
            <w:tcW w:w="1396" w:type="dxa"/>
          </w:tcPr>
          <w:p w14:paraId="14514D0D">
            <w:pPr>
              <w:pStyle w:val="17"/>
              <w:spacing w:before="177"/>
              <w:ind w:left="362" w:right="353"/>
              <w:rPr>
                <w:sz w:val="21"/>
              </w:rPr>
            </w:pPr>
            <w:r>
              <w:rPr>
                <w:sz w:val="21"/>
              </w:rPr>
              <w:t>污染物</w:t>
            </w:r>
          </w:p>
        </w:tc>
        <w:tc>
          <w:tcPr>
            <w:tcW w:w="2686" w:type="dxa"/>
          </w:tcPr>
          <w:p w14:paraId="2279C240">
            <w:pPr>
              <w:pStyle w:val="17"/>
              <w:spacing w:before="21"/>
              <w:ind w:left="166" w:right="159"/>
              <w:rPr>
                <w:sz w:val="21"/>
              </w:rPr>
            </w:pPr>
            <w:r>
              <w:rPr>
                <w:sz w:val="21"/>
              </w:rPr>
              <w:t>汨罗市城市污水处理厂进</w:t>
            </w:r>
          </w:p>
          <w:p w14:paraId="600C8302">
            <w:pPr>
              <w:pStyle w:val="17"/>
              <w:spacing w:before="43"/>
              <w:ind w:left="166" w:right="156"/>
              <w:rPr>
                <w:sz w:val="21"/>
              </w:rPr>
            </w:pPr>
            <w:r>
              <w:rPr>
                <w:sz w:val="21"/>
              </w:rPr>
              <w:t>水水质标准</w:t>
            </w:r>
          </w:p>
        </w:tc>
        <w:tc>
          <w:tcPr>
            <w:tcW w:w="1474" w:type="dxa"/>
          </w:tcPr>
          <w:p w14:paraId="24CEE29C">
            <w:pPr>
              <w:pStyle w:val="17"/>
              <w:spacing w:before="35"/>
              <w:ind w:left="115" w:right="107"/>
              <w:rPr>
                <w:rFonts w:ascii="Times New Roman"/>
                <w:sz w:val="21"/>
              </w:rPr>
            </w:pPr>
            <w:r>
              <w:rPr>
                <w:rFonts w:ascii="Times New Roman"/>
                <w:sz w:val="21"/>
              </w:rPr>
              <w:t>GB8978-1996</w:t>
            </w:r>
          </w:p>
          <w:p w14:paraId="67CD57A3">
            <w:pPr>
              <w:pStyle w:val="17"/>
              <w:spacing w:before="56"/>
              <w:ind w:left="113" w:right="107"/>
              <w:rPr>
                <w:sz w:val="21"/>
              </w:rPr>
            </w:pPr>
            <w:r>
              <w:rPr>
                <w:sz w:val="21"/>
              </w:rPr>
              <w:t>三级标准</w:t>
            </w:r>
          </w:p>
        </w:tc>
        <w:tc>
          <w:tcPr>
            <w:tcW w:w="2102" w:type="dxa"/>
            <w:tcBorders>
              <w:right w:val="nil"/>
            </w:tcBorders>
          </w:tcPr>
          <w:p w14:paraId="63BAFAD3">
            <w:pPr>
              <w:pStyle w:val="17"/>
              <w:spacing w:before="21"/>
              <w:ind w:left="190" w:right="186"/>
              <w:rPr>
                <w:sz w:val="21"/>
              </w:rPr>
            </w:pPr>
            <w:r>
              <w:rPr>
                <w:sz w:val="21"/>
              </w:rPr>
              <w:t>本项目废水排放标</w:t>
            </w:r>
          </w:p>
          <w:p w14:paraId="78F57482">
            <w:pPr>
              <w:pStyle w:val="17"/>
              <w:spacing w:before="43"/>
              <w:ind w:left="190" w:right="186"/>
              <w:rPr>
                <w:sz w:val="21"/>
              </w:rPr>
            </w:pPr>
            <w:r>
              <w:rPr>
                <w:sz w:val="21"/>
              </w:rPr>
              <w:t>准限值</w:t>
            </w:r>
          </w:p>
        </w:tc>
      </w:tr>
      <w:tr w14:paraId="1BC17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2CE513BD">
            <w:pPr>
              <w:pStyle w:val="17"/>
              <w:spacing w:before="49"/>
              <w:ind w:left="14"/>
              <w:rPr>
                <w:rFonts w:ascii="Times New Roman"/>
                <w:sz w:val="21"/>
              </w:rPr>
            </w:pPr>
            <w:r>
              <w:rPr>
                <w:rFonts w:ascii="Times New Roman"/>
                <w:w w:val="99"/>
                <w:sz w:val="21"/>
              </w:rPr>
              <w:t>1</w:t>
            </w:r>
          </w:p>
        </w:tc>
        <w:tc>
          <w:tcPr>
            <w:tcW w:w="1396" w:type="dxa"/>
          </w:tcPr>
          <w:p w14:paraId="34F14BB9">
            <w:pPr>
              <w:pStyle w:val="17"/>
              <w:spacing w:before="49"/>
              <w:ind w:left="359" w:right="353"/>
              <w:rPr>
                <w:rFonts w:ascii="Times New Roman"/>
                <w:sz w:val="21"/>
              </w:rPr>
            </w:pPr>
            <w:r>
              <w:rPr>
                <w:rFonts w:ascii="Times New Roman"/>
                <w:sz w:val="21"/>
              </w:rPr>
              <w:t>pH</w:t>
            </w:r>
          </w:p>
        </w:tc>
        <w:tc>
          <w:tcPr>
            <w:tcW w:w="2686" w:type="dxa"/>
          </w:tcPr>
          <w:p w14:paraId="09C15E2E">
            <w:pPr>
              <w:pStyle w:val="17"/>
              <w:spacing w:before="49"/>
              <w:ind w:left="166" w:right="158"/>
              <w:rPr>
                <w:rFonts w:ascii="Times New Roman"/>
                <w:sz w:val="21"/>
              </w:rPr>
            </w:pPr>
            <w:r>
              <w:rPr>
                <w:rFonts w:ascii="Times New Roman"/>
                <w:sz w:val="21"/>
              </w:rPr>
              <w:t>6~9</w:t>
            </w:r>
          </w:p>
        </w:tc>
        <w:tc>
          <w:tcPr>
            <w:tcW w:w="1474" w:type="dxa"/>
          </w:tcPr>
          <w:p w14:paraId="22C2E6D4">
            <w:pPr>
              <w:pStyle w:val="17"/>
              <w:spacing w:before="49"/>
              <w:ind w:left="115" w:right="105"/>
              <w:rPr>
                <w:rFonts w:ascii="Times New Roman"/>
                <w:sz w:val="21"/>
              </w:rPr>
            </w:pPr>
            <w:r>
              <w:rPr>
                <w:rFonts w:ascii="Times New Roman"/>
                <w:sz w:val="21"/>
              </w:rPr>
              <w:t>6~9</w:t>
            </w:r>
          </w:p>
        </w:tc>
        <w:tc>
          <w:tcPr>
            <w:tcW w:w="2102" w:type="dxa"/>
            <w:tcBorders>
              <w:right w:val="nil"/>
            </w:tcBorders>
          </w:tcPr>
          <w:p w14:paraId="43C7A9B0">
            <w:pPr>
              <w:pStyle w:val="17"/>
              <w:spacing w:before="49"/>
              <w:ind w:right="882"/>
              <w:jc w:val="right"/>
              <w:rPr>
                <w:rFonts w:ascii="Times New Roman"/>
                <w:sz w:val="21"/>
              </w:rPr>
            </w:pPr>
            <w:r>
              <w:rPr>
                <w:rFonts w:ascii="Times New Roman"/>
                <w:w w:val="95"/>
                <w:sz w:val="21"/>
              </w:rPr>
              <w:t>6~9</w:t>
            </w:r>
          </w:p>
        </w:tc>
      </w:tr>
      <w:tr w14:paraId="351D9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0DBA680E">
            <w:pPr>
              <w:pStyle w:val="17"/>
              <w:spacing w:before="49"/>
              <w:ind w:left="14"/>
              <w:rPr>
                <w:rFonts w:ascii="Times New Roman"/>
                <w:sz w:val="21"/>
              </w:rPr>
            </w:pPr>
            <w:r>
              <w:rPr>
                <w:rFonts w:ascii="Times New Roman"/>
                <w:w w:val="99"/>
                <w:sz w:val="21"/>
              </w:rPr>
              <w:t>2</w:t>
            </w:r>
          </w:p>
        </w:tc>
        <w:tc>
          <w:tcPr>
            <w:tcW w:w="1396" w:type="dxa"/>
          </w:tcPr>
          <w:p w14:paraId="0B0E1FE9">
            <w:pPr>
              <w:pStyle w:val="17"/>
              <w:spacing w:before="49"/>
              <w:ind w:left="357" w:right="353"/>
              <w:rPr>
                <w:rFonts w:ascii="Times New Roman"/>
                <w:sz w:val="21"/>
              </w:rPr>
            </w:pPr>
            <w:r>
              <w:rPr>
                <w:rFonts w:ascii="Times New Roman"/>
                <w:sz w:val="21"/>
              </w:rPr>
              <w:t>CODcr</w:t>
            </w:r>
          </w:p>
        </w:tc>
        <w:tc>
          <w:tcPr>
            <w:tcW w:w="2686" w:type="dxa"/>
          </w:tcPr>
          <w:p w14:paraId="5C52D4D8">
            <w:pPr>
              <w:pStyle w:val="17"/>
              <w:spacing w:before="35"/>
              <w:ind w:left="166" w:right="158"/>
              <w:rPr>
                <w:rFonts w:ascii="Times New Roman" w:hAnsi="Times New Roman"/>
                <w:sz w:val="21"/>
              </w:rPr>
            </w:pPr>
            <w:r>
              <w:rPr>
                <w:sz w:val="21"/>
              </w:rPr>
              <w:t>≤</w:t>
            </w:r>
            <w:r>
              <w:rPr>
                <w:rFonts w:ascii="Times New Roman" w:hAnsi="Times New Roman"/>
                <w:sz w:val="21"/>
              </w:rPr>
              <w:t>320</w:t>
            </w:r>
          </w:p>
        </w:tc>
        <w:tc>
          <w:tcPr>
            <w:tcW w:w="1474" w:type="dxa"/>
          </w:tcPr>
          <w:p w14:paraId="46C998FD">
            <w:pPr>
              <w:pStyle w:val="17"/>
              <w:spacing w:before="35"/>
              <w:ind w:left="115" w:right="107"/>
              <w:rPr>
                <w:rFonts w:ascii="Times New Roman" w:hAnsi="Times New Roman"/>
                <w:sz w:val="21"/>
              </w:rPr>
            </w:pPr>
            <w:r>
              <w:rPr>
                <w:sz w:val="21"/>
              </w:rPr>
              <w:t>≤</w:t>
            </w:r>
            <w:r>
              <w:rPr>
                <w:rFonts w:ascii="Times New Roman" w:hAnsi="Times New Roman"/>
                <w:sz w:val="21"/>
              </w:rPr>
              <w:t>500</w:t>
            </w:r>
          </w:p>
        </w:tc>
        <w:tc>
          <w:tcPr>
            <w:tcW w:w="2102" w:type="dxa"/>
            <w:tcBorders>
              <w:right w:val="nil"/>
            </w:tcBorders>
          </w:tcPr>
          <w:p w14:paraId="12BB29EF">
            <w:pPr>
              <w:pStyle w:val="17"/>
              <w:spacing w:before="35"/>
              <w:ind w:right="781"/>
              <w:jc w:val="right"/>
              <w:rPr>
                <w:rFonts w:ascii="Times New Roman" w:hAnsi="Times New Roman"/>
                <w:sz w:val="21"/>
              </w:rPr>
            </w:pPr>
            <w:r>
              <w:rPr>
                <w:sz w:val="21"/>
              </w:rPr>
              <w:t>≤</w:t>
            </w:r>
            <w:r>
              <w:rPr>
                <w:rFonts w:ascii="Times New Roman" w:hAnsi="Times New Roman"/>
                <w:sz w:val="21"/>
              </w:rPr>
              <w:t>320</w:t>
            </w:r>
          </w:p>
        </w:tc>
      </w:tr>
      <w:tr w14:paraId="792F2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6DED70C2">
            <w:pPr>
              <w:pStyle w:val="17"/>
              <w:spacing w:before="50"/>
              <w:ind w:left="14"/>
              <w:rPr>
                <w:rFonts w:ascii="Times New Roman"/>
                <w:sz w:val="21"/>
              </w:rPr>
            </w:pPr>
            <w:r>
              <w:rPr>
                <w:rFonts w:ascii="Times New Roman"/>
                <w:w w:val="99"/>
                <w:sz w:val="21"/>
              </w:rPr>
              <w:t>3</w:t>
            </w:r>
          </w:p>
        </w:tc>
        <w:tc>
          <w:tcPr>
            <w:tcW w:w="1396" w:type="dxa"/>
          </w:tcPr>
          <w:p w14:paraId="751DB340">
            <w:pPr>
              <w:pStyle w:val="17"/>
              <w:spacing w:before="46"/>
              <w:ind w:left="361" w:right="353"/>
              <w:rPr>
                <w:rFonts w:ascii="Times New Roman"/>
                <w:sz w:val="21"/>
              </w:rPr>
            </w:pPr>
            <w:r>
              <w:rPr>
                <w:rFonts w:ascii="Times New Roman"/>
                <w:position w:val="2"/>
                <w:sz w:val="21"/>
              </w:rPr>
              <w:t>BOD</w:t>
            </w:r>
            <w:r>
              <w:rPr>
                <w:rFonts w:ascii="Times New Roman"/>
                <w:position w:val="2"/>
                <w:sz w:val="21"/>
                <w:vertAlign w:val="subscript"/>
              </w:rPr>
              <w:t>5</w:t>
            </w:r>
          </w:p>
        </w:tc>
        <w:tc>
          <w:tcPr>
            <w:tcW w:w="2686" w:type="dxa"/>
          </w:tcPr>
          <w:p w14:paraId="65E1928B">
            <w:pPr>
              <w:pStyle w:val="17"/>
              <w:spacing w:before="36"/>
              <w:ind w:left="166" w:right="158"/>
              <w:rPr>
                <w:rFonts w:ascii="Times New Roman" w:hAnsi="Times New Roman"/>
                <w:sz w:val="21"/>
              </w:rPr>
            </w:pPr>
            <w:r>
              <w:rPr>
                <w:sz w:val="21"/>
              </w:rPr>
              <w:t>≤</w:t>
            </w:r>
            <w:r>
              <w:rPr>
                <w:rFonts w:ascii="Times New Roman" w:hAnsi="Times New Roman"/>
                <w:sz w:val="21"/>
              </w:rPr>
              <w:t>160</w:t>
            </w:r>
          </w:p>
        </w:tc>
        <w:tc>
          <w:tcPr>
            <w:tcW w:w="1474" w:type="dxa"/>
          </w:tcPr>
          <w:p w14:paraId="60ED1A84">
            <w:pPr>
              <w:pStyle w:val="17"/>
              <w:spacing w:before="36"/>
              <w:ind w:left="115" w:right="107"/>
              <w:rPr>
                <w:rFonts w:ascii="Times New Roman" w:hAnsi="Times New Roman"/>
                <w:sz w:val="21"/>
              </w:rPr>
            </w:pPr>
            <w:r>
              <w:rPr>
                <w:sz w:val="21"/>
              </w:rPr>
              <w:t>≤</w:t>
            </w:r>
            <w:r>
              <w:rPr>
                <w:rFonts w:ascii="Times New Roman" w:hAnsi="Times New Roman"/>
                <w:sz w:val="21"/>
              </w:rPr>
              <w:t>300</w:t>
            </w:r>
          </w:p>
        </w:tc>
        <w:tc>
          <w:tcPr>
            <w:tcW w:w="2102" w:type="dxa"/>
            <w:tcBorders>
              <w:right w:val="nil"/>
            </w:tcBorders>
          </w:tcPr>
          <w:p w14:paraId="41E6149E">
            <w:pPr>
              <w:pStyle w:val="17"/>
              <w:spacing w:before="36"/>
              <w:ind w:right="781"/>
              <w:jc w:val="right"/>
              <w:rPr>
                <w:rFonts w:ascii="Times New Roman" w:hAnsi="Times New Roman"/>
                <w:sz w:val="21"/>
              </w:rPr>
            </w:pPr>
            <w:r>
              <w:rPr>
                <w:sz w:val="21"/>
              </w:rPr>
              <w:t>≤</w:t>
            </w:r>
            <w:r>
              <w:rPr>
                <w:rFonts w:ascii="Times New Roman" w:hAnsi="Times New Roman"/>
                <w:sz w:val="21"/>
              </w:rPr>
              <w:t>160</w:t>
            </w:r>
          </w:p>
        </w:tc>
      </w:tr>
      <w:tr w14:paraId="7D673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7631917C">
            <w:pPr>
              <w:pStyle w:val="17"/>
              <w:spacing w:before="48"/>
              <w:ind w:left="14"/>
              <w:rPr>
                <w:rFonts w:ascii="Times New Roman"/>
                <w:sz w:val="21"/>
              </w:rPr>
            </w:pPr>
            <w:r>
              <w:rPr>
                <w:rFonts w:ascii="Times New Roman"/>
                <w:w w:val="99"/>
                <w:sz w:val="21"/>
              </w:rPr>
              <w:t>4</w:t>
            </w:r>
          </w:p>
        </w:tc>
        <w:tc>
          <w:tcPr>
            <w:tcW w:w="1396" w:type="dxa"/>
          </w:tcPr>
          <w:p w14:paraId="12EDA007">
            <w:pPr>
              <w:pStyle w:val="17"/>
              <w:spacing w:before="34"/>
              <w:ind w:left="357" w:right="353"/>
              <w:rPr>
                <w:sz w:val="21"/>
              </w:rPr>
            </w:pPr>
            <w:r>
              <w:rPr>
                <w:sz w:val="21"/>
              </w:rPr>
              <w:t>氨氮</w:t>
            </w:r>
          </w:p>
        </w:tc>
        <w:tc>
          <w:tcPr>
            <w:tcW w:w="2686" w:type="dxa"/>
          </w:tcPr>
          <w:p w14:paraId="1D69C467">
            <w:pPr>
              <w:pStyle w:val="17"/>
              <w:spacing w:before="34"/>
              <w:ind w:left="166" w:right="158"/>
              <w:rPr>
                <w:rFonts w:ascii="Times New Roman" w:hAnsi="Times New Roman"/>
                <w:sz w:val="21"/>
              </w:rPr>
            </w:pPr>
            <w:r>
              <w:rPr>
                <w:sz w:val="21"/>
              </w:rPr>
              <w:t>≤</w:t>
            </w:r>
            <w:r>
              <w:rPr>
                <w:rFonts w:ascii="Times New Roman" w:hAnsi="Times New Roman"/>
                <w:sz w:val="21"/>
              </w:rPr>
              <w:t>25</w:t>
            </w:r>
          </w:p>
        </w:tc>
        <w:tc>
          <w:tcPr>
            <w:tcW w:w="1474" w:type="dxa"/>
          </w:tcPr>
          <w:p w14:paraId="3D9FD08C">
            <w:pPr>
              <w:pStyle w:val="17"/>
              <w:spacing w:before="48"/>
              <w:ind w:left="9"/>
              <w:rPr>
                <w:rFonts w:ascii="Times New Roman"/>
                <w:sz w:val="21"/>
              </w:rPr>
            </w:pPr>
            <w:r>
              <w:rPr>
                <w:rFonts w:ascii="Times New Roman"/>
                <w:w w:val="99"/>
                <w:sz w:val="21"/>
              </w:rPr>
              <w:t>/</w:t>
            </w:r>
          </w:p>
        </w:tc>
        <w:tc>
          <w:tcPr>
            <w:tcW w:w="2102" w:type="dxa"/>
            <w:tcBorders>
              <w:right w:val="nil"/>
            </w:tcBorders>
          </w:tcPr>
          <w:p w14:paraId="0C3458EB">
            <w:pPr>
              <w:pStyle w:val="17"/>
              <w:spacing w:before="34"/>
              <w:ind w:right="834"/>
              <w:jc w:val="right"/>
              <w:rPr>
                <w:rFonts w:ascii="Times New Roman" w:hAnsi="Times New Roman"/>
                <w:sz w:val="21"/>
              </w:rPr>
            </w:pPr>
            <w:r>
              <w:rPr>
                <w:w w:val="95"/>
                <w:sz w:val="21"/>
              </w:rPr>
              <w:t>≤</w:t>
            </w:r>
            <w:r>
              <w:rPr>
                <w:rFonts w:ascii="Times New Roman" w:hAnsi="Times New Roman"/>
                <w:w w:val="95"/>
                <w:sz w:val="21"/>
              </w:rPr>
              <w:t>25</w:t>
            </w:r>
          </w:p>
        </w:tc>
      </w:tr>
      <w:tr w14:paraId="2F902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1" w:type="dxa"/>
            <w:tcBorders>
              <w:left w:val="nil"/>
            </w:tcBorders>
          </w:tcPr>
          <w:p w14:paraId="0929FDD2">
            <w:pPr>
              <w:pStyle w:val="17"/>
              <w:spacing w:before="48"/>
              <w:ind w:left="14"/>
              <w:rPr>
                <w:rFonts w:ascii="Times New Roman"/>
                <w:sz w:val="21"/>
              </w:rPr>
            </w:pPr>
            <w:r>
              <w:rPr>
                <w:rFonts w:ascii="Times New Roman"/>
                <w:w w:val="99"/>
                <w:sz w:val="21"/>
              </w:rPr>
              <w:t>5</w:t>
            </w:r>
          </w:p>
        </w:tc>
        <w:tc>
          <w:tcPr>
            <w:tcW w:w="1396" w:type="dxa"/>
          </w:tcPr>
          <w:p w14:paraId="51F084C3">
            <w:pPr>
              <w:pStyle w:val="17"/>
              <w:spacing w:before="48"/>
              <w:ind w:left="358" w:right="353"/>
              <w:rPr>
                <w:rFonts w:ascii="Times New Roman"/>
                <w:sz w:val="21"/>
              </w:rPr>
            </w:pPr>
            <w:r>
              <w:rPr>
                <w:rFonts w:ascii="Times New Roman"/>
                <w:sz w:val="21"/>
              </w:rPr>
              <w:t>SS</w:t>
            </w:r>
          </w:p>
        </w:tc>
        <w:tc>
          <w:tcPr>
            <w:tcW w:w="2686" w:type="dxa"/>
          </w:tcPr>
          <w:p w14:paraId="3F08568C">
            <w:pPr>
              <w:pStyle w:val="17"/>
              <w:spacing w:before="34"/>
              <w:ind w:left="166" w:right="158"/>
              <w:rPr>
                <w:rFonts w:ascii="Times New Roman" w:hAnsi="Times New Roman"/>
                <w:sz w:val="21"/>
              </w:rPr>
            </w:pPr>
            <w:r>
              <w:rPr>
                <w:sz w:val="21"/>
              </w:rPr>
              <w:t>≤</w:t>
            </w:r>
            <w:r>
              <w:rPr>
                <w:rFonts w:ascii="Times New Roman" w:hAnsi="Times New Roman"/>
                <w:sz w:val="21"/>
              </w:rPr>
              <w:t>180</w:t>
            </w:r>
          </w:p>
        </w:tc>
        <w:tc>
          <w:tcPr>
            <w:tcW w:w="1474" w:type="dxa"/>
          </w:tcPr>
          <w:p w14:paraId="02E29D1E">
            <w:pPr>
              <w:pStyle w:val="17"/>
              <w:spacing w:before="34"/>
              <w:ind w:left="115" w:right="107"/>
              <w:rPr>
                <w:rFonts w:ascii="Times New Roman" w:hAnsi="Times New Roman"/>
                <w:sz w:val="21"/>
              </w:rPr>
            </w:pPr>
            <w:r>
              <w:rPr>
                <w:sz w:val="21"/>
              </w:rPr>
              <w:t>≤</w:t>
            </w:r>
            <w:r>
              <w:rPr>
                <w:rFonts w:ascii="Times New Roman" w:hAnsi="Times New Roman"/>
                <w:sz w:val="21"/>
              </w:rPr>
              <w:t>400</w:t>
            </w:r>
          </w:p>
        </w:tc>
        <w:tc>
          <w:tcPr>
            <w:tcW w:w="2102" w:type="dxa"/>
            <w:tcBorders>
              <w:right w:val="nil"/>
            </w:tcBorders>
          </w:tcPr>
          <w:p w14:paraId="7C45F251">
            <w:pPr>
              <w:pStyle w:val="17"/>
              <w:spacing w:before="34"/>
              <w:ind w:right="781"/>
              <w:jc w:val="right"/>
              <w:rPr>
                <w:rFonts w:ascii="Times New Roman" w:hAnsi="Times New Roman"/>
                <w:sz w:val="21"/>
              </w:rPr>
            </w:pPr>
            <w:r>
              <w:rPr>
                <w:sz w:val="21"/>
              </w:rPr>
              <w:t>≤</w:t>
            </w:r>
            <w:r>
              <w:rPr>
                <w:rFonts w:ascii="Times New Roman" w:hAnsi="Times New Roman"/>
                <w:sz w:val="21"/>
              </w:rPr>
              <w:t>180</w:t>
            </w:r>
          </w:p>
        </w:tc>
      </w:tr>
    </w:tbl>
    <w:p w14:paraId="3249CD94">
      <w:pPr>
        <w:pStyle w:val="10"/>
        <w:spacing w:before="82"/>
        <w:ind w:left="700"/>
      </w:pPr>
      <w:r>
        <w:rPr>
          <w:rFonts w:ascii="Times New Roman" w:eastAsia="Times New Roman"/>
        </w:rPr>
        <w:t>3</w:t>
      </w:r>
      <w:r>
        <w:t>、噪声</w:t>
      </w:r>
    </w:p>
    <w:p w14:paraId="7BD0AF22">
      <w:pPr>
        <w:pStyle w:val="10"/>
        <w:spacing w:before="160" w:line="364" w:lineRule="auto"/>
        <w:ind w:left="220" w:right="237" w:firstLine="480"/>
      </w:pPr>
      <w:r>
        <w:t>施工期噪声执行《建筑施工场界环境噪声排放标准》（</w:t>
      </w:r>
      <w:r>
        <w:rPr>
          <w:rFonts w:ascii="Times New Roman" w:eastAsia="Times New Roman"/>
        </w:rPr>
        <w:t>GB12523-2011</w:t>
      </w:r>
      <w:r>
        <w:t>）标</w:t>
      </w:r>
      <w:r>
        <w:rPr>
          <w:spacing w:val="-5"/>
        </w:rPr>
        <w:t>准，营运期厂界噪声执行《工业企业厂界环境噪声排放标准》</w:t>
      </w:r>
      <w:r>
        <w:t>（</w:t>
      </w:r>
      <w:r>
        <w:rPr>
          <w:rFonts w:ascii="Times New Roman" w:eastAsia="Times New Roman"/>
        </w:rPr>
        <w:t>GB12348-2008</w:t>
      </w:r>
      <w:r>
        <w:t xml:space="preserve">） </w:t>
      </w:r>
      <w:r>
        <w:rPr>
          <w:spacing w:val="-20"/>
        </w:rPr>
        <w:t xml:space="preserve">中的 </w:t>
      </w:r>
      <w:r>
        <w:rPr>
          <w:rFonts w:ascii="Times New Roman" w:eastAsia="Times New Roman"/>
        </w:rPr>
        <w:t xml:space="preserve">3 </w:t>
      </w:r>
      <w:r>
        <w:t>类（东侧、西侧、北侧）</w:t>
      </w:r>
      <w:r>
        <w:rPr>
          <w:spacing w:val="-30"/>
        </w:rPr>
        <w:t xml:space="preserve">和 </w:t>
      </w:r>
      <w:r>
        <w:rPr>
          <w:rFonts w:ascii="Times New Roman" w:eastAsia="Times New Roman"/>
        </w:rPr>
        <w:t xml:space="preserve">4 </w:t>
      </w:r>
      <w:r>
        <w:t>类（南侧）标准。</w:t>
      </w:r>
    </w:p>
    <w:p w14:paraId="726DCEFB">
      <w:pPr>
        <w:pStyle w:val="9"/>
        <w:ind w:left="728"/>
      </w:pPr>
      <w:r>
        <w:rPr>
          <w:spacing w:val="-31"/>
        </w:rPr>
        <w:t xml:space="preserve">表 </w:t>
      </w:r>
      <w:r>
        <w:rPr>
          <w:rFonts w:ascii="Times New Roman" w:eastAsia="Times New Roman"/>
        </w:rPr>
        <w:t>1.4-9</w:t>
      </w:r>
      <w:r>
        <w:rPr>
          <w:rFonts w:ascii="Times New Roman" w:eastAsia="Times New Roman"/>
          <w:spacing w:val="58"/>
        </w:rPr>
        <w:t xml:space="preserve"> </w:t>
      </w:r>
      <w:r>
        <w:rPr>
          <w:spacing w:val="-1"/>
        </w:rPr>
        <w:t>营运期工业企业厂界环境噪声排放标准限值 单位：</w:t>
      </w:r>
      <w:r>
        <w:rPr>
          <w:rFonts w:ascii="Times New Roman" w:eastAsia="Times New Roman"/>
        </w:rPr>
        <w:t>dB</w:t>
      </w:r>
      <w:r>
        <w:t>（</w:t>
      </w:r>
      <w:r>
        <w:rPr>
          <w:rFonts w:ascii="Times New Roman" w:eastAsia="Times New Roman"/>
        </w:rPr>
        <w:t>A</w:t>
      </w:r>
      <w:r>
        <w:t>）</w:t>
      </w:r>
    </w:p>
    <w:p w14:paraId="4C3C32AB">
      <w:pPr>
        <w:pStyle w:val="10"/>
        <w:spacing w:before="2"/>
        <w:rPr>
          <w:b/>
          <w:sz w:val="6"/>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9"/>
        <w:gridCol w:w="1162"/>
        <w:gridCol w:w="1116"/>
        <w:gridCol w:w="1048"/>
        <w:gridCol w:w="1794"/>
      </w:tblGrid>
      <w:tr w14:paraId="4FEB1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61" w:type="dxa"/>
            <w:gridSpan w:val="2"/>
            <w:vMerge w:val="restart"/>
            <w:tcBorders>
              <w:left w:val="nil"/>
            </w:tcBorders>
          </w:tcPr>
          <w:p w14:paraId="4DE53C99">
            <w:pPr>
              <w:pStyle w:val="17"/>
              <w:spacing w:before="4"/>
              <w:jc w:val="left"/>
              <w:rPr>
                <w:b/>
                <w:sz w:val="16"/>
              </w:rPr>
            </w:pPr>
          </w:p>
          <w:p w14:paraId="207E5A58">
            <w:pPr>
              <w:pStyle w:val="17"/>
              <w:ind w:left="332" w:right="321"/>
              <w:rPr>
                <w:sz w:val="21"/>
              </w:rPr>
            </w:pPr>
            <w:r>
              <w:rPr>
                <w:sz w:val="21"/>
              </w:rPr>
              <w:t>执行标准</w:t>
            </w:r>
          </w:p>
        </w:tc>
        <w:tc>
          <w:tcPr>
            <w:tcW w:w="2164" w:type="dxa"/>
            <w:gridSpan w:val="2"/>
          </w:tcPr>
          <w:p w14:paraId="0ABEE603">
            <w:pPr>
              <w:pStyle w:val="17"/>
              <w:spacing w:before="34"/>
              <w:ind w:left="428"/>
              <w:jc w:val="left"/>
              <w:rPr>
                <w:rFonts w:ascii="Times New Roman" w:eastAsia="Times New Roman"/>
                <w:sz w:val="21"/>
              </w:rPr>
            </w:pPr>
            <w:r>
              <w:rPr>
                <w:sz w:val="21"/>
              </w:rPr>
              <w:t>标准值</w:t>
            </w:r>
            <w:r>
              <w:rPr>
                <w:rFonts w:ascii="Times New Roman" w:eastAsia="Times New Roman"/>
                <w:sz w:val="21"/>
              </w:rPr>
              <w:t>(dB(A))</w:t>
            </w:r>
          </w:p>
        </w:tc>
        <w:tc>
          <w:tcPr>
            <w:tcW w:w="1794" w:type="dxa"/>
            <w:vMerge w:val="restart"/>
            <w:tcBorders>
              <w:right w:val="nil"/>
            </w:tcBorders>
          </w:tcPr>
          <w:p w14:paraId="20CB9A62">
            <w:pPr>
              <w:pStyle w:val="17"/>
              <w:spacing w:before="4"/>
              <w:jc w:val="left"/>
              <w:rPr>
                <w:b/>
                <w:sz w:val="16"/>
              </w:rPr>
            </w:pPr>
          </w:p>
          <w:p w14:paraId="1D23DB0A">
            <w:pPr>
              <w:pStyle w:val="17"/>
              <w:ind w:left="33" w:right="33"/>
              <w:rPr>
                <w:sz w:val="21"/>
              </w:rPr>
            </w:pPr>
            <w:r>
              <w:rPr>
                <w:sz w:val="21"/>
              </w:rPr>
              <w:t>备注</w:t>
            </w:r>
          </w:p>
        </w:tc>
      </w:tr>
      <w:tr w14:paraId="5A125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61" w:type="dxa"/>
            <w:gridSpan w:val="2"/>
            <w:vMerge w:val="continue"/>
            <w:tcBorders>
              <w:top w:val="nil"/>
              <w:left w:val="nil"/>
            </w:tcBorders>
          </w:tcPr>
          <w:p w14:paraId="44A8E252">
            <w:pPr>
              <w:rPr>
                <w:sz w:val="2"/>
                <w:szCs w:val="2"/>
              </w:rPr>
            </w:pPr>
          </w:p>
        </w:tc>
        <w:tc>
          <w:tcPr>
            <w:tcW w:w="1116" w:type="dxa"/>
          </w:tcPr>
          <w:p w14:paraId="487A0ACC">
            <w:pPr>
              <w:pStyle w:val="17"/>
              <w:spacing w:before="34"/>
              <w:ind w:left="325" w:right="320"/>
              <w:rPr>
                <w:sz w:val="21"/>
              </w:rPr>
            </w:pPr>
            <w:r>
              <w:rPr>
                <w:sz w:val="21"/>
              </w:rPr>
              <w:t>昼间</w:t>
            </w:r>
          </w:p>
        </w:tc>
        <w:tc>
          <w:tcPr>
            <w:tcW w:w="1048" w:type="dxa"/>
          </w:tcPr>
          <w:p w14:paraId="3B9AB519">
            <w:pPr>
              <w:pStyle w:val="17"/>
              <w:spacing w:before="34"/>
              <w:ind w:left="75" w:right="69"/>
              <w:rPr>
                <w:sz w:val="21"/>
              </w:rPr>
            </w:pPr>
            <w:r>
              <w:rPr>
                <w:sz w:val="21"/>
              </w:rPr>
              <w:t>夜间</w:t>
            </w:r>
          </w:p>
        </w:tc>
        <w:tc>
          <w:tcPr>
            <w:tcW w:w="1794" w:type="dxa"/>
            <w:vMerge w:val="continue"/>
            <w:tcBorders>
              <w:top w:val="nil"/>
              <w:right w:val="nil"/>
            </w:tcBorders>
          </w:tcPr>
          <w:p w14:paraId="38237544">
            <w:pPr>
              <w:rPr>
                <w:sz w:val="2"/>
                <w:szCs w:val="2"/>
              </w:rPr>
            </w:pPr>
          </w:p>
        </w:tc>
      </w:tr>
      <w:tr w14:paraId="23FC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1" w:type="dxa"/>
            <w:gridSpan w:val="2"/>
            <w:tcBorders>
              <w:left w:val="nil"/>
            </w:tcBorders>
          </w:tcPr>
          <w:p w14:paraId="15FEEF88">
            <w:pPr>
              <w:pStyle w:val="17"/>
              <w:spacing w:before="20"/>
              <w:ind w:left="332" w:right="321"/>
              <w:rPr>
                <w:rFonts w:ascii="Times New Roman" w:eastAsia="Times New Roman"/>
                <w:sz w:val="21"/>
              </w:rPr>
            </w:pPr>
            <w:r>
              <w:rPr>
                <w:sz w:val="21"/>
              </w:rPr>
              <w:t>《建筑施工场界环境噪声排放标准》（</w:t>
            </w:r>
            <w:r>
              <w:rPr>
                <w:rFonts w:ascii="Times New Roman" w:eastAsia="Times New Roman"/>
                <w:sz w:val="21"/>
              </w:rPr>
              <w:t>GB</w:t>
            </w:r>
          </w:p>
          <w:p w14:paraId="48953435">
            <w:pPr>
              <w:pStyle w:val="17"/>
              <w:spacing w:before="43"/>
              <w:ind w:left="332" w:right="319"/>
              <w:rPr>
                <w:sz w:val="21"/>
              </w:rPr>
            </w:pPr>
            <w:r>
              <w:rPr>
                <w:rFonts w:ascii="Times New Roman" w:eastAsia="Times New Roman"/>
                <w:sz w:val="21"/>
              </w:rPr>
              <w:t>12523-2011</w:t>
            </w:r>
            <w:r>
              <w:rPr>
                <w:sz w:val="21"/>
              </w:rPr>
              <w:t>）</w:t>
            </w:r>
          </w:p>
        </w:tc>
        <w:tc>
          <w:tcPr>
            <w:tcW w:w="1116" w:type="dxa"/>
          </w:tcPr>
          <w:p w14:paraId="4F16CE39">
            <w:pPr>
              <w:pStyle w:val="17"/>
              <w:spacing w:before="190"/>
              <w:ind w:left="325" w:right="317"/>
              <w:rPr>
                <w:rFonts w:ascii="Times New Roman"/>
                <w:sz w:val="21"/>
              </w:rPr>
            </w:pPr>
            <w:r>
              <w:rPr>
                <w:rFonts w:ascii="Times New Roman"/>
                <w:sz w:val="21"/>
              </w:rPr>
              <w:t>70</w:t>
            </w:r>
          </w:p>
        </w:tc>
        <w:tc>
          <w:tcPr>
            <w:tcW w:w="1048" w:type="dxa"/>
          </w:tcPr>
          <w:p w14:paraId="35FB25BE">
            <w:pPr>
              <w:pStyle w:val="17"/>
              <w:spacing w:before="190"/>
              <w:ind w:left="78" w:right="69"/>
              <w:rPr>
                <w:rFonts w:ascii="Times New Roman"/>
                <w:sz w:val="21"/>
              </w:rPr>
            </w:pPr>
            <w:r>
              <w:rPr>
                <w:rFonts w:ascii="Times New Roman"/>
                <w:sz w:val="21"/>
              </w:rPr>
              <w:t>55</w:t>
            </w:r>
          </w:p>
        </w:tc>
        <w:tc>
          <w:tcPr>
            <w:tcW w:w="1794" w:type="dxa"/>
            <w:tcBorders>
              <w:right w:val="nil"/>
            </w:tcBorders>
          </w:tcPr>
          <w:p w14:paraId="6570C9AB">
            <w:pPr>
              <w:pStyle w:val="17"/>
              <w:spacing w:before="177"/>
              <w:ind w:left="33" w:right="33"/>
              <w:rPr>
                <w:sz w:val="21"/>
              </w:rPr>
            </w:pPr>
            <w:r>
              <w:rPr>
                <w:sz w:val="21"/>
              </w:rPr>
              <w:t>场界</w:t>
            </w:r>
          </w:p>
        </w:tc>
      </w:tr>
      <w:tr w14:paraId="75CAD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99" w:type="dxa"/>
            <w:vMerge w:val="restart"/>
            <w:tcBorders>
              <w:left w:val="nil"/>
            </w:tcBorders>
          </w:tcPr>
          <w:p w14:paraId="7704428C">
            <w:pPr>
              <w:pStyle w:val="17"/>
              <w:spacing w:before="195" w:line="278" w:lineRule="auto"/>
              <w:ind w:left="604" w:right="221" w:hanging="372"/>
              <w:jc w:val="left"/>
              <w:rPr>
                <w:sz w:val="21"/>
              </w:rPr>
            </w:pPr>
            <w:r>
              <w:rPr>
                <w:w w:val="95"/>
                <w:sz w:val="21"/>
              </w:rPr>
              <w:t>《工业企业厂界环境噪声排放标</w:t>
            </w:r>
            <w:r>
              <w:rPr>
                <w:sz w:val="21"/>
              </w:rPr>
              <w:t>准》（</w:t>
            </w:r>
            <w:r>
              <w:rPr>
                <w:rFonts w:ascii="Times New Roman" w:eastAsia="Times New Roman"/>
                <w:sz w:val="21"/>
              </w:rPr>
              <w:t>GB 12348-2008</w:t>
            </w:r>
            <w:r>
              <w:rPr>
                <w:sz w:val="21"/>
              </w:rPr>
              <w:t>）</w:t>
            </w:r>
          </w:p>
        </w:tc>
        <w:tc>
          <w:tcPr>
            <w:tcW w:w="1162" w:type="dxa"/>
          </w:tcPr>
          <w:p w14:paraId="430E6BF1">
            <w:pPr>
              <w:pStyle w:val="17"/>
              <w:spacing w:before="176"/>
              <w:ind w:left="376" w:right="368"/>
              <w:rPr>
                <w:sz w:val="21"/>
              </w:rPr>
            </w:pPr>
            <w:r>
              <w:rPr>
                <w:rFonts w:ascii="Times New Roman" w:eastAsia="Times New Roman"/>
                <w:sz w:val="21"/>
              </w:rPr>
              <w:t xml:space="preserve">3 </w:t>
            </w:r>
            <w:r>
              <w:rPr>
                <w:sz w:val="21"/>
              </w:rPr>
              <w:t>类</w:t>
            </w:r>
          </w:p>
        </w:tc>
        <w:tc>
          <w:tcPr>
            <w:tcW w:w="1116" w:type="dxa"/>
          </w:tcPr>
          <w:p w14:paraId="1C5DB4A5">
            <w:pPr>
              <w:pStyle w:val="17"/>
              <w:spacing w:before="190"/>
              <w:ind w:left="325" w:right="317"/>
              <w:rPr>
                <w:rFonts w:ascii="Times New Roman"/>
                <w:sz w:val="21"/>
              </w:rPr>
            </w:pPr>
            <w:r>
              <w:rPr>
                <w:rFonts w:ascii="Times New Roman"/>
                <w:sz w:val="21"/>
              </w:rPr>
              <w:t>65</w:t>
            </w:r>
          </w:p>
        </w:tc>
        <w:tc>
          <w:tcPr>
            <w:tcW w:w="1048" w:type="dxa"/>
          </w:tcPr>
          <w:p w14:paraId="44DCCF12">
            <w:pPr>
              <w:pStyle w:val="17"/>
              <w:spacing w:before="190"/>
              <w:ind w:left="78" w:right="69"/>
              <w:rPr>
                <w:rFonts w:ascii="Times New Roman"/>
                <w:sz w:val="21"/>
              </w:rPr>
            </w:pPr>
            <w:r>
              <w:rPr>
                <w:rFonts w:ascii="Times New Roman"/>
                <w:sz w:val="21"/>
              </w:rPr>
              <w:t>55</w:t>
            </w:r>
          </w:p>
        </w:tc>
        <w:tc>
          <w:tcPr>
            <w:tcW w:w="1794" w:type="dxa"/>
            <w:tcBorders>
              <w:right w:val="nil"/>
            </w:tcBorders>
          </w:tcPr>
          <w:p w14:paraId="3715DE2D">
            <w:pPr>
              <w:pStyle w:val="17"/>
              <w:spacing w:before="20"/>
              <w:ind w:left="36" w:right="33"/>
              <w:rPr>
                <w:sz w:val="21"/>
              </w:rPr>
            </w:pPr>
            <w:r>
              <w:rPr>
                <w:sz w:val="21"/>
              </w:rPr>
              <w:t>东侧、西侧、北侧</w:t>
            </w:r>
          </w:p>
          <w:p w14:paraId="303059E7">
            <w:pPr>
              <w:pStyle w:val="17"/>
              <w:spacing w:before="43"/>
              <w:ind w:left="33" w:right="33"/>
              <w:rPr>
                <w:sz w:val="21"/>
              </w:rPr>
            </w:pPr>
            <w:r>
              <w:rPr>
                <w:sz w:val="21"/>
              </w:rPr>
              <w:t>厂界</w:t>
            </w:r>
          </w:p>
        </w:tc>
      </w:tr>
      <w:tr w14:paraId="006C2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9" w:type="dxa"/>
            <w:vMerge w:val="continue"/>
            <w:tcBorders>
              <w:top w:val="nil"/>
              <w:left w:val="nil"/>
            </w:tcBorders>
          </w:tcPr>
          <w:p w14:paraId="446B4967">
            <w:pPr>
              <w:rPr>
                <w:sz w:val="2"/>
                <w:szCs w:val="2"/>
              </w:rPr>
            </w:pPr>
          </w:p>
        </w:tc>
        <w:tc>
          <w:tcPr>
            <w:tcW w:w="1162" w:type="dxa"/>
          </w:tcPr>
          <w:p w14:paraId="01694806">
            <w:pPr>
              <w:pStyle w:val="17"/>
              <w:spacing w:before="34"/>
              <w:ind w:left="376" w:right="368"/>
              <w:rPr>
                <w:sz w:val="21"/>
              </w:rPr>
            </w:pPr>
            <w:r>
              <w:rPr>
                <w:rFonts w:ascii="Times New Roman" w:eastAsia="Times New Roman"/>
                <w:sz w:val="21"/>
              </w:rPr>
              <w:t xml:space="preserve">4 </w:t>
            </w:r>
            <w:r>
              <w:rPr>
                <w:sz w:val="21"/>
              </w:rPr>
              <w:t>类</w:t>
            </w:r>
          </w:p>
        </w:tc>
        <w:tc>
          <w:tcPr>
            <w:tcW w:w="1116" w:type="dxa"/>
          </w:tcPr>
          <w:p w14:paraId="1A9FE6DA">
            <w:pPr>
              <w:pStyle w:val="17"/>
              <w:spacing w:before="48"/>
              <w:ind w:left="325" w:right="317"/>
              <w:rPr>
                <w:rFonts w:ascii="Times New Roman"/>
                <w:sz w:val="21"/>
              </w:rPr>
            </w:pPr>
            <w:r>
              <w:rPr>
                <w:rFonts w:ascii="Times New Roman"/>
                <w:sz w:val="21"/>
              </w:rPr>
              <w:t>70</w:t>
            </w:r>
          </w:p>
        </w:tc>
        <w:tc>
          <w:tcPr>
            <w:tcW w:w="1048" w:type="dxa"/>
          </w:tcPr>
          <w:p w14:paraId="054C7548">
            <w:pPr>
              <w:pStyle w:val="17"/>
              <w:spacing w:before="48"/>
              <w:ind w:left="78" w:right="69"/>
              <w:rPr>
                <w:rFonts w:ascii="Times New Roman"/>
                <w:sz w:val="21"/>
              </w:rPr>
            </w:pPr>
            <w:r>
              <w:rPr>
                <w:rFonts w:ascii="Times New Roman"/>
                <w:sz w:val="21"/>
              </w:rPr>
              <w:t>55</w:t>
            </w:r>
          </w:p>
        </w:tc>
        <w:tc>
          <w:tcPr>
            <w:tcW w:w="1794" w:type="dxa"/>
            <w:tcBorders>
              <w:right w:val="nil"/>
            </w:tcBorders>
          </w:tcPr>
          <w:p w14:paraId="452A7B19">
            <w:pPr>
              <w:pStyle w:val="17"/>
              <w:spacing w:before="34"/>
              <w:ind w:left="36" w:right="33"/>
              <w:rPr>
                <w:sz w:val="21"/>
              </w:rPr>
            </w:pPr>
            <w:r>
              <w:rPr>
                <w:sz w:val="21"/>
              </w:rPr>
              <w:t>南侧厂界</w:t>
            </w:r>
          </w:p>
        </w:tc>
      </w:tr>
    </w:tbl>
    <w:p w14:paraId="2947DEA0">
      <w:pPr>
        <w:pStyle w:val="10"/>
        <w:spacing w:before="82"/>
        <w:ind w:left="700"/>
      </w:pPr>
      <w:r>
        <w:rPr>
          <w:rFonts w:ascii="Times New Roman" w:eastAsia="Times New Roman"/>
        </w:rPr>
        <w:t>4</w:t>
      </w:r>
      <w:r>
        <w:t>、固体废物</w:t>
      </w:r>
    </w:p>
    <w:p w14:paraId="6968CF6B">
      <w:pPr>
        <w:pStyle w:val="10"/>
        <w:spacing w:before="161" w:line="364" w:lineRule="auto"/>
        <w:ind w:left="220" w:right="237" w:firstLine="480"/>
      </w:pPr>
      <w:r>
        <w:rPr>
          <w:spacing w:val="-6"/>
        </w:rPr>
        <w:t>固体废物分类及危险废物辨识按《国家危险废物名录》</w:t>
      </w:r>
      <w:r>
        <w:t>（</w:t>
      </w:r>
      <w:r>
        <w:rPr>
          <w:rFonts w:ascii="Times New Roman" w:eastAsia="Times New Roman"/>
        </w:rPr>
        <w:t xml:space="preserve">2021 </w:t>
      </w:r>
      <w:r>
        <w:t>年版</w:t>
      </w:r>
      <w:r>
        <w:rPr>
          <w:spacing w:val="-32"/>
        </w:rPr>
        <w:t>）</w:t>
      </w:r>
      <w:r>
        <w:rPr>
          <w:spacing w:val="-10"/>
        </w:rPr>
        <w:t>及《固</w:t>
      </w:r>
      <w:r>
        <w:rPr>
          <w:spacing w:val="-13"/>
        </w:rPr>
        <w:t>体废物鉴别标准 通则》</w:t>
      </w:r>
      <w:r>
        <w:rPr>
          <w:rFonts w:ascii="Times New Roman" w:eastAsia="Times New Roman"/>
        </w:rPr>
        <w:t>(GB 34330-2017)</w:t>
      </w:r>
      <w:r>
        <w:rPr>
          <w:spacing w:val="-20"/>
        </w:rPr>
        <w:t>、《危险废物鉴别标准》</w:t>
      </w:r>
      <w:r>
        <w:t>（</w:t>
      </w:r>
      <w:r>
        <w:rPr>
          <w:rFonts w:ascii="Times New Roman" w:eastAsia="Times New Roman"/>
        </w:rPr>
        <w:t>GB 5085.1~7</w:t>
      </w:r>
      <w:r>
        <w:t>） 的有关规定执行。</w:t>
      </w:r>
    </w:p>
    <w:p w14:paraId="20670919">
      <w:pPr>
        <w:pStyle w:val="10"/>
        <w:spacing w:before="1"/>
        <w:ind w:left="700"/>
      </w:pPr>
      <w:r>
        <w:t>一般工业固体废物贮存执行《一般工业固体废物贮存和填埋污染控制标准》</w:t>
      </w:r>
    </w:p>
    <w:p w14:paraId="28D627BC">
      <w:pPr>
        <w:pStyle w:val="10"/>
        <w:spacing w:before="161"/>
        <w:ind w:left="220"/>
      </w:pPr>
      <w:r>
        <w:t>（</w:t>
      </w:r>
      <w:r>
        <w:rPr>
          <w:rFonts w:ascii="Times New Roman" w:eastAsia="Times New Roman"/>
        </w:rPr>
        <w:t>GB18599-2020</w:t>
      </w:r>
      <w:r>
        <w:t>）的规定。危险废物贮存执行《危险废物贮存污染控制标准》</w:t>
      </w:r>
    </w:p>
    <w:p w14:paraId="361F368F">
      <w:pPr>
        <w:pStyle w:val="10"/>
        <w:spacing w:before="160" w:line="364" w:lineRule="auto"/>
        <w:ind w:left="220" w:right="283"/>
      </w:pPr>
      <w:r>
        <w:t>（</w:t>
      </w:r>
      <w:r>
        <w:rPr>
          <w:rFonts w:ascii="Times New Roman" w:eastAsia="Times New Roman"/>
        </w:rPr>
        <w:t>GB18597-2023</w:t>
      </w:r>
      <w:r>
        <w:t>）和《危险废物收集贮存运输技术规范》（</w:t>
      </w:r>
      <w:r>
        <w:rPr>
          <w:rFonts w:ascii="Times New Roman" w:eastAsia="Times New Roman"/>
        </w:rPr>
        <w:t>HJ 2025-2012</w:t>
      </w:r>
      <w:r>
        <w:t>）相关标准。</w:t>
      </w:r>
    </w:p>
    <w:p w14:paraId="425375C3">
      <w:pPr>
        <w:spacing w:after="0" w:line="364" w:lineRule="auto"/>
        <w:sectPr>
          <w:pgSz w:w="11910" w:h="16840"/>
          <w:pgMar w:top="1420" w:right="1440" w:bottom="1220" w:left="1580" w:header="0" w:footer="1024" w:gutter="0"/>
          <w:cols w:space="720" w:num="1"/>
        </w:sectPr>
      </w:pPr>
    </w:p>
    <w:p w14:paraId="166F4F68">
      <w:pPr>
        <w:pStyle w:val="3"/>
        <w:numPr>
          <w:ilvl w:val="1"/>
          <w:numId w:val="6"/>
        </w:numPr>
        <w:tabs>
          <w:tab w:val="left" w:pos="669"/>
        </w:tabs>
        <w:spacing w:before="43" w:after="0" w:line="240" w:lineRule="auto"/>
        <w:ind w:left="668" w:right="0" w:hanging="448"/>
        <w:jc w:val="left"/>
      </w:pPr>
      <w:bookmarkStart w:id="12" w:name="_TOC_250043"/>
      <w:bookmarkEnd w:id="12"/>
      <w:r>
        <w:t>评价工作等级及评价范围</w:t>
      </w:r>
    </w:p>
    <w:p w14:paraId="600C702D">
      <w:pPr>
        <w:pStyle w:val="16"/>
        <w:numPr>
          <w:ilvl w:val="2"/>
          <w:numId w:val="6"/>
        </w:numPr>
        <w:tabs>
          <w:tab w:val="left" w:pos="849"/>
        </w:tabs>
        <w:spacing w:before="252" w:after="0" w:line="240" w:lineRule="auto"/>
        <w:ind w:left="848" w:right="0" w:hanging="628"/>
        <w:jc w:val="left"/>
        <w:rPr>
          <w:b/>
          <w:sz w:val="28"/>
        </w:rPr>
      </w:pPr>
      <w:r>
        <w:rPr>
          <w:b/>
          <w:sz w:val="28"/>
        </w:rPr>
        <w:t>大气环境影响评价工作等级及评价范围</w:t>
      </w:r>
    </w:p>
    <w:p w14:paraId="3E9B9F10">
      <w:pPr>
        <w:pStyle w:val="9"/>
        <w:spacing w:before="212"/>
        <w:ind w:left="700"/>
      </w:pPr>
      <w:r>
        <w:rPr>
          <w:rFonts w:ascii="Times New Roman" w:eastAsia="Times New Roman"/>
        </w:rPr>
        <w:t>1</w:t>
      </w:r>
      <w:r>
        <w:t>、大气环境影响评价等级</w:t>
      </w:r>
    </w:p>
    <w:p w14:paraId="23878433">
      <w:pPr>
        <w:pStyle w:val="10"/>
        <w:spacing w:before="160" w:line="364" w:lineRule="auto"/>
        <w:ind w:left="220" w:right="369" w:firstLine="504"/>
        <w:jc w:val="both"/>
      </w:pPr>
      <w:r>
        <w:t>根据《环境影响评价技术导则 大气环境》（</w:t>
      </w:r>
      <w:r>
        <w:rPr>
          <w:rFonts w:ascii="Times New Roman" w:eastAsia="Times New Roman"/>
        </w:rPr>
        <w:t>HJ2.2-2018</w:t>
      </w:r>
      <w:r>
        <w:t xml:space="preserve">）的规定，选择项目污染源正常排放的主要污染物及排放参数，采用附录 </w:t>
      </w:r>
      <w:r>
        <w:rPr>
          <w:rFonts w:ascii="Times New Roman" w:eastAsia="Times New Roman"/>
        </w:rPr>
        <w:t xml:space="preserve">A </w:t>
      </w:r>
      <w:r>
        <w:t xml:space="preserve">推荐模型中的估算模型 </w:t>
      </w:r>
      <w:r>
        <w:rPr>
          <w:rFonts w:ascii="Times New Roman" w:eastAsia="Times New Roman"/>
        </w:rPr>
        <w:t xml:space="preserve">AERSCREEN </w:t>
      </w:r>
      <w:r>
        <w:t>分别计算项目污染源的最大环境影响，然后按评价工作分级判据进行分级。</w:t>
      </w:r>
    </w:p>
    <w:p w14:paraId="4FD7DABB">
      <w:pPr>
        <w:pStyle w:val="10"/>
        <w:spacing w:before="3" w:line="362" w:lineRule="auto"/>
        <w:ind w:left="220" w:right="357" w:firstLine="504"/>
        <w:jc w:val="both"/>
      </w:pPr>
      <w:r>
        <w:rPr>
          <w:spacing w:val="8"/>
        </w:rPr>
        <w:t>根据项目污染源初步调查结果，分别计算项目排放的主要污染物的最大</w:t>
      </w:r>
      <w:r>
        <w:rPr>
          <w:spacing w:val="3"/>
          <w:position w:val="2"/>
        </w:rPr>
        <w:t xml:space="preserve">地面空气质量浓度占标率 </w:t>
      </w: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spacing w:val="-9"/>
          <w:position w:val="2"/>
          <w:vertAlign w:val="baseline"/>
        </w:rPr>
        <w:t xml:space="preserve">及第 </w:t>
      </w:r>
      <w:r>
        <w:rPr>
          <w:rFonts w:ascii="Times New Roman" w:eastAsia="Times New Roman"/>
          <w:position w:val="2"/>
          <w:vertAlign w:val="baseline"/>
        </w:rPr>
        <w:t xml:space="preserve">i </w:t>
      </w:r>
      <w:r>
        <w:rPr>
          <w:spacing w:val="10"/>
          <w:position w:val="2"/>
          <w:vertAlign w:val="baseline"/>
        </w:rPr>
        <w:t>个污染物的地面空气质量浓度达到标准值</w:t>
      </w:r>
      <w:r>
        <w:rPr>
          <w:spacing w:val="-14"/>
          <w:position w:val="2"/>
          <w:vertAlign w:val="baseline"/>
        </w:rPr>
        <w:t xml:space="preserve">的 </w:t>
      </w:r>
      <w:r>
        <w:rPr>
          <w:rFonts w:ascii="Times New Roman" w:eastAsia="Times New Roman"/>
          <w:spacing w:val="3"/>
          <w:position w:val="2"/>
          <w:vertAlign w:val="baseline"/>
        </w:rPr>
        <w:t>10%</w:t>
      </w:r>
      <w:r>
        <w:rPr>
          <w:spacing w:val="3"/>
          <w:position w:val="2"/>
          <w:vertAlign w:val="baseline"/>
        </w:rPr>
        <w:t xml:space="preserve">时所对应的最远距离 </w:t>
      </w:r>
      <w:r>
        <w:rPr>
          <w:rFonts w:ascii="Times New Roman" w:eastAsia="Times New Roman"/>
          <w:spacing w:val="3"/>
          <w:position w:val="2"/>
          <w:vertAlign w:val="baseline"/>
        </w:rPr>
        <w:t>D</w:t>
      </w:r>
      <w:r>
        <w:rPr>
          <w:rFonts w:ascii="Times New Roman" w:eastAsia="Times New Roman"/>
          <w:spacing w:val="3"/>
          <w:position w:val="2"/>
          <w:vertAlign w:val="subscript"/>
        </w:rPr>
        <w:t>10%</w:t>
      </w:r>
      <w:r>
        <w:rPr>
          <w:spacing w:val="-15"/>
          <w:position w:val="2"/>
          <w:vertAlign w:val="baseline"/>
        </w:rPr>
        <w:t xml:space="preserve">。其中，最大地面质量浓度占标率 </w:t>
      </w:r>
      <w:r>
        <w:rPr>
          <w:rFonts w:ascii="Times New Roman" w:eastAsia="Times New Roman"/>
          <w:position w:val="2"/>
          <w:vertAlign w:val="baseline"/>
        </w:rPr>
        <w:t>P</w:t>
      </w:r>
      <w:r>
        <w:rPr>
          <w:rFonts w:ascii="Times New Roman" w:eastAsia="Times New Roman"/>
          <w:position w:val="2"/>
          <w:vertAlign w:val="subscript"/>
        </w:rPr>
        <w:t>i</w:t>
      </w:r>
      <w:r>
        <w:rPr>
          <w:rFonts w:ascii="Times New Roman" w:eastAsia="Times New Roman"/>
          <w:position w:val="2"/>
          <w:vertAlign w:val="baseline"/>
        </w:rPr>
        <w:t xml:space="preserve"> </w:t>
      </w:r>
      <w:r>
        <w:rPr>
          <w:spacing w:val="-4"/>
          <w:position w:val="2"/>
          <w:vertAlign w:val="baseline"/>
        </w:rPr>
        <w:t>计算公式</w:t>
      </w:r>
      <w:r>
        <w:rPr>
          <w:vertAlign w:val="baseline"/>
        </w:rPr>
        <w:t>如下：</w:t>
      </w:r>
    </w:p>
    <w:p w14:paraId="48640399">
      <w:pPr>
        <w:spacing w:before="0" w:line="283" w:lineRule="exact"/>
        <w:ind w:left="0" w:right="141" w:firstLine="0"/>
        <w:jc w:val="center"/>
        <w:rPr>
          <w:rFonts w:ascii="Cambria Math" w:hAnsi="Cambria Math"/>
          <w:sz w:val="21"/>
        </w:rPr>
      </w:pPr>
      <w:r>
        <w:pict>
          <v:line id="_x0000_s1221" o:spid="_x0000_s1221" o:spt="20" style="position:absolute;left:0pt;margin-left:282.95pt;margin-top:12.45pt;height:0pt;width:12.45pt;mso-position-horizontal-relative:page;z-index:-251650048;mso-width-relative:page;mso-height-relative:page;" stroked="t" coordsize="21600,21600">
            <v:path arrowok="t"/>
            <v:fill focussize="0,0"/>
            <v:stroke weight="0.692992125984252pt" color="#000000"/>
            <v:imagedata o:title=""/>
            <o:lock v:ext="edit"/>
          </v:line>
        </w:pict>
      </w:r>
      <w:r>
        <w:rPr>
          <w:rFonts w:ascii="Cambria Math" w:hAnsi="Cambria Math"/>
          <w:sz w:val="21"/>
        </w:rPr>
        <w:t xml:space="preserve">P  =  </w:t>
      </w:r>
      <w:r>
        <w:rPr>
          <w:rFonts w:ascii="Cambria Math" w:hAnsi="Cambria Math"/>
          <w:position w:val="16"/>
          <w:sz w:val="21"/>
        </w:rPr>
        <w:t>C</w:t>
      </w:r>
      <w:r>
        <w:rPr>
          <w:rFonts w:ascii="Cambria Math" w:hAnsi="Cambria Math"/>
          <w:position w:val="12"/>
          <w:sz w:val="15"/>
        </w:rPr>
        <w:t xml:space="preserve">i   </w:t>
      </w:r>
      <w:r>
        <w:rPr>
          <w:rFonts w:ascii="Cambria Math" w:hAnsi="Cambria Math"/>
          <w:sz w:val="21"/>
        </w:rPr>
        <w:t>× 100%</w:t>
      </w:r>
    </w:p>
    <w:p w14:paraId="50B9D0CC">
      <w:pPr>
        <w:tabs>
          <w:tab w:val="left" w:pos="319"/>
        </w:tabs>
        <w:spacing w:before="0" w:line="244" w:lineRule="exact"/>
        <w:ind w:left="0" w:right="806" w:firstLine="0"/>
        <w:jc w:val="center"/>
        <w:rPr>
          <w:rFonts w:ascii="Cambria Math"/>
          <w:sz w:val="15"/>
        </w:rPr>
      </w:pPr>
      <w:r>
        <w:rPr>
          <w:rFonts w:ascii="Cambria Math"/>
          <w:position w:val="14"/>
          <w:sz w:val="15"/>
        </w:rPr>
        <w:t>i</w:t>
      </w:r>
      <w:r>
        <w:rPr>
          <w:rFonts w:ascii="Cambria Math"/>
          <w:position w:val="14"/>
          <w:sz w:val="15"/>
        </w:rPr>
        <w:tab/>
      </w:r>
      <w:r>
        <w:rPr>
          <w:rFonts w:ascii="Cambria Math"/>
          <w:position w:val="5"/>
          <w:sz w:val="21"/>
        </w:rPr>
        <w:t>C</w:t>
      </w:r>
      <w:r>
        <w:rPr>
          <w:rFonts w:ascii="Cambria Math"/>
          <w:sz w:val="15"/>
        </w:rPr>
        <w:t>0i</w:t>
      </w:r>
    </w:p>
    <w:p w14:paraId="70BC5536">
      <w:pPr>
        <w:pStyle w:val="10"/>
        <w:spacing w:before="100"/>
        <w:ind w:left="220"/>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个污染物的最大地面质量浓度占标率，</w:t>
      </w:r>
      <w:r>
        <w:rPr>
          <w:rFonts w:ascii="Times New Roman" w:hAnsi="Times New Roman" w:eastAsia="Times New Roman"/>
          <w:position w:val="2"/>
          <w:vertAlign w:val="baseline"/>
        </w:rPr>
        <w:t>%</w:t>
      </w:r>
      <w:r>
        <w:rPr>
          <w:position w:val="2"/>
          <w:vertAlign w:val="baseline"/>
        </w:rPr>
        <w:t>；</w:t>
      </w:r>
    </w:p>
    <w:p w14:paraId="1081F2F8">
      <w:pPr>
        <w:pStyle w:val="10"/>
        <w:spacing w:before="156"/>
        <w:ind w:left="820"/>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采用估算模式计算出的第 </w:t>
      </w:r>
      <w:r>
        <w:rPr>
          <w:rFonts w:ascii="Times New Roman" w:hAnsi="Times New Roman" w:eastAsia="Times New Roman"/>
          <w:position w:val="2"/>
          <w:vertAlign w:val="baseline"/>
        </w:rPr>
        <w:t xml:space="preserve">i </w:t>
      </w:r>
      <w:r>
        <w:rPr>
          <w:position w:val="2"/>
          <w:vertAlign w:val="baseline"/>
        </w:rPr>
        <w:t xml:space="preserve">个污染物的最大 </w:t>
      </w:r>
      <w:r>
        <w:rPr>
          <w:rFonts w:ascii="Times New Roman" w:hAnsi="Times New Roman" w:eastAsia="Times New Roman"/>
          <w:position w:val="2"/>
          <w:vertAlign w:val="baseline"/>
        </w:rPr>
        <w:t xml:space="preserve">1h </w:t>
      </w:r>
      <w:r>
        <w:rPr>
          <w:position w:val="2"/>
          <w:vertAlign w:val="baseline"/>
        </w:rPr>
        <w:t>地面空气质量浓度，</w:t>
      </w:r>
    </w:p>
    <w:p w14:paraId="7AD65372">
      <w:pPr>
        <w:pStyle w:val="10"/>
        <w:spacing w:before="159"/>
        <w:ind w:left="220"/>
      </w:pPr>
      <w:r>
        <w:rPr>
          <w:rFonts w:ascii="Times New Roman" w:hAnsi="Times New Roman" w:eastAsia="Times New Roman"/>
        </w:rPr>
        <w:t>μg/m</w:t>
      </w:r>
      <w:r>
        <w:rPr>
          <w:rFonts w:ascii="Times New Roman" w:hAnsi="Times New Roman" w:eastAsia="Times New Roman"/>
          <w:position w:val="8"/>
          <w:sz w:val="15"/>
        </w:rPr>
        <w:t>3</w:t>
      </w:r>
      <w:r>
        <w:t>；</w:t>
      </w:r>
    </w:p>
    <w:p w14:paraId="0B9E5EEE">
      <w:pPr>
        <w:pStyle w:val="10"/>
        <w:spacing w:before="158" w:line="364" w:lineRule="auto"/>
        <w:ind w:left="700" w:right="2346" w:firstLine="120"/>
      </w:pPr>
      <w:r>
        <w:rPr>
          <w:rFonts w:ascii="Times New Roman" w:hAnsi="Times New Roman" w:eastAsia="Times New Roman"/>
          <w:position w:val="2"/>
        </w:rPr>
        <w:t>C</w:t>
      </w:r>
      <w:r>
        <w:rPr>
          <w:rFonts w:ascii="Times New Roman" w:hAnsi="Times New Roman" w:eastAsia="Times New Roman"/>
          <w:position w:val="2"/>
          <w:vertAlign w:val="subscript"/>
        </w:rPr>
        <w:t>oi</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个污染物的环境空气质量浓度标准，</w:t>
      </w:r>
      <w:r>
        <w:rPr>
          <w:rFonts w:ascii="Times New Roman" w:hAnsi="Times New Roman" w:eastAsia="Times New Roman"/>
          <w:position w:val="2"/>
          <w:vertAlign w:val="baseline"/>
        </w:rPr>
        <w:t>μg/m3</w:t>
      </w:r>
      <w:r>
        <w:rPr>
          <w:position w:val="2"/>
          <w:vertAlign w:val="baseline"/>
        </w:rPr>
        <w:t>。</w:t>
      </w:r>
      <w:r>
        <w:rPr>
          <w:vertAlign w:val="baseline"/>
        </w:rPr>
        <w:t>大气评价等级按下表的分级判据进行划分。</w:t>
      </w:r>
    </w:p>
    <w:p w14:paraId="226E9DB7">
      <w:pPr>
        <w:pStyle w:val="10"/>
        <w:ind w:right="4125"/>
        <w:jc w:val="center"/>
      </w:pPr>
      <w:r>
        <w:t>大气评价工作分级依据见下表。</w:t>
      </w:r>
    </w:p>
    <w:p w14:paraId="464F91E7">
      <w:pPr>
        <w:pStyle w:val="9"/>
        <w:tabs>
          <w:tab w:val="left" w:pos="1039"/>
        </w:tabs>
        <w:spacing w:before="160"/>
        <w:ind w:left="0" w:right="142"/>
        <w:jc w:val="center"/>
      </w:pPr>
      <w:r>
        <w:t>表</w:t>
      </w:r>
      <w:r>
        <w:rPr>
          <w:spacing w:val="-62"/>
        </w:rPr>
        <w:t xml:space="preserve"> </w:t>
      </w:r>
      <w:r>
        <w:rPr>
          <w:rFonts w:ascii="Times New Roman" w:eastAsia="Times New Roman"/>
        </w:rPr>
        <w:t>1.5-1</w:t>
      </w:r>
      <w:r>
        <w:rPr>
          <w:rFonts w:ascii="Times New Roman" w:eastAsia="Times New Roman"/>
        </w:rPr>
        <w:tab/>
      </w:r>
      <w:r>
        <w:t>评价等级判别表</w:t>
      </w:r>
    </w:p>
    <w:p w14:paraId="71C0276B">
      <w:pPr>
        <w:pStyle w:val="10"/>
        <w:spacing w:before="3"/>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76"/>
        <w:gridCol w:w="5928"/>
      </w:tblGrid>
      <w:tr w14:paraId="7D3C6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66DD0693">
            <w:pPr>
              <w:pStyle w:val="17"/>
              <w:spacing w:before="35"/>
              <w:ind w:left="641" w:right="629"/>
              <w:rPr>
                <w:sz w:val="21"/>
              </w:rPr>
            </w:pPr>
            <w:r>
              <w:rPr>
                <w:sz w:val="21"/>
              </w:rPr>
              <w:t>评价工作等级</w:t>
            </w:r>
          </w:p>
        </w:tc>
        <w:tc>
          <w:tcPr>
            <w:tcW w:w="5928" w:type="dxa"/>
            <w:tcBorders>
              <w:right w:val="nil"/>
            </w:tcBorders>
          </w:tcPr>
          <w:p w14:paraId="4733FA38">
            <w:pPr>
              <w:pStyle w:val="17"/>
              <w:spacing w:before="35"/>
              <w:ind w:left="2102" w:right="2101"/>
              <w:rPr>
                <w:sz w:val="21"/>
              </w:rPr>
            </w:pPr>
            <w:r>
              <w:rPr>
                <w:sz w:val="21"/>
              </w:rPr>
              <w:t>评价工作分级判据</w:t>
            </w:r>
          </w:p>
        </w:tc>
      </w:tr>
      <w:tr w14:paraId="3EFD9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3AB40804">
            <w:pPr>
              <w:pStyle w:val="17"/>
              <w:spacing w:before="36"/>
              <w:ind w:left="641" w:right="629"/>
              <w:rPr>
                <w:sz w:val="21"/>
              </w:rPr>
            </w:pPr>
            <w:r>
              <w:rPr>
                <w:sz w:val="21"/>
              </w:rPr>
              <w:t>一级</w:t>
            </w:r>
          </w:p>
        </w:tc>
        <w:tc>
          <w:tcPr>
            <w:tcW w:w="5928" w:type="dxa"/>
            <w:tcBorders>
              <w:right w:val="nil"/>
            </w:tcBorders>
          </w:tcPr>
          <w:p w14:paraId="2B2805FC">
            <w:pPr>
              <w:pStyle w:val="17"/>
              <w:spacing w:before="50"/>
              <w:ind w:left="2102" w:right="2099"/>
              <w:rPr>
                <w:rFonts w:ascii="Times New Roman" w:hAnsi="Times New Roman"/>
                <w:sz w:val="21"/>
              </w:rPr>
            </w:pPr>
            <w:r>
              <w:rPr>
                <w:rFonts w:ascii="Times New Roman" w:hAnsi="Times New Roman"/>
                <w:sz w:val="21"/>
              </w:rPr>
              <w:t>Pmax ≥ 10%</w:t>
            </w:r>
          </w:p>
        </w:tc>
      </w:tr>
      <w:tr w14:paraId="1D9FC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2F6E5596">
            <w:pPr>
              <w:pStyle w:val="17"/>
              <w:spacing w:before="34"/>
              <w:ind w:left="641" w:right="629"/>
              <w:rPr>
                <w:sz w:val="21"/>
              </w:rPr>
            </w:pPr>
            <w:r>
              <w:rPr>
                <w:sz w:val="21"/>
              </w:rPr>
              <w:t>二级</w:t>
            </w:r>
          </w:p>
        </w:tc>
        <w:tc>
          <w:tcPr>
            <w:tcW w:w="5928" w:type="dxa"/>
            <w:tcBorders>
              <w:right w:val="nil"/>
            </w:tcBorders>
          </w:tcPr>
          <w:p w14:paraId="00351054">
            <w:pPr>
              <w:pStyle w:val="17"/>
              <w:spacing w:before="34"/>
              <w:ind w:left="2101" w:right="2101"/>
              <w:rPr>
                <w:rFonts w:ascii="Times New Roman" w:hAnsi="Times New Roman" w:eastAsia="Times New Roman"/>
                <w:sz w:val="21"/>
              </w:rPr>
            </w:pPr>
            <w:r>
              <w:rPr>
                <w:rFonts w:ascii="Times New Roman" w:hAnsi="Times New Roman" w:eastAsia="Times New Roman"/>
                <w:sz w:val="21"/>
              </w:rPr>
              <w:t>1 ≤ Pmax</w:t>
            </w:r>
            <w:r>
              <w:rPr>
                <w:sz w:val="21"/>
              </w:rPr>
              <w:t>﹤</w:t>
            </w:r>
            <w:r>
              <w:rPr>
                <w:rFonts w:ascii="Times New Roman" w:hAnsi="Times New Roman" w:eastAsia="Times New Roman"/>
                <w:sz w:val="21"/>
              </w:rPr>
              <w:t>10%</w:t>
            </w:r>
          </w:p>
        </w:tc>
      </w:tr>
      <w:tr w14:paraId="05302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76" w:type="dxa"/>
            <w:tcBorders>
              <w:left w:val="nil"/>
            </w:tcBorders>
          </w:tcPr>
          <w:p w14:paraId="352C4CA4">
            <w:pPr>
              <w:pStyle w:val="17"/>
              <w:spacing w:before="34"/>
              <w:ind w:left="641" w:right="629"/>
              <w:rPr>
                <w:sz w:val="21"/>
              </w:rPr>
            </w:pPr>
            <w:r>
              <w:rPr>
                <w:sz w:val="21"/>
              </w:rPr>
              <w:t>三级</w:t>
            </w:r>
          </w:p>
        </w:tc>
        <w:tc>
          <w:tcPr>
            <w:tcW w:w="5928" w:type="dxa"/>
            <w:tcBorders>
              <w:right w:val="nil"/>
            </w:tcBorders>
          </w:tcPr>
          <w:p w14:paraId="3E207A76">
            <w:pPr>
              <w:pStyle w:val="17"/>
              <w:spacing w:before="34"/>
              <w:ind w:left="2102" w:right="2099"/>
              <w:rPr>
                <w:rFonts w:ascii="Times New Roman" w:eastAsia="Times New Roman"/>
                <w:sz w:val="21"/>
              </w:rPr>
            </w:pPr>
            <w:r>
              <w:rPr>
                <w:rFonts w:ascii="Times New Roman" w:eastAsia="Times New Roman"/>
                <w:sz w:val="21"/>
              </w:rPr>
              <w:t>Pmax</w:t>
            </w:r>
            <w:r>
              <w:rPr>
                <w:sz w:val="21"/>
              </w:rPr>
              <w:t>﹤</w:t>
            </w:r>
            <w:r>
              <w:rPr>
                <w:rFonts w:ascii="Times New Roman" w:eastAsia="Times New Roman"/>
                <w:sz w:val="21"/>
              </w:rPr>
              <w:t>1%</w:t>
            </w:r>
          </w:p>
        </w:tc>
      </w:tr>
    </w:tbl>
    <w:p w14:paraId="13F8FDD1">
      <w:pPr>
        <w:pStyle w:val="10"/>
        <w:spacing w:before="82"/>
        <w:ind w:left="820"/>
      </w:pPr>
      <w:r>
        <w:t>本项目估算模型参数见下表。</w:t>
      </w:r>
    </w:p>
    <w:p w14:paraId="6B38311D">
      <w:pPr>
        <w:pStyle w:val="9"/>
        <w:spacing w:before="82"/>
        <w:ind w:left="0" w:right="142"/>
        <w:jc w:val="center"/>
      </w:pPr>
      <w:r>
        <w:t xml:space="preserve">表 </w:t>
      </w:r>
      <w:r>
        <w:rPr>
          <w:rFonts w:ascii="Times New Roman" w:eastAsia="Times New Roman"/>
        </w:rPr>
        <w:t xml:space="preserve">1.5-2 </w:t>
      </w:r>
      <w:r>
        <w:t>项目估算模型参数表</w:t>
      </w:r>
    </w:p>
    <w:p w14:paraId="24F3578E">
      <w:pPr>
        <w:pStyle w:val="10"/>
        <w:spacing w:before="3"/>
        <w:rPr>
          <w:b/>
          <w:sz w:val="12"/>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7"/>
        <w:gridCol w:w="3107"/>
        <w:gridCol w:w="2516"/>
      </w:tblGrid>
      <w:tr w14:paraId="5BD8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676F350A">
            <w:pPr>
              <w:pStyle w:val="17"/>
              <w:spacing w:before="21"/>
              <w:ind w:left="2219" w:right="2206"/>
              <w:rPr>
                <w:sz w:val="21"/>
              </w:rPr>
            </w:pPr>
            <w:r>
              <w:rPr>
                <w:sz w:val="21"/>
              </w:rPr>
              <w:t>参数</w:t>
            </w:r>
          </w:p>
        </w:tc>
        <w:tc>
          <w:tcPr>
            <w:tcW w:w="2516" w:type="dxa"/>
            <w:tcBorders>
              <w:right w:val="nil"/>
            </w:tcBorders>
          </w:tcPr>
          <w:p w14:paraId="1E411B7B">
            <w:pPr>
              <w:pStyle w:val="17"/>
              <w:spacing w:before="21"/>
              <w:ind w:right="1042"/>
              <w:jc w:val="right"/>
              <w:rPr>
                <w:sz w:val="21"/>
              </w:rPr>
            </w:pPr>
            <w:r>
              <w:rPr>
                <w:w w:val="95"/>
                <w:sz w:val="21"/>
              </w:rPr>
              <w:t>取值</w:t>
            </w:r>
          </w:p>
        </w:tc>
      </w:tr>
      <w:tr w14:paraId="24E87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306BEB32">
            <w:pPr>
              <w:pStyle w:val="17"/>
              <w:spacing w:before="181"/>
              <w:ind w:left="793"/>
              <w:jc w:val="left"/>
              <w:rPr>
                <w:sz w:val="21"/>
              </w:rPr>
            </w:pPr>
            <w:r>
              <w:rPr>
                <w:sz w:val="21"/>
              </w:rPr>
              <w:t>城市</w:t>
            </w:r>
            <w:r>
              <w:rPr>
                <w:rFonts w:ascii="Times New Roman" w:eastAsia="Times New Roman"/>
                <w:sz w:val="21"/>
              </w:rPr>
              <w:t>/</w:t>
            </w:r>
            <w:r>
              <w:rPr>
                <w:sz w:val="21"/>
              </w:rPr>
              <w:t>农村选项</w:t>
            </w:r>
          </w:p>
        </w:tc>
        <w:tc>
          <w:tcPr>
            <w:tcW w:w="3107" w:type="dxa"/>
          </w:tcPr>
          <w:p w14:paraId="3FC09DB5">
            <w:pPr>
              <w:pStyle w:val="17"/>
              <w:spacing w:before="20"/>
              <w:ind w:left="481" w:right="476"/>
              <w:rPr>
                <w:sz w:val="21"/>
              </w:rPr>
            </w:pPr>
            <w:r>
              <w:rPr>
                <w:sz w:val="21"/>
              </w:rPr>
              <w:t>城市</w:t>
            </w:r>
            <w:r>
              <w:rPr>
                <w:rFonts w:ascii="Times New Roman" w:eastAsia="Times New Roman"/>
                <w:sz w:val="21"/>
              </w:rPr>
              <w:t>/</w:t>
            </w:r>
            <w:r>
              <w:rPr>
                <w:sz w:val="21"/>
              </w:rPr>
              <w:t>农村</w:t>
            </w:r>
          </w:p>
        </w:tc>
        <w:tc>
          <w:tcPr>
            <w:tcW w:w="2516" w:type="dxa"/>
            <w:tcBorders>
              <w:right w:val="nil"/>
            </w:tcBorders>
          </w:tcPr>
          <w:p w14:paraId="5C6AEB95">
            <w:pPr>
              <w:pStyle w:val="17"/>
              <w:spacing w:before="20"/>
              <w:ind w:right="1042"/>
              <w:jc w:val="right"/>
              <w:rPr>
                <w:sz w:val="21"/>
              </w:rPr>
            </w:pPr>
            <w:r>
              <w:rPr>
                <w:w w:val="95"/>
                <w:sz w:val="21"/>
              </w:rPr>
              <w:t>农村</w:t>
            </w:r>
          </w:p>
        </w:tc>
      </w:tr>
      <w:tr w14:paraId="6D229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97" w:type="dxa"/>
            <w:vMerge w:val="continue"/>
            <w:tcBorders>
              <w:top w:val="nil"/>
              <w:left w:val="nil"/>
            </w:tcBorders>
          </w:tcPr>
          <w:p w14:paraId="36E08629">
            <w:pPr>
              <w:rPr>
                <w:sz w:val="2"/>
                <w:szCs w:val="2"/>
              </w:rPr>
            </w:pPr>
          </w:p>
        </w:tc>
        <w:tc>
          <w:tcPr>
            <w:tcW w:w="3107" w:type="dxa"/>
          </w:tcPr>
          <w:p w14:paraId="2540E371">
            <w:pPr>
              <w:pStyle w:val="17"/>
              <w:spacing w:before="20"/>
              <w:ind w:left="481" w:right="476"/>
              <w:rPr>
                <w:sz w:val="21"/>
              </w:rPr>
            </w:pPr>
            <w:r>
              <w:rPr>
                <w:sz w:val="21"/>
              </w:rPr>
              <w:t>人口数（城市选项时）</w:t>
            </w:r>
          </w:p>
        </w:tc>
        <w:tc>
          <w:tcPr>
            <w:tcW w:w="2516" w:type="dxa"/>
            <w:tcBorders>
              <w:right w:val="nil"/>
            </w:tcBorders>
          </w:tcPr>
          <w:p w14:paraId="5E77952A">
            <w:pPr>
              <w:pStyle w:val="17"/>
              <w:spacing w:before="34"/>
              <w:ind w:left="3"/>
              <w:rPr>
                <w:rFonts w:ascii="Times New Roman"/>
                <w:sz w:val="21"/>
              </w:rPr>
            </w:pPr>
            <w:r>
              <w:rPr>
                <w:rFonts w:ascii="Times New Roman"/>
                <w:w w:val="99"/>
                <w:sz w:val="21"/>
              </w:rPr>
              <w:t>/</w:t>
            </w:r>
          </w:p>
        </w:tc>
      </w:tr>
      <w:tr w14:paraId="3772C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00322E89">
            <w:pPr>
              <w:pStyle w:val="17"/>
              <w:spacing w:before="19"/>
              <w:ind w:left="2219" w:right="2206"/>
              <w:rPr>
                <w:rFonts w:ascii="Times New Roman" w:hAnsi="Times New Roman" w:eastAsia="Times New Roman"/>
                <w:sz w:val="21"/>
              </w:rPr>
            </w:pPr>
            <w:r>
              <w:rPr>
                <w:sz w:val="21"/>
              </w:rPr>
              <w:t>最高环境温度</w:t>
            </w:r>
            <w:r>
              <w:rPr>
                <w:rFonts w:ascii="Times New Roman" w:hAnsi="Times New Roman" w:eastAsia="Times New Roman"/>
                <w:sz w:val="21"/>
              </w:rPr>
              <w:t>/℃</w:t>
            </w:r>
          </w:p>
        </w:tc>
        <w:tc>
          <w:tcPr>
            <w:tcW w:w="2516" w:type="dxa"/>
            <w:tcBorders>
              <w:right w:val="nil"/>
            </w:tcBorders>
          </w:tcPr>
          <w:p w14:paraId="2926B507">
            <w:pPr>
              <w:pStyle w:val="17"/>
              <w:spacing w:before="33"/>
              <w:ind w:right="963"/>
              <w:jc w:val="right"/>
              <w:rPr>
                <w:rFonts w:ascii="Times New Roman" w:hAnsi="Times New Roman"/>
                <w:sz w:val="21"/>
              </w:rPr>
            </w:pPr>
            <w:r>
              <w:rPr>
                <w:rFonts w:ascii="Times New Roman" w:hAnsi="Times New Roman"/>
                <w:sz w:val="21"/>
              </w:rPr>
              <w:t>40.4℃</w:t>
            </w:r>
          </w:p>
        </w:tc>
      </w:tr>
      <w:tr w14:paraId="46F72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7C102ACE">
            <w:pPr>
              <w:pStyle w:val="17"/>
              <w:spacing w:before="19"/>
              <w:ind w:left="2219" w:right="2206"/>
              <w:rPr>
                <w:rFonts w:ascii="Times New Roman" w:hAnsi="Times New Roman" w:eastAsia="Times New Roman"/>
                <w:sz w:val="21"/>
              </w:rPr>
            </w:pPr>
            <w:r>
              <w:rPr>
                <w:sz w:val="21"/>
              </w:rPr>
              <w:t>最低环境温度</w:t>
            </w:r>
            <w:r>
              <w:rPr>
                <w:rFonts w:ascii="Times New Roman" w:hAnsi="Times New Roman" w:eastAsia="Times New Roman"/>
                <w:sz w:val="21"/>
              </w:rPr>
              <w:t>/℃</w:t>
            </w:r>
          </w:p>
        </w:tc>
        <w:tc>
          <w:tcPr>
            <w:tcW w:w="2516" w:type="dxa"/>
            <w:tcBorders>
              <w:right w:val="nil"/>
            </w:tcBorders>
          </w:tcPr>
          <w:p w14:paraId="2995D98F">
            <w:pPr>
              <w:pStyle w:val="17"/>
              <w:spacing w:before="33"/>
              <w:ind w:right="980"/>
              <w:jc w:val="right"/>
              <w:rPr>
                <w:rFonts w:ascii="Times New Roman" w:hAnsi="Times New Roman"/>
                <w:sz w:val="21"/>
              </w:rPr>
            </w:pPr>
            <w:r>
              <w:rPr>
                <w:rFonts w:ascii="Times New Roman" w:hAnsi="Times New Roman"/>
                <w:sz w:val="21"/>
              </w:rPr>
              <w:t>-7.1℃</w:t>
            </w:r>
          </w:p>
        </w:tc>
      </w:tr>
      <w:tr w14:paraId="56EC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004" w:type="dxa"/>
            <w:gridSpan w:val="2"/>
            <w:tcBorders>
              <w:left w:val="nil"/>
            </w:tcBorders>
          </w:tcPr>
          <w:p w14:paraId="00C4A56B">
            <w:pPr>
              <w:pStyle w:val="17"/>
              <w:spacing w:before="19"/>
              <w:ind w:left="2217" w:right="2206"/>
              <w:rPr>
                <w:sz w:val="21"/>
              </w:rPr>
            </w:pPr>
            <w:r>
              <w:rPr>
                <w:sz w:val="21"/>
              </w:rPr>
              <w:t>地表类型</w:t>
            </w:r>
          </w:p>
        </w:tc>
        <w:tc>
          <w:tcPr>
            <w:tcW w:w="2516" w:type="dxa"/>
            <w:tcBorders>
              <w:right w:val="nil"/>
            </w:tcBorders>
          </w:tcPr>
          <w:p w14:paraId="7F7B1681">
            <w:pPr>
              <w:pStyle w:val="17"/>
              <w:spacing w:before="19"/>
              <w:ind w:right="937"/>
              <w:jc w:val="right"/>
              <w:rPr>
                <w:sz w:val="21"/>
              </w:rPr>
            </w:pPr>
            <w:r>
              <w:rPr>
                <w:w w:val="95"/>
                <w:sz w:val="21"/>
              </w:rPr>
              <w:t>农作地</w:t>
            </w:r>
          </w:p>
        </w:tc>
      </w:tr>
    </w:tbl>
    <w:p w14:paraId="7CF0A5FB">
      <w:pPr>
        <w:spacing w:after="0"/>
        <w:jc w:val="right"/>
        <w:rPr>
          <w:sz w:val="21"/>
        </w:rPr>
        <w:sectPr>
          <w:pgSz w:w="11910" w:h="16840"/>
          <w:pgMar w:top="1500" w:right="1440" w:bottom="1220" w:left="1580" w:header="0" w:footer="102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7"/>
        <w:gridCol w:w="3107"/>
        <w:gridCol w:w="2516"/>
      </w:tblGrid>
      <w:tr w14:paraId="4FC7C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004" w:type="dxa"/>
            <w:gridSpan w:val="2"/>
            <w:tcBorders>
              <w:left w:val="nil"/>
            </w:tcBorders>
          </w:tcPr>
          <w:p w14:paraId="33DE69F3">
            <w:pPr>
              <w:pStyle w:val="17"/>
              <w:spacing w:before="21"/>
              <w:ind w:left="2219" w:right="2206"/>
              <w:rPr>
                <w:sz w:val="21"/>
              </w:rPr>
            </w:pPr>
            <w:r>
              <w:rPr>
                <w:sz w:val="21"/>
              </w:rPr>
              <w:t>参数</w:t>
            </w:r>
          </w:p>
        </w:tc>
        <w:tc>
          <w:tcPr>
            <w:tcW w:w="2516" w:type="dxa"/>
            <w:tcBorders>
              <w:right w:val="nil"/>
            </w:tcBorders>
          </w:tcPr>
          <w:p w14:paraId="3EB1E83F">
            <w:pPr>
              <w:pStyle w:val="17"/>
              <w:spacing w:before="21"/>
              <w:ind w:left="816" w:right="813"/>
              <w:rPr>
                <w:sz w:val="21"/>
              </w:rPr>
            </w:pPr>
            <w:r>
              <w:rPr>
                <w:sz w:val="21"/>
              </w:rPr>
              <w:t>取值</w:t>
            </w:r>
          </w:p>
        </w:tc>
      </w:tr>
      <w:tr w14:paraId="0F1E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004" w:type="dxa"/>
            <w:gridSpan w:val="2"/>
            <w:tcBorders>
              <w:left w:val="nil"/>
            </w:tcBorders>
          </w:tcPr>
          <w:p w14:paraId="4384B230">
            <w:pPr>
              <w:pStyle w:val="17"/>
              <w:spacing w:before="20"/>
              <w:ind w:left="2219" w:right="2206"/>
              <w:rPr>
                <w:sz w:val="21"/>
              </w:rPr>
            </w:pPr>
            <w:r>
              <w:rPr>
                <w:sz w:val="21"/>
              </w:rPr>
              <w:t>区域湿度条件</w:t>
            </w:r>
          </w:p>
        </w:tc>
        <w:tc>
          <w:tcPr>
            <w:tcW w:w="2516" w:type="dxa"/>
            <w:tcBorders>
              <w:right w:val="nil"/>
            </w:tcBorders>
          </w:tcPr>
          <w:p w14:paraId="0BB72730">
            <w:pPr>
              <w:pStyle w:val="17"/>
              <w:spacing w:before="20"/>
              <w:ind w:left="816" w:right="815"/>
              <w:rPr>
                <w:sz w:val="21"/>
              </w:rPr>
            </w:pPr>
            <w:r>
              <w:rPr>
                <w:sz w:val="21"/>
              </w:rPr>
              <w:t>潮湿气候</w:t>
            </w:r>
          </w:p>
        </w:tc>
      </w:tr>
      <w:tr w14:paraId="79806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5260BFC8">
            <w:pPr>
              <w:pStyle w:val="17"/>
              <w:spacing w:before="1"/>
              <w:jc w:val="left"/>
              <w:rPr>
                <w:b/>
                <w:sz w:val="14"/>
              </w:rPr>
            </w:pPr>
          </w:p>
          <w:p w14:paraId="745D54EB">
            <w:pPr>
              <w:pStyle w:val="17"/>
              <w:spacing w:before="1"/>
              <w:ind w:left="822"/>
              <w:jc w:val="left"/>
              <w:rPr>
                <w:sz w:val="21"/>
              </w:rPr>
            </w:pPr>
            <w:r>
              <w:rPr>
                <w:sz w:val="21"/>
              </w:rPr>
              <w:t>是否考虑地形</w:t>
            </w:r>
          </w:p>
        </w:tc>
        <w:tc>
          <w:tcPr>
            <w:tcW w:w="3107" w:type="dxa"/>
          </w:tcPr>
          <w:p w14:paraId="44154E01">
            <w:pPr>
              <w:pStyle w:val="17"/>
              <w:spacing w:before="20"/>
              <w:ind w:left="481" w:right="473"/>
              <w:rPr>
                <w:sz w:val="21"/>
              </w:rPr>
            </w:pPr>
            <w:r>
              <w:rPr>
                <w:sz w:val="21"/>
              </w:rPr>
              <w:t>考虑地形</w:t>
            </w:r>
          </w:p>
        </w:tc>
        <w:tc>
          <w:tcPr>
            <w:tcW w:w="2516" w:type="dxa"/>
            <w:tcBorders>
              <w:right w:val="nil"/>
            </w:tcBorders>
          </w:tcPr>
          <w:p w14:paraId="0222362C">
            <w:pPr>
              <w:pStyle w:val="17"/>
              <w:spacing w:before="20"/>
              <w:ind w:left="1"/>
              <w:rPr>
                <w:sz w:val="21"/>
              </w:rPr>
            </w:pPr>
            <w:r>
              <w:rPr>
                <w:w w:val="99"/>
                <w:sz w:val="21"/>
              </w:rPr>
              <w:t>是</w:t>
            </w:r>
          </w:p>
        </w:tc>
      </w:tr>
      <w:tr w14:paraId="3CB4D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continue"/>
            <w:tcBorders>
              <w:top w:val="nil"/>
              <w:left w:val="nil"/>
            </w:tcBorders>
          </w:tcPr>
          <w:p w14:paraId="431CBB28">
            <w:pPr>
              <w:rPr>
                <w:sz w:val="2"/>
                <w:szCs w:val="2"/>
              </w:rPr>
            </w:pPr>
          </w:p>
        </w:tc>
        <w:tc>
          <w:tcPr>
            <w:tcW w:w="3107" w:type="dxa"/>
          </w:tcPr>
          <w:p w14:paraId="6FFE6474">
            <w:pPr>
              <w:pStyle w:val="17"/>
              <w:spacing w:before="20"/>
              <w:ind w:left="481" w:right="474"/>
              <w:rPr>
                <w:rFonts w:ascii="Times New Roman" w:eastAsia="Times New Roman"/>
                <w:sz w:val="21"/>
              </w:rPr>
            </w:pPr>
            <w:r>
              <w:rPr>
                <w:sz w:val="21"/>
              </w:rPr>
              <w:t>地形数据分辨率</w:t>
            </w:r>
            <w:r>
              <w:rPr>
                <w:rFonts w:ascii="Times New Roman" w:eastAsia="Times New Roman"/>
                <w:sz w:val="21"/>
              </w:rPr>
              <w:t>/m</w:t>
            </w:r>
          </w:p>
        </w:tc>
        <w:tc>
          <w:tcPr>
            <w:tcW w:w="2516" w:type="dxa"/>
            <w:tcBorders>
              <w:right w:val="nil"/>
            </w:tcBorders>
          </w:tcPr>
          <w:p w14:paraId="5EC9CA38">
            <w:pPr>
              <w:pStyle w:val="17"/>
              <w:spacing w:before="34"/>
              <w:ind w:left="816" w:right="814"/>
              <w:rPr>
                <w:rFonts w:ascii="Times New Roman"/>
                <w:sz w:val="21"/>
              </w:rPr>
            </w:pPr>
            <w:r>
              <w:rPr>
                <w:rFonts w:ascii="Times New Roman"/>
                <w:sz w:val="21"/>
              </w:rPr>
              <w:t>90</w:t>
            </w:r>
          </w:p>
        </w:tc>
      </w:tr>
      <w:tr w14:paraId="2D8BB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restart"/>
            <w:tcBorders>
              <w:left w:val="nil"/>
            </w:tcBorders>
          </w:tcPr>
          <w:p w14:paraId="11231683">
            <w:pPr>
              <w:pStyle w:val="17"/>
              <w:spacing w:before="10"/>
              <w:jc w:val="left"/>
              <w:rPr>
                <w:b/>
                <w:sz w:val="26"/>
              </w:rPr>
            </w:pPr>
          </w:p>
          <w:p w14:paraId="6C414EA8">
            <w:pPr>
              <w:pStyle w:val="17"/>
              <w:ind w:left="613"/>
              <w:jc w:val="left"/>
              <w:rPr>
                <w:sz w:val="21"/>
              </w:rPr>
            </w:pPr>
            <w:r>
              <w:rPr>
                <w:sz w:val="21"/>
              </w:rPr>
              <w:t>是否考虑岸线熏烟</w:t>
            </w:r>
          </w:p>
        </w:tc>
        <w:tc>
          <w:tcPr>
            <w:tcW w:w="3107" w:type="dxa"/>
          </w:tcPr>
          <w:p w14:paraId="601B9519">
            <w:pPr>
              <w:pStyle w:val="17"/>
              <w:spacing w:before="22"/>
              <w:ind w:left="481" w:right="476"/>
              <w:rPr>
                <w:sz w:val="21"/>
              </w:rPr>
            </w:pPr>
            <w:r>
              <w:rPr>
                <w:sz w:val="21"/>
              </w:rPr>
              <w:t>考虑岸线熏烟</w:t>
            </w:r>
          </w:p>
        </w:tc>
        <w:tc>
          <w:tcPr>
            <w:tcW w:w="2516" w:type="dxa"/>
            <w:tcBorders>
              <w:right w:val="nil"/>
            </w:tcBorders>
          </w:tcPr>
          <w:p w14:paraId="51EF593B">
            <w:pPr>
              <w:pStyle w:val="17"/>
              <w:spacing w:before="36"/>
              <w:ind w:left="816" w:right="813"/>
              <w:rPr>
                <w:rFonts w:ascii="Times New Roman" w:hAnsi="Times New Roman"/>
                <w:sz w:val="21"/>
              </w:rPr>
            </w:pPr>
            <w:r>
              <w:rPr>
                <w:rFonts w:ascii="Times New Roman" w:hAnsi="Times New Roman"/>
                <w:sz w:val="21"/>
              </w:rPr>
              <w:t>——</w:t>
            </w:r>
          </w:p>
        </w:tc>
      </w:tr>
      <w:tr w14:paraId="425FC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7" w:type="dxa"/>
            <w:vMerge w:val="continue"/>
            <w:tcBorders>
              <w:top w:val="nil"/>
              <w:left w:val="nil"/>
            </w:tcBorders>
          </w:tcPr>
          <w:p w14:paraId="795B8312">
            <w:pPr>
              <w:rPr>
                <w:sz w:val="2"/>
                <w:szCs w:val="2"/>
              </w:rPr>
            </w:pPr>
          </w:p>
        </w:tc>
        <w:tc>
          <w:tcPr>
            <w:tcW w:w="3107" w:type="dxa"/>
          </w:tcPr>
          <w:p w14:paraId="0785AA1C">
            <w:pPr>
              <w:pStyle w:val="17"/>
              <w:spacing w:before="21"/>
              <w:ind w:left="481" w:right="474"/>
              <w:rPr>
                <w:rFonts w:ascii="Times New Roman" w:eastAsia="Times New Roman"/>
                <w:sz w:val="21"/>
              </w:rPr>
            </w:pPr>
            <w:r>
              <w:rPr>
                <w:sz w:val="21"/>
              </w:rPr>
              <w:t>岸线距离</w:t>
            </w:r>
            <w:r>
              <w:rPr>
                <w:rFonts w:ascii="Times New Roman" w:eastAsia="Times New Roman"/>
                <w:sz w:val="21"/>
              </w:rPr>
              <w:t>/km</w:t>
            </w:r>
          </w:p>
        </w:tc>
        <w:tc>
          <w:tcPr>
            <w:tcW w:w="2516" w:type="dxa"/>
            <w:tcBorders>
              <w:right w:val="nil"/>
            </w:tcBorders>
          </w:tcPr>
          <w:p w14:paraId="5BB6A537">
            <w:pPr>
              <w:pStyle w:val="17"/>
              <w:spacing w:before="35"/>
              <w:ind w:left="816" w:right="813"/>
              <w:rPr>
                <w:rFonts w:ascii="Times New Roman" w:hAnsi="Times New Roman"/>
                <w:sz w:val="21"/>
              </w:rPr>
            </w:pPr>
            <w:r>
              <w:rPr>
                <w:rFonts w:ascii="Times New Roman" w:hAnsi="Times New Roman"/>
                <w:sz w:val="21"/>
              </w:rPr>
              <w:t>——</w:t>
            </w:r>
          </w:p>
        </w:tc>
      </w:tr>
      <w:tr w14:paraId="0DBD9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97" w:type="dxa"/>
            <w:vMerge w:val="continue"/>
            <w:tcBorders>
              <w:top w:val="nil"/>
              <w:left w:val="nil"/>
            </w:tcBorders>
          </w:tcPr>
          <w:p w14:paraId="71BD9F27">
            <w:pPr>
              <w:rPr>
                <w:sz w:val="2"/>
                <w:szCs w:val="2"/>
              </w:rPr>
            </w:pPr>
          </w:p>
        </w:tc>
        <w:tc>
          <w:tcPr>
            <w:tcW w:w="3107" w:type="dxa"/>
          </w:tcPr>
          <w:p w14:paraId="4FD94E92">
            <w:pPr>
              <w:pStyle w:val="17"/>
              <w:spacing w:before="21"/>
              <w:ind w:left="481" w:right="474"/>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516" w:type="dxa"/>
            <w:tcBorders>
              <w:right w:val="nil"/>
            </w:tcBorders>
          </w:tcPr>
          <w:p w14:paraId="3B015302">
            <w:pPr>
              <w:pStyle w:val="17"/>
              <w:spacing w:before="35"/>
              <w:ind w:left="816" w:right="813"/>
              <w:rPr>
                <w:rFonts w:ascii="Times New Roman" w:hAnsi="Times New Roman"/>
                <w:sz w:val="21"/>
              </w:rPr>
            </w:pPr>
            <w:r>
              <w:rPr>
                <w:rFonts w:ascii="Times New Roman" w:hAnsi="Times New Roman"/>
                <w:sz w:val="21"/>
              </w:rPr>
              <w:t>——</w:t>
            </w:r>
          </w:p>
        </w:tc>
      </w:tr>
    </w:tbl>
    <w:p w14:paraId="6BC76C74">
      <w:pPr>
        <w:pStyle w:val="10"/>
        <w:spacing w:before="82" w:line="364" w:lineRule="auto"/>
        <w:ind w:left="220" w:right="369" w:firstLine="504"/>
      </w:pPr>
      <w:r>
        <w:t>本项目选取有大气环境质量标准限值的污染物进行估算，项目污染源估算模型计算结果见下表。</w:t>
      </w:r>
    </w:p>
    <w:p w14:paraId="6EDFB176">
      <w:pPr>
        <w:pStyle w:val="9"/>
        <w:spacing w:before="1"/>
        <w:ind w:left="2466"/>
      </w:pPr>
      <w:r>
        <w:t xml:space="preserve">表 </w:t>
      </w:r>
      <w:r>
        <w:rPr>
          <w:rFonts w:ascii="Times New Roman" w:eastAsia="Times New Roman"/>
        </w:rPr>
        <w:t xml:space="preserve">1.5-3 </w:t>
      </w:r>
      <w:r>
        <w:t>大气环境影响评价等级结果</w:t>
      </w:r>
    </w:p>
    <w:p w14:paraId="7CF466E5">
      <w:pPr>
        <w:pStyle w:val="10"/>
        <w:spacing w:before="2"/>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1683"/>
        <w:gridCol w:w="1729"/>
        <w:gridCol w:w="1524"/>
        <w:gridCol w:w="1159"/>
        <w:gridCol w:w="1195"/>
      </w:tblGrid>
      <w:tr w14:paraId="57450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9" w:type="dxa"/>
            <w:tcBorders>
              <w:left w:val="nil"/>
            </w:tcBorders>
          </w:tcPr>
          <w:p w14:paraId="240FB524">
            <w:pPr>
              <w:pStyle w:val="17"/>
              <w:spacing w:before="176"/>
              <w:ind w:left="303"/>
              <w:jc w:val="left"/>
              <w:rPr>
                <w:sz w:val="21"/>
              </w:rPr>
            </w:pPr>
            <w:r>
              <w:rPr>
                <w:sz w:val="21"/>
              </w:rPr>
              <w:t>污染源</w:t>
            </w:r>
          </w:p>
        </w:tc>
        <w:tc>
          <w:tcPr>
            <w:tcW w:w="1683" w:type="dxa"/>
          </w:tcPr>
          <w:p w14:paraId="22604932">
            <w:pPr>
              <w:pStyle w:val="17"/>
              <w:spacing w:before="176"/>
              <w:ind w:left="31" w:right="22"/>
              <w:rPr>
                <w:sz w:val="21"/>
              </w:rPr>
            </w:pPr>
            <w:r>
              <w:rPr>
                <w:sz w:val="21"/>
              </w:rPr>
              <w:t>污染物</w:t>
            </w:r>
          </w:p>
        </w:tc>
        <w:tc>
          <w:tcPr>
            <w:tcW w:w="1729" w:type="dxa"/>
          </w:tcPr>
          <w:p w14:paraId="3EE6F877">
            <w:pPr>
              <w:pStyle w:val="17"/>
              <w:spacing w:before="20"/>
              <w:ind w:left="212" w:right="207"/>
              <w:rPr>
                <w:sz w:val="21"/>
              </w:rPr>
            </w:pPr>
            <w:r>
              <w:rPr>
                <w:sz w:val="21"/>
              </w:rPr>
              <w:t>最大落地浓度</w:t>
            </w:r>
          </w:p>
          <w:p w14:paraId="7F8D7FBF">
            <w:pPr>
              <w:pStyle w:val="17"/>
              <w:spacing w:before="43"/>
              <w:ind w:left="212" w:right="202"/>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524" w:type="dxa"/>
          </w:tcPr>
          <w:p w14:paraId="3FAE9E72">
            <w:pPr>
              <w:pStyle w:val="17"/>
              <w:spacing w:before="20"/>
              <w:ind w:left="445"/>
              <w:jc w:val="left"/>
              <w:rPr>
                <w:sz w:val="21"/>
              </w:rPr>
            </w:pPr>
            <w:r>
              <w:rPr>
                <w:w w:val="95"/>
                <w:sz w:val="21"/>
              </w:rPr>
              <w:t>占标率</w:t>
            </w:r>
          </w:p>
          <w:p w14:paraId="6EC7D08E">
            <w:pPr>
              <w:pStyle w:val="17"/>
              <w:spacing w:before="43"/>
              <w:ind w:left="462"/>
              <w:jc w:val="left"/>
              <w:rPr>
                <w:sz w:val="21"/>
              </w:rPr>
            </w:pPr>
            <w:r>
              <w:rPr>
                <w:sz w:val="21"/>
              </w:rPr>
              <w:t>（</w:t>
            </w:r>
            <w:r>
              <w:rPr>
                <w:rFonts w:ascii="Times New Roman" w:eastAsia="Times New Roman"/>
                <w:sz w:val="21"/>
              </w:rPr>
              <w:t>%</w:t>
            </w:r>
            <w:r>
              <w:rPr>
                <w:sz w:val="21"/>
              </w:rPr>
              <w:t>）</w:t>
            </w:r>
          </w:p>
        </w:tc>
        <w:tc>
          <w:tcPr>
            <w:tcW w:w="1159" w:type="dxa"/>
          </w:tcPr>
          <w:p w14:paraId="39CE41F0">
            <w:pPr>
              <w:pStyle w:val="17"/>
              <w:spacing w:before="34"/>
              <w:ind w:left="340"/>
              <w:jc w:val="left"/>
              <w:rPr>
                <w:rFonts w:ascii="Times New Roman"/>
                <w:sz w:val="21"/>
              </w:rPr>
            </w:pPr>
            <w:r>
              <w:rPr>
                <w:rFonts w:ascii="Times New Roman"/>
                <w:sz w:val="21"/>
              </w:rPr>
              <w:t>Pmax</w:t>
            </w:r>
          </w:p>
          <w:p w14:paraId="4077C115">
            <w:pPr>
              <w:pStyle w:val="17"/>
              <w:spacing w:before="57"/>
              <w:ind w:left="282"/>
              <w:jc w:val="left"/>
              <w:rPr>
                <w:sz w:val="21"/>
              </w:rPr>
            </w:pPr>
            <w:r>
              <w:rPr>
                <w:sz w:val="21"/>
              </w:rPr>
              <w:t>（</w:t>
            </w:r>
            <w:r>
              <w:rPr>
                <w:rFonts w:ascii="Times New Roman" w:eastAsia="Times New Roman"/>
                <w:sz w:val="21"/>
              </w:rPr>
              <w:t>%</w:t>
            </w:r>
            <w:r>
              <w:rPr>
                <w:sz w:val="21"/>
              </w:rPr>
              <w:t>）</w:t>
            </w:r>
          </w:p>
        </w:tc>
        <w:tc>
          <w:tcPr>
            <w:tcW w:w="1195" w:type="dxa"/>
            <w:tcBorders>
              <w:right w:val="nil"/>
            </w:tcBorders>
          </w:tcPr>
          <w:p w14:paraId="4B3B8558">
            <w:pPr>
              <w:pStyle w:val="17"/>
              <w:spacing w:before="34"/>
              <w:ind w:left="328"/>
              <w:jc w:val="left"/>
              <w:rPr>
                <w:rFonts w:ascii="Times New Roman"/>
                <w:sz w:val="21"/>
              </w:rPr>
            </w:pPr>
            <w:r>
              <w:rPr>
                <w:rFonts w:ascii="Times New Roman"/>
                <w:sz w:val="21"/>
              </w:rPr>
              <w:t>D10%</w:t>
            </w:r>
          </w:p>
          <w:p w14:paraId="2459E4FF">
            <w:pPr>
              <w:pStyle w:val="17"/>
              <w:spacing w:before="57"/>
              <w:ind w:left="306"/>
              <w:jc w:val="left"/>
              <w:rPr>
                <w:sz w:val="21"/>
              </w:rPr>
            </w:pPr>
            <w:r>
              <w:rPr>
                <w:sz w:val="21"/>
              </w:rPr>
              <w:t>（</w:t>
            </w:r>
            <w:r>
              <w:rPr>
                <w:rFonts w:ascii="Times New Roman" w:eastAsia="Times New Roman"/>
                <w:sz w:val="21"/>
              </w:rPr>
              <w:t>m</w:t>
            </w:r>
            <w:r>
              <w:rPr>
                <w:sz w:val="21"/>
              </w:rPr>
              <w:t>）</w:t>
            </w:r>
          </w:p>
        </w:tc>
      </w:tr>
      <w:tr w14:paraId="71D0B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9" w:type="dxa"/>
            <w:tcBorders>
              <w:left w:val="nil"/>
            </w:tcBorders>
          </w:tcPr>
          <w:p w14:paraId="50CA821A">
            <w:pPr>
              <w:pStyle w:val="17"/>
              <w:spacing w:before="20"/>
              <w:ind w:left="157" w:right="145"/>
              <w:rPr>
                <w:sz w:val="21"/>
              </w:rPr>
            </w:pPr>
            <w:r>
              <w:rPr>
                <w:rFonts w:ascii="Times New Roman" w:eastAsia="Times New Roman"/>
                <w:sz w:val="21"/>
              </w:rPr>
              <w:t xml:space="preserve">DA001 </w:t>
            </w:r>
            <w:r>
              <w:rPr>
                <w:sz w:val="21"/>
              </w:rPr>
              <w:t>排</w:t>
            </w:r>
          </w:p>
          <w:p w14:paraId="7F18F4A1">
            <w:pPr>
              <w:pStyle w:val="17"/>
              <w:spacing w:before="43"/>
              <w:ind w:left="157" w:right="145"/>
              <w:rPr>
                <w:sz w:val="21"/>
              </w:rPr>
            </w:pPr>
            <w:r>
              <w:rPr>
                <w:sz w:val="21"/>
              </w:rPr>
              <w:t>气筒</w:t>
            </w:r>
          </w:p>
        </w:tc>
        <w:tc>
          <w:tcPr>
            <w:tcW w:w="1683" w:type="dxa"/>
          </w:tcPr>
          <w:p w14:paraId="7BE4096D">
            <w:pPr>
              <w:pStyle w:val="17"/>
              <w:spacing w:before="176"/>
              <w:ind w:left="113" w:right="11"/>
              <w:rPr>
                <w:sz w:val="21"/>
              </w:rPr>
            </w:pPr>
            <w:r>
              <w:rPr>
                <w:w w:val="95"/>
                <w:sz w:val="21"/>
              </w:rPr>
              <w:t>颗粒物（</w:t>
            </w:r>
            <w:r>
              <w:rPr>
                <w:rFonts w:ascii="Times New Roman" w:eastAsia="Times New Roman"/>
                <w:w w:val="95"/>
                <w:sz w:val="21"/>
              </w:rPr>
              <w:t>PM10</w:t>
            </w:r>
            <w:r>
              <w:rPr>
                <w:w w:val="95"/>
                <w:sz w:val="21"/>
              </w:rPr>
              <w:t>）</w:t>
            </w:r>
          </w:p>
        </w:tc>
        <w:tc>
          <w:tcPr>
            <w:tcW w:w="1729" w:type="dxa"/>
          </w:tcPr>
          <w:p w14:paraId="59F59030">
            <w:pPr>
              <w:pStyle w:val="17"/>
              <w:spacing w:before="190"/>
              <w:ind w:right="616"/>
              <w:jc w:val="right"/>
              <w:rPr>
                <w:rFonts w:ascii="Times New Roman"/>
                <w:sz w:val="21"/>
              </w:rPr>
            </w:pPr>
            <w:r>
              <w:rPr>
                <w:rFonts w:ascii="Times New Roman"/>
                <w:sz w:val="21"/>
              </w:rPr>
              <w:t>0.358</w:t>
            </w:r>
          </w:p>
        </w:tc>
        <w:tc>
          <w:tcPr>
            <w:tcW w:w="1524" w:type="dxa"/>
          </w:tcPr>
          <w:p w14:paraId="06AB7D68">
            <w:pPr>
              <w:pStyle w:val="17"/>
              <w:spacing w:before="190"/>
              <w:ind w:left="505" w:right="495"/>
              <w:rPr>
                <w:rFonts w:ascii="Times New Roman"/>
                <w:sz w:val="21"/>
              </w:rPr>
            </w:pPr>
            <w:r>
              <w:rPr>
                <w:rFonts w:ascii="Times New Roman"/>
                <w:sz w:val="21"/>
              </w:rPr>
              <w:t>0.08</w:t>
            </w:r>
          </w:p>
        </w:tc>
        <w:tc>
          <w:tcPr>
            <w:tcW w:w="1159" w:type="dxa"/>
            <w:vMerge w:val="restart"/>
          </w:tcPr>
          <w:p w14:paraId="3C1971EB">
            <w:pPr>
              <w:pStyle w:val="17"/>
              <w:jc w:val="left"/>
              <w:rPr>
                <w:b/>
                <w:sz w:val="22"/>
              </w:rPr>
            </w:pPr>
          </w:p>
          <w:p w14:paraId="0FF474E2">
            <w:pPr>
              <w:pStyle w:val="17"/>
              <w:jc w:val="left"/>
              <w:rPr>
                <w:b/>
                <w:sz w:val="22"/>
              </w:rPr>
            </w:pPr>
          </w:p>
          <w:p w14:paraId="61DFAC54">
            <w:pPr>
              <w:pStyle w:val="17"/>
              <w:spacing w:before="5"/>
              <w:jc w:val="left"/>
              <w:rPr>
                <w:b/>
                <w:sz w:val="24"/>
              </w:rPr>
            </w:pPr>
          </w:p>
          <w:p w14:paraId="7BBC8346">
            <w:pPr>
              <w:pStyle w:val="17"/>
              <w:ind w:left="342"/>
              <w:jc w:val="left"/>
              <w:rPr>
                <w:rFonts w:ascii="Times New Roman"/>
                <w:sz w:val="21"/>
              </w:rPr>
            </w:pPr>
            <w:r>
              <w:rPr>
                <w:rFonts w:ascii="Times New Roman"/>
                <w:sz w:val="21"/>
              </w:rPr>
              <w:t>13.43</w:t>
            </w:r>
          </w:p>
        </w:tc>
        <w:tc>
          <w:tcPr>
            <w:tcW w:w="1195" w:type="dxa"/>
            <w:tcBorders>
              <w:right w:val="nil"/>
            </w:tcBorders>
          </w:tcPr>
          <w:p w14:paraId="175F9282">
            <w:pPr>
              <w:pStyle w:val="17"/>
              <w:spacing w:before="190"/>
              <w:ind w:left="155" w:right="152"/>
              <w:rPr>
                <w:rFonts w:ascii="Times New Roman"/>
                <w:sz w:val="21"/>
              </w:rPr>
            </w:pPr>
            <w:r>
              <w:rPr>
                <w:rFonts w:ascii="Times New Roman"/>
                <w:sz w:val="21"/>
              </w:rPr>
              <w:t>70</w:t>
            </w:r>
          </w:p>
        </w:tc>
      </w:tr>
      <w:tr w14:paraId="2CD94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29" w:type="dxa"/>
            <w:vMerge w:val="restart"/>
            <w:tcBorders>
              <w:left w:val="nil"/>
            </w:tcBorders>
          </w:tcPr>
          <w:p w14:paraId="564A5EC8">
            <w:pPr>
              <w:pStyle w:val="17"/>
              <w:spacing w:before="53"/>
              <w:ind w:left="157" w:right="145"/>
              <w:rPr>
                <w:sz w:val="21"/>
              </w:rPr>
            </w:pPr>
            <w:r>
              <w:rPr>
                <w:rFonts w:ascii="Times New Roman" w:eastAsia="Times New Roman"/>
                <w:sz w:val="21"/>
              </w:rPr>
              <w:t xml:space="preserve">DA002 </w:t>
            </w:r>
            <w:r>
              <w:rPr>
                <w:sz w:val="21"/>
              </w:rPr>
              <w:t>排</w:t>
            </w:r>
          </w:p>
          <w:p w14:paraId="4CAFF1D2">
            <w:pPr>
              <w:pStyle w:val="17"/>
              <w:spacing w:before="43"/>
              <w:ind w:left="157" w:right="145"/>
              <w:rPr>
                <w:sz w:val="21"/>
              </w:rPr>
            </w:pPr>
            <w:r>
              <w:rPr>
                <w:sz w:val="21"/>
              </w:rPr>
              <w:t>气筒</w:t>
            </w:r>
          </w:p>
        </w:tc>
        <w:tc>
          <w:tcPr>
            <w:tcW w:w="1683" w:type="dxa"/>
          </w:tcPr>
          <w:p w14:paraId="2B21FB94">
            <w:pPr>
              <w:pStyle w:val="17"/>
              <w:spacing w:before="34"/>
              <w:ind w:left="113" w:right="11"/>
              <w:rPr>
                <w:sz w:val="21"/>
              </w:rPr>
            </w:pPr>
            <w:r>
              <w:rPr>
                <w:w w:val="95"/>
                <w:sz w:val="21"/>
              </w:rPr>
              <w:t>颗粒物（</w:t>
            </w:r>
            <w:r>
              <w:rPr>
                <w:rFonts w:ascii="Times New Roman" w:eastAsia="Times New Roman"/>
                <w:w w:val="95"/>
                <w:sz w:val="21"/>
              </w:rPr>
              <w:t>PM10</w:t>
            </w:r>
            <w:r>
              <w:rPr>
                <w:w w:val="95"/>
                <w:sz w:val="21"/>
              </w:rPr>
              <w:t>）</w:t>
            </w:r>
          </w:p>
        </w:tc>
        <w:tc>
          <w:tcPr>
            <w:tcW w:w="1729" w:type="dxa"/>
          </w:tcPr>
          <w:p w14:paraId="538B8392">
            <w:pPr>
              <w:pStyle w:val="17"/>
              <w:spacing w:before="48"/>
              <w:ind w:right="616"/>
              <w:jc w:val="right"/>
              <w:rPr>
                <w:rFonts w:ascii="Times New Roman"/>
                <w:sz w:val="21"/>
              </w:rPr>
            </w:pPr>
            <w:r>
              <w:rPr>
                <w:rFonts w:ascii="Times New Roman"/>
                <w:sz w:val="21"/>
              </w:rPr>
              <w:t>0.477</w:t>
            </w:r>
          </w:p>
        </w:tc>
        <w:tc>
          <w:tcPr>
            <w:tcW w:w="1524" w:type="dxa"/>
          </w:tcPr>
          <w:p w14:paraId="6340939E">
            <w:pPr>
              <w:pStyle w:val="17"/>
              <w:spacing w:before="48"/>
              <w:ind w:left="505" w:right="493"/>
              <w:rPr>
                <w:rFonts w:ascii="Times New Roman"/>
                <w:sz w:val="21"/>
              </w:rPr>
            </w:pPr>
            <w:r>
              <w:rPr>
                <w:rFonts w:ascii="Times New Roman"/>
                <w:sz w:val="21"/>
              </w:rPr>
              <w:t>0.11</w:t>
            </w:r>
          </w:p>
        </w:tc>
        <w:tc>
          <w:tcPr>
            <w:tcW w:w="1159" w:type="dxa"/>
            <w:vMerge w:val="continue"/>
            <w:tcBorders>
              <w:top w:val="nil"/>
            </w:tcBorders>
          </w:tcPr>
          <w:p w14:paraId="546B7C35">
            <w:pPr>
              <w:rPr>
                <w:sz w:val="2"/>
                <w:szCs w:val="2"/>
              </w:rPr>
            </w:pPr>
          </w:p>
        </w:tc>
        <w:tc>
          <w:tcPr>
            <w:tcW w:w="1195" w:type="dxa"/>
            <w:vMerge w:val="restart"/>
            <w:tcBorders>
              <w:right w:val="nil"/>
            </w:tcBorders>
          </w:tcPr>
          <w:p w14:paraId="6DD573AA">
            <w:pPr>
              <w:pStyle w:val="17"/>
              <w:spacing w:before="5"/>
              <w:jc w:val="left"/>
              <w:rPr>
                <w:b/>
                <w:sz w:val="17"/>
              </w:rPr>
            </w:pPr>
          </w:p>
          <w:p w14:paraId="01FAA8E3">
            <w:pPr>
              <w:pStyle w:val="17"/>
              <w:ind w:left="155" w:right="152"/>
              <w:rPr>
                <w:rFonts w:ascii="Times New Roman"/>
                <w:sz w:val="21"/>
              </w:rPr>
            </w:pPr>
            <w:r>
              <w:rPr>
                <w:rFonts w:ascii="Times New Roman"/>
                <w:sz w:val="21"/>
              </w:rPr>
              <w:t>70</w:t>
            </w:r>
          </w:p>
        </w:tc>
      </w:tr>
      <w:tr w14:paraId="16A09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dxa"/>
            <w:vMerge w:val="continue"/>
            <w:tcBorders>
              <w:top w:val="nil"/>
              <w:left w:val="nil"/>
            </w:tcBorders>
          </w:tcPr>
          <w:p w14:paraId="38EA920F">
            <w:pPr>
              <w:rPr>
                <w:sz w:val="2"/>
                <w:szCs w:val="2"/>
              </w:rPr>
            </w:pPr>
          </w:p>
        </w:tc>
        <w:tc>
          <w:tcPr>
            <w:tcW w:w="1683" w:type="dxa"/>
          </w:tcPr>
          <w:p w14:paraId="044F1C72">
            <w:pPr>
              <w:pStyle w:val="17"/>
              <w:spacing w:before="34"/>
              <w:ind w:left="28" w:right="22"/>
              <w:rPr>
                <w:sz w:val="21"/>
              </w:rPr>
            </w:pPr>
            <w:r>
              <w:rPr>
                <w:sz w:val="21"/>
              </w:rPr>
              <w:t>非甲烷总烃</w:t>
            </w:r>
          </w:p>
        </w:tc>
        <w:tc>
          <w:tcPr>
            <w:tcW w:w="1729" w:type="dxa"/>
          </w:tcPr>
          <w:p w14:paraId="685AA724">
            <w:pPr>
              <w:pStyle w:val="17"/>
              <w:spacing w:before="48"/>
              <w:ind w:right="668"/>
              <w:jc w:val="right"/>
              <w:rPr>
                <w:rFonts w:ascii="Times New Roman"/>
                <w:sz w:val="21"/>
              </w:rPr>
            </w:pPr>
            <w:r>
              <w:rPr>
                <w:rFonts w:ascii="Times New Roman"/>
                <w:sz w:val="21"/>
              </w:rPr>
              <w:t>93.7</w:t>
            </w:r>
          </w:p>
        </w:tc>
        <w:tc>
          <w:tcPr>
            <w:tcW w:w="1524" w:type="dxa"/>
          </w:tcPr>
          <w:p w14:paraId="1B3ACAF1">
            <w:pPr>
              <w:pStyle w:val="17"/>
              <w:spacing w:before="48"/>
              <w:ind w:left="505" w:right="495"/>
              <w:rPr>
                <w:rFonts w:ascii="Times New Roman"/>
                <w:sz w:val="21"/>
              </w:rPr>
            </w:pPr>
            <w:r>
              <w:rPr>
                <w:rFonts w:ascii="Times New Roman"/>
                <w:sz w:val="21"/>
              </w:rPr>
              <w:t>4.69</w:t>
            </w:r>
          </w:p>
        </w:tc>
        <w:tc>
          <w:tcPr>
            <w:tcW w:w="1159" w:type="dxa"/>
            <w:vMerge w:val="continue"/>
            <w:tcBorders>
              <w:top w:val="nil"/>
            </w:tcBorders>
          </w:tcPr>
          <w:p w14:paraId="0C77FC8A">
            <w:pPr>
              <w:rPr>
                <w:sz w:val="2"/>
                <w:szCs w:val="2"/>
              </w:rPr>
            </w:pPr>
          </w:p>
        </w:tc>
        <w:tc>
          <w:tcPr>
            <w:tcW w:w="1195" w:type="dxa"/>
            <w:vMerge w:val="continue"/>
            <w:tcBorders>
              <w:top w:val="nil"/>
              <w:right w:val="nil"/>
            </w:tcBorders>
          </w:tcPr>
          <w:p w14:paraId="7F38288E">
            <w:pPr>
              <w:rPr>
                <w:sz w:val="2"/>
                <w:szCs w:val="2"/>
              </w:rPr>
            </w:pPr>
          </w:p>
        </w:tc>
      </w:tr>
      <w:tr w14:paraId="2124A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9" w:type="dxa"/>
            <w:vMerge w:val="restart"/>
            <w:tcBorders>
              <w:left w:val="nil"/>
            </w:tcBorders>
          </w:tcPr>
          <w:p w14:paraId="39ECFCA3">
            <w:pPr>
              <w:pStyle w:val="17"/>
              <w:spacing w:before="3"/>
              <w:jc w:val="left"/>
              <w:rPr>
                <w:b/>
                <w:sz w:val="15"/>
              </w:rPr>
            </w:pPr>
          </w:p>
          <w:p w14:paraId="52BDB454">
            <w:pPr>
              <w:pStyle w:val="17"/>
              <w:ind w:left="198"/>
              <w:jc w:val="left"/>
              <w:rPr>
                <w:sz w:val="21"/>
              </w:rPr>
            </w:pPr>
            <w:r>
              <w:rPr>
                <w:sz w:val="21"/>
              </w:rPr>
              <w:t>生产车间</w:t>
            </w:r>
          </w:p>
        </w:tc>
        <w:tc>
          <w:tcPr>
            <w:tcW w:w="1683" w:type="dxa"/>
          </w:tcPr>
          <w:p w14:paraId="738F0FEA">
            <w:pPr>
              <w:pStyle w:val="17"/>
              <w:spacing w:before="20"/>
              <w:ind w:left="28" w:right="22"/>
              <w:rPr>
                <w:sz w:val="21"/>
              </w:rPr>
            </w:pPr>
            <w:r>
              <w:rPr>
                <w:sz w:val="21"/>
              </w:rPr>
              <w:t>颗粒物（</w:t>
            </w:r>
            <w:r>
              <w:rPr>
                <w:rFonts w:ascii="Times New Roman" w:eastAsia="Times New Roman"/>
                <w:sz w:val="21"/>
              </w:rPr>
              <w:t>TSP</w:t>
            </w:r>
            <w:r>
              <w:rPr>
                <w:sz w:val="21"/>
              </w:rPr>
              <w:t>）</w:t>
            </w:r>
          </w:p>
        </w:tc>
        <w:tc>
          <w:tcPr>
            <w:tcW w:w="1729" w:type="dxa"/>
          </w:tcPr>
          <w:p w14:paraId="73F6D680">
            <w:pPr>
              <w:pStyle w:val="17"/>
              <w:spacing w:before="34"/>
              <w:ind w:right="668"/>
              <w:jc w:val="right"/>
              <w:rPr>
                <w:rFonts w:ascii="Times New Roman"/>
                <w:sz w:val="21"/>
              </w:rPr>
            </w:pPr>
            <w:r>
              <w:rPr>
                <w:rFonts w:ascii="Times New Roman"/>
                <w:sz w:val="21"/>
              </w:rPr>
              <w:t>36.2</w:t>
            </w:r>
          </w:p>
        </w:tc>
        <w:tc>
          <w:tcPr>
            <w:tcW w:w="1524" w:type="dxa"/>
          </w:tcPr>
          <w:p w14:paraId="2A683CDC">
            <w:pPr>
              <w:pStyle w:val="17"/>
              <w:spacing w:before="34"/>
              <w:ind w:left="505" w:right="495"/>
              <w:rPr>
                <w:rFonts w:ascii="Times New Roman"/>
                <w:sz w:val="21"/>
              </w:rPr>
            </w:pPr>
            <w:r>
              <w:rPr>
                <w:rFonts w:ascii="Times New Roman"/>
                <w:sz w:val="21"/>
              </w:rPr>
              <w:t>4.02</w:t>
            </w:r>
          </w:p>
        </w:tc>
        <w:tc>
          <w:tcPr>
            <w:tcW w:w="1159" w:type="dxa"/>
            <w:vMerge w:val="continue"/>
            <w:tcBorders>
              <w:top w:val="nil"/>
            </w:tcBorders>
          </w:tcPr>
          <w:p w14:paraId="3908CD9D">
            <w:pPr>
              <w:rPr>
                <w:sz w:val="2"/>
                <w:szCs w:val="2"/>
              </w:rPr>
            </w:pPr>
          </w:p>
        </w:tc>
        <w:tc>
          <w:tcPr>
            <w:tcW w:w="1195" w:type="dxa"/>
            <w:vMerge w:val="restart"/>
            <w:tcBorders>
              <w:right w:val="nil"/>
            </w:tcBorders>
          </w:tcPr>
          <w:p w14:paraId="5B2375E2">
            <w:pPr>
              <w:pStyle w:val="17"/>
              <w:spacing w:before="4"/>
              <w:jc w:val="left"/>
              <w:rPr>
                <w:b/>
                <w:sz w:val="16"/>
              </w:rPr>
            </w:pPr>
          </w:p>
          <w:p w14:paraId="4A6C46B3">
            <w:pPr>
              <w:pStyle w:val="17"/>
              <w:ind w:left="155" w:right="152"/>
              <w:rPr>
                <w:rFonts w:ascii="Times New Roman"/>
                <w:sz w:val="21"/>
              </w:rPr>
            </w:pPr>
            <w:r>
              <w:rPr>
                <w:rFonts w:ascii="Times New Roman"/>
                <w:sz w:val="21"/>
              </w:rPr>
              <w:t>49</w:t>
            </w:r>
          </w:p>
        </w:tc>
      </w:tr>
      <w:tr w14:paraId="1580A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29" w:type="dxa"/>
            <w:vMerge w:val="continue"/>
            <w:tcBorders>
              <w:top w:val="nil"/>
              <w:left w:val="nil"/>
            </w:tcBorders>
          </w:tcPr>
          <w:p w14:paraId="662CB703">
            <w:pPr>
              <w:rPr>
                <w:sz w:val="2"/>
                <w:szCs w:val="2"/>
              </w:rPr>
            </w:pPr>
          </w:p>
        </w:tc>
        <w:tc>
          <w:tcPr>
            <w:tcW w:w="1683" w:type="dxa"/>
          </w:tcPr>
          <w:p w14:paraId="30067473">
            <w:pPr>
              <w:pStyle w:val="17"/>
              <w:spacing w:before="34"/>
              <w:ind w:left="28" w:right="22"/>
              <w:rPr>
                <w:sz w:val="21"/>
              </w:rPr>
            </w:pPr>
            <w:r>
              <w:rPr>
                <w:sz w:val="21"/>
              </w:rPr>
              <w:t>非甲烷总烃</w:t>
            </w:r>
          </w:p>
        </w:tc>
        <w:tc>
          <w:tcPr>
            <w:tcW w:w="1729" w:type="dxa"/>
          </w:tcPr>
          <w:p w14:paraId="5F7FBF3A">
            <w:pPr>
              <w:pStyle w:val="17"/>
              <w:spacing w:before="48"/>
              <w:ind w:left="212" w:right="204"/>
              <w:rPr>
                <w:rFonts w:ascii="Times New Roman"/>
                <w:sz w:val="21"/>
              </w:rPr>
            </w:pPr>
            <w:r>
              <w:rPr>
                <w:rFonts w:ascii="Times New Roman"/>
                <w:sz w:val="21"/>
              </w:rPr>
              <w:t>269</w:t>
            </w:r>
          </w:p>
        </w:tc>
        <w:tc>
          <w:tcPr>
            <w:tcW w:w="1524" w:type="dxa"/>
          </w:tcPr>
          <w:p w14:paraId="48C55FDB">
            <w:pPr>
              <w:pStyle w:val="17"/>
              <w:spacing w:before="48"/>
              <w:ind w:left="505" w:right="495"/>
              <w:rPr>
                <w:rFonts w:ascii="Times New Roman"/>
                <w:sz w:val="21"/>
              </w:rPr>
            </w:pPr>
            <w:r>
              <w:rPr>
                <w:rFonts w:ascii="Times New Roman"/>
                <w:sz w:val="21"/>
              </w:rPr>
              <w:t>13.43</w:t>
            </w:r>
          </w:p>
        </w:tc>
        <w:tc>
          <w:tcPr>
            <w:tcW w:w="1159" w:type="dxa"/>
            <w:vMerge w:val="continue"/>
            <w:tcBorders>
              <w:top w:val="nil"/>
            </w:tcBorders>
          </w:tcPr>
          <w:p w14:paraId="5E15BE49">
            <w:pPr>
              <w:rPr>
                <w:sz w:val="2"/>
                <w:szCs w:val="2"/>
              </w:rPr>
            </w:pPr>
          </w:p>
        </w:tc>
        <w:tc>
          <w:tcPr>
            <w:tcW w:w="1195" w:type="dxa"/>
            <w:vMerge w:val="continue"/>
            <w:tcBorders>
              <w:top w:val="nil"/>
              <w:right w:val="nil"/>
            </w:tcBorders>
          </w:tcPr>
          <w:p w14:paraId="15B402CB">
            <w:pPr>
              <w:rPr>
                <w:sz w:val="2"/>
                <w:szCs w:val="2"/>
              </w:rPr>
            </w:pPr>
          </w:p>
        </w:tc>
      </w:tr>
    </w:tbl>
    <w:p w14:paraId="53892410">
      <w:pPr>
        <w:pStyle w:val="10"/>
        <w:spacing w:before="82" w:line="364" w:lineRule="auto"/>
        <w:ind w:left="220" w:right="357" w:firstLine="480"/>
      </w:pPr>
      <w:r>
        <w:rPr>
          <w:spacing w:val="-13"/>
        </w:rPr>
        <w:t xml:space="preserve">根据上表可知，本项目 </w:t>
      </w:r>
      <w:r>
        <w:rPr>
          <w:rFonts w:ascii="Times New Roman" w:eastAsia="Times New Roman"/>
        </w:rPr>
        <w:t xml:space="preserve">Pmax </w:t>
      </w:r>
      <w:r>
        <w:rPr>
          <w:spacing w:val="-1"/>
        </w:rPr>
        <w:t>最大值出现为无组织排放的非甲烷总烃，</w:t>
      </w:r>
      <w:r>
        <w:rPr>
          <w:rFonts w:ascii="Times New Roman" w:eastAsia="Times New Roman"/>
          <w:spacing w:val="-14"/>
        </w:rPr>
        <w:t xml:space="preserve">Cmax </w:t>
      </w:r>
      <w:r>
        <w:rPr>
          <w:spacing w:val="-15"/>
        </w:rPr>
        <w:t xml:space="preserve">为 </w:t>
      </w:r>
      <w:r>
        <w:rPr>
          <w:rFonts w:ascii="Times New Roman" w:eastAsia="Times New Roman"/>
        </w:rPr>
        <w:t>269ug/m</w:t>
      </w:r>
      <w:r>
        <w:rPr>
          <w:rFonts w:ascii="Times New Roman" w:eastAsia="Times New Roman"/>
          <w:position w:val="8"/>
          <w:sz w:val="15"/>
        </w:rPr>
        <w:t xml:space="preserve">3 </w:t>
      </w:r>
      <w:r>
        <w:rPr>
          <w:spacing w:val="-48"/>
        </w:rPr>
        <w:t xml:space="preserve">， </w:t>
      </w:r>
      <w:r>
        <w:rPr>
          <w:rFonts w:ascii="Times New Roman" w:eastAsia="Times New Roman"/>
        </w:rPr>
        <w:t xml:space="preserve">Pmax </w:t>
      </w:r>
      <w:r>
        <w:rPr>
          <w:spacing w:val="-15"/>
        </w:rPr>
        <w:t xml:space="preserve">为 </w:t>
      </w:r>
      <w:r>
        <w:rPr>
          <w:rFonts w:ascii="Times New Roman" w:eastAsia="Times New Roman"/>
        </w:rPr>
        <w:t xml:space="preserve">13.43% </w:t>
      </w:r>
      <w:r>
        <w:rPr>
          <w:spacing w:val="21"/>
        </w:rPr>
        <w:t>。根据《环境影响评价技术导则大气环境》</w:t>
      </w:r>
    </w:p>
    <w:p w14:paraId="215CC634">
      <w:pPr>
        <w:pStyle w:val="10"/>
        <w:spacing w:before="1" w:line="364" w:lineRule="auto"/>
        <w:ind w:left="220" w:right="309"/>
      </w:pPr>
      <w:r>
        <w:t>（</w:t>
      </w:r>
      <w:r>
        <w:rPr>
          <w:rFonts w:ascii="Times New Roman" w:eastAsia="Times New Roman"/>
        </w:rPr>
        <w:t>HJ2.2-2018</w:t>
      </w:r>
      <w:r>
        <w:t>）分级判据，确定本项目大气环境影响评价工作等级为一级，一级评价项目应采用进一步预测模型开展大气环境影响预测与评价。</w:t>
      </w:r>
    </w:p>
    <w:p w14:paraId="31280E47">
      <w:pPr>
        <w:pStyle w:val="9"/>
        <w:spacing w:before="1"/>
        <w:ind w:left="700"/>
      </w:pPr>
      <w:r>
        <w:rPr>
          <w:rFonts w:ascii="Times New Roman" w:eastAsia="Times New Roman"/>
        </w:rPr>
        <w:t>2</w:t>
      </w:r>
      <w:r>
        <w:t>、大气环境影响评价范围</w:t>
      </w:r>
    </w:p>
    <w:p w14:paraId="46B715FB">
      <w:pPr>
        <w:pStyle w:val="10"/>
        <w:spacing w:before="161" w:line="364" w:lineRule="auto"/>
        <w:ind w:left="220" w:right="357" w:firstLine="480"/>
        <w:jc w:val="both"/>
      </w:pPr>
      <w:r>
        <w:t>根据《环境影响评价技术导则</w:t>
      </w:r>
      <w:r>
        <w:rPr>
          <w:rFonts w:ascii="Times New Roman" w:eastAsia="Times New Roman"/>
          <w:spacing w:val="2"/>
        </w:rPr>
        <w:t>-</w:t>
      </w:r>
      <w:r>
        <w:t>大气环境》</w:t>
      </w:r>
      <w:r>
        <w:rPr>
          <w:rFonts w:ascii="Times New Roman" w:eastAsia="Times New Roman"/>
        </w:rPr>
        <w:t>(HJ 2.2-2018)</w:t>
      </w:r>
      <w:r>
        <w:t>，</w:t>
      </w:r>
      <w:r>
        <w:rPr>
          <w:rFonts w:ascii="Times New Roman" w:eastAsia="Times New Roman"/>
        </w:rPr>
        <w:t xml:space="preserve">5.4.1 </w:t>
      </w:r>
      <w:r>
        <w:t>规定：一级评价项目根据建设项目排放污染物的最远影响距离（</w:t>
      </w:r>
      <w:r>
        <w:rPr>
          <w:rFonts w:ascii="Times New Roman" w:eastAsia="Times New Roman"/>
        </w:rPr>
        <w:t>D10%</w:t>
      </w:r>
      <w:r>
        <w:t>）确定大气环境影响</w:t>
      </w:r>
      <w:r>
        <w:rPr>
          <w:spacing w:val="-2"/>
        </w:rPr>
        <w:t xml:space="preserve">评价范围。 即以项目厂址为中心区域，自厂界外延 </w:t>
      </w:r>
      <w:r>
        <w:rPr>
          <w:rFonts w:ascii="Times New Roman" w:eastAsia="Times New Roman"/>
        </w:rPr>
        <w:t>D10%</w:t>
      </w:r>
      <w:r>
        <w:t>的矩形区域作为大气</w:t>
      </w:r>
      <w:r>
        <w:rPr>
          <w:spacing w:val="-5"/>
        </w:rPr>
        <w:t xml:space="preserve">环境影响评价范围。当 </w:t>
      </w:r>
      <w:r>
        <w:rPr>
          <w:rFonts w:ascii="Times New Roman" w:eastAsia="Times New Roman"/>
        </w:rPr>
        <w:t>D10%</w:t>
      </w:r>
      <w:r>
        <w:rPr>
          <w:spacing w:val="2"/>
        </w:rPr>
        <w:t xml:space="preserve">超过 </w:t>
      </w:r>
      <w:r>
        <w:rPr>
          <w:rFonts w:ascii="Times New Roman" w:eastAsia="Times New Roman"/>
        </w:rPr>
        <w:t xml:space="preserve">25 km </w:t>
      </w:r>
      <w:r>
        <w:rPr>
          <w:spacing w:val="-5"/>
        </w:rPr>
        <w:t xml:space="preserve">时，确定评价范围为边长 </w:t>
      </w:r>
      <w:r>
        <w:rPr>
          <w:rFonts w:ascii="Times New Roman" w:eastAsia="Times New Roman"/>
        </w:rPr>
        <w:t xml:space="preserve">50 km </w:t>
      </w:r>
      <w:r>
        <w:t>的矩</w:t>
      </w:r>
      <w:r>
        <w:rPr>
          <w:spacing w:val="-1"/>
        </w:rPr>
        <w:t xml:space="preserve">形区域；当 </w:t>
      </w:r>
      <w:r>
        <w:rPr>
          <w:rFonts w:ascii="Times New Roman" w:eastAsia="Times New Roman"/>
        </w:rPr>
        <w:t>D10%</w:t>
      </w:r>
      <w:r>
        <w:rPr>
          <w:spacing w:val="-21"/>
        </w:rPr>
        <w:t xml:space="preserve">小于 </w:t>
      </w:r>
      <w:r>
        <w:rPr>
          <w:rFonts w:ascii="Times New Roman" w:eastAsia="Times New Roman"/>
        </w:rPr>
        <w:t>2.5 km</w:t>
      </w:r>
      <w:r>
        <w:rPr>
          <w:rFonts w:ascii="Times New Roman" w:eastAsia="Times New Roman"/>
          <w:spacing w:val="58"/>
        </w:rPr>
        <w:t xml:space="preserve"> </w:t>
      </w:r>
      <w:r>
        <w:rPr>
          <w:spacing w:val="-1"/>
        </w:rPr>
        <w:t xml:space="preserve">时，评价范围边长取 </w:t>
      </w:r>
      <w:r>
        <w:rPr>
          <w:rFonts w:ascii="Times New Roman" w:eastAsia="Times New Roman"/>
        </w:rPr>
        <w:t>5 km</w:t>
      </w:r>
      <w:r>
        <w:t>。</w:t>
      </w:r>
    </w:p>
    <w:p w14:paraId="66E72B83">
      <w:pPr>
        <w:pStyle w:val="10"/>
        <w:spacing w:before="3" w:line="364" w:lineRule="auto"/>
        <w:ind w:left="220" w:right="357" w:firstLine="480"/>
      </w:pPr>
      <w:r>
        <w:rPr>
          <w:spacing w:val="-16"/>
        </w:rPr>
        <w:t xml:space="preserve">本项目 </w:t>
      </w:r>
      <w:r>
        <w:rPr>
          <w:rFonts w:ascii="Times New Roman" w:hAnsi="Times New Roman" w:eastAsia="Times New Roman"/>
        </w:rPr>
        <w:t xml:space="preserve">D10%=70m </w:t>
      </w:r>
      <w:r>
        <w:rPr>
          <w:spacing w:val="-21"/>
        </w:rPr>
        <w:t xml:space="preserve">小于 </w:t>
      </w:r>
      <w:r>
        <w:rPr>
          <w:rFonts w:ascii="Times New Roman" w:hAnsi="Times New Roman" w:eastAsia="Times New Roman"/>
        </w:rPr>
        <w:t>2.5 km</w:t>
      </w:r>
      <w:r>
        <w:rPr>
          <w:rFonts w:ascii="Times New Roman" w:hAnsi="Times New Roman" w:eastAsia="Times New Roman"/>
          <w:spacing w:val="55"/>
        </w:rPr>
        <w:t xml:space="preserve"> </w:t>
      </w:r>
      <w:r>
        <w:rPr>
          <w:spacing w:val="-9"/>
        </w:rPr>
        <w:t>时，故本项目大气环境影响评价范围定为以</w:t>
      </w:r>
      <w:r>
        <w:rPr>
          <w:spacing w:val="-14"/>
        </w:rPr>
        <w:t xml:space="preserve">项目厂址为中心，边长 </w:t>
      </w:r>
      <w:r>
        <w:rPr>
          <w:rFonts w:ascii="Times New Roman" w:hAnsi="Times New Roman" w:eastAsia="Times New Roman"/>
        </w:rPr>
        <w:t xml:space="preserve">5.0×5.0km </w:t>
      </w:r>
      <w:r>
        <w:t>的矩形区域。</w:t>
      </w:r>
    </w:p>
    <w:p w14:paraId="5F9DF376">
      <w:pPr>
        <w:pStyle w:val="16"/>
        <w:numPr>
          <w:ilvl w:val="2"/>
          <w:numId w:val="6"/>
        </w:numPr>
        <w:tabs>
          <w:tab w:val="left" w:pos="849"/>
        </w:tabs>
        <w:spacing w:before="52" w:after="0" w:line="240" w:lineRule="auto"/>
        <w:ind w:left="848" w:right="0" w:hanging="628"/>
        <w:jc w:val="left"/>
        <w:rPr>
          <w:b/>
          <w:sz w:val="28"/>
        </w:rPr>
      </w:pPr>
      <w:r>
        <w:rPr>
          <w:b/>
          <w:sz w:val="28"/>
        </w:rPr>
        <w:t>地表水环境影响评价工作等级及评价范围</w:t>
      </w:r>
    </w:p>
    <w:p w14:paraId="0118DF12">
      <w:pPr>
        <w:pStyle w:val="9"/>
        <w:spacing w:before="214"/>
        <w:ind w:left="700"/>
      </w:pPr>
      <w:r>
        <w:rPr>
          <w:rFonts w:ascii="Times New Roman" w:eastAsia="Times New Roman"/>
        </w:rPr>
        <w:t>1</w:t>
      </w:r>
      <w:r>
        <w:t>、地表水环境影响评价等级</w:t>
      </w:r>
    </w:p>
    <w:p w14:paraId="366929B6">
      <w:pPr>
        <w:pStyle w:val="10"/>
        <w:spacing w:before="161" w:line="364" w:lineRule="auto"/>
        <w:ind w:left="220" w:right="357" w:firstLine="480"/>
      </w:pPr>
      <w:r>
        <w:t>《环境影响评价技术导则 地表水环境》（</w:t>
      </w:r>
      <w:r>
        <w:rPr>
          <w:rFonts w:ascii="Times New Roman" w:eastAsia="Times New Roman"/>
        </w:rPr>
        <w:t>HJ2.3-2018</w:t>
      </w:r>
      <w:r>
        <w:t>）的评价等级判定依据如下表所示。</w:t>
      </w:r>
    </w:p>
    <w:p w14:paraId="53FB6B71">
      <w:pPr>
        <w:spacing w:after="0" w:line="364" w:lineRule="auto"/>
        <w:sectPr>
          <w:pgSz w:w="11910" w:h="16840"/>
          <w:pgMar w:top="1420" w:right="1440" w:bottom="1220" w:left="1580" w:header="0" w:footer="1024" w:gutter="0"/>
          <w:cols w:space="720" w:num="1"/>
        </w:sectPr>
      </w:pPr>
    </w:p>
    <w:p w14:paraId="2D46AFB5">
      <w:pPr>
        <w:pStyle w:val="9"/>
        <w:spacing w:before="62"/>
        <w:ind w:left="2255"/>
      </w:pPr>
      <w:r>
        <w:t xml:space="preserve">表 </w:t>
      </w:r>
      <w:r>
        <w:rPr>
          <w:rFonts w:ascii="Times New Roman" w:eastAsia="Times New Roman"/>
        </w:rPr>
        <w:t xml:space="preserve">1.5-4 </w:t>
      </w:r>
      <w:r>
        <w:t>地表水环境评价工作等级判定表</w:t>
      </w:r>
    </w:p>
    <w:p w14:paraId="321A735E">
      <w:pPr>
        <w:pStyle w:val="10"/>
        <w:spacing w:before="3"/>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2"/>
        <w:gridCol w:w="1699"/>
        <w:gridCol w:w="5449"/>
      </w:tblGrid>
      <w:tr w14:paraId="033DD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vMerge w:val="restart"/>
            <w:tcBorders>
              <w:left w:val="nil"/>
            </w:tcBorders>
          </w:tcPr>
          <w:p w14:paraId="0FD75448">
            <w:pPr>
              <w:pStyle w:val="17"/>
              <w:spacing w:before="2"/>
              <w:jc w:val="left"/>
              <w:rPr>
                <w:b/>
                <w:sz w:val="14"/>
              </w:rPr>
            </w:pPr>
          </w:p>
          <w:p w14:paraId="4E6BA5F8">
            <w:pPr>
              <w:pStyle w:val="17"/>
              <w:ind w:left="270"/>
              <w:jc w:val="left"/>
              <w:rPr>
                <w:sz w:val="21"/>
              </w:rPr>
            </w:pPr>
            <w:r>
              <w:rPr>
                <w:sz w:val="21"/>
              </w:rPr>
              <w:t>评价等级</w:t>
            </w:r>
          </w:p>
        </w:tc>
        <w:tc>
          <w:tcPr>
            <w:tcW w:w="7148" w:type="dxa"/>
            <w:gridSpan w:val="2"/>
            <w:tcBorders>
              <w:right w:val="nil"/>
            </w:tcBorders>
          </w:tcPr>
          <w:p w14:paraId="48ECD897">
            <w:pPr>
              <w:pStyle w:val="17"/>
              <w:spacing w:before="21"/>
              <w:ind w:left="2923" w:right="2920"/>
              <w:rPr>
                <w:sz w:val="21"/>
              </w:rPr>
            </w:pPr>
            <w:r>
              <w:rPr>
                <w:sz w:val="21"/>
              </w:rPr>
              <w:t>受纳水体情况</w:t>
            </w:r>
          </w:p>
        </w:tc>
      </w:tr>
      <w:tr w14:paraId="1DEA6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vMerge w:val="continue"/>
            <w:tcBorders>
              <w:top w:val="nil"/>
              <w:left w:val="nil"/>
            </w:tcBorders>
          </w:tcPr>
          <w:p w14:paraId="679C98A0">
            <w:pPr>
              <w:rPr>
                <w:sz w:val="2"/>
                <w:szCs w:val="2"/>
              </w:rPr>
            </w:pPr>
          </w:p>
        </w:tc>
        <w:tc>
          <w:tcPr>
            <w:tcW w:w="1699" w:type="dxa"/>
          </w:tcPr>
          <w:p w14:paraId="0FD85B8C">
            <w:pPr>
              <w:pStyle w:val="17"/>
              <w:spacing w:before="21"/>
              <w:ind w:left="408" w:right="401"/>
              <w:rPr>
                <w:sz w:val="21"/>
              </w:rPr>
            </w:pPr>
            <w:r>
              <w:rPr>
                <w:sz w:val="21"/>
              </w:rPr>
              <w:t>排放方式</w:t>
            </w:r>
          </w:p>
        </w:tc>
        <w:tc>
          <w:tcPr>
            <w:tcW w:w="5449" w:type="dxa"/>
            <w:tcBorders>
              <w:right w:val="nil"/>
            </w:tcBorders>
          </w:tcPr>
          <w:p w14:paraId="3626C217">
            <w:pPr>
              <w:pStyle w:val="17"/>
              <w:spacing w:before="21"/>
              <w:ind w:left="174" w:right="171"/>
              <w:rPr>
                <w:sz w:val="21"/>
              </w:rPr>
            </w:pPr>
            <w:r>
              <w:rPr>
                <w:sz w:val="21"/>
              </w:rPr>
              <w:t xml:space="preserve">废水排放量 </w:t>
            </w:r>
            <w:r>
              <w:rPr>
                <w:rFonts w:ascii="Times New Roman" w:eastAsia="Times New Roman"/>
                <w:sz w:val="21"/>
              </w:rPr>
              <w:t>Q/</w:t>
            </w: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 xml:space="preserve">）水污染物当量数 </w:t>
            </w:r>
            <w:r>
              <w:rPr>
                <w:rFonts w:ascii="Times New Roman" w:eastAsia="Times New Roman"/>
                <w:sz w:val="21"/>
              </w:rPr>
              <w:t>W/</w:t>
            </w:r>
            <w:r>
              <w:rPr>
                <w:sz w:val="21"/>
              </w:rPr>
              <w:t>（无量纲）</w:t>
            </w:r>
          </w:p>
        </w:tc>
      </w:tr>
      <w:tr w14:paraId="3273D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2" w:type="dxa"/>
            <w:tcBorders>
              <w:left w:val="nil"/>
            </w:tcBorders>
          </w:tcPr>
          <w:p w14:paraId="1FA34FF0">
            <w:pPr>
              <w:pStyle w:val="17"/>
              <w:spacing w:before="20"/>
              <w:ind w:left="93" w:right="80"/>
              <w:rPr>
                <w:sz w:val="21"/>
              </w:rPr>
            </w:pPr>
            <w:r>
              <w:rPr>
                <w:sz w:val="21"/>
              </w:rPr>
              <w:t>一级</w:t>
            </w:r>
          </w:p>
        </w:tc>
        <w:tc>
          <w:tcPr>
            <w:tcW w:w="1699" w:type="dxa"/>
          </w:tcPr>
          <w:p w14:paraId="64283920">
            <w:pPr>
              <w:pStyle w:val="17"/>
              <w:spacing w:before="20"/>
              <w:ind w:left="408" w:right="401"/>
              <w:rPr>
                <w:sz w:val="21"/>
              </w:rPr>
            </w:pPr>
            <w:r>
              <w:rPr>
                <w:sz w:val="21"/>
              </w:rPr>
              <w:t>直接排放</w:t>
            </w:r>
          </w:p>
        </w:tc>
        <w:tc>
          <w:tcPr>
            <w:tcW w:w="5449" w:type="dxa"/>
            <w:tcBorders>
              <w:right w:val="nil"/>
            </w:tcBorders>
          </w:tcPr>
          <w:p w14:paraId="541A0E4D">
            <w:pPr>
              <w:pStyle w:val="17"/>
              <w:spacing w:before="20"/>
              <w:ind w:left="173" w:right="171"/>
              <w:rPr>
                <w:rFonts w:ascii="Times New Roman" w:hAnsi="Times New Roman" w:eastAsia="Times New Roman"/>
                <w:sz w:val="21"/>
              </w:rPr>
            </w:pPr>
            <w:r>
              <w:rPr>
                <w:rFonts w:ascii="Times New Roman" w:hAnsi="Times New Roman" w:eastAsia="Times New Roman"/>
                <w:sz w:val="21"/>
              </w:rPr>
              <w:t xml:space="preserve">Q≥20000 </w:t>
            </w:r>
            <w:r>
              <w:rPr>
                <w:sz w:val="21"/>
              </w:rPr>
              <w:t xml:space="preserve">或 </w:t>
            </w:r>
            <w:r>
              <w:rPr>
                <w:rFonts w:ascii="Times New Roman" w:hAnsi="Times New Roman" w:eastAsia="Times New Roman"/>
                <w:sz w:val="21"/>
              </w:rPr>
              <w:t>W≥600000</w:t>
            </w:r>
          </w:p>
        </w:tc>
      </w:tr>
      <w:tr w14:paraId="1DF99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2E4A3593">
            <w:pPr>
              <w:pStyle w:val="17"/>
              <w:spacing w:before="20"/>
              <w:ind w:left="93" w:right="80"/>
              <w:rPr>
                <w:sz w:val="21"/>
              </w:rPr>
            </w:pPr>
            <w:r>
              <w:rPr>
                <w:sz w:val="21"/>
              </w:rPr>
              <w:t>二级</w:t>
            </w:r>
          </w:p>
        </w:tc>
        <w:tc>
          <w:tcPr>
            <w:tcW w:w="1699" w:type="dxa"/>
          </w:tcPr>
          <w:p w14:paraId="31B19972">
            <w:pPr>
              <w:pStyle w:val="17"/>
              <w:spacing w:before="20"/>
              <w:ind w:left="408" w:right="401"/>
              <w:rPr>
                <w:sz w:val="21"/>
              </w:rPr>
            </w:pPr>
            <w:r>
              <w:rPr>
                <w:sz w:val="21"/>
              </w:rPr>
              <w:t>直接排放</w:t>
            </w:r>
          </w:p>
        </w:tc>
        <w:tc>
          <w:tcPr>
            <w:tcW w:w="5449" w:type="dxa"/>
            <w:tcBorders>
              <w:right w:val="nil"/>
            </w:tcBorders>
          </w:tcPr>
          <w:p w14:paraId="61B365DF">
            <w:pPr>
              <w:pStyle w:val="17"/>
              <w:spacing w:before="20"/>
              <w:ind w:left="170" w:right="171"/>
              <w:rPr>
                <w:sz w:val="21"/>
              </w:rPr>
            </w:pPr>
            <w:r>
              <w:rPr>
                <w:sz w:val="21"/>
              </w:rPr>
              <w:t>其他</w:t>
            </w:r>
          </w:p>
        </w:tc>
      </w:tr>
      <w:tr w14:paraId="28D51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482A3517">
            <w:pPr>
              <w:pStyle w:val="17"/>
              <w:spacing w:before="22"/>
              <w:ind w:left="93" w:right="80"/>
              <w:rPr>
                <w:rFonts w:ascii="Times New Roman" w:eastAsia="Times New Roman"/>
                <w:sz w:val="21"/>
              </w:rPr>
            </w:pPr>
            <w:r>
              <w:rPr>
                <w:sz w:val="21"/>
              </w:rPr>
              <w:t xml:space="preserve">三级 </w:t>
            </w:r>
            <w:r>
              <w:rPr>
                <w:rFonts w:ascii="Times New Roman" w:eastAsia="Times New Roman"/>
                <w:sz w:val="21"/>
              </w:rPr>
              <w:t>A</w:t>
            </w:r>
          </w:p>
        </w:tc>
        <w:tc>
          <w:tcPr>
            <w:tcW w:w="1699" w:type="dxa"/>
          </w:tcPr>
          <w:p w14:paraId="2227EA49">
            <w:pPr>
              <w:pStyle w:val="17"/>
              <w:spacing w:before="22"/>
              <w:ind w:left="408" w:right="401"/>
              <w:rPr>
                <w:sz w:val="21"/>
              </w:rPr>
            </w:pPr>
            <w:r>
              <w:rPr>
                <w:sz w:val="21"/>
              </w:rPr>
              <w:t>直接排放</w:t>
            </w:r>
          </w:p>
        </w:tc>
        <w:tc>
          <w:tcPr>
            <w:tcW w:w="5449" w:type="dxa"/>
            <w:tcBorders>
              <w:right w:val="nil"/>
            </w:tcBorders>
          </w:tcPr>
          <w:p w14:paraId="244C3F6E">
            <w:pPr>
              <w:pStyle w:val="17"/>
              <w:spacing w:before="22"/>
              <w:ind w:left="173" w:right="171"/>
              <w:rPr>
                <w:rFonts w:ascii="Times New Roman" w:eastAsia="Times New Roman"/>
                <w:sz w:val="21"/>
              </w:rPr>
            </w:pPr>
            <w:r>
              <w:rPr>
                <w:rFonts w:ascii="Times New Roman" w:eastAsia="Times New Roman"/>
                <w:sz w:val="21"/>
              </w:rPr>
              <w:t xml:space="preserve">Q&lt;200  </w:t>
            </w:r>
            <w:r>
              <w:rPr>
                <w:sz w:val="21"/>
              </w:rPr>
              <w:t xml:space="preserve">且 </w:t>
            </w:r>
            <w:r>
              <w:rPr>
                <w:rFonts w:ascii="Times New Roman" w:eastAsia="Times New Roman"/>
                <w:sz w:val="21"/>
              </w:rPr>
              <w:t>W&lt;6000</w:t>
            </w:r>
          </w:p>
        </w:tc>
      </w:tr>
      <w:tr w14:paraId="1B38B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2" w:type="dxa"/>
            <w:tcBorders>
              <w:left w:val="nil"/>
            </w:tcBorders>
          </w:tcPr>
          <w:p w14:paraId="3803FC5D">
            <w:pPr>
              <w:pStyle w:val="17"/>
              <w:spacing w:before="21"/>
              <w:ind w:left="91" w:right="80"/>
              <w:rPr>
                <w:rFonts w:ascii="Times New Roman" w:eastAsia="Times New Roman"/>
                <w:sz w:val="21"/>
              </w:rPr>
            </w:pPr>
            <w:r>
              <w:rPr>
                <w:sz w:val="21"/>
              </w:rPr>
              <w:t xml:space="preserve">三级 </w:t>
            </w:r>
            <w:r>
              <w:rPr>
                <w:rFonts w:ascii="Times New Roman" w:eastAsia="Times New Roman"/>
                <w:sz w:val="21"/>
              </w:rPr>
              <w:t>B</w:t>
            </w:r>
          </w:p>
        </w:tc>
        <w:tc>
          <w:tcPr>
            <w:tcW w:w="1699" w:type="dxa"/>
          </w:tcPr>
          <w:p w14:paraId="21923EE3">
            <w:pPr>
              <w:pStyle w:val="17"/>
              <w:spacing w:before="21"/>
              <w:ind w:left="408" w:right="401"/>
              <w:rPr>
                <w:sz w:val="21"/>
              </w:rPr>
            </w:pPr>
            <w:r>
              <w:rPr>
                <w:sz w:val="21"/>
              </w:rPr>
              <w:t>间接排放</w:t>
            </w:r>
          </w:p>
        </w:tc>
        <w:tc>
          <w:tcPr>
            <w:tcW w:w="5449" w:type="dxa"/>
            <w:tcBorders>
              <w:right w:val="nil"/>
            </w:tcBorders>
          </w:tcPr>
          <w:p w14:paraId="7E40FC1F">
            <w:pPr>
              <w:pStyle w:val="17"/>
              <w:spacing w:before="35"/>
              <w:ind w:left="1"/>
              <w:rPr>
                <w:rFonts w:ascii="Times New Roman" w:hAnsi="Times New Roman"/>
                <w:sz w:val="21"/>
              </w:rPr>
            </w:pPr>
            <w:r>
              <w:rPr>
                <w:rFonts w:ascii="Times New Roman" w:hAnsi="Times New Roman"/>
                <w:w w:val="99"/>
                <w:sz w:val="21"/>
              </w:rPr>
              <w:t>—</w:t>
            </w:r>
          </w:p>
        </w:tc>
      </w:tr>
    </w:tbl>
    <w:p w14:paraId="722A4033">
      <w:pPr>
        <w:pStyle w:val="10"/>
        <w:spacing w:before="81" w:line="364" w:lineRule="auto"/>
        <w:ind w:left="220" w:right="357" w:firstLine="480"/>
        <w:jc w:val="both"/>
      </w:pPr>
      <w:r>
        <w:rPr>
          <w:spacing w:val="-6"/>
        </w:rPr>
        <w:t>本项目为水污染影响型建设项目，废水排放方式为间接排放。根据《环境影</w:t>
      </w:r>
      <w:r>
        <w:t>响评价技术导则 地表水环境》（</w:t>
      </w:r>
      <w:r>
        <w:rPr>
          <w:rFonts w:ascii="Times New Roman" w:hAnsi="Times New Roman" w:eastAsia="Times New Roman"/>
        </w:rPr>
        <w:t>HJ 2.3-2018</w:t>
      </w:r>
      <w:r>
        <w:t>）中</w:t>
      </w:r>
      <w:r>
        <w:rPr>
          <w:rFonts w:ascii="Times New Roman" w:hAnsi="Times New Roman" w:eastAsia="Times New Roman"/>
        </w:rPr>
        <w:t xml:space="preserve">“5.2.2.2 </w:t>
      </w:r>
      <w:r>
        <w:t>间接排放建设项目评</w:t>
      </w:r>
      <w:r>
        <w:rPr>
          <w:spacing w:val="-5"/>
        </w:rPr>
        <w:t xml:space="preserve">价等级为三级 </w:t>
      </w:r>
      <w:r>
        <w:rPr>
          <w:rFonts w:ascii="Times New Roman" w:hAnsi="Times New Roman" w:eastAsia="Times New Roman"/>
        </w:rPr>
        <w:t>B”</w:t>
      </w:r>
      <w:r>
        <w:rPr>
          <w:spacing w:val="-2"/>
        </w:rPr>
        <w:t xml:space="preserve">，本项目地表水影响评价工作等级定为三级 </w:t>
      </w:r>
      <w:r>
        <w:rPr>
          <w:rFonts w:ascii="Times New Roman" w:hAnsi="Times New Roman" w:eastAsia="Times New Roman"/>
        </w:rPr>
        <w:t>B</w:t>
      </w:r>
      <w:r>
        <w:t>。因此，本次地</w:t>
      </w:r>
      <w:r>
        <w:rPr>
          <w:spacing w:val="-5"/>
        </w:rPr>
        <w:t>表水环境影响评价仅对水体环境现状简要分析，评价项目水污染控制和水环境影</w:t>
      </w:r>
      <w:r>
        <w:rPr>
          <w:spacing w:val="-9"/>
        </w:rPr>
        <w:t>响减缓措施有效性以及依托污水处理设施的环境可行性，进行简单的水环境影响分析。</w:t>
      </w:r>
    </w:p>
    <w:p w14:paraId="7C6856E1">
      <w:pPr>
        <w:pStyle w:val="9"/>
        <w:spacing w:before="3"/>
        <w:ind w:left="700"/>
      </w:pPr>
      <w:r>
        <w:rPr>
          <w:rFonts w:ascii="Times New Roman" w:eastAsia="Times New Roman"/>
        </w:rPr>
        <w:t>2</w:t>
      </w:r>
      <w:r>
        <w:t>、地表水环境影响评价范围</w:t>
      </w:r>
    </w:p>
    <w:p w14:paraId="6595140B">
      <w:pPr>
        <w:pStyle w:val="10"/>
        <w:spacing w:before="161" w:line="364" w:lineRule="auto"/>
        <w:ind w:left="220" w:right="357" w:firstLine="480"/>
        <w:jc w:val="both"/>
      </w:pPr>
      <w:r>
        <w:rPr>
          <w:spacing w:val="-8"/>
        </w:rPr>
        <w:t>本项目不设地表水评价范围，主要评价项目依托污水处理厂处理的环境可行性。</w:t>
      </w:r>
    </w:p>
    <w:p w14:paraId="63393A94">
      <w:pPr>
        <w:pStyle w:val="16"/>
        <w:numPr>
          <w:ilvl w:val="2"/>
          <w:numId w:val="6"/>
        </w:numPr>
        <w:tabs>
          <w:tab w:val="left" w:pos="849"/>
        </w:tabs>
        <w:spacing w:before="54" w:after="0" w:line="240" w:lineRule="auto"/>
        <w:ind w:left="848" w:right="0" w:hanging="628"/>
        <w:jc w:val="left"/>
        <w:rPr>
          <w:b/>
          <w:sz w:val="28"/>
        </w:rPr>
      </w:pPr>
      <w:r>
        <w:rPr>
          <w:b/>
          <w:sz w:val="28"/>
        </w:rPr>
        <w:t>地下水环境影响评价工作等级及评价范围</w:t>
      </w:r>
    </w:p>
    <w:p w14:paraId="28624B2C">
      <w:pPr>
        <w:pStyle w:val="9"/>
        <w:spacing w:before="212"/>
        <w:ind w:left="700"/>
      </w:pPr>
      <w:r>
        <w:rPr>
          <w:rFonts w:ascii="Times New Roman" w:eastAsia="Times New Roman"/>
        </w:rPr>
        <w:t>1</w:t>
      </w:r>
      <w:r>
        <w:t>、地下水环境影响评价等级</w:t>
      </w:r>
    </w:p>
    <w:p w14:paraId="48B1C36E">
      <w:pPr>
        <w:pStyle w:val="10"/>
        <w:spacing w:before="161" w:line="364" w:lineRule="auto"/>
        <w:ind w:left="220" w:right="357" w:firstLine="480"/>
        <w:jc w:val="both"/>
      </w:pPr>
      <w:r>
        <w:rPr>
          <w:spacing w:val="-5"/>
        </w:rPr>
        <w:t>根据《环境影响评价技术导则 地下水环境》</w:t>
      </w:r>
      <w:r>
        <w:t>（</w:t>
      </w:r>
      <w:r>
        <w:rPr>
          <w:rFonts w:ascii="Times New Roman" w:hAnsi="Times New Roman" w:eastAsia="Times New Roman"/>
        </w:rPr>
        <w:t>HJ610-2016</w:t>
      </w:r>
      <w:r>
        <w:t>）</w:t>
      </w:r>
      <w:r>
        <w:rPr>
          <w:spacing w:val="-16"/>
        </w:rPr>
        <w:t xml:space="preserve">中附录 </w:t>
      </w:r>
      <w:r>
        <w:rPr>
          <w:rFonts w:ascii="Times New Roman" w:hAnsi="Times New Roman" w:eastAsia="Times New Roman"/>
        </w:rPr>
        <w:t xml:space="preserve">A </w:t>
      </w:r>
      <w:r>
        <w:t>地下</w:t>
      </w:r>
      <w:r>
        <w:rPr>
          <w:spacing w:val="-5"/>
        </w:rPr>
        <w:t>水环境影响评价行业分类表，本项目属于</w:t>
      </w:r>
      <w:r>
        <w:rPr>
          <w:rFonts w:ascii="Times New Roman" w:hAnsi="Times New Roman" w:eastAsia="Times New Roman"/>
        </w:rPr>
        <w:t>“</w:t>
      </w:r>
      <w:r>
        <w:rPr>
          <w:spacing w:val="-30"/>
        </w:rPr>
        <w:t xml:space="preserve">第 </w:t>
      </w:r>
      <w:r>
        <w:rPr>
          <w:rFonts w:ascii="Times New Roman" w:hAnsi="Times New Roman" w:eastAsia="Times New Roman"/>
          <w:spacing w:val="-4"/>
        </w:rPr>
        <w:t xml:space="preserve">116 </w:t>
      </w:r>
      <w:r>
        <w:rPr>
          <w:spacing w:val="-4"/>
        </w:rPr>
        <w:t>项塑料制品制造</w:t>
      </w:r>
      <w:r>
        <w:rPr>
          <w:rFonts w:ascii="Times New Roman" w:hAnsi="Times New Roman" w:eastAsia="Times New Roman"/>
          <w:spacing w:val="-4"/>
        </w:rPr>
        <w:t>-</w:t>
      </w:r>
      <w:r>
        <w:rPr>
          <w:spacing w:val="-4"/>
        </w:rPr>
        <w:t>其他</w:t>
      </w:r>
      <w:r>
        <w:rPr>
          <w:rFonts w:ascii="Times New Roman" w:hAnsi="Times New Roman" w:eastAsia="Times New Roman"/>
          <w:spacing w:val="-16"/>
        </w:rPr>
        <w:t>”</w:t>
      </w:r>
      <w:r>
        <w:rPr>
          <w:spacing w:val="-16"/>
        </w:rPr>
        <w:t>，</w:t>
      </w:r>
      <w:r>
        <w:rPr>
          <w:rFonts w:ascii="Times New Roman" w:hAnsi="Times New Roman" w:eastAsia="Times New Roman"/>
          <w:spacing w:val="-16"/>
        </w:rPr>
        <w:t xml:space="preserve">II </w:t>
      </w:r>
      <w:r>
        <w:t>类项</w:t>
      </w:r>
      <w:r>
        <w:rPr>
          <w:spacing w:val="-8"/>
        </w:rPr>
        <w:t>目，本项目位于湖南省汨罗市高新技术产业开发区新市片区，生产、生活用水为</w:t>
      </w:r>
      <w:r>
        <w:rPr>
          <w:spacing w:val="-12"/>
        </w:rPr>
        <w:t>新市镇给水管网，本项目所在区域居民生活用水由汨罗市二水厂提供，其水源为地表水，项目区域地下水环境敏感程度为不敏感。</w:t>
      </w:r>
    </w:p>
    <w:p w14:paraId="2707F09B">
      <w:pPr>
        <w:pStyle w:val="10"/>
        <w:spacing w:before="3" w:line="364" w:lineRule="auto"/>
        <w:ind w:left="220" w:right="357" w:firstLine="480"/>
        <w:jc w:val="both"/>
      </w:pPr>
      <w:r>
        <w:rPr>
          <w:spacing w:val="-4"/>
        </w:rPr>
        <w:t>根据《环境影响评价技术导则 地下水环境》</w:t>
      </w:r>
      <w:r>
        <w:t>（</w:t>
      </w:r>
      <w:r>
        <w:rPr>
          <w:rFonts w:ascii="Times New Roman" w:eastAsia="Times New Roman"/>
        </w:rPr>
        <w:t>HJ 610-2016</w:t>
      </w:r>
      <w:r>
        <w:t>），项目地下水环境评价工作等级为三级评价，具体工作等级判断见下表。</w:t>
      </w:r>
    </w:p>
    <w:p w14:paraId="3930A03D">
      <w:pPr>
        <w:pStyle w:val="9"/>
        <w:spacing w:before="1"/>
        <w:ind w:left="0" w:right="142"/>
        <w:jc w:val="center"/>
      </w:pPr>
      <w:r>
        <w:pict>
          <v:line id="_x0000_s1222" o:spid="_x0000_s1222" o:spt="20" style="position:absolute;left:0pt;margin-left:85.05pt;margin-top:19.95pt;height:56.7pt;width:152.5pt;mso-position-horizontal-relative:page;z-index:-251650048;mso-width-relative:page;mso-height-relative:page;" stroked="t" coordsize="21600,21600">
            <v:path arrowok="t"/>
            <v:fill focussize="0,0"/>
            <v:stroke weight="0.5pt" color="#000000"/>
            <v:imagedata o:title=""/>
            <o:lock v:ext="edit"/>
          </v:line>
        </w:pict>
      </w:r>
      <w:r>
        <w:pict>
          <v:rect id="_x0000_s1223" o:spid="_x0000_s1223" o:spt="1" style="position:absolute;left:0pt;margin-left:360.75pt;margin-top:112.85pt;height:14.6pt;width:10.5pt;mso-position-horizontal-relative:page;z-index:-251650048;mso-width-relative:page;mso-height-relative:page;" fillcolor="#C0C0C0" filled="t" stroked="f" coordsize="21600,21600">
            <v:path/>
            <v:fill on="t" focussize="0,0"/>
            <v:stroke on="f"/>
            <v:imagedata o:title=""/>
            <o:lock v:ext="edit"/>
          </v:rect>
        </w:pict>
      </w:r>
      <w:r>
        <w:rPr>
          <w:spacing w:val="-31"/>
        </w:rPr>
        <w:t xml:space="preserve">表 </w:t>
      </w:r>
      <w:r>
        <w:rPr>
          <w:rFonts w:ascii="Times New Roman" w:eastAsia="Times New Roman"/>
        </w:rPr>
        <w:t>1.5-5</w:t>
      </w:r>
      <w:r>
        <w:rPr>
          <w:rFonts w:ascii="Times New Roman" w:eastAsia="Times New Roman"/>
          <w:spacing w:val="57"/>
        </w:rPr>
        <w:t xml:space="preserve"> </w:t>
      </w:r>
      <w:r>
        <w:t>项目地下水环境影响评价工作等级判据</w:t>
      </w:r>
    </w:p>
    <w:p w14:paraId="5F5F0C64">
      <w:pPr>
        <w:pStyle w:val="10"/>
        <w:spacing w:before="3"/>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56"/>
        <w:gridCol w:w="1602"/>
        <w:gridCol w:w="1923"/>
        <w:gridCol w:w="1923"/>
      </w:tblGrid>
      <w:tr w14:paraId="44FA9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3056" w:type="dxa"/>
            <w:tcBorders>
              <w:left w:val="nil"/>
            </w:tcBorders>
          </w:tcPr>
          <w:p w14:paraId="00FC4956">
            <w:pPr>
              <w:pStyle w:val="17"/>
              <w:spacing w:before="20"/>
              <w:ind w:right="98"/>
              <w:jc w:val="right"/>
              <w:rPr>
                <w:sz w:val="21"/>
              </w:rPr>
            </w:pPr>
            <w:r>
              <w:rPr>
                <w:w w:val="95"/>
                <w:sz w:val="21"/>
              </w:rPr>
              <w:t>项目类别</w:t>
            </w:r>
          </w:p>
          <w:p w14:paraId="32D08868">
            <w:pPr>
              <w:pStyle w:val="17"/>
              <w:spacing w:before="5"/>
              <w:jc w:val="left"/>
              <w:rPr>
                <w:b/>
                <w:sz w:val="18"/>
              </w:rPr>
            </w:pPr>
          </w:p>
          <w:p w14:paraId="0CC6DFF3">
            <w:pPr>
              <w:pStyle w:val="17"/>
              <w:ind w:left="113"/>
              <w:jc w:val="left"/>
              <w:rPr>
                <w:sz w:val="21"/>
              </w:rPr>
            </w:pPr>
            <w:r>
              <w:rPr>
                <w:sz w:val="21"/>
              </w:rPr>
              <w:t>环境敏感程度</w:t>
            </w:r>
          </w:p>
        </w:tc>
        <w:tc>
          <w:tcPr>
            <w:tcW w:w="1602" w:type="dxa"/>
          </w:tcPr>
          <w:p w14:paraId="24893CB4">
            <w:pPr>
              <w:pStyle w:val="17"/>
              <w:jc w:val="left"/>
              <w:rPr>
                <w:b/>
                <w:sz w:val="22"/>
              </w:rPr>
            </w:pPr>
          </w:p>
          <w:p w14:paraId="624B0B87">
            <w:pPr>
              <w:pStyle w:val="17"/>
              <w:spacing w:before="149"/>
              <w:ind w:left="430" w:right="422"/>
              <w:rPr>
                <w:sz w:val="21"/>
              </w:rPr>
            </w:pPr>
            <w:r>
              <w:rPr>
                <w:rFonts w:ascii="Times New Roman" w:hAnsi="Times New Roman" w:eastAsia="Times New Roman"/>
                <w:sz w:val="21"/>
              </w:rPr>
              <w:t>Ⅰ</w:t>
            </w:r>
            <w:r>
              <w:rPr>
                <w:sz w:val="21"/>
              </w:rPr>
              <w:t>类项目</w:t>
            </w:r>
          </w:p>
        </w:tc>
        <w:tc>
          <w:tcPr>
            <w:tcW w:w="1923" w:type="dxa"/>
          </w:tcPr>
          <w:p w14:paraId="0C9DE4DA">
            <w:pPr>
              <w:pStyle w:val="17"/>
              <w:jc w:val="left"/>
              <w:rPr>
                <w:b/>
                <w:sz w:val="22"/>
              </w:rPr>
            </w:pPr>
          </w:p>
          <w:p w14:paraId="4316438B">
            <w:pPr>
              <w:pStyle w:val="17"/>
              <w:spacing w:before="149"/>
              <w:ind w:left="556" w:right="550"/>
              <w:rPr>
                <w:sz w:val="21"/>
              </w:rPr>
            </w:pPr>
            <w:r>
              <w:rPr>
                <w:rFonts w:ascii="Times New Roman" w:hAnsi="Times New Roman" w:eastAsia="Times New Roman"/>
                <w:sz w:val="21"/>
              </w:rPr>
              <w:t>Ⅱ</w:t>
            </w:r>
            <w:r>
              <w:rPr>
                <w:sz w:val="21"/>
              </w:rPr>
              <w:t>类项目</w:t>
            </w:r>
          </w:p>
        </w:tc>
        <w:tc>
          <w:tcPr>
            <w:tcW w:w="1923" w:type="dxa"/>
            <w:tcBorders>
              <w:right w:val="nil"/>
            </w:tcBorders>
          </w:tcPr>
          <w:p w14:paraId="5D764604">
            <w:pPr>
              <w:pStyle w:val="17"/>
              <w:jc w:val="left"/>
              <w:rPr>
                <w:b/>
                <w:sz w:val="22"/>
              </w:rPr>
            </w:pPr>
          </w:p>
          <w:p w14:paraId="52E1DE10">
            <w:pPr>
              <w:pStyle w:val="17"/>
              <w:spacing w:before="149"/>
              <w:ind w:left="524" w:right="522"/>
              <w:rPr>
                <w:sz w:val="21"/>
              </w:rPr>
            </w:pPr>
            <w:r>
              <w:rPr>
                <w:rFonts w:ascii="Times New Roman" w:hAnsi="Times New Roman" w:eastAsia="Times New Roman"/>
                <w:sz w:val="21"/>
              </w:rPr>
              <w:t>Ⅲ</w:t>
            </w:r>
            <w:r>
              <w:rPr>
                <w:sz w:val="21"/>
              </w:rPr>
              <w:t>类项目</w:t>
            </w:r>
          </w:p>
        </w:tc>
      </w:tr>
      <w:tr w14:paraId="4954E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2708BBAD">
            <w:pPr>
              <w:pStyle w:val="17"/>
              <w:spacing w:before="36"/>
              <w:ind w:left="1196" w:right="1184"/>
              <w:rPr>
                <w:sz w:val="21"/>
              </w:rPr>
            </w:pPr>
            <w:r>
              <w:rPr>
                <w:sz w:val="21"/>
              </w:rPr>
              <w:t>敏感</w:t>
            </w:r>
          </w:p>
        </w:tc>
        <w:tc>
          <w:tcPr>
            <w:tcW w:w="1602" w:type="dxa"/>
          </w:tcPr>
          <w:p w14:paraId="3F5B17D3">
            <w:pPr>
              <w:pStyle w:val="17"/>
              <w:spacing w:before="36"/>
              <w:ind w:left="8"/>
              <w:rPr>
                <w:sz w:val="21"/>
              </w:rPr>
            </w:pPr>
            <w:r>
              <w:rPr>
                <w:w w:val="99"/>
                <w:sz w:val="21"/>
              </w:rPr>
              <w:t>一</w:t>
            </w:r>
          </w:p>
        </w:tc>
        <w:tc>
          <w:tcPr>
            <w:tcW w:w="1923" w:type="dxa"/>
          </w:tcPr>
          <w:p w14:paraId="06747737">
            <w:pPr>
              <w:pStyle w:val="17"/>
              <w:spacing w:before="36"/>
              <w:ind w:left="6"/>
              <w:rPr>
                <w:sz w:val="21"/>
              </w:rPr>
            </w:pPr>
            <w:r>
              <w:rPr>
                <w:w w:val="99"/>
                <w:sz w:val="21"/>
              </w:rPr>
              <w:t>一</w:t>
            </w:r>
          </w:p>
        </w:tc>
        <w:tc>
          <w:tcPr>
            <w:tcW w:w="1923" w:type="dxa"/>
            <w:tcBorders>
              <w:right w:val="nil"/>
            </w:tcBorders>
          </w:tcPr>
          <w:p w14:paraId="36A7C3BF">
            <w:pPr>
              <w:pStyle w:val="17"/>
              <w:spacing w:before="36"/>
              <w:rPr>
                <w:sz w:val="21"/>
              </w:rPr>
            </w:pPr>
            <w:r>
              <w:rPr>
                <w:w w:val="99"/>
                <w:sz w:val="21"/>
              </w:rPr>
              <w:t>二</w:t>
            </w:r>
          </w:p>
        </w:tc>
      </w:tr>
      <w:tr w14:paraId="0582E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24C0CF27">
            <w:pPr>
              <w:pStyle w:val="17"/>
              <w:spacing w:before="34"/>
              <w:ind w:left="1196" w:right="1184"/>
              <w:rPr>
                <w:sz w:val="21"/>
              </w:rPr>
            </w:pPr>
            <w:r>
              <w:rPr>
                <w:sz w:val="21"/>
              </w:rPr>
              <w:t>较敏感</w:t>
            </w:r>
          </w:p>
        </w:tc>
        <w:tc>
          <w:tcPr>
            <w:tcW w:w="1602" w:type="dxa"/>
          </w:tcPr>
          <w:p w14:paraId="46A26D2A">
            <w:pPr>
              <w:pStyle w:val="17"/>
              <w:spacing w:before="34"/>
              <w:ind w:left="8"/>
              <w:rPr>
                <w:sz w:val="21"/>
              </w:rPr>
            </w:pPr>
            <w:r>
              <w:rPr>
                <w:w w:val="99"/>
                <w:sz w:val="21"/>
              </w:rPr>
              <w:t>一</w:t>
            </w:r>
          </w:p>
        </w:tc>
        <w:tc>
          <w:tcPr>
            <w:tcW w:w="1923" w:type="dxa"/>
          </w:tcPr>
          <w:p w14:paraId="5469C352">
            <w:pPr>
              <w:pStyle w:val="17"/>
              <w:spacing w:before="34"/>
              <w:ind w:left="6"/>
              <w:rPr>
                <w:sz w:val="21"/>
              </w:rPr>
            </w:pPr>
            <w:r>
              <w:rPr>
                <w:w w:val="99"/>
                <w:sz w:val="21"/>
              </w:rPr>
              <w:t>二</w:t>
            </w:r>
          </w:p>
        </w:tc>
        <w:tc>
          <w:tcPr>
            <w:tcW w:w="1923" w:type="dxa"/>
            <w:tcBorders>
              <w:right w:val="nil"/>
            </w:tcBorders>
          </w:tcPr>
          <w:p w14:paraId="5E5F05A9">
            <w:pPr>
              <w:pStyle w:val="17"/>
              <w:spacing w:before="34"/>
              <w:rPr>
                <w:sz w:val="21"/>
              </w:rPr>
            </w:pPr>
            <w:r>
              <w:rPr>
                <w:w w:val="99"/>
                <w:sz w:val="21"/>
              </w:rPr>
              <w:t>三</w:t>
            </w:r>
          </w:p>
        </w:tc>
      </w:tr>
      <w:tr w14:paraId="1F982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56" w:type="dxa"/>
            <w:tcBorders>
              <w:left w:val="nil"/>
            </w:tcBorders>
          </w:tcPr>
          <w:p w14:paraId="6A739C3B">
            <w:pPr>
              <w:pStyle w:val="17"/>
              <w:spacing w:before="34"/>
              <w:ind w:left="1196" w:right="1184"/>
              <w:rPr>
                <w:sz w:val="21"/>
              </w:rPr>
            </w:pPr>
            <w:r>
              <w:rPr>
                <w:sz w:val="21"/>
              </w:rPr>
              <w:t>不敏感</w:t>
            </w:r>
          </w:p>
        </w:tc>
        <w:tc>
          <w:tcPr>
            <w:tcW w:w="1602" w:type="dxa"/>
          </w:tcPr>
          <w:p w14:paraId="790D9911">
            <w:pPr>
              <w:pStyle w:val="17"/>
              <w:spacing w:before="34"/>
              <w:ind w:left="8"/>
              <w:rPr>
                <w:sz w:val="21"/>
              </w:rPr>
            </w:pPr>
            <w:r>
              <w:rPr>
                <w:w w:val="99"/>
                <w:sz w:val="21"/>
              </w:rPr>
              <w:t>二</w:t>
            </w:r>
          </w:p>
        </w:tc>
        <w:tc>
          <w:tcPr>
            <w:tcW w:w="1923" w:type="dxa"/>
          </w:tcPr>
          <w:p w14:paraId="16F04D70">
            <w:pPr>
              <w:pStyle w:val="17"/>
              <w:spacing w:before="34"/>
              <w:ind w:left="6"/>
              <w:rPr>
                <w:sz w:val="21"/>
              </w:rPr>
            </w:pPr>
            <w:r>
              <w:rPr>
                <w:w w:val="99"/>
                <w:sz w:val="21"/>
              </w:rPr>
              <w:t>三</w:t>
            </w:r>
          </w:p>
        </w:tc>
        <w:tc>
          <w:tcPr>
            <w:tcW w:w="1923" w:type="dxa"/>
            <w:tcBorders>
              <w:right w:val="nil"/>
            </w:tcBorders>
          </w:tcPr>
          <w:p w14:paraId="335E2F9A">
            <w:pPr>
              <w:pStyle w:val="17"/>
              <w:spacing w:before="34"/>
              <w:rPr>
                <w:sz w:val="21"/>
              </w:rPr>
            </w:pPr>
            <w:r>
              <w:rPr>
                <w:w w:val="99"/>
                <w:sz w:val="21"/>
              </w:rPr>
              <w:t>三</w:t>
            </w:r>
          </w:p>
        </w:tc>
      </w:tr>
    </w:tbl>
    <w:p w14:paraId="7838984A">
      <w:pPr>
        <w:spacing w:after="0"/>
        <w:rPr>
          <w:sz w:val="21"/>
        </w:rPr>
        <w:sectPr>
          <w:pgSz w:w="11910" w:h="16840"/>
          <w:pgMar w:top="1440" w:right="1440" w:bottom="1220" w:left="1580" w:header="0" w:footer="1024" w:gutter="0"/>
          <w:cols w:space="720" w:num="1"/>
        </w:sectPr>
      </w:pPr>
    </w:p>
    <w:p w14:paraId="2831D908">
      <w:pPr>
        <w:pStyle w:val="9"/>
        <w:spacing w:before="62"/>
        <w:ind w:left="700"/>
      </w:pPr>
      <w:r>
        <w:rPr>
          <w:rFonts w:ascii="Times New Roman" w:eastAsia="Times New Roman"/>
        </w:rPr>
        <w:t>2</w:t>
      </w:r>
      <w:r>
        <w:t>、地下水环境影响评价范围</w:t>
      </w:r>
    </w:p>
    <w:p w14:paraId="63A0BF6B">
      <w:pPr>
        <w:pStyle w:val="10"/>
        <w:spacing w:before="160" w:line="364" w:lineRule="auto"/>
        <w:ind w:left="220" w:right="280" w:firstLine="480"/>
      </w:pPr>
      <w:r>
        <w:t>根据《环境影响评价技术导则—地下水环境》（</w:t>
      </w:r>
      <w:r>
        <w:rPr>
          <w:rFonts w:ascii="Times New Roman" w:hAnsi="Times New Roman" w:eastAsia="Times New Roman"/>
        </w:rPr>
        <w:t>HJ610-2016</w:t>
      </w:r>
      <w:r>
        <w:t xml:space="preserve">）相关要求，选用查表法，确定评价范围为：以厂址为中心，小于 </w:t>
      </w:r>
      <w:r>
        <w:rPr>
          <w:rFonts w:ascii="Times New Roman" w:hAnsi="Times New Roman" w:eastAsia="Times New Roman"/>
        </w:rPr>
        <w:t>6km</w:t>
      </w:r>
      <w:r>
        <w:rPr>
          <w:rFonts w:ascii="Times New Roman" w:hAnsi="Times New Roman" w:eastAsia="Times New Roman"/>
          <w:position w:val="8"/>
          <w:sz w:val="15"/>
        </w:rPr>
        <w:t xml:space="preserve">2 </w:t>
      </w:r>
      <w:r>
        <w:t>范围的水文地质区域。</w:t>
      </w:r>
    </w:p>
    <w:p w14:paraId="1C71324F">
      <w:pPr>
        <w:pStyle w:val="16"/>
        <w:numPr>
          <w:ilvl w:val="2"/>
          <w:numId w:val="6"/>
        </w:numPr>
        <w:tabs>
          <w:tab w:val="left" w:pos="849"/>
        </w:tabs>
        <w:spacing w:before="55" w:after="0" w:line="240" w:lineRule="auto"/>
        <w:ind w:left="848" w:right="0" w:hanging="628"/>
        <w:jc w:val="left"/>
        <w:rPr>
          <w:b/>
          <w:sz w:val="28"/>
        </w:rPr>
      </w:pPr>
      <w:r>
        <w:rPr>
          <w:b/>
          <w:sz w:val="28"/>
        </w:rPr>
        <w:t>声环境影响评价工作等级及评价范围</w:t>
      </w:r>
    </w:p>
    <w:p w14:paraId="0499CB9A">
      <w:pPr>
        <w:pStyle w:val="9"/>
        <w:spacing w:before="212"/>
        <w:ind w:left="700"/>
      </w:pPr>
      <w:r>
        <w:rPr>
          <w:rFonts w:ascii="Times New Roman" w:eastAsia="Times New Roman"/>
        </w:rPr>
        <w:t>1</w:t>
      </w:r>
      <w:r>
        <w:t>、声环境评价等级</w:t>
      </w:r>
    </w:p>
    <w:p w14:paraId="0A26EE47">
      <w:pPr>
        <w:pStyle w:val="10"/>
        <w:spacing w:before="160" w:line="364" w:lineRule="auto"/>
        <w:ind w:left="220" w:right="357" w:firstLine="480"/>
        <w:jc w:val="both"/>
      </w:pPr>
      <w:r>
        <w:rPr>
          <w:spacing w:val="-8"/>
        </w:rPr>
        <w:t xml:space="preserve">本项目位于工业园内，南侧距离平益高速 </w:t>
      </w:r>
      <w:r>
        <w:rPr>
          <w:rFonts w:ascii="Times New Roman" w:eastAsia="Times New Roman"/>
          <w:spacing w:val="-8"/>
        </w:rPr>
        <w:t>10~30m</w:t>
      </w:r>
      <w:r>
        <w:rPr>
          <w:spacing w:val="-18"/>
        </w:rPr>
        <w:t xml:space="preserve">，属于 </w:t>
      </w:r>
      <w:r>
        <w:rPr>
          <w:rFonts w:ascii="Times New Roman" w:eastAsia="Times New Roman"/>
        </w:rPr>
        <w:t xml:space="preserve">3 </w:t>
      </w:r>
      <w:r>
        <w:rPr>
          <w:spacing w:val="-20"/>
        </w:rPr>
        <w:t xml:space="preserve">类和 </w:t>
      </w:r>
      <w:r>
        <w:rPr>
          <w:rFonts w:ascii="Times New Roman" w:eastAsia="Times New Roman"/>
        </w:rPr>
        <w:t xml:space="preserve">4a </w:t>
      </w:r>
      <w:r>
        <w:t>类声环境</w:t>
      </w:r>
      <w:r>
        <w:rPr>
          <w:spacing w:val="-11"/>
        </w:rPr>
        <w:t xml:space="preserve">功能区，厂界外 </w:t>
      </w:r>
      <w:r>
        <w:rPr>
          <w:rFonts w:ascii="Times New Roman" w:eastAsia="Times New Roman"/>
        </w:rPr>
        <w:t xml:space="preserve">200m </w:t>
      </w:r>
      <w:r>
        <w:rPr>
          <w:spacing w:val="-3"/>
        </w:rPr>
        <w:t>评价范围内无声环境敏感目标，根据《环境影响评价技术导则 声环境》</w:t>
      </w:r>
      <w:r>
        <w:t>（</w:t>
      </w:r>
      <w:r>
        <w:rPr>
          <w:rFonts w:ascii="Times New Roman" w:eastAsia="Times New Roman"/>
        </w:rPr>
        <w:t>HJ2.4-2021</w:t>
      </w:r>
      <w:r>
        <w:t>）规定，确定声环境影响评价等级为三级。</w:t>
      </w:r>
    </w:p>
    <w:p w14:paraId="2F4D1E77">
      <w:pPr>
        <w:pStyle w:val="9"/>
        <w:ind w:left="700"/>
      </w:pPr>
      <w:r>
        <w:rPr>
          <w:rFonts w:ascii="Times New Roman" w:eastAsia="Times New Roman"/>
        </w:rPr>
        <w:t>2</w:t>
      </w:r>
      <w:r>
        <w:t>、声环境评价范围</w:t>
      </w:r>
    </w:p>
    <w:p w14:paraId="673519FF">
      <w:pPr>
        <w:pStyle w:val="10"/>
        <w:spacing w:before="161" w:line="364" w:lineRule="auto"/>
        <w:ind w:left="220" w:right="357" w:firstLine="480"/>
      </w:pPr>
      <w:r>
        <w:t>根据《环境影响评价技术导则 声环境》（</w:t>
      </w:r>
      <w:r>
        <w:rPr>
          <w:rFonts w:ascii="Times New Roman" w:eastAsia="Times New Roman"/>
        </w:rPr>
        <w:t>HJ2.4-2021</w:t>
      </w:r>
      <w:r>
        <w:t xml:space="preserve">）中的有关规定，确定本项目声环境评价范围为建设项目边界外 </w:t>
      </w:r>
      <w:r>
        <w:rPr>
          <w:rFonts w:ascii="Times New Roman" w:eastAsia="Times New Roman"/>
        </w:rPr>
        <w:t xml:space="preserve">200m </w:t>
      </w:r>
      <w:r>
        <w:t>为评价范围。</w:t>
      </w:r>
    </w:p>
    <w:p w14:paraId="2CEBC6C3">
      <w:pPr>
        <w:pStyle w:val="16"/>
        <w:numPr>
          <w:ilvl w:val="2"/>
          <w:numId w:val="6"/>
        </w:numPr>
        <w:tabs>
          <w:tab w:val="left" w:pos="849"/>
        </w:tabs>
        <w:spacing w:before="54" w:after="0" w:line="240" w:lineRule="auto"/>
        <w:ind w:left="848" w:right="0" w:hanging="628"/>
        <w:jc w:val="left"/>
        <w:rPr>
          <w:b/>
          <w:sz w:val="28"/>
        </w:rPr>
      </w:pPr>
      <w:r>
        <w:rPr>
          <w:b/>
          <w:sz w:val="28"/>
        </w:rPr>
        <w:t>土壤环境影响评价工作等级</w:t>
      </w:r>
    </w:p>
    <w:p w14:paraId="3AD0FB5C">
      <w:pPr>
        <w:pStyle w:val="10"/>
        <w:spacing w:before="212"/>
        <w:ind w:left="700"/>
      </w:pPr>
      <w:r>
        <w:t>（</w:t>
      </w:r>
      <w:r>
        <w:rPr>
          <w:rFonts w:ascii="Times New Roman" w:eastAsia="Times New Roman"/>
        </w:rPr>
        <w:t>1</w:t>
      </w:r>
      <w:r>
        <w:t>）项目类型判定</w:t>
      </w:r>
    </w:p>
    <w:p w14:paraId="63FD4ECE">
      <w:pPr>
        <w:pStyle w:val="10"/>
        <w:spacing w:before="161" w:line="364" w:lineRule="auto"/>
        <w:ind w:left="220" w:right="357" w:firstLine="480"/>
        <w:jc w:val="both"/>
      </w:pPr>
      <w:r>
        <w:rPr>
          <w:spacing w:val="-5"/>
        </w:rPr>
        <w:t>根据《环境影响评价技术导则</w:t>
      </w:r>
      <w:r>
        <w:rPr>
          <w:rFonts w:ascii="Times New Roman" w:hAnsi="Times New Roman" w:eastAsia="Times New Roman"/>
        </w:rPr>
        <w:t>-</w:t>
      </w:r>
      <w:r>
        <w:rPr>
          <w:spacing w:val="-6"/>
        </w:rPr>
        <w:t>土壤环境》</w:t>
      </w:r>
      <w:r>
        <w:rPr>
          <w:rFonts w:ascii="Times New Roman" w:hAnsi="Times New Roman" w:eastAsia="Times New Roman"/>
        </w:rPr>
        <w:t>(HJ964-2018)</w:t>
      </w:r>
      <w:r>
        <w:rPr>
          <w:spacing w:val="-15"/>
        </w:rPr>
        <w:t xml:space="preserve">中附录 </w:t>
      </w:r>
      <w:r>
        <w:rPr>
          <w:rFonts w:ascii="Times New Roman" w:hAnsi="Times New Roman" w:eastAsia="Times New Roman"/>
          <w:spacing w:val="-13"/>
        </w:rPr>
        <w:t>A</w:t>
      </w:r>
      <w:r>
        <w:rPr>
          <w:spacing w:val="-13"/>
        </w:rPr>
        <w:t>（</w:t>
      </w:r>
      <w:r>
        <w:t>规范性附录</w:t>
      </w:r>
      <w:r>
        <w:rPr>
          <w:spacing w:val="-75"/>
        </w:rPr>
        <w:t>）</w:t>
      </w:r>
      <w:r>
        <w:rPr>
          <w:spacing w:val="-5"/>
        </w:rPr>
        <w:t>土壤环境影响评价行业项目类别表，可知本项目属于</w:t>
      </w:r>
      <w:r>
        <w:rPr>
          <w:rFonts w:ascii="Times New Roman" w:hAnsi="Times New Roman" w:eastAsia="Times New Roman"/>
        </w:rPr>
        <w:t>“</w:t>
      </w:r>
      <w:r>
        <w:t>制造业</w:t>
      </w:r>
      <w:r>
        <w:rPr>
          <w:rFonts w:ascii="Times New Roman" w:hAnsi="Times New Roman" w:eastAsia="Times New Roman"/>
        </w:rPr>
        <w:t>-</w:t>
      </w:r>
      <w:r>
        <w:t>其他用品制造</w:t>
      </w:r>
      <w:r>
        <w:rPr>
          <w:rFonts w:ascii="Times New Roman" w:hAnsi="Times New Roman" w:eastAsia="Times New Roman"/>
        </w:rPr>
        <w:t xml:space="preserve">” </w:t>
      </w:r>
      <w:r>
        <w:t>中的</w:t>
      </w:r>
      <w:r>
        <w:rPr>
          <w:rFonts w:ascii="Times New Roman" w:hAnsi="Times New Roman" w:eastAsia="Times New Roman"/>
        </w:rPr>
        <w:t>“</w:t>
      </w:r>
      <w:r>
        <w:t>其他</w:t>
      </w:r>
      <w:r>
        <w:rPr>
          <w:rFonts w:ascii="Times New Roman" w:hAnsi="Times New Roman" w:eastAsia="Times New Roman"/>
        </w:rPr>
        <w:t>”</w:t>
      </w:r>
      <w:r>
        <w:t>，类别为</w:t>
      </w:r>
      <w:r>
        <w:rPr>
          <w:rFonts w:ascii="Times New Roman" w:hAnsi="Times New Roman" w:eastAsia="Times New Roman"/>
        </w:rPr>
        <w:t>Ⅲ</w:t>
      </w:r>
      <w:r>
        <w:t>类。</w:t>
      </w:r>
    </w:p>
    <w:p w14:paraId="48C10A6D">
      <w:pPr>
        <w:pStyle w:val="10"/>
        <w:spacing w:before="1"/>
        <w:ind w:left="700"/>
      </w:pPr>
      <w:r>
        <w:t>（</w:t>
      </w:r>
      <w:r>
        <w:rPr>
          <w:rFonts w:ascii="Times New Roman" w:eastAsia="Times New Roman"/>
        </w:rPr>
        <w:t>2</w:t>
      </w:r>
      <w:r>
        <w:t>）项目占地规模判定</w:t>
      </w:r>
    </w:p>
    <w:p w14:paraId="0FC8C30E">
      <w:pPr>
        <w:pStyle w:val="10"/>
        <w:spacing w:before="161"/>
        <w:ind w:left="700"/>
      </w:pPr>
      <w:r>
        <w:t xml:space="preserve">本项目占地面积约为 </w:t>
      </w:r>
      <w:r>
        <w:rPr>
          <w:rFonts w:ascii="Times New Roman" w:hAnsi="Times New Roman" w:eastAsia="Times New Roman"/>
        </w:rPr>
        <w:t>3200m</w:t>
      </w:r>
      <w:r>
        <w:rPr>
          <w:rFonts w:ascii="Times New Roman" w:hAnsi="Times New Roman" w:eastAsia="Times New Roman"/>
          <w:position w:val="8"/>
          <w:sz w:val="15"/>
        </w:rPr>
        <w:t>2</w:t>
      </w:r>
      <w:r>
        <w:rPr>
          <w:rFonts w:ascii="Times New Roman" w:hAnsi="Times New Roman" w:eastAsia="Times New Roman"/>
        </w:rPr>
        <w:t>≤5hm</w:t>
      </w:r>
      <w:r>
        <w:rPr>
          <w:rFonts w:ascii="Times New Roman" w:hAnsi="Times New Roman" w:eastAsia="Times New Roman"/>
          <w:position w:val="8"/>
          <w:sz w:val="15"/>
        </w:rPr>
        <w:t>2</w:t>
      </w:r>
      <w:r>
        <w:t>，占地规模属于小型。</w:t>
      </w:r>
    </w:p>
    <w:p w14:paraId="161F31B2">
      <w:pPr>
        <w:pStyle w:val="10"/>
        <w:spacing w:before="160"/>
        <w:ind w:left="700"/>
      </w:pPr>
      <w:r>
        <w:t>（</w:t>
      </w:r>
      <w:r>
        <w:rPr>
          <w:rFonts w:ascii="Times New Roman" w:eastAsia="Times New Roman"/>
        </w:rPr>
        <w:t>3</w:t>
      </w:r>
      <w:r>
        <w:t>）项目用地敏感程度分析</w:t>
      </w:r>
    </w:p>
    <w:p w14:paraId="474B3D57">
      <w:pPr>
        <w:pStyle w:val="10"/>
        <w:spacing w:before="161" w:line="364" w:lineRule="auto"/>
        <w:ind w:left="220" w:right="357" w:firstLine="480"/>
      </w:pPr>
      <w:r>
        <w:rPr>
          <w:spacing w:val="-10"/>
        </w:rPr>
        <w:t>根据现场调查，项目位于湖南汨罗高新技术产业开发区新市片区中塑新材料</w:t>
      </w:r>
      <w:r>
        <w:rPr>
          <w:spacing w:val="-23"/>
        </w:rPr>
        <w:t xml:space="preserve">公司内 </w:t>
      </w:r>
      <w:r>
        <w:rPr>
          <w:rFonts w:ascii="Times New Roman" w:eastAsia="Times New Roman"/>
        </w:rPr>
        <w:t xml:space="preserve">16 </w:t>
      </w:r>
      <w:r>
        <w:rPr>
          <w:spacing w:val="-6"/>
        </w:rPr>
        <w:t>栋厂房，属于工业园区，根据《环境影响评价技术导则</w:t>
      </w:r>
      <w:r>
        <w:rPr>
          <w:rFonts w:ascii="Times New Roman" w:eastAsia="Times New Roman"/>
        </w:rPr>
        <w:t>-</w:t>
      </w:r>
      <w:r>
        <w:rPr>
          <w:spacing w:val="-3"/>
        </w:rPr>
        <w:t>土壤环境》中</w:t>
      </w:r>
    </w:p>
    <w:p w14:paraId="02975A88">
      <w:pPr>
        <w:pStyle w:val="10"/>
        <w:spacing w:before="1"/>
        <w:ind w:left="220"/>
      </w:pPr>
      <w:r>
        <w:t xml:space="preserve">表 </w:t>
      </w:r>
      <w:r>
        <w:rPr>
          <w:rFonts w:ascii="Times New Roman" w:eastAsia="Times New Roman"/>
        </w:rPr>
        <w:t xml:space="preserve">3 </w:t>
      </w:r>
      <w:r>
        <w:t>污染影响型敏感程度分级表，敏感程度为不敏感。</w:t>
      </w:r>
    </w:p>
    <w:p w14:paraId="568DFE7C">
      <w:pPr>
        <w:pStyle w:val="10"/>
        <w:spacing w:before="161"/>
        <w:ind w:left="700"/>
      </w:pPr>
      <w:r>
        <w:t>（</w:t>
      </w:r>
      <w:r>
        <w:rPr>
          <w:rFonts w:ascii="Times New Roman" w:eastAsia="Times New Roman"/>
        </w:rPr>
        <w:t>4</w:t>
      </w:r>
      <w:r>
        <w:t>）土壤环境评价等级</w:t>
      </w:r>
    </w:p>
    <w:p w14:paraId="70DE5A90">
      <w:pPr>
        <w:pStyle w:val="10"/>
        <w:spacing w:before="160" w:line="364" w:lineRule="auto"/>
        <w:ind w:left="220" w:right="357" w:firstLine="480"/>
      </w:pPr>
      <w:r>
        <w:t>本项目属于</w:t>
      </w:r>
      <w:r>
        <w:rPr>
          <w:rFonts w:ascii="Times New Roman" w:hAnsi="Times New Roman" w:eastAsia="Times New Roman"/>
        </w:rPr>
        <w:t>Ⅲ</w:t>
      </w:r>
      <w:r>
        <w:rPr>
          <w:spacing w:val="-9"/>
        </w:rPr>
        <w:t>类项目，占地面积为小型，占地类型为不敏感类型，故本项目可以不开展土壤环评影响评价工作。</w:t>
      </w:r>
    </w:p>
    <w:p w14:paraId="7B28BD83">
      <w:pPr>
        <w:pStyle w:val="9"/>
        <w:spacing w:before="1"/>
        <w:ind w:left="1983"/>
      </w:pPr>
      <w:r>
        <w:pict>
          <v:shape id="_x0000_s1224" o:spid="_x0000_s1224" style="position:absolute;left:0pt;margin-left:85.05pt;margin-top:-587.85pt;height:56.7pt;width:136.5pt;mso-position-horizontal-relative:page;z-index:-251650048;mso-width-relative:page;mso-height-relative:page;" filled="f" stroked="t" coordorigin="1701,-11757" coordsize="2730,1134" path="m1701,966l4431,1533m3066,399l4431,1533e">
            <v:path arrowok="t"/>
            <v:fill on="f" focussize="0,0"/>
            <v:stroke weight="0.5pt" color="#000000"/>
            <v:imagedata o:title=""/>
            <o:lock v:ext="edit"/>
          </v:shape>
        </w:pict>
      </w:r>
      <w:r>
        <w:t xml:space="preserve">表 </w:t>
      </w:r>
      <w:r>
        <w:rPr>
          <w:rFonts w:ascii="Times New Roman" w:eastAsia="Times New Roman"/>
        </w:rPr>
        <w:t xml:space="preserve">1.5-6 </w:t>
      </w:r>
      <w:r>
        <w:t>项目土壤环境影响评价工作等级判据</w:t>
      </w:r>
    </w:p>
    <w:p w14:paraId="2ADF96F6">
      <w:pPr>
        <w:pStyle w:val="10"/>
        <w:spacing w:before="4"/>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5"/>
        <w:gridCol w:w="1923"/>
        <w:gridCol w:w="1923"/>
        <w:gridCol w:w="1923"/>
      </w:tblGrid>
      <w:tr w14:paraId="3D4A7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2735" w:type="dxa"/>
            <w:tcBorders>
              <w:left w:val="nil"/>
            </w:tcBorders>
          </w:tcPr>
          <w:p w14:paraId="7F74D25E">
            <w:pPr>
              <w:pStyle w:val="17"/>
              <w:tabs>
                <w:tab w:val="left" w:pos="1728"/>
              </w:tabs>
              <w:spacing w:before="1"/>
              <w:ind w:left="113"/>
              <w:jc w:val="left"/>
              <w:rPr>
                <w:sz w:val="21"/>
              </w:rPr>
            </w:pPr>
            <w:r>
              <w:rPr>
                <w:position w:val="2"/>
                <w:sz w:val="21"/>
              </w:rPr>
              <w:t>评价工作等级</w:t>
            </w:r>
            <w:r>
              <w:rPr>
                <w:position w:val="2"/>
                <w:sz w:val="21"/>
              </w:rPr>
              <w:tab/>
            </w:r>
            <w:r>
              <w:rPr>
                <w:sz w:val="21"/>
              </w:rPr>
              <w:t>占地规模</w:t>
            </w:r>
          </w:p>
        </w:tc>
        <w:tc>
          <w:tcPr>
            <w:tcW w:w="1923" w:type="dxa"/>
          </w:tcPr>
          <w:p w14:paraId="2A9D61F8">
            <w:pPr>
              <w:pStyle w:val="17"/>
              <w:jc w:val="left"/>
              <w:rPr>
                <w:b/>
                <w:sz w:val="22"/>
              </w:rPr>
            </w:pPr>
          </w:p>
          <w:p w14:paraId="60AE84C4">
            <w:pPr>
              <w:pStyle w:val="17"/>
              <w:spacing w:before="149"/>
              <w:ind w:left="610"/>
              <w:jc w:val="left"/>
              <w:rPr>
                <w:sz w:val="21"/>
              </w:rPr>
            </w:pPr>
            <w:r>
              <w:rPr>
                <w:rFonts w:ascii="Times New Roman" w:hAnsi="Times New Roman" w:eastAsia="Times New Roman"/>
                <w:sz w:val="21"/>
              </w:rPr>
              <w:t>Ⅰ</w:t>
            </w:r>
            <w:r>
              <w:rPr>
                <w:sz w:val="21"/>
              </w:rPr>
              <w:t>类项目</w:t>
            </w:r>
          </w:p>
        </w:tc>
        <w:tc>
          <w:tcPr>
            <w:tcW w:w="1923" w:type="dxa"/>
          </w:tcPr>
          <w:p w14:paraId="11C03DBC">
            <w:pPr>
              <w:pStyle w:val="17"/>
              <w:jc w:val="left"/>
              <w:rPr>
                <w:b/>
                <w:sz w:val="22"/>
              </w:rPr>
            </w:pPr>
          </w:p>
          <w:p w14:paraId="543CE4D1">
            <w:pPr>
              <w:pStyle w:val="17"/>
              <w:spacing w:before="149"/>
              <w:ind w:left="576"/>
              <w:jc w:val="left"/>
              <w:rPr>
                <w:sz w:val="21"/>
              </w:rPr>
            </w:pPr>
            <w:r>
              <w:rPr>
                <w:rFonts w:ascii="Times New Roman" w:hAnsi="Times New Roman" w:eastAsia="Times New Roman"/>
                <w:sz w:val="21"/>
              </w:rPr>
              <w:t>Ⅱ</w:t>
            </w:r>
            <w:r>
              <w:rPr>
                <w:sz w:val="21"/>
              </w:rPr>
              <w:t>类项目</w:t>
            </w:r>
          </w:p>
        </w:tc>
        <w:tc>
          <w:tcPr>
            <w:tcW w:w="1923" w:type="dxa"/>
            <w:tcBorders>
              <w:right w:val="nil"/>
            </w:tcBorders>
          </w:tcPr>
          <w:p w14:paraId="3889C0EF">
            <w:pPr>
              <w:pStyle w:val="17"/>
              <w:jc w:val="left"/>
              <w:rPr>
                <w:b/>
                <w:sz w:val="22"/>
              </w:rPr>
            </w:pPr>
          </w:p>
          <w:p w14:paraId="3243CFFB">
            <w:pPr>
              <w:pStyle w:val="17"/>
              <w:spacing w:before="149"/>
              <w:ind w:left="544"/>
              <w:jc w:val="left"/>
              <w:rPr>
                <w:sz w:val="21"/>
              </w:rPr>
            </w:pPr>
            <w:r>
              <w:rPr>
                <w:rFonts w:ascii="Times New Roman" w:hAnsi="Times New Roman" w:eastAsia="Times New Roman"/>
                <w:sz w:val="21"/>
              </w:rPr>
              <w:t>Ⅲ</w:t>
            </w:r>
            <w:r>
              <w:rPr>
                <w:sz w:val="21"/>
              </w:rPr>
              <w:t>类项目</w:t>
            </w:r>
          </w:p>
        </w:tc>
      </w:tr>
    </w:tbl>
    <w:p w14:paraId="0A1109E0">
      <w:pPr>
        <w:spacing w:after="0"/>
        <w:jc w:val="left"/>
        <w:rPr>
          <w:sz w:val="21"/>
        </w:rPr>
        <w:sectPr>
          <w:pgSz w:w="11910" w:h="16840"/>
          <w:pgMar w:top="1440" w:right="1440" w:bottom="1220" w:left="1580" w:header="0" w:footer="1024" w:gutter="0"/>
          <w:cols w:space="720" w:num="1"/>
        </w:sect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35"/>
        <w:gridCol w:w="641"/>
        <w:gridCol w:w="641"/>
        <w:gridCol w:w="641"/>
        <w:gridCol w:w="641"/>
        <w:gridCol w:w="641"/>
        <w:gridCol w:w="641"/>
        <w:gridCol w:w="641"/>
        <w:gridCol w:w="641"/>
        <w:gridCol w:w="319"/>
        <w:gridCol w:w="321"/>
      </w:tblGrid>
      <w:tr w14:paraId="4F625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2E737E40">
            <w:pPr>
              <w:pStyle w:val="17"/>
              <w:jc w:val="left"/>
              <w:rPr>
                <w:rFonts w:ascii="Times New Roman"/>
                <w:sz w:val="22"/>
              </w:rPr>
            </w:pPr>
          </w:p>
        </w:tc>
        <w:tc>
          <w:tcPr>
            <w:tcW w:w="641" w:type="dxa"/>
          </w:tcPr>
          <w:p w14:paraId="264DDDE5">
            <w:pPr>
              <w:pStyle w:val="17"/>
              <w:spacing w:before="35"/>
              <w:ind w:left="7"/>
              <w:rPr>
                <w:sz w:val="21"/>
              </w:rPr>
            </w:pPr>
            <w:r>
              <w:rPr>
                <w:w w:val="99"/>
                <w:sz w:val="21"/>
              </w:rPr>
              <w:t>大</w:t>
            </w:r>
          </w:p>
        </w:tc>
        <w:tc>
          <w:tcPr>
            <w:tcW w:w="641" w:type="dxa"/>
          </w:tcPr>
          <w:p w14:paraId="3DE181CD">
            <w:pPr>
              <w:pStyle w:val="17"/>
              <w:spacing w:before="35"/>
              <w:ind w:left="7"/>
              <w:rPr>
                <w:sz w:val="21"/>
              </w:rPr>
            </w:pPr>
            <w:r>
              <w:rPr>
                <w:w w:val="99"/>
                <w:sz w:val="21"/>
              </w:rPr>
              <w:t>中</w:t>
            </w:r>
          </w:p>
        </w:tc>
        <w:tc>
          <w:tcPr>
            <w:tcW w:w="641" w:type="dxa"/>
          </w:tcPr>
          <w:p w14:paraId="7EE9021B">
            <w:pPr>
              <w:pStyle w:val="17"/>
              <w:spacing w:before="35"/>
              <w:ind w:left="7"/>
              <w:rPr>
                <w:sz w:val="21"/>
              </w:rPr>
            </w:pPr>
            <w:r>
              <w:rPr>
                <w:w w:val="99"/>
                <w:sz w:val="21"/>
              </w:rPr>
              <w:t>小</w:t>
            </w:r>
          </w:p>
        </w:tc>
        <w:tc>
          <w:tcPr>
            <w:tcW w:w="641" w:type="dxa"/>
          </w:tcPr>
          <w:p w14:paraId="1B54F927">
            <w:pPr>
              <w:pStyle w:val="17"/>
              <w:spacing w:before="35"/>
              <w:ind w:left="6"/>
              <w:rPr>
                <w:sz w:val="21"/>
              </w:rPr>
            </w:pPr>
            <w:r>
              <w:rPr>
                <w:w w:val="99"/>
                <w:sz w:val="21"/>
              </w:rPr>
              <w:t>大</w:t>
            </w:r>
          </w:p>
        </w:tc>
        <w:tc>
          <w:tcPr>
            <w:tcW w:w="641" w:type="dxa"/>
          </w:tcPr>
          <w:p w14:paraId="55A270FE">
            <w:pPr>
              <w:pStyle w:val="17"/>
              <w:spacing w:before="35"/>
              <w:ind w:left="6"/>
              <w:rPr>
                <w:sz w:val="21"/>
              </w:rPr>
            </w:pPr>
            <w:r>
              <w:rPr>
                <w:w w:val="99"/>
                <w:sz w:val="21"/>
              </w:rPr>
              <w:t>中</w:t>
            </w:r>
          </w:p>
        </w:tc>
        <w:tc>
          <w:tcPr>
            <w:tcW w:w="641" w:type="dxa"/>
          </w:tcPr>
          <w:p w14:paraId="67091C82">
            <w:pPr>
              <w:pStyle w:val="17"/>
              <w:spacing w:before="35"/>
              <w:ind w:left="5"/>
              <w:rPr>
                <w:sz w:val="21"/>
              </w:rPr>
            </w:pPr>
            <w:r>
              <w:rPr>
                <w:w w:val="99"/>
                <w:sz w:val="21"/>
              </w:rPr>
              <w:t>小</w:t>
            </w:r>
          </w:p>
        </w:tc>
        <w:tc>
          <w:tcPr>
            <w:tcW w:w="641" w:type="dxa"/>
          </w:tcPr>
          <w:p w14:paraId="1D86AF17">
            <w:pPr>
              <w:pStyle w:val="17"/>
              <w:spacing w:before="35"/>
              <w:ind w:left="5"/>
              <w:rPr>
                <w:sz w:val="21"/>
              </w:rPr>
            </w:pPr>
            <w:r>
              <w:rPr>
                <w:w w:val="99"/>
                <w:sz w:val="21"/>
              </w:rPr>
              <w:t>大</w:t>
            </w:r>
          </w:p>
        </w:tc>
        <w:tc>
          <w:tcPr>
            <w:tcW w:w="641" w:type="dxa"/>
          </w:tcPr>
          <w:p w14:paraId="12F5F1AC">
            <w:pPr>
              <w:pStyle w:val="17"/>
              <w:spacing w:before="35"/>
              <w:ind w:left="5"/>
              <w:rPr>
                <w:sz w:val="21"/>
              </w:rPr>
            </w:pPr>
            <w:r>
              <w:rPr>
                <w:w w:val="99"/>
                <w:sz w:val="21"/>
              </w:rPr>
              <w:t>中</w:t>
            </w:r>
          </w:p>
        </w:tc>
        <w:tc>
          <w:tcPr>
            <w:tcW w:w="640" w:type="dxa"/>
            <w:gridSpan w:val="2"/>
            <w:tcBorders>
              <w:right w:val="nil"/>
            </w:tcBorders>
          </w:tcPr>
          <w:p w14:paraId="6D1F74DC">
            <w:pPr>
              <w:pStyle w:val="17"/>
              <w:spacing w:before="35"/>
              <w:ind w:left="215"/>
              <w:jc w:val="left"/>
              <w:rPr>
                <w:sz w:val="21"/>
              </w:rPr>
            </w:pPr>
            <w:r>
              <w:rPr>
                <w:w w:val="99"/>
                <w:sz w:val="21"/>
              </w:rPr>
              <w:t>小</w:t>
            </w:r>
          </w:p>
        </w:tc>
      </w:tr>
      <w:tr w14:paraId="0D0A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20E9F085">
            <w:pPr>
              <w:pStyle w:val="17"/>
              <w:spacing w:before="36"/>
              <w:ind w:left="1036" w:right="1024"/>
              <w:rPr>
                <w:sz w:val="21"/>
              </w:rPr>
            </w:pPr>
            <w:r>
              <w:rPr>
                <w:sz w:val="21"/>
              </w:rPr>
              <w:t>敏感</w:t>
            </w:r>
          </w:p>
        </w:tc>
        <w:tc>
          <w:tcPr>
            <w:tcW w:w="641" w:type="dxa"/>
          </w:tcPr>
          <w:p w14:paraId="124AE3CD">
            <w:pPr>
              <w:pStyle w:val="17"/>
              <w:spacing w:before="36"/>
              <w:ind w:left="85" w:right="80"/>
              <w:rPr>
                <w:sz w:val="21"/>
              </w:rPr>
            </w:pPr>
            <w:r>
              <w:rPr>
                <w:sz w:val="21"/>
              </w:rPr>
              <w:t>一级</w:t>
            </w:r>
          </w:p>
        </w:tc>
        <w:tc>
          <w:tcPr>
            <w:tcW w:w="641" w:type="dxa"/>
          </w:tcPr>
          <w:p w14:paraId="1C44E074">
            <w:pPr>
              <w:pStyle w:val="17"/>
              <w:spacing w:before="36"/>
              <w:ind w:left="81" w:right="81"/>
              <w:rPr>
                <w:sz w:val="21"/>
              </w:rPr>
            </w:pPr>
            <w:r>
              <w:rPr>
                <w:sz w:val="21"/>
              </w:rPr>
              <w:t>一级</w:t>
            </w:r>
          </w:p>
        </w:tc>
        <w:tc>
          <w:tcPr>
            <w:tcW w:w="641" w:type="dxa"/>
          </w:tcPr>
          <w:p w14:paraId="0070AC4C">
            <w:pPr>
              <w:pStyle w:val="17"/>
              <w:spacing w:before="36"/>
              <w:ind w:left="85" w:right="81"/>
              <w:rPr>
                <w:sz w:val="21"/>
              </w:rPr>
            </w:pPr>
            <w:r>
              <w:rPr>
                <w:sz w:val="21"/>
              </w:rPr>
              <w:t>一级</w:t>
            </w:r>
          </w:p>
        </w:tc>
        <w:tc>
          <w:tcPr>
            <w:tcW w:w="641" w:type="dxa"/>
          </w:tcPr>
          <w:p w14:paraId="489D07D8">
            <w:pPr>
              <w:pStyle w:val="17"/>
              <w:spacing w:before="36"/>
              <w:ind w:left="85" w:right="81"/>
              <w:rPr>
                <w:sz w:val="21"/>
              </w:rPr>
            </w:pPr>
            <w:r>
              <w:rPr>
                <w:sz w:val="21"/>
              </w:rPr>
              <w:t>二级</w:t>
            </w:r>
          </w:p>
        </w:tc>
        <w:tc>
          <w:tcPr>
            <w:tcW w:w="641" w:type="dxa"/>
          </w:tcPr>
          <w:p w14:paraId="4FFC0192">
            <w:pPr>
              <w:pStyle w:val="17"/>
              <w:spacing w:before="36"/>
              <w:ind w:left="84" w:right="81"/>
              <w:rPr>
                <w:sz w:val="21"/>
              </w:rPr>
            </w:pPr>
            <w:r>
              <w:rPr>
                <w:sz w:val="21"/>
              </w:rPr>
              <w:t>二级</w:t>
            </w:r>
          </w:p>
        </w:tc>
        <w:tc>
          <w:tcPr>
            <w:tcW w:w="641" w:type="dxa"/>
          </w:tcPr>
          <w:p w14:paraId="10CC8B5A">
            <w:pPr>
              <w:pStyle w:val="17"/>
              <w:spacing w:before="36"/>
              <w:ind w:left="85" w:right="77"/>
              <w:rPr>
                <w:sz w:val="21"/>
              </w:rPr>
            </w:pPr>
            <w:r>
              <w:rPr>
                <w:sz w:val="21"/>
              </w:rPr>
              <w:t>二级</w:t>
            </w:r>
          </w:p>
        </w:tc>
        <w:tc>
          <w:tcPr>
            <w:tcW w:w="641" w:type="dxa"/>
          </w:tcPr>
          <w:p w14:paraId="30E228A0">
            <w:pPr>
              <w:pStyle w:val="17"/>
              <w:spacing w:before="36"/>
              <w:ind w:left="84" w:right="81"/>
              <w:rPr>
                <w:sz w:val="21"/>
              </w:rPr>
            </w:pPr>
            <w:r>
              <w:rPr>
                <w:sz w:val="21"/>
              </w:rPr>
              <w:t>三级</w:t>
            </w:r>
          </w:p>
        </w:tc>
        <w:tc>
          <w:tcPr>
            <w:tcW w:w="641" w:type="dxa"/>
          </w:tcPr>
          <w:p w14:paraId="16CADD1A">
            <w:pPr>
              <w:pStyle w:val="17"/>
              <w:spacing w:before="36"/>
              <w:ind w:left="83" w:right="81"/>
              <w:rPr>
                <w:sz w:val="21"/>
              </w:rPr>
            </w:pPr>
            <w:r>
              <w:rPr>
                <w:sz w:val="21"/>
              </w:rPr>
              <w:t>三级</w:t>
            </w:r>
          </w:p>
        </w:tc>
        <w:tc>
          <w:tcPr>
            <w:tcW w:w="640" w:type="dxa"/>
            <w:gridSpan w:val="2"/>
            <w:tcBorders>
              <w:right w:val="nil"/>
            </w:tcBorders>
          </w:tcPr>
          <w:p w14:paraId="3CADE3CA">
            <w:pPr>
              <w:pStyle w:val="17"/>
              <w:spacing w:before="36"/>
              <w:ind w:left="107"/>
              <w:jc w:val="left"/>
              <w:rPr>
                <w:sz w:val="21"/>
              </w:rPr>
            </w:pPr>
            <w:r>
              <w:rPr>
                <w:sz w:val="21"/>
              </w:rPr>
              <w:t>三级</w:t>
            </w:r>
          </w:p>
        </w:tc>
      </w:tr>
      <w:tr w14:paraId="43BF2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00A1492E">
            <w:pPr>
              <w:pStyle w:val="17"/>
              <w:spacing w:before="34"/>
              <w:ind w:left="1036" w:right="1024"/>
              <w:rPr>
                <w:sz w:val="21"/>
              </w:rPr>
            </w:pPr>
            <w:r>
              <w:rPr>
                <w:sz w:val="21"/>
              </w:rPr>
              <w:t>较敏感</w:t>
            </w:r>
          </w:p>
        </w:tc>
        <w:tc>
          <w:tcPr>
            <w:tcW w:w="641" w:type="dxa"/>
          </w:tcPr>
          <w:p w14:paraId="71D18649">
            <w:pPr>
              <w:pStyle w:val="17"/>
              <w:spacing w:before="34"/>
              <w:ind w:left="81" w:right="81"/>
              <w:rPr>
                <w:sz w:val="21"/>
              </w:rPr>
            </w:pPr>
            <w:r>
              <w:rPr>
                <w:sz w:val="21"/>
              </w:rPr>
              <w:t>一级</w:t>
            </w:r>
          </w:p>
        </w:tc>
        <w:tc>
          <w:tcPr>
            <w:tcW w:w="641" w:type="dxa"/>
          </w:tcPr>
          <w:p w14:paraId="004921E1">
            <w:pPr>
              <w:pStyle w:val="17"/>
              <w:spacing w:before="34"/>
              <w:ind w:left="81" w:right="81"/>
              <w:rPr>
                <w:sz w:val="21"/>
              </w:rPr>
            </w:pPr>
            <w:r>
              <w:rPr>
                <w:sz w:val="21"/>
              </w:rPr>
              <w:t>一级</w:t>
            </w:r>
          </w:p>
        </w:tc>
        <w:tc>
          <w:tcPr>
            <w:tcW w:w="641" w:type="dxa"/>
          </w:tcPr>
          <w:p w14:paraId="7D24EE13">
            <w:pPr>
              <w:pStyle w:val="17"/>
              <w:spacing w:before="34"/>
              <w:ind w:left="85" w:right="81"/>
              <w:rPr>
                <w:sz w:val="21"/>
              </w:rPr>
            </w:pPr>
            <w:r>
              <w:rPr>
                <w:sz w:val="21"/>
              </w:rPr>
              <w:t>二级</w:t>
            </w:r>
          </w:p>
        </w:tc>
        <w:tc>
          <w:tcPr>
            <w:tcW w:w="641" w:type="dxa"/>
          </w:tcPr>
          <w:p w14:paraId="5C4FA39A">
            <w:pPr>
              <w:pStyle w:val="17"/>
              <w:spacing w:before="34"/>
              <w:ind w:left="85" w:right="81"/>
              <w:rPr>
                <w:sz w:val="21"/>
              </w:rPr>
            </w:pPr>
            <w:r>
              <w:rPr>
                <w:sz w:val="21"/>
              </w:rPr>
              <w:t>二级</w:t>
            </w:r>
          </w:p>
        </w:tc>
        <w:tc>
          <w:tcPr>
            <w:tcW w:w="641" w:type="dxa"/>
          </w:tcPr>
          <w:p w14:paraId="6790919D">
            <w:pPr>
              <w:pStyle w:val="17"/>
              <w:spacing w:before="34"/>
              <w:ind w:left="84" w:right="81"/>
              <w:rPr>
                <w:sz w:val="21"/>
              </w:rPr>
            </w:pPr>
            <w:r>
              <w:rPr>
                <w:sz w:val="21"/>
              </w:rPr>
              <w:t>二级</w:t>
            </w:r>
          </w:p>
        </w:tc>
        <w:tc>
          <w:tcPr>
            <w:tcW w:w="641" w:type="dxa"/>
          </w:tcPr>
          <w:p w14:paraId="3A02D1F5">
            <w:pPr>
              <w:pStyle w:val="17"/>
              <w:spacing w:before="34"/>
              <w:ind w:left="85" w:right="77"/>
              <w:rPr>
                <w:sz w:val="21"/>
              </w:rPr>
            </w:pPr>
            <w:r>
              <w:rPr>
                <w:sz w:val="21"/>
              </w:rPr>
              <w:t>三级</w:t>
            </w:r>
          </w:p>
        </w:tc>
        <w:tc>
          <w:tcPr>
            <w:tcW w:w="641" w:type="dxa"/>
          </w:tcPr>
          <w:p w14:paraId="478A54E7">
            <w:pPr>
              <w:pStyle w:val="17"/>
              <w:spacing w:before="34"/>
              <w:ind w:left="84" w:right="81"/>
              <w:rPr>
                <w:sz w:val="21"/>
              </w:rPr>
            </w:pPr>
            <w:r>
              <w:rPr>
                <w:sz w:val="21"/>
              </w:rPr>
              <w:t>三级</w:t>
            </w:r>
          </w:p>
        </w:tc>
        <w:tc>
          <w:tcPr>
            <w:tcW w:w="641" w:type="dxa"/>
          </w:tcPr>
          <w:p w14:paraId="16833641">
            <w:pPr>
              <w:pStyle w:val="17"/>
              <w:spacing w:before="34"/>
              <w:ind w:left="85" w:right="78"/>
              <w:rPr>
                <w:sz w:val="21"/>
              </w:rPr>
            </w:pPr>
            <w:r>
              <w:rPr>
                <w:sz w:val="21"/>
              </w:rPr>
              <w:t>三级</w:t>
            </w:r>
          </w:p>
        </w:tc>
        <w:tc>
          <w:tcPr>
            <w:tcW w:w="640" w:type="dxa"/>
            <w:gridSpan w:val="2"/>
            <w:tcBorders>
              <w:right w:val="nil"/>
            </w:tcBorders>
          </w:tcPr>
          <w:p w14:paraId="18F14EC3">
            <w:pPr>
              <w:pStyle w:val="17"/>
              <w:spacing w:before="48"/>
              <w:ind w:left="5"/>
              <w:rPr>
                <w:rFonts w:ascii="Times New Roman"/>
                <w:sz w:val="21"/>
              </w:rPr>
            </w:pPr>
            <w:r>
              <w:rPr>
                <w:rFonts w:ascii="Times New Roman"/>
                <w:w w:val="99"/>
                <w:sz w:val="21"/>
              </w:rPr>
              <w:t>-</w:t>
            </w:r>
          </w:p>
        </w:tc>
      </w:tr>
      <w:tr w14:paraId="5FC3E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5" w:type="dxa"/>
            <w:tcBorders>
              <w:left w:val="nil"/>
            </w:tcBorders>
          </w:tcPr>
          <w:p w14:paraId="237C8762">
            <w:pPr>
              <w:pStyle w:val="17"/>
              <w:spacing w:before="34"/>
              <w:ind w:left="1036" w:right="1024"/>
              <w:rPr>
                <w:sz w:val="21"/>
              </w:rPr>
            </w:pPr>
            <w:r>
              <w:rPr>
                <w:sz w:val="21"/>
              </w:rPr>
              <w:t>不敏感</w:t>
            </w:r>
          </w:p>
        </w:tc>
        <w:tc>
          <w:tcPr>
            <w:tcW w:w="641" w:type="dxa"/>
          </w:tcPr>
          <w:p w14:paraId="0182C8F5">
            <w:pPr>
              <w:pStyle w:val="17"/>
              <w:spacing w:before="34"/>
              <w:ind w:left="81" w:right="81"/>
              <w:rPr>
                <w:sz w:val="21"/>
              </w:rPr>
            </w:pPr>
            <w:r>
              <w:rPr>
                <w:sz w:val="21"/>
              </w:rPr>
              <w:t>一级</w:t>
            </w:r>
          </w:p>
        </w:tc>
        <w:tc>
          <w:tcPr>
            <w:tcW w:w="641" w:type="dxa"/>
          </w:tcPr>
          <w:p w14:paraId="1100CACA">
            <w:pPr>
              <w:pStyle w:val="17"/>
              <w:spacing w:before="34"/>
              <w:ind w:left="81" w:right="81"/>
              <w:rPr>
                <w:sz w:val="21"/>
              </w:rPr>
            </w:pPr>
            <w:r>
              <w:rPr>
                <w:sz w:val="21"/>
              </w:rPr>
              <w:t>二级</w:t>
            </w:r>
          </w:p>
        </w:tc>
        <w:tc>
          <w:tcPr>
            <w:tcW w:w="641" w:type="dxa"/>
          </w:tcPr>
          <w:p w14:paraId="63FC8318">
            <w:pPr>
              <w:pStyle w:val="17"/>
              <w:spacing w:before="34"/>
              <w:ind w:left="81" w:right="81"/>
              <w:rPr>
                <w:sz w:val="21"/>
              </w:rPr>
            </w:pPr>
            <w:r>
              <w:rPr>
                <w:sz w:val="21"/>
              </w:rPr>
              <w:t>二级</w:t>
            </w:r>
          </w:p>
        </w:tc>
        <w:tc>
          <w:tcPr>
            <w:tcW w:w="641" w:type="dxa"/>
          </w:tcPr>
          <w:p w14:paraId="16B268DA">
            <w:pPr>
              <w:pStyle w:val="17"/>
              <w:spacing w:before="34"/>
              <w:ind w:left="85" w:right="81"/>
              <w:rPr>
                <w:sz w:val="21"/>
              </w:rPr>
            </w:pPr>
            <w:r>
              <w:rPr>
                <w:sz w:val="21"/>
              </w:rPr>
              <w:t>二级</w:t>
            </w:r>
          </w:p>
        </w:tc>
        <w:tc>
          <w:tcPr>
            <w:tcW w:w="641" w:type="dxa"/>
          </w:tcPr>
          <w:p w14:paraId="4B95C96B">
            <w:pPr>
              <w:pStyle w:val="17"/>
              <w:spacing w:before="34"/>
              <w:ind w:left="84" w:right="81"/>
              <w:rPr>
                <w:sz w:val="21"/>
              </w:rPr>
            </w:pPr>
            <w:r>
              <w:rPr>
                <w:sz w:val="21"/>
              </w:rPr>
              <w:t>三级</w:t>
            </w:r>
          </w:p>
        </w:tc>
        <w:tc>
          <w:tcPr>
            <w:tcW w:w="641" w:type="dxa"/>
          </w:tcPr>
          <w:p w14:paraId="49970D84">
            <w:pPr>
              <w:pStyle w:val="17"/>
              <w:spacing w:before="34"/>
              <w:ind w:left="84" w:right="81"/>
              <w:rPr>
                <w:sz w:val="21"/>
              </w:rPr>
            </w:pPr>
            <w:r>
              <w:rPr>
                <w:sz w:val="21"/>
              </w:rPr>
              <w:t>三级</w:t>
            </w:r>
          </w:p>
        </w:tc>
        <w:tc>
          <w:tcPr>
            <w:tcW w:w="641" w:type="dxa"/>
          </w:tcPr>
          <w:p w14:paraId="1AF5181A">
            <w:pPr>
              <w:pStyle w:val="17"/>
              <w:spacing w:before="34"/>
              <w:ind w:left="84" w:right="81"/>
              <w:rPr>
                <w:sz w:val="21"/>
              </w:rPr>
            </w:pPr>
            <w:r>
              <w:rPr>
                <w:sz w:val="21"/>
              </w:rPr>
              <w:t>三级</w:t>
            </w:r>
          </w:p>
        </w:tc>
        <w:tc>
          <w:tcPr>
            <w:tcW w:w="641" w:type="dxa"/>
          </w:tcPr>
          <w:p w14:paraId="21FAC58D">
            <w:pPr>
              <w:pStyle w:val="17"/>
              <w:spacing w:before="48"/>
              <w:ind w:left="9"/>
              <w:rPr>
                <w:rFonts w:ascii="Times New Roman"/>
                <w:sz w:val="21"/>
              </w:rPr>
            </w:pPr>
            <w:r>
              <w:rPr>
                <w:rFonts w:ascii="Times New Roman"/>
                <w:w w:val="99"/>
                <w:sz w:val="21"/>
              </w:rPr>
              <w:t>-</w:t>
            </w:r>
          </w:p>
        </w:tc>
        <w:tc>
          <w:tcPr>
            <w:tcW w:w="319" w:type="dxa"/>
            <w:tcBorders>
              <w:right w:val="single" w:color="C0C0C0" w:sz="34" w:space="0"/>
            </w:tcBorders>
          </w:tcPr>
          <w:p w14:paraId="09DFFF1F">
            <w:pPr>
              <w:pStyle w:val="17"/>
              <w:jc w:val="left"/>
              <w:rPr>
                <w:rFonts w:ascii="Times New Roman"/>
                <w:sz w:val="22"/>
              </w:rPr>
            </w:pPr>
          </w:p>
        </w:tc>
        <w:tc>
          <w:tcPr>
            <w:tcW w:w="321" w:type="dxa"/>
            <w:tcBorders>
              <w:left w:val="single" w:color="C0C0C0" w:sz="34" w:space="0"/>
              <w:right w:val="nil"/>
            </w:tcBorders>
          </w:tcPr>
          <w:p w14:paraId="292394B1">
            <w:pPr>
              <w:pStyle w:val="17"/>
              <w:spacing w:before="48"/>
              <w:ind w:left="-72"/>
              <w:jc w:val="left"/>
              <w:rPr>
                <w:rFonts w:ascii="Times New Roman"/>
                <w:sz w:val="21"/>
              </w:rPr>
            </w:pPr>
            <w:r>
              <w:rPr>
                <w:rFonts w:ascii="Times New Roman"/>
                <w:w w:val="99"/>
                <w:sz w:val="21"/>
              </w:rPr>
              <w:t>-</w:t>
            </w:r>
          </w:p>
        </w:tc>
      </w:tr>
    </w:tbl>
    <w:p w14:paraId="56C1992F">
      <w:pPr>
        <w:spacing w:before="35"/>
        <w:ind w:left="229" w:right="0" w:firstLine="0"/>
        <w:jc w:val="left"/>
        <w:rPr>
          <w:sz w:val="21"/>
        </w:rPr>
      </w:pPr>
      <w:r>
        <w:pict>
          <v:line id="_x0000_s1225" o:spid="_x0000_s1225" o:spt="20" style="position:absolute;left:0pt;margin-left:85.05pt;margin-top:17.25pt;height:0pt;width:425.2pt;mso-position-horizontal-relative:page;mso-wrap-distance-bottom:0pt;mso-wrap-distance-top:0pt;z-index:251659264;mso-width-relative:page;mso-height-relative:page;" stroked="t" coordsize="21600,21600">
            <v:path arrowok="t"/>
            <v:fill focussize="0,0"/>
            <v:stroke weight="0.48pt" color="#000000"/>
            <v:imagedata o:title=""/>
            <o:lock v:ext="edit"/>
            <w10:wrap type="topAndBottom"/>
          </v:line>
        </w:pict>
      </w:r>
      <w:r>
        <w:rPr>
          <w:sz w:val="21"/>
        </w:rPr>
        <w:t>注：</w:t>
      </w:r>
      <w:r>
        <w:rPr>
          <w:rFonts w:ascii="Times New Roman" w:hAnsi="Times New Roman" w:eastAsia="Times New Roman"/>
          <w:sz w:val="21"/>
        </w:rPr>
        <w:t>“-”</w:t>
      </w:r>
      <w:r>
        <w:rPr>
          <w:sz w:val="21"/>
        </w:rPr>
        <w:t>表示可不开展土壤环境影响评价工作。</w:t>
      </w:r>
    </w:p>
    <w:p w14:paraId="22460412">
      <w:pPr>
        <w:pStyle w:val="16"/>
        <w:numPr>
          <w:ilvl w:val="2"/>
          <w:numId w:val="6"/>
        </w:numPr>
        <w:tabs>
          <w:tab w:val="left" w:pos="849"/>
        </w:tabs>
        <w:spacing w:before="104" w:after="0" w:line="240" w:lineRule="auto"/>
        <w:ind w:left="848" w:right="0" w:hanging="628"/>
        <w:jc w:val="left"/>
        <w:rPr>
          <w:b/>
          <w:sz w:val="28"/>
        </w:rPr>
      </w:pPr>
      <w:r>
        <w:rPr>
          <w:b/>
          <w:sz w:val="28"/>
        </w:rPr>
        <w:t>生态环境影响评价工作等级</w:t>
      </w:r>
    </w:p>
    <w:p w14:paraId="37DAB6A3">
      <w:pPr>
        <w:pStyle w:val="10"/>
        <w:spacing w:before="214" w:line="364" w:lineRule="auto"/>
        <w:ind w:left="220" w:right="357" w:firstLine="480"/>
        <w:jc w:val="both"/>
      </w:pPr>
      <w:r>
        <w:rPr>
          <w:spacing w:val="-5"/>
        </w:rPr>
        <w:t>本项目租赁中塑新材料公司闲置厂房进行建设，符合园区产业定位。根据国</w:t>
      </w:r>
      <w:r>
        <w:rPr>
          <w:spacing w:val="-8"/>
        </w:rPr>
        <w:t>家《环境影响评价技术导则 生态影响》</w:t>
      </w:r>
      <w:r>
        <w:t>（</w:t>
      </w:r>
      <w:r>
        <w:rPr>
          <w:rFonts w:ascii="Times New Roman" w:eastAsia="Times New Roman"/>
        </w:rPr>
        <w:t>HJ19-2022</w:t>
      </w:r>
      <w:r>
        <w:t>）</w:t>
      </w:r>
      <w:r>
        <w:rPr>
          <w:spacing w:val="-4"/>
        </w:rPr>
        <w:t>规定，符合生态环境分区</w:t>
      </w:r>
      <w:r>
        <w:rPr>
          <w:spacing w:val="-7"/>
        </w:rPr>
        <w:t>管控要求且位于原厂界</w:t>
      </w:r>
      <w:r>
        <w:t>（或永久用地</w:t>
      </w:r>
      <w:r>
        <w:rPr>
          <w:spacing w:val="-32"/>
        </w:rPr>
        <w:t>）</w:t>
      </w:r>
      <w:r>
        <w:rPr>
          <w:spacing w:val="-3"/>
        </w:rPr>
        <w:t>范围内的污染影响类改扩建项目，位于已</w:t>
      </w:r>
      <w:r>
        <w:rPr>
          <w:spacing w:val="-8"/>
        </w:rPr>
        <w:t>批准规划环评的产业园区内且符合规划环评要求、不涉及生态敏感区的污染影响</w:t>
      </w:r>
      <w:r>
        <w:rPr>
          <w:spacing w:val="-12"/>
        </w:rPr>
        <w:t>类建设项目，可不确定评价等级，直接进行生态影响简单分析。本项目属于已批</w:t>
      </w:r>
      <w:r>
        <w:rPr>
          <w:spacing w:val="-16"/>
        </w:rPr>
        <w:t>准规划环评的产业园区内且符合规划环评要求，、不涉及生态敏感区的污染影响类建设项目。因此本项目直接进行生态影响简单分析，可不确定评价等级。</w:t>
      </w:r>
    </w:p>
    <w:p w14:paraId="19085E5C">
      <w:pPr>
        <w:pStyle w:val="16"/>
        <w:numPr>
          <w:ilvl w:val="2"/>
          <w:numId w:val="6"/>
        </w:numPr>
        <w:tabs>
          <w:tab w:val="left" w:pos="849"/>
        </w:tabs>
        <w:spacing w:before="55" w:after="0" w:line="240" w:lineRule="auto"/>
        <w:ind w:left="848" w:right="0" w:hanging="628"/>
        <w:jc w:val="left"/>
        <w:rPr>
          <w:b/>
          <w:sz w:val="28"/>
        </w:rPr>
      </w:pPr>
      <w:r>
        <w:rPr>
          <w:b/>
          <w:sz w:val="28"/>
        </w:rPr>
        <w:t>环境风险影响评价工作等级</w:t>
      </w:r>
    </w:p>
    <w:p w14:paraId="0B8BDCAF">
      <w:pPr>
        <w:pStyle w:val="10"/>
        <w:spacing w:before="214" w:line="364" w:lineRule="auto"/>
        <w:ind w:left="220" w:right="237" w:firstLine="480"/>
      </w:pPr>
      <w:r>
        <w:rPr>
          <w:spacing w:val="-14"/>
        </w:rPr>
        <w:t>根据《建设项目环境风险评价技术导则》</w:t>
      </w:r>
      <w:r>
        <w:rPr>
          <w:spacing w:val="-5"/>
        </w:rPr>
        <w:t>（</w:t>
      </w:r>
      <w:r>
        <w:rPr>
          <w:rFonts w:ascii="Times New Roman" w:eastAsia="Times New Roman"/>
          <w:spacing w:val="-5"/>
        </w:rPr>
        <w:t>HJ169-2018</w:t>
      </w:r>
      <w:r>
        <w:rPr>
          <w:spacing w:val="-5"/>
        </w:rPr>
        <w:t>）</w:t>
      </w:r>
      <w:r>
        <w:t xml:space="preserve">中的相关内容确定， </w:t>
      </w:r>
      <w:r>
        <w:rPr>
          <w:spacing w:val="-4"/>
        </w:rPr>
        <w:t xml:space="preserve">本项目危险物质数量与临界量比值 </w:t>
      </w:r>
      <w:r>
        <w:rPr>
          <w:rFonts w:ascii="Times New Roman" w:eastAsia="Times New Roman"/>
          <w:spacing w:val="-3"/>
        </w:rPr>
        <w:t>Q=0.17143</w:t>
      </w:r>
      <w:r>
        <w:rPr>
          <w:spacing w:val="-3"/>
        </w:rPr>
        <w:t>＜</w:t>
      </w:r>
      <w:r>
        <w:rPr>
          <w:rFonts w:ascii="Times New Roman" w:eastAsia="Times New Roman"/>
          <w:spacing w:val="-3"/>
        </w:rPr>
        <w:t>1</w:t>
      </w:r>
      <w:r>
        <w:rPr>
          <w:spacing w:val="-11"/>
        </w:rPr>
        <w:t xml:space="preserve">，风险潜势为 </w:t>
      </w:r>
      <w:r>
        <w:rPr>
          <w:rFonts w:ascii="Times New Roman" w:eastAsia="Times New Roman"/>
        </w:rPr>
        <w:t>I</w:t>
      </w:r>
      <w:r>
        <w:rPr>
          <w:spacing w:val="-6"/>
        </w:rPr>
        <w:t>。本项目评价工</w:t>
      </w:r>
      <w:r>
        <w:rPr>
          <w:spacing w:val="-1"/>
        </w:rPr>
        <w:t>作等级为简单分析，可不设环境风险评价范围。</w:t>
      </w:r>
    </w:p>
    <w:p w14:paraId="55DB3E0F">
      <w:pPr>
        <w:pStyle w:val="9"/>
        <w:ind w:left="2948"/>
      </w:pPr>
      <w:r>
        <w:rPr>
          <w:spacing w:val="-31"/>
        </w:rPr>
        <w:t xml:space="preserve">表 </w:t>
      </w:r>
      <w:r>
        <w:rPr>
          <w:rFonts w:ascii="Times New Roman" w:eastAsia="Times New Roman"/>
        </w:rPr>
        <w:t>1.5-7</w:t>
      </w:r>
      <w:r>
        <w:rPr>
          <w:rFonts w:ascii="Times New Roman" w:eastAsia="Times New Roman"/>
          <w:spacing w:val="58"/>
        </w:rPr>
        <w:t xml:space="preserve"> </w:t>
      </w:r>
      <w:r>
        <w:t>风险评价等级划分</w:t>
      </w:r>
    </w:p>
    <w:p w14:paraId="4638974A">
      <w:pPr>
        <w:pStyle w:val="10"/>
        <w:spacing w:before="2"/>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8"/>
        <w:gridCol w:w="1828"/>
        <w:gridCol w:w="831"/>
        <w:gridCol w:w="829"/>
        <w:gridCol w:w="2088"/>
      </w:tblGrid>
      <w:tr w14:paraId="14E28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28" w:type="dxa"/>
            <w:tcBorders>
              <w:left w:val="nil"/>
            </w:tcBorders>
          </w:tcPr>
          <w:p w14:paraId="170DAB64">
            <w:pPr>
              <w:pStyle w:val="17"/>
              <w:spacing w:before="35"/>
              <w:ind w:left="817" w:right="806"/>
              <w:rPr>
                <w:sz w:val="21"/>
              </w:rPr>
            </w:pPr>
            <w:r>
              <w:rPr>
                <w:sz w:val="21"/>
              </w:rPr>
              <w:t>环境风险潜势</w:t>
            </w:r>
          </w:p>
        </w:tc>
        <w:tc>
          <w:tcPr>
            <w:tcW w:w="1828" w:type="dxa"/>
          </w:tcPr>
          <w:p w14:paraId="11365FE8">
            <w:pPr>
              <w:pStyle w:val="17"/>
              <w:spacing w:before="35"/>
              <w:ind w:left="530" w:right="521"/>
              <w:rPr>
                <w:rFonts w:ascii="Times New Roman" w:eastAsia="Times New Roman"/>
                <w:sz w:val="13"/>
              </w:rPr>
            </w:pPr>
            <w:r>
              <w:rPr>
                <w:rFonts w:ascii="Times New Roman" w:eastAsia="Times New Roman"/>
                <w:sz w:val="21"/>
              </w:rPr>
              <w:t>IV</w:t>
            </w:r>
            <w:r>
              <w:rPr>
                <w:sz w:val="21"/>
              </w:rPr>
              <w:t>、</w:t>
            </w:r>
            <w:r>
              <w:rPr>
                <w:rFonts w:ascii="Times New Roman" w:eastAsia="Times New Roman"/>
                <w:sz w:val="21"/>
              </w:rPr>
              <w:t>IV</w:t>
            </w:r>
            <w:r>
              <w:rPr>
                <w:rFonts w:ascii="Times New Roman" w:eastAsia="Times New Roman"/>
                <w:position w:val="7"/>
                <w:sz w:val="13"/>
              </w:rPr>
              <w:t>+</w:t>
            </w:r>
          </w:p>
        </w:tc>
        <w:tc>
          <w:tcPr>
            <w:tcW w:w="831" w:type="dxa"/>
          </w:tcPr>
          <w:p w14:paraId="78643D60">
            <w:pPr>
              <w:pStyle w:val="17"/>
              <w:spacing w:before="48"/>
              <w:ind w:left="11" w:right="5"/>
              <w:rPr>
                <w:rFonts w:ascii="Times New Roman"/>
                <w:sz w:val="21"/>
              </w:rPr>
            </w:pPr>
            <w:r>
              <w:rPr>
                <w:rFonts w:ascii="Times New Roman"/>
                <w:sz w:val="21"/>
              </w:rPr>
              <w:t>III</w:t>
            </w:r>
          </w:p>
        </w:tc>
        <w:tc>
          <w:tcPr>
            <w:tcW w:w="829" w:type="dxa"/>
          </w:tcPr>
          <w:p w14:paraId="5431B8C5">
            <w:pPr>
              <w:pStyle w:val="17"/>
              <w:spacing w:before="48"/>
              <w:ind w:left="323" w:right="316"/>
              <w:rPr>
                <w:rFonts w:ascii="Times New Roman"/>
                <w:sz w:val="21"/>
              </w:rPr>
            </w:pPr>
            <w:r>
              <w:rPr>
                <w:rFonts w:ascii="Times New Roman"/>
                <w:sz w:val="21"/>
              </w:rPr>
              <w:t>II</w:t>
            </w:r>
          </w:p>
        </w:tc>
        <w:tc>
          <w:tcPr>
            <w:tcW w:w="2088" w:type="dxa"/>
            <w:tcBorders>
              <w:right w:val="nil"/>
            </w:tcBorders>
          </w:tcPr>
          <w:p w14:paraId="2B5F6CE7">
            <w:pPr>
              <w:pStyle w:val="17"/>
              <w:spacing w:before="48"/>
              <w:ind w:left="1"/>
              <w:rPr>
                <w:rFonts w:ascii="Times New Roman"/>
                <w:sz w:val="21"/>
              </w:rPr>
            </w:pPr>
            <w:r>
              <w:rPr>
                <w:rFonts w:ascii="Times New Roman"/>
                <w:w w:val="99"/>
                <w:sz w:val="21"/>
              </w:rPr>
              <w:t>I</w:t>
            </w:r>
          </w:p>
        </w:tc>
      </w:tr>
      <w:tr w14:paraId="05557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928" w:type="dxa"/>
            <w:tcBorders>
              <w:left w:val="nil"/>
            </w:tcBorders>
          </w:tcPr>
          <w:p w14:paraId="7EE96B50">
            <w:pPr>
              <w:pStyle w:val="17"/>
              <w:spacing w:before="35"/>
              <w:ind w:left="817" w:right="806"/>
              <w:rPr>
                <w:sz w:val="21"/>
              </w:rPr>
            </w:pPr>
            <w:r>
              <w:rPr>
                <w:sz w:val="21"/>
              </w:rPr>
              <w:t>评价工作等级</w:t>
            </w:r>
          </w:p>
        </w:tc>
        <w:tc>
          <w:tcPr>
            <w:tcW w:w="1828" w:type="dxa"/>
          </w:tcPr>
          <w:p w14:paraId="703CA31E">
            <w:pPr>
              <w:pStyle w:val="17"/>
              <w:spacing w:before="35"/>
              <w:ind w:left="9"/>
              <w:rPr>
                <w:sz w:val="21"/>
              </w:rPr>
            </w:pPr>
            <w:r>
              <w:rPr>
                <w:w w:val="99"/>
                <w:sz w:val="21"/>
              </w:rPr>
              <w:t>一</w:t>
            </w:r>
          </w:p>
        </w:tc>
        <w:tc>
          <w:tcPr>
            <w:tcW w:w="831" w:type="dxa"/>
          </w:tcPr>
          <w:p w14:paraId="21F6A864">
            <w:pPr>
              <w:pStyle w:val="17"/>
              <w:spacing w:before="35"/>
              <w:ind w:left="9"/>
              <w:rPr>
                <w:sz w:val="21"/>
              </w:rPr>
            </w:pPr>
            <w:r>
              <w:rPr>
                <w:w w:val="99"/>
                <w:sz w:val="21"/>
              </w:rPr>
              <w:t>二</w:t>
            </w:r>
          </w:p>
        </w:tc>
        <w:tc>
          <w:tcPr>
            <w:tcW w:w="829" w:type="dxa"/>
          </w:tcPr>
          <w:p w14:paraId="33D9B350">
            <w:pPr>
              <w:pStyle w:val="17"/>
              <w:spacing w:before="35"/>
              <w:ind w:left="5"/>
              <w:rPr>
                <w:sz w:val="21"/>
              </w:rPr>
            </w:pPr>
            <w:r>
              <w:rPr>
                <w:w w:val="99"/>
                <w:sz w:val="21"/>
              </w:rPr>
              <w:t>三</w:t>
            </w:r>
          </w:p>
        </w:tc>
        <w:tc>
          <w:tcPr>
            <w:tcW w:w="2088" w:type="dxa"/>
            <w:tcBorders>
              <w:right w:val="nil"/>
            </w:tcBorders>
          </w:tcPr>
          <w:p w14:paraId="61C0E826">
            <w:pPr>
              <w:pStyle w:val="17"/>
              <w:spacing w:before="35"/>
              <w:ind w:left="602" w:right="601"/>
              <w:rPr>
                <w:sz w:val="21"/>
              </w:rPr>
            </w:pPr>
            <w:r>
              <w:rPr>
                <w:sz w:val="21"/>
              </w:rPr>
              <w:t>简单分析</w:t>
            </w:r>
          </w:p>
        </w:tc>
      </w:tr>
    </w:tbl>
    <w:p w14:paraId="0060A988">
      <w:pPr>
        <w:pStyle w:val="3"/>
        <w:numPr>
          <w:ilvl w:val="1"/>
          <w:numId w:val="7"/>
        </w:numPr>
        <w:tabs>
          <w:tab w:val="left" w:pos="669"/>
        </w:tabs>
        <w:spacing w:before="121" w:after="0" w:line="240" w:lineRule="auto"/>
        <w:ind w:left="668" w:right="0" w:hanging="448"/>
        <w:jc w:val="left"/>
      </w:pPr>
      <w:bookmarkStart w:id="13" w:name="_TOC_250042"/>
      <w:bookmarkEnd w:id="13"/>
      <w:r>
        <w:t>评价时段与评价重点</w:t>
      </w:r>
    </w:p>
    <w:p w14:paraId="462CFECD">
      <w:pPr>
        <w:pStyle w:val="10"/>
        <w:spacing w:before="199"/>
        <w:ind w:left="700"/>
      </w:pPr>
      <w:r>
        <w:t>本项目施工期对外环境影响较小，主要评价时段为运营期。</w:t>
      </w:r>
    </w:p>
    <w:p w14:paraId="7FF7051E">
      <w:pPr>
        <w:pStyle w:val="10"/>
        <w:spacing w:before="160" w:line="364" w:lineRule="auto"/>
        <w:ind w:left="220" w:right="357" w:firstLine="480"/>
        <w:jc w:val="both"/>
      </w:pPr>
      <w:r>
        <w:rPr>
          <w:spacing w:val="-5"/>
        </w:rPr>
        <w:t>根据项目排污特点及周围区域环境特征，确定工程分析、环境影响评价、污染防治措施评价、总量控制作为本次评价的重点，其余作一般评述。</w:t>
      </w:r>
    </w:p>
    <w:p w14:paraId="6AE3D332">
      <w:pPr>
        <w:pStyle w:val="3"/>
        <w:numPr>
          <w:ilvl w:val="1"/>
          <w:numId w:val="7"/>
        </w:numPr>
        <w:tabs>
          <w:tab w:val="left" w:pos="669"/>
        </w:tabs>
        <w:spacing w:before="42" w:after="0" w:line="240" w:lineRule="auto"/>
        <w:ind w:left="668" w:right="0" w:hanging="448"/>
        <w:jc w:val="left"/>
      </w:pPr>
      <w:bookmarkStart w:id="14" w:name="_TOC_250041"/>
      <w:bookmarkEnd w:id="14"/>
      <w:r>
        <w:t>环境保护目标</w:t>
      </w:r>
    </w:p>
    <w:p w14:paraId="5F1678FB">
      <w:pPr>
        <w:pStyle w:val="10"/>
        <w:spacing w:before="199" w:line="364" w:lineRule="auto"/>
        <w:ind w:left="220" w:right="357" w:firstLine="480"/>
        <w:jc w:val="both"/>
      </w:pPr>
      <w:r>
        <w:rPr>
          <w:spacing w:val="-5"/>
        </w:rPr>
        <w:t>项目位于汨罗高新技术产业开发区新市片区，根据对建设项目周边环境的调</w:t>
      </w:r>
      <w:r>
        <w:rPr>
          <w:spacing w:val="-10"/>
        </w:rPr>
        <w:t>查，项目评价范围内主要环境保护目标详见下表，评价范围内主要环境敏感目标分布情况见附图。</w:t>
      </w:r>
    </w:p>
    <w:p w14:paraId="63F3F8DC">
      <w:pPr>
        <w:pStyle w:val="9"/>
        <w:ind w:left="2737"/>
      </w:pPr>
      <w:r>
        <w:t xml:space="preserve">表 </w:t>
      </w:r>
      <w:r>
        <w:rPr>
          <w:rFonts w:ascii="Times New Roman" w:eastAsia="Times New Roman"/>
        </w:rPr>
        <w:t xml:space="preserve">1.7-1 </w:t>
      </w:r>
      <w:r>
        <w:t>项目环境空气保护目标</w:t>
      </w:r>
    </w:p>
    <w:p w14:paraId="1ED2CEC1">
      <w:pPr>
        <w:pStyle w:val="10"/>
        <w:spacing w:before="4"/>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1091"/>
        <w:gridCol w:w="1690"/>
        <w:gridCol w:w="804"/>
        <w:gridCol w:w="1417"/>
        <w:gridCol w:w="950"/>
        <w:gridCol w:w="900"/>
        <w:gridCol w:w="1171"/>
      </w:tblGrid>
      <w:tr w14:paraId="481CB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81" w:type="dxa"/>
            <w:tcBorders>
              <w:left w:val="nil"/>
            </w:tcBorders>
          </w:tcPr>
          <w:p w14:paraId="1A119399">
            <w:pPr>
              <w:pStyle w:val="17"/>
              <w:spacing w:before="35"/>
              <w:ind w:left="139"/>
              <w:jc w:val="left"/>
              <w:rPr>
                <w:sz w:val="21"/>
              </w:rPr>
            </w:pPr>
            <w:r>
              <w:rPr>
                <w:w w:val="99"/>
                <w:sz w:val="21"/>
              </w:rPr>
              <w:t>序</w:t>
            </w:r>
          </w:p>
        </w:tc>
        <w:tc>
          <w:tcPr>
            <w:tcW w:w="1091" w:type="dxa"/>
          </w:tcPr>
          <w:p w14:paraId="39BAEC11">
            <w:pPr>
              <w:pStyle w:val="17"/>
              <w:spacing w:before="35"/>
              <w:ind w:left="335"/>
              <w:jc w:val="left"/>
              <w:rPr>
                <w:sz w:val="21"/>
              </w:rPr>
            </w:pPr>
            <w:r>
              <w:rPr>
                <w:sz w:val="21"/>
              </w:rPr>
              <w:t>名称</w:t>
            </w:r>
          </w:p>
        </w:tc>
        <w:tc>
          <w:tcPr>
            <w:tcW w:w="1690" w:type="dxa"/>
          </w:tcPr>
          <w:p w14:paraId="5C8FB308">
            <w:pPr>
              <w:pStyle w:val="17"/>
              <w:spacing w:before="35"/>
              <w:ind w:left="612" w:right="607"/>
              <w:rPr>
                <w:sz w:val="21"/>
              </w:rPr>
            </w:pPr>
            <w:r>
              <w:rPr>
                <w:sz w:val="21"/>
              </w:rPr>
              <w:t>坐标</w:t>
            </w:r>
          </w:p>
        </w:tc>
        <w:tc>
          <w:tcPr>
            <w:tcW w:w="804" w:type="dxa"/>
          </w:tcPr>
          <w:p w14:paraId="6266E98D">
            <w:pPr>
              <w:pStyle w:val="17"/>
              <w:spacing w:before="35"/>
              <w:ind w:left="191"/>
              <w:jc w:val="left"/>
              <w:rPr>
                <w:sz w:val="21"/>
              </w:rPr>
            </w:pPr>
            <w:r>
              <w:rPr>
                <w:sz w:val="21"/>
              </w:rPr>
              <w:t>保护</w:t>
            </w:r>
          </w:p>
        </w:tc>
        <w:tc>
          <w:tcPr>
            <w:tcW w:w="1417" w:type="dxa"/>
          </w:tcPr>
          <w:p w14:paraId="767F0EEC">
            <w:pPr>
              <w:pStyle w:val="17"/>
              <w:spacing w:before="35"/>
              <w:ind w:left="287"/>
              <w:jc w:val="left"/>
              <w:rPr>
                <w:sz w:val="21"/>
              </w:rPr>
            </w:pPr>
            <w:r>
              <w:rPr>
                <w:sz w:val="21"/>
              </w:rPr>
              <w:t>保护内容</w:t>
            </w:r>
          </w:p>
        </w:tc>
        <w:tc>
          <w:tcPr>
            <w:tcW w:w="950" w:type="dxa"/>
          </w:tcPr>
          <w:p w14:paraId="3AD3A5DA">
            <w:pPr>
              <w:pStyle w:val="17"/>
              <w:spacing w:before="35"/>
              <w:ind w:left="159"/>
              <w:jc w:val="left"/>
              <w:rPr>
                <w:sz w:val="21"/>
              </w:rPr>
            </w:pPr>
            <w:r>
              <w:rPr>
                <w:sz w:val="21"/>
              </w:rPr>
              <w:t>保护功</w:t>
            </w:r>
          </w:p>
        </w:tc>
        <w:tc>
          <w:tcPr>
            <w:tcW w:w="900" w:type="dxa"/>
          </w:tcPr>
          <w:p w14:paraId="6CB4E688">
            <w:pPr>
              <w:pStyle w:val="17"/>
              <w:spacing w:before="35"/>
              <w:ind w:left="133"/>
              <w:jc w:val="left"/>
              <w:rPr>
                <w:sz w:val="21"/>
              </w:rPr>
            </w:pPr>
            <w:r>
              <w:rPr>
                <w:sz w:val="21"/>
              </w:rPr>
              <w:t>相对厂</w:t>
            </w:r>
          </w:p>
        </w:tc>
        <w:tc>
          <w:tcPr>
            <w:tcW w:w="1171" w:type="dxa"/>
            <w:tcBorders>
              <w:right w:val="nil"/>
            </w:tcBorders>
          </w:tcPr>
          <w:p w14:paraId="14A8F535">
            <w:pPr>
              <w:pStyle w:val="17"/>
              <w:spacing w:before="35"/>
              <w:ind w:left="164"/>
              <w:jc w:val="left"/>
              <w:rPr>
                <w:sz w:val="21"/>
              </w:rPr>
            </w:pPr>
            <w:r>
              <w:rPr>
                <w:sz w:val="21"/>
              </w:rPr>
              <w:t>相对厂界</w:t>
            </w:r>
          </w:p>
        </w:tc>
      </w:tr>
    </w:tbl>
    <w:p w14:paraId="0732FB74">
      <w:pPr>
        <w:spacing w:after="0"/>
        <w:jc w:val="left"/>
        <w:rPr>
          <w:sz w:val="21"/>
        </w:rPr>
        <w:sectPr>
          <w:footerReference r:id="rId9" w:type="default"/>
          <w:pgSz w:w="11910" w:h="16840"/>
          <w:pgMar w:top="1420" w:right="1440" w:bottom="1220" w:left="1580" w:header="0" w:footer="1024" w:gutter="0"/>
          <w:pgNumType w:start="40"/>
          <w:cols w:space="720" w:num="1"/>
        </w:sect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1091"/>
        <w:gridCol w:w="835"/>
        <w:gridCol w:w="855"/>
        <w:gridCol w:w="804"/>
        <w:gridCol w:w="1417"/>
        <w:gridCol w:w="950"/>
        <w:gridCol w:w="900"/>
        <w:gridCol w:w="1171"/>
      </w:tblGrid>
      <w:tr w14:paraId="0C977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6A4100AB">
            <w:pPr>
              <w:pStyle w:val="17"/>
              <w:spacing w:before="21"/>
              <w:ind w:left="12"/>
              <w:rPr>
                <w:sz w:val="21"/>
              </w:rPr>
            </w:pPr>
            <w:r>
              <w:rPr>
                <w:w w:val="99"/>
                <w:sz w:val="21"/>
              </w:rPr>
              <w:t>号</w:t>
            </w:r>
          </w:p>
        </w:tc>
        <w:tc>
          <w:tcPr>
            <w:tcW w:w="1091" w:type="dxa"/>
          </w:tcPr>
          <w:p w14:paraId="47D4E252">
            <w:pPr>
              <w:pStyle w:val="17"/>
              <w:jc w:val="left"/>
              <w:rPr>
                <w:rFonts w:ascii="Times New Roman"/>
                <w:sz w:val="20"/>
              </w:rPr>
            </w:pPr>
          </w:p>
        </w:tc>
        <w:tc>
          <w:tcPr>
            <w:tcW w:w="835" w:type="dxa"/>
          </w:tcPr>
          <w:p w14:paraId="51A9B653">
            <w:pPr>
              <w:pStyle w:val="17"/>
              <w:spacing w:before="21"/>
              <w:ind w:left="129"/>
              <w:jc w:val="left"/>
              <w:rPr>
                <w:sz w:val="21"/>
              </w:rPr>
            </w:pPr>
            <w:r>
              <w:rPr>
                <w:rFonts w:ascii="Times New Roman" w:eastAsia="Times New Roman"/>
                <w:sz w:val="21"/>
              </w:rPr>
              <w:t>X</w:t>
            </w:r>
            <w:r>
              <w:rPr>
                <w:sz w:val="21"/>
              </w:rPr>
              <w:t>（经</w:t>
            </w:r>
          </w:p>
          <w:p w14:paraId="20BF7830">
            <w:pPr>
              <w:pStyle w:val="17"/>
              <w:spacing w:before="25" w:line="289" w:lineRule="exact"/>
              <w:ind w:left="108"/>
              <w:jc w:val="left"/>
              <w:rPr>
                <w:sz w:val="21"/>
              </w:rPr>
            </w:pPr>
            <w:r>
              <w:rPr>
                <w:sz w:val="21"/>
              </w:rPr>
              <w:t>度</w:t>
            </w:r>
            <w:r>
              <w:rPr>
                <w:sz w:val="24"/>
              </w:rPr>
              <w:t>°</w:t>
            </w:r>
            <w:r>
              <w:rPr>
                <w:sz w:val="21"/>
              </w:rPr>
              <w:t>）</w:t>
            </w:r>
          </w:p>
        </w:tc>
        <w:tc>
          <w:tcPr>
            <w:tcW w:w="855" w:type="dxa"/>
          </w:tcPr>
          <w:p w14:paraId="57081F94">
            <w:pPr>
              <w:pStyle w:val="17"/>
              <w:spacing w:before="21"/>
              <w:ind w:left="139"/>
              <w:jc w:val="left"/>
              <w:rPr>
                <w:sz w:val="21"/>
              </w:rPr>
            </w:pPr>
            <w:r>
              <w:rPr>
                <w:rFonts w:ascii="Times New Roman" w:eastAsia="Times New Roman"/>
                <w:sz w:val="21"/>
              </w:rPr>
              <w:t>Y</w:t>
            </w:r>
            <w:r>
              <w:rPr>
                <w:sz w:val="21"/>
              </w:rPr>
              <w:t>（纬</w:t>
            </w:r>
          </w:p>
          <w:p w14:paraId="43E3D152">
            <w:pPr>
              <w:pStyle w:val="17"/>
              <w:spacing w:before="25" w:line="289" w:lineRule="exact"/>
              <w:ind w:left="108"/>
              <w:jc w:val="left"/>
              <w:rPr>
                <w:sz w:val="21"/>
              </w:rPr>
            </w:pPr>
            <w:r>
              <w:rPr>
                <w:sz w:val="21"/>
              </w:rPr>
              <w:t>度</w:t>
            </w:r>
            <w:r>
              <w:rPr>
                <w:sz w:val="24"/>
              </w:rPr>
              <w:t>°</w:t>
            </w:r>
            <w:r>
              <w:rPr>
                <w:sz w:val="21"/>
              </w:rPr>
              <w:t>）</w:t>
            </w:r>
          </w:p>
        </w:tc>
        <w:tc>
          <w:tcPr>
            <w:tcW w:w="804" w:type="dxa"/>
          </w:tcPr>
          <w:p w14:paraId="58C5A731">
            <w:pPr>
              <w:pStyle w:val="17"/>
              <w:spacing w:before="21"/>
              <w:ind w:left="170" w:right="163"/>
              <w:rPr>
                <w:sz w:val="21"/>
              </w:rPr>
            </w:pPr>
            <w:r>
              <w:rPr>
                <w:sz w:val="21"/>
              </w:rPr>
              <w:t>对象</w:t>
            </w:r>
          </w:p>
        </w:tc>
        <w:tc>
          <w:tcPr>
            <w:tcW w:w="1417" w:type="dxa"/>
          </w:tcPr>
          <w:p w14:paraId="00A4927C">
            <w:pPr>
              <w:pStyle w:val="17"/>
              <w:jc w:val="left"/>
              <w:rPr>
                <w:rFonts w:ascii="Times New Roman"/>
                <w:sz w:val="20"/>
              </w:rPr>
            </w:pPr>
          </w:p>
        </w:tc>
        <w:tc>
          <w:tcPr>
            <w:tcW w:w="950" w:type="dxa"/>
          </w:tcPr>
          <w:p w14:paraId="6A7B5A3C">
            <w:pPr>
              <w:pStyle w:val="17"/>
              <w:spacing w:before="21"/>
              <w:ind w:left="139" w:right="131"/>
              <w:rPr>
                <w:sz w:val="21"/>
              </w:rPr>
            </w:pPr>
            <w:r>
              <w:rPr>
                <w:sz w:val="21"/>
              </w:rPr>
              <w:t>能区</w:t>
            </w:r>
          </w:p>
        </w:tc>
        <w:tc>
          <w:tcPr>
            <w:tcW w:w="900" w:type="dxa"/>
          </w:tcPr>
          <w:p w14:paraId="1B71515C">
            <w:pPr>
              <w:pStyle w:val="17"/>
              <w:spacing w:before="21"/>
              <w:ind w:left="113" w:right="107"/>
              <w:rPr>
                <w:sz w:val="21"/>
              </w:rPr>
            </w:pPr>
            <w:r>
              <w:rPr>
                <w:sz w:val="21"/>
              </w:rPr>
              <w:t>址方位</w:t>
            </w:r>
          </w:p>
        </w:tc>
        <w:tc>
          <w:tcPr>
            <w:tcW w:w="1171" w:type="dxa"/>
            <w:tcBorders>
              <w:right w:val="nil"/>
            </w:tcBorders>
          </w:tcPr>
          <w:p w14:paraId="3674F0F3">
            <w:pPr>
              <w:pStyle w:val="17"/>
              <w:spacing w:before="21"/>
              <w:ind w:left="83" w:right="83"/>
              <w:rPr>
                <w:rFonts w:ascii="Times New Roman" w:eastAsia="Times New Roman"/>
                <w:sz w:val="21"/>
              </w:rPr>
            </w:pPr>
            <w:r>
              <w:rPr>
                <w:sz w:val="21"/>
              </w:rPr>
              <w:t>距离</w:t>
            </w:r>
            <w:r>
              <w:rPr>
                <w:rFonts w:ascii="Times New Roman" w:eastAsia="Times New Roman"/>
                <w:sz w:val="21"/>
              </w:rPr>
              <w:t>/m</w:t>
            </w:r>
          </w:p>
        </w:tc>
      </w:tr>
      <w:tr w14:paraId="47B52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2458698D">
            <w:pPr>
              <w:pStyle w:val="17"/>
              <w:spacing w:before="190"/>
              <w:ind w:left="13"/>
              <w:rPr>
                <w:rFonts w:ascii="Times New Roman"/>
                <w:sz w:val="21"/>
              </w:rPr>
            </w:pPr>
            <w:r>
              <w:rPr>
                <w:rFonts w:ascii="Times New Roman"/>
                <w:w w:val="99"/>
                <w:sz w:val="21"/>
              </w:rPr>
              <w:t>1</w:t>
            </w:r>
          </w:p>
        </w:tc>
        <w:tc>
          <w:tcPr>
            <w:tcW w:w="1091" w:type="dxa"/>
          </w:tcPr>
          <w:p w14:paraId="174363C0">
            <w:pPr>
              <w:pStyle w:val="17"/>
              <w:spacing w:before="177"/>
              <w:ind w:left="94" w:right="87"/>
              <w:rPr>
                <w:sz w:val="21"/>
              </w:rPr>
            </w:pPr>
            <w:r>
              <w:rPr>
                <w:sz w:val="21"/>
              </w:rPr>
              <w:t>新书村</w:t>
            </w:r>
          </w:p>
        </w:tc>
        <w:tc>
          <w:tcPr>
            <w:tcW w:w="835" w:type="dxa"/>
          </w:tcPr>
          <w:p w14:paraId="5DB1C7E7">
            <w:pPr>
              <w:pStyle w:val="17"/>
              <w:spacing w:before="34"/>
              <w:ind w:left="132"/>
              <w:jc w:val="left"/>
              <w:rPr>
                <w:rFonts w:ascii="Times New Roman"/>
                <w:sz w:val="21"/>
              </w:rPr>
            </w:pPr>
            <w:r>
              <w:rPr>
                <w:rFonts w:ascii="Times New Roman"/>
                <w:sz w:val="21"/>
              </w:rPr>
              <w:t>113.17</w:t>
            </w:r>
          </w:p>
          <w:p w14:paraId="3568882F">
            <w:pPr>
              <w:pStyle w:val="17"/>
              <w:spacing w:before="71"/>
              <w:ind w:left="206"/>
              <w:jc w:val="left"/>
              <w:rPr>
                <w:rFonts w:ascii="Times New Roman"/>
                <w:sz w:val="21"/>
              </w:rPr>
            </w:pPr>
            <w:r>
              <w:rPr>
                <w:rFonts w:ascii="Times New Roman"/>
                <w:sz w:val="21"/>
              </w:rPr>
              <w:t>0156</w:t>
            </w:r>
          </w:p>
        </w:tc>
        <w:tc>
          <w:tcPr>
            <w:tcW w:w="855" w:type="dxa"/>
          </w:tcPr>
          <w:p w14:paraId="3AD8D664">
            <w:pPr>
              <w:pStyle w:val="17"/>
              <w:spacing w:before="34"/>
              <w:ind w:left="117" w:right="101"/>
              <w:rPr>
                <w:rFonts w:ascii="Times New Roman"/>
                <w:sz w:val="21"/>
              </w:rPr>
            </w:pPr>
            <w:r>
              <w:rPr>
                <w:rFonts w:ascii="Times New Roman"/>
                <w:sz w:val="21"/>
              </w:rPr>
              <w:t>28.761</w:t>
            </w:r>
          </w:p>
          <w:p w14:paraId="24168494">
            <w:pPr>
              <w:pStyle w:val="17"/>
              <w:spacing w:before="71"/>
              <w:ind w:left="114" w:right="105"/>
              <w:rPr>
                <w:rFonts w:ascii="Times New Roman"/>
                <w:sz w:val="21"/>
              </w:rPr>
            </w:pPr>
            <w:r>
              <w:rPr>
                <w:rFonts w:ascii="Times New Roman"/>
                <w:sz w:val="21"/>
              </w:rPr>
              <w:t>158</w:t>
            </w:r>
          </w:p>
        </w:tc>
        <w:tc>
          <w:tcPr>
            <w:tcW w:w="804" w:type="dxa"/>
          </w:tcPr>
          <w:p w14:paraId="269696E9">
            <w:pPr>
              <w:pStyle w:val="17"/>
              <w:spacing w:before="177"/>
              <w:ind w:left="170" w:right="163"/>
              <w:rPr>
                <w:sz w:val="21"/>
              </w:rPr>
            </w:pPr>
            <w:r>
              <w:rPr>
                <w:sz w:val="21"/>
              </w:rPr>
              <w:t>居民</w:t>
            </w:r>
          </w:p>
        </w:tc>
        <w:tc>
          <w:tcPr>
            <w:tcW w:w="1417" w:type="dxa"/>
          </w:tcPr>
          <w:p w14:paraId="084D28E9">
            <w:pPr>
              <w:pStyle w:val="17"/>
              <w:spacing w:before="177"/>
              <w:ind w:left="208"/>
              <w:jc w:val="left"/>
              <w:rPr>
                <w:sz w:val="21"/>
              </w:rPr>
            </w:pPr>
            <w:r>
              <w:rPr>
                <w:sz w:val="21"/>
              </w:rPr>
              <w:t xml:space="preserve">约 </w:t>
            </w:r>
            <w:r>
              <w:rPr>
                <w:rFonts w:ascii="Times New Roman" w:eastAsia="Times New Roman"/>
                <w:sz w:val="21"/>
              </w:rPr>
              <w:t xml:space="preserve">3000 </w:t>
            </w:r>
            <w:r>
              <w:rPr>
                <w:sz w:val="21"/>
              </w:rPr>
              <w:t>人</w:t>
            </w:r>
          </w:p>
        </w:tc>
        <w:tc>
          <w:tcPr>
            <w:tcW w:w="950" w:type="dxa"/>
          </w:tcPr>
          <w:p w14:paraId="4EE28D80">
            <w:pPr>
              <w:pStyle w:val="17"/>
              <w:spacing w:before="177"/>
              <w:ind w:left="139" w:right="131"/>
              <w:rPr>
                <w:sz w:val="21"/>
              </w:rPr>
            </w:pPr>
            <w:r>
              <w:rPr>
                <w:sz w:val="21"/>
              </w:rPr>
              <w:t>二类区</w:t>
            </w:r>
          </w:p>
        </w:tc>
        <w:tc>
          <w:tcPr>
            <w:tcW w:w="900" w:type="dxa"/>
          </w:tcPr>
          <w:p w14:paraId="70AA1FA3">
            <w:pPr>
              <w:pStyle w:val="17"/>
              <w:spacing w:before="177"/>
              <w:ind w:left="8"/>
              <w:rPr>
                <w:sz w:val="21"/>
              </w:rPr>
            </w:pPr>
            <w:r>
              <w:rPr>
                <w:w w:val="99"/>
                <w:sz w:val="21"/>
              </w:rPr>
              <w:t>西</w:t>
            </w:r>
          </w:p>
        </w:tc>
        <w:tc>
          <w:tcPr>
            <w:tcW w:w="1171" w:type="dxa"/>
            <w:tcBorders>
              <w:right w:val="nil"/>
            </w:tcBorders>
          </w:tcPr>
          <w:p w14:paraId="408C6404">
            <w:pPr>
              <w:pStyle w:val="17"/>
              <w:spacing w:before="190"/>
              <w:ind w:left="85" w:right="83"/>
              <w:rPr>
                <w:rFonts w:ascii="Times New Roman"/>
                <w:sz w:val="21"/>
              </w:rPr>
            </w:pPr>
            <w:r>
              <w:rPr>
                <w:rFonts w:ascii="Times New Roman"/>
                <w:sz w:val="21"/>
              </w:rPr>
              <w:t>670~3080</w:t>
            </w:r>
          </w:p>
        </w:tc>
      </w:tr>
      <w:tr w14:paraId="655E2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501E1082">
            <w:pPr>
              <w:pStyle w:val="17"/>
              <w:spacing w:before="190"/>
              <w:ind w:left="13"/>
              <w:rPr>
                <w:rFonts w:ascii="Times New Roman"/>
                <w:sz w:val="21"/>
              </w:rPr>
            </w:pPr>
            <w:r>
              <w:rPr>
                <w:rFonts w:ascii="Times New Roman"/>
                <w:w w:val="99"/>
                <w:sz w:val="21"/>
              </w:rPr>
              <w:t>2</w:t>
            </w:r>
          </w:p>
        </w:tc>
        <w:tc>
          <w:tcPr>
            <w:tcW w:w="1091" w:type="dxa"/>
          </w:tcPr>
          <w:p w14:paraId="0D632EBB">
            <w:pPr>
              <w:pStyle w:val="17"/>
              <w:spacing w:before="176"/>
              <w:ind w:left="94" w:right="87"/>
              <w:rPr>
                <w:sz w:val="21"/>
              </w:rPr>
            </w:pPr>
            <w:r>
              <w:rPr>
                <w:sz w:val="21"/>
              </w:rPr>
              <w:t>八里村</w:t>
            </w:r>
          </w:p>
        </w:tc>
        <w:tc>
          <w:tcPr>
            <w:tcW w:w="835" w:type="dxa"/>
          </w:tcPr>
          <w:p w14:paraId="5EBF596A">
            <w:pPr>
              <w:pStyle w:val="17"/>
              <w:spacing w:before="34"/>
              <w:ind w:left="132"/>
              <w:jc w:val="left"/>
              <w:rPr>
                <w:rFonts w:ascii="Times New Roman"/>
                <w:sz w:val="21"/>
              </w:rPr>
            </w:pPr>
            <w:r>
              <w:rPr>
                <w:rFonts w:ascii="Times New Roman"/>
                <w:sz w:val="21"/>
              </w:rPr>
              <w:t>113.17</w:t>
            </w:r>
          </w:p>
          <w:p w14:paraId="60857FA8">
            <w:pPr>
              <w:pStyle w:val="17"/>
              <w:spacing w:before="71"/>
              <w:ind w:left="206"/>
              <w:jc w:val="left"/>
              <w:rPr>
                <w:rFonts w:ascii="Times New Roman"/>
                <w:sz w:val="21"/>
              </w:rPr>
            </w:pPr>
            <w:r>
              <w:rPr>
                <w:rFonts w:ascii="Times New Roman"/>
                <w:sz w:val="21"/>
              </w:rPr>
              <w:t>0086</w:t>
            </w:r>
          </w:p>
        </w:tc>
        <w:tc>
          <w:tcPr>
            <w:tcW w:w="855" w:type="dxa"/>
          </w:tcPr>
          <w:p w14:paraId="17366764">
            <w:pPr>
              <w:pStyle w:val="17"/>
              <w:spacing w:before="34"/>
              <w:ind w:left="112" w:right="105"/>
              <w:rPr>
                <w:rFonts w:ascii="Times New Roman"/>
                <w:sz w:val="21"/>
              </w:rPr>
            </w:pPr>
            <w:r>
              <w:rPr>
                <w:rFonts w:ascii="Times New Roman"/>
                <w:sz w:val="21"/>
              </w:rPr>
              <w:t>28.760</w:t>
            </w:r>
          </w:p>
          <w:p w14:paraId="693DFC1F">
            <w:pPr>
              <w:pStyle w:val="17"/>
              <w:spacing w:before="71"/>
              <w:ind w:left="114" w:right="105"/>
              <w:rPr>
                <w:rFonts w:ascii="Times New Roman"/>
                <w:sz w:val="21"/>
              </w:rPr>
            </w:pPr>
            <w:r>
              <w:rPr>
                <w:rFonts w:ascii="Times New Roman"/>
                <w:sz w:val="21"/>
              </w:rPr>
              <w:t>284</w:t>
            </w:r>
          </w:p>
        </w:tc>
        <w:tc>
          <w:tcPr>
            <w:tcW w:w="804" w:type="dxa"/>
          </w:tcPr>
          <w:p w14:paraId="1CA4E600">
            <w:pPr>
              <w:pStyle w:val="17"/>
              <w:spacing w:before="176"/>
              <w:ind w:left="170" w:right="163"/>
              <w:rPr>
                <w:sz w:val="21"/>
              </w:rPr>
            </w:pPr>
            <w:r>
              <w:rPr>
                <w:sz w:val="21"/>
              </w:rPr>
              <w:t>居民</w:t>
            </w:r>
          </w:p>
        </w:tc>
        <w:tc>
          <w:tcPr>
            <w:tcW w:w="1417" w:type="dxa"/>
          </w:tcPr>
          <w:p w14:paraId="3F4C8FB9">
            <w:pPr>
              <w:pStyle w:val="17"/>
              <w:spacing w:before="20"/>
              <w:ind w:left="30" w:right="24"/>
              <w:rPr>
                <w:sz w:val="21"/>
              </w:rPr>
            </w:pPr>
            <w:r>
              <w:rPr>
                <w:sz w:val="21"/>
              </w:rPr>
              <w:t xml:space="preserve">约 </w:t>
            </w:r>
            <w:r>
              <w:rPr>
                <w:rFonts w:ascii="Times New Roman" w:eastAsia="Times New Roman"/>
                <w:sz w:val="21"/>
              </w:rPr>
              <w:t xml:space="preserve">200 </w:t>
            </w:r>
            <w:r>
              <w:rPr>
                <w:sz w:val="21"/>
              </w:rPr>
              <w:t>户，约</w:t>
            </w:r>
          </w:p>
          <w:p w14:paraId="1DC4041E">
            <w:pPr>
              <w:pStyle w:val="17"/>
              <w:spacing w:before="43"/>
              <w:ind w:left="28" w:right="24"/>
              <w:rPr>
                <w:sz w:val="21"/>
              </w:rPr>
            </w:pPr>
            <w:r>
              <w:rPr>
                <w:rFonts w:ascii="Times New Roman" w:eastAsia="Times New Roman"/>
                <w:sz w:val="21"/>
              </w:rPr>
              <w:t xml:space="preserve">700 </w:t>
            </w:r>
            <w:r>
              <w:rPr>
                <w:sz w:val="21"/>
              </w:rPr>
              <w:t>人</w:t>
            </w:r>
          </w:p>
        </w:tc>
        <w:tc>
          <w:tcPr>
            <w:tcW w:w="950" w:type="dxa"/>
          </w:tcPr>
          <w:p w14:paraId="1F2AC6C6">
            <w:pPr>
              <w:pStyle w:val="17"/>
              <w:spacing w:before="176"/>
              <w:ind w:left="139" w:right="131"/>
              <w:rPr>
                <w:sz w:val="21"/>
              </w:rPr>
            </w:pPr>
            <w:r>
              <w:rPr>
                <w:sz w:val="21"/>
              </w:rPr>
              <w:t>二类区</w:t>
            </w:r>
          </w:p>
        </w:tc>
        <w:tc>
          <w:tcPr>
            <w:tcW w:w="900" w:type="dxa"/>
          </w:tcPr>
          <w:p w14:paraId="0EBF414A">
            <w:pPr>
              <w:pStyle w:val="17"/>
              <w:spacing w:before="176"/>
              <w:ind w:left="8"/>
              <w:rPr>
                <w:sz w:val="21"/>
              </w:rPr>
            </w:pPr>
            <w:r>
              <w:rPr>
                <w:w w:val="99"/>
                <w:sz w:val="21"/>
              </w:rPr>
              <w:t>西</w:t>
            </w:r>
          </w:p>
        </w:tc>
        <w:tc>
          <w:tcPr>
            <w:tcW w:w="1171" w:type="dxa"/>
            <w:tcBorders>
              <w:right w:val="nil"/>
            </w:tcBorders>
          </w:tcPr>
          <w:p w14:paraId="6A69168F">
            <w:pPr>
              <w:pStyle w:val="17"/>
              <w:spacing w:before="190"/>
              <w:ind w:left="85" w:right="83"/>
              <w:rPr>
                <w:rFonts w:ascii="Times New Roman"/>
                <w:sz w:val="21"/>
              </w:rPr>
            </w:pPr>
            <w:r>
              <w:rPr>
                <w:rFonts w:ascii="Times New Roman"/>
                <w:sz w:val="21"/>
              </w:rPr>
              <w:t>700~3050</w:t>
            </w:r>
          </w:p>
        </w:tc>
      </w:tr>
      <w:tr w14:paraId="1AE85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79A0330F">
            <w:pPr>
              <w:pStyle w:val="17"/>
              <w:spacing w:before="190"/>
              <w:ind w:left="13"/>
              <w:rPr>
                <w:rFonts w:ascii="Times New Roman"/>
                <w:sz w:val="21"/>
              </w:rPr>
            </w:pPr>
            <w:r>
              <w:rPr>
                <w:rFonts w:ascii="Times New Roman"/>
                <w:w w:val="99"/>
                <w:sz w:val="21"/>
              </w:rPr>
              <w:t>3</w:t>
            </w:r>
          </w:p>
        </w:tc>
        <w:tc>
          <w:tcPr>
            <w:tcW w:w="1091" w:type="dxa"/>
          </w:tcPr>
          <w:p w14:paraId="6B34E04D">
            <w:pPr>
              <w:pStyle w:val="17"/>
              <w:spacing w:before="176"/>
              <w:ind w:left="94" w:right="87"/>
              <w:rPr>
                <w:sz w:val="21"/>
              </w:rPr>
            </w:pPr>
            <w:r>
              <w:rPr>
                <w:sz w:val="21"/>
              </w:rPr>
              <w:t>新桥村</w:t>
            </w:r>
          </w:p>
        </w:tc>
        <w:tc>
          <w:tcPr>
            <w:tcW w:w="835" w:type="dxa"/>
          </w:tcPr>
          <w:p w14:paraId="629A18F8">
            <w:pPr>
              <w:pStyle w:val="17"/>
              <w:spacing w:before="34"/>
              <w:ind w:left="132"/>
              <w:jc w:val="left"/>
              <w:rPr>
                <w:rFonts w:ascii="Times New Roman"/>
                <w:sz w:val="21"/>
              </w:rPr>
            </w:pPr>
            <w:r>
              <w:rPr>
                <w:rFonts w:ascii="Times New Roman"/>
                <w:sz w:val="21"/>
              </w:rPr>
              <w:t>113.16</w:t>
            </w:r>
          </w:p>
          <w:p w14:paraId="73EA9E1C">
            <w:pPr>
              <w:pStyle w:val="17"/>
              <w:spacing w:before="70"/>
              <w:ind w:left="206"/>
              <w:jc w:val="left"/>
              <w:rPr>
                <w:rFonts w:ascii="Times New Roman"/>
                <w:sz w:val="21"/>
              </w:rPr>
            </w:pPr>
            <w:r>
              <w:rPr>
                <w:rFonts w:ascii="Times New Roman"/>
                <w:sz w:val="21"/>
              </w:rPr>
              <w:t>9099</w:t>
            </w:r>
          </w:p>
        </w:tc>
        <w:tc>
          <w:tcPr>
            <w:tcW w:w="855" w:type="dxa"/>
          </w:tcPr>
          <w:p w14:paraId="78332427">
            <w:pPr>
              <w:pStyle w:val="17"/>
              <w:spacing w:before="34"/>
              <w:ind w:left="112" w:right="105"/>
              <w:rPr>
                <w:rFonts w:ascii="Times New Roman"/>
                <w:sz w:val="21"/>
              </w:rPr>
            </w:pPr>
            <w:r>
              <w:rPr>
                <w:rFonts w:ascii="Times New Roman"/>
                <w:sz w:val="21"/>
              </w:rPr>
              <w:t>28.749</w:t>
            </w:r>
          </w:p>
          <w:p w14:paraId="4D2170C9">
            <w:pPr>
              <w:pStyle w:val="17"/>
              <w:spacing w:before="70"/>
              <w:ind w:left="114" w:right="105"/>
              <w:rPr>
                <w:rFonts w:ascii="Times New Roman"/>
                <w:sz w:val="21"/>
              </w:rPr>
            </w:pPr>
            <w:r>
              <w:rPr>
                <w:rFonts w:ascii="Times New Roman"/>
                <w:sz w:val="21"/>
              </w:rPr>
              <w:t>464</w:t>
            </w:r>
          </w:p>
        </w:tc>
        <w:tc>
          <w:tcPr>
            <w:tcW w:w="804" w:type="dxa"/>
          </w:tcPr>
          <w:p w14:paraId="1B03C91E">
            <w:pPr>
              <w:pStyle w:val="17"/>
              <w:spacing w:before="176"/>
              <w:ind w:left="170" w:right="163"/>
              <w:rPr>
                <w:sz w:val="21"/>
              </w:rPr>
            </w:pPr>
            <w:r>
              <w:rPr>
                <w:sz w:val="21"/>
              </w:rPr>
              <w:t>居民</w:t>
            </w:r>
          </w:p>
        </w:tc>
        <w:tc>
          <w:tcPr>
            <w:tcW w:w="1417" w:type="dxa"/>
          </w:tcPr>
          <w:p w14:paraId="4567A61E">
            <w:pPr>
              <w:pStyle w:val="17"/>
              <w:spacing w:before="20"/>
              <w:ind w:left="30" w:right="24"/>
              <w:rPr>
                <w:sz w:val="21"/>
              </w:rPr>
            </w:pPr>
            <w:r>
              <w:rPr>
                <w:sz w:val="21"/>
              </w:rPr>
              <w:t xml:space="preserve">约 </w:t>
            </w:r>
            <w:r>
              <w:rPr>
                <w:rFonts w:ascii="Times New Roman" w:eastAsia="Times New Roman"/>
                <w:sz w:val="21"/>
              </w:rPr>
              <w:t xml:space="preserve">160 </w:t>
            </w:r>
            <w:r>
              <w:rPr>
                <w:sz w:val="21"/>
              </w:rPr>
              <w:t>户，约</w:t>
            </w:r>
          </w:p>
          <w:p w14:paraId="0BABC8DF">
            <w:pPr>
              <w:pStyle w:val="17"/>
              <w:spacing w:before="43"/>
              <w:ind w:left="28" w:right="24"/>
              <w:rPr>
                <w:sz w:val="21"/>
              </w:rPr>
            </w:pPr>
            <w:r>
              <w:rPr>
                <w:rFonts w:ascii="Times New Roman" w:eastAsia="Times New Roman"/>
                <w:sz w:val="21"/>
              </w:rPr>
              <w:t xml:space="preserve">560 </w:t>
            </w:r>
            <w:r>
              <w:rPr>
                <w:sz w:val="21"/>
              </w:rPr>
              <w:t>人</w:t>
            </w:r>
          </w:p>
        </w:tc>
        <w:tc>
          <w:tcPr>
            <w:tcW w:w="950" w:type="dxa"/>
          </w:tcPr>
          <w:p w14:paraId="01B7952A">
            <w:pPr>
              <w:pStyle w:val="17"/>
              <w:spacing w:before="176"/>
              <w:ind w:left="139" w:right="131"/>
              <w:rPr>
                <w:sz w:val="21"/>
              </w:rPr>
            </w:pPr>
            <w:r>
              <w:rPr>
                <w:sz w:val="21"/>
              </w:rPr>
              <w:t>二类区</w:t>
            </w:r>
          </w:p>
        </w:tc>
        <w:tc>
          <w:tcPr>
            <w:tcW w:w="900" w:type="dxa"/>
          </w:tcPr>
          <w:p w14:paraId="037A63D6">
            <w:pPr>
              <w:pStyle w:val="17"/>
              <w:spacing w:before="176"/>
              <w:ind w:left="113" w:right="107"/>
              <w:rPr>
                <w:sz w:val="21"/>
              </w:rPr>
            </w:pPr>
            <w:r>
              <w:rPr>
                <w:sz w:val="21"/>
              </w:rPr>
              <w:t>西南</w:t>
            </w:r>
          </w:p>
        </w:tc>
        <w:tc>
          <w:tcPr>
            <w:tcW w:w="1171" w:type="dxa"/>
            <w:tcBorders>
              <w:right w:val="nil"/>
            </w:tcBorders>
          </w:tcPr>
          <w:p w14:paraId="1FA99A37">
            <w:pPr>
              <w:pStyle w:val="17"/>
              <w:spacing w:before="190"/>
              <w:ind w:left="85" w:right="83"/>
              <w:rPr>
                <w:rFonts w:ascii="Times New Roman"/>
                <w:sz w:val="21"/>
              </w:rPr>
            </w:pPr>
            <w:r>
              <w:rPr>
                <w:rFonts w:ascii="Times New Roman"/>
                <w:sz w:val="21"/>
              </w:rPr>
              <w:t>1610~2880</w:t>
            </w:r>
          </w:p>
        </w:tc>
      </w:tr>
      <w:tr w14:paraId="53399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249ED547">
            <w:pPr>
              <w:pStyle w:val="17"/>
              <w:spacing w:before="192"/>
              <w:ind w:left="13"/>
              <w:rPr>
                <w:rFonts w:ascii="Times New Roman"/>
                <w:sz w:val="21"/>
              </w:rPr>
            </w:pPr>
            <w:r>
              <w:rPr>
                <w:rFonts w:ascii="Times New Roman"/>
                <w:w w:val="99"/>
                <w:sz w:val="21"/>
              </w:rPr>
              <w:t>4</w:t>
            </w:r>
          </w:p>
        </w:tc>
        <w:tc>
          <w:tcPr>
            <w:tcW w:w="1091" w:type="dxa"/>
          </w:tcPr>
          <w:p w14:paraId="64A30876">
            <w:pPr>
              <w:pStyle w:val="17"/>
              <w:spacing w:before="178"/>
              <w:ind w:left="92" w:right="87"/>
              <w:rPr>
                <w:sz w:val="21"/>
              </w:rPr>
            </w:pPr>
            <w:r>
              <w:rPr>
                <w:sz w:val="21"/>
              </w:rPr>
              <w:t>童家塅村</w:t>
            </w:r>
          </w:p>
        </w:tc>
        <w:tc>
          <w:tcPr>
            <w:tcW w:w="835" w:type="dxa"/>
          </w:tcPr>
          <w:p w14:paraId="66478016">
            <w:pPr>
              <w:pStyle w:val="17"/>
              <w:spacing w:before="36"/>
              <w:ind w:left="132"/>
              <w:jc w:val="left"/>
              <w:rPr>
                <w:rFonts w:ascii="Times New Roman"/>
                <w:sz w:val="21"/>
              </w:rPr>
            </w:pPr>
            <w:r>
              <w:rPr>
                <w:rFonts w:ascii="Times New Roman"/>
                <w:sz w:val="21"/>
              </w:rPr>
              <w:t>113.13</w:t>
            </w:r>
          </w:p>
          <w:p w14:paraId="4B974A1E">
            <w:pPr>
              <w:pStyle w:val="17"/>
              <w:spacing w:before="70"/>
              <w:ind w:left="206"/>
              <w:jc w:val="left"/>
              <w:rPr>
                <w:rFonts w:ascii="Times New Roman"/>
                <w:sz w:val="21"/>
              </w:rPr>
            </w:pPr>
            <w:r>
              <w:rPr>
                <w:rFonts w:ascii="Times New Roman"/>
                <w:sz w:val="21"/>
              </w:rPr>
              <w:t>1798</w:t>
            </w:r>
          </w:p>
        </w:tc>
        <w:tc>
          <w:tcPr>
            <w:tcW w:w="855" w:type="dxa"/>
          </w:tcPr>
          <w:p w14:paraId="7B480AAD">
            <w:pPr>
              <w:pStyle w:val="17"/>
              <w:spacing w:before="36"/>
              <w:ind w:left="112" w:right="105"/>
              <w:rPr>
                <w:rFonts w:ascii="Times New Roman"/>
                <w:sz w:val="21"/>
              </w:rPr>
            </w:pPr>
            <w:r>
              <w:rPr>
                <w:rFonts w:ascii="Times New Roman"/>
                <w:sz w:val="21"/>
              </w:rPr>
              <w:t>28.765</w:t>
            </w:r>
          </w:p>
          <w:p w14:paraId="4BD7DEEE">
            <w:pPr>
              <w:pStyle w:val="17"/>
              <w:spacing w:before="70"/>
              <w:ind w:left="114" w:right="105"/>
              <w:rPr>
                <w:rFonts w:ascii="Times New Roman"/>
                <w:sz w:val="21"/>
              </w:rPr>
            </w:pPr>
            <w:r>
              <w:rPr>
                <w:rFonts w:ascii="Times New Roman"/>
                <w:sz w:val="21"/>
              </w:rPr>
              <w:t>965</w:t>
            </w:r>
          </w:p>
        </w:tc>
        <w:tc>
          <w:tcPr>
            <w:tcW w:w="804" w:type="dxa"/>
          </w:tcPr>
          <w:p w14:paraId="5AA62C92">
            <w:pPr>
              <w:pStyle w:val="17"/>
              <w:spacing w:before="178"/>
              <w:ind w:left="170" w:right="163"/>
              <w:rPr>
                <w:sz w:val="21"/>
              </w:rPr>
            </w:pPr>
            <w:r>
              <w:rPr>
                <w:sz w:val="21"/>
              </w:rPr>
              <w:t>居民</w:t>
            </w:r>
          </w:p>
        </w:tc>
        <w:tc>
          <w:tcPr>
            <w:tcW w:w="1417" w:type="dxa"/>
          </w:tcPr>
          <w:p w14:paraId="48236F68">
            <w:pPr>
              <w:pStyle w:val="17"/>
              <w:spacing w:before="22"/>
              <w:ind w:left="30" w:right="24"/>
              <w:rPr>
                <w:sz w:val="21"/>
              </w:rPr>
            </w:pPr>
            <w:r>
              <w:rPr>
                <w:sz w:val="21"/>
              </w:rPr>
              <w:t xml:space="preserve">约 </w:t>
            </w:r>
            <w:r>
              <w:rPr>
                <w:rFonts w:ascii="Times New Roman" w:eastAsia="Times New Roman"/>
                <w:sz w:val="21"/>
              </w:rPr>
              <w:t xml:space="preserve">180 </w:t>
            </w:r>
            <w:r>
              <w:rPr>
                <w:sz w:val="21"/>
              </w:rPr>
              <w:t>户，约</w:t>
            </w:r>
          </w:p>
          <w:p w14:paraId="1368BB1C">
            <w:pPr>
              <w:pStyle w:val="17"/>
              <w:spacing w:before="43"/>
              <w:ind w:left="28" w:right="24"/>
              <w:rPr>
                <w:sz w:val="21"/>
              </w:rPr>
            </w:pPr>
            <w:r>
              <w:rPr>
                <w:rFonts w:ascii="Times New Roman" w:eastAsia="Times New Roman"/>
                <w:sz w:val="21"/>
              </w:rPr>
              <w:t xml:space="preserve">630 </w:t>
            </w:r>
            <w:r>
              <w:rPr>
                <w:sz w:val="21"/>
              </w:rPr>
              <w:t>人</w:t>
            </w:r>
          </w:p>
        </w:tc>
        <w:tc>
          <w:tcPr>
            <w:tcW w:w="950" w:type="dxa"/>
          </w:tcPr>
          <w:p w14:paraId="0C8C7427">
            <w:pPr>
              <w:pStyle w:val="17"/>
              <w:spacing w:before="178"/>
              <w:ind w:left="139" w:right="131"/>
              <w:rPr>
                <w:sz w:val="21"/>
              </w:rPr>
            </w:pPr>
            <w:r>
              <w:rPr>
                <w:sz w:val="21"/>
              </w:rPr>
              <w:t>二类区</w:t>
            </w:r>
          </w:p>
        </w:tc>
        <w:tc>
          <w:tcPr>
            <w:tcW w:w="900" w:type="dxa"/>
          </w:tcPr>
          <w:p w14:paraId="5DF16C5C">
            <w:pPr>
              <w:pStyle w:val="17"/>
              <w:spacing w:before="178"/>
              <w:ind w:left="8"/>
              <w:rPr>
                <w:sz w:val="21"/>
              </w:rPr>
            </w:pPr>
            <w:r>
              <w:rPr>
                <w:w w:val="99"/>
                <w:sz w:val="21"/>
              </w:rPr>
              <w:t>东</w:t>
            </w:r>
          </w:p>
        </w:tc>
        <w:tc>
          <w:tcPr>
            <w:tcW w:w="1171" w:type="dxa"/>
            <w:tcBorders>
              <w:right w:val="nil"/>
            </w:tcBorders>
          </w:tcPr>
          <w:p w14:paraId="359D78DB">
            <w:pPr>
              <w:pStyle w:val="17"/>
              <w:spacing w:before="192"/>
              <w:ind w:left="87" w:right="82"/>
              <w:rPr>
                <w:rFonts w:ascii="Times New Roman"/>
                <w:sz w:val="21"/>
              </w:rPr>
            </w:pPr>
            <w:r>
              <w:rPr>
                <w:rFonts w:ascii="Times New Roman"/>
                <w:sz w:val="21"/>
              </w:rPr>
              <w:t>510~2110</w:t>
            </w:r>
          </w:p>
        </w:tc>
      </w:tr>
      <w:tr w14:paraId="552FE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67A4475A">
            <w:pPr>
              <w:pStyle w:val="17"/>
              <w:spacing w:before="191"/>
              <w:ind w:left="13"/>
              <w:rPr>
                <w:rFonts w:ascii="Times New Roman"/>
                <w:sz w:val="21"/>
              </w:rPr>
            </w:pPr>
            <w:r>
              <w:rPr>
                <w:rFonts w:ascii="Times New Roman"/>
                <w:w w:val="99"/>
                <w:sz w:val="21"/>
              </w:rPr>
              <w:t>5</w:t>
            </w:r>
          </w:p>
        </w:tc>
        <w:tc>
          <w:tcPr>
            <w:tcW w:w="1091" w:type="dxa"/>
          </w:tcPr>
          <w:p w14:paraId="5A8247E8">
            <w:pPr>
              <w:pStyle w:val="17"/>
              <w:spacing w:before="177"/>
              <w:ind w:left="94" w:right="87"/>
              <w:rPr>
                <w:sz w:val="21"/>
              </w:rPr>
            </w:pPr>
            <w:r>
              <w:rPr>
                <w:sz w:val="21"/>
              </w:rPr>
              <w:t>武莲村</w:t>
            </w:r>
          </w:p>
        </w:tc>
        <w:tc>
          <w:tcPr>
            <w:tcW w:w="835" w:type="dxa"/>
          </w:tcPr>
          <w:p w14:paraId="12994A33">
            <w:pPr>
              <w:pStyle w:val="17"/>
              <w:spacing w:before="35"/>
              <w:ind w:left="132"/>
              <w:jc w:val="left"/>
              <w:rPr>
                <w:rFonts w:ascii="Times New Roman"/>
                <w:sz w:val="21"/>
              </w:rPr>
            </w:pPr>
            <w:r>
              <w:rPr>
                <w:rFonts w:ascii="Times New Roman"/>
                <w:sz w:val="21"/>
              </w:rPr>
              <w:t>113.17</w:t>
            </w:r>
          </w:p>
          <w:p w14:paraId="00FC8BBC">
            <w:pPr>
              <w:pStyle w:val="17"/>
              <w:spacing w:before="71"/>
              <w:ind w:left="206"/>
              <w:jc w:val="left"/>
              <w:rPr>
                <w:rFonts w:ascii="Times New Roman"/>
                <w:sz w:val="21"/>
              </w:rPr>
            </w:pPr>
            <w:r>
              <w:rPr>
                <w:rFonts w:ascii="Times New Roman"/>
                <w:sz w:val="21"/>
              </w:rPr>
              <w:t>6588</w:t>
            </w:r>
          </w:p>
        </w:tc>
        <w:tc>
          <w:tcPr>
            <w:tcW w:w="855" w:type="dxa"/>
          </w:tcPr>
          <w:p w14:paraId="154D4420">
            <w:pPr>
              <w:pStyle w:val="17"/>
              <w:spacing w:before="35"/>
              <w:ind w:left="112" w:right="105"/>
              <w:rPr>
                <w:rFonts w:ascii="Times New Roman"/>
                <w:sz w:val="21"/>
              </w:rPr>
            </w:pPr>
            <w:r>
              <w:rPr>
                <w:rFonts w:ascii="Times New Roman"/>
                <w:sz w:val="21"/>
              </w:rPr>
              <w:t>28.773</w:t>
            </w:r>
          </w:p>
          <w:p w14:paraId="0F3F60AA">
            <w:pPr>
              <w:pStyle w:val="17"/>
              <w:spacing w:before="71"/>
              <w:ind w:left="114" w:right="105"/>
              <w:rPr>
                <w:rFonts w:ascii="Times New Roman"/>
                <w:sz w:val="21"/>
              </w:rPr>
            </w:pPr>
            <w:r>
              <w:rPr>
                <w:rFonts w:ascii="Times New Roman"/>
                <w:sz w:val="21"/>
              </w:rPr>
              <w:t>335</w:t>
            </w:r>
          </w:p>
        </w:tc>
        <w:tc>
          <w:tcPr>
            <w:tcW w:w="804" w:type="dxa"/>
          </w:tcPr>
          <w:p w14:paraId="6A9C849E">
            <w:pPr>
              <w:pStyle w:val="17"/>
              <w:spacing w:before="177"/>
              <w:ind w:left="170" w:right="163"/>
              <w:rPr>
                <w:sz w:val="21"/>
              </w:rPr>
            </w:pPr>
            <w:r>
              <w:rPr>
                <w:sz w:val="21"/>
              </w:rPr>
              <w:t>居民</w:t>
            </w:r>
          </w:p>
        </w:tc>
        <w:tc>
          <w:tcPr>
            <w:tcW w:w="1417" w:type="dxa"/>
          </w:tcPr>
          <w:p w14:paraId="13693641">
            <w:pPr>
              <w:pStyle w:val="17"/>
              <w:spacing w:before="21"/>
              <w:ind w:left="30" w:right="24"/>
              <w:rPr>
                <w:sz w:val="21"/>
              </w:rPr>
            </w:pPr>
            <w:r>
              <w:rPr>
                <w:sz w:val="21"/>
              </w:rPr>
              <w:t xml:space="preserve">约 </w:t>
            </w:r>
            <w:r>
              <w:rPr>
                <w:rFonts w:ascii="Times New Roman" w:eastAsia="Times New Roman"/>
                <w:sz w:val="21"/>
              </w:rPr>
              <w:t xml:space="preserve">180 </w:t>
            </w:r>
            <w:r>
              <w:rPr>
                <w:sz w:val="21"/>
              </w:rPr>
              <w:t>户，约</w:t>
            </w:r>
          </w:p>
          <w:p w14:paraId="08B74692">
            <w:pPr>
              <w:pStyle w:val="17"/>
              <w:spacing w:before="43"/>
              <w:ind w:left="28" w:right="24"/>
              <w:rPr>
                <w:sz w:val="21"/>
              </w:rPr>
            </w:pPr>
            <w:r>
              <w:rPr>
                <w:rFonts w:ascii="Times New Roman" w:eastAsia="Times New Roman"/>
                <w:sz w:val="21"/>
              </w:rPr>
              <w:t xml:space="preserve">630 </w:t>
            </w:r>
            <w:r>
              <w:rPr>
                <w:sz w:val="21"/>
              </w:rPr>
              <w:t>人</w:t>
            </w:r>
          </w:p>
        </w:tc>
        <w:tc>
          <w:tcPr>
            <w:tcW w:w="950" w:type="dxa"/>
          </w:tcPr>
          <w:p w14:paraId="6167F801">
            <w:pPr>
              <w:pStyle w:val="17"/>
              <w:spacing w:before="177"/>
              <w:ind w:left="139" w:right="131"/>
              <w:rPr>
                <w:sz w:val="21"/>
              </w:rPr>
            </w:pPr>
            <w:r>
              <w:rPr>
                <w:sz w:val="21"/>
              </w:rPr>
              <w:t>二类区</w:t>
            </w:r>
          </w:p>
        </w:tc>
        <w:tc>
          <w:tcPr>
            <w:tcW w:w="900" w:type="dxa"/>
          </w:tcPr>
          <w:p w14:paraId="25612E49">
            <w:pPr>
              <w:pStyle w:val="17"/>
              <w:spacing w:before="177"/>
              <w:ind w:left="8"/>
              <w:rPr>
                <w:sz w:val="21"/>
              </w:rPr>
            </w:pPr>
            <w:r>
              <w:rPr>
                <w:w w:val="99"/>
                <w:sz w:val="21"/>
              </w:rPr>
              <w:t>北</w:t>
            </w:r>
          </w:p>
        </w:tc>
        <w:tc>
          <w:tcPr>
            <w:tcW w:w="1171" w:type="dxa"/>
            <w:tcBorders>
              <w:right w:val="nil"/>
            </w:tcBorders>
          </w:tcPr>
          <w:p w14:paraId="44FD2230">
            <w:pPr>
              <w:pStyle w:val="17"/>
              <w:spacing w:before="191"/>
              <w:ind w:left="87" w:right="82"/>
              <w:rPr>
                <w:rFonts w:ascii="Times New Roman"/>
                <w:sz w:val="21"/>
              </w:rPr>
            </w:pPr>
            <w:r>
              <w:rPr>
                <w:rFonts w:ascii="Times New Roman"/>
                <w:sz w:val="21"/>
              </w:rPr>
              <w:t>1160~2710</w:t>
            </w:r>
          </w:p>
        </w:tc>
      </w:tr>
      <w:tr w14:paraId="78B66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247679DE">
            <w:pPr>
              <w:pStyle w:val="17"/>
              <w:spacing w:before="191"/>
              <w:ind w:left="13"/>
              <w:rPr>
                <w:rFonts w:ascii="Times New Roman"/>
                <w:sz w:val="21"/>
              </w:rPr>
            </w:pPr>
            <w:r>
              <w:rPr>
                <w:rFonts w:ascii="Times New Roman"/>
                <w:w w:val="99"/>
                <w:sz w:val="21"/>
              </w:rPr>
              <w:t>6</w:t>
            </w:r>
          </w:p>
        </w:tc>
        <w:tc>
          <w:tcPr>
            <w:tcW w:w="1091" w:type="dxa"/>
          </w:tcPr>
          <w:p w14:paraId="31D0287A">
            <w:pPr>
              <w:pStyle w:val="17"/>
              <w:spacing w:before="177"/>
              <w:ind w:left="94" w:right="87"/>
              <w:rPr>
                <w:sz w:val="21"/>
              </w:rPr>
            </w:pPr>
            <w:r>
              <w:rPr>
                <w:sz w:val="21"/>
              </w:rPr>
              <w:t>三和村</w:t>
            </w:r>
          </w:p>
        </w:tc>
        <w:tc>
          <w:tcPr>
            <w:tcW w:w="835" w:type="dxa"/>
          </w:tcPr>
          <w:p w14:paraId="539FD818">
            <w:pPr>
              <w:pStyle w:val="17"/>
              <w:spacing w:before="35"/>
              <w:ind w:left="132"/>
              <w:jc w:val="left"/>
              <w:rPr>
                <w:rFonts w:ascii="Times New Roman"/>
                <w:sz w:val="21"/>
              </w:rPr>
            </w:pPr>
            <w:r>
              <w:rPr>
                <w:rFonts w:ascii="Times New Roman"/>
                <w:sz w:val="21"/>
              </w:rPr>
              <w:t>113.18</w:t>
            </w:r>
          </w:p>
          <w:p w14:paraId="6CDFAEC0">
            <w:pPr>
              <w:pStyle w:val="17"/>
              <w:spacing w:before="70"/>
              <w:ind w:left="206"/>
              <w:jc w:val="left"/>
              <w:rPr>
                <w:rFonts w:ascii="Times New Roman"/>
                <w:sz w:val="21"/>
              </w:rPr>
            </w:pPr>
            <w:r>
              <w:rPr>
                <w:rFonts w:ascii="Times New Roman"/>
                <w:sz w:val="21"/>
              </w:rPr>
              <w:t>9908</w:t>
            </w:r>
          </w:p>
        </w:tc>
        <w:tc>
          <w:tcPr>
            <w:tcW w:w="855" w:type="dxa"/>
          </w:tcPr>
          <w:p w14:paraId="5CF06D6D">
            <w:pPr>
              <w:pStyle w:val="17"/>
              <w:spacing w:before="35"/>
              <w:ind w:left="112" w:right="105"/>
              <w:rPr>
                <w:rFonts w:ascii="Times New Roman"/>
                <w:sz w:val="21"/>
              </w:rPr>
            </w:pPr>
            <w:r>
              <w:rPr>
                <w:rFonts w:ascii="Times New Roman"/>
                <w:sz w:val="21"/>
              </w:rPr>
              <w:t>28.771</w:t>
            </w:r>
          </w:p>
          <w:p w14:paraId="45DCA330">
            <w:pPr>
              <w:pStyle w:val="17"/>
              <w:spacing w:before="70"/>
              <w:ind w:left="114" w:right="105"/>
              <w:rPr>
                <w:rFonts w:ascii="Times New Roman"/>
                <w:sz w:val="21"/>
              </w:rPr>
            </w:pPr>
            <w:r>
              <w:rPr>
                <w:rFonts w:ascii="Times New Roman"/>
                <w:sz w:val="21"/>
              </w:rPr>
              <w:t>989</w:t>
            </w:r>
          </w:p>
        </w:tc>
        <w:tc>
          <w:tcPr>
            <w:tcW w:w="804" w:type="dxa"/>
          </w:tcPr>
          <w:p w14:paraId="2E6DC2FE">
            <w:pPr>
              <w:pStyle w:val="17"/>
              <w:spacing w:before="177"/>
              <w:ind w:left="170" w:right="163"/>
              <w:rPr>
                <w:sz w:val="21"/>
              </w:rPr>
            </w:pPr>
            <w:r>
              <w:rPr>
                <w:sz w:val="21"/>
              </w:rPr>
              <w:t>居民</w:t>
            </w:r>
          </w:p>
        </w:tc>
        <w:tc>
          <w:tcPr>
            <w:tcW w:w="1417" w:type="dxa"/>
          </w:tcPr>
          <w:p w14:paraId="6E61852A">
            <w:pPr>
              <w:pStyle w:val="17"/>
              <w:spacing w:before="21"/>
              <w:ind w:left="30" w:right="24"/>
              <w:rPr>
                <w:sz w:val="21"/>
              </w:rPr>
            </w:pPr>
            <w:r>
              <w:rPr>
                <w:sz w:val="21"/>
              </w:rPr>
              <w:t xml:space="preserve">约 </w:t>
            </w:r>
            <w:r>
              <w:rPr>
                <w:rFonts w:ascii="Times New Roman" w:eastAsia="Times New Roman"/>
                <w:sz w:val="21"/>
              </w:rPr>
              <w:t xml:space="preserve">200 </w:t>
            </w:r>
            <w:r>
              <w:rPr>
                <w:sz w:val="21"/>
              </w:rPr>
              <w:t>户，约</w:t>
            </w:r>
          </w:p>
          <w:p w14:paraId="2BE466A7">
            <w:pPr>
              <w:pStyle w:val="17"/>
              <w:spacing w:before="43"/>
              <w:ind w:left="28" w:right="24"/>
              <w:rPr>
                <w:sz w:val="21"/>
              </w:rPr>
            </w:pPr>
            <w:r>
              <w:rPr>
                <w:rFonts w:ascii="Times New Roman" w:eastAsia="Times New Roman"/>
                <w:sz w:val="21"/>
              </w:rPr>
              <w:t xml:space="preserve">700 </w:t>
            </w:r>
            <w:r>
              <w:rPr>
                <w:sz w:val="21"/>
              </w:rPr>
              <w:t>人</w:t>
            </w:r>
          </w:p>
        </w:tc>
        <w:tc>
          <w:tcPr>
            <w:tcW w:w="950" w:type="dxa"/>
          </w:tcPr>
          <w:p w14:paraId="298C2887">
            <w:pPr>
              <w:pStyle w:val="17"/>
              <w:spacing w:before="177"/>
              <w:ind w:left="139" w:right="131"/>
              <w:rPr>
                <w:sz w:val="21"/>
              </w:rPr>
            </w:pPr>
            <w:r>
              <w:rPr>
                <w:sz w:val="21"/>
              </w:rPr>
              <w:t>二类区</w:t>
            </w:r>
          </w:p>
        </w:tc>
        <w:tc>
          <w:tcPr>
            <w:tcW w:w="900" w:type="dxa"/>
          </w:tcPr>
          <w:p w14:paraId="2E494AA6">
            <w:pPr>
              <w:pStyle w:val="17"/>
              <w:spacing w:before="177"/>
              <w:ind w:left="113" w:right="107"/>
              <w:rPr>
                <w:sz w:val="21"/>
              </w:rPr>
            </w:pPr>
            <w:r>
              <w:rPr>
                <w:sz w:val="21"/>
              </w:rPr>
              <w:t>东北</w:t>
            </w:r>
          </w:p>
        </w:tc>
        <w:tc>
          <w:tcPr>
            <w:tcW w:w="1171" w:type="dxa"/>
            <w:tcBorders>
              <w:right w:val="nil"/>
            </w:tcBorders>
          </w:tcPr>
          <w:p w14:paraId="5D149979">
            <w:pPr>
              <w:pStyle w:val="17"/>
              <w:spacing w:before="191"/>
              <w:ind w:left="85" w:right="83"/>
              <w:rPr>
                <w:rFonts w:ascii="Times New Roman"/>
                <w:sz w:val="21"/>
              </w:rPr>
            </w:pPr>
            <w:r>
              <w:rPr>
                <w:rFonts w:ascii="Times New Roman"/>
                <w:sz w:val="21"/>
              </w:rPr>
              <w:t>1575~3170</w:t>
            </w:r>
          </w:p>
        </w:tc>
      </w:tr>
      <w:tr w14:paraId="161A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81" w:type="dxa"/>
            <w:tcBorders>
              <w:left w:val="nil"/>
            </w:tcBorders>
          </w:tcPr>
          <w:p w14:paraId="2C72B725">
            <w:pPr>
              <w:pStyle w:val="17"/>
              <w:spacing w:before="190"/>
              <w:ind w:left="13"/>
              <w:rPr>
                <w:rFonts w:ascii="Times New Roman"/>
                <w:sz w:val="21"/>
              </w:rPr>
            </w:pPr>
            <w:r>
              <w:rPr>
                <w:rFonts w:ascii="Times New Roman"/>
                <w:w w:val="99"/>
                <w:sz w:val="21"/>
              </w:rPr>
              <w:t>7</w:t>
            </w:r>
          </w:p>
        </w:tc>
        <w:tc>
          <w:tcPr>
            <w:tcW w:w="1091" w:type="dxa"/>
          </w:tcPr>
          <w:p w14:paraId="42283E81">
            <w:pPr>
              <w:pStyle w:val="17"/>
              <w:spacing w:before="177"/>
              <w:ind w:left="92" w:right="87"/>
              <w:rPr>
                <w:sz w:val="21"/>
              </w:rPr>
            </w:pPr>
            <w:r>
              <w:rPr>
                <w:sz w:val="21"/>
              </w:rPr>
              <w:t>中家桥村</w:t>
            </w:r>
          </w:p>
        </w:tc>
        <w:tc>
          <w:tcPr>
            <w:tcW w:w="835" w:type="dxa"/>
          </w:tcPr>
          <w:p w14:paraId="04E37717">
            <w:pPr>
              <w:pStyle w:val="17"/>
              <w:spacing w:before="34"/>
              <w:ind w:left="132"/>
              <w:jc w:val="left"/>
              <w:rPr>
                <w:rFonts w:ascii="Times New Roman"/>
                <w:sz w:val="21"/>
              </w:rPr>
            </w:pPr>
            <w:r>
              <w:rPr>
                <w:rFonts w:ascii="Times New Roman"/>
                <w:sz w:val="21"/>
              </w:rPr>
              <w:t>113.18</w:t>
            </w:r>
          </w:p>
          <w:p w14:paraId="7FE841E2">
            <w:pPr>
              <w:pStyle w:val="17"/>
              <w:spacing w:before="71"/>
              <w:ind w:left="206"/>
              <w:jc w:val="left"/>
              <w:rPr>
                <w:rFonts w:ascii="Times New Roman"/>
                <w:sz w:val="21"/>
              </w:rPr>
            </w:pPr>
            <w:r>
              <w:rPr>
                <w:rFonts w:ascii="Times New Roman"/>
                <w:sz w:val="21"/>
              </w:rPr>
              <w:t>7081</w:t>
            </w:r>
          </w:p>
        </w:tc>
        <w:tc>
          <w:tcPr>
            <w:tcW w:w="855" w:type="dxa"/>
          </w:tcPr>
          <w:p w14:paraId="7277022F">
            <w:pPr>
              <w:pStyle w:val="17"/>
              <w:spacing w:before="34"/>
              <w:ind w:left="112" w:right="105"/>
              <w:rPr>
                <w:rFonts w:ascii="Times New Roman"/>
                <w:sz w:val="21"/>
              </w:rPr>
            </w:pPr>
            <w:r>
              <w:rPr>
                <w:rFonts w:ascii="Times New Roman"/>
                <w:sz w:val="21"/>
              </w:rPr>
              <w:t>28.755</w:t>
            </w:r>
          </w:p>
          <w:p w14:paraId="6B8655FF">
            <w:pPr>
              <w:pStyle w:val="17"/>
              <w:spacing w:before="71"/>
              <w:ind w:left="114" w:right="105"/>
              <w:rPr>
                <w:rFonts w:ascii="Times New Roman"/>
                <w:sz w:val="21"/>
              </w:rPr>
            </w:pPr>
            <w:r>
              <w:rPr>
                <w:rFonts w:ascii="Times New Roman"/>
                <w:sz w:val="21"/>
              </w:rPr>
              <w:t>246</w:t>
            </w:r>
          </w:p>
        </w:tc>
        <w:tc>
          <w:tcPr>
            <w:tcW w:w="804" w:type="dxa"/>
          </w:tcPr>
          <w:p w14:paraId="0B464C2C">
            <w:pPr>
              <w:pStyle w:val="17"/>
              <w:spacing w:before="177"/>
              <w:ind w:left="170" w:right="163"/>
              <w:rPr>
                <w:sz w:val="21"/>
              </w:rPr>
            </w:pPr>
            <w:r>
              <w:rPr>
                <w:sz w:val="21"/>
              </w:rPr>
              <w:t>居民</w:t>
            </w:r>
          </w:p>
        </w:tc>
        <w:tc>
          <w:tcPr>
            <w:tcW w:w="1417" w:type="dxa"/>
          </w:tcPr>
          <w:p w14:paraId="18EE1ECF">
            <w:pPr>
              <w:pStyle w:val="17"/>
              <w:spacing w:before="21"/>
              <w:ind w:left="30" w:right="24"/>
              <w:rPr>
                <w:sz w:val="21"/>
              </w:rPr>
            </w:pPr>
            <w:r>
              <w:rPr>
                <w:sz w:val="21"/>
              </w:rPr>
              <w:t xml:space="preserve">约 </w:t>
            </w:r>
            <w:r>
              <w:rPr>
                <w:rFonts w:ascii="Times New Roman" w:eastAsia="Times New Roman"/>
                <w:sz w:val="21"/>
              </w:rPr>
              <w:t xml:space="preserve">150 </w:t>
            </w:r>
            <w:r>
              <w:rPr>
                <w:sz w:val="21"/>
              </w:rPr>
              <w:t>户，约</w:t>
            </w:r>
          </w:p>
          <w:p w14:paraId="6AC6C8BE">
            <w:pPr>
              <w:pStyle w:val="17"/>
              <w:spacing w:before="42"/>
              <w:ind w:left="28" w:right="24"/>
              <w:rPr>
                <w:sz w:val="21"/>
              </w:rPr>
            </w:pPr>
            <w:r>
              <w:rPr>
                <w:rFonts w:ascii="Times New Roman" w:eastAsia="Times New Roman"/>
                <w:sz w:val="21"/>
              </w:rPr>
              <w:t xml:space="preserve">525 </w:t>
            </w:r>
            <w:r>
              <w:rPr>
                <w:sz w:val="21"/>
              </w:rPr>
              <w:t>人</w:t>
            </w:r>
          </w:p>
        </w:tc>
        <w:tc>
          <w:tcPr>
            <w:tcW w:w="950" w:type="dxa"/>
          </w:tcPr>
          <w:p w14:paraId="7DF049ED">
            <w:pPr>
              <w:pStyle w:val="17"/>
              <w:spacing w:before="177"/>
              <w:ind w:left="139" w:right="131"/>
              <w:rPr>
                <w:sz w:val="21"/>
              </w:rPr>
            </w:pPr>
            <w:r>
              <w:rPr>
                <w:sz w:val="21"/>
              </w:rPr>
              <w:t>二类区</w:t>
            </w:r>
          </w:p>
        </w:tc>
        <w:tc>
          <w:tcPr>
            <w:tcW w:w="900" w:type="dxa"/>
          </w:tcPr>
          <w:p w14:paraId="369AA5AF">
            <w:pPr>
              <w:pStyle w:val="17"/>
              <w:spacing w:before="177"/>
              <w:ind w:left="113" w:right="107"/>
              <w:rPr>
                <w:sz w:val="21"/>
              </w:rPr>
            </w:pPr>
            <w:r>
              <w:rPr>
                <w:sz w:val="21"/>
              </w:rPr>
              <w:t>东南</w:t>
            </w:r>
          </w:p>
        </w:tc>
        <w:tc>
          <w:tcPr>
            <w:tcW w:w="1171" w:type="dxa"/>
            <w:tcBorders>
              <w:right w:val="nil"/>
            </w:tcBorders>
          </w:tcPr>
          <w:p w14:paraId="74924844">
            <w:pPr>
              <w:pStyle w:val="17"/>
              <w:spacing w:before="190"/>
              <w:ind w:left="85" w:right="83"/>
              <w:rPr>
                <w:rFonts w:ascii="Times New Roman"/>
                <w:sz w:val="21"/>
              </w:rPr>
            </w:pPr>
            <w:r>
              <w:rPr>
                <w:rFonts w:ascii="Times New Roman"/>
                <w:sz w:val="21"/>
              </w:rPr>
              <w:t>1215~2830</w:t>
            </w:r>
          </w:p>
        </w:tc>
      </w:tr>
      <w:tr w14:paraId="1C06F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81" w:type="dxa"/>
            <w:tcBorders>
              <w:left w:val="nil"/>
            </w:tcBorders>
          </w:tcPr>
          <w:p w14:paraId="11859485">
            <w:pPr>
              <w:pStyle w:val="17"/>
              <w:spacing w:before="190"/>
              <w:ind w:left="13"/>
              <w:rPr>
                <w:rFonts w:ascii="Times New Roman"/>
                <w:sz w:val="21"/>
              </w:rPr>
            </w:pPr>
            <w:r>
              <w:rPr>
                <w:rFonts w:ascii="Times New Roman"/>
                <w:w w:val="99"/>
                <w:sz w:val="21"/>
              </w:rPr>
              <w:t>8</w:t>
            </w:r>
          </w:p>
        </w:tc>
        <w:tc>
          <w:tcPr>
            <w:tcW w:w="1091" w:type="dxa"/>
          </w:tcPr>
          <w:p w14:paraId="7DAA880A">
            <w:pPr>
              <w:pStyle w:val="17"/>
              <w:spacing w:before="20"/>
              <w:ind w:left="92" w:right="87"/>
              <w:rPr>
                <w:sz w:val="21"/>
              </w:rPr>
            </w:pPr>
            <w:r>
              <w:rPr>
                <w:sz w:val="21"/>
              </w:rPr>
              <w:t>新市中心</w:t>
            </w:r>
          </w:p>
          <w:p w14:paraId="14E10FFD">
            <w:pPr>
              <w:pStyle w:val="17"/>
              <w:spacing w:before="43"/>
              <w:ind w:left="94" w:right="87"/>
              <w:rPr>
                <w:sz w:val="21"/>
              </w:rPr>
            </w:pPr>
            <w:r>
              <w:rPr>
                <w:sz w:val="21"/>
              </w:rPr>
              <w:t>小学</w:t>
            </w:r>
          </w:p>
        </w:tc>
        <w:tc>
          <w:tcPr>
            <w:tcW w:w="835" w:type="dxa"/>
          </w:tcPr>
          <w:p w14:paraId="0DC62FD0">
            <w:pPr>
              <w:pStyle w:val="17"/>
              <w:spacing w:before="34"/>
              <w:ind w:left="132"/>
              <w:jc w:val="left"/>
              <w:rPr>
                <w:rFonts w:ascii="Times New Roman"/>
                <w:sz w:val="21"/>
              </w:rPr>
            </w:pPr>
            <w:r>
              <w:rPr>
                <w:rFonts w:ascii="Times New Roman"/>
                <w:sz w:val="21"/>
              </w:rPr>
              <w:t>113.15</w:t>
            </w:r>
          </w:p>
          <w:p w14:paraId="23BF6D23">
            <w:pPr>
              <w:pStyle w:val="17"/>
              <w:spacing w:before="71"/>
              <w:ind w:left="206"/>
              <w:jc w:val="left"/>
              <w:rPr>
                <w:rFonts w:ascii="Times New Roman"/>
                <w:sz w:val="21"/>
              </w:rPr>
            </w:pPr>
            <w:r>
              <w:rPr>
                <w:rFonts w:ascii="Times New Roman"/>
                <w:sz w:val="21"/>
              </w:rPr>
              <w:t>7998</w:t>
            </w:r>
          </w:p>
        </w:tc>
        <w:tc>
          <w:tcPr>
            <w:tcW w:w="855" w:type="dxa"/>
          </w:tcPr>
          <w:p w14:paraId="0C716AEB">
            <w:pPr>
              <w:pStyle w:val="17"/>
              <w:spacing w:before="34"/>
              <w:ind w:left="112" w:right="105"/>
              <w:rPr>
                <w:rFonts w:ascii="Times New Roman"/>
                <w:sz w:val="21"/>
              </w:rPr>
            </w:pPr>
            <w:r>
              <w:rPr>
                <w:rFonts w:ascii="Times New Roman"/>
                <w:sz w:val="21"/>
              </w:rPr>
              <w:t>28.776</w:t>
            </w:r>
          </w:p>
          <w:p w14:paraId="128D65C2">
            <w:pPr>
              <w:pStyle w:val="17"/>
              <w:spacing w:before="71"/>
              <w:ind w:left="114" w:right="105"/>
              <w:rPr>
                <w:rFonts w:ascii="Times New Roman"/>
                <w:sz w:val="21"/>
              </w:rPr>
            </w:pPr>
            <w:r>
              <w:rPr>
                <w:rFonts w:ascii="Times New Roman"/>
                <w:sz w:val="21"/>
              </w:rPr>
              <w:t>985</w:t>
            </w:r>
          </w:p>
        </w:tc>
        <w:tc>
          <w:tcPr>
            <w:tcW w:w="804" w:type="dxa"/>
          </w:tcPr>
          <w:p w14:paraId="67A33F3C">
            <w:pPr>
              <w:pStyle w:val="17"/>
              <w:spacing w:before="176"/>
              <w:ind w:left="170" w:right="163"/>
              <w:rPr>
                <w:sz w:val="21"/>
              </w:rPr>
            </w:pPr>
            <w:r>
              <w:rPr>
                <w:sz w:val="21"/>
              </w:rPr>
              <w:t>学校</w:t>
            </w:r>
          </w:p>
        </w:tc>
        <w:tc>
          <w:tcPr>
            <w:tcW w:w="1417" w:type="dxa"/>
          </w:tcPr>
          <w:p w14:paraId="40FABD67">
            <w:pPr>
              <w:pStyle w:val="17"/>
              <w:spacing w:before="20"/>
              <w:ind w:left="76"/>
              <w:jc w:val="left"/>
              <w:rPr>
                <w:sz w:val="21"/>
              </w:rPr>
            </w:pPr>
            <w:r>
              <w:rPr>
                <w:sz w:val="21"/>
              </w:rPr>
              <w:t>学校，师生约</w:t>
            </w:r>
          </w:p>
          <w:p w14:paraId="22254462">
            <w:pPr>
              <w:pStyle w:val="17"/>
              <w:spacing w:before="43"/>
              <w:ind w:left="393"/>
              <w:jc w:val="left"/>
              <w:rPr>
                <w:sz w:val="21"/>
              </w:rPr>
            </w:pPr>
            <w:r>
              <w:rPr>
                <w:rFonts w:ascii="Times New Roman" w:eastAsia="Times New Roman"/>
                <w:sz w:val="21"/>
              </w:rPr>
              <w:t xml:space="preserve">300 </w:t>
            </w:r>
            <w:r>
              <w:rPr>
                <w:sz w:val="21"/>
              </w:rPr>
              <w:t>人</w:t>
            </w:r>
          </w:p>
        </w:tc>
        <w:tc>
          <w:tcPr>
            <w:tcW w:w="950" w:type="dxa"/>
          </w:tcPr>
          <w:p w14:paraId="2DF7CEB8">
            <w:pPr>
              <w:pStyle w:val="17"/>
              <w:spacing w:before="176"/>
              <w:ind w:left="139" w:right="131"/>
              <w:rPr>
                <w:sz w:val="21"/>
              </w:rPr>
            </w:pPr>
            <w:r>
              <w:rPr>
                <w:sz w:val="21"/>
              </w:rPr>
              <w:t>二类区</w:t>
            </w:r>
          </w:p>
        </w:tc>
        <w:tc>
          <w:tcPr>
            <w:tcW w:w="900" w:type="dxa"/>
          </w:tcPr>
          <w:p w14:paraId="598B80D0">
            <w:pPr>
              <w:pStyle w:val="17"/>
              <w:spacing w:before="176"/>
              <w:ind w:left="113" w:right="107"/>
              <w:rPr>
                <w:sz w:val="21"/>
              </w:rPr>
            </w:pPr>
            <w:r>
              <w:rPr>
                <w:sz w:val="21"/>
              </w:rPr>
              <w:t>西北</w:t>
            </w:r>
          </w:p>
        </w:tc>
        <w:tc>
          <w:tcPr>
            <w:tcW w:w="1171" w:type="dxa"/>
            <w:tcBorders>
              <w:right w:val="nil"/>
            </w:tcBorders>
          </w:tcPr>
          <w:p w14:paraId="3A84785E">
            <w:pPr>
              <w:pStyle w:val="17"/>
              <w:spacing w:before="190"/>
              <w:ind w:left="85" w:right="83"/>
              <w:rPr>
                <w:rFonts w:ascii="Times New Roman"/>
                <w:sz w:val="21"/>
              </w:rPr>
            </w:pPr>
            <w:r>
              <w:rPr>
                <w:rFonts w:ascii="Times New Roman"/>
                <w:sz w:val="21"/>
              </w:rPr>
              <w:t>2425</w:t>
            </w:r>
          </w:p>
        </w:tc>
      </w:tr>
    </w:tbl>
    <w:p w14:paraId="6485BBF8">
      <w:pPr>
        <w:pStyle w:val="9"/>
        <w:spacing w:before="81"/>
        <w:ind w:left="220"/>
      </w:pPr>
      <w:r>
        <w:rPr>
          <w:spacing w:val="-32"/>
        </w:rPr>
        <w:t xml:space="preserve">表 </w:t>
      </w:r>
      <w:r>
        <w:rPr>
          <w:rFonts w:ascii="Times New Roman" w:eastAsia="Times New Roman"/>
        </w:rPr>
        <w:t>1.7-2</w:t>
      </w:r>
      <w:r>
        <w:rPr>
          <w:rFonts w:ascii="Times New Roman" w:eastAsia="Times New Roman"/>
          <w:spacing w:val="55"/>
        </w:rPr>
        <w:t xml:space="preserve"> </w:t>
      </w:r>
      <w:r>
        <w:rPr>
          <w:spacing w:val="-8"/>
        </w:rPr>
        <w:t>项目周边主要水环境、声环境、地下水环境及社会环境保护目标一览表</w:t>
      </w:r>
    </w:p>
    <w:p w14:paraId="08936840">
      <w:pPr>
        <w:pStyle w:val="10"/>
        <w:spacing w:before="3"/>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710"/>
        <w:gridCol w:w="2141"/>
        <w:gridCol w:w="1262"/>
        <w:gridCol w:w="2364"/>
      </w:tblGrid>
      <w:tr w14:paraId="48839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27" w:type="dxa"/>
            <w:tcBorders>
              <w:left w:val="nil"/>
            </w:tcBorders>
          </w:tcPr>
          <w:p w14:paraId="1D6256D5">
            <w:pPr>
              <w:pStyle w:val="17"/>
              <w:spacing w:before="91"/>
              <w:ind w:left="75" w:right="67"/>
              <w:rPr>
                <w:sz w:val="21"/>
              </w:rPr>
            </w:pPr>
            <w:r>
              <w:rPr>
                <w:sz w:val="21"/>
              </w:rPr>
              <w:t>环境因素</w:t>
            </w:r>
          </w:p>
        </w:tc>
        <w:tc>
          <w:tcPr>
            <w:tcW w:w="1710" w:type="dxa"/>
          </w:tcPr>
          <w:p w14:paraId="3A8E5D4A">
            <w:pPr>
              <w:pStyle w:val="17"/>
              <w:spacing w:before="91"/>
              <w:ind w:left="5"/>
              <w:rPr>
                <w:sz w:val="21"/>
              </w:rPr>
            </w:pPr>
            <w:r>
              <w:rPr>
                <w:sz w:val="21"/>
              </w:rPr>
              <w:t>环境保护目标</w:t>
            </w:r>
          </w:p>
        </w:tc>
        <w:tc>
          <w:tcPr>
            <w:tcW w:w="2141" w:type="dxa"/>
          </w:tcPr>
          <w:p w14:paraId="7B8DEAF0">
            <w:pPr>
              <w:pStyle w:val="17"/>
              <w:spacing w:before="91"/>
              <w:ind w:left="3"/>
              <w:rPr>
                <w:sz w:val="21"/>
              </w:rPr>
            </w:pPr>
            <w:r>
              <w:rPr>
                <w:sz w:val="21"/>
              </w:rPr>
              <w:t>与项目相对方位和距离</w:t>
            </w:r>
          </w:p>
        </w:tc>
        <w:tc>
          <w:tcPr>
            <w:tcW w:w="1262" w:type="dxa"/>
          </w:tcPr>
          <w:p w14:paraId="40BA430E">
            <w:pPr>
              <w:pStyle w:val="17"/>
              <w:spacing w:before="91"/>
              <w:ind w:left="10" w:right="4"/>
              <w:rPr>
                <w:sz w:val="21"/>
              </w:rPr>
            </w:pPr>
            <w:r>
              <w:rPr>
                <w:sz w:val="21"/>
              </w:rPr>
              <w:t>功能</w:t>
            </w:r>
            <w:r>
              <w:rPr>
                <w:rFonts w:ascii="Times New Roman" w:eastAsia="Times New Roman"/>
                <w:sz w:val="21"/>
              </w:rPr>
              <w:t>/</w:t>
            </w:r>
            <w:r>
              <w:rPr>
                <w:sz w:val="21"/>
              </w:rPr>
              <w:t>规模</w:t>
            </w:r>
          </w:p>
        </w:tc>
        <w:tc>
          <w:tcPr>
            <w:tcW w:w="2364" w:type="dxa"/>
            <w:tcBorders>
              <w:right w:val="nil"/>
            </w:tcBorders>
          </w:tcPr>
          <w:p w14:paraId="7C169220">
            <w:pPr>
              <w:pStyle w:val="17"/>
              <w:spacing w:before="91"/>
              <w:ind w:left="216" w:right="210"/>
              <w:rPr>
                <w:sz w:val="21"/>
              </w:rPr>
            </w:pPr>
            <w:r>
              <w:rPr>
                <w:sz w:val="21"/>
              </w:rPr>
              <w:t>保护对象及等级</w:t>
            </w:r>
          </w:p>
        </w:tc>
      </w:tr>
      <w:tr w14:paraId="51B7C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7" w:type="dxa"/>
            <w:vMerge w:val="restart"/>
            <w:tcBorders>
              <w:left w:val="nil"/>
            </w:tcBorders>
          </w:tcPr>
          <w:p w14:paraId="6BD4DEBC">
            <w:pPr>
              <w:pStyle w:val="17"/>
              <w:spacing w:before="4"/>
              <w:jc w:val="left"/>
              <w:rPr>
                <w:b/>
                <w:sz w:val="26"/>
              </w:rPr>
            </w:pPr>
          </w:p>
          <w:p w14:paraId="70AED13B">
            <w:pPr>
              <w:pStyle w:val="17"/>
              <w:spacing w:before="1" w:line="278" w:lineRule="auto"/>
              <w:ind w:left="410" w:right="85" w:hanging="315"/>
              <w:jc w:val="left"/>
              <w:rPr>
                <w:sz w:val="21"/>
              </w:rPr>
            </w:pPr>
            <w:r>
              <w:rPr>
                <w:w w:val="95"/>
                <w:sz w:val="21"/>
              </w:rPr>
              <w:t>地表水环</w:t>
            </w:r>
            <w:r>
              <w:rPr>
                <w:sz w:val="21"/>
              </w:rPr>
              <w:t>境</w:t>
            </w:r>
          </w:p>
        </w:tc>
        <w:tc>
          <w:tcPr>
            <w:tcW w:w="1710" w:type="dxa"/>
          </w:tcPr>
          <w:p w14:paraId="752E7C5E">
            <w:pPr>
              <w:pStyle w:val="17"/>
              <w:spacing w:before="177"/>
              <w:ind w:left="10"/>
              <w:rPr>
                <w:sz w:val="21"/>
              </w:rPr>
            </w:pPr>
            <w:r>
              <w:rPr>
                <w:sz w:val="21"/>
              </w:rPr>
              <w:t>汨罗江</w:t>
            </w:r>
          </w:p>
        </w:tc>
        <w:tc>
          <w:tcPr>
            <w:tcW w:w="2141" w:type="dxa"/>
          </w:tcPr>
          <w:p w14:paraId="6FB7BE4E">
            <w:pPr>
              <w:pStyle w:val="17"/>
              <w:spacing w:before="177"/>
              <w:ind w:left="7"/>
              <w:rPr>
                <w:rFonts w:ascii="Times New Roman" w:eastAsia="Times New Roman"/>
                <w:sz w:val="21"/>
              </w:rPr>
            </w:pPr>
            <w:r>
              <w:rPr>
                <w:sz w:val="21"/>
              </w:rPr>
              <w:t>北，</w:t>
            </w:r>
            <w:r>
              <w:rPr>
                <w:rFonts w:ascii="Times New Roman" w:eastAsia="Times New Roman"/>
                <w:sz w:val="21"/>
              </w:rPr>
              <w:t>2890m</w:t>
            </w:r>
          </w:p>
        </w:tc>
        <w:tc>
          <w:tcPr>
            <w:tcW w:w="1262" w:type="dxa"/>
          </w:tcPr>
          <w:p w14:paraId="54FF4521">
            <w:pPr>
              <w:pStyle w:val="17"/>
              <w:spacing w:before="177"/>
              <w:ind w:left="10" w:right="4"/>
              <w:rPr>
                <w:sz w:val="21"/>
              </w:rPr>
            </w:pPr>
            <w:r>
              <w:rPr>
                <w:sz w:val="21"/>
              </w:rPr>
              <w:t>渔业用水</w:t>
            </w:r>
          </w:p>
        </w:tc>
        <w:tc>
          <w:tcPr>
            <w:tcW w:w="2364" w:type="dxa"/>
            <w:tcBorders>
              <w:right w:val="nil"/>
            </w:tcBorders>
          </w:tcPr>
          <w:p w14:paraId="1A26F6C1">
            <w:pPr>
              <w:pStyle w:val="17"/>
              <w:spacing w:before="21"/>
              <w:ind w:left="28"/>
              <w:jc w:val="left"/>
              <w:rPr>
                <w:sz w:val="21"/>
              </w:rPr>
            </w:pPr>
            <w:r>
              <w:rPr>
                <w:w w:val="95"/>
                <w:sz w:val="21"/>
              </w:rPr>
              <w:t>《地表水环境质量标准》</w:t>
            </w:r>
          </w:p>
          <w:p w14:paraId="02AC19F5">
            <w:pPr>
              <w:pStyle w:val="17"/>
              <w:spacing w:before="43"/>
              <w:ind w:left="4" w:right="-15"/>
              <w:jc w:val="left"/>
              <w:rPr>
                <w:sz w:val="21"/>
              </w:rPr>
            </w:pPr>
            <w:r>
              <w:rPr>
                <w:spacing w:val="1"/>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0"/>
                <w:w w:val="99"/>
                <w:sz w:val="21"/>
              </w:rPr>
              <w:t>3838</w:t>
            </w:r>
            <w:r>
              <w:rPr>
                <w:rFonts w:ascii="Times New Roman" w:hAnsi="Times New Roman" w:eastAsia="Times New Roman"/>
                <w:spacing w:val="-3"/>
                <w:w w:val="99"/>
                <w:sz w:val="21"/>
              </w:rPr>
              <w:t>-</w:t>
            </w:r>
            <w:r>
              <w:rPr>
                <w:rFonts w:ascii="Times New Roman" w:hAnsi="Times New Roman" w:eastAsia="Times New Roman"/>
                <w:spacing w:val="0"/>
                <w:w w:val="99"/>
                <w:sz w:val="21"/>
              </w:rPr>
              <w:t>200</w:t>
            </w:r>
            <w:r>
              <w:rPr>
                <w:rFonts w:ascii="Times New Roman" w:hAnsi="Times New Roman" w:eastAsia="Times New Roman"/>
                <w:spacing w:val="-2"/>
                <w:w w:val="99"/>
                <w:sz w:val="21"/>
              </w:rPr>
              <w:t>2</w:t>
            </w:r>
            <w:r>
              <w:rPr>
                <w:spacing w:val="-94"/>
                <w:w w:val="99"/>
                <w:sz w:val="21"/>
              </w:rPr>
              <w:t>）</w:t>
            </w:r>
            <w:r>
              <w:rPr>
                <w:rFonts w:ascii="Times New Roman" w:hAnsi="Times New Roman" w:eastAsia="Times New Roman"/>
                <w:spacing w:val="2"/>
                <w:w w:val="99"/>
                <w:sz w:val="21"/>
              </w:rPr>
              <w:t>Ⅲ</w:t>
            </w:r>
            <w:r>
              <w:rPr>
                <w:w w:val="99"/>
                <w:sz w:val="21"/>
              </w:rPr>
              <w:t>类标准</w:t>
            </w:r>
          </w:p>
        </w:tc>
      </w:tr>
      <w:tr w14:paraId="4606C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27" w:type="dxa"/>
            <w:vMerge w:val="continue"/>
            <w:tcBorders>
              <w:top w:val="nil"/>
              <w:left w:val="nil"/>
            </w:tcBorders>
          </w:tcPr>
          <w:p w14:paraId="5BFEA6C4">
            <w:pPr>
              <w:rPr>
                <w:sz w:val="2"/>
                <w:szCs w:val="2"/>
              </w:rPr>
            </w:pPr>
          </w:p>
        </w:tc>
        <w:tc>
          <w:tcPr>
            <w:tcW w:w="1710" w:type="dxa"/>
          </w:tcPr>
          <w:p w14:paraId="224FD2FC">
            <w:pPr>
              <w:pStyle w:val="17"/>
              <w:spacing w:before="176"/>
              <w:ind w:left="7"/>
              <w:rPr>
                <w:sz w:val="21"/>
              </w:rPr>
            </w:pPr>
            <w:r>
              <w:rPr>
                <w:sz w:val="21"/>
              </w:rPr>
              <w:t>车对河（湄江河）</w:t>
            </w:r>
          </w:p>
        </w:tc>
        <w:tc>
          <w:tcPr>
            <w:tcW w:w="2141" w:type="dxa"/>
          </w:tcPr>
          <w:p w14:paraId="122C1985">
            <w:pPr>
              <w:pStyle w:val="17"/>
              <w:spacing w:before="176"/>
              <w:ind w:left="10"/>
              <w:rPr>
                <w:rFonts w:ascii="Times New Roman" w:eastAsia="Times New Roman"/>
                <w:sz w:val="21"/>
              </w:rPr>
            </w:pPr>
            <w:r>
              <w:rPr>
                <w:sz w:val="21"/>
              </w:rPr>
              <w:t>东，</w:t>
            </w:r>
            <w:r>
              <w:rPr>
                <w:rFonts w:ascii="Times New Roman" w:eastAsia="Times New Roman"/>
                <w:sz w:val="21"/>
              </w:rPr>
              <w:t>180m</w:t>
            </w:r>
          </w:p>
        </w:tc>
        <w:tc>
          <w:tcPr>
            <w:tcW w:w="1262" w:type="dxa"/>
          </w:tcPr>
          <w:p w14:paraId="70B2225D">
            <w:pPr>
              <w:pStyle w:val="17"/>
              <w:spacing w:before="176"/>
              <w:ind w:left="10" w:right="4"/>
              <w:rPr>
                <w:sz w:val="21"/>
              </w:rPr>
            </w:pPr>
            <w:r>
              <w:rPr>
                <w:sz w:val="21"/>
              </w:rPr>
              <w:t>渔业用水</w:t>
            </w:r>
          </w:p>
        </w:tc>
        <w:tc>
          <w:tcPr>
            <w:tcW w:w="2364" w:type="dxa"/>
            <w:tcBorders>
              <w:right w:val="nil"/>
            </w:tcBorders>
          </w:tcPr>
          <w:p w14:paraId="086A2308">
            <w:pPr>
              <w:pStyle w:val="17"/>
              <w:spacing w:before="21"/>
              <w:ind w:left="28"/>
              <w:jc w:val="left"/>
              <w:rPr>
                <w:sz w:val="21"/>
              </w:rPr>
            </w:pPr>
            <w:r>
              <w:rPr>
                <w:w w:val="95"/>
                <w:sz w:val="21"/>
              </w:rPr>
              <w:t>《地表水环境质量标准》</w:t>
            </w:r>
          </w:p>
          <w:p w14:paraId="0B74AF18">
            <w:pPr>
              <w:pStyle w:val="17"/>
              <w:spacing w:before="42"/>
              <w:ind w:left="4" w:right="-15"/>
              <w:jc w:val="left"/>
              <w:rPr>
                <w:sz w:val="21"/>
              </w:rPr>
            </w:pPr>
            <w:r>
              <w:rPr>
                <w:spacing w:val="1"/>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0"/>
                <w:w w:val="99"/>
                <w:sz w:val="21"/>
              </w:rPr>
              <w:t>3838</w:t>
            </w:r>
            <w:r>
              <w:rPr>
                <w:rFonts w:ascii="Times New Roman" w:hAnsi="Times New Roman" w:eastAsia="Times New Roman"/>
                <w:spacing w:val="-3"/>
                <w:w w:val="99"/>
                <w:sz w:val="21"/>
              </w:rPr>
              <w:t>-</w:t>
            </w:r>
            <w:r>
              <w:rPr>
                <w:rFonts w:ascii="Times New Roman" w:hAnsi="Times New Roman" w:eastAsia="Times New Roman"/>
                <w:spacing w:val="0"/>
                <w:w w:val="99"/>
                <w:sz w:val="21"/>
              </w:rPr>
              <w:t>200</w:t>
            </w:r>
            <w:r>
              <w:rPr>
                <w:rFonts w:ascii="Times New Roman" w:hAnsi="Times New Roman" w:eastAsia="Times New Roman"/>
                <w:spacing w:val="-2"/>
                <w:w w:val="99"/>
                <w:sz w:val="21"/>
              </w:rPr>
              <w:t>2</w:t>
            </w:r>
            <w:r>
              <w:rPr>
                <w:spacing w:val="-94"/>
                <w:w w:val="99"/>
                <w:sz w:val="21"/>
              </w:rPr>
              <w:t>）</w:t>
            </w:r>
            <w:r>
              <w:rPr>
                <w:rFonts w:ascii="Times New Roman" w:hAnsi="Times New Roman" w:eastAsia="Times New Roman"/>
                <w:spacing w:val="2"/>
                <w:w w:val="99"/>
                <w:sz w:val="21"/>
              </w:rPr>
              <w:t>Ⅲ</w:t>
            </w:r>
            <w:r>
              <w:rPr>
                <w:w w:val="99"/>
                <w:sz w:val="21"/>
              </w:rPr>
              <w:t>类标准</w:t>
            </w:r>
          </w:p>
        </w:tc>
      </w:tr>
      <w:tr w14:paraId="6D20E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27" w:type="dxa"/>
            <w:tcBorders>
              <w:left w:val="nil"/>
            </w:tcBorders>
          </w:tcPr>
          <w:p w14:paraId="1BB873ED">
            <w:pPr>
              <w:pStyle w:val="17"/>
              <w:spacing w:before="92"/>
              <w:ind w:left="75" w:right="67"/>
              <w:rPr>
                <w:sz w:val="21"/>
              </w:rPr>
            </w:pPr>
            <w:r>
              <w:rPr>
                <w:sz w:val="21"/>
              </w:rPr>
              <w:t>社会环境</w:t>
            </w:r>
          </w:p>
        </w:tc>
        <w:tc>
          <w:tcPr>
            <w:tcW w:w="1710" w:type="dxa"/>
          </w:tcPr>
          <w:p w14:paraId="06F3F006">
            <w:pPr>
              <w:pStyle w:val="17"/>
              <w:spacing w:before="92"/>
              <w:ind w:left="7"/>
              <w:rPr>
                <w:sz w:val="21"/>
              </w:rPr>
            </w:pPr>
            <w:r>
              <w:rPr>
                <w:sz w:val="21"/>
              </w:rPr>
              <w:t>平益高速</w:t>
            </w:r>
          </w:p>
        </w:tc>
        <w:tc>
          <w:tcPr>
            <w:tcW w:w="2141" w:type="dxa"/>
          </w:tcPr>
          <w:p w14:paraId="0D4C8FD7">
            <w:pPr>
              <w:pStyle w:val="17"/>
              <w:spacing w:before="92"/>
              <w:ind w:left="10"/>
              <w:rPr>
                <w:rFonts w:ascii="Times New Roman" w:eastAsia="Times New Roman"/>
                <w:sz w:val="21"/>
              </w:rPr>
            </w:pPr>
            <w:r>
              <w:rPr>
                <w:sz w:val="21"/>
              </w:rPr>
              <w:t>南侧，</w:t>
            </w:r>
            <w:r>
              <w:rPr>
                <w:rFonts w:ascii="Times New Roman" w:eastAsia="Times New Roman"/>
                <w:sz w:val="21"/>
              </w:rPr>
              <w:t>10~30m</w:t>
            </w:r>
          </w:p>
        </w:tc>
        <w:tc>
          <w:tcPr>
            <w:tcW w:w="1262" w:type="dxa"/>
          </w:tcPr>
          <w:p w14:paraId="359E2876">
            <w:pPr>
              <w:pStyle w:val="17"/>
              <w:spacing w:before="92"/>
              <w:ind w:left="10" w:right="4"/>
              <w:rPr>
                <w:sz w:val="21"/>
              </w:rPr>
            </w:pPr>
            <w:r>
              <w:rPr>
                <w:sz w:val="21"/>
              </w:rPr>
              <w:t>高速道路</w:t>
            </w:r>
          </w:p>
        </w:tc>
        <w:tc>
          <w:tcPr>
            <w:tcW w:w="2364" w:type="dxa"/>
            <w:tcBorders>
              <w:right w:val="nil"/>
            </w:tcBorders>
          </w:tcPr>
          <w:p w14:paraId="6CC072ED">
            <w:pPr>
              <w:pStyle w:val="17"/>
              <w:spacing w:before="92"/>
              <w:ind w:left="214" w:right="210"/>
              <w:rPr>
                <w:sz w:val="21"/>
              </w:rPr>
            </w:pPr>
            <w:r>
              <w:rPr>
                <w:sz w:val="21"/>
              </w:rPr>
              <w:t>景观协调</w:t>
            </w:r>
          </w:p>
        </w:tc>
      </w:tr>
      <w:tr w14:paraId="7C84C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27" w:type="dxa"/>
            <w:tcBorders>
              <w:left w:val="nil"/>
            </w:tcBorders>
          </w:tcPr>
          <w:p w14:paraId="5AFCEAED">
            <w:pPr>
              <w:pStyle w:val="17"/>
              <w:spacing w:before="91"/>
              <w:ind w:left="73" w:right="67"/>
              <w:rPr>
                <w:sz w:val="21"/>
              </w:rPr>
            </w:pPr>
            <w:r>
              <w:rPr>
                <w:sz w:val="21"/>
              </w:rPr>
              <w:t>声环境</w:t>
            </w:r>
          </w:p>
        </w:tc>
        <w:tc>
          <w:tcPr>
            <w:tcW w:w="5113" w:type="dxa"/>
            <w:gridSpan w:val="3"/>
          </w:tcPr>
          <w:p w14:paraId="599E8B5B">
            <w:pPr>
              <w:pStyle w:val="17"/>
              <w:spacing w:before="91"/>
              <w:ind w:left="1450"/>
              <w:jc w:val="left"/>
              <w:rPr>
                <w:sz w:val="21"/>
              </w:rPr>
            </w:pPr>
            <w:r>
              <w:rPr>
                <w:rFonts w:ascii="Times New Roman" w:eastAsia="Times New Roman"/>
                <w:sz w:val="21"/>
              </w:rPr>
              <w:t xml:space="preserve">200m </w:t>
            </w:r>
            <w:r>
              <w:rPr>
                <w:sz w:val="21"/>
              </w:rPr>
              <w:t>范围内无保护目标</w:t>
            </w:r>
          </w:p>
        </w:tc>
        <w:tc>
          <w:tcPr>
            <w:tcW w:w="2364" w:type="dxa"/>
            <w:tcBorders>
              <w:right w:val="nil"/>
            </w:tcBorders>
          </w:tcPr>
          <w:p w14:paraId="338EC11C">
            <w:pPr>
              <w:pStyle w:val="17"/>
              <w:spacing w:before="105"/>
              <w:ind w:left="7"/>
              <w:rPr>
                <w:rFonts w:ascii="Times New Roman"/>
                <w:sz w:val="21"/>
              </w:rPr>
            </w:pPr>
            <w:r>
              <w:rPr>
                <w:rFonts w:ascii="Times New Roman"/>
                <w:w w:val="99"/>
                <w:sz w:val="21"/>
              </w:rPr>
              <w:t>/</w:t>
            </w:r>
          </w:p>
        </w:tc>
      </w:tr>
      <w:tr w14:paraId="71003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27" w:type="dxa"/>
            <w:tcBorders>
              <w:left w:val="nil"/>
            </w:tcBorders>
          </w:tcPr>
          <w:p w14:paraId="2DBEF50D">
            <w:pPr>
              <w:pStyle w:val="17"/>
              <w:spacing w:before="21"/>
              <w:ind w:left="75" w:right="67"/>
              <w:rPr>
                <w:sz w:val="21"/>
              </w:rPr>
            </w:pPr>
            <w:r>
              <w:rPr>
                <w:sz w:val="21"/>
              </w:rPr>
              <w:t>地下水环</w:t>
            </w:r>
          </w:p>
          <w:p w14:paraId="7A9170AE">
            <w:pPr>
              <w:pStyle w:val="17"/>
              <w:spacing w:before="43"/>
              <w:ind w:left="8"/>
              <w:rPr>
                <w:sz w:val="21"/>
              </w:rPr>
            </w:pPr>
            <w:r>
              <w:rPr>
                <w:w w:val="99"/>
                <w:sz w:val="21"/>
              </w:rPr>
              <w:t>境</w:t>
            </w:r>
          </w:p>
        </w:tc>
        <w:tc>
          <w:tcPr>
            <w:tcW w:w="5113" w:type="dxa"/>
            <w:gridSpan w:val="3"/>
          </w:tcPr>
          <w:p w14:paraId="2AEBEED4">
            <w:pPr>
              <w:pStyle w:val="17"/>
              <w:spacing w:before="177"/>
              <w:ind w:left="1032"/>
              <w:jc w:val="left"/>
              <w:rPr>
                <w:sz w:val="21"/>
              </w:rPr>
            </w:pPr>
            <w:r>
              <w:rPr>
                <w:sz w:val="21"/>
              </w:rPr>
              <w:t xml:space="preserve">项目所在地区域 </w:t>
            </w:r>
            <w:r>
              <w:rPr>
                <w:rFonts w:ascii="Times New Roman" w:eastAsia="Times New Roman"/>
                <w:sz w:val="21"/>
              </w:rPr>
              <w:t>6km</w:t>
            </w:r>
            <w:r>
              <w:rPr>
                <w:rFonts w:ascii="Times New Roman" w:eastAsia="Times New Roman"/>
                <w:position w:val="7"/>
                <w:sz w:val="13"/>
              </w:rPr>
              <w:t xml:space="preserve">2 </w:t>
            </w:r>
            <w:r>
              <w:rPr>
                <w:sz w:val="21"/>
              </w:rPr>
              <w:t>范围地下水</w:t>
            </w:r>
          </w:p>
        </w:tc>
        <w:tc>
          <w:tcPr>
            <w:tcW w:w="2364" w:type="dxa"/>
            <w:tcBorders>
              <w:right w:val="nil"/>
            </w:tcBorders>
          </w:tcPr>
          <w:p w14:paraId="64C311B5">
            <w:pPr>
              <w:pStyle w:val="17"/>
              <w:spacing w:before="21"/>
              <w:ind w:left="219" w:right="210"/>
              <w:rPr>
                <w:sz w:val="21"/>
              </w:rPr>
            </w:pPr>
            <w:r>
              <w:rPr>
                <w:sz w:val="21"/>
              </w:rPr>
              <w:t>《地下水质量标准》</w:t>
            </w:r>
          </w:p>
          <w:p w14:paraId="53F69562">
            <w:pPr>
              <w:pStyle w:val="17"/>
              <w:spacing w:before="43"/>
              <w:ind w:left="4" w:right="-15"/>
              <w:rPr>
                <w:sz w:val="21"/>
              </w:rPr>
            </w:pPr>
            <w:r>
              <w:rPr>
                <w:sz w:val="21"/>
              </w:rPr>
              <w:t>（</w:t>
            </w:r>
            <w:r>
              <w:rPr>
                <w:rFonts w:ascii="Times New Roman" w:eastAsia="Times New Roman"/>
                <w:sz w:val="21"/>
              </w:rPr>
              <w:t>GB/T14848-2017</w:t>
            </w:r>
            <w:r>
              <w:rPr>
                <w:sz w:val="21"/>
              </w:rPr>
              <w:t>）</w:t>
            </w:r>
            <w:r>
              <w:rPr>
                <w:rFonts w:ascii="Times New Roman" w:eastAsia="Times New Roman"/>
                <w:sz w:val="21"/>
              </w:rPr>
              <w:t>III</w:t>
            </w:r>
            <w:r>
              <w:rPr>
                <w:rFonts w:ascii="Times New Roman" w:eastAsia="Times New Roman"/>
                <w:spacing w:val="-29"/>
                <w:sz w:val="21"/>
              </w:rPr>
              <w:t xml:space="preserve"> </w:t>
            </w:r>
            <w:r>
              <w:rPr>
                <w:sz w:val="21"/>
              </w:rPr>
              <w:t>类</w:t>
            </w:r>
          </w:p>
        </w:tc>
      </w:tr>
    </w:tbl>
    <w:p w14:paraId="70E3BF98">
      <w:pPr>
        <w:spacing w:after="0"/>
        <w:rPr>
          <w:sz w:val="21"/>
        </w:rPr>
        <w:sectPr>
          <w:pgSz w:w="11910" w:h="16840"/>
          <w:pgMar w:top="1420" w:right="1440" w:bottom="1220" w:left="1580" w:header="0" w:footer="1024" w:gutter="0"/>
          <w:cols w:space="720" w:num="1"/>
        </w:sectPr>
      </w:pPr>
    </w:p>
    <w:p w14:paraId="76BB24AB">
      <w:pPr>
        <w:pStyle w:val="2"/>
        <w:numPr>
          <w:ilvl w:val="0"/>
          <w:numId w:val="7"/>
        </w:numPr>
        <w:tabs>
          <w:tab w:val="left" w:pos="540"/>
        </w:tabs>
        <w:spacing w:before="50" w:after="0" w:line="240" w:lineRule="auto"/>
        <w:ind w:left="539" w:right="0" w:hanging="319"/>
        <w:jc w:val="left"/>
        <w:rPr>
          <w:rFonts w:ascii="Times New Roman" w:eastAsia="Times New Roman"/>
        </w:rPr>
      </w:pPr>
      <w:bookmarkStart w:id="15" w:name="_TOC_250040"/>
      <w:bookmarkEnd w:id="15"/>
      <w:r>
        <w:t>建设项目工程分析</w:t>
      </w:r>
    </w:p>
    <w:p w14:paraId="136D8432">
      <w:pPr>
        <w:pStyle w:val="3"/>
        <w:numPr>
          <w:ilvl w:val="1"/>
          <w:numId w:val="8"/>
        </w:numPr>
        <w:tabs>
          <w:tab w:val="left" w:pos="669"/>
        </w:tabs>
        <w:spacing w:before="227" w:after="0" w:line="240" w:lineRule="auto"/>
        <w:ind w:left="668" w:right="0" w:hanging="448"/>
        <w:jc w:val="left"/>
      </w:pPr>
      <w:bookmarkStart w:id="16" w:name="_TOC_250039"/>
      <w:bookmarkEnd w:id="16"/>
      <w:r>
        <w:t>拟建项目概况</w:t>
      </w:r>
    </w:p>
    <w:p w14:paraId="163031AF">
      <w:pPr>
        <w:pStyle w:val="16"/>
        <w:numPr>
          <w:ilvl w:val="2"/>
          <w:numId w:val="8"/>
        </w:numPr>
        <w:tabs>
          <w:tab w:val="left" w:pos="849"/>
        </w:tabs>
        <w:spacing w:before="252" w:after="0" w:line="240" w:lineRule="auto"/>
        <w:ind w:left="848" w:right="0" w:hanging="628"/>
        <w:jc w:val="left"/>
        <w:rPr>
          <w:b/>
          <w:sz w:val="28"/>
        </w:rPr>
      </w:pPr>
      <w:r>
        <w:rPr>
          <w:b/>
          <w:sz w:val="28"/>
        </w:rPr>
        <w:t>项目基本情况</w:t>
      </w:r>
    </w:p>
    <w:p w14:paraId="11CA3374">
      <w:pPr>
        <w:spacing w:before="212" w:line="364" w:lineRule="auto"/>
        <w:ind w:left="700" w:right="2352" w:firstLine="0"/>
        <w:jc w:val="left"/>
        <w:rPr>
          <w:sz w:val="24"/>
        </w:rPr>
      </w:pPr>
      <w:r>
        <w:rPr>
          <w:b/>
          <w:sz w:val="24"/>
        </w:rPr>
        <w:t>项目名称：</w:t>
      </w:r>
      <w:r>
        <w:rPr>
          <w:sz w:val="24"/>
        </w:rPr>
        <w:t xml:space="preserve">年产 </w:t>
      </w:r>
      <w:r>
        <w:rPr>
          <w:rFonts w:ascii="Times New Roman" w:eastAsia="Times New Roman"/>
          <w:sz w:val="24"/>
        </w:rPr>
        <w:t xml:space="preserve">1 </w:t>
      </w:r>
      <w:r>
        <w:rPr>
          <w:sz w:val="24"/>
        </w:rPr>
        <w:t xml:space="preserve">万吨塑料排水板系列产品建设项目； </w:t>
      </w:r>
      <w:r>
        <w:rPr>
          <w:b/>
          <w:sz w:val="24"/>
        </w:rPr>
        <w:t>建设单位：</w:t>
      </w:r>
      <w:r>
        <w:rPr>
          <w:sz w:val="24"/>
        </w:rPr>
        <w:t>湖南鑫诚复合材料有限公司；</w:t>
      </w:r>
    </w:p>
    <w:p w14:paraId="556CC72A">
      <w:pPr>
        <w:pStyle w:val="10"/>
        <w:spacing w:before="1" w:line="364" w:lineRule="auto"/>
        <w:ind w:left="220" w:right="357" w:firstLine="480"/>
      </w:pPr>
      <w:r>
        <w:rPr>
          <w:b/>
          <w:spacing w:val="-20"/>
        </w:rPr>
        <w:t>建设地点：</w:t>
      </w:r>
      <w:r>
        <w:t>湖南省岳阳市汨罗市湖南汨罗高新技术产业开发区新市片区中塑</w:t>
      </w:r>
      <w:r>
        <w:rPr>
          <w:spacing w:val="-9"/>
        </w:rPr>
        <w:t xml:space="preserve">新材料公司内 </w:t>
      </w:r>
      <w:r>
        <w:rPr>
          <w:rFonts w:ascii="Times New Roman" w:hAnsi="Times New Roman" w:eastAsia="Times New Roman"/>
        </w:rPr>
        <w:t xml:space="preserve">16 </w:t>
      </w:r>
      <w:r>
        <w:t>栋厂房（</w:t>
      </w:r>
      <w:r>
        <w:rPr>
          <w:spacing w:val="-21"/>
        </w:rPr>
        <w:t xml:space="preserve">东经 </w:t>
      </w:r>
      <w:r>
        <w:rPr>
          <w:rFonts w:ascii="Times New Roman" w:hAnsi="Times New Roman" w:eastAsia="Times New Roman"/>
        </w:rPr>
        <w:t>113.177232</w:t>
      </w:r>
      <w:r>
        <w:rPr>
          <w:spacing w:val="-13"/>
        </w:rPr>
        <w:t xml:space="preserve">°、北纬 </w:t>
      </w:r>
      <w:r>
        <w:rPr>
          <w:rFonts w:ascii="Times New Roman" w:hAnsi="Times New Roman" w:eastAsia="Times New Roman"/>
        </w:rPr>
        <w:t>28.762591</w:t>
      </w:r>
      <w:r>
        <w:t>°）；</w:t>
      </w:r>
    </w:p>
    <w:p w14:paraId="3048A2B1">
      <w:pPr>
        <w:spacing w:before="1"/>
        <w:ind w:left="700" w:right="0" w:firstLine="0"/>
        <w:jc w:val="left"/>
        <w:rPr>
          <w:sz w:val="24"/>
        </w:rPr>
      </w:pPr>
      <w:r>
        <w:rPr>
          <w:b/>
          <w:sz w:val="24"/>
        </w:rPr>
        <w:t>建设性质：</w:t>
      </w:r>
      <w:r>
        <w:rPr>
          <w:sz w:val="24"/>
        </w:rPr>
        <w:t>新建；</w:t>
      </w:r>
    </w:p>
    <w:p w14:paraId="6E074921">
      <w:pPr>
        <w:spacing w:before="161"/>
        <w:ind w:left="700" w:right="0" w:firstLine="0"/>
        <w:jc w:val="left"/>
        <w:rPr>
          <w:sz w:val="24"/>
        </w:rPr>
      </w:pPr>
      <w:r>
        <w:rPr>
          <w:b/>
          <w:sz w:val="24"/>
        </w:rPr>
        <w:t>占地面积：</w:t>
      </w:r>
      <w:r>
        <w:rPr>
          <w:sz w:val="24"/>
        </w:rPr>
        <w:t xml:space="preserve">厂房面积为 </w:t>
      </w:r>
      <w:r>
        <w:rPr>
          <w:rFonts w:ascii="Times New Roman" w:eastAsia="Times New Roman"/>
          <w:sz w:val="24"/>
        </w:rPr>
        <w:t>3200m</w:t>
      </w:r>
      <w:r>
        <w:rPr>
          <w:rFonts w:ascii="Times New Roman" w:eastAsia="Times New Roman"/>
          <w:position w:val="8"/>
          <w:sz w:val="15"/>
        </w:rPr>
        <w:t>2</w:t>
      </w:r>
      <w:r>
        <w:rPr>
          <w:sz w:val="24"/>
        </w:rPr>
        <w:t>；</w:t>
      </w:r>
    </w:p>
    <w:p w14:paraId="2C4E38E6">
      <w:pPr>
        <w:pStyle w:val="10"/>
        <w:spacing w:before="160" w:line="364" w:lineRule="auto"/>
        <w:ind w:left="220" w:right="357" w:firstLine="480"/>
        <w:jc w:val="both"/>
      </w:pPr>
      <w:r>
        <w:rPr>
          <w:b/>
          <w:spacing w:val="-1"/>
        </w:rPr>
        <w:t>主要建设内容及规模：</w:t>
      </w:r>
      <w:r>
        <w:rPr>
          <w:spacing w:val="-9"/>
        </w:rPr>
        <w:t xml:space="preserve">租赁中塑公司 </w:t>
      </w:r>
      <w:r>
        <w:rPr>
          <w:rFonts w:ascii="Times New Roman" w:eastAsia="Times New Roman"/>
        </w:rPr>
        <w:t xml:space="preserve">16 </w:t>
      </w:r>
      <w:r>
        <w:rPr>
          <w:spacing w:val="-7"/>
        </w:rPr>
        <w:t xml:space="preserve">栋厂房，厂房面积 </w:t>
      </w:r>
      <w:r>
        <w:rPr>
          <w:rFonts w:ascii="Times New Roman" w:eastAsia="Times New Roman"/>
        </w:rPr>
        <w:t>3200m</w:t>
      </w:r>
      <w:r>
        <w:rPr>
          <w:rFonts w:ascii="Times New Roman" w:eastAsia="Times New Roman"/>
          <w:position w:val="8"/>
          <w:sz w:val="15"/>
        </w:rPr>
        <w:t>2</w:t>
      </w:r>
      <w:r>
        <w:rPr>
          <w:spacing w:val="-16"/>
        </w:rPr>
        <w:t xml:space="preserve">，新建 </w:t>
      </w:r>
      <w:r>
        <w:rPr>
          <w:rFonts w:ascii="Times New Roman" w:eastAsia="Times New Roman"/>
        </w:rPr>
        <w:t xml:space="preserve">2 </w:t>
      </w:r>
      <w:r>
        <w:rPr>
          <w:spacing w:val="-2"/>
        </w:rPr>
        <w:t>条挤出造粒生产线、</w:t>
      </w:r>
      <w:r>
        <w:rPr>
          <w:rFonts w:ascii="Times New Roman" w:eastAsia="Times New Roman"/>
        </w:rPr>
        <w:t xml:space="preserve">4 </w:t>
      </w:r>
      <w:r>
        <w:rPr>
          <w:spacing w:val="-7"/>
        </w:rPr>
        <w:t xml:space="preserve">条挤出注塑生产线，年产 </w:t>
      </w:r>
      <w:r>
        <w:rPr>
          <w:rFonts w:ascii="Times New Roman" w:eastAsia="Times New Roman"/>
        </w:rPr>
        <w:t xml:space="preserve">1 </w:t>
      </w:r>
      <w:r>
        <w:rPr>
          <w:spacing w:val="-1"/>
        </w:rPr>
        <w:t>万吨塑料排水板系列产品，年</w:t>
      </w:r>
      <w:r>
        <w:rPr>
          <w:spacing w:val="-11"/>
        </w:rPr>
        <w:t xml:space="preserve">产再生塑料 </w:t>
      </w:r>
      <w:r>
        <w:rPr>
          <w:rFonts w:ascii="Times New Roman" w:eastAsia="Times New Roman"/>
        </w:rPr>
        <w:t xml:space="preserve">PE </w:t>
      </w:r>
      <w:r>
        <w:rPr>
          <w:spacing w:val="-30"/>
        </w:rPr>
        <w:t xml:space="preserve">料 </w:t>
      </w:r>
      <w:r>
        <w:rPr>
          <w:rFonts w:ascii="Times New Roman" w:eastAsia="Times New Roman"/>
        </w:rPr>
        <w:t xml:space="preserve">5000 </w:t>
      </w:r>
      <w:r>
        <w:t>吨（全部自用，不外售）。</w:t>
      </w:r>
    </w:p>
    <w:p w14:paraId="537D2C5F">
      <w:pPr>
        <w:pStyle w:val="10"/>
        <w:spacing w:before="2"/>
        <w:ind w:left="700"/>
      </w:pPr>
      <w:r>
        <w:rPr>
          <w:b/>
        </w:rPr>
        <w:t>项目投资：</w:t>
      </w:r>
      <w:r>
        <w:t xml:space="preserve">项目总投资 </w:t>
      </w:r>
      <w:r>
        <w:rPr>
          <w:rFonts w:ascii="Times New Roman" w:eastAsia="Times New Roman"/>
        </w:rPr>
        <w:t xml:space="preserve">2000 </w:t>
      </w:r>
      <w:r>
        <w:t xml:space="preserve">万元，其中环保投资 </w:t>
      </w:r>
      <w:r>
        <w:rPr>
          <w:rFonts w:ascii="Times New Roman" w:eastAsia="Times New Roman"/>
        </w:rPr>
        <w:t xml:space="preserve">59 </w:t>
      </w:r>
      <w:r>
        <w:t>万元，占项目总投资的</w:t>
      </w:r>
    </w:p>
    <w:p w14:paraId="08C520F9">
      <w:pPr>
        <w:pStyle w:val="10"/>
        <w:spacing w:before="160"/>
        <w:ind w:left="220"/>
      </w:pPr>
      <w:r>
        <w:rPr>
          <w:rFonts w:ascii="Times New Roman" w:eastAsia="Times New Roman"/>
        </w:rPr>
        <w:t>2.95%</w:t>
      </w:r>
      <w:r>
        <w:t>；</w:t>
      </w:r>
    </w:p>
    <w:p w14:paraId="4B587B13">
      <w:pPr>
        <w:pStyle w:val="10"/>
        <w:spacing w:before="161"/>
        <w:ind w:left="700"/>
        <w:rPr>
          <w:rFonts w:ascii="Times New Roman" w:eastAsia="Times New Roman"/>
        </w:rPr>
      </w:pPr>
      <w:r>
        <w:rPr>
          <w:b/>
          <w:spacing w:val="-14"/>
        </w:rPr>
        <w:t>劳动定员：</w:t>
      </w:r>
      <w:r>
        <w:rPr>
          <w:spacing w:val="-8"/>
        </w:rPr>
        <w:t xml:space="preserve">本项目劳动定员 </w:t>
      </w:r>
      <w:r>
        <w:rPr>
          <w:rFonts w:ascii="Times New Roman" w:eastAsia="Times New Roman"/>
        </w:rPr>
        <w:t xml:space="preserve">20 </w:t>
      </w:r>
      <w:r>
        <w:rPr>
          <w:spacing w:val="-27"/>
        </w:rPr>
        <w:t xml:space="preserve">人，每天 </w:t>
      </w:r>
      <w:r>
        <w:rPr>
          <w:rFonts w:ascii="Times New Roman" w:eastAsia="Times New Roman"/>
        </w:rPr>
        <w:t xml:space="preserve">2 </w:t>
      </w:r>
      <w:r>
        <w:rPr>
          <w:spacing w:val="-27"/>
        </w:rPr>
        <w:t xml:space="preserve">班，每班 </w:t>
      </w:r>
      <w:r>
        <w:rPr>
          <w:rFonts w:ascii="Times New Roman" w:eastAsia="Times New Roman"/>
        </w:rPr>
        <w:t xml:space="preserve">8 </w:t>
      </w:r>
      <w:r>
        <w:rPr>
          <w:spacing w:val="-17"/>
        </w:rPr>
        <w:t xml:space="preserve">小时，年生产时间 </w:t>
      </w:r>
      <w:r>
        <w:rPr>
          <w:rFonts w:ascii="Times New Roman" w:eastAsia="Times New Roman"/>
        </w:rPr>
        <w:t>300d</w:t>
      </w:r>
    </w:p>
    <w:p w14:paraId="2B6D5472">
      <w:pPr>
        <w:pStyle w:val="10"/>
        <w:spacing w:before="160"/>
        <w:ind w:left="220"/>
      </w:pPr>
      <w:r>
        <w:t xml:space="preserve">（折合约 </w:t>
      </w:r>
      <w:r>
        <w:rPr>
          <w:rFonts w:ascii="Times New Roman" w:eastAsia="Times New Roman"/>
        </w:rPr>
        <w:t>4800h</w:t>
      </w:r>
      <w:r>
        <w:t>），不在厂区食宿；</w:t>
      </w:r>
    </w:p>
    <w:p w14:paraId="067E8A9A">
      <w:pPr>
        <w:pStyle w:val="10"/>
        <w:spacing w:before="161"/>
        <w:ind w:left="700"/>
      </w:pPr>
      <w:r>
        <w:rPr>
          <w:b/>
        </w:rPr>
        <w:t>进度安排：</w:t>
      </w:r>
      <w:r>
        <w:t xml:space="preserve">本项目预计 </w:t>
      </w:r>
      <w:r>
        <w:rPr>
          <w:rFonts w:ascii="Times New Roman" w:eastAsia="Times New Roman"/>
        </w:rPr>
        <w:t xml:space="preserve">2024 </w:t>
      </w:r>
      <w:r>
        <w:t xml:space="preserve">年 </w:t>
      </w:r>
      <w:r>
        <w:rPr>
          <w:rFonts w:ascii="Times New Roman" w:eastAsia="Times New Roman"/>
        </w:rPr>
        <w:t xml:space="preserve">9 </w:t>
      </w:r>
      <w:r>
        <w:t>月开工，</w:t>
      </w:r>
      <w:r>
        <w:rPr>
          <w:rFonts w:ascii="Times New Roman" w:eastAsia="Times New Roman"/>
        </w:rPr>
        <w:t xml:space="preserve">2024 </w:t>
      </w:r>
      <w:r>
        <w:t xml:space="preserve">年 </w:t>
      </w:r>
      <w:r>
        <w:rPr>
          <w:rFonts w:ascii="Times New Roman" w:eastAsia="Times New Roman"/>
        </w:rPr>
        <w:t xml:space="preserve">12 </w:t>
      </w:r>
      <w:r>
        <w:t>月建成投产。</w:t>
      </w:r>
    </w:p>
    <w:p w14:paraId="22AEBE69">
      <w:pPr>
        <w:pStyle w:val="16"/>
        <w:numPr>
          <w:ilvl w:val="2"/>
          <w:numId w:val="8"/>
        </w:numPr>
        <w:tabs>
          <w:tab w:val="left" w:pos="849"/>
        </w:tabs>
        <w:spacing w:before="214" w:after="0" w:line="240" w:lineRule="auto"/>
        <w:ind w:left="848" w:right="0" w:hanging="628"/>
        <w:jc w:val="left"/>
        <w:rPr>
          <w:b/>
          <w:sz w:val="28"/>
        </w:rPr>
      </w:pPr>
      <w:r>
        <w:rPr>
          <w:b/>
          <w:spacing w:val="-1"/>
          <w:w w:val="95"/>
          <w:sz w:val="28"/>
        </w:rPr>
        <w:t>项目建设内容</w:t>
      </w:r>
    </w:p>
    <w:p w14:paraId="70378FFF">
      <w:pPr>
        <w:pStyle w:val="10"/>
        <w:spacing w:before="212"/>
        <w:ind w:left="700"/>
      </w:pPr>
      <w:r>
        <w:t>本项目建设内容见下表。</w:t>
      </w:r>
    </w:p>
    <w:p w14:paraId="571E7892">
      <w:pPr>
        <w:pStyle w:val="9"/>
        <w:spacing w:before="160"/>
        <w:ind w:left="2586"/>
      </w:pPr>
      <w:r>
        <w:t xml:space="preserve">表 </w:t>
      </w:r>
      <w:r>
        <w:rPr>
          <w:rFonts w:ascii="Times New Roman" w:eastAsia="Times New Roman"/>
        </w:rPr>
        <w:t xml:space="preserve">2.1-1 </w:t>
      </w:r>
      <w:r>
        <w:t>拟建项目建设内容一览表</w:t>
      </w:r>
    </w:p>
    <w:p w14:paraId="5E933F17">
      <w:pPr>
        <w:pStyle w:val="10"/>
        <w:spacing w:before="3"/>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481"/>
        <w:gridCol w:w="4503"/>
        <w:gridCol w:w="1451"/>
      </w:tblGrid>
      <w:tr w14:paraId="45DDF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565" w:type="dxa"/>
            <w:gridSpan w:val="2"/>
            <w:tcBorders>
              <w:left w:val="nil"/>
            </w:tcBorders>
          </w:tcPr>
          <w:p w14:paraId="3A328401">
            <w:pPr>
              <w:pStyle w:val="17"/>
              <w:spacing w:before="62"/>
              <w:ind w:left="1055" w:right="1042"/>
              <w:rPr>
                <w:b/>
                <w:sz w:val="21"/>
              </w:rPr>
            </w:pPr>
            <w:r>
              <w:rPr>
                <w:b/>
                <w:sz w:val="21"/>
              </w:rPr>
              <w:t>项目</w:t>
            </w:r>
          </w:p>
        </w:tc>
        <w:tc>
          <w:tcPr>
            <w:tcW w:w="4503" w:type="dxa"/>
          </w:tcPr>
          <w:p w14:paraId="41A9575B">
            <w:pPr>
              <w:pStyle w:val="17"/>
              <w:spacing w:before="62"/>
              <w:ind w:left="39" w:right="31"/>
              <w:rPr>
                <w:b/>
                <w:sz w:val="21"/>
              </w:rPr>
            </w:pPr>
            <w:r>
              <w:rPr>
                <w:b/>
                <w:sz w:val="21"/>
              </w:rPr>
              <w:t>建设内容</w:t>
            </w:r>
          </w:p>
        </w:tc>
        <w:tc>
          <w:tcPr>
            <w:tcW w:w="1451" w:type="dxa"/>
            <w:tcBorders>
              <w:right w:val="nil"/>
            </w:tcBorders>
          </w:tcPr>
          <w:p w14:paraId="4F487A20">
            <w:pPr>
              <w:pStyle w:val="17"/>
              <w:spacing w:before="62"/>
              <w:ind w:left="514"/>
              <w:jc w:val="left"/>
              <w:rPr>
                <w:b/>
                <w:sz w:val="21"/>
              </w:rPr>
            </w:pPr>
            <w:r>
              <w:rPr>
                <w:b/>
                <w:sz w:val="21"/>
              </w:rPr>
              <w:t>备注</w:t>
            </w:r>
          </w:p>
        </w:tc>
      </w:tr>
      <w:tr w14:paraId="56AE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tcBorders>
              <w:left w:val="nil"/>
            </w:tcBorders>
          </w:tcPr>
          <w:p w14:paraId="6AC26386">
            <w:pPr>
              <w:pStyle w:val="17"/>
              <w:spacing w:before="178"/>
              <w:ind w:left="105" w:right="94"/>
              <w:rPr>
                <w:sz w:val="21"/>
              </w:rPr>
            </w:pPr>
            <w:r>
              <w:rPr>
                <w:sz w:val="21"/>
              </w:rPr>
              <w:t>主体工程</w:t>
            </w:r>
          </w:p>
        </w:tc>
        <w:tc>
          <w:tcPr>
            <w:tcW w:w="1481" w:type="dxa"/>
          </w:tcPr>
          <w:p w14:paraId="57E20C54">
            <w:pPr>
              <w:pStyle w:val="17"/>
              <w:spacing w:before="178"/>
              <w:ind w:left="86" w:right="82"/>
              <w:rPr>
                <w:sz w:val="21"/>
              </w:rPr>
            </w:pPr>
            <w:r>
              <w:rPr>
                <w:sz w:val="21"/>
              </w:rPr>
              <w:t>生产车间</w:t>
            </w:r>
          </w:p>
        </w:tc>
        <w:tc>
          <w:tcPr>
            <w:tcW w:w="4503" w:type="dxa"/>
          </w:tcPr>
          <w:p w14:paraId="12C88A20">
            <w:pPr>
              <w:pStyle w:val="17"/>
              <w:spacing w:before="22"/>
              <w:ind w:left="36" w:right="31"/>
              <w:rPr>
                <w:sz w:val="21"/>
              </w:rPr>
            </w:pPr>
            <w:r>
              <w:rPr>
                <w:sz w:val="21"/>
              </w:rPr>
              <w:t xml:space="preserve">面积 </w:t>
            </w:r>
            <w:r>
              <w:rPr>
                <w:rFonts w:ascii="Times New Roman" w:eastAsia="Times New Roman"/>
                <w:sz w:val="21"/>
              </w:rPr>
              <w:t>3200m</w:t>
            </w:r>
            <w:r>
              <w:rPr>
                <w:rFonts w:ascii="Times New Roman" w:eastAsia="Times New Roman"/>
                <w:position w:val="7"/>
                <w:sz w:val="13"/>
              </w:rPr>
              <w:t>2</w:t>
            </w:r>
            <w:r>
              <w:rPr>
                <w:sz w:val="21"/>
              </w:rPr>
              <w:t xml:space="preserve">，车间西南侧设置 </w:t>
            </w:r>
            <w:r>
              <w:rPr>
                <w:rFonts w:ascii="Times New Roman" w:eastAsia="Times New Roman"/>
                <w:sz w:val="21"/>
              </w:rPr>
              <w:t xml:space="preserve">2 </w:t>
            </w:r>
            <w:r>
              <w:rPr>
                <w:sz w:val="21"/>
              </w:rPr>
              <w:t>条挤出造粒生</w:t>
            </w:r>
          </w:p>
          <w:p w14:paraId="5CD990E4">
            <w:pPr>
              <w:pStyle w:val="17"/>
              <w:spacing w:before="43"/>
              <w:ind w:left="36" w:right="31"/>
              <w:rPr>
                <w:sz w:val="21"/>
              </w:rPr>
            </w:pPr>
            <w:r>
              <w:rPr>
                <w:sz w:val="21"/>
              </w:rPr>
              <w:t xml:space="preserve">产线，中部布置 </w:t>
            </w:r>
            <w:r>
              <w:rPr>
                <w:rFonts w:ascii="Times New Roman" w:eastAsia="Times New Roman"/>
                <w:sz w:val="21"/>
              </w:rPr>
              <w:t xml:space="preserve">4 </w:t>
            </w:r>
            <w:r>
              <w:rPr>
                <w:sz w:val="21"/>
              </w:rPr>
              <w:t>条挤出注塑生产线</w:t>
            </w:r>
          </w:p>
        </w:tc>
        <w:tc>
          <w:tcPr>
            <w:tcW w:w="1451" w:type="dxa"/>
            <w:tcBorders>
              <w:right w:val="nil"/>
            </w:tcBorders>
          </w:tcPr>
          <w:p w14:paraId="35293447">
            <w:pPr>
              <w:pStyle w:val="17"/>
              <w:spacing w:before="178"/>
              <w:ind w:left="514"/>
              <w:jc w:val="left"/>
              <w:rPr>
                <w:sz w:val="21"/>
              </w:rPr>
            </w:pPr>
            <w:r>
              <w:rPr>
                <w:sz w:val="21"/>
              </w:rPr>
              <w:t>新建</w:t>
            </w:r>
          </w:p>
        </w:tc>
      </w:tr>
      <w:tr w14:paraId="1D975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vMerge w:val="restart"/>
            <w:tcBorders>
              <w:left w:val="nil"/>
            </w:tcBorders>
          </w:tcPr>
          <w:p w14:paraId="6E452017">
            <w:pPr>
              <w:pStyle w:val="17"/>
              <w:spacing w:before="7"/>
              <w:jc w:val="left"/>
              <w:rPr>
                <w:b/>
                <w:sz w:val="29"/>
              </w:rPr>
            </w:pPr>
          </w:p>
          <w:p w14:paraId="47CCA052">
            <w:pPr>
              <w:pStyle w:val="17"/>
              <w:spacing w:before="1"/>
              <w:ind w:left="126"/>
              <w:jc w:val="left"/>
              <w:rPr>
                <w:sz w:val="21"/>
              </w:rPr>
            </w:pPr>
            <w:r>
              <w:rPr>
                <w:sz w:val="21"/>
              </w:rPr>
              <w:t>储运工程</w:t>
            </w:r>
          </w:p>
        </w:tc>
        <w:tc>
          <w:tcPr>
            <w:tcW w:w="1481" w:type="dxa"/>
          </w:tcPr>
          <w:p w14:paraId="62D870F3">
            <w:pPr>
              <w:pStyle w:val="17"/>
              <w:spacing w:before="177"/>
              <w:ind w:left="88" w:right="82"/>
              <w:rPr>
                <w:sz w:val="21"/>
              </w:rPr>
            </w:pPr>
            <w:r>
              <w:rPr>
                <w:sz w:val="21"/>
              </w:rPr>
              <w:t>原料、辅料区</w:t>
            </w:r>
          </w:p>
        </w:tc>
        <w:tc>
          <w:tcPr>
            <w:tcW w:w="4503" w:type="dxa"/>
          </w:tcPr>
          <w:p w14:paraId="6CD28D34">
            <w:pPr>
              <w:pStyle w:val="17"/>
              <w:spacing w:before="21"/>
              <w:ind w:left="36" w:right="31"/>
              <w:rPr>
                <w:sz w:val="21"/>
              </w:rPr>
            </w:pPr>
            <w:r>
              <w:rPr>
                <w:sz w:val="21"/>
              </w:rPr>
              <w:t>位于车间西侧，用于废塑料、再生塑料颗粒、</w:t>
            </w:r>
          </w:p>
          <w:p w14:paraId="223280D2">
            <w:pPr>
              <w:pStyle w:val="17"/>
              <w:spacing w:before="43"/>
              <w:ind w:left="34" w:right="31"/>
              <w:rPr>
                <w:sz w:val="21"/>
              </w:rPr>
            </w:pPr>
            <w:r>
              <w:rPr>
                <w:rFonts w:ascii="Times New Roman" w:eastAsia="Times New Roman"/>
                <w:sz w:val="21"/>
              </w:rPr>
              <w:t xml:space="preserve">PE </w:t>
            </w:r>
            <w:r>
              <w:rPr>
                <w:sz w:val="21"/>
              </w:rPr>
              <w:t>新料、改性剂等的存储</w:t>
            </w:r>
          </w:p>
        </w:tc>
        <w:tc>
          <w:tcPr>
            <w:tcW w:w="1451" w:type="dxa"/>
            <w:tcBorders>
              <w:right w:val="nil"/>
            </w:tcBorders>
          </w:tcPr>
          <w:p w14:paraId="2BEC86B6">
            <w:pPr>
              <w:pStyle w:val="17"/>
              <w:spacing w:before="177"/>
              <w:ind w:left="514"/>
              <w:jc w:val="left"/>
              <w:rPr>
                <w:sz w:val="21"/>
              </w:rPr>
            </w:pPr>
            <w:r>
              <w:rPr>
                <w:sz w:val="21"/>
              </w:rPr>
              <w:t>新建</w:t>
            </w:r>
          </w:p>
        </w:tc>
      </w:tr>
      <w:tr w14:paraId="5F344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84" w:type="dxa"/>
            <w:vMerge w:val="continue"/>
            <w:tcBorders>
              <w:top w:val="nil"/>
              <w:left w:val="nil"/>
            </w:tcBorders>
          </w:tcPr>
          <w:p w14:paraId="662D37C7">
            <w:pPr>
              <w:rPr>
                <w:sz w:val="2"/>
                <w:szCs w:val="2"/>
              </w:rPr>
            </w:pPr>
          </w:p>
        </w:tc>
        <w:tc>
          <w:tcPr>
            <w:tcW w:w="1481" w:type="dxa"/>
          </w:tcPr>
          <w:p w14:paraId="7983CAF7">
            <w:pPr>
              <w:pStyle w:val="17"/>
              <w:spacing w:before="62"/>
              <w:ind w:left="88" w:right="82"/>
              <w:rPr>
                <w:sz w:val="21"/>
              </w:rPr>
            </w:pPr>
            <w:r>
              <w:rPr>
                <w:sz w:val="21"/>
              </w:rPr>
              <w:t>成品区</w:t>
            </w:r>
          </w:p>
        </w:tc>
        <w:tc>
          <w:tcPr>
            <w:tcW w:w="4503" w:type="dxa"/>
          </w:tcPr>
          <w:p w14:paraId="2680DECE">
            <w:pPr>
              <w:pStyle w:val="17"/>
              <w:spacing w:before="62"/>
              <w:ind w:left="38" w:right="31"/>
              <w:rPr>
                <w:rFonts w:ascii="Times New Roman" w:eastAsia="Times New Roman"/>
                <w:sz w:val="13"/>
              </w:rPr>
            </w:pPr>
            <w:r>
              <w:rPr>
                <w:sz w:val="21"/>
              </w:rPr>
              <w:t xml:space="preserve">位于车间内东侧，面积 </w:t>
            </w:r>
            <w:r>
              <w:rPr>
                <w:rFonts w:ascii="Times New Roman" w:eastAsia="Times New Roman"/>
                <w:sz w:val="21"/>
              </w:rPr>
              <w:t>1000m</w:t>
            </w:r>
            <w:r>
              <w:rPr>
                <w:rFonts w:ascii="Times New Roman" w:eastAsia="Times New Roman"/>
                <w:position w:val="7"/>
                <w:sz w:val="13"/>
              </w:rPr>
              <w:t>2</w:t>
            </w:r>
          </w:p>
        </w:tc>
        <w:tc>
          <w:tcPr>
            <w:tcW w:w="1451" w:type="dxa"/>
            <w:tcBorders>
              <w:right w:val="nil"/>
            </w:tcBorders>
          </w:tcPr>
          <w:p w14:paraId="4BFDC33E">
            <w:pPr>
              <w:pStyle w:val="17"/>
              <w:spacing w:before="62"/>
              <w:ind w:left="514"/>
              <w:jc w:val="left"/>
              <w:rPr>
                <w:sz w:val="21"/>
              </w:rPr>
            </w:pPr>
            <w:r>
              <w:rPr>
                <w:sz w:val="21"/>
              </w:rPr>
              <w:t>新建</w:t>
            </w:r>
          </w:p>
        </w:tc>
      </w:tr>
      <w:tr w14:paraId="6167B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84" w:type="dxa"/>
            <w:vMerge w:val="restart"/>
            <w:tcBorders>
              <w:left w:val="nil"/>
            </w:tcBorders>
          </w:tcPr>
          <w:p w14:paraId="55171A0E">
            <w:pPr>
              <w:pStyle w:val="17"/>
              <w:jc w:val="left"/>
              <w:rPr>
                <w:b/>
                <w:sz w:val="20"/>
              </w:rPr>
            </w:pPr>
          </w:p>
          <w:p w14:paraId="561621CB">
            <w:pPr>
              <w:pStyle w:val="17"/>
              <w:spacing w:before="7"/>
              <w:jc w:val="left"/>
              <w:rPr>
                <w:b/>
                <w:sz w:val="25"/>
              </w:rPr>
            </w:pPr>
          </w:p>
          <w:p w14:paraId="0B7BED00">
            <w:pPr>
              <w:pStyle w:val="17"/>
              <w:ind w:left="126"/>
              <w:jc w:val="left"/>
              <w:rPr>
                <w:sz w:val="21"/>
              </w:rPr>
            </w:pPr>
            <w:r>
              <w:rPr>
                <w:sz w:val="21"/>
              </w:rPr>
              <w:t>公用工程</w:t>
            </w:r>
          </w:p>
        </w:tc>
        <w:tc>
          <w:tcPr>
            <w:tcW w:w="1481" w:type="dxa"/>
          </w:tcPr>
          <w:p w14:paraId="1741AA89">
            <w:pPr>
              <w:pStyle w:val="17"/>
              <w:spacing w:before="63"/>
              <w:ind w:left="88" w:right="82"/>
              <w:rPr>
                <w:sz w:val="21"/>
              </w:rPr>
            </w:pPr>
            <w:r>
              <w:rPr>
                <w:sz w:val="21"/>
              </w:rPr>
              <w:t>供电</w:t>
            </w:r>
          </w:p>
        </w:tc>
        <w:tc>
          <w:tcPr>
            <w:tcW w:w="4503" w:type="dxa"/>
          </w:tcPr>
          <w:p w14:paraId="17C1A782">
            <w:pPr>
              <w:pStyle w:val="17"/>
              <w:spacing w:before="63"/>
              <w:ind w:left="39" w:right="31"/>
              <w:rPr>
                <w:sz w:val="21"/>
              </w:rPr>
            </w:pPr>
            <w:r>
              <w:rPr>
                <w:sz w:val="21"/>
              </w:rPr>
              <w:t>工业园电网供给</w:t>
            </w:r>
          </w:p>
        </w:tc>
        <w:tc>
          <w:tcPr>
            <w:tcW w:w="1451" w:type="dxa"/>
            <w:vMerge w:val="restart"/>
            <w:tcBorders>
              <w:right w:val="nil"/>
            </w:tcBorders>
          </w:tcPr>
          <w:p w14:paraId="4F206941">
            <w:pPr>
              <w:pStyle w:val="17"/>
              <w:spacing w:before="111" w:line="278" w:lineRule="auto"/>
              <w:ind w:left="620" w:right="194" w:hanging="420"/>
              <w:jc w:val="left"/>
              <w:rPr>
                <w:sz w:val="21"/>
              </w:rPr>
            </w:pPr>
            <w:r>
              <w:rPr>
                <w:sz w:val="21"/>
              </w:rPr>
              <w:t>依托园区现有</w:t>
            </w:r>
          </w:p>
        </w:tc>
      </w:tr>
      <w:tr w14:paraId="68A1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84" w:type="dxa"/>
            <w:vMerge w:val="continue"/>
            <w:tcBorders>
              <w:top w:val="nil"/>
              <w:left w:val="nil"/>
            </w:tcBorders>
          </w:tcPr>
          <w:p w14:paraId="0A1A5D14">
            <w:pPr>
              <w:rPr>
                <w:sz w:val="2"/>
                <w:szCs w:val="2"/>
              </w:rPr>
            </w:pPr>
          </w:p>
        </w:tc>
        <w:tc>
          <w:tcPr>
            <w:tcW w:w="1481" w:type="dxa"/>
          </w:tcPr>
          <w:p w14:paraId="037D7345">
            <w:pPr>
              <w:pStyle w:val="17"/>
              <w:spacing w:before="64"/>
              <w:ind w:left="88" w:right="82"/>
              <w:rPr>
                <w:sz w:val="21"/>
              </w:rPr>
            </w:pPr>
            <w:r>
              <w:rPr>
                <w:sz w:val="21"/>
              </w:rPr>
              <w:t>给水</w:t>
            </w:r>
          </w:p>
        </w:tc>
        <w:tc>
          <w:tcPr>
            <w:tcW w:w="4503" w:type="dxa"/>
          </w:tcPr>
          <w:p w14:paraId="5BF83501">
            <w:pPr>
              <w:pStyle w:val="17"/>
              <w:spacing w:before="64"/>
              <w:ind w:left="39" w:right="31"/>
              <w:rPr>
                <w:sz w:val="21"/>
              </w:rPr>
            </w:pPr>
            <w:r>
              <w:rPr>
                <w:sz w:val="21"/>
              </w:rPr>
              <w:t>自来水管供给</w:t>
            </w:r>
          </w:p>
        </w:tc>
        <w:tc>
          <w:tcPr>
            <w:tcW w:w="1451" w:type="dxa"/>
            <w:vMerge w:val="continue"/>
            <w:tcBorders>
              <w:top w:val="nil"/>
              <w:right w:val="nil"/>
            </w:tcBorders>
          </w:tcPr>
          <w:p w14:paraId="38F462C6">
            <w:pPr>
              <w:rPr>
                <w:sz w:val="2"/>
                <w:szCs w:val="2"/>
              </w:rPr>
            </w:pPr>
          </w:p>
        </w:tc>
      </w:tr>
      <w:tr w14:paraId="6E5E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4" w:type="dxa"/>
            <w:vMerge w:val="continue"/>
            <w:tcBorders>
              <w:top w:val="nil"/>
              <w:left w:val="nil"/>
            </w:tcBorders>
          </w:tcPr>
          <w:p w14:paraId="614E36CF">
            <w:pPr>
              <w:rPr>
                <w:sz w:val="2"/>
                <w:szCs w:val="2"/>
              </w:rPr>
            </w:pPr>
          </w:p>
        </w:tc>
        <w:tc>
          <w:tcPr>
            <w:tcW w:w="1481" w:type="dxa"/>
          </w:tcPr>
          <w:p w14:paraId="0E762215">
            <w:pPr>
              <w:pStyle w:val="17"/>
              <w:spacing w:before="22"/>
              <w:ind w:left="88" w:right="79"/>
              <w:rPr>
                <w:sz w:val="21"/>
              </w:rPr>
            </w:pPr>
            <w:r>
              <w:rPr>
                <w:sz w:val="21"/>
              </w:rPr>
              <w:t>循环冷却水</w:t>
            </w:r>
          </w:p>
          <w:p w14:paraId="14EA3148">
            <w:pPr>
              <w:pStyle w:val="17"/>
              <w:spacing w:before="43"/>
              <w:ind w:left="88" w:right="82"/>
              <w:rPr>
                <w:sz w:val="21"/>
              </w:rPr>
            </w:pPr>
            <w:r>
              <w:rPr>
                <w:sz w:val="21"/>
              </w:rPr>
              <w:t>系统</w:t>
            </w:r>
          </w:p>
        </w:tc>
        <w:tc>
          <w:tcPr>
            <w:tcW w:w="4503" w:type="dxa"/>
          </w:tcPr>
          <w:p w14:paraId="5DE6D994">
            <w:pPr>
              <w:pStyle w:val="17"/>
              <w:spacing w:before="22"/>
              <w:ind w:left="39" w:right="31"/>
              <w:rPr>
                <w:sz w:val="21"/>
              </w:rPr>
            </w:pPr>
            <w:r>
              <w:rPr>
                <w:sz w:val="21"/>
              </w:rPr>
              <w:t xml:space="preserve">位于车间外南侧，循环水量为 </w:t>
            </w:r>
            <w:r>
              <w:rPr>
                <w:rFonts w:ascii="Times New Roman" w:eastAsia="Times New Roman"/>
                <w:sz w:val="21"/>
              </w:rPr>
              <w:t>3m</w:t>
            </w:r>
            <w:r>
              <w:rPr>
                <w:rFonts w:ascii="Times New Roman" w:eastAsia="Times New Roman"/>
                <w:position w:val="7"/>
                <w:sz w:val="13"/>
              </w:rPr>
              <w:t>3</w:t>
            </w:r>
            <w:r>
              <w:rPr>
                <w:rFonts w:ascii="Times New Roman" w:eastAsia="Times New Roman"/>
                <w:sz w:val="21"/>
              </w:rPr>
              <w:t>/h</w:t>
            </w:r>
            <w:r>
              <w:rPr>
                <w:sz w:val="21"/>
              </w:rPr>
              <w:t>，循环水池</w:t>
            </w:r>
          </w:p>
          <w:p w14:paraId="34CE6FDD">
            <w:pPr>
              <w:pStyle w:val="17"/>
              <w:spacing w:before="57"/>
              <w:ind w:left="39" w:right="30"/>
              <w:rPr>
                <w:rFonts w:ascii="Times New Roman"/>
                <w:sz w:val="13"/>
              </w:rPr>
            </w:pPr>
            <w:r>
              <w:rPr>
                <w:rFonts w:ascii="Times New Roman"/>
                <w:sz w:val="21"/>
              </w:rPr>
              <w:t>10m</w:t>
            </w:r>
            <w:r>
              <w:rPr>
                <w:rFonts w:ascii="Times New Roman"/>
                <w:position w:val="7"/>
                <w:sz w:val="13"/>
              </w:rPr>
              <w:t>3</w:t>
            </w:r>
          </w:p>
        </w:tc>
        <w:tc>
          <w:tcPr>
            <w:tcW w:w="1451" w:type="dxa"/>
            <w:tcBorders>
              <w:right w:val="nil"/>
            </w:tcBorders>
          </w:tcPr>
          <w:p w14:paraId="6583A694">
            <w:pPr>
              <w:pStyle w:val="17"/>
              <w:spacing w:before="178"/>
              <w:ind w:left="514"/>
              <w:jc w:val="left"/>
              <w:rPr>
                <w:sz w:val="21"/>
              </w:rPr>
            </w:pPr>
            <w:r>
              <w:rPr>
                <w:sz w:val="21"/>
              </w:rPr>
              <w:t>新建</w:t>
            </w:r>
          </w:p>
        </w:tc>
      </w:tr>
      <w:tr w14:paraId="26E1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084" w:type="dxa"/>
            <w:tcBorders>
              <w:left w:val="nil"/>
            </w:tcBorders>
          </w:tcPr>
          <w:p w14:paraId="639389E7">
            <w:pPr>
              <w:pStyle w:val="17"/>
              <w:spacing w:before="57"/>
              <w:ind w:left="105" w:right="94"/>
              <w:rPr>
                <w:sz w:val="21"/>
              </w:rPr>
            </w:pPr>
            <w:r>
              <w:rPr>
                <w:sz w:val="21"/>
              </w:rPr>
              <w:t>环保工程</w:t>
            </w:r>
          </w:p>
        </w:tc>
        <w:tc>
          <w:tcPr>
            <w:tcW w:w="1481" w:type="dxa"/>
          </w:tcPr>
          <w:p w14:paraId="2E3361C5">
            <w:pPr>
              <w:pStyle w:val="17"/>
              <w:spacing w:before="57"/>
              <w:ind w:left="88" w:right="82"/>
              <w:rPr>
                <w:sz w:val="21"/>
              </w:rPr>
            </w:pPr>
            <w:r>
              <w:rPr>
                <w:sz w:val="21"/>
              </w:rPr>
              <w:t>废气治理设施</w:t>
            </w:r>
          </w:p>
        </w:tc>
        <w:tc>
          <w:tcPr>
            <w:tcW w:w="4503" w:type="dxa"/>
          </w:tcPr>
          <w:p w14:paraId="52214B3E">
            <w:pPr>
              <w:pStyle w:val="17"/>
              <w:spacing w:before="57"/>
              <w:ind w:left="36" w:right="31"/>
              <w:rPr>
                <w:sz w:val="21"/>
              </w:rPr>
            </w:pPr>
            <w:r>
              <w:rPr>
                <w:sz w:val="21"/>
              </w:rPr>
              <w:t>本项目破碎粉尘、混料粉尘采用全密闭收集罩</w:t>
            </w:r>
          </w:p>
        </w:tc>
        <w:tc>
          <w:tcPr>
            <w:tcW w:w="1451" w:type="dxa"/>
            <w:tcBorders>
              <w:right w:val="nil"/>
            </w:tcBorders>
          </w:tcPr>
          <w:p w14:paraId="3F029915">
            <w:pPr>
              <w:pStyle w:val="17"/>
              <w:spacing w:before="57"/>
              <w:ind w:left="514"/>
              <w:jc w:val="left"/>
              <w:rPr>
                <w:sz w:val="21"/>
              </w:rPr>
            </w:pPr>
            <w:r>
              <w:rPr>
                <w:sz w:val="21"/>
              </w:rPr>
              <w:t>新建</w:t>
            </w:r>
          </w:p>
        </w:tc>
      </w:tr>
    </w:tbl>
    <w:p w14:paraId="40BFADF6">
      <w:pPr>
        <w:spacing w:after="0"/>
        <w:jc w:val="left"/>
        <w:rPr>
          <w:sz w:val="21"/>
        </w:rPr>
        <w:sectPr>
          <w:pgSz w:w="11910" w:h="16840"/>
          <w:pgMar w:top="1480" w:right="1440" w:bottom="1220" w:left="1580" w:header="0" w:footer="1024" w:gutter="0"/>
          <w:cols w:space="720" w:num="1"/>
        </w:sect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481"/>
        <w:gridCol w:w="4503"/>
        <w:gridCol w:w="1451"/>
      </w:tblGrid>
      <w:tr w14:paraId="4E039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084" w:type="dxa"/>
            <w:vMerge w:val="restart"/>
            <w:tcBorders>
              <w:left w:val="nil"/>
            </w:tcBorders>
          </w:tcPr>
          <w:p w14:paraId="53AA746F">
            <w:pPr>
              <w:pStyle w:val="17"/>
              <w:jc w:val="left"/>
              <w:rPr>
                <w:rFonts w:ascii="Times New Roman"/>
                <w:sz w:val="22"/>
              </w:rPr>
            </w:pPr>
          </w:p>
        </w:tc>
        <w:tc>
          <w:tcPr>
            <w:tcW w:w="1481" w:type="dxa"/>
          </w:tcPr>
          <w:p w14:paraId="26D9F6A1">
            <w:pPr>
              <w:pStyle w:val="17"/>
              <w:jc w:val="left"/>
              <w:rPr>
                <w:rFonts w:ascii="Times New Roman"/>
                <w:sz w:val="22"/>
              </w:rPr>
            </w:pPr>
          </w:p>
        </w:tc>
        <w:tc>
          <w:tcPr>
            <w:tcW w:w="4503" w:type="dxa"/>
          </w:tcPr>
          <w:p w14:paraId="3B75C37C">
            <w:pPr>
              <w:pStyle w:val="17"/>
              <w:spacing w:before="21"/>
              <w:ind w:left="227"/>
              <w:jc w:val="left"/>
              <w:rPr>
                <w:sz w:val="21"/>
              </w:rPr>
            </w:pPr>
            <w:r>
              <w:rPr>
                <w:sz w:val="21"/>
              </w:rPr>
              <w:t xml:space="preserve">收集后经布袋除尘器处理后经 </w:t>
            </w:r>
            <w:r>
              <w:rPr>
                <w:rFonts w:ascii="Times New Roman" w:eastAsia="Times New Roman"/>
                <w:sz w:val="21"/>
              </w:rPr>
              <w:t xml:space="preserve">15m </w:t>
            </w:r>
            <w:r>
              <w:rPr>
                <w:sz w:val="21"/>
              </w:rPr>
              <w:t>高排气筒</w:t>
            </w:r>
          </w:p>
          <w:p w14:paraId="33DDDE83">
            <w:pPr>
              <w:pStyle w:val="17"/>
              <w:spacing w:before="43"/>
              <w:ind w:left="36" w:right="31"/>
              <w:rPr>
                <w:sz w:val="21"/>
              </w:rPr>
            </w:pPr>
            <w:r>
              <w:rPr>
                <w:rFonts w:ascii="Times New Roman" w:eastAsia="Times New Roman"/>
                <w:sz w:val="21"/>
              </w:rPr>
              <w:t xml:space="preserve">DA001 </w:t>
            </w:r>
            <w:r>
              <w:rPr>
                <w:sz w:val="21"/>
              </w:rPr>
              <w:t>排放；</w:t>
            </w:r>
          </w:p>
          <w:p w14:paraId="6B952271">
            <w:pPr>
              <w:pStyle w:val="17"/>
              <w:spacing w:before="43" w:line="278" w:lineRule="auto"/>
              <w:ind w:left="150" w:right="142"/>
              <w:rPr>
                <w:sz w:val="21"/>
              </w:rPr>
            </w:pPr>
            <w:r>
              <w:rPr>
                <w:w w:val="95"/>
                <w:sz w:val="21"/>
              </w:rPr>
              <w:t xml:space="preserve">挤出造粒废气和挤出注塑废气采用全密闭负压 </w:t>
            </w:r>
            <w:r>
              <w:rPr>
                <w:sz w:val="21"/>
              </w:rPr>
              <w:t>收集罩收集后经</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w:t>
            </w:r>
            <w:r>
              <w:rPr>
                <w:spacing w:val="-5"/>
                <w:sz w:val="21"/>
              </w:rPr>
              <w:t xml:space="preserve">性炭吸附处理达标后经 </w:t>
            </w:r>
            <w:r>
              <w:rPr>
                <w:rFonts w:ascii="Times New Roman" w:eastAsia="Times New Roman"/>
                <w:sz w:val="21"/>
              </w:rPr>
              <w:t>15m</w:t>
            </w:r>
            <w:r>
              <w:rPr>
                <w:rFonts w:ascii="Times New Roman" w:eastAsia="Times New Roman"/>
                <w:spacing w:val="-3"/>
                <w:sz w:val="21"/>
              </w:rPr>
              <w:t xml:space="preserve"> </w:t>
            </w:r>
            <w:r>
              <w:rPr>
                <w:sz w:val="21"/>
              </w:rPr>
              <w:t>高排气筒排放</w:t>
            </w:r>
          </w:p>
          <w:p w14:paraId="46DC8B5F">
            <w:pPr>
              <w:pStyle w:val="17"/>
              <w:spacing w:line="269" w:lineRule="exact"/>
              <w:ind w:left="39" w:right="31"/>
              <w:rPr>
                <w:sz w:val="21"/>
              </w:rPr>
            </w:pPr>
            <w:r>
              <w:rPr>
                <w:sz w:val="21"/>
              </w:rPr>
              <w:t>（</w:t>
            </w:r>
            <w:r>
              <w:rPr>
                <w:rFonts w:ascii="Times New Roman" w:eastAsia="Times New Roman"/>
                <w:sz w:val="21"/>
              </w:rPr>
              <w:t>DA002</w:t>
            </w:r>
            <w:r>
              <w:rPr>
                <w:sz w:val="21"/>
              </w:rPr>
              <w:t>）。</w:t>
            </w:r>
          </w:p>
        </w:tc>
        <w:tc>
          <w:tcPr>
            <w:tcW w:w="1451" w:type="dxa"/>
            <w:tcBorders>
              <w:right w:val="nil"/>
            </w:tcBorders>
          </w:tcPr>
          <w:p w14:paraId="2E7EF8B0">
            <w:pPr>
              <w:pStyle w:val="17"/>
              <w:jc w:val="left"/>
              <w:rPr>
                <w:rFonts w:ascii="Times New Roman"/>
                <w:sz w:val="22"/>
              </w:rPr>
            </w:pPr>
          </w:p>
        </w:tc>
      </w:tr>
      <w:tr w14:paraId="2E53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84" w:type="dxa"/>
            <w:vMerge w:val="continue"/>
            <w:tcBorders>
              <w:top w:val="nil"/>
              <w:left w:val="nil"/>
            </w:tcBorders>
          </w:tcPr>
          <w:p w14:paraId="1817DB50">
            <w:pPr>
              <w:rPr>
                <w:sz w:val="2"/>
                <w:szCs w:val="2"/>
              </w:rPr>
            </w:pPr>
          </w:p>
        </w:tc>
        <w:tc>
          <w:tcPr>
            <w:tcW w:w="1481" w:type="dxa"/>
          </w:tcPr>
          <w:p w14:paraId="1F5C46A5">
            <w:pPr>
              <w:pStyle w:val="17"/>
              <w:spacing w:before="64"/>
              <w:ind w:left="88" w:right="82"/>
              <w:rPr>
                <w:sz w:val="21"/>
              </w:rPr>
            </w:pPr>
            <w:r>
              <w:rPr>
                <w:sz w:val="21"/>
              </w:rPr>
              <w:t>噪声治理设施</w:t>
            </w:r>
          </w:p>
        </w:tc>
        <w:tc>
          <w:tcPr>
            <w:tcW w:w="4503" w:type="dxa"/>
          </w:tcPr>
          <w:p w14:paraId="1F8C0698">
            <w:pPr>
              <w:pStyle w:val="17"/>
              <w:spacing w:before="64"/>
              <w:ind w:left="1201"/>
              <w:jc w:val="left"/>
              <w:rPr>
                <w:sz w:val="21"/>
              </w:rPr>
            </w:pPr>
            <w:r>
              <w:rPr>
                <w:sz w:val="21"/>
              </w:rPr>
              <w:t>设备减震、隔声、消声</w:t>
            </w:r>
          </w:p>
        </w:tc>
        <w:tc>
          <w:tcPr>
            <w:tcW w:w="1451" w:type="dxa"/>
            <w:tcBorders>
              <w:right w:val="nil"/>
            </w:tcBorders>
          </w:tcPr>
          <w:p w14:paraId="7C2ED597">
            <w:pPr>
              <w:pStyle w:val="17"/>
              <w:spacing w:before="64"/>
              <w:ind w:left="514"/>
              <w:jc w:val="left"/>
              <w:rPr>
                <w:sz w:val="21"/>
              </w:rPr>
            </w:pPr>
            <w:r>
              <w:rPr>
                <w:sz w:val="21"/>
              </w:rPr>
              <w:t>新建</w:t>
            </w:r>
          </w:p>
        </w:tc>
      </w:tr>
      <w:tr w14:paraId="5734B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84" w:type="dxa"/>
            <w:vMerge w:val="continue"/>
            <w:tcBorders>
              <w:top w:val="nil"/>
              <w:left w:val="nil"/>
            </w:tcBorders>
          </w:tcPr>
          <w:p w14:paraId="61CE6D96">
            <w:pPr>
              <w:rPr>
                <w:sz w:val="2"/>
                <w:szCs w:val="2"/>
              </w:rPr>
            </w:pPr>
          </w:p>
        </w:tc>
        <w:tc>
          <w:tcPr>
            <w:tcW w:w="1481" w:type="dxa"/>
            <w:vMerge w:val="restart"/>
          </w:tcPr>
          <w:p w14:paraId="6292F86E">
            <w:pPr>
              <w:pStyle w:val="17"/>
              <w:jc w:val="left"/>
              <w:rPr>
                <w:b/>
                <w:sz w:val="20"/>
              </w:rPr>
            </w:pPr>
          </w:p>
          <w:p w14:paraId="0AF1BBBA">
            <w:pPr>
              <w:pStyle w:val="17"/>
              <w:jc w:val="left"/>
              <w:rPr>
                <w:b/>
                <w:sz w:val="20"/>
              </w:rPr>
            </w:pPr>
          </w:p>
          <w:p w14:paraId="2E9DA2B7">
            <w:pPr>
              <w:pStyle w:val="17"/>
              <w:spacing w:before="138"/>
              <w:ind w:left="109"/>
              <w:jc w:val="left"/>
              <w:rPr>
                <w:sz w:val="21"/>
              </w:rPr>
            </w:pPr>
            <w:r>
              <w:rPr>
                <w:sz w:val="21"/>
              </w:rPr>
              <w:t>废水治理设施</w:t>
            </w:r>
          </w:p>
        </w:tc>
        <w:tc>
          <w:tcPr>
            <w:tcW w:w="4503" w:type="dxa"/>
          </w:tcPr>
          <w:p w14:paraId="0032F98B">
            <w:pPr>
              <w:pStyle w:val="17"/>
              <w:spacing w:before="177" w:line="278" w:lineRule="auto"/>
              <w:ind w:left="1830" w:right="140" w:hanging="1680"/>
              <w:jc w:val="left"/>
              <w:rPr>
                <w:sz w:val="21"/>
              </w:rPr>
            </w:pPr>
            <w:r>
              <w:rPr>
                <w:w w:val="95"/>
                <w:sz w:val="21"/>
              </w:rPr>
              <w:t xml:space="preserve">生活污水：经化粪池处理后进入汨罗市城市污 </w:t>
            </w:r>
            <w:r>
              <w:rPr>
                <w:sz w:val="21"/>
              </w:rPr>
              <w:t>水处理厂</w:t>
            </w:r>
          </w:p>
        </w:tc>
        <w:tc>
          <w:tcPr>
            <w:tcW w:w="1451" w:type="dxa"/>
            <w:tcBorders>
              <w:right w:val="nil"/>
            </w:tcBorders>
          </w:tcPr>
          <w:p w14:paraId="5A68D33B">
            <w:pPr>
              <w:pStyle w:val="17"/>
              <w:spacing w:before="22" w:line="278" w:lineRule="auto"/>
              <w:ind w:left="200" w:right="194"/>
              <w:rPr>
                <w:sz w:val="21"/>
              </w:rPr>
            </w:pPr>
            <w:r>
              <w:rPr>
                <w:w w:val="95"/>
                <w:sz w:val="21"/>
              </w:rPr>
              <w:t>依托中塑新材料公司现</w:t>
            </w:r>
          </w:p>
          <w:p w14:paraId="7779D45E">
            <w:pPr>
              <w:pStyle w:val="17"/>
              <w:spacing w:line="269" w:lineRule="exact"/>
              <w:ind w:left="193" w:right="194"/>
              <w:rPr>
                <w:sz w:val="21"/>
              </w:rPr>
            </w:pPr>
            <w:r>
              <w:rPr>
                <w:sz w:val="21"/>
              </w:rPr>
              <w:t>有化粪池</w:t>
            </w:r>
          </w:p>
        </w:tc>
      </w:tr>
      <w:tr w14:paraId="5E7E2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4" w:type="dxa"/>
            <w:vMerge w:val="continue"/>
            <w:tcBorders>
              <w:top w:val="nil"/>
              <w:left w:val="nil"/>
            </w:tcBorders>
          </w:tcPr>
          <w:p w14:paraId="2E688356">
            <w:pPr>
              <w:rPr>
                <w:sz w:val="2"/>
                <w:szCs w:val="2"/>
              </w:rPr>
            </w:pPr>
          </w:p>
        </w:tc>
        <w:tc>
          <w:tcPr>
            <w:tcW w:w="1481" w:type="dxa"/>
            <w:vMerge w:val="continue"/>
            <w:tcBorders>
              <w:top w:val="nil"/>
            </w:tcBorders>
          </w:tcPr>
          <w:p w14:paraId="7AF28789">
            <w:pPr>
              <w:rPr>
                <w:sz w:val="2"/>
                <w:szCs w:val="2"/>
              </w:rPr>
            </w:pPr>
          </w:p>
        </w:tc>
        <w:tc>
          <w:tcPr>
            <w:tcW w:w="4503" w:type="dxa"/>
          </w:tcPr>
          <w:p w14:paraId="7B3A46C3">
            <w:pPr>
              <w:pStyle w:val="17"/>
              <w:spacing w:before="21"/>
              <w:ind w:left="36" w:right="31"/>
              <w:rPr>
                <w:sz w:val="21"/>
              </w:rPr>
            </w:pPr>
            <w:r>
              <w:rPr>
                <w:sz w:val="21"/>
              </w:rPr>
              <w:t>间接冷却水经循环冷却水池沉淀后回用，不外</w:t>
            </w:r>
          </w:p>
          <w:p w14:paraId="18F9C605">
            <w:pPr>
              <w:pStyle w:val="17"/>
              <w:spacing w:before="43"/>
              <w:ind w:left="5"/>
              <w:rPr>
                <w:sz w:val="21"/>
              </w:rPr>
            </w:pPr>
            <w:r>
              <w:rPr>
                <w:w w:val="99"/>
                <w:sz w:val="21"/>
              </w:rPr>
              <w:t>排</w:t>
            </w:r>
          </w:p>
        </w:tc>
        <w:tc>
          <w:tcPr>
            <w:tcW w:w="1451" w:type="dxa"/>
            <w:tcBorders>
              <w:right w:val="nil"/>
            </w:tcBorders>
          </w:tcPr>
          <w:p w14:paraId="3355ED1D">
            <w:pPr>
              <w:pStyle w:val="17"/>
              <w:spacing w:before="177"/>
              <w:ind w:left="514"/>
              <w:jc w:val="left"/>
              <w:rPr>
                <w:sz w:val="21"/>
              </w:rPr>
            </w:pPr>
            <w:r>
              <w:rPr>
                <w:sz w:val="21"/>
              </w:rPr>
              <w:t>新建</w:t>
            </w:r>
          </w:p>
        </w:tc>
      </w:tr>
      <w:tr w14:paraId="6751C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084" w:type="dxa"/>
            <w:vMerge w:val="continue"/>
            <w:tcBorders>
              <w:top w:val="nil"/>
              <w:left w:val="nil"/>
            </w:tcBorders>
          </w:tcPr>
          <w:p w14:paraId="13B24374">
            <w:pPr>
              <w:rPr>
                <w:sz w:val="2"/>
                <w:szCs w:val="2"/>
              </w:rPr>
            </w:pPr>
          </w:p>
        </w:tc>
        <w:tc>
          <w:tcPr>
            <w:tcW w:w="1481" w:type="dxa"/>
          </w:tcPr>
          <w:p w14:paraId="6F22241B">
            <w:pPr>
              <w:pStyle w:val="17"/>
              <w:jc w:val="left"/>
              <w:rPr>
                <w:b/>
                <w:sz w:val="20"/>
              </w:rPr>
            </w:pPr>
          </w:p>
          <w:p w14:paraId="7AE54A46">
            <w:pPr>
              <w:pStyle w:val="17"/>
              <w:spacing w:before="2"/>
              <w:jc w:val="left"/>
              <w:rPr>
                <w:b/>
                <w:sz w:val="15"/>
              </w:rPr>
            </w:pPr>
          </w:p>
          <w:p w14:paraId="42D3CCC5">
            <w:pPr>
              <w:pStyle w:val="17"/>
              <w:ind w:left="88" w:right="82"/>
              <w:rPr>
                <w:sz w:val="21"/>
              </w:rPr>
            </w:pPr>
            <w:r>
              <w:rPr>
                <w:sz w:val="21"/>
              </w:rPr>
              <w:t>固废治理设施</w:t>
            </w:r>
          </w:p>
        </w:tc>
        <w:tc>
          <w:tcPr>
            <w:tcW w:w="4503" w:type="dxa"/>
          </w:tcPr>
          <w:p w14:paraId="7866EF50">
            <w:pPr>
              <w:pStyle w:val="17"/>
              <w:spacing w:before="12"/>
              <w:jc w:val="left"/>
              <w:rPr>
                <w:b/>
                <w:sz w:val="22"/>
              </w:rPr>
            </w:pPr>
          </w:p>
          <w:p w14:paraId="4DFF112F">
            <w:pPr>
              <w:pStyle w:val="17"/>
              <w:spacing w:line="278" w:lineRule="auto"/>
              <w:ind w:left="620" w:right="97" w:hanging="514"/>
              <w:jc w:val="left"/>
              <w:rPr>
                <w:sz w:val="21"/>
              </w:rPr>
            </w:pPr>
            <w:r>
              <w:rPr>
                <w:spacing w:val="-7"/>
                <w:sz w:val="21"/>
              </w:rPr>
              <w:t xml:space="preserve">车间东北角设置 </w:t>
            </w:r>
            <w:r>
              <w:rPr>
                <w:rFonts w:ascii="Times New Roman" w:eastAsia="Times New Roman"/>
                <w:sz w:val="21"/>
              </w:rPr>
              <w:t xml:space="preserve">1 </w:t>
            </w:r>
            <w:r>
              <w:rPr>
                <w:spacing w:val="-28"/>
                <w:sz w:val="21"/>
              </w:rPr>
              <w:t xml:space="preserve">座 </w:t>
            </w:r>
            <w:r>
              <w:rPr>
                <w:rFonts w:ascii="Times New Roman" w:eastAsia="Times New Roman"/>
                <w:sz w:val="21"/>
              </w:rPr>
              <w:t>20m</w:t>
            </w:r>
            <w:r>
              <w:rPr>
                <w:rFonts w:ascii="Times New Roman" w:eastAsia="Times New Roman"/>
                <w:position w:val="7"/>
                <w:sz w:val="13"/>
              </w:rPr>
              <w:t xml:space="preserve">2 </w:t>
            </w:r>
            <w:r>
              <w:rPr>
                <w:spacing w:val="-4"/>
                <w:sz w:val="21"/>
              </w:rPr>
              <w:t>危废暂存间，车间东</w:t>
            </w:r>
            <w:r>
              <w:rPr>
                <w:spacing w:val="-14"/>
                <w:sz w:val="21"/>
              </w:rPr>
              <w:t xml:space="preserve">北角设置 </w:t>
            </w:r>
            <w:r>
              <w:rPr>
                <w:rFonts w:ascii="Times New Roman" w:eastAsia="Times New Roman"/>
                <w:sz w:val="21"/>
              </w:rPr>
              <w:t xml:space="preserve">1 </w:t>
            </w:r>
            <w:r>
              <w:rPr>
                <w:spacing w:val="-27"/>
                <w:sz w:val="21"/>
              </w:rPr>
              <w:t xml:space="preserve">座 </w:t>
            </w:r>
            <w:r>
              <w:rPr>
                <w:rFonts w:ascii="Times New Roman" w:eastAsia="Times New Roman"/>
                <w:sz w:val="21"/>
              </w:rPr>
              <w:t>20m</w:t>
            </w:r>
            <w:r>
              <w:rPr>
                <w:rFonts w:ascii="Times New Roman" w:eastAsia="Times New Roman"/>
                <w:position w:val="7"/>
                <w:sz w:val="13"/>
              </w:rPr>
              <w:t xml:space="preserve">2 </w:t>
            </w:r>
            <w:r>
              <w:rPr>
                <w:sz w:val="21"/>
              </w:rPr>
              <w:t>一般固废暂存间</w:t>
            </w:r>
          </w:p>
        </w:tc>
        <w:tc>
          <w:tcPr>
            <w:tcW w:w="1451" w:type="dxa"/>
            <w:tcBorders>
              <w:right w:val="nil"/>
            </w:tcBorders>
          </w:tcPr>
          <w:p w14:paraId="4804B179">
            <w:pPr>
              <w:pStyle w:val="17"/>
              <w:jc w:val="left"/>
              <w:rPr>
                <w:b/>
                <w:sz w:val="20"/>
              </w:rPr>
            </w:pPr>
          </w:p>
          <w:p w14:paraId="0BFA8197">
            <w:pPr>
              <w:pStyle w:val="17"/>
              <w:spacing w:before="2"/>
              <w:jc w:val="left"/>
              <w:rPr>
                <w:b/>
                <w:sz w:val="15"/>
              </w:rPr>
            </w:pPr>
          </w:p>
          <w:p w14:paraId="17E02F66">
            <w:pPr>
              <w:pStyle w:val="17"/>
              <w:ind w:left="514"/>
              <w:jc w:val="left"/>
              <w:rPr>
                <w:sz w:val="21"/>
              </w:rPr>
            </w:pPr>
            <w:r>
              <w:rPr>
                <w:sz w:val="21"/>
              </w:rPr>
              <w:t>新建</w:t>
            </w:r>
          </w:p>
        </w:tc>
      </w:tr>
    </w:tbl>
    <w:p w14:paraId="4DBA3BF6">
      <w:pPr>
        <w:pStyle w:val="10"/>
        <w:spacing w:before="82" w:line="364" w:lineRule="auto"/>
        <w:ind w:left="220" w:right="265" w:firstLine="480"/>
      </w:pPr>
      <w:r>
        <w:rPr>
          <w:b/>
          <w:spacing w:val="-17"/>
        </w:rPr>
        <w:t>依托可行性：</w:t>
      </w:r>
      <w:r>
        <w:t>项目位于湖南省岳阳市汨罗市湖南汨罗高新技术产业开发区新</w:t>
      </w:r>
      <w:r>
        <w:rPr>
          <w:spacing w:val="-5"/>
        </w:rPr>
        <w:t xml:space="preserve">市片区中塑新材料公司内 </w:t>
      </w:r>
      <w:r>
        <w:rPr>
          <w:rFonts w:ascii="Times New Roman" w:eastAsia="Times New Roman"/>
        </w:rPr>
        <w:t xml:space="preserve">16 </w:t>
      </w:r>
      <w:r>
        <w:t xml:space="preserve">栋厂房，园区供水、排水、供电等基础设施完善， </w:t>
      </w:r>
      <w:r>
        <w:rPr>
          <w:spacing w:val="-9"/>
        </w:rPr>
        <w:t>项目供水、供电可以依托园区已有的供水、供电设施，项目园区排水基础设施完</w:t>
      </w:r>
      <w:r>
        <w:rPr>
          <w:spacing w:val="-10"/>
        </w:rPr>
        <w:t>善，已建有完善的雨水管网、生产废水管网、生活污水管网、汨罗市城市污水处</w:t>
      </w:r>
      <w:r>
        <w:rPr>
          <w:spacing w:val="-11"/>
        </w:rPr>
        <w:t xml:space="preserve">理厂、湖南汨罗循环经济产业园再生材料产业园污水处理厂等基础设施；湖南中塑新材料科技有限公司内供水管网、生产废水管网、生活污水管网、雨水管网、供电、化粪池、生产废水处理站等均已建设完成；项目无生产废水产生和排放， </w:t>
      </w:r>
      <w:r>
        <w:t>项目生活污水依托中塑新材料公司已有化粪池处理达标后由市政管网排入汨罗市城市污水处理厂深度处理，具有依托可行性。</w:t>
      </w:r>
    </w:p>
    <w:p w14:paraId="74AB9D91">
      <w:pPr>
        <w:pStyle w:val="10"/>
        <w:spacing w:before="5" w:line="364" w:lineRule="auto"/>
        <w:ind w:left="220" w:right="357" w:firstLine="480"/>
        <w:jc w:val="both"/>
      </w:pPr>
      <w:r>
        <w:rPr>
          <w:spacing w:val="-4"/>
        </w:rPr>
        <w:t xml:space="preserve">项目所租赁的中塑新材料公司内 </w:t>
      </w:r>
      <w:r>
        <w:rPr>
          <w:rFonts w:ascii="Times New Roman" w:eastAsia="Times New Roman"/>
        </w:rPr>
        <w:t xml:space="preserve">16 </w:t>
      </w:r>
      <w:r>
        <w:t>栋厂房原用途为仓库，厂房内遗留有部</w:t>
      </w:r>
      <w:r>
        <w:rPr>
          <w:spacing w:val="-8"/>
        </w:rPr>
        <w:t>分中塑新材料公司的原材料，本次评价要求在项目入驻前应及时清理厂房内遗留的原材料，并对厂房场地进行清理，不得遗漏。</w:t>
      </w:r>
    </w:p>
    <w:p w14:paraId="4B8736FB">
      <w:pPr>
        <w:pStyle w:val="16"/>
        <w:numPr>
          <w:ilvl w:val="2"/>
          <w:numId w:val="8"/>
        </w:numPr>
        <w:tabs>
          <w:tab w:val="left" w:pos="849"/>
        </w:tabs>
        <w:spacing w:before="53" w:after="0" w:line="240" w:lineRule="auto"/>
        <w:ind w:left="848" w:right="0" w:hanging="628"/>
        <w:jc w:val="left"/>
        <w:rPr>
          <w:b/>
          <w:sz w:val="28"/>
        </w:rPr>
      </w:pPr>
      <w:r>
        <w:rPr>
          <w:b/>
          <w:sz w:val="28"/>
        </w:rPr>
        <w:t>项目产品方案</w:t>
      </w:r>
    </w:p>
    <w:p w14:paraId="2E579682">
      <w:pPr>
        <w:pStyle w:val="10"/>
        <w:spacing w:before="214" w:line="364" w:lineRule="auto"/>
        <w:ind w:left="220" w:right="357" w:firstLine="480"/>
      </w:pPr>
      <w:r>
        <w:rPr>
          <w:spacing w:val="-6"/>
        </w:rPr>
        <w:t>本项目产品为排水板系列产品，规格大小根据订单需求制作，本项目总产能</w:t>
      </w:r>
      <w:r>
        <w:rPr>
          <w:spacing w:val="-34"/>
        </w:rPr>
        <w:t xml:space="preserve">为 </w:t>
      </w:r>
      <w:r>
        <w:rPr>
          <w:rFonts w:ascii="Times New Roman" w:eastAsia="Times New Roman"/>
        </w:rPr>
        <w:t>10000t/a</w:t>
      </w:r>
      <w:r>
        <w:t>。</w:t>
      </w:r>
    </w:p>
    <w:p w14:paraId="7F680DD8">
      <w:pPr>
        <w:pStyle w:val="9"/>
        <w:spacing w:before="0" w:line="230" w:lineRule="exact"/>
        <w:ind w:left="2828"/>
      </w:pPr>
      <w:r>
        <w:rPr>
          <w:spacing w:val="-31"/>
        </w:rPr>
        <w:t xml:space="preserve">表 </w:t>
      </w:r>
      <w:r>
        <w:rPr>
          <w:rFonts w:ascii="Times New Roman" w:eastAsia="Times New Roman"/>
        </w:rPr>
        <w:t>2.1-2</w:t>
      </w:r>
      <w:r>
        <w:rPr>
          <w:rFonts w:ascii="Times New Roman" w:eastAsia="Times New Roman"/>
          <w:spacing w:val="58"/>
        </w:rPr>
        <w:t xml:space="preserve"> </w:t>
      </w:r>
      <w:r>
        <w:t>项目产品方案一览表</w:t>
      </w:r>
    </w:p>
    <w:tbl>
      <w:tblPr>
        <w:tblStyle w:val="13"/>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782"/>
        <w:gridCol w:w="1574"/>
        <w:gridCol w:w="1068"/>
        <w:gridCol w:w="3202"/>
      </w:tblGrid>
      <w:tr w14:paraId="3CC08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79" w:type="dxa"/>
            <w:tcBorders>
              <w:left w:val="nil"/>
            </w:tcBorders>
          </w:tcPr>
          <w:p w14:paraId="36C9DE21">
            <w:pPr>
              <w:pStyle w:val="17"/>
              <w:spacing w:before="177"/>
              <w:ind w:left="163" w:right="151"/>
              <w:rPr>
                <w:sz w:val="21"/>
              </w:rPr>
            </w:pPr>
            <w:r>
              <w:rPr>
                <w:sz w:val="21"/>
              </w:rPr>
              <w:t>序号</w:t>
            </w:r>
          </w:p>
        </w:tc>
        <w:tc>
          <w:tcPr>
            <w:tcW w:w="1782" w:type="dxa"/>
          </w:tcPr>
          <w:p w14:paraId="6C8DA632">
            <w:pPr>
              <w:pStyle w:val="17"/>
              <w:spacing w:before="177"/>
              <w:ind w:left="133" w:right="126"/>
              <w:rPr>
                <w:sz w:val="21"/>
              </w:rPr>
            </w:pPr>
            <w:r>
              <w:rPr>
                <w:sz w:val="21"/>
              </w:rPr>
              <w:t>产品名称</w:t>
            </w:r>
          </w:p>
        </w:tc>
        <w:tc>
          <w:tcPr>
            <w:tcW w:w="1574" w:type="dxa"/>
          </w:tcPr>
          <w:p w14:paraId="36378C06">
            <w:pPr>
              <w:pStyle w:val="17"/>
              <w:spacing w:before="177"/>
              <w:ind w:left="366"/>
              <w:jc w:val="left"/>
              <w:rPr>
                <w:sz w:val="21"/>
              </w:rPr>
            </w:pPr>
            <w:r>
              <w:rPr>
                <w:sz w:val="21"/>
              </w:rPr>
              <w:t>规格尺寸</w:t>
            </w:r>
          </w:p>
        </w:tc>
        <w:tc>
          <w:tcPr>
            <w:tcW w:w="1068" w:type="dxa"/>
          </w:tcPr>
          <w:p w14:paraId="61D3B88F">
            <w:pPr>
              <w:pStyle w:val="17"/>
              <w:spacing w:before="21"/>
              <w:ind w:left="217"/>
              <w:jc w:val="left"/>
              <w:rPr>
                <w:sz w:val="21"/>
              </w:rPr>
            </w:pPr>
            <w:r>
              <w:rPr>
                <w:w w:val="95"/>
                <w:sz w:val="21"/>
              </w:rPr>
              <w:t>年产量</w:t>
            </w:r>
          </w:p>
          <w:p w14:paraId="6EB93933">
            <w:pPr>
              <w:pStyle w:val="17"/>
              <w:spacing w:before="43"/>
              <w:ind w:left="217"/>
              <w:jc w:val="left"/>
              <w:rPr>
                <w:sz w:val="21"/>
              </w:rPr>
            </w:pPr>
            <w:r>
              <w:rPr>
                <w:sz w:val="21"/>
              </w:rPr>
              <w:t>（</w:t>
            </w:r>
            <w:r>
              <w:rPr>
                <w:rFonts w:ascii="Times New Roman" w:eastAsia="Times New Roman"/>
                <w:sz w:val="21"/>
              </w:rPr>
              <w:t>t/a</w:t>
            </w:r>
            <w:r>
              <w:rPr>
                <w:sz w:val="21"/>
              </w:rPr>
              <w:t>）</w:t>
            </w:r>
          </w:p>
        </w:tc>
        <w:tc>
          <w:tcPr>
            <w:tcW w:w="3202" w:type="dxa"/>
            <w:tcBorders>
              <w:right w:val="nil"/>
            </w:tcBorders>
          </w:tcPr>
          <w:p w14:paraId="12AE6D33">
            <w:pPr>
              <w:pStyle w:val="17"/>
              <w:spacing w:before="177"/>
              <w:ind w:left="1370" w:right="1367"/>
              <w:rPr>
                <w:sz w:val="21"/>
              </w:rPr>
            </w:pPr>
            <w:r>
              <w:rPr>
                <w:sz w:val="21"/>
              </w:rPr>
              <w:t>备注</w:t>
            </w:r>
          </w:p>
        </w:tc>
      </w:tr>
      <w:tr w14:paraId="2037D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79" w:type="dxa"/>
            <w:tcBorders>
              <w:left w:val="nil"/>
            </w:tcBorders>
          </w:tcPr>
          <w:p w14:paraId="62AEE994">
            <w:pPr>
              <w:pStyle w:val="17"/>
              <w:spacing w:before="191"/>
              <w:ind w:left="16"/>
              <w:rPr>
                <w:rFonts w:ascii="Times New Roman"/>
                <w:sz w:val="21"/>
              </w:rPr>
            </w:pPr>
            <w:r>
              <w:rPr>
                <w:rFonts w:ascii="Times New Roman"/>
                <w:w w:val="99"/>
                <w:sz w:val="21"/>
              </w:rPr>
              <w:t>1</w:t>
            </w:r>
          </w:p>
        </w:tc>
        <w:tc>
          <w:tcPr>
            <w:tcW w:w="1782" w:type="dxa"/>
          </w:tcPr>
          <w:p w14:paraId="42005DDE">
            <w:pPr>
              <w:pStyle w:val="17"/>
              <w:spacing w:before="177"/>
              <w:ind w:left="135" w:right="126"/>
              <w:rPr>
                <w:sz w:val="21"/>
              </w:rPr>
            </w:pPr>
            <w:r>
              <w:rPr>
                <w:sz w:val="21"/>
              </w:rPr>
              <w:t>排水板系列产品</w:t>
            </w:r>
          </w:p>
        </w:tc>
        <w:tc>
          <w:tcPr>
            <w:tcW w:w="1574" w:type="dxa"/>
          </w:tcPr>
          <w:p w14:paraId="762C7BA7">
            <w:pPr>
              <w:pStyle w:val="17"/>
              <w:spacing w:before="21"/>
              <w:ind w:left="31" w:right="23"/>
              <w:rPr>
                <w:sz w:val="21"/>
              </w:rPr>
            </w:pPr>
            <w:r>
              <w:rPr>
                <w:sz w:val="21"/>
              </w:rPr>
              <w:t>规格大小根据订</w:t>
            </w:r>
          </w:p>
          <w:p w14:paraId="657D43FC">
            <w:pPr>
              <w:pStyle w:val="17"/>
              <w:spacing w:before="43"/>
              <w:ind w:left="29" w:right="23"/>
              <w:rPr>
                <w:sz w:val="21"/>
              </w:rPr>
            </w:pPr>
            <w:r>
              <w:rPr>
                <w:sz w:val="21"/>
              </w:rPr>
              <w:t>单需求制作</w:t>
            </w:r>
          </w:p>
        </w:tc>
        <w:tc>
          <w:tcPr>
            <w:tcW w:w="1068" w:type="dxa"/>
          </w:tcPr>
          <w:p w14:paraId="4DA36E59">
            <w:pPr>
              <w:pStyle w:val="17"/>
              <w:spacing w:before="191"/>
              <w:ind w:left="270"/>
              <w:jc w:val="left"/>
              <w:rPr>
                <w:rFonts w:ascii="Times New Roman"/>
                <w:sz w:val="21"/>
              </w:rPr>
            </w:pPr>
            <w:r>
              <w:rPr>
                <w:rFonts w:ascii="Times New Roman"/>
                <w:sz w:val="21"/>
              </w:rPr>
              <w:t>10000</w:t>
            </w:r>
          </w:p>
        </w:tc>
        <w:tc>
          <w:tcPr>
            <w:tcW w:w="3202" w:type="dxa"/>
            <w:tcBorders>
              <w:right w:val="nil"/>
            </w:tcBorders>
          </w:tcPr>
          <w:p w14:paraId="4B897B04">
            <w:pPr>
              <w:pStyle w:val="17"/>
              <w:spacing w:before="21"/>
              <w:ind w:left="95"/>
              <w:jc w:val="left"/>
              <w:rPr>
                <w:sz w:val="21"/>
              </w:rPr>
            </w:pPr>
            <w:r>
              <w:rPr>
                <w:spacing w:val="-19"/>
                <w:sz w:val="21"/>
              </w:rPr>
              <w:t xml:space="preserve">利用 </w:t>
            </w:r>
            <w:r>
              <w:rPr>
                <w:rFonts w:ascii="Times New Roman" w:eastAsia="Times New Roman"/>
                <w:sz w:val="21"/>
              </w:rPr>
              <w:t xml:space="preserve">PE </w:t>
            </w:r>
            <w:r>
              <w:rPr>
                <w:spacing w:val="-8"/>
                <w:sz w:val="21"/>
              </w:rPr>
              <w:t xml:space="preserve">新料、再生塑料 </w:t>
            </w:r>
            <w:r>
              <w:rPr>
                <w:rFonts w:ascii="Times New Roman" w:eastAsia="Times New Roman"/>
                <w:sz w:val="21"/>
              </w:rPr>
              <w:t xml:space="preserve">PE </w:t>
            </w:r>
            <w:r>
              <w:rPr>
                <w:sz w:val="21"/>
              </w:rPr>
              <w:t>料、</w:t>
            </w:r>
          </w:p>
          <w:p w14:paraId="79D61448">
            <w:pPr>
              <w:pStyle w:val="17"/>
              <w:spacing w:before="43"/>
              <w:ind w:left="131"/>
              <w:jc w:val="left"/>
              <w:rPr>
                <w:sz w:val="21"/>
              </w:rPr>
            </w:pPr>
            <w:r>
              <w:rPr>
                <w:w w:val="95"/>
                <w:sz w:val="21"/>
              </w:rPr>
              <w:t>色母粒等原辅材料挤出注塑生产</w:t>
            </w:r>
          </w:p>
        </w:tc>
      </w:tr>
    </w:tbl>
    <w:p w14:paraId="374944D5">
      <w:pPr>
        <w:spacing w:after="0"/>
        <w:jc w:val="left"/>
        <w:rPr>
          <w:sz w:val="21"/>
        </w:rPr>
        <w:sectPr>
          <w:pgSz w:w="11910" w:h="16840"/>
          <w:pgMar w:top="1420" w:right="1440" w:bottom="1220" w:left="1580" w:header="0" w:footer="1024" w:gutter="0"/>
          <w:cols w:space="720" w:num="1"/>
        </w:sectPr>
      </w:pPr>
    </w:p>
    <w:tbl>
      <w:tblPr>
        <w:tblStyle w:val="13"/>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782"/>
        <w:gridCol w:w="1574"/>
        <w:gridCol w:w="1068"/>
        <w:gridCol w:w="3202"/>
      </w:tblGrid>
      <w:tr w14:paraId="2A2D2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79" w:type="dxa"/>
            <w:tcBorders>
              <w:left w:val="nil"/>
            </w:tcBorders>
          </w:tcPr>
          <w:p w14:paraId="14716674">
            <w:pPr>
              <w:pStyle w:val="17"/>
              <w:jc w:val="left"/>
              <w:rPr>
                <w:rFonts w:ascii="Times New Roman"/>
                <w:sz w:val="22"/>
              </w:rPr>
            </w:pPr>
          </w:p>
        </w:tc>
        <w:tc>
          <w:tcPr>
            <w:tcW w:w="1782" w:type="dxa"/>
          </w:tcPr>
          <w:p w14:paraId="53A98D59">
            <w:pPr>
              <w:pStyle w:val="17"/>
              <w:jc w:val="left"/>
              <w:rPr>
                <w:rFonts w:ascii="Times New Roman"/>
                <w:sz w:val="22"/>
              </w:rPr>
            </w:pPr>
          </w:p>
        </w:tc>
        <w:tc>
          <w:tcPr>
            <w:tcW w:w="1574" w:type="dxa"/>
          </w:tcPr>
          <w:p w14:paraId="13283C63">
            <w:pPr>
              <w:pStyle w:val="17"/>
              <w:jc w:val="left"/>
              <w:rPr>
                <w:rFonts w:ascii="Times New Roman"/>
                <w:sz w:val="22"/>
              </w:rPr>
            </w:pPr>
          </w:p>
        </w:tc>
        <w:tc>
          <w:tcPr>
            <w:tcW w:w="1068" w:type="dxa"/>
          </w:tcPr>
          <w:p w14:paraId="586CBBBC">
            <w:pPr>
              <w:pStyle w:val="17"/>
              <w:jc w:val="left"/>
              <w:rPr>
                <w:rFonts w:ascii="Times New Roman"/>
                <w:sz w:val="22"/>
              </w:rPr>
            </w:pPr>
          </w:p>
        </w:tc>
        <w:tc>
          <w:tcPr>
            <w:tcW w:w="3202" w:type="dxa"/>
            <w:tcBorders>
              <w:right w:val="nil"/>
            </w:tcBorders>
          </w:tcPr>
          <w:p w14:paraId="062C7B13">
            <w:pPr>
              <w:pStyle w:val="17"/>
              <w:spacing w:before="21"/>
              <w:ind w:left="1370" w:right="1367"/>
              <w:rPr>
                <w:sz w:val="21"/>
              </w:rPr>
            </w:pPr>
            <w:r>
              <w:rPr>
                <w:sz w:val="21"/>
              </w:rPr>
              <w:t>而来</w:t>
            </w:r>
          </w:p>
        </w:tc>
      </w:tr>
      <w:tr w14:paraId="64E1A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79" w:type="dxa"/>
            <w:tcBorders>
              <w:left w:val="nil"/>
            </w:tcBorders>
          </w:tcPr>
          <w:p w14:paraId="79F2C4C3">
            <w:pPr>
              <w:pStyle w:val="17"/>
              <w:jc w:val="left"/>
              <w:rPr>
                <w:b/>
                <w:sz w:val="22"/>
              </w:rPr>
            </w:pPr>
          </w:p>
          <w:p w14:paraId="3DD69F0A">
            <w:pPr>
              <w:pStyle w:val="17"/>
              <w:spacing w:before="4"/>
              <w:jc w:val="left"/>
              <w:rPr>
                <w:b/>
                <w:sz w:val="17"/>
              </w:rPr>
            </w:pPr>
          </w:p>
          <w:p w14:paraId="0971F94B">
            <w:pPr>
              <w:pStyle w:val="17"/>
              <w:ind w:left="16"/>
              <w:rPr>
                <w:rFonts w:ascii="Times New Roman"/>
                <w:sz w:val="21"/>
              </w:rPr>
            </w:pPr>
            <w:r>
              <w:rPr>
                <w:rFonts w:ascii="Times New Roman"/>
                <w:w w:val="99"/>
                <w:sz w:val="21"/>
              </w:rPr>
              <w:t>2</w:t>
            </w:r>
          </w:p>
        </w:tc>
        <w:tc>
          <w:tcPr>
            <w:tcW w:w="1782" w:type="dxa"/>
          </w:tcPr>
          <w:p w14:paraId="5C628560">
            <w:pPr>
              <w:pStyle w:val="17"/>
              <w:jc w:val="left"/>
              <w:rPr>
                <w:b/>
                <w:sz w:val="22"/>
              </w:rPr>
            </w:pPr>
          </w:p>
          <w:p w14:paraId="344E3B01">
            <w:pPr>
              <w:pStyle w:val="17"/>
              <w:spacing w:before="3"/>
              <w:jc w:val="left"/>
              <w:rPr>
                <w:b/>
                <w:sz w:val="16"/>
              </w:rPr>
            </w:pPr>
          </w:p>
          <w:p w14:paraId="6E790A6F">
            <w:pPr>
              <w:pStyle w:val="17"/>
              <w:ind w:left="189"/>
              <w:jc w:val="left"/>
              <w:rPr>
                <w:sz w:val="21"/>
              </w:rPr>
            </w:pPr>
            <w:r>
              <w:rPr>
                <w:sz w:val="21"/>
              </w:rPr>
              <w:t xml:space="preserve">再生塑料 </w:t>
            </w:r>
            <w:r>
              <w:rPr>
                <w:rFonts w:ascii="Times New Roman" w:eastAsia="Times New Roman"/>
                <w:sz w:val="21"/>
              </w:rPr>
              <w:t xml:space="preserve">PE </w:t>
            </w:r>
            <w:r>
              <w:rPr>
                <w:sz w:val="21"/>
              </w:rPr>
              <w:t>料</w:t>
            </w:r>
          </w:p>
        </w:tc>
        <w:tc>
          <w:tcPr>
            <w:tcW w:w="1574" w:type="dxa"/>
          </w:tcPr>
          <w:p w14:paraId="55326FF6">
            <w:pPr>
              <w:pStyle w:val="17"/>
              <w:jc w:val="left"/>
              <w:rPr>
                <w:b/>
                <w:sz w:val="20"/>
              </w:rPr>
            </w:pPr>
          </w:p>
          <w:p w14:paraId="62855107">
            <w:pPr>
              <w:pStyle w:val="17"/>
              <w:spacing w:before="3"/>
              <w:jc w:val="left"/>
              <w:rPr>
                <w:b/>
                <w:sz w:val="18"/>
              </w:rPr>
            </w:pPr>
          </w:p>
          <w:p w14:paraId="5FD29B74">
            <w:pPr>
              <w:pStyle w:val="17"/>
              <w:ind w:left="471"/>
              <w:jc w:val="left"/>
              <w:rPr>
                <w:sz w:val="21"/>
              </w:rPr>
            </w:pPr>
            <w:r>
              <w:rPr>
                <w:sz w:val="21"/>
              </w:rPr>
              <w:t>颗粒状</w:t>
            </w:r>
          </w:p>
        </w:tc>
        <w:tc>
          <w:tcPr>
            <w:tcW w:w="1068" w:type="dxa"/>
          </w:tcPr>
          <w:p w14:paraId="18290D4F">
            <w:pPr>
              <w:pStyle w:val="17"/>
              <w:jc w:val="left"/>
              <w:rPr>
                <w:b/>
                <w:sz w:val="22"/>
              </w:rPr>
            </w:pPr>
          </w:p>
          <w:p w14:paraId="2ECA73F9">
            <w:pPr>
              <w:pStyle w:val="17"/>
              <w:spacing w:before="4"/>
              <w:jc w:val="left"/>
              <w:rPr>
                <w:b/>
                <w:sz w:val="17"/>
              </w:rPr>
            </w:pPr>
          </w:p>
          <w:p w14:paraId="520BC4B0">
            <w:pPr>
              <w:pStyle w:val="17"/>
              <w:ind w:left="323"/>
              <w:jc w:val="left"/>
              <w:rPr>
                <w:rFonts w:ascii="Times New Roman"/>
                <w:sz w:val="21"/>
              </w:rPr>
            </w:pPr>
            <w:r>
              <w:rPr>
                <w:rFonts w:ascii="Times New Roman"/>
                <w:sz w:val="21"/>
              </w:rPr>
              <w:t>5000</w:t>
            </w:r>
          </w:p>
        </w:tc>
        <w:tc>
          <w:tcPr>
            <w:tcW w:w="3202" w:type="dxa"/>
            <w:tcBorders>
              <w:right w:val="nil"/>
            </w:tcBorders>
          </w:tcPr>
          <w:p w14:paraId="3A424E42">
            <w:pPr>
              <w:pStyle w:val="17"/>
              <w:spacing w:before="22" w:line="278" w:lineRule="auto"/>
              <w:ind w:left="49" w:right="46"/>
              <w:jc w:val="both"/>
              <w:rPr>
                <w:sz w:val="21"/>
              </w:rPr>
            </w:pPr>
            <w:r>
              <w:rPr>
                <w:spacing w:val="-6"/>
                <w:w w:val="95"/>
                <w:sz w:val="21"/>
              </w:rPr>
              <w:t>利用本项目边角料、外购的已破碎</w:t>
            </w:r>
            <w:r>
              <w:rPr>
                <w:spacing w:val="-13"/>
                <w:sz w:val="21"/>
              </w:rPr>
              <w:t xml:space="preserve">清洗分拣后的废 </w:t>
            </w:r>
            <w:r>
              <w:rPr>
                <w:rFonts w:ascii="Times New Roman" w:eastAsia="Times New Roman"/>
                <w:sz w:val="21"/>
              </w:rPr>
              <w:t xml:space="preserve">PE </w:t>
            </w:r>
            <w:r>
              <w:rPr>
                <w:sz w:val="21"/>
              </w:rPr>
              <w:t>塑料、改性剂</w:t>
            </w:r>
            <w:r>
              <w:rPr>
                <w:spacing w:val="-7"/>
                <w:w w:val="95"/>
                <w:sz w:val="21"/>
              </w:rPr>
              <w:t>等挤出造粒而来，全部用于排水板</w:t>
            </w:r>
          </w:p>
          <w:p w14:paraId="442B38A5">
            <w:pPr>
              <w:pStyle w:val="17"/>
              <w:spacing w:line="269" w:lineRule="exact"/>
              <w:ind w:left="551"/>
              <w:jc w:val="left"/>
              <w:rPr>
                <w:sz w:val="21"/>
              </w:rPr>
            </w:pPr>
            <w:r>
              <w:rPr>
                <w:sz w:val="21"/>
              </w:rPr>
              <w:t>系列产品生产，不外售</w:t>
            </w:r>
          </w:p>
        </w:tc>
      </w:tr>
    </w:tbl>
    <w:p w14:paraId="6B7781BA">
      <w:pPr>
        <w:pStyle w:val="16"/>
        <w:numPr>
          <w:ilvl w:val="2"/>
          <w:numId w:val="8"/>
        </w:numPr>
        <w:tabs>
          <w:tab w:val="left" w:pos="849"/>
        </w:tabs>
        <w:spacing w:before="134" w:after="0" w:line="240" w:lineRule="auto"/>
        <w:ind w:left="848" w:right="0" w:hanging="628"/>
        <w:jc w:val="left"/>
        <w:rPr>
          <w:b/>
          <w:sz w:val="28"/>
        </w:rPr>
      </w:pPr>
      <w:r>
        <w:rPr>
          <w:b/>
          <w:sz w:val="28"/>
        </w:rPr>
        <w:t>主要原辅材料及能源消耗</w:t>
      </w:r>
    </w:p>
    <w:p w14:paraId="0DA1DE28">
      <w:pPr>
        <w:pStyle w:val="10"/>
        <w:spacing w:before="212"/>
        <w:ind w:left="700"/>
      </w:pPr>
      <w:r>
        <w:t>本项目主要原材料消耗及资源能源消耗情况见下表。</w:t>
      </w:r>
    </w:p>
    <w:p w14:paraId="27ACF44C">
      <w:pPr>
        <w:pStyle w:val="9"/>
        <w:spacing w:before="160"/>
        <w:ind w:left="1743"/>
      </w:pPr>
      <w:r>
        <w:rPr>
          <w:spacing w:val="-31"/>
        </w:rPr>
        <w:t xml:space="preserve">表 </w:t>
      </w:r>
      <w:r>
        <w:rPr>
          <w:rFonts w:ascii="Times New Roman" w:eastAsia="Times New Roman"/>
        </w:rPr>
        <w:t>2.1-3</w:t>
      </w:r>
      <w:r>
        <w:rPr>
          <w:rFonts w:ascii="Times New Roman" w:eastAsia="Times New Roman"/>
          <w:spacing w:val="57"/>
        </w:rPr>
        <w:t xml:space="preserve"> </w:t>
      </w:r>
      <w:r>
        <w:t>项目主要原辅材料及资源能源消耗情况表</w:t>
      </w:r>
    </w:p>
    <w:p w14:paraId="61259CDC">
      <w:pPr>
        <w:pStyle w:val="10"/>
        <w:spacing w:before="3"/>
        <w:rPr>
          <w:b/>
          <w:sz w:val="6"/>
        </w:rPr>
      </w:pPr>
    </w:p>
    <w:tbl>
      <w:tblPr>
        <w:tblStyle w:val="13"/>
        <w:tblW w:w="0" w:type="auto"/>
        <w:tblInd w:w="1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628"/>
        <w:gridCol w:w="1129"/>
        <w:gridCol w:w="1097"/>
        <w:gridCol w:w="1645"/>
        <w:gridCol w:w="1063"/>
        <w:gridCol w:w="971"/>
      </w:tblGrid>
      <w:tr w14:paraId="71080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70" w:type="dxa"/>
            <w:tcBorders>
              <w:left w:val="nil"/>
            </w:tcBorders>
          </w:tcPr>
          <w:p w14:paraId="0AB3F05F">
            <w:pPr>
              <w:pStyle w:val="17"/>
              <w:spacing w:before="177"/>
              <w:ind w:left="207" w:right="197"/>
              <w:rPr>
                <w:sz w:val="21"/>
              </w:rPr>
            </w:pPr>
            <w:r>
              <w:rPr>
                <w:sz w:val="21"/>
              </w:rPr>
              <w:t>序号</w:t>
            </w:r>
          </w:p>
        </w:tc>
        <w:tc>
          <w:tcPr>
            <w:tcW w:w="1628" w:type="dxa"/>
          </w:tcPr>
          <w:p w14:paraId="1AEA77E1">
            <w:pPr>
              <w:pStyle w:val="17"/>
              <w:spacing w:before="177"/>
              <w:ind w:left="56" w:right="50"/>
              <w:rPr>
                <w:sz w:val="21"/>
              </w:rPr>
            </w:pPr>
            <w:r>
              <w:rPr>
                <w:sz w:val="21"/>
              </w:rPr>
              <w:t>原料名称</w:t>
            </w:r>
          </w:p>
        </w:tc>
        <w:tc>
          <w:tcPr>
            <w:tcW w:w="1129" w:type="dxa"/>
          </w:tcPr>
          <w:p w14:paraId="5A8A5863">
            <w:pPr>
              <w:pStyle w:val="17"/>
              <w:spacing w:before="21"/>
              <w:ind w:left="122" w:right="116"/>
              <w:rPr>
                <w:sz w:val="21"/>
              </w:rPr>
            </w:pPr>
            <w:r>
              <w:rPr>
                <w:sz w:val="21"/>
              </w:rPr>
              <w:t>年消耗量</w:t>
            </w:r>
          </w:p>
          <w:p w14:paraId="233C176F">
            <w:pPr>
              <w:pStyle w:val="17"/>
              <w:spacing w:before="43"/>
              <w:ind w:left="122" w:right="116"/>
              <w:rPr>
                <w:sz w:val="21"/>
              </w:rPr>
            </w:pPr>
            <w:r>
              <w:rPr>
                <w:sz w:val="21"/>
              </w:rPr>
              <w:t>（</w:t>
            </w:r>
            <w:r>
              <w:rPr>
                <w:rFonts w:ascii="Times New Roman" w:eastAsia="Times New Roman"/>
                <w:sz w:val="21"/>
              </w:rPr>
              <w:t>t</w:t>
            </w:r>
            <w:r>
              <w:rPr>
                <w:sz w:val="21"/>
              </w:rPr>
              <w:t>）</w:t>
            </w:r>
          </w:p>
        </w:tc>
        <w:tc>
          <w:tcPr>
            <w:tcW w:w="1097" w:type="dxa"/>
          </w:tcPr>
          <w:p w14:paraId="4D59E811">
            <w:pPr>
              <w:pStyle w:val="17"/>
              <w:spacing w:before="21"/>
              <w:ind w:left="127"/>
              <w:jc w:val="left"/>
              <w:rPr>
                <w:sz w:val="21"/>
              </w:rPr>
            </w:pPr>
            <w:r>
              <w:rPr>
                <w:sz w:val="21"/>
              </w:rPr>
              <w:t>最大储存</w:t>
            </w:r>
          </w:p>
          <w:p w14:paraId="3D22F8E8">
            <w:pPr>
              <w:pStyle w:val="17"/>
              <w:spacing w:before="43"/>
              <w:ind w:left="204"/>
              <w:jc w:val="left"/>
              <w:rPr>
                <w:sz w:val="21"/>
              </w:rPr>
            </w:pPr>
            <w:r>
              <w:rPr>
                <w:sz w:val="21"/>
              </w:rPr>
              <w:t>量（</w:t>
            </w:r>
            <w:r>
              <w:rPr>
                <w:rFonts w:ascii="Times New Roman" w:eastAsia="Times New Roman"/>
                <w:sz w:val="21"/>
              </w:rPr>
              <w:t>t</w:t>
            </w:r>
            <w:r>
              <w:rPr>
                <w:sz w:val="21"/>
              </w:rPr>
              <w:t>）</w:t>
            </w:r>
          </w:p>
        </w:tc>
        <w:tc>
          <w:tcPr>
            <w:tcW w:w="1645" w:type="dxa"/>
          </w:tcPr>
          <w:p w14:paraId="0D5FC409">
            <w:pPr>
              <w:pStyle w:val="17"/>
              <w:spacing w:before="177"/>
              <w:ind w:left="36" w:right="30"/>
              <w:rPr>
                <w:sz w:val="21"/>
              </w:rPr>
            </w:pPr>
            <w:r>
              <w:rPr>
                <w:sz w:val="21"/>
              </w:rPr>
              <w:t>形态</w:t>
            </w:r>
          </w:p>
        </w:tc>
        <w:tc>
          <w:tcPr>
            <w:tcW w:w="1063" w:type="dxa"/>
          </w:tcPr>
          <w:p w14:paraId="18229742">
            <w:pPr>
              <w:pStyle w:val="17"/>
              <w:spacing w:before="177"/>
              <w:ind w:left="89" w:right="81"/>
              <w:rPr>
                <w:sz w:val="21"/>
              </w:rPr>
            </w:pPr>
            <w:r>
              <w:rPr>
                <w:sz w:val="21"/>
              </w:rPr>
              <w:t>储存位置</w:t>
            </w:r>
          </w:p>
        </w:tc>
        <w:tc>
          <w:tcPr>
            <w:tcW w:w="971" w:type="dxa"/>
            <w:tcBorders>
              <w:right w:val="nil"/>
            </w:tcBorders>
          </w:tcPr>
          <w:p w14:paraId="48A573FE">
            <w:pPr>
              <w:pStyle w:val="17"/>
              <w:spacing w:before="177"/>
              <w:ind w:left="275"/>
              <w:jc w:val="left"/>
              <w:rPr>
                <w:sz w:val="21"/>
              </w:rPr>
            </w:pPr>
            <w:r>
              <w:rPr>
                <w:sz w:val="21"/>
              </w:rPr>
              <w:t>来源</w:t>
            </w:r>
          </w:p>
        </w:tc>
      </w:tr>
      <w:tr w14:paraId="778A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3349B6D7">
            <w:pPr>
              <w:pStyle w:val="17"/>
              <w:spacing w:before="78"/>
              <w:ind w:left="14"/>
              <w:rPr>
                <w:rFonts w:ascii="Times New Roman"/>
                <w:sz w:val="21"/>
              </w:rPr>
            </w:pPr>
            <w:r>
              <w:rPr>
                <w:rFonts w:ascii="Times New Roman"/>
                <w:w w:val="99"/>
                <w:sz w:val="21"/>
              </w:rPr>
              <w:t>1</w:t>
            </w:r>
          </w:p>
        </w:tc>
        <w:tc>
          <w:tcPr>
            <w:tcW w:w="1628" w:type="dxa"/>
          </w:tcPr>
          <w:p w14:paraId="7D5A6B4C">
            <w:pPr>
              <w:pStyle w:val="17"/>
              <w:spacing w:before="64"/>
              <w:ind w:left="56" w:right="50"/>
              <w:rPr>
                <w:sz w:val="21"/>
              </w:rPr>
            </w:pPr>
            <w:r>
              <w:rPr>
                <w:rFonts w:ascii="Times New Roman" w:eastAsia="Times New Roman"/>
                <w:sz w:val="21"/>
              </w:rPr>
              <w:t xml:space="preserve">PE </w:t>
            </w:r>
            <w:r>
              <w:rPr>
                <w:sz w:val="21"/>
              </w:rPr>
              <w:t>新料</w:t>
            </w:r>
          </w:p>
        </w:tc>
        <w:tc>
          <w:tcPr>
            <w:tcW w:w="1129" w:type="dxa"/>
          </w:tcPr>
          <w:p w14:paraId="546FC0BE">
            <w:pPr>
              <w:pStyle w:val="17"/>
              <w:spacing w:before="78"/>
              <w:ind w:left="122" w:right="115"/>
              <w:rPr>
                <w:rFonts w:ascii="Times New Roman"/>
                <w:sz w:val="21"/>
              </w:rPr>
            </w:pPr>
            <w:r>
              <w:rPr>
                <w:rFonts w:ascii="Times New Roman"/>
                <w:sz w:val="21"/>
              </w:rPr>
              <w:t>5166.25</w:t>
            </w:r>
          </w:p>
        </w:tc>
        <w:tc>
          <w:tcPr>
            <w:tcW w:w="1097" w:type="dxa"/>
          </w:tcPr>
          <w:p w14:paraId="5F98420A">
            <w:pPr>
              <w:pStyle w:val="17"/>
              <w:spacing w:before="78"/>
              <w:ind w:left="318" w:right="307"/>
              <w:rPr>
                <w:rFonts w:ascii="Times New Roman"/>
                <w:sz w:val="21"/>
              </w:rPr>
            </w:pPr>
            <w:r>
              <w:rPr>
                <w:rFonts w:ascii="Times New Roman"/>
                <w:sz w:val="21"/>
              </w:rPr>
              <w:t>250</w:t>
            </w:r>
          </w:p>
        </w:tc>
        <w:tc>
          <w:tcPr>
            <w:tcW w:w="1645" w:type="dxa"/>
          </w:tcPr>
          <w:p w14:paraId="5D0C9F69">
            <w:pPr>
              <w:pStyle w:val="17"/>
              <w:spacing w:before="64"/>
              <w:ind w:left="36" w:right="30"/>
              <w:rPr>
                <w:sz w:val="21"/>
              </w:rPr>
            </w:pPr>
            <w:r>
              <w:rPr>
                <w:sz w:val="21"/>
              </w:rPr>
              <w:t>颗粒状，</w:t>
            </w:r>
            <w:r>
              <w:rPr>
                <w:rFonts w:ascii="Times New Roman" w:eastAsia="Times New Roman"/>
                <w:sz w:val="21"/>
              </w:rPr>
              <w:t>20kg/</w:t>
            </w:r>
            <w:r>
              <w:rPr>
                <w:sz w:val="21"/>
              </w:rPr>
              <w:t>袋</w:t>
            </w:r>
          </w:p>
        </w:tc>
        <w:tc>
          <w:tcPr>
            <w:tcW w:w="1063" w:type="dxa"/>
          </w:tcPr>
          <w:p w14:paraId="5302CDB6">
            <w:pPr>
              <w:pStyle w:val="17"/>
              <w:spacing w:before="64"/>
              <w:ind w:left="89" w:right="81"/>
              <w:rPr>
                <w:sz w:val="21"/>
              </w:rPr>
            </w:pPr>
            <w:r>
              <w:rPr>
                <w:sz w:val="21"/>
              </w:rPr>
              <w:t>原料仓库</w:t>
            </w:r>
          </w:p>
        </w:tc>
        <w:tc>
          <w:tcPr>
            <w:tcW w:w="971" w:type="dxa"/>
            <w:tcBorders>
              <w:right w:val="nil"/>
            </w:tcBorders>
          </w:tcPr>
          <w:p w14:paraId="7D45F0BA">
            <w:pPr>
              <w:pStyle w:val="17"/>
              <w:spacing w:before="64"/>
              <w:ind w:left="275"/>
              <w:jc w:val="left"/>
              <w:rPr>
                <w:sz w:val="21"/>
              </w:rPr>
            </w:pPr>
            <w:r>
              <w:rPr>
                <w:sz w:val="21"/>
              </w:rPr>
              <w:t>外购</w:t>
            </w:r>
          </w:p>
        </w:tc>
      </w:tr>
      <w:tr w14:paraId="7D2B7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70" w:type="dxa"/>
            <w:tcBorders>
              <w:left w:val="nil"/>
            </w:tcBorders>
          </w:tcPr>
          <w:p w14:paraId="44971D8E">
            <w:pPr>
              <w:pStyle w:val="17"/>
              <w:spacing w:before="2"/>
              <w:jc w:val="left"/>
              <w:rPr>
                <w:b/>
                <w:sz w:val="27"/>
              </w:rPr>
            </w:pPr>
          </w:p>
          <w:p w14:paraId="45782BF8">
            <w:pPr>
              <w:pStyle w:val="17"/>
              <w:ind w:left="14"/>
              <w:rPr>
                <w:rFonts w:ascii="Times New Roman"/>
                <w:sz w:val="21"/>
              </w:rPr>
            </w:pPr>
            <w:r>
              <w:rPr>
                <w:rFonts w:ascii="Times New Roman"/>
                <w:w w:val="99"/>
                <w:sz w:val="21"/>
              </w:rPr>
              <w:t>2</w:t>
            </w:r>
          </w:p>
        </w:tc>
        <w:tc>
          <w:tcPr>
            <w:tcW w:w="1628" w:type="dxa"/>
          </w:tcPr>
          <w:p w14:paraId="16F6F968">
            <w:pPr>
              <w:pStyle w:val="17"/>
              <w:spacing w:before="22"/>
              <w:ind w:left="78" w:hanging="29"/>
              <w:jc w:val="left"/>
              <w:rPr>
                <w:sz w:val="21"/>
              </w:rPr>
            </w:pPr>
            <w:r>
              <w:rPr>
                <w:spacing w:val="-29"/>
                <w:sz w:val="21"/>
              </w:rPr>
              <w:t xml:space="preserve">废 </w:t>
            </w:r>
            <w:r>
              <w:rPr>
                <w:rFonts w:ascii="Times New Roman" w:eastAsia="Times New Roman"/>
                <w:sz w:val="21"/>
              </w:rPr>
              <w:t xml:space="preserve">PE </w:t>
            </w:r>
            <w:r>
              <w:rPr>
                <w:spacing w:val="-41"/>
                <w:sz w:val="21"/>
              </w:rPr>
              <w:t>塑料</w:t>
            </w:r>
            <w:r>
              <w:rPr>
                <w:sz w:val="21"/>
              </w:rPr>
              <w:t>（已破</w:t>
            </w:r>
          </w:p>
          <w:p w14:paraId="623E017C">
            <w:pPr>
              <w:pStyle w:val="17"/>
              <w:spacing w:before="2" w:line="310" w:lineRule="atLeast"/>
              <w:ind w:left="393" w:right="68" w:hanging="315"/>
              <w:jc w:val="left"/>
              <w:rPr>
                <w:sz w:val="21"/>
              </w:rPr>
            </w:pPr>
            <w:r>
              <w:rPr>
                <w:w w:val="95"/>
                <w:sz w:val="21"/>
              </w:rPr>
              <w:t>碎清洗分拣后的</w:t>
            </w:r>
            <w:r>
              <w:rPr>
                <w:sz w:val="21"/>
              </w:rPr>
              <w:t>废塑料）</w:t>
            </w:r>
          </w:p>
        </w:tc>
        <w:tc>
          <w:tcPr>
            <w:tcW w:w="1129" w:type="dxa"/>
          </w:tcPr>
          <w:p w14:paraId="06A9B6F1">
            <w:pPr>
              <w:pStyle w:val="17"/>
              <w:spacing w:before="2"/>
              <w:jc w:val="left"/>
              <w:rPr>
                <w:b/>
                <w:sz w:val="27"/>
              </w:rPr>
            </w:pPr>
          </w:p>
          <w:p w14:paraId="19F2814E">
            <w:pPr>
              <w:pStyle w:val="17"/>
              <w:ind w:left="122" w:right="115"/>
              <w:rPr>
                <w:rFonts w:ascii="Times New Roman"/>
                <w:sz w:val="21"/>
              </w:rPr>
            </w:pPr>
            <w:r>
              <w:rPr>
                <w:rFonts w:ascii="Times New Roman"/>
                <w:sz w:val="21"/>
              </w:rPr>
              <w:t>4792.5</w:t>
            </w:r>
          </w:p>
        </w:tc>
        <w:tc>
          <w:tcPr>
            <w:tcW w:w="1097" w:type="dxa"/>
          </w:tcPr>
          <w:p w14:paraId="11317F93">
            <w:pPr>
              <w:pStyle w:val="17"/>
              <w:spacing w:before="2"/>
              <w:jc w:val="left"/>
              <w:rPr>
                <w:b/>
                <w:sz w:val="27"/>
              </w:rPr>
            </w:pPr>
          </w:p>
          <w:p w14:paraId="4DDAB98B">
            <w:pPr>
              <w:pStyle w:val="17"/>
              <w:ind w:left="318" w:right="307"/>
              <w:rPr>
                <w:rFonts w:ascii="Times New Roman"/>
                <w:sz w:val="21"/>
              </w:rPr>
            </w:pPr>
            <w:r>
              <w:rPr>
                <w:rFonts w:ascii="Times New Roman"/>
                <w:sz w:val="21"/>
              </w:rPr>
              <w:t>200</w:t>
            </w:r>
          </w:p>
        </w:tc>
        <w:tc>
          <w:tcPr>
            <w:tcW w:w="1645" w:type="dxa"/>
          </w:tcPr>
          <w:p w14:paraId="78342D3A">
            <w:pPr>
              <w:pStyle w:val="17"/>
              <w:jc w:val="left"/>
              <w:rPr>
                <w:b/>
                <w:sz w:val="26"/>
              </w:rPr>
            </w:pPr>
          </w:p>
          <w:p w14:paraId="2F05C6F0">
            <w:pPr>
              <w:pStyle w:val="17"/>
              <w:spacing w:before="1"/>
              <w:ind w:left="36" w:right="30"/>
              <w:rPr>
                <w:sz w:val="21"/>
              </w:rPr>
            </w:pPr>
            <w:r>
              <w:rPr>
                <w:sz w:val="21"/>
              </w:rPr>
              <w:t>颗粒状，</w:t>
            </w:r>
            <w:r>
              <w:rPr>
                <w:rFonts w:ascii="Times New Roman" w:eastAsia="Times New Roman"/>
                <w:sz w:val="21"/>
              </w:rPr>
              <w:t>20kg/</w:t>
            </w:r>
            <w:r>
              <w:rPr>
                <w:sz w:val="21"/>
              </w:rPr>
              <w:t>袋</w:t>
            </w:r>
          </w:p>
        </w:tc>
        <w:tc>
          <w:tcPr>
            <w:tcW w:w="1063" w:type="dxa"/>
          </w:tcPr>
          <w:p w14:paraId="310AC1A6">
            <w:pPr>
              <w:pStyle w:val="17"/>
              <w:jc w:val="left"/>
              <w:rPr>
                <w:b/>
                <w:sz w:val="26"/>
              </w:rPr>
            </w:pPr>
          </w:p>
          <w:p w14:paraId="1F38AA80">
            <w:pPr>
              <w:pStyle w:val="17"/>
              <w:spacing w:before="1"/>
              <w:ind w:left="89" w:right="81"/>
              <w:rPr>
                <w:sz w:val="21"/>
              </w:rPr>
            </w:pPr>
            <w:r>
              <w:rPr>
                <w:sz w:val="21"/>
              </w:rPr>
              <w:t>原料仓库</w:t>
            </w:r>
          </w:p>
        </w:tc>
        <w:tc>
          <w:tcPr>
            <w:tcW w:w="971" w:type="dxa"/>
            <w:tcBorders>
              <w:right w:val="nil"/>
            </w:tcBorders>
          </w:tcPr>
          <w:p w14:paraId="39E331B9">
            <w:pPr>
              <w:pStyle w:val="17"/>
              <w:jc w:val="left"/>
              <w:rPr>
                <w:b/>
                <w:sz w:val="26"/>
              </w:rPr>
            </w:pPr>
          </w:p>
          <w:p w14:paraId="2B01F212">
            <w:pPr>
              <w:pStyle w:val="17"/>
              <w:spacing w:before="1"/>
              <w:ind w:left="275"/>
              <w:jc w:val="left"/>
              <w:rPr>
                <w:sz w:val="21"/>
              </w:rPr>
            </w:pPr>
            <w:r>
              <w:rPr>
                <w:sz w:val="21"/>
              </w:rPr>
              <w:t>外购</w:t>
            </w:r>
          </w:p>
        </w:tc>
      </w:tr>
      <w:tr w14:paraId="3C82F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392F6017">
            <w:pPr>
              <w:pStyle w:val="17"/>
              <w:spacing w:before="76"/>
              <w:ind w:left="14"/>
              <w:rPr>
                <w:rFonts w:ascii="Times New Roman"/>
                <w:sz w:val="21"/>
              </w:rPr>
            </w:pPr>
            <w:r>
              <w:rPr>
                <w:rFonts w:ascii="Times New Roman"/>
                <w:w w:val="99"/>
                <w:sz w:val="21"/>
              </w:rPr>
              <w:t>3</w:t>
            </w:r>
          </w:p>
        </w:tc>
        <w:tc>
          <w:tcPr>
            <w:tcW w:w="1628" w:type="dxa"/>
          </w:tcPr>
          <w:p w14:paraId="7176E8F5">
            <w:pPr>
              <w:pStyle w:val="17"/>
              <w:spacing w:before="62"/>
              <w:ind w:left="58" w:right="50"/>
              <w:rPr>
                <w:sz w:val="21"/>
              </w:rPr>
            </w:pPr>
            <w:r>
              <w:rPr>
                <w:sz w:val="21"/>
              </w:rPr>
              <w:t>钙粉</w:t>
            </w:r>
          </w:p>
        </w:tc>
        <w:tc>
          <w:tcPr>
            <w:tcW w:w="1129" w:type="dxa"/>
          </w:tcPr>
          <w:p w14:paraId="2190A2D7">
            <w:pPr>
              <w:pStyle w:val="17"/>
              <w:spacing w:before="76"/>
              <w:ind w:left="122" w:right="112"/>
              <w:rPr>
                <w:rFonts w:ascii="Times New Roman"/>
                <w:sz w:val="21"/>
              </w:rPr>
            </w:pPr>
            <w:r>
              <w:rPr>
                <w:rFonts w:ascii="Times New Roman"/>
                <w:sz w:val="21"/>
              </w:rPr>
              <w:t>50.0</w:t>
            </w:r>
          </w:p>
        </w:tc>
        <w:tc>
          <w:tcPr>
            <w:tcW w:w="1097" w:type="dxa"/>
          </w:tcPr>
          <w:p w14:paraId="174B3237">
            <w:pPr>
              <w:pStyle w:val="17"/>
              <w:spacing w:before="76"/>
              <w:ind w:left="318" w:right="307"/>
              <w:rPr>
                <w:rFonts w:ascii="Times New Roman"/>
                <w:sz w:val="21"/>
              </w:rPr>
            </w:pPr>
            <w:r>
              <w:rPr>
                <w:rFonts w:ascii="Times New Roman"/>
                <w:sz w:val="21"/>
              </w:rPr>
              <w:t>2.5</w:t>
            </w:r>
          </w:p>
        </w:tc>
        <w:tc>
          <w:tcPr>
            <w:tcW w:w="1645" w:type="dxa"/>
          </w:tcPr>
          <w:p w14:paraId="043FC636">
            <w:pPr>
              <w:pStyle w:val="17"/>
              <w:spacing w:before="62"/>
              <w:ind w:left="36" w:right="30"/>
              <w:rPr>
                <w:sz w:val="21"/>
              </w:rPr>
            </w:pPr>
            <w:r>
              <w:rPr>
                <w:sz w:val="21"/>
              </w:rPr>
              <w:t>粉状，</w:t>
            </w:r>
            <w:r>
              <w:rPr>
                <w:rFonts w:ascii="Times New Roman" w:eastAsia="Times New Roman"/>
                <w:sz w:val="21"/>
              </w:rPr>
              <w:t>20kg/</w:t>
            </w:r>
            <w:r>
              <w:rPr>
                <w:sz w:val="21"/>
              </w:rPr>
              <w:t>袋</w:t>
            </w:r>
          </w:p>
        </w:tc>
        <w:tc>
          <w:tcPr>
            <w:tcW w:w="1063" w:type="dxa"/>
          </w:tcPr>
          <w:p w14:paraId="5AA76533">
            <w:pPr>
              <w:pStyle w:val="17"/>
              <w:spacing w:before="62"/>
              <w:ind w:left="89" w:right="81"/>
              <w:rPr>
                <w:sz w:val="21"/>
              </w:rPr>
            </w:pPr>
            <w:r>
              <w:rPr>
                <w:sz w:val="21"/>
              </w:rPr>
              <w:t>辅料仓库</w:t>
            </w:r>
          </w:p>
        </w:tc>
        <w:tc>
          <w:tcPr>
            <w:tcW w:w="971" w:type="dxa"/>
            <w:tcBorders>
              <w:right w:val="nil"/>
            </w:tcBorders>
          </w:tcPr>
          <w:p w14:paraId="6A292F53">
            <w:pPr>
              <w:pStyle w:val="17"/>
              <w:spacing w:before="62"/>
              <w:ind w:left="275"/>
              <w:jc w:val="left"/>
              <w:rPr>
                <w:sz w:val="21"/>
              </w:rPr>
            </w:pPr>
            <w:r>
              <w:rPr>
                <w:sz w:val="21"/>
              </w:rPr>
              <w:t>外购</w:t>
            </w:r>
          </w:p>
        </w:tc>
      </w:tr>
      <w:tr w14:paraId="7ACD2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3E199BAB">
            <w:pPr>
              <w:pStyle w:val="17"/>
              <w:spacing w:before="77"/>
              <w:ind w:left="14"/>
              <w:rPr>
                <w:rFonts w:ascii="Times New Roman"/>
                <w:sz w:val="21"/>
              </w:rPr>
            </w:pPr>
            <w:r>
              <w:rPr>
                <w:rFonts w:ascii="Times New Roman"/>
                <w:w w:val="99"/>
                <w:sz w:val="21"/>
              </w:rPr>
              <w:t>4</w:t>
            </w:r>
          </w:p>
        </w:tc>
        <w:tc>
          <w:tcPr>
            <w:tcW w:w="1628" w:type="dxa"/>
          </w:tcPr>
          <w:p w14:paraId="167D615D">
            <w:pPr>
              <w:pStyle w:val="17"/>
              <w:spacing w:before="63"/>
              <w:ind w:left="56" w:right="50"/>
              <w:rPr>
                <w:sz w:val="21"/>
              </w:rPr>
            </w:pPr>
            <w:r>
              <w:rPr>
                <w:sz w:val="21"/>
              </w:rPr>
              <w:t>色母粒</w:t>
            </w:r>
          </w:p>
        </w:tc>
        <w:tc>
          <w:tcPr>
            <w:tcW w:w="1129" w:type="dxa"/>
          </w:tcPr>
          <w:p w14:paraId="385E85AA">
            <w:pPr>
              <w:pStyle w:val="17"/>
              <w:spacing w:before="77"/>
              <w:ind w:left="122" w:right="112"/>
              <w:rPr>
                <w:rFonts w:ascii="Times New Roman"/>
                <w:sz w:val="21"/>
              </w:rPr>
            </w:pPr>
            <w:r>
              <w:rPr>
                <w:rFonts w:ascii="Times New Roman"/>
                <w:sz w:val="21"/>
              </w:rPr>
              <w:t>1.0</w:t>
            </w:r>
          </w:p>
        </w:tc>
        <w:tc>
          <w:tcPr>
            <w:tcW w:w="1097" w:type="dxa"/>
          </w:tcPr>
          <w:p w14:paraId="5C34A747">
            <w:pPr>
              <w:pStyle w:val="17"/>
              <w:spacing w:before="77"/>
              <w:ind w:left="318" w:right="307"/>
              <w:rPr>
                <w:rFonts w:ascii="Times New Roman"/>
                <w:sz w:val="21"/>
              </w:rPr>
            </w:pPr>
            <w:r>
              <w:rPr>
                <w:rFonts w:ascii="Times New Roman"/>
                <w:sz w:val="21"/>
              </w:rPr>
              <w:t>0.2</w:t>
            </w:r>
          </w:p>
        </w:tc>
        <w:tc>
          <w:tcPr>
            <w:tcW w:w="1645" w:type="dxa"/>
          </w:tcPr>
          <w:p w14:paraId="071253B4">
            <w:pPr>
              <w:pStyle w:val="17"/>
              <w:spacing w:before="63"/>
              <w:ind w:left="36" w:right="30"/>
              <w:rPr>
                <w:sz w:val="21"/>
              </w:rPr>
            </w:pPr>
            <w:r>
              <w:rPr>
                <w:sz w:val="21"/>
              </w:rPr>
              <w:t>颗粒状状</w:t>
            </w:r>
          </w:p>
        </w:tc>
        <w:tc>
          <w:tcPr>
            <w:tcW w:w="1063" w:type="dxa"/>
          </w:tcPr>
          <w:p w14:paraId="7790E8CB">
            <w:pPr>
              <w:pStyle w:val="17"/>
              <w:spacing w:before="63"/>
              <w:ind w:left="89" w:right="81"/>
              <w:rPr>
                <w:sz w:val="21"/>
              </w:rPr>
            </w:pPr>
            <w:r>
              <w:rPr>
                <w:sz w:val="21"/>
              </w:rPr>
              <w:t>辅料仓库</w:t>
            </w:r>
          </w:p>
        </w:tc>
        <w:tc>
          <w:tcPr>
            <w:tcW w:w="971" w:type="dxa"/>
            <w:tcBorders>
              <w:right w:val="nil"/>
            </w:tcBorders>
          </w:tcPr>
          <w:p w14:paraId="4ED7E0B0">
            <w:pPr>
              <w:pStyle w:val="17"/>
              <w:spacing w:before="63"/>
              <w:ind w:left="275"/>
              <w:jc w:val="left"/>
              <w:rPr>
                <w:sz w:val="21"/>
              </w:rPr>
            </w:pPr>
            <w:r>
              <w:rPr>
                <w:sz w:val="21"/>
              </w:rPr>
              <w:t>外购</w:t>
            </w:r>
          </w:p>
        </w:tc>
      </w:tr>
      <w:tr w14:paraId="04DE0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0" w:type="dxa"/>
            <w:tcBorders>
              <w:left w:val="nil"/>
            </w:tcBorders>
          </w:tcPr>
          <w:p w14:paraId="14C8FBB5">
            <w:pPr>
              <w:pStyle w:val="17"/>
              <w:spacing w:before="76"/>
              <w:ind w:left="14"/>
              <w:rPr>
                <w:rFonts w:ascii="Times New Roman"/>
                <w:sz w:val="21"/>
              </w:rPr>
            </w:pPr>
            <w:r>
              <w:rPr>
                <w:rFonts w:ascii="Times New Roman"/>
                <w:w w:val="99"/>
                <w:sz w:val="21"/>
              </w:rPr>
              <w:t>5</w:t>
            </w:r>
          </w:p>
        </w:tc>
        <w:tc>
          <w:tcPr>
            <w:tcW w:w="1628" w:type="dxa"/>
          </w:tcPr>
          <w:p w14:paraId="2D9F53C4">
            <w:pPr>
              <w:pStyle w:val="17"/>
              <w:spacing w:before="62"/>
              <w:ind w:left="58" w:right="50"/>
              <w:rPr>
                <w:sz w:val="21"/>
              </w:rPr>
            </w:pPr>
            <w:r>
              <w:rPr>
                <w:sz w:val="21"/>
              </w:rPr>
              <w:t>稳定剂</w:t>
            </w:r>
          </w:p>
        </w:tc>
        <w:tc>
          <w:tcPr>
            <w:tcW w:w="1129" w:type="dxa"/>
          </w:tcPr>
          <w:p w14:paraId="12A0CDCA">
            <w:pPr>
              <w:pStyle w:val="17"/>
              <w:spacing w:before="76"/>
              <w:ind w:left="122" w:right="112"/>
              <w:rPr>
                <w:rFonts w:ascii="Times New Roman"/>
                <w:sz w:val="21"/>
              </w:rPr>
            </w:pPr>
            <w:r>
              <w:rPr>
                <w:rFonts w:ascii="Times New Roman"/>
                <w:sz w:val="21"/>
              </w:rPr>
              <w:t>5.0</w:t>
            </w:r>
          </w:p>
        </w:tc>
        <w:tc>
          <w:tcPr>
            <w:tcW w:w="1097" w:type="dxa"/>
          </w:tcPr>
          <w:p w14:paraId="7E770101">
            <w:pPr>
              <w:pStyle w:val="17"/>
              <w:spacing w:before="76"/>
              <w:ind w:left="6"/>
              <w:rPr>
                <w:rFonts w:ascii="Times New Roman"/>
                <w:sz w:val="21"/>
              </w:rPr>
            </w:pPr>
            <w:r>
              <w:rPr>
                <w:rFonts w:ascii="Times New Roman"/>
                <w:w w:val="99"/>
                <w:sz w:val="21"/>
              </w:rPr>
              <w:t>1</w:t>
            </w:r>
          </w:p>
        </w:tc>
        <w:tc>
          <w:tcPr>
            <w:tcW w:w="1645" w:type="dxa"/>
          </w:tcPr>
          <w:p w14:paraId="4677064E">
            <w:pPr>
              <w:pStyle w:val="17"/>
              <w:spacing w:before="62"/>
              <w:ind w:left="36" w:right="30"/>
              <w:rPr>
                <w:sz w:val="21"/>
              </w:rPr>
            </w:pPr>
            <w:r>
              <w:rPr>
                <w:sz w:val="21"/>
              </w:rPr>
              <w:t>粉状</w:t>
            </w:r>
          </w:p>
        </w:tc>
        <w:tc>
          <w:tcPr>
            <w:tcW w:w="1063" w:type="dxa"/>
          </w:tcPr>
          <w:p w14:paraId="1ADDF6E3">
            <w:pPr>
              <w:pStyle w:val="17"/>
              <w:spacing w:before="62"/>
              <w:ind w:left="89" w:right="81"/>
              <w:rPr>
                <w:sz w:val="21"/>
              </w:rPr>
            </w:pPr>
            <w:r>
              <w:rPr>
                <w:sz w:val="21"/>
              </w:rPr>
              <w:t>辅料仓库</w:t>
            </w:r>
          </w:p>
        </w:tc>
        <w:tc>
          <w:tcPr>
            <w:tcW w:w="971" w:type="dxa"/>
            <w:tcBorders>
              <w:right w:val="nil"/>
            </w:tcBorders>
          </w:tcPr>
          <w:p w14:paraId="08123160">
            <w:pPr>
              <w:pStyle w:val="17"/>
              <w:spacing w:before="62"/>
              <w:ind w:left="275"/>
              <w:jc w:val="left"/>
              <w:rPr>
                <w:sz w:val="21"/>
              </w:rPr>
            </w:pPr>
            <w:r>
              <w:rPr>
                <w:sz w:val="21"/>
              </w:rPr>
              <w:t>外购</w:t>
            </w:r>
          </w:p>
        </w:tc>
      </w:tr>
      <w:tr w14:paraId="6887A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0" w:type="dxa"/>
            <w:tcBorders>
              <w:left w:val="nil"/>
            </w:tcBorders>
          </w:tcPr>
          <w:p w14:paraId="19C9FAD4">
            <w:pPr>
              <w:pStyle w:val="17"/>
              <w:spacing w:before="77"/>
              <w:ind w:left="14"/>
              <w:rPr>
                <w:rFonts w:ascii="Times New Roman"/>
                <w:sz w:val="21"/>
              </w:rPr>
            </w:pPr>
            <w:r>
              <w:rPr>
                <w:rFonts w:ascii="Times New Roman"/>
                <w:w w:val="99"/>
                <w:sz w:val="21"/>
              </w:rPr>
              <w:t>6</w:t>
            </w:r>
          </w:p>
        </w:tc>
        <w:tc>
          <w:tcPr>
            <w:tcW w:w="1628" w:type="dxa"/>
          </w:tcPr>
          <w:p w14:paraId="7069E2FE">
            <w:pPr>
              <w:pStyle w:val="17"/>
              <w:spacing w:before="63"/>
              <w:ind w:left="56" w:right="50"/>
              <w:rPr>
                <w:sz w:val="21"/>
              </w:rPr>
            </w:pPr>
            <w:r>
              <w:rPr>
                <w:rFonts w:ascii="Times New Roman" w:eastAsia="Times New Roman"/>
                <w:sz w:val="21"/>
              </w:rPr>
              <w:t xml:space="preserve">PE </w:t>
            </w:r>
            <w:r>
              <w:rPr>
                <w:sz w:val="21"/>
              </w:rPr>
              <w:t>蜡</w:t>
            </w:r>
          </w:p>
        </w:tc>
        <w:tc>
          <w:tcPr>
            <w:tcW w:w="1129" w:type="dxa"/>
          </w:tcPr>
          <w:p w14:paraId="119D315E">
            <w:pPr>
              <w:pStyle w:val="17"/>
              <w:spacing w:before="77"/>
              <w:ind w:left="122" w:right="112"/>
              <w:rPr>
                <w:rFonts w:ascii="Times New Roman"/>
                <w:sz w:val="21"/>
              </w:rPr>
            </w:pPr>
            <w:r>
              <w:rPr>
                <w:rFonts w:ascii="Times New Roman"/>
                <w:sz w:val="21"/>
              </w:rPr>
              <w:t>2.5</w:t>
            </w:r>
          </w:p>
        </w:tc>
        <w:tc>
          <w:tcPr>
            <w:tcW w:w="1097" w:type="dxa"/>
          </w:tcPr>
          <w:p w14:paraId="677D0BA8">
            <w:pPr>
              <w:pStyle w:val="17"/>
              <w:spacing w:before="77"/>
              <w:ind w:left="318" w:right="307"/>
              <w:rPr>
                <w:rFonts w:ascii="Times New Roman"/>
                <w:sz w:val="21"/>
              </w:rPr>
            </w:pPr>
            <w:r>
              <w:rPr>
                <w:rFonts w:ascii="Times New Roman"/>
                <w:sz w:val="21"/>
              </w:rPr>
              <w:t>0.5</w:t>
            </w:r>
          </w:p>
        </w:tc>
        <w:tc>
          <w:tcPr>
            <w:tcW w:w="1645" w:type="dxa"/>
          </w:tcPr>
          <w:p w14:paraId="5B541932">
            <w:pPr>
              <w:pStyle w:val="17"/>
              <w:spacing w:before="63"/>
              <w:ind w:left="36" w:right="30"/>
              <w:rPr>
                <w:sz w:val="21"/>
              </w:rPr>
            </w:pPr>
            <w:r>
              <w:rPr>
                <w:sz w:val="21"/>
              </w:rPr>
              <w:t>粉状</w:t>
            </w:r>
          </w:p>
        </w:tc>
        <w:tc>
          <w:tcPr>
            <w:tcW w:w="1063" w:type="dxa"/>
          </w:tcPr>
          <w:p w14:paraId="3EDEE37F">
            <w:pPr>
              <w:pStyle w:val="17"/>
              <w:spacing w:before="63"/>
              <w:ind w:left="89" w:right="81"/>
              <w:rPr>
                <w:sz w:val="21"/>
              </w:rPr>
            </w:pPr>
            <w:r>
              <w:rPr>
                <w:sz w:val="21"/>
              </w:rPr>
              <w:t>辅料仓库</w:t>
            </w:r>
          </w:p>
        </w:tc>
        <w:tc>
          <w:tcPr>
            <w:tcW w:w="971" w:type="dxa"/>
            <w:tcBorders>
              <w:right w:val="nil"/>
            </w:tcBorders>
          </w:tcPr>
          <w:p w14:paraId="2F671D61">
            <w:pPr>
              <w:pStyle w:val="17"/>
              <w:spacing w:before="63"/>
              <w:ind w:left="275"/>
              <w:jc w:val="left"/>
              <w:rPr>
                <w:sz w:val="21"/>
              </w:rPr>
            </w:pPr>
            <w:r>
              <w:rPr>
                <w:sz w:val="21"/>
              </w:rPr>
              <w:t>外购</w:t>
            </w:r>
          </w:p>
        </w:tc>
      </w:tr>
      <w:tr w14:paraId="31953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70" w:type="dxa"/>
            <w:tcBorders>
              <w:left w:val="nil"/>
            </w:tcBorders>
          </w:tcPr>
          <w:p w14:paraId="422AA3A7">
            <w:pPr>
              <w:pStyle w:val="17"/>
              <w:spacing w:before="78"/>
              <w:ind w:left="14"/>
              <w:rPr>
                <w:rFonts w:ascii="Times New Roman"/>
                <w:sz w:val="21"/>
              </w:rPr>
            </w:pPr>
            <w:r>
              <w:rPr>
                <w:rFonts w:ascii="Times New Roman"/>
                <w:w w:val="99"/>
                <w:sz w:val="21"/>
              </w:rPr>
              <w:t>7</w:t>
            </w:r>
          </w:p>
        </w:tc>
        <w:tc>
          <w:tcPr>
            <w:tcW w:w="1628" w:type="dxa"/>
          </w:tcPr>
          <w:p w14:paraId="366144FD">
            <w:pPr>
              <w:pStyle w:val="17"/>
              <w:spacing w:before="64"/>
              <w:ind w:left="58" w:right="50"/>
              <w:rPr>
                <w:sz w:val="21"/>
              </w:rPr>
            </w:pPr>
            <w:r>
              <w:rPr>
                <w:sz w:val="21"/>
              </w:rPr>
              <w:t>调节剂</w:t>
            </w:r>
          </w:p>
        </w:tc>
        <w:tc>
          <w:tcPr>
            <w:tcW w:w="1129" w:type="dxa"/>
          </w:tcPr>
          <w:p w14:paraId="43943423">
            <w:pPr>
              <w:pStyle w:val="17"/>
              <w:spacing w:before="78"/>
              <w:ind w:left="122" w:right="112"/>
              <w:rPr>
                <w:rFonts w:ascii="Times New Roman"/>
                <w:sz w:val="21"/>
              </w:rPr>
            </w:pPr>
            <w:r>
              <w:rPr>
                <w:rFonts w:ascii="Times New Roman"/>
                <w:sz w:val="21"/>
              </w:rPr>
              <w:t>2.5</w:t>
            </w:r>
          </w:p>
        </w:tc>
        <w:tc>
          <w:tcPr>
            <w:tcW w:w="1097" w:type="dxa"/>
          </w:tcPr>
          <w:p w14:paraId="55396475">
            <w:pPr>
              <w:pStyle w:val="17"/>
              <w:spacing w:before="78"/>
              <w:ind w:left="318" w:right="307"/>
              <w:rPr>
                <w:rFonts w:ascii="Times New Roman"/>
                <w:sz w:val="21"/>
              </w:rPr>
            </w:pPr>
            <w:r>
              <w:rPr>
                <w:rFonts w:ascii="Times New Roman"/>
                <w:sz w:val="21"/>
              </w:rPr>
              <w:t>0.5</w:t>
            </w:r>
          </w:p>
        </w:tc>
        <w:tc>
          <w:tcPr>
            <w:tcW w:w="1645" w:type="dxa"/>
          </w:tcPr>
          <w:p w14:paraId="08A394FA">
            <w:pPr>
              <w:pStyle w:val="17"/>
              <w:spacing w:before="64"/>
              <w:ind w:left="36" w:right="30"/>
              <w:rPr>
                <w:sz w:val="21"/>
              </w:rPr>
            </w:pPr>
            <w:r>
              <w:rPr>
                <w:sz w:val="21"/>
              </w:rPr>
              <w:t>粉状</w:t>
            </w:r>
          </w:p>
        </w:tc>
        <w:tc>
          <w:tcPr>
            <w:tcW w:w="1063" w:type="dxa"/>
          </w:tcPr>
          <w:p w14:paraId="0367F57B">
            <w:pPr>
              <w:pStyle w:val="17"/>
              <w:spacing w:before="64"/>
              <w:ind w:left="89" w:right="81"/>
              <w:rPr>
                <w:sz w:val="21"/>
              </w:rPr>
            </w:pPr>
            <w:r>
              <w:rPr>
                <w:sz w:val="21"/>
              </w:rPr>
              <w:t>辅料仓库</w:t>
            </w:r>
          </w:p>
        </w:tc>
        <w:tc>
          <w:tcPr>
            <w:tcW w:w="971" w:type="dxa"/>
            <w:tcBorders>
              <w:right w:val="nil"/>
            </w:tcBorders>
          </w:tcPr>
          <w:p w14:paraId="7B6F1396">
            <w:pPr>
              <w:pStyle w:val="17"/>
              <w:spacing w:before="64"/>
              <w:ind w:left="275"/>
              <w:jc w:val="left"/>
              <w:rPr>
                <w:sz w:val="21"/>
              </w:rPr>
            </w:pPr>
            <w:r>
              <w:rPr>
                <w:sz w:val="21"/>
              </w:rPr>
              <w:t>外购</w:t>
            </w:r>
          </w:p>
        </w:tc>
      </w:tr>
      <w:tr w14:paraId="20532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70" w:type="dxa"/>
            <w:tcBorders>
              <w:left w:val="nil"/>
            </w:tcBorders>
          </w:tcPr>
          <w:p w14:paraId="5E6139F1">
            <w:pPr>
              <w:pStyle w:val="17"/>
              <w:spacing w:before="1"/>
              <w:jc w:val="left"/>
              <w:rPr>
                <w:b/>
                <w:sz w:val="27"/>
              </w:rPr>
            </w:pPr>
          </w:p>
          <w:p w14:paraId="6D258B2C">
            <w:pPr>
              <w:pStyle w:val="17"/>
              <w:spacing w:before="1"/>
              <w:ind w:left="14"/>
              <w:rPr>
                <w:rFonts w:ascii="Times New Roman"/>
                <w:sz w:val="21"/>
              </w:rPr>
            </w:pPr>
            <w:r>
              <w:rPr>
                <w:rFonts w:ascii="Times New Roman"/>
                <w:w w:val="99"/>
                <w:sz w:val="21"/>
              </w:rPr>
              <w:t>8</w:t>
            </w:r>
          </w:p>
        </w:tc>
        <w:tc>
          <w:tcPr>
            <w:tcW w:w="1628" w:type="dxa"/>
          </w:tcPr>
          <w:p w14:paraId="3BD28C0E">
            <w:pPr>
              <w:pStyle w:val="17"/>
              <w:jc w:val="left"/>
              <w:rPr>
                <w:b/>
                <w:sz w:val="26"/>
              </w:rPr>
            </w:pPr>
          </w:p>
          <w:p w14:paraId="1C9AB73B">
            <w:pPr>
              <w:pStyle w:val="17"/>
              <w:ind w:left="58" w:right="50"/>
              <w:rPr>
                <w:sz w:val="21"/>
              </w:rPr>
            </w:pPr>
            <w:r>
              <w:rPr>
                <w:sz w:val="21"/>
              </w:rPr>
              <w:t>活性炭</w:t>
            </w:r>
          </w:p>
        </w:tc>
        <w:tc>
          <w:tcPr>
            <w:tcW w:w="1129" w:type="dxa"/>
          </w:tcPr>
          <w:p w14:paraId="39D322DF">
            <w:pPr>
              <w:pStyle w:val="17"/>
              <w:spacing w:before="1"/>
              <w:jc w:val="left"/>
              <w:rPr>
                <w:b/>
                <w:sz w:val="27"/>
              </w:rPr>
            </w:pPr>
          </w:p>
          <w:p w14:paraId="440AF543">
            <w:pPr>
              <w:pStyle w:val="17"/>
              <w:spacing w:before="1"/>
              <w:ind w:left="122" w:right="112"/>
              <w:rPr>
                <w:rFonts w:ascii="Times New Roman"/>
                <w:sz w:val="21"/>
              </w:rPr>
            </w:pPr>
            <w:r>
              <w:rPr>
                <w:rFonts w:ascii="Times New Roman"/>
                <w:sz w:val="21"/>
              </w:rPr>
              <w:t>48.0</w:t>
            </w:r>
          </w:p>
        </w:tc>
        <w:tc>
          <w:tcPr>
            <w:tcW w:w="1097" w:type="dxa"/>
          </w:tcPr>
          <w:p w14:paraId="06789C31">
            <w:pPr>
              <w:pStyle w:val="17"/>
              <w:spacing w:before="21" w:line="278" w:lineRule="auto"/>
              <w:ind w:left="127" w:right="93" w:hanging="27"/>
              <w:jc w:val="left"/>
              <w:rPr>
                <w:sz w:val="21"/>
              </w:rPr>
            </w:pPr>
            <w:r>
              <w:rPr>
                <w:rFonts w:ascii="Times New Roman" w:eastAsia="Times New Roman"/>
                <w:w w:val="95"/>
                <w:sz w:val="21"/>
              </w:rPr>
              <w:t>1.6</w:t>
            </w:r>
            <w:r>
              <w:rPr>
                <w:w w:val="95"/>
                <w:sz w:val="21"/>
              </w:rPr>
              <w:t>（二级</w:t>
            </w:r>
            <w:r>
              <w:rPr>
                <w:sz w:val="21"/>
              </w:rPr>
              <w:t>活性炭吸</w:t>
            </w:r>
          </w:p>
          <w:p w14:paraId="7C0D0FA4">
            <w:pPr>
              <w:pStyle w:val="17"/>
              <w:spacing w:line="269" w:lineRule="exact"/>
              <w:ind w:left="127"/>
              <w:jc w:val="left"/>
              <w:rPr>
                <w:sz w:val="21"/>
              </w:rPr>
            </w:pPr>
            <w:r>
              <w:rPr>
                <w:w w:val="95"/>
                <w:sz w:val="21"/>
              </w:rPr>
              <w:t>附箱内）</w:t>
            </w:r>
          </w:p>
        </w:tc>
        <w:tc>
          <w:tcPr>
            <w:tcW w:w="1645" w:type="dxa"/>
          </w:tcPr>
          <w:p w14:paraId="343E0104">
            <w:pPr>
              <w:pStyle w:val="17"/>
              <w:spacing w:before="21"/>
              <w:ind w:left="36" w:right="30"/>
              <w:rPr>
                <w:sz w:val="21"/>
              </w:rPr>
            </w:pPr>
            <w:r>
              <w:rPr>
                <w:w w:val="95"/>
                <w:sz w:val="21"/>
              </w:rPr>
              <w:t>颗粒状活性炭</w:t>
            </w:r>
          </w:p>
          <w:p w14:paraId="06867B89">
            <w:pPr>
              <w:pStyle w:val="17"/>
              <w:spacing w:before="43"/>
              <w:ind w:left="36" w:right="30"/>
              <w:rPr>
                <w:sz w:val="21"/>
              </w:rPr>
            </w:pPr>
            <w:r>
              <w:rPr>
                <w:w w:val="95"/>
                <w:sz w:val="21"/>
              </w:rPr>
              <w:t>（碘值不低于</w:t>
            </w:r>
          </w:p>
          <w:p w14:paraId="6C46AF41">
            <w:pPr>
              <w:pStyle w:val="17"/>
              <w:spacing w:before="43"/>
              <w:ind w:left="36" w:right="30"/>
              <w:rPr>
                <w:sz w:val="21"/>
              </w:rPr>
            </w:pPr>
            <w:r>
              <w:rPr>
                <w:rFonts w:ascii="Times New Roman" w:eastAsia="Times New Roman"/>
                <w:sz w:val="21"/>
              </w:rPr>
              <w:t>800mg</w:t>
            </w:r>
            <w:r>
              <w:rPr>
                <w:sz w:val="21"/>
              </w:rPr>
              <w:t>）</w:t>
            </w:r>
          </w:p>
        </w:tc>
        <w:tc>
          <w:tcPr>
            <w:tcW w:w="1063" w:type="dxa"/>
          </w:tcPr>
          <w:p w14:paraId="26E9C43C">
            <w:pPr>
              <w:pStyle w:val="17"/>
              <w:spacing w:before="21" w:line="278" w:lineRule="auto"/>
              <w:ind w:left="111" w:right="101"/>
              <w:rPr>
                <w:sz w:val="21"/>
              </w:rPr>
            </w:pPr>
            <w:r>
              <w:rPr>
                <w:w w:val="95"/>
                <w:sz w:val="21"/>
              </w:rPr>
              <w:t>二级活性炭吸附箱</w:t>
            </w:r>
          </w:p>
          <w:p w14:paraId="40446660">
            <w:pPr>
              <w:pStyle w:val="17"/>
              <w:spacing w:line="269" w:lineRule="exact"/>
              <w:ind w:left="8"/>
              <w:rPr>
                <w:sz w:val="21"/>
              </w:rPr>
            </w:pPr>
            <w:r>
              <w:rPr>
                <w:w w:val="99"/>
                <w:sz w:val="21"/>
              </w:rPr>
              <w:t>内</w:t>
            </w:r>
          </w:p>
        </w:tc>
        <w:tc>
          <w:tcPr>
            <w:tcW w:w="971" w:type="dxa"/>
            <w:tcBorders>
              <w:right w:val="nil"/>
            </w:tcBorders>
          </w:tcPr>
          <w:p w14:paraId="654AE04D">
            <w:pPr>
              <w:pStyle w:val="17"/>
              <w:jc w:val="left"/>
              <w:rPr>
                <w:b/>
                <w:sz w:val="26"/>
              </w:rPr>
            </w:pPr>
          </w:p>
          <w:p w14:paraId="592ECCFB">
            <w:pPr>
              <w:pStyle w:val="17"/>
              <w:ind w:left="275"/>
              <w:jc w:val="left"/>
              <w:rPr>
                <w:sz w:val="21"/>
              </w:rPr>
            </w:pPr>
            <w:r>
              <w:rPr>
                <w:sz w:val="21"/>
              </w:rPr>
              <w:t>外购</w:t>
            </w:r>
          </w:p>
        </w:tc>
      </w:tr>
      <w:tr w14:paraId="18173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0" w:type="dxa"/>
            <w:tcBorders>
              <w:left w:val="nil"/>
            </w:tcBorders>
          </w:tcPr>
          <w:p w14:paraId="4E2052B7">
            <w:pPr>
              <w:pStyle w:val="17"/>
              <w:spacing w:before="191"/>
              <w:ind w:left="14"/>
              <w:rPr>
                <w:rFonts w:ascii="Times New Roman"/>
                <w:sz w:val="21"/>
              </w:rPr>
            </w:pPr>
            <w:r>
              <w:rPr>
                <w:rFonts w:ascii="Times New Roman"/>
                <w:w w:val="99"/>
                <w:sz w:val="21"/>
              </w:rPr>
              <w:t>9</w:t>
            </w:r>
          </w:p>
        </w:tc>
        <w:tc>
          <w:tcPr>
            <w:tcW w:w="1628" w:type="dxa"/>
          </w:tcPr>
          <w:p w14:paraId="19089E1F">
            <w:pPr>
              <w:pStyle w:val="17"/>
              <w:spacing w:before="177"/>
              <w:ind w:left="6"/>
              <w:rPr>
                <w:sz w:val="21"/>
              </w:rPr>
            </w:pPr>
            <w:r>
              <w:rPr>
                <w:w w:val="99"/>
                <w:sz w:val="21"/>
              </w:rPr>
              <w:t>水</w:t>
            </w:r>
          </w:p>
        </w:tc>
        <w:tc>
          <w:tcPr>
            <w:tcW w:w="1129" w:type="dxa"/>
          </w:tcPr>
          <w:p w14:paraId="086FC76D">
            <w:pPr>
              <w:pStyle w:val="17"/>
              <w:spacing w:before="191"/>
              <w:ind w:left="122" w:right="112"/>
              <w:rPr>
                <w:rFonts w:ascii="Times New Roman"/>
                <w:sz w:val="21"/>
              </w:rPr>
            </w:pPr>
            <w:r>
              <w:rPr>
                <w:rFonts w:ascii="Times New Roman"/>
                <w:sz w:val="21"/>
              </w:rPr>
              <w:t>1480</w:t>
            </w:r>
          </w:p>
        </w:tc>
        <w:tc>
          <w:tcPr>
            <w:tcW w:w="1097" w:type="dxa"/>
          </w:tcPr>
          <w:p w14:paraId="066D44F7">
            <w:pPr>
              <w:pStyle w:val="17"/>
              <w:spacing w:before="191"/>
              <w:ind w:left="8"/>
              <w:rPr>
                <w:rFonts w:ascii="Times New Roman"/>
                <w:sz w:val="21"/>
              </w:rPr>
            </w:pPr>
            <w:r>
              <w:rPr>
                <w:rFonts w:ascii="Times New Roman"/>
                <w:w w:val="99"/>
                <w:sz w:val="21"/>
              </w:rPr>
              <w:t>/</w:t>
            </w:r>
          </w:p>
        </w:tc>
        <w:tc>
          <w:tcPr>
            <w:tcW w:w="1645" w:type="dxa"/>
          </w:tcPr>
          <w:p w14:paraId="5BB556B7">
            <w:pPr>
              <w:pStyle w:val="17"/>
              <w:spacing w:before="191"/>
              <w:ind w:left="7"/>
              <w:rPr>
                <w:rFonts w:ascii="Times New Roman"/>
                <w:sz w:val="21"/>
              </w:rPr>
            </w:pPr>
            <w:r>
              <w:rPr>
                <w:rFonts w:ascii="Times New Roman"/>
                <w:w w:val="99"/>
                <w:sz w:val="21"/>
              </w:rPr>
              <w:t>/</w:t>
            </w:r>
          </w:p>
        </w:tc>
        <w:tc>
          <w:tcPr>
            <w:tcW w:w="1063" w:type="dxa"/>
          </w:tcPr>
          <w:p w14:paraId="2CB51758">
            <w:pPr>
              <w:pStyle w:val="17"/>
              <w:spacing w:before="177"/>
              <w:ind w:left="87" w:right="82"/>
              <w:rPr>
                <w:sz w:val="21"/>
              </w:rPr>
            </w:pPr>
            <w:r>
              <w:rPr>
                <w:sz w:val="21"/>
              </w:rPr>
              <w:t>不储存</w:t>
            </w:r>
          </w:p>
        </w:tc>
        <w:tc>
          <w:tcPr>
            <w:tcW w:w="971" w:type="dxa"/>
            <w:tcBorders>
              <w:right w:val="nil"/>
            </w:tcBorders>
          </w:tcPr>
          <w:p w14:paraId="57E23DCA">
            <w:pPr>
              <w:pStyle w:val="17"/>
              <w:spacing w:before="21"/>
              <w:ind w:left="43" w:right="43"/>
              <w:rPr>
                <w:sz w:val="21"/>
              </w:rPr>
            </w:pPr>
            <w:r>
              <w:rPr>
                <w:sz w:val="21"/>
              </w:rPr>
              <w:t>自来水管</w:t>
            </w:r>
          </w:p>
          <w:p w14:paraId="1056E473">
            <w:pPr>
              <w:pStyle w:val="17"/>
              <w:spacing w:before="43"/>
              <w:ind w:left="43" w:right="41"/>
              <w:rPr>
                <w:sz w:val="21"/>
              </w:rPr>
            </w:pPr>
            <w:r>
              <w:rPr>
                <w:sz w:val="21"/>
              </w:rPr>
              <w:t>网供应</w:t>
            </w:r>
          </w:p>
        </w:tc>
      </w:tr>
      <w:tr w14:paraId="60D99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70" w:type="dxa"/>
            <w:tcBorders>
              <w:left w:val="nil"/>
            </w:tcBorders>
          </w:tcPr>
          <w:p w14:paraId="56F33CD1">
            <w:pPr>
              <w:pStyle w:val="17"/>
              <w:spacing w:before="191"/>
              <w:ind w:left="207" w:right="193"/>
              <w:rPr>
                <w:rFonts w:ascii="Times New Roman"/>
                <w:sz w:val="21"/>
              </w:rPr>
            </w:pPr>
            <w:r>
              <w:rPr>
                <w:rFonts w:ascii="Times New Roman"/>
                <w:sz w:val="21"/>
              </w:rPr>
              <w:t>10</w:t>
            </w:r>
          </w:p>
        </w:tc>
        <w:tc>
          <w:tcPr>
            <w:tcW w:w="1628" w:type="dxa"/>
          </w:tcPr>
          <w:p w14:paraId="2F4C754C">
            <w:pPr>
              <w:pStyle w:val="17"/>
              <w:spacing w:before="177"/>
              <w:ind w:left="58" w:right="50"/>
              <w:rPr>
                <w:sz w:val="21"/>
              </w:rPr>
            </w:pPr>
            <w:r>
              <w:rPr>
                <w:sz w:val="21"/>
              </w:rPr>
              <w:t>电（万千瓦时）</w:t>
            </w:r>
          </w:p>
        </w:tc>
        <w:tc>
          <w:tcPr>
            <w:tcW w:w="1129" w:type="dxa"/>
          </w:tcPr>
          <w:p w14:paraId="79419C4D">
            <w:pPr>
              <w:pStyle w:val="17"/>
              <w:spacing w:before="191"/>
              <w:ind w:left="122" w:right="112"/>
              <w:rPr>
                <w:rFonts w:ascii="Times New Roman"/>
                <w:sz w:val="21"/>
              </w:rPr>
            </w:pPr>
            <w:r>
              <w:rPr>
                <w:rFonts w:ascii="Times New Roman"/>
                <w:sz w:val="21"/>
              </w:rPr>
              <w:t>60.0</w:t>
            </w:r>
          </w:p>
        </w:tc>
        <w:tc>
          <w:tcPr>
            <w:tcW w:w="1097" w:type="dxa"/>
          </w:tcPr>
          <w:p w14:paraId="719A1F63">
            <w:pPr>
              <w:pStyle w:val="17"/>
              <w:spacing w:before="191"/>
              <w:ind w:left="8"/>
              <w:rPr>
                <w:rFonts w:ascii="Times New Roman"/>
                <w:sz w:val="21"/>
              </w:rPr>
            </w:pPr>
            <w:r>
              <w:rPr>
                <w:rFonts w:ascii="Times New Roman"/>
                <w:w w:val="99"/>
                <w:sz w:val="21"/>
              </w:rPr>
              <w:t>/</w:t>
            </w:r>
          </w:p>
        </w:tc>
        <w:tc>
          <w:tcPr>
            <w:tcW w:w="1645" w:type="dxa"/>
          </w:tcPr>
          <w:p w14:paraId="4FD12FD1">
            <w:pPr>
              <w:pStyle w:val="17"/>
              <w:spacing w:before="191"/>
              <w:ind w:left="7"/>
              <w:rPr>
                <w:rFonts w:ascii="Times New Roman"/>
                <w:sz w:val="21"/>
              </w:rPr>
            </w:pPr>
            <w:r>
              <w:rPr>
                <w:rFonts w:ascii="Times New Roman"/>
                <w:w w:val="99"/>
                <w:sz w:val="21"/>
              </w:rPr>
              <w:t>/</w:t>
            </w:r>
          </w:p>
        </w:tc>
        <w:tc>
          <w:tcPr>
            <w:tcW w:w="1063" w:type="dxa"/>
          </w:tcPr>
          <w:p w14:paraId="3A45771B">
            <w:pPr>
              <w:pStyle w:val="17"/>
              <w:spacing w:before="177"/>
              <w:ind w:left="87" w:right="82"/>
              <w:rPr>
                <w:sz w:val="21"/>
              </w:rPr>
            </w:pPr>
            <w:r>
              <w:rPr>
                <w:sz w:val="21"/>
              </w:rPr>
              <w:t>不储存</w:t>
            </w:r>
          </w:p>
        </w:tc>
        <w:tc>
          <w:tcPr>
            <w:tcW w:w="971" w:type="dxa"/>
            <w:tcBorders>
              <w:right w:val="nil"/>
            </w:tcBorders>
          </w:tcPr>
          <w:p w14:paraId="1A853CD3">
            <w:pPr>
              <w:pStyle w:val="17"/>
              <w:spacing w:before="21"/>
              <w:ind w:left="43" w:right="43"/>
              <w:rPr>
                <w:sz w:val="21"/>
              </w:rPr>
            </w:pPr>
            <w:r>
              <w:rPr>
                <w:sz w:val="21"/>
              </w:rPr>
              <w:t>园区电网</w:t>
            </w:r>
          </w:p>
          <w:p w14:paraId="29F51D82">
            <w:pPr>
              <w:pStyle w:val="17"/>
              <w:spacing w:before="43"/>
              <w:ind w:left="43" w:right="41"/>
              <w:rPr>
                <w:sz w:val="21"/>
              </w:rPr>
            </w:pPr>
            <w:r>
              <w:rPr>
                <w:sz w:val="21"/>
              </w:rPr>
              <w:t>供应</w:t>
            </w:r>
          </w:p>
        </w:tc>
      </w:tr>
    </w:tbl>
    <w:p w14:paraId="0C594D95">
      <w:pPr>
        <w:pStyle w:val="10"/>
        <w:spacing w:before="82"/>
        <w:ind w:left="700"/>
      </w:pPr>
      <w:r>
        <w:t>原辅材料限制条件：</w:t>
      </w:r>
    </w:p>
    <w:p w14:paraId="502DCCC6">
      <w:pPr>
        <w:pStyle w:val="10"/>
        <w:spacing w:before="161" w:line="364" w:lineRule="auto"/>
        <w:ind w:left="220" w:right="237" w:firstLine="480"/>
      </w:pPr>
      <w:r>
        <w:rPr>
          <w:spacing w:val="-8"/>
        </w:rPr>
        <w:t xml:space="preserve">①项目使用的废 </w:t>
      </w:r>
      <w:r>
        <w:rPr>
          <w:rFonts w:ascii="Times New Roman" w:hAnsi="Times New Roman" w:eastAsia="Times New Roman"/>
        </w:rPr>
        <w:t xml:space="preserve">PE </w:t>
      </w:r>
      <w:r>
        <w:rPr>
          <w:spacing w:val="-11"/>
        </w:rPr>
        <w:t xml:space="preserve">塑料，必须为合法合规企业已破碎清洗后的废 </w:t>
      </w:r>
      <w:r>
        <w:rPr>
          <w:rFonts w:ascii="Times New Roman" w:hAnsi="Times New Roman" w:eastAsia="Times New Roman"/>
        </w:rPr>
        <w:t xml:space="preserve">PE </w:t>
      </w:r>
      <w:r>
        <w:t xml:space="preserve">塑料， </w:t>
      </w:r>
      <w:r>
        <w:rPr>
          <w:spacing w:val="-5"/>
        </w:rPr>
        <w:t xml:space="preserve">不得收购未破碎清洗后的废 </w:t>
      </w:r>
      <w:r>
        <w:rPr>
          <w:rFonts w:ascii="Times New Roman" w:hAnsi="Times New Roman" w:eastAsia="Times New Roman"/>
        </w:rPr>
        <w:t xml:space="preserve">PE </w:t>
      </w:r>
      <w:r>
        <w:rPr>
          <w:spacing w:val="-2"/>
        </w:rPr>
        <w:t>塑料在项目现场自行破碎清洗，不得使用其他种类的废塑料；</w:t>
      </w:r>
    </w:p>
    <w:p w14:paraId="48BC4971">
      <w:pPr>
        <w:pStyle w:val="10"/>
        <w:spacing w:before="2" w:line="364" w:lineRule="auto"/>
        <w:ind w:left="220" w:right="357" w:firstLine="480"/>
        <w:jc w:val="both"/>
      </w:pPr>
      <w:r>
        <w:rPr>
          <w:spacing w:val="-6"/>
        </w:rPr>
        <w:t>②项目不得使用进口废塑料；不使用沾染重金属的废旧塑料；不使用废旧塑</w:t>
      </w:r>
      <w:r>
        <w:rPr>
          <w:spacing w:val="-12"/>
        </w:rPr>
        <w:t>料类危险废物作为原料，包括被危险化学品、农药等污染的废旧塑料，废弃的一次性医疗塑料制品，盛装农药、废染料、强酸、强碱的废料等。</w:t>
      </w:r>
    </w:p>
    <w:p w14:paraId="65CE3EA9">
      <w:pPr>
        <w:pStyle w:val="10"/>
        <w:spacing w:before="2" w:line="364" w:lineRule="auto"/>
        <w:ind w:left="220" w:right="357" w:firstLine="480"/>
      </w:pPr>
      <w:r>
        <w:t>③本项目再生塑料制品或材料在生产过程不得使用氟氯化碳类化合物做发泡剂；制造人体接触的塑料制品或材料时，不得添加有毒有害的化学助剂。</w:t>
      </w:r>
    </w:p>
    <w:p w14:paraId="61968A97">
      <w:pPr>
        <w:spacing w:after="0" w:line="364" w:lineRule="auto"/>
        <w:sectPr>
          <w:pgSz w:w="11910" w:h="16840"/>
          <w:pgMar w:top="1420" w:right="1440" w:bottom="1220" w:left="1580" w:header="0" w:footer="1024" w:gutter="0"/>
          <w:cols w:space="720" w:num="1"/>
        </w:sectPr>
      </w:pPr>
    </w:p>
    <w:p w14:paraId="1FD718CB">
      <w:pPr>
        <w:pStyle w:val="10"/>
        <w:spacing w:before="42"/>
        <w:ind w:left="700"/>
      </w:pPr>
      <w:r>
        <w:t>主要原辅材料理化性质如下所示：</w:t>
      </w:r>
    </w:p>
    <w:p w14:paraId="76A2F240">
      <w:pPr>
        <w:pStyle w:val="10"/>
        <w:spacing w:before="160" w:line="364" w:lineRule="auto"/>
        <w:ind w:left="220" w:right="237" w:firstLine="480"/>
      </w:pPr>
      <w:r>
        <w:rPr>
          <w:rFonts w:ascii="Times New Roman" w:hAnsi="Times New Roman" w:eastAsia="Times New Roman"/>
          <w:b/>
        </w:rPr>
        <w:t xml:space="preserve">PE </w:t>
      </w:r>
      <w:r>
        <w:rPr>
          <w:b/>
          <w:spacing w:val="-1"/>
        </w:rPr>
        <w:t>塑料：</w:t>
      </w:r>
      <w:r>
        <w:rPr>
          <w:spacing w:val="-2"/>
        </w:rPr>
        <w:t>聚乙烯</w:t>
      </w:r>
      <w:r>
        <w:t>（</w:t>
      </w:r>
      <w:r>
        <w:rPr>
          <w:rFonts w:ascii="Times New Roman" w:hAnsi="Times New Roman" w:eastAsia="Times New Roman"/>
        </w:rPr>
        <w:t>Polyethylene</w:t>
      </w:r>
      <w:r>
        <w:rPr>
          <w:rFonts w:ascii="Times New Roman" w:hAnsi="Times New Roman" w:eastAsia="Times New Roman"/>
          <w:spacing w:val="57"/>
        </w:rPr>
        <w:t xml:space="preserve"> </w:t>
      </w:r>
      <w:r>
        <w:rPr>
          <w:spacing w:val="-17"/>
        </w:rPr>
        <w:t xml:space="preserve">，简称 </w:t>
      </w:r>
      <w:r>
        <w:rPr>
          <w:rFonts w:ascii="Times New Roman" w:hAnsi="Times New Roman" w:eastAsia="Times New Roman"/>
          <w:spacing w:val="-3"/>
        </w:rPr>
        <w:t>PE</w:t>
      </w:r>
      <w:r>
        <w:rPr>
          <w:spacing w:val="-3"/>
        </w:rPr>
        <w:t>）</w:t>
      </w:r>
      <w:r>
        <w:t>是乙烯单体经聚合反应制得的</w:t>
      </w:r>
      <w:r>
        <w:rPr>
          <w:spacing w:val="-3"/>
        </w:rPr>
        <w:t xml:space="preserve">一种热塑性树脂。在工业上，也包括乙烯与少量 </w:t>
      </w:r>
      <w:r>
        <w:rPr>
          <w:rFonts w:ascii="Times New Roman" w:hAnsi="Times New Roman" w:eastAsia="Times New Roman"/>
        </w:rPr>
        <w:t>a-</w:t>
      </w:r>
      <w:r>
        <w:t>烯烃的共聚物。聚乙烯无臭， 无毒，手感似蜡，具有优良的耐低温性能（最低使用温度可达</w:t>
      </w:r>
      <w:r>
        <w:rPr>
          <w:rFonts w:ascii="Times New Roman" w:hAnsi="Times New Roman" w:eastAsia="Times New Roman"/>
        </w:rPr>
        <w:t>-100~-70</w:t>
      </w:r>
      <w:r>
        <w:t>°</w:t>
      </w:r>
      <w:r>
        <w:rPr>
          <w:rFonts w:ascii="Times New Roman" w:hAnsi="Times New Roman" w:eastAsia="Times New Roman"/>
        </w:rPr>
        <w:t>C</w:t>
      </w:r>
      <w:r>
        <w:t>）。</w:t>
      </w:r>
      <w:r>
        <w:rPr>
          <w:spacing w:val="-8"/>
        </w:rPr>
        <w:t>化学稳定性好，因聚合物分子内通过碳</w:t>
      </w:r>
      <w:r>
        <w:rPr>
          <w:rFonts w:ascii="Times New Roman" w:hAnsi="Times New Roman" w:eastAsia="Times New Roman"/>
        </w:rPr>
        <w:t>-</w:t>
      </w:r>
      <w:r>
        <w:rPr>
          <w:spacing w:val="-12"/>
        </w:rPr>
        <w:t>碳单键相连，能耐大多数酸碱的侵蚀</w:t>
      </w:r>
      <w:r>
        <w:t>（不耐具有氧化性质的酸</w:t>
      </w:r>
      <w:r>
        <w:rPr>
          <w:spacing w:val="-51"/>
        </w:rPr>
        <w:t>）</w:t>
      </w:r>
      <w:r>
        <w:rPr>
          <w:spacing w:val="-17"/>
        </w:rPr>
        <w:t xml:space="preserve">。常温下不溶于一般溶剂，吸水性小，电绝缘性优良。 </w:t>
      </w:r>
      <w:r>
        <w:rPr>
          <w:rFonts w:ascii="Times New Roman" w:hAnsi="Times New Roman" w:eastAsia="Times New Roman"/>
        </w:rPr>
        <w:t xml:space="preserve">[1] </w:t>
      </w:r>
      <w:r>
        <w:rPr>
          <w:spacing w:val="-4"/>
        </w:rPr>
        <w:t>聚乙烯对于环境应力</w:t>
      </w:r>
      <w:r>
        <w:t>（化学与机械作用</w:t>
      </w:r>
      <w:r>
        <w:rPr>
          <w:spacing w:val="-32"/>
        </w:rPr>
        <w:t>）</w:t>
      </w:r>
      <w:r>
        <w:rPr>
          <w:spacing w:val="-6"/>
        </w:rPr>
        <w:t>是很敏感的，可用一般热塑性塑料的成</w:t>
      </w:r>
      <w:r>
        <w:rPr>
          <w:spacing w:val="-16"/>
        </w:rPr>
        <w:t>型方法加工。聚乙烯用途十分广泛，主要用来制造薄膜、包装材料、容器、管道、单丝、电线电缆、日用品等，并可作为电视、雷达等的高频绝缘材料。</w:t>
      </w:r>
    </w:p>
    <w:p w14:paraId="32CF33EB">
      <w:pPr>
        <w:pStyle w:val="10"/>
        <w:spacing w:before="2" w:line="364" w:lineRule="auto"/>
        <w:ind w:left="220" w:right="357" w:firstLine="480"/>
        <w:jc w:val="both"/>
      </w:pPr>
      <w:r>
        <w:rPr>
          <w:b/>
          <w:spacing w:val="-6"/>
          <w:position w:val="2"/>
        </w:rPr>
        <w:t>钙粉：</w:t>
      </w:r>
      <w:r>
        <w:rPr>
          <w:spacing w:val="-10"/>
          <w:position w:val="2"/>
        </w:rPr>
        <w:t xml:space="preserve">俗称石灰石、石粉，是一种化合物，化学式为 </w:t>
      </w:r>
      <w:r>
        <w:rPr>
          <w:rFonts w:ascii="Times New Roman" w:eastAsia="Times New Roman"/>
          <w:spacing w:val="-4"/>
          <w:position w:val="2"/>
        </w:rPr>
        <w:t>CaCO</w:t>
      </w:r>
      <w:r>
        <w:rPr>
          <w:rFonts w:ascii="Times New Roman" w:eastAsia="Times New Roman"/>
          <w:spacing w:val="-4"/>
          <w:position w:val="2"/>
          <w:vertAlign w:val="subscript"/>
        </w:rPr>
        <w:t>3</w:t>
      </w:r>
      <w:r>
        <w:rPr>
          <w:spacing w:val="-5"/>
          <w:position w:val="2"/>
          <w:vertAlign w:val="baseline"/>
        </w:rPr>
        <w:t>，呈碱性，基本</w:t>
      </w:r>
      <w:r>
        <w:rPr>
          <w:spacing w:val="-11"/>
          <w:vertAlign w:val="baseline"/>
        </w:rPr>
        <w:t>上不溶于水，溶于酸。它是地球上常见物质，存在于霰石、方解石、白垩、石灰岩、大理石、石灰华等岩石内。亦为动物骨骼或外壳的主要成分。</w:t>
      </w:r>
    </w:p>
    <w:p w14:paraId="20489977">
      <w:pPr>
        <w:pStyle w:val="10"/>
        <w:spacing w:before="1" w:line="364" w:lineRule="auto"/>
        <w:ind w:left="220" w:right="321" w:firstLine="480"/>
        <w:jc w:val="both"/>
      </w:pPr>
      <w:r>
        <w:rPr>
          <w:b/>
        </w:rPr>
        <w:t>色母粒：</w:t>
      </w:r>
      <w:r>
        <w:t>是由树脂和大量颜料</w:t>
      </w:r>
      <w:r>
        <w:rPr>
          <w:rFonts w:ascii="Times New Roman" w:eastAsia="Times New Roman"/>
        </w:rPr>
        <w:t>(</w:t>
      </w:r>
      <w:r>
        <w:rPr>
          <w:spacing w:val="-32"/>
        </w:rPr>
        <w:t xml:space="preserve">达 </w:t>
      </w:r>
      <w:r>
        <w:rPr>
          <w:rFonts w:ascii="Times New Roman" w:eastAsia="Times New Roman"/>
        </w:rPr>
        <w:t>50%)</w:t>
      </w:r>
      <w:r>
        <w:t>或染料配制成高浓度颜色的混合物。</w:t>
      </w:r>
      <w:r>
        <w:rPr>
          <w:spacing w:val="-10"/>
        </w:rPr>
        <w:t>色母又名色种，是一种把超常量的颜料或染料均匀载附于树脂之中而制得的聚集体。加工时用少量色母料和未着色树脂掺混，就可达到设计颜料浓度的着色树脂或制品。</w:t>
      </w:r>
    </w:p>
    <w:p w14:paraId="115D8CB5">
      <w:pPr>
        <w:pStyle w:val="10"/>
        <w:spacing w:before="2" w:line="364" w:lineRule="auto"/>
        <w:ind w:left="220" w:right="357" w:firstLine="480"/>
        <w:jc w:val="both"/>
      </w:pPr>
      <w:r>
        <w:rPr>
          <w:b/>
        </w:rPr>
        <w:t>稳定剂：</w:t>
      </w:r>
      <w:r>
        <w:rPr>
          <w:rFonts w:ascii="Times New Roman" w:eastAsia="Times New Roman"/>
        </w:rPr>
        <w:t xml:space="preserve">PE </w:t>
      </w:r>
      <w:r>
        <w:t>加工中添加稳定剂可在不影响其加工与应用的同时，在一定程</w:t>
      </w:r>
      <w:r>
        <w:rPr>
          <w:spacing w:val="-5"/>
        </w:rPr>
        <w:t>度上起到延缓其热分解的作用。钙锌稳定剂由钙盐、锌盐、润滑剂、抗氧剂等为</w:t>
      </w:r>
      <w:r>
        <w:rPr>
          <w:spacing w:val="-9"/>
        </w:rPr>
        <w:t xml:space="preserve">主要组分采用特殊复合工艺合成，在 </w:t>
      </w:r>
      <w:r>
        <w:rPr>
          <w:rFonts w:ascii="Times New Roman" w:eastAsia="Times New Roman"/>
        </w:rPr>
        <w:t xml:space="preserve">PE </w:t>
      </w:r>
      <w:r>
        <w:rPr>
          <w:spacing w:val="-3"/>
        </w:rPr>
        <w:t>树脂制品中，加工性能好，热稳定作用</w:t>
      </w:r>
      <w:r>
        <w:rPr>
          <w:spacing w:val="-10"/>
        </w:rPr>
        <w:t>相当于铅盐类。它可以减慢反应，保持化学平衡，降低表面张力，防止光、热分解或氧化分解等作用。</w:t>
      </w:r>
    </w:p>
    <w:p w14:paraId="7BBFE257">
      <w:pPr>
        <w:pStyle w:val="10"/>
        <w:spacing w:before="3" w:line="364" w:lineRule="auto"/>
        <w:ind w:left="220" w:right="117" w:firstLine="480"/>
      </w:pPr>
      <w:r>
        <w:rPr>
          <w:rFonts w:ascii="Times New Roman" w:hAnsi="Times New Roman" w:eastAsia="Times New Roman"/>
          <w:b/>
        </w:rPr>
        <w:t xml:space="preserve">PE </w:t>
      </w:r>
      <w:r>
        <w:rPr>
          <w:b/>
        </w:rPr>
        <w:t>蜡：</w:t>
      </w:r>
      <w:r>
        <w:t>充当润滑剂的作用，在塑料加工中改善树脂的流动性和制品的脱模性</w:t>
      </w:r>
      <w:r>
        <w:rPr>
          <w:spacing w:val="-22"/>
        </w:rPr>
        <w:t xml:space="preserve">，防止在机内或模具内因黏着而产生缺陷。为白色粉末，软化点约在 </w:t>
      </w:r>
      <w:r>
        <w:rPr>
          <w:rFonts w:ascii="Times New Roman" w:hAnsi="Times New Roman" w:eastAsia="Times New Roman"/>
        </w:rPr>
        <w:t>100~117℃</w:t>
      </w:r>
      <w:r>
        <w:t xml:space="preserve">， </w:t>
      </w:r>
      <w:r>
        <w:rPr>
          <w:spacing w:val="-6"/>
        </w:rPr>
        <w:t>由于其相对分子质量较大，熔点高，挥发性低因而在较高温度和剪切速率下，也 显示明显润滑效果。</w:t>
      </w:r>
    </w:p>
    <w:p w14:paraId="760E40CA">
      <w:pPr>
        <w:pStyle w:val="10"/>
        <w:spacing w:before="2" w:line="364" w:lineRule="auto"/>
        <w:ind w:left="220" w:right="357" w:firstLine="480"/>
        <w:jc w:val="both"/>
      </w:pPr>
      <w:r>
        <w:rPr>
          <w:b/>
          <w:spacing w:val="-8"/>
        </w:rPr>
        <w:t>调节剂：</w:t>
      </w:r>
      <w:r>
        <w:rPr>
          <w:spacing w:val="-5"/>
        </w:rPr>
        <w:t>实际上也是丙烯酸酯类加工助剂，难溶于水和一般有机溶剂，能溶</w:t>
      </w:r>
      <w:r>
        <w:rPr>
          <w:spacing w:val="-11"/>
        </w:rPr>
        <w:t>于热乙醇中，稍溶于热水中，易溶于稀酸、稀碱水溶液。在酸碱中稳定。它具备</w:t>
      </w:r>
    </w:p>
    <w:p w14:paraId="511DAA97">
      <w:pPr>
        <w:pStyle w:val="10"/>
        <w:spacing w:before="2"/>
        <w:ind w:left="220"/>
      </w:pPr>
      <w:r>
        <w:rPr>
          <w:rFonts w:ascii="Times New Roman" w:eastAsia="Times New Roman"/>
        </w:rPr>
        <w:t xml:space="preserve">PE </w:t>
      </w:r>
      <w:r>
        <w:t xml:space="preserve">加工助剂的所有基本特点，与 </w:t>
      </w:r>
      <w:r>
        <w:rPr>
          <w:rFonts w:ascii="Times New Roman" w:eastAsia="Times New Roman"/>
        </w:rPr>
        <w:t xml:space="preserve">PE </w:t>
      </w:r>
      <w:r>
        <w:t>通用加工助剂的唯一不同就在于分子量，</w:t>
      </w:r>
    </w:p>
    <w:p w14:paraId="2FCA51E9">
      <w:pPr>
        <w:pStyle w:val="10"/>
        <w:spacing w:before="160"/>
        <w:ind w:left="220"/>
      </w:pPr>
      <w:r>
        <w:rPr>
          <w:rFonts w:ascii="Times New Roman" w:eastAsia="Times New Roman"/>
        </w:rPr>
        <w:t xml:space="preserve">PE </w:t>
      </w:r>
      <w:r>
        <w:t>调节剂的分子量要远高于通用型加工助剂。</w:t>
      </w:r>
      <w:r>
        <w:rPr>
          <w:rFonts w:ascii="Times New Roman" w:eastAsia="Times New Roman"/>
        </w:rPr>
        <w:t xml:space="preserve">PE </w:t>
      </w:r>
      <w:r>
        <w:t>调节剂是一种白色粉末，能明</w:t>
      </w:r>
    </w:p>
    <w:p w14:paraId="7F1D95C0">
      <w:pPr>
        <w:spacing w:after="0"/>
        <w:sectPr>
          <w:pgSz w:w="11910" w:h="16840"/>
          <w:pgMar w:top="1460" w:right="1440" w:bottom="1220" w:left="1580" w:header="0" w:footer="1024" w:gutter="0"/>
          <w:cols w:space="720" w:num="1"/>
        </w:sectPr>
      </w:pPr>
    </w:p>
    <w:p w14:paraId="2CB0163C">
      <w:pPr>
        <w:pStyle w:val="10"/>
        <w:spacing w:before="62" w:line="364" w:lineRule="auto"/>
        <w:ind w:left="220" w:right="292"/>
      </w:pPr>
      <w:r>
        <w:t xml:space="preserve">显地促进 </w:t>
      </w:r>
      <w:r>
        <w:rPr>
          <w:rFonts w:ascii="Times New Roman" w:eastAsia="Times New Roman"/>
        </w:rPr>
        <w:t xml:space="preserve">PE </w:t>
      </w:r>
      <w:r>
        <w:t xml:space="preserve">树脂的塑化过程，使 </w:t>
      </w:r>
      <w:r>
        <w:rPr>
          <w:rFonts w:ascii="Times New Roman" w:eastAsia="Times New Roman"/>
        </w:rPr>
        <w:t xml:space="preserve">PE </w:t>
      </w:r>
      <w:r>
        <w:t>塑化更均匀，从而提供制品表面光泽度和产品品质。</w:t>
      </w:r>
    </w:p>
    <w:p w14:paraId="2FF4577A">
      <w:pPr>
        <w:pStyle w:val="16"/>
        <w:numPr>
          <w:ilvl w:val="2"/>
          <w:numId w:val="8"/>
        </w:numPr>
        <w:tabs>
          <w:tab w:val="left" w:pos="849"/>
        </w:tabs>
        <w:spacing w:before="55" w:after="0" w:line="240" w:lineRule="auto"/>
        <w:ind w:left="848" w:right="0" w:hanging="628"/>
        <w:jc w:val="left"/>
        <w:rPr>
          <w:b/>
          <w:sz w:val="28"/>
        </w:rPr>
      </w:pPr>
      <w:r>
        <w:rPr>
          <w:b/>
          <w:sz w:val="28"/>
        </w:rPr>
        <w:t>项目主要生产设备</w:t>
      </w:r>
    </w:p>
    <w:p w14:paraId="55C8AC36">
      <w:pPr>
        <w:pStyle w:val="10"/>
        <w:spacing w:before="211" w:line="364" w:lineRule="auto"/>
        <w:ind w:left="700" w:right="3865"/>
      </w:pPr>
      <w:r>
        <w:t>本项目不得使用国家淘汰和限制的设备。项目主要生产设备见下表。</w:t>
      </w:r>
    </w:p>
    <w:p w14:paraId="5AAA4164">
      <w:pPr>
        <w:pStyle w:val="9"/>
        <w:ind w:left="2828"/>
      </w:pPr>
      <w:r>
        <w:rPr>
          <w:spacing w:val="-31"/>
        </w:rPr>
        <w:t xml:space="preserve">表 </w:t>
      </w:r>
      <w:r>
        <w:rPr>
          <w:rFonts w:ascii="Times New Roman" w:eastAsia="Times New Roman"/>
        </w:rPr>
        <w:t>2.1-3</w:t>
      </w:r>
      <w:r>
        <w:rPr>
          <w:rFonts w:ascii="Times New Roman" w:eastAsia="Times New Roman"/>
          <w:spacing w:val="58"/>
        </w:rPr>
        <w:t xml:space="preserve"> </w:t>
      </w:r>
      <w:r>
        <w:t>项目主要生产设备表</w:t>
      </w:r>
    </w:p>
    <w:p w14:paraId="085E339C">
      <w:pPr>
        <w:pStyle w:val="10"/>
        <w:spacing w:before="3"/>
        <w:rPr>
          <w:b/>
          <w:sz w:val="6"/>
        </w:rPr>
      </w:pP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7"/>
        <w:gridCol w:w="2459"/>
        <w:gridCol w:w="1220"/>
        <w:gridCol w:w="1217"/>
        <w:gridCol w:w="1074"/>
        <w:gridCol w:w="1492"/>
      </w:tblGrid>
      <w:tr w14:paraId="7F81F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57" w:type="dxa"/>
            <w:tcBorders>
              <w:left w:val="nil"/>
            </w:tcBorders>
          </w:tcPr>
          <w:p w14:paraId="5760DE20">
            <w:pPr>
              <w:pStyle w:val="17"/>
              <w:spacing w:before="2" w:line="250" w:lineRule="exact"/>
              <w:ind w:left="295" w:right="295"/>
              <w:rPr>
                <w:b/>
                <w:sz w:val="21"/>
              </w:rPr>
            </w:pPr>
            <w:r>
              <w:rPr>
                <w:b/>
                <w:sz w:val="21"/>
              </w:rPr>
              <w:t>序号</w:t>
            </w:r>
          </w:p>
        </w:tc>
        <w:tc>
          <w:tcPr>
            <w:tcW w:w="2459" w:type="dxa"/>
          </w:tcPr>
          <w:p w14:paraId="7A68DDB8">
            <w:pPr>
              <w:pStyle w:val="17"/>
              <w:spacing w:before="2" w:line="250" w:lineRule="exact"/>
              <w:ind w:left="135" w:right="138"/>
              <w:rPr>
                <w:b/>
                <w:sz w:val="21"/>
              </w:rPr>
            </w:pPr>
            <w:r>
              <w:rPr>
                <w:b/>
                <w:sz w:val="21"/>
              </w:rPr>
              <w:t>名称</w:t>
            </w:r>
          </w:p>
        </w:tc>
        <w:tc>
          <w:tcPr>
            <w:tcW w:w="1220" w:type="dxa"/>
          </w:tcPr>
          <w:p w14:paraId="4E6F9FB7">
            <w:pPr>
              <w:pStyle w:val="17"/>
              <w:spacing w:before="2" w:line="250" w:lineRule="exact"/>
              <w:ind w:left="178" w:right="178"/>
              <w:rPr>
                <w:b/>
                <w:sz w:val="21"/>
              </w:rPr>
            </w:pPr>
            <w:r>
              <w:rPr>
                <w:b/>
                <w:sz w:val="21"/>
              </w:rPr>
              <w:t>型号</w:t>
            </w:r>
          </w:p>
        </w:tc>
        <w:tc>
          <w:tcPr>
            <w:tcW w:w="1217" w:type="dxa"/>
          </w:tcPr>
          <w:p w14:paraId="5729D2AB">
            <w:pPr>
              <w:pStyle w:val="17"/>
              <w:spacing w:before="2" w:line="250" w:lineRule="exact"/>
              <w:ind w:left="370" w:right="374"/>
              <w:rPr>
                <w:b/>
                <w:sz w:val="21"/>
              </w:rPr>
            </w:pPr>
            <w:r>
              <w:rPr>
                <w:b/>
                <w:sz w:val="21"/>
              </w:rPr>
              <w:t>数量</w:t>
            </w:r>
          </w:p>
        </w:tc>
        <w:tc>
          <w:tcPr>
            <w:tcW w:w="1074" w:type="dxa"/>
          </w:tcPr>
          <w:p w14:paraId="1414CAE4">
            <w:pPr>
              <w:pStyle w:val="17"/>
              <w:spacing w:before="2" w:line="250" w:lineRule="exact"/>
              <w:ind w:left="301" w:right="301"/>
              <w:rPr>
                <w:b/>
                <w:sz w:val="21"/>
              </w:rPr>
            </w:pPr>
            <w:r>
              <w:rPr>
                <w:b/>
                <w:sz w:val="21"/>
              </w:rPr>
              <w:t>单位</w:t>
            </w:r>
          </w:p>
        </w:tc>
        <w:tc>
          <w:tcPr>
            <w:tcW w:w="1492" w:type="dxa"/>
            <w:tcBorders>
              <w:right w:val="nil"/>
            </w:tcBorders>
          </w:tcPr>
          <w:p w14:paraId="4A125D61">
            <w:pPr>
              <w:pStyle w:val="17"/>
              <w:spacing w:before="2" w:line="250" w:lineRule="exact"/>
              <w:ind w:left="190" w:right="198"/>
              <w:rPr>
                <w:b/>
                <w:sz w:val="21"/>
              </w:rPr>
            </w:pPr>
            <w:r>
              <w:rPr>
                <w:b/>
                <w:sz w:val="21"/>
              </w:rPr>
              <w:t>位置</w:t>
            </w:r>
          </w:p>
        </w:tc>
      </w:tr>
      <w:tr w14:paraId="19287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24DB131A">
            <w:pPr>
              <w:pStyle w:val="17"/>
              <w:spacing w:before="34"/>
              <w:ind w:left="15"/>
              <w:rPr>
                <w:rFonts w:ascii="Times New Roman"/>
                <w:sz w:val="21"/>
              </w:rPr>
            </w:pPr>
            <w:r>
              <w:rPr>
                <w:rFonts w:ascii="Times New Roman"/>
                <w:w w:val="99"/>
                <w:sz w:val="21"/>
              </w:rPr>
              <w:t>1</w:t>
            </w:r>
          </w:p>
        </w:tc>
        <w:tc>
          <w:tcPr>
            <w:tcW w:w="2459" w:type="dxa"/>
          </w:tcPr>
          <w:p w14:paraId="688BFD1C">
            <w:pPr>
              <w:pStyle w:val="17"/>
              <w:spacing w:before="20"/>
              <w:ind w:left="144" w:right="135"/>
              <w:rPr>
                <w:sz w:val="21"/>
              </w:rPr>
            </w:pPr>
            <w:r>
              <w:rPr>
                <w:sz w:val="21"/>
              </w:rPr>
              <w:t>破碎机</w:t>
            </w:r>
          </w:p>
        </w:tc>
        <w:tc>
          <w:tcPr>
            <w:tcW w:w="1220" w:type="dxa"/>
          </w:tcPr>
          <w:p w14:paraId="46D422DE">
            <w:pPr>
              <w:pStyle w:val="17"/>
              <w:spacing w:before="20"/>
              <w:ind w:left="185" w:right="178"/>
              <w:rPr>
                <w:sz w:val="21"/>
              </w:rPr>
            </w:pPr>
            <w:r>
              <w:rPr>
                <w:rFonts w:ascii="Times New Roman" w:eastAsia="Times New Roman"/>
                <w:sz w:val="21"/>
              </w:rPr>
              <w:t>50</w:t>
            </w:r>
            <w:r>
              <w:rPr>
                <w:rFonts w:ascii="Times New Roman" w:eastAsia="Times New Roman"/>
                <w:spacing w:val="50"/>
                <w:sz w:val="21"/>
              </w:rPr>
              <w:t xml:space="preserve"> </w:t>
            </w:r>
            <w:r>
              <w:rPr>
                <w:sz w:val="21"/>
              </w:rPr>
              <w:t>型</w:t>
            </w:r>
          </w:p>
        </w:tc>
        <w:tc>
          <w:tcPr>
            <w:tcW w:w="1217" w:type="dxa"/>
          </w:tcPr>
          <w:p w14:paraId="7F3414B0">
            <w:pPr>
              <w:pStyle w:val="17"/>
              <w:spacing w:before="34"/>
              <w:ind w:left="7"/>
              <w:rPr>
                <w:rFonts w:ascii="Times New Roman"/>
                <w:sz w:val="21"/>
              </w:rPr>
            </w:pPr>
            <w:r>
              <w:rPr>
                <w:rFonts w:ascii="Times New Roman"/>
                <w:w w:val="99"/>
                <w:sz w:val="21"/>
              </w:rPr>
              <w:t>2</w:t>
            </w:r>
          </w:p>
        </w:tc>
        <w:tc>
          <w:tcPr>
            <w:tcW w:w="1074" w:type="dxa"/>
          </w:tcPr>
          <w:p w14:paraId="183CF50F">
            <w:pPr>
              <w:pStyle w:val="17"/>
              <w:spacing w:before="20"/>
              <w:ind w:left="9"/>
              <w:rPr>
                <w:sz w:val="21"/>
              </w:rPr>
            </w:pPr>
            <w:r>
              <w:rPr>
                <w:w w:val="99"/>
                <w:sz w:val="21"/>
              </w:rPr>
              <w:t>台</w:t>
            </w:r>
          </w:p>
        </w:tc>
        <w:tc>
          <w:tcPr>
            <w:tcW w:w="1492" w:type="dxa"/>
            <w:tcBorders>
              <w:right w:val="nil"/>
            </w:tcBorders>
          </w:tcPr>
          <w:p w14:paraId="7DB3E239">
            <w:pPr>
              <w:pStyle w:val="17"/>
              <w:spacing w:before="20"/>
              <w:ind w:left="199" w:right="198"/>
              <w:rPr>
                <w:sz w:val="21"/>
              </w:rPr>
            </w:pPr>
            <w:r>
              <w:rPr>
                <w:sz w:val="21"/>
              </w:rPr>
              <w:t>挤出造粒区</w:t>
            </w:r>
          </w:p>
        </w:tc>
      </w:tr>
      <w:tr w14:paraId="323FF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30DFD882">
            <w:pPr>
              <w:pStyle w:val="17"/>
              <w:spacing w:before="36"/>
              <w:ind w:left="15"/>
              <w:rPr>
                <w:rFonts w:ascii="Times New Roman"/>
                <w:sz w:val="21"/>
              </w:rPr>
            </w:pPr>
            <w:r>
              <w:rPr>
                <w:rFonts w:ascii="Times New Roman"/>
                <w:w w:val="99"/>
                <w:sz w:val="21"/>
              </w:rPr>
              <w:t>2</w:t>
            </w:r>
          </w:p>
        </w:tc>
        <w:tc>
          <w:tcPr>
            <w:tcW w:w="2459" w:type="dxa"/>
          </w:tcPr>
          <w:p w14:paraId="68364342">
            <w:pPr>
              <w:pStyle w:val="17"/>
              <w:spacing w:before="22"/>
              <w:ind w:left="144" w:right="138"/>
              <w:rPr>
                <w:sz w:val="21"/>
              </w:rPr>
            </w:pPr>
            <w:r>
              <w:rPr>
                <w:sz w:val="21"/>
              </w:rPr>
              <w:t>挤出造粒机</w:t>
            </w:r>
          </w:p>
        </w:tc>
        <w:tc>
          <w:tcPr>
            <w:tcW w:w="1220" w:type="dxa"/>
          </w:tcPr>
          <w:p w14:paraId="534F0C88">
            <w:pPr>
              <w:pStyle w:val="17"/>
              <w:spacing w:before="22"/>
              <w:ind w:left="185" w:right="178"/>
              <w:rPr>
                <w:sz w:val="21"/>
              </w:rPr>
            </w:pPr>
            <w:r>
              <w:rPr>
                <w:rFonts w:ascii="Times New Roman" w:eastAsia="Times New Roman"/>
                <w:sz w:val="21"/>
              </w:rPr>
              <w:t xml:space="preserve">350 </w:t>
            </w:r>
            <w:r>
              <w:rPr>
                <w:sz w:val="21"/>
              </w:rPr>
              <w:t>型</w:t>
            </w:r>
          </w:p>
        </w:tc>
        <w:tc>
          <w:tcPr>
            <w:tcW w:w="1217" w:type="dxa"/>
          </w:tcPr>
          <w:p w14:paraId="03004AEB">
            <w:pPr>
              <w:pStyle w:val="17"/>
              <w:spacing w:before="36"/>
              <w:ind w:left="7"/>
              <w:rPr>
                <w:rFonts w:ascii="Times New Roman"/>
                <w:sz w:val="21"/>
              </w:rPr>
            </w:pPr>
            <w:r>
              <w:rPr>
                <w:rFonts w:ascii="Times New Roman"/>
                <w:w w:val="99"/>
                <w:sz w:val="21"/>
              </w:rPr>
              <w:t>2</w:t>
            </w:r>
          </w:p>
        </w:tc>
        <w:tc>
          <w:tcPr>
            <w:tcW w:w="1074" w:type="dxa"/>
          </w:tcPr>
          <w:p w14:paraId="3FC32526">
            <w:pPr>
              <w:pStyle w:val="17"/>
              <w:spacing w:before="22"/>
              <w:ind w:left="9"/>
              <w:rPr>
                <w:sz w:val="21"/>
              </w:rPr>
            </w:pPr>
            <w:r>
              <w:rPr>
                <w:w w:val="99"/>
                <w:sz w:val="21"/>
              </w:rPr>
              <w:t>台</w:t>
            </w:r>
          </w:p>
        </w:tc>
        <w:tc>
          <w:tcPr>
            <w:tcW w:w="1492" w:type="dxa"/>
            <w:tcBorders>
              <w:right w:val="nil"/>
            </w:tcBorders>
          </w:tcPr>
          <w:p w14:paraId="1BD249E0">
            <w:pPr>
              <w:pStyle w:val="17"/>
              <w:spacing w:before="22"/>
              <w:ind w:left="199" w:right="198"/>
              <w:rPr>
                <w:sz w:val="21"/>
              </w:rPr>
            </w:pPr>
            <w:r>
              <w:rPr>
                <w:sz w:val="21"/>
              </w:rPr>
              <w:t>挤出造粒区</w:t>
            </w:r>
          </w:p>
        </w:tc>
      </w:tr>
      <w:tr w14:paraId="0C20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2270ECAF">
            <w:pPr>
              <w:pStyle w:val="17"/>
              <w:spacing w:before="35"/>
              <w:ind w:left="15"/>
              <w:rPr>
                <w:rFonts w:ascii="Times New Roman"/>
                <w:sz w:val="21"/>
              </w:rPr>
            </w:pPr>
            <w:r>
              <w:rPr>
                <w:rFonts w:ascii="Times New Roman"/>
                <w:w w:val="99"/>
                <w:sz w:val="21"/>
              </w:rPr>
              <w:t>3</w:t>
            </w:r>
          </w:p>
        </w:tc>
        <w:tc>
          <w:tcPr>
            <w:tcW w:w="2459" w:type="dxa"/>
          </w:tcPr>
          <w:p w14:paraId="240AE767">
            <w:pPr>
              <w:pStyle w:val="17"/>
              <w:spacing w:before="21"/>
              <w:ind w:left="144" w:right="135"/>
              <w:rPr>
                <w:sz w:val="21"/>
              </w:rPr>
            </w:pPr>
            <w:r>
              <w:rPr>
                <w:sz w:val="21"/>
              </w:rPr>
              <w:t>混料机</w:t>
            </w:r>
          </w:p>
        </w:tc>
        <w:tc>
          <w:tcPr>
            <w:tcW w:w="1220" w:type="dxa"/>
          </w:tcPr>
          <w:p w14:paraId="218FE2FD">
            <w:pPr>
              <w:pStyle w:val="17"/>
              <w:spacing w:before="35"/>
              <w:ind w:left="7"/>
              <w:rPr>
                <w:rFonts w:ascii="Times New Roman"/>
                <w:sz w:val="21"/>
              </w:rPr>
            </w:pPr>
            <w:r>
              <w:rPr>
                <w:rFonts w:ascii="Times New Roman"/>
                <w:w w:val="99"/>
                <w:sz w:val="21"/>
              </w:rPr>
              <w:t>/</w:t>
            </w:r>
          </w:p>
        </w:tc>
        <w:tc>
          <w:tcPr>
            <w:tcW w:w="1217" w:type="dxa"/>
          </w:tcPr>
          <w:p w14:paraId="775BBE8E">
            <w:pPr>
              <w:pStyle w:val="17"/>
              <w:spacing w:before="35"/>
              <w:ind w:left="7"/>
              <w:rPr>
                <w:rFonts w:ascii="Times New Roman"/>
                <w:sz w:val="21"/>
              </w:rPr>
            </w:pPr>
            <w:r>
              <w:rPr>
                <w:rFonts w:ascii="Times New Roman"/>
                <w:w w:val="99"/>
                <w:sz w:val="21"/>
              </w:rPr>
              <w:t>2</w:t>
            </w:r>
          </w:p>
        </w:tc>
        <w:tc>
          <w:tcPr>
            <w:tcW w:w="1074" w:type="dxa"/>
          </w:tcPr>
          <w:p w14:paraId="56577F38">
            <w:pPr>
              <w:pStyle w:val="17"/>
              <w:spacing w:before="21"/>
              <w:ind w:left="9"/>
              <w:rPr>
                <w:sz w:val="21"/>
              </w:rPr>
            </w:pPr>
            <w:r>
              <w:rPr>
                <w:w w:val="99"/>
                <w:sz w:val="21"/>
              </w:rPr>
              <w:t>台</w:t>
            </w:r>
          </w:p>
        </w:tc>
        <w:tc>
          <w:tcPr>
            <w:tcW w:w="1492" w:type="dxa"/>
            <w:tcBorders>
              <w:right w:val="nil"/>
            </w:tcBorders>
          </w:tcPr>
          <w:p w14:paraId="16553BF6">
            <w:pPr>
              <w:pStyle w:val="17"/>
              <w:spacing w:before="21"/>
              <w:ind w:left="199" w:right="198"/>
              <w:rPr>
                <w:sz w:val="21"/>
              </w:rPr>
            </w:pPr>
            <w:r>
              <w:rPr>
                <w:sz w:val="21"/>
              </w:rPr>
              <w:t>挤出造粒区</w:t>
            </w:r>
          </w:p>
        </w:tc>
      </w:tr>
      <w:tr w14:paraId="1E06B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3CFFCC3B">
            <w:pPr>
              <w:pStyle w:val="17"/>
              <w:spacing w:before="35"/>
              <w:ind w:left="15"/>
              <w:rPr>
                <w:rFonts w:ascii="Times New Roman"/>
                <w:sz w:val="21"/>
              </w:rPr>
            </w:pPr>
            <w:r>
              <w:rPr>
                <w:rFonts w:ascii="Times New Roman"/>
                <w:w w:val="99"/>
                <w:sz w:val="21"/>
              </w:rPr>
              <w:t>4</w:t>
            </w:r>
          </w:p>
        </w:tc>
        <w:tc>
          <w:tcPr>
            <w:tcW w:w="2459" w:type="dxa"/>
          </w:tcPr>
          <w:p w14:paraId="3345981A">
            <w:pPr>
              <w:pStyle w:val="17"/>
              <w:spacing w:before="21"/>
              <w:ind w:left="144" w:right="135"/>
              <w:rPr>
                <w:sz w:val="21"/>
              </w:rPr>
            </w:pPr>
            <w:r>
              <w:rPr>
                <w:sz w:val="21"/>
              </w:rPr>
              <w:t>上料机</w:t>
            </w:r>
          </w:p>
        </w:tc>
        <w:tc>
          <w:tcPr>
            <w:tcW w:w="1220" w:type="dxa"/>
          </w:tcPr>
          <w:p w14:paraId="37BA696A">
            <w:pPr>
              <w:pStyle w:val="17"/>
              <w:spacing w:before="35"/>
              <w:ind w:left="7"/>
              <w:rPr>
                <w:rFonts w:ascii="Times New Roman"/>
                <w:sz w:val="21"/>
              </w:rPr>
            </w:pPr>
            <w:r>
              <w:rPr>
                <w:rFonts w:ascii="Times New Roman"/>
                <w:w w:val="99"/>
                <w:sz w:val="21"/>
              </w:rPr>
              <w:t>/</w:t>
            </w:r>
          </w:p>
        </w:tc>
        <w:tc>
          <w:tcPr>
            <w:tcW w:w="1217" w:type="dxa"/>
          </w:tcPr>
          <w:p w14:paraId="00793508">
            <w:pPr>
              <w:pStyle w:val="17"/>
              <w:spacing w:before="35"/>
              <w:ind w:left="7"/>
              <w:rPr>
                <w:rFonts w:ascii="Times New Roman"/>
                <w:sz w:val="21"/>
              </w:rPr>
            </w:pPr>
            <w:r>
              <w:rPr>
                <w:rFonts w:ascii="Times New Roman"/>
                <w:w w:val="99"/>
                <w:sz w:val="21"/>
              </w:rPr>
              <w:t>4</w:t>
            </w:r>
          </w:p>
        </w:tc>
        <w:tc>
          <w:tcPr>
            <w:tcW w:w="1074" w:type="dxa"/>
          </w:tcPr>
          <w:p w14:paraId="336A7DB3">
            <w:pPr>
              <w:pStyle w:val="17"/>
              <w:spacing w:before="21"/>
              <w:ind w:left="9"/>
              <w:rPr>
                <w:sz w:val="21"/>
              </w:rPr>
            </w:pPr>
            <w:r>
              <w:rPr>
                <w:w w:val="99"/>
                <w:sz w:val="21"/>
              </w:rPr>
              <w:t>台</w:t>
            </w:r>
          </w:p>
        </w:tc>
        <w:tc>
          <w:tcPr>
            <w:tcW w:w="1492" w:type="dxa"/>
            <w:tcBorders>
              <w:right w:val="nil"/>
            </w:tcBorders>
          </w:tcPr>
          <w:p w14:paraId="2CF78E99">
            <w:pPr>
              <w:pStyle w:val="17"/>
              <w:spacing w:before="21"/>
              <w:ind w:left="199" w:right="198"/>
              <w:rPr>
                <w:sz w:val="21"/>
              </w:rPr>
            </w:pPr>
            <w:r>
              <w:rPr>
                <w:sz w:val="21"/>
              </w:rPr>
              <w:t>挤出注塑区</w:t>
            </w:r>
          </w:p>
        </w:tc>
      </w:tr>
      <w:tr w14:paraId="4CABA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4F4DDA7F">
            <w:pPr>
              <w:pStyle w:val="17"/>
              <w:spacing w:before="34"/>
              <w:ind w:left="15"/>
              <w:rPr>
                <w:rFonts w:ascii="Times New Roman"/>
                <w:sz w:val="21"/>
              </w:rPr>
            </w:pPr>
            <w:r>
              <w:rPr>
                <w:rFonts w:ascii="Times New Roman"/>
                <w:w w:val="99"/>
                <w:sz w:val="21"/>
              </w:rPr>
              <w:t>5</w:t>
            </w:r>
          </w:p>
        </w:tc>
        <w:tc>
          <w:tcPr>
            <w:tcW w:w="2459" w:type="dxa"/>
          </w:tcPr>
          <w:p w14:paraId="6F45E822">
            <w:pPr>
              <w:pStyle w:val="17"/>
              <w:spacing w:before="21"/>
              <w:ind w:left="144" w:right="138"/>
              <w:rPr>
                <w:sz w:val="21"/>
              </w:rPr>
            </w:pPr>
            <w:r>
              <w:rPr>
                <w:sz w:val="21"/>
              </w:rPr>
              <w:t>混料搅拌机</w:t>
            </w:r>
          </w:p>
        </w:tc>
        <w:tc>
          <w:tcPr>
            <w:tcW w:w="1220" w:type="dxa"/>
          </w:tcPr>
          <w:p w14:paraId="37C03CE3">
            <w:pPr>
              <w:pStyle w:val="17"/>
              <w:spacing w:before="34"/>
              <w:ind w:left="7"/>
              <w:rPr>
                <w:rFonts w:ascii="Times New Roman"/>
                <w:sz w:val="21"/>
              </w:rPr>
            </w:pPr>
            <w:r>
              <w:rPr>
                <w:rFonts w:ascii="Times New Roman"/>
                <w:w w:val="99"/>
                <w:sz w:val="21"/>
              </w:rPr>
              <w:t>/</w:t>
            </w:r>
          </w:p>
        </w:tc>
        <w:tc>
          <w:tcPr>
            <w:tcW w:w="1217" w:type="dxa"/>
          </w:tcPr>
          <w:p w14:paraId="42FD5E46">
            <w:pPr>
              <w:pStyle w:val="17"/>
              <w:spacing w:before="34"/>
              <w:ind w:left="7"/>
              <w:rPr>
                <w:rFonts w:ascii="Times New Roman"/>
                <w:sz w:val="21"/>
              </w:rPr>
            </w:pPr>
            <w:r>
              <w:rPr>
                <w:rFonts w:ascii="Times New Roman"/>
                <w:w w:val="99"/>
                <w:sz w:val="21"/>
              </w:rPr>
              <w:t>4</w:t>
            </w:r>
          </w:p>
        </w:tc>
        <w:tc>
          <w:tcPr>
            <w:tcW w:w="1074" w:type="dxa"/>
          </w:tcPr>
          <w:p w14:paraId="25D545E6">
            <w:pPr>
              <w:pStyle w:val="17"/>
              <w:spacing w:before="21"/>
              <w:ind w:left="9"/>
              <w:rPr>
                <w:sz w:val="21"/>
              </w:rPr>
            </w:pPr>
            <w:r>
              <w:rPr>
                <w:w w:val="99"/>
                <w:sz w:val="21"/>
              </w:rPr>
              <w:t>台</w:t>
            </w:r>
          </w:p>
        </w:tc>
        <w:tc>
          <w:tcPr>
            <w:tcW w:w="1492" w:type="dxa"/>
            <w:tcBorders>
              <w:right w:val="nil"/>
            </w:tcBorders>
          </w:tcPr>
          <w:p w14:paraId="2E4FCE82">
            <w:pPr>
              <w:pStyle w:val="17"/>
              <w:spacing w:before="21"/>
              <w:ind w:left="199" w:right="198"/>
              <w:rPr>
                <w:sz w:val="21"/>
              </w:rPr>
            </w:pPr>
            <w:r>
              <w:rPr>
                <w:sz w:val="21"/>
              </w:rPr>
              <w:t>挤出注塑区</w:t>
            </w:r>
          </w:p>
        </w:tc>
      </w:tr>
      <w:tr w14:paraId="798F3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7D64B914">
            <w:pPr>
              <w:pStyle w:val="17"/>
              <w:spacing w:before="34"/>
              <w:ind w:left="15"/>
              <w:rPr>
                <w:rFonts w:ascii="Times New Roman"/>
                <w:sz w:val="21"/>
              </w:rPr>
            </w:pPr>
            <w:r>
              <w:rPr>
                <w:rFonts w:ascii="Times New Roman"/>
                <w:w w:val="99"/>
                <w:sz w:val="21"/>
              </w:rPr>
              <w:t>6</w:t>
            </w:r>
          </w:p>
        </w:tc>
        <w:tc>
          <w:tcPr>
            <w:tcW w:w="2459" w:type="dxa"/>
          </w:tcPr>
          <w:p w14:paraId="50E83774">
            <w:pPr>
              <w:pStyle w:val="17"/>
              <w:spacing w:before="20"/>
              <w:ind w:left="144" w:right="138"/>
              <w:rPr>
                <w:sz w:val="21"/>
              </w:rPr>
            </w:pPr>
            <w:r>
              <w:rPr>
                <w:sz w:val="21"/>
              </w:rPr>
              <w:t>挤出注塑机</w:t>
            </w:r>
          </w:p>
        </w:tc>
        <w:tc>
          <w:tcPr>
            <w:tcW w:w="1220" w:type="dxa"/>
          </w:tcPr>
          <w:p w14:paraId="75690DE3">
            <w:pPr>
              <w:pStyle w:val="17"/>
              <w:spacing w:before="34"/>
              <w:ind w:left="186" w:right="178"/>
              <w:rPr>
                <w:rFonts w:ascii="Times New Roman"/>
                <w:sz w:val="21"/>
              </w:rPr>
            </w:pPr>
            <w:r>
              <w:rPr>
                <w:rFonts w:ascii="Times New Roman"/>
                <w:sz w:val="21"/>
              </w:rPr>
              <w:t>JHSB150</w:t>
            </w:r>
          </w:p>
        </w:tc>
        <w:tc>
          <w:tcPr>
            <w:tcW w:w="1217" w:type="dxa"/>
          </w:tcPr>
          <w:p w14:paraId="4C7FA16F">
            <w:pPr>
              <w:pStyle w:val="17"/>
              <w:spacing w:before="34"/>
              <w:ind w:left="7"/>
              <w:rPr>
                <w:rFonts w:ascii="Times New Roman"/>
                <w:sz w:val="21"/>
              </w:rPr>
            </w:pPr>
            <w:r>
              <w:rPr>
                <w:rFonts w:ascii="Times New Roman"/>
                <w:w w:val="99"/>
                <w:sz w:val="21"/>
              </w:rPr>
              <w:t>4</w:t>
            </w:r>
          </w:p>
        </w:tc>
        <w:tc>
          <w:tcPr>
            <w:tcW w:w="1074" w:type="dxa"/>
          </w:tcPr>
          <w:p w14:paraId="314A745A">
            <w:pPr>
              <w:pStyle w:val="17"/>
              <w:spacing w:before="20"/>
              <w:ind w:left="9"/>
              <w:rPr>
                <w:sz w:val="21"/>
              </w:rPr>
            </w:pPr>
            <w:r>
              <w:rPr>
                <w:w w:val="99"/>
                <w:sz w:val="21"/>
              </w:rPr>
              <w:t>台</w:t>
            </w:r>
          </w:p>
        </w:tc>
        <w:tc>
          <w:tcPr>
            <w:tcW w:w="1492" w:type="dxa"/>
            <w:tcBorders>
              <w:right w:val="nil"/>
            </w:tcBorders>
          </w:tcPr>
          <w:p w14:paraId="4E20DAA9">
            <w:pPr>
              <w:pStyle w:val="17"/>
              <w:spacing w:before="20"/>
              <w:ind w:left="199" w:right="198"/>
              <w:rPr>
                <w:sz w:val="21"/>
              </w:rPr>
            </w:pPr>
            <w:r>
              <w:rPr>
                <w:sz w:val="21"/>
              </w:rPr>
              <w:t>挤出注塑区</w:t>
            </w:r>
          </w:p>
        </w:tc>
      </w:tr>
      <w:tr w14:paraId="6525E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01333A20">
            <w:pPr>
              <w:pStyle w:val="17"/>
              <w:spacing w:before="34"/>
              <w:ind w:left="15"/>
              <w:rPr>
                <w:rFonts w:ascii="Times New Roman"/>
                <w:sz w:val="21"/>
              </w:rPr>
            </w:pPr>
            <w:r>
              <w:rPr>
                <w:rFonts w:ascii="Times New Roman"/>
                <w:w w:val="99"/>
                <w:sz w:val="21"/>
              </w:rPr>
              <w:t>7</w:t>
            </w:r>
          </w:p>
        </w:tc>
        <w:tc>
          <w:tcPr>
            <w:tcW w:w="2459" w:type="dxa"/>
          </w:tcPr>
          <w:p w14:paraId="061C2338">
            <w:pPr>
              <w:pStyle w:val="17"/>
              <w:spacing w:before="20"/>
              <w:ind w:left="144" w:right="138"/>
              <w:rPr>
                <w:sz w:val="21"/>
              </w:rPr>
            </w:pPr>
            <w:r>
              <w:rPr>
                <w:sz w:val="21"/>
              </w:rPr>
              <w:t>自动裁切机</w:t>
            </w:r>
          </w:p>
        </w:tc>
        <w:tc>
          <w:tcPr>
            <w:tcW w:w="1220" w:type="dxa"/>
          </w:tcPr>
          <w:p w14:paraId="0AE8989E">
            <w:pPr>
              <w:pStyle w:val="17"/>
              <w:spacing w:before="34"/>
              <w:ind w:left="7"/>
              <w:rPr>
                <w:rFonts w:ascii="Times New Roman"/>
                <w:sz w:val="21"/>
              </w:rPr>
            </w:pPr>
            <w:r>
              <w:rPr>
                <w:rFonts w:ascii="Times New Roman"/>
                <w:w w:val="99"/>
                <w:sz w:val="21"/>
              </w:rPr>
              <w:t>/</w:t>
            </w:r>
          </w:p>
        </w:tc>
        <w:tc>
          <w:tcPr>
            <w:tcW w:w="1217" w:type="dxa"/>
          </w:tcPr>
          <w:p w14:paraId="56853496">
            <w:pPr>
              <w:pStyle w:val="17"/>
              <w:spacing w:before="34"/>
              <w:ind w:left="7"/>
              <w:rPr>
                <w:rFonts w:ascii="Times New Roman"/>
                <w:sz w:val="21"/>
              </w:rPr>
            </w:pPr>
            <w:r>
              <w:rPr>
                <w:rFonts w:ascii="Times New Roman"/>
                <w:w w:val="99"/>
                <w:sz w:val="21"/>
              </w:rPr>
              <w:t>4</w:t>
            </w:r>
          </w:p>
        </w:tc>
        <w:tc>
          <w:tcPr>
            <w:tcW w:w="1074" w:type="dxa"/>
          </w:tcPr>
          <w:p w14:paraId="5B0F9077">
            <w:pPr>
              <w:pStyle w:val="17"/>
              <w:spacing w:before="20"/>
              <w:ind w:left="9"/>
              <w:rPr>
                <w:sz w:val="21"/>
              </w:rPr>
            </w:pPr>
            <w:r>
              <w:rPr>
                <w:w w:val="99"/>
                <w:sz w:val="21"/>
              </w:rPr>
              <w:t>台</w:t>
            </w:r>
          </w:p>
        </w:tc>
        <w:tc>
          <w:tcPr>
            <w:tcW w:w="1492" w:type="dxa"/>
            <w:tcBorders>
              <w:right w:val="nil"/>
            </w:tcBorders>
          </w:tcPr>
          <w:p w14:paraId="15B31393">
            <w:pPr>
              <w:pStyle w:val="17"/>
              <w:spacing w:before="20"/>
              <w:ind w:left="199" w:right="198"/>
              <w:rPr>
                <w:sz w:val="21"/>
              </w:rPr>
            </w:pPr>
            <w:r>
              <w:rPr>
                <w:sz w:val="21"/>
              </w:rPr>
              <w:t>挤出注塑区</w:t>
            </w:r>
          </w:p>
        </w:tc>
      </w:tr>
      <w:tr w14:paraId="16839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3BB0EED6">
            <w:pPr>
              <w:pStyle w:val="17"/>
              <w:spacing w:before="36"/>
              <w:ind w:left="15"/>
              <w:rPr>
                <w:rFonts w:ascii="Times New Roman"/>
                <w:sz w:val="21"/>
              </w:rPr>
            </w:pPr>
            <w:r>
              <w:rPr>
                <w:rFonts w:ascii="Times New Roman"/>
                <w:w w:val="99"/>
                <w:sz w:val="21"/>
              </w:rPr>
              <w:t>8</w:t>
            </w:r>
          </w:p>
        </w:tc>
        <w:tc>
          <w:tcPr>
            <w:tcW w:w="2459" w:type="dxa"/>
          </w:tcPr>
          <w:p w14:paraId="330667D4">
            <w:pPr>
              <w:pStyle w:val="17"/>
              <w:spacing w:before="22"/>
              <w:ind w:left="144" w:right="135"/>
              <w:rPr>
                <w:sz w:val="21"/>
              </w:rPr>
            </w:pPr>
            <w:r>
              <w:rPr>
                <w:sz w:val="21"/>
              </w:rPr>
              <w:t>冷却塔</w:t>
            </w:r>
          </w:p>
        </w:tc>
        <w:tc>
          <w:tcPr>
            <w:tcW w:w="1220" w:type="dxa"/>
          </w:tcPr>
          <w:p w14:paraId="2FBEFA1A">
            <w:pPr>
              <w:pStyle w:val="17"/>
              <w:spacing w:before="36"/>
              <w:ind w:left="7"/>
              <w:rPr>
                <w:rFonts w:ascii="Times New Roman"/>
                <w:sz w:val="21"/>
              </w:rPr>
            </w:pPr>
            <w:r>
              <w:rPr>
                <w:rFonts w:ascii="Times New Roman"/>
                <w:w w:val="99"/>
                <w:sz w:val="21"/>
              </w:rPr>
              <w:t>/</w:t>
            </w:r>
          </w:p>
        </w:tc>
        <w:tc>
          <w:tcPr>
            <w:tcW w:w="1217" w:type="dxa"/>
          </w:tcPr>
          <w:p w14:paraId="448990C8">
            <w:pPr>
              <w:pStyle w:val="17"/>
              <w:spacing w:before="36"/>
              <w:ind w:left="7"/>
              <w:rPr>
                <w:rFonts w:ascii="Times New Roman"/>
                <w:sz w:val="21"/>
              </w:rPr>
            </w:pPr>
            <w:r>
              <w:rPr>
                <w:rFonts w:ascii="Times New Roman"/>
                <w:w w:val="99"/>
                <w:sz w:val="21"/>
              </w:rPr>
              <w:t>1</w:t>
            </w:r>
          </w:p>
        </w:tc>
        <w:tc>
          <w:tcPr>
            <w:tcW w:w="1074" w:type="dxa"/>
          </w:tcPr>
          <w:p w14:paraId="7D49E9A5">
            <w:pPr>
              <w:pStyle w:val="17"/>
              <w:spacing w:before="22"/>
              <w:ind w:left="9"/>
              <w:rPr>
                <w:sz w:val="21"/>
              </w:rPr>
            </w:pPr>
            <w:r>
              <w:rPr>
                <w:w w:val="99"/>
                <w:sz w:val="21"/>
              </w:rPr>
              <w:t>台</w:t>
            </w:r>
          </w:p>
        </w:tc>
        <w:tc>
          <w:tcPr>
            <w:tcW w:w="1492" w:type="dxa"/>
            <w:tcBorders>
              <w:right w:val="nil"/>
            </w:tcBorders>
          </w:tcPr>
          <w:p w14:paraId="7CB8329B">
            <w:pPr>
              <w:pStyle w:val="17"/>
              <w:spacing w:before="22"/>
              <w:ind w:left="199" w:right="198"/>
              <w:rPr>
                <w:sz w:val="21"/>
              </w:rPr>
            </w:pPr>
            <w:r>
              <w:rPr>
                <w:sz w:val="21"/>
              </w:rPr>
              <w:t>车间外南侧</w:t>
            </w:r>
          </w:p>
        </w:tc>
      </w:tr>
      <w:tr w14:paraId="54038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1373450E">
            <w:pPr>
              <w:pStyle w:val="17"/>
              <w:spacing w:before="35"/>
              <w:ind w:left="15"/>
              <w:rPr>
                <w:rFonts w:ascii="Times New Roman"/>
                <w:sz w:val="21"/>
              </w:rPr>
            </w:pPr>
            <w:r>
              <w:rPr>
                <w:rFonts w:ascii="Times New Roman"/>
                <w:w w:val="99"/>
                <w:sz w:val="21"/>
              </w:rPr>
              <w:t>9</w:t>
            </w:r>
          </w:p>
        </w:tc>
        <w:tc>
          <w:tcPr>
            <w:tcW w:w="2459" w:type="dxa"/>
          </w:tcPr>
          <w:p w14:paraId="79433BB3">
            <w:pPr>
              <w:pStyle w:val="17"/>
              <w:spacing w:before="21"/>
              <w:ind w:left="144" w:right="135"/>
              <w:rPr>
                <w:sz w:val="21"/>
              </w:rPr>
            </w:pPr>
            <w:r>
              <w:rPr>
                <w:sz w:val="21"/>
              </w:rPr>
              <w:t>空压机</w:t>
            </w:r>
          </w:p>
        </w:tc>
        <w:tc>
          <w:tcPr>
            <w:tcW w:w="1220" w:type="dxa"/>
          </w:tcPr>
          <w:p w14:paraId="7C5266F4">
            <w:pPr>
              <w:pStyle w:val="17"/>
              <w:spacing w:before="35"/>
              <w:ind w:left="7"/>
              <w:rPr>
                <w:rFonts w:ascii="Times New Roman"/>
                <w:sz w:val="21"/>
              </w:rPr>
            </w:pPr>
            <w:r>
              <w:rPr>
                <w:rFonts w:ascii="Times New Roman"/>
                <w:w w:val="99"/>
                <w:sz w:val="21"/>
              </w:rPr>
              <w:t>/</w:t>
            </w:r>
          </w:p>
        </w:tc>
        <w:tc>
          <w:tcPr>
            <w:tcW w:w="1217" w:type="dxa"/>
          </w:tcPr>
          <w:p w14:paraId="6BF6DB60">
            <w:pPr>
              <w:pStyle w:val="17"/>
              <w:spacing w:before="35"/>
              <w:ind w:left="7"/>
              <w:rPr>
                <w:rFonts w:ascii="Times New Roman"/>
                <w:sz w:val="21"/>
              </w:rPr>
            </w:pPr>
            <w:r>
              <w:rPr>
                <w:rFonts w:ascii="Times New Roman"/>
                <w:w w:val="99"/>
                <w:sz w:val="21"/>
              </w:rPr>
              <w:t>1</w:t>
            </w:r>
          </w:p>
        </w:tc>
        <w:tc>
          <w:tcPr>
            <w:tcW w:w="1074" w:type="dxa"/>
          </w:tcPr>
          <w:p w14:paraId="601CB4F4">
            <w:pPr>
              <w:pStyle w:val="17"/>
              <w:spacing w:before="21"/>
              <w:ind w:left="9"/>
              <w:rPr>
                <w:sz w:val="21"/>
              </w:rPr>
            </w:pPr>
            <w:r>
              <w:rPr>
                <w:w w:val="99"/>
                <w:sz w:val="21"/>
              </w:rPr>
              <w:t>台</w:t>
            </w:r>
          </w:p>
        </w:tc>
        <w:tc>
          <w:tcPr>
            <w:tcW w:w="1492" w:type="dxa"/>
            <w:tcBorders>
              <w:right w:val="nil"/>
            </w:tcBorders>
          </w:tcPr>
          <w:p w14:paraId="2E354600">
            <w:pPr>
              <w:pStyle w:val="17"/>
              <w:spacing w:before="21"/>
              <w:ind w:left="199" w:right="198"/>
              <w:rPr>
                <w:sz w:val="21"/>
              </w:rPr>
            </w:pPr>
            <w:r>
              <w:rPr>
                <w:sz w:val="21"/>
              </w:rPr>
              <w:t>车间内北侧</w:t>
            </w:r>
          </w:p>
        </w:tc>
      </w:tr>
      <w:tr w14:paraId="149F9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72516648">
            <w:pPr>
              <w:pStyle w:val="17"/>
              <w:spacing w:before="35"/>
              <w:ind w:left="295" w:right="280"/>
              <w:rPr>
                <w:rFonts w:ascii="Times New Roman"/>
                <w:sz w:val="21"/>
              </w:rPr>
            </w:pPr>
            <w:r>
              <w:rPr>
                <w:rFonts w:ascii="Times New Roman"/>
                <w:sz w:val="21"/>
              </w:rPr>
              <w:t>10</w:t>
            </w:r>
          </w:p>
        </w:tc>
        <w:tc>
          <w:tcPr>
            <w:tcW w:w="2459" w:type="dxa"/>
          </w:tcPr>
          <w:p w14:paraId="490D0662">
            <w:pPr>
              <w:pStyle w:val="17"/>
              <w:spacing w:before="21"/>
              <w:ind w:left="142" w:right="138"/>
              <w:rPr>
                <w:sz w:val="21"/>
              </w:rPr>
            </w:pPr>
            <w:r>
              <w:rPr>
                <w:sz w:val="21"/>
              </w:rPr>
              <w:t>叉车</w:t>
            </w:r>
          </w:p>
        </w:tc>
        <w:tc>
          <w:tcPr>
            <w:tcW w:w="1220" w:type="dxa"/>
          </w:tcPr>
          <w:p w14:paraId="5FA72F0B">
            <w:pPr>
              <w:pStyle w:val="17"/>
              <w:spacing w:before="35"/>
              <w:ind w:left="7"/>
              <w:rPr>
                <w:rFonts w:ascii="Times New Roman"/>
                <w:sz w:val="21"/>
              </w:rPr>
            </w:pPr>
            <w:r>
              <w:rPr>
                <w:rFonts w:ascii="Times New Roman"/>
                <w:w w:val="99"/>
                <w:sz w:val="21"/>
              </w:rPr>
              <w:t>/</w:t>
            </w:r>
          </w:p>
        </w:tc>
        <w:tc>
          <w:tcPr>
            <w:tcW w:w="1217" w:type="dxa"/>
          </w:tcPr>
          <w:p w14:paraId="463BDD10">
            <w:pPr>
              <w:pStyle w:val="17"/>
              <w:spacing w:before="35"/>
              <w:ind w:left="7"/>
              <w:rPr>
                <w:rFonts w:ascii="Times New Roman"/>
                <w:sz w:val="21"/>
              </w:rPr>
            </w:pPr>
            <w:r>
              <w:rPr>
                <w:rFonts w:ascii="Times New Roman"/>
                <w:w w:val="99"/>
                <w:sz w:val="21"/>
              </w:rPr>
              <w:t>2</w:t>
            </w:r>
          </w:p>
        </w:tc>
        <w:tc>
          <w:tcPr>
            <w:tcW w:w="1074" w:type="dxa"/>
          </w:tcPr>
          <w:p w14:paraId="089A0555">
            <w:pPr>
              <w:pStyle w:val="17"/>
              <w:spacing w:before="21"/>
              <w:ind w:left="9"/>
              <w:rPr>
                <w:sz w:val="21"/>
              </w:rPr>
            </w:pPr>
            <w:r>
              <w:rPr>
                <w:w w:val="99"/>
                <w:sz w:val="21"/>
              </w:rPr>
              <w:t>台</w:t>
            </w:r>
          </w:p>
        </w:tc>
        <w:tc>
          <w:tcPr>
            <w:tcW w:w="1492" w:type="dxa"/>
            <w:tcBorders>
              <w:right w:val="nil"/>
            </w:tcBorders>
          </w:tcPr>
          <w:p w14:paraId="0E880483">
            <w:pPr>
              <w:pStyle w:val="17"/>
              <w:spacing w:before="21"/>
              <w:ind w:left="199" w:right="196"/>
              <w:rPr>
                <w:sz w:val="21"/>
              </w:rPr>
            </w:pPr>
            <w:r>
              <w:rPr>
                <w:sz w:val="21"/>
              </w:rPr>
              <w:t>车间内</w:t>
            </w:r>
          </w:p>
        </w:tc>
      </w:tr>
      <w:tr w14:paraId="44DB5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7" w:type="dxa"/>
            <w:tcBorders>
              <w:left w:val="nil"/>
            </w:tcBorders>
          </w:tcPr>
          <w:p w14:paraId="112CD650">
            <w:pPr>
              <w:pStyle w:val="17"/>
              <w:spacing w:before="34"/>
              <w:ind w:left="295" w:right="280"/>
              <w:rPr>
                <w:rFonts w:ascii="Times New Roman"/>
                <w:sz w:val="21"/>
              </w:rPr>
            </w:pPr>
            <w:r>
              <w:rPr>
                <w:rFonts w:ascii="Times New Roman"/>
                <w:sz w:val="21"/>
              </w:rPr>
              <w:t>11</w:t>
            </w:r>
          </w:p>
        </w:tc>
        <w:tc>
          <w:tcPr>
            <w:tcW w:w="2459" w:type="dxa"/>
          </w:tcPr>
          <w:p w14:paraId="59E3E897">
            <w:pPr>
              <w:pStyle w:val="17"/>
              <w:spacing w:before="20"/>
              <w:ind w:left="144" w:right="138"/>
              <w:rPr>
                <w:sz w:val="21"/>
              </w:rPr>
            </w:pPr>
            <w:r>
              <w:rPr>
                <w:sz w:val="21"/>
              </w:rPr>
              <w:t>布袋除尘器</w:t>
            </w:r>
          </w:p>
        </w:tc>
        <w:tc>
          <w:tcPr>
            <w:tcW w:w="1220" w:type="dxa"/>
          </w:tcPr>
          <w:p w14:paraId="04D06D25">
            <w:pPr>
              <w:pStyle w:val="17"/>
              <w:spacing w:before="34"/>
              <w:ind w:left="7"/>
              <w:rPr>
                <w:rFonts w:ascii="Times New Roman"/>
                <w:sz w:val="21"/>
              </w:rPr>
            </w:pPr>
            <w:r>
              <w:rPr>
                <w:rFonts w:ascii="Times New Roman"/>
                <w:w w:val="99"/>
                <w:sz w:val="21"/>
              </w:rPr>
              <w:t>/</w:t>
            </w:r>
          </w:p>
        </w:tc>
        <w:tc>
          <w:tcPr>
            <w:tcW w:w="1217" w:type="dxa"/>
          </w:tcPr>
          <w:p w14:paraId="2A2F2757">
            <w:pPr>
              <w:pStyle w:val="17"/>
              <w:spacing w:before="34"/>
              <w:ind w:left="7"/>
              <w:rPr>
                <w:rFonts w:ascii="Times New Roman"/>
                <w:sz w:val="21"/>
              </w:rPr>
            </w:pPr>
            <w:r>
              <w:rPr>
                <w:rFonts w:ascii="Times New Roman"/>
                <w:w w:val="99"/>
                <w:sz w:val="21"/>
              </w:rPr>
              <w:t>1</w:t>
            </w:r>
          </w:p>
        </w:tc>
        <w:tc>
          <w:tcPr>
            <w:tcW w:w="1074" w:type="dxa"/>
          </w:tcPr>
          <w:p w14:paraId="6212F947">
            <w:pPr>
              <w:pStyle w:val="17"/>
              <w:spacing w:before="20"/>
              <w:ind w:left="9"/>
              <w:rPr>
                <w:sz w:val="21"/>
              </w:rPr>
            </w:pPr>
            <w:r>
              <w:rPr>
                <w:w w:val="99"/>
                <w:sz w:val="21"/>
              </w:rPr>
              <w:t>台</w:t>
            </w:r>
          </w:p>
        </w:tc>
        <w:tc>
          <w:tcPr>
            <w:tcW w:w="1492" w:type="dxa"/>
            <w:tcBorders>
              <w:right w:val="nil"/>
            </w:tcBorders>
          </w:tcPr>
          <w:p w14:paraId="06C01A6B">
            <w:pPr>
              <w:pStyle w:val="17"/>
              <w:spacing w:before="20"/>
              <w:ind w:left="199" w:right="198"/>
              <w:rPr>
                <w:sz w:val="21"/>
              </w:rPr>
            </w:pPr>
            <w:r>
              <w:rPr>
                <w:sz w:val="21"/>
              </w:rPr>
              <w:t>车间外南侧</w:t>
            </w:r>
          </w:p>
        </w:tc>
      </w:tr>
      <w:tr w14:paraId="7A84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7" w:type="dxa"/>
            <w:tcBorders>
              <w:left w:val="nil"/>
            </w:tcBorders>
          </w:tcPr>
          <w:p w14:paraId="0AF0CBF9">
            <w:pPr>
              <w:pStyle w:val="17"/>
              <w:spacing w:before="190"/>
              <w:ind w:left="295" w:right="280"/>
              <w:rPr>
                <w:rFonts w:ascii="Times New Roman"/>
                <w:sz w:val="21"/>
              </w:rPr>
            </w:pPr>
            <w:r>
              <w:rPr>
                <w:rFonts w:ascii="Times New Roman"/>
                <w:sz w:val="21"/>
              </w:rPr>
              <w:t>12</w:t>
            </w:r>
          </w:p>
        </w:tc>
        <w:tc>
          <w:tcPr>
            <w:tcW w:w="2459" w:type="dxa"/>
          </w:tcPr>
          <w:p w14:paraId="39B7508D">
            <w:pPr>
              <w:pStyle w:val="17"/>
              <w:spacing w:before="20"/>
              <w:ind w:left="144" w:right="138"/>
              <w:rPr>
                <w:sz w:val="21"/>
              </w:rPr>
            </w:pP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w:t>
            </w:r>
          </w:p>
          <w:p w14:paraId="2F02F3A8">
            <w:pPr>
              <w:pStyle w:val="17"/>
              <w:spacing w:before="43"/>
              <w:ind w:left="144" w:right="138"/>
              <w:rPr>
                <w:sz w:val="21"/>
              </w:rPr>
            </w:pPr>
            <w:r>
              <w:rPr>
                <w:sz w:val="21"/>
              </w:rPr>
              <w:t>级活性炭吸附装置</w:t>
            </w:r>
          </w:p>
        </w:tc>
        <w:tc>
          <w:tcPr>
            <w:tcW w:w="1220" w:type="dxa"/>
          </w:tcPr>
          <w:p w14:paraId="6F5BE91A">
            <w:pPr>
              <w:pStyle w:val="17"/>
              <w:jc w:val="left"/>
              <w:rPr>
                <w:rFonts w:ascii="Times New Roman"/>
                <w:sz w:val="22"/>
              </w:rPr>
            </w:pPr>
          </w:p>
        </w:tc>
        <w:tc>
          <w:tcPr>
            <w:tcW w:w="1217" w:type="dxa"/>
          </w:tcPr>
          <w:p w14:paraId="39CFD513">
            <w:pPr>
              <w:pStyle w:val="17"/>
              <w:spacing w:before="190"/>
              <w:ind w:left="7"/>
              <w:rPr>
                <w:rFonts w:ascii="Times New Roman"/>
                <w:sz w:val="21"/>
              </w:rPr>
            </w:pPr>
            <w:r>
              <w:rPr>
                <w:rFonts w:ascii="Times New Roman"/>
                <w:w w:val="99"/>
                <w:sz w:val="21"/>
              </w:rPr>
              <w:t>1</w:t>
            </w:r>
          </w:p>
        </w:tc>
        <w:tc>
          <w:tcPr>
            <w:tcW w:w="1074" w:type="dxa"/>
          </w:tcPr>
          <w:p w14:paraId="21F6685A">
            <w:pPr>
              <w:pStyle w:val="17"/>
              <w:spacing w:before="176"/>
              <w:ind w:left="9"/>
              <w:rPr>
                <w:sz w:val="21"/>
              </w:rPr>
            </w:pPr>
            <w:r>
              <w:rPr>
                <w:w w:val="99"/>
                <w:sz w:val="21"/>
              </w:rPr>
              <w:t>台</w:t>
            </w:r>
          </w:p>
        </w:tc>
        <w:tc>
          <w:tcPr>
            <w:tcW w:w="1492" w:type="dxa"/>
            <w:tcBorders>
              <w:right w:val="nil"/>
            </w:tcBorders>
          </w:tcPr>
          <w:p w14:paraId="1AA6D88B">
            <w:pPr>
              <w:pStyle w:val="17"/>
              <w:spacing w:before="176"/>
              <w:ind w:left="199" w:right="198"/>
              <w:rPr>
                <w:sz w:val="21"/>
              </w:rPr>
            </w:pPr>
            <w:r>
              <w:rPr>
                <w:sz w:val="21"/>
              </w:rPr>
              <w:t>车间外南侧</w:t>
            </w:r>
          </w:p>
        </w:tc>
      </w:tr>
      <w:tr w14:paraId="05CD7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tcBorders>
              <w:left w:val="nil"/>
            </w:tcBorders>
          </w:tcPr>
          <w:p w14:paraId="1EBED721">
            <w:pPr>
              <w:pStyle w:val="17"/>
              <w:spacing w:before="34"/>
              <w:ind w:left="295" w:right="280"/>
              <w:rPr>
                <w:rFonts w:ascii="Times New Roman"/>
                <w:sz w:val="21"/>
              </w:rPr>
            </w:pPr>
            <w:r>
              <w:rPr>
                <w:rFonts w:ascii="Times New Roman"/>
                <w:sz w:val="21"/>
              </w:rPr>
              <w:t>13</w:t>
            </w:r>
          </w:p>
        </w:tc>
        <w:tc>
          <w:tcPr>
            <w:tcW w:w="2459" w:type="dxa"/>
          </w:tcPr>
          <w:p w14:paraId="3B581E04">
            <w:pPr>
              <w:pStyle w:val="17"/>
              <w:spacing w:before="20"/>
              <w:ind w:left="142" w:right="138"/>
              <w:rPr>
                <w:sz w:val="21"/>
              </w:rPr>
            </w:pPr>
            <w:r>
              <w:rPr>
                <w:sz w:val="21"/>
              </w:rPr>
              <w:t>风机</w:t>
            </w:r>
          </w:p>
        </w:tc>
        <w:tc>
          <w:tcPr>
            <w:tcW w:w="1220" w:type="dxa"/>
          </w:tcPr>
          <w:p w14:paraId="71C32775">
            <w:pPr>
              <w:pStyle w:val="17"/>
              <w:spacing w:before="34"/>
              <w:ind w:left="7"/>
              <w:rPr>
                <w:rFonts w:ascii="Times New Roman"/>
                <w:sz w:val="21"/>
              </w:rPr>
            </w:pPr>
            <w:r>
              <w:rPr>
                <w:rFonts w:ascii="Times New Roman"/>
                <w:w w:val="99"/>
                <w:sz w:val="21"/>
              </w:rPr>
              <w:t>/</w:t>
            </w:r>
          </w:p>
        </w:tc>
        <w:tc>
          <w:tcPr>
            <w:tcW w:w="1217" w:type="dxa"/>
          </w:tcPr>
          <w:p w14:paraId="6ECDBD4B">
            <w:pPr>
              <w:pStyle w:val="17"/>
              <w:spacing w:before="34"/>
              <w:ind w:left="7"/>
              <w:rPr>
                <w:rFonts w:ascii="Times New Roman"/>
                <w:sz w:val="21"/>
              </w:rPr>
            </w:pPr>
            <w:r>
              <w:rPr>
                <w:rFonts w:ascii="Times New Roman"/>
                <w:w w:val="99"/>
                <w:sz w:val="21"/>
              </w:rPr>
              <w:t>2</w:t>
            </w:r>
          </w:p>
        </w:tc>
        <w:tc>
          <w:tcPr>
            <w:tcW w:w="1074" w:type="dxa"/>
          </w:tcPr>
          <w:p w14:paraId="7A5D1342">
            <w:pPr>
              <w:pStyle w:val="17"/>
              <w:spacing w:before="20"/>
              <w:ind w:left="9"/>
              <w:rPr>
                <w:sz w:val="21"/>
              </w:rPr>
            </w:pPr>
            <w:r>
              <w:rPr>
                <w:w w:val="99"/>
                <w:sz w:val="21"/>
              </w:rPr>
              <w:t>台</w:t>
            </w:r>
          </w:p>
        </w:tc>
        <w:tc>
          <w:tcPr>
            <w:tcW w:w="1492" w:type="dxa"/>
            <w:tcBorders>
              <w:right w:val="nil"/>
            </w:tcBorders>
          </w:tcPr>
          <w:p w14:paraId="7AD6AC51">
            <w:pPr>
              <w:pStyle w:val="17"/>
              <w:spacing w:before="20"/>
              <w:ind w:left="199" w:right="198"/>
              <w:rPr>
                <w:sz w:val="21"/>
              </w:rPr>
            </w:pPr>
            <w:r>
              <w:rPr>
                <w:sz w:val="21"/>
              </w:rPr>
              <w:t>车间外南侧</w:t>
            </w:r>
          </w:p>
        </w:tc>
      </w:tr>
    </w:tbl>
    <w:p w14:paraId="24E7F9CB">
      <w:pPr>
        <w:pStyle w:val="10"/>
        <w:spacing w:before="81"/>
        <w:ind w:left="700"/>
      </w:pPr>
      <w:r>
        <w:t>设备生产能力与产能的匹配性分析：</w:t>
      </w:r>
    </w:p>
    <w:p w14:paraId="2B9F8737">
      <w:pPr>
        <w:pStyle w:val="10"/>
        <w:spacing w:before="160" w:line="364" w:lineRule="auto"/>
        <w:ind w:left="220" w:right="357" w:firstLine="480"/>
        <w:jc w:val="both"/>
      </w:pPr>
      <w:r>
        <w:rPr>
          <w:spacing w:val="-8"/>
        </w:rPr>
        <w:t xml:space="preserve">本项目共设有 </w:t>
      </w:r>
      <w:r>
        <w:rPr>
          <w:rFonts w:ascii="Times New Roman" w:eastAsia="Times New Roman"/>
        </w:rPr>
        <w:t xml:space="preserve">2 </w:t>
      </w:r>
      <w:r>
        <w:rPr>
          <w:spacing w:val="-3"/>
        </w:rPr>
        <w:t xml:space="preserve">条挤出造粒生产线，设计生产能力为单条 </w:t>
      </w:r>
      <w:r>
        <w:rPr>
          <w:rFonts w:ascii="Times New Roman" w:eastAsia="Times New Roman"/>
        </w:rPr>
        <w:t>550kg/h</w:t>
      </w:r>
      <w:r>
        <w:t>，年工作</w:t>
      </w:r>
      <w:r>
        <w:rPr>
          <w:spacing w:val="-15"/>
        </w:rPr>
        <w:t xml:space="preserve">时长为 </w:t>
      </w:r>
      <w:r>
        <w:rPr>
          <w:rFonts w:ascii="Times New Roman" w:eastAsia="Times New Roman"/>
          <w:spacing w:val="-8"/>
        </w:rPr>
        <w:t>4800h</w:t>
      </w:r>
      <w:r>
        <w:rPr>
          <w:spacing w:val="-8"/>
        </w:rPr>
        <w:t xml:space="preserve">，则单条生产线生产能力为 </w:t>
      </w:r>
      <w:r>
        <w:rPr>
          <w:rFonts w:ascii="Times New Roman" w:eastAsia="Times New Roman"/>
          <w:spacing w:val="-6"/>
        </w:rPr>
        <w:t>2640t/a</w:t>
      </w:r>
      <w:r>
        <w:rPr>
          <w:spacing w:val="-14"/>
        </w:rPr>
        <w:t xml:space="preserve">，则项目 </w:t>
      </w:r>
      <w:r>
        <w:rPr>
          <w:rFonts w:ascii="Times New Roman" w:eastAsia="Times New Roman"/>
        </w:rPr>
        <w:t xml:space="preserve">2 </w:t>
      </w:r>
      <w:r>
        <w:t>条挤出造粒生产线的</w:t>
      </w:r>
      <w:r>
        <w:rPr>
          <w:spacing w:val="-11"/>
        </w:rPr>
        <w:t xml:space="preserve">生产能力为 </w:t>
      </w:r>
      <w:r>
        <w:rPr>
          <w:rFonts w:ascii="Times New Roman" w:eastAsia="Times New Roman"/>
        </w:rPr>
        <w:t>5280t/a</w:t>
      </w:r>
      <w:r>
        <w:rPr>
          <w:spacing w:val="-7"/>
        </w:rPr>
        <w:t xml:space="preserve">，满足年产再生塑料 </w:t>
      </w:r>
      <w:r>
        <w:rPr>
          <w:rFonts w:ascii="Times New Roman" w:eastAsia="Times New Roman"/>
        </w:rPr>
        <w:t xml:space="preserve">PE </w:t>
      </w:r>
      <w:r>
        <w:rPr>
          <w:spacing w:val="-31"/>
        </w:rPr>
        <w:t xml:space="preserve">料 </w:t>
      </w:r>
      <w:r>
        <w:rPr>
          <w:rFonts w:ascii="Times New Roman" w:eastAsia="Times New Roman"/>
        </w:rPr>
        <w:t xml:space="preserve">5000 </w:t>
      </w:r>
      <w:r>
        <w:t>吨的产能需求。</w:t>
      </w:r>
    </w:p>
    <w:p w14:paraId="1D2FD9F8">
      <w:pPr>
        <w:pStyle w:val="10"/>
        <w:spacing w:before="2" w:line="364" w:lineRule="auto"/>
        <w:ind w:left="220" w:right="357" w:firstLine="480"/>
        <w:jc w:val="both"/>
      </w:pPr>
      <w:r>
        <w:rPr>
          <w:spacing w:val="-8"/>
        </w:rPr>
        <w:t xml:space="preserve">本项目共设有 </w:t>
      </w:r>
      <w:r>
        <w:rPr>
          <w:rFonts w:ascii="Times New Roman" w:eastAsia="Times New Roman"/>
        </w:rPr>
        <w:t xml:space="preserve">4 </w:t>
      </w:r>
      <w:r>
        <w:rPr>
          <w:spacing w:val="-3"/>
        </w:rPr>
        <w:t xml:space="preserve">条挤出注塑生产线，设计生产能力为单条 </w:t>
      </w:r>
      <w:r>
        <w:rPr>
          <w:rFonts w:ascii="Times New Roman" w:eastAsia="Times New Roman"/>
        </w:rPr>
        <w:t>600kg/h</w:t>
      </w:r>
      <w:r>
        <w:t>，年工作</w:t>
      </w:r>
      <w:r>
        <w:rPr>
          <w:spacing w:val="-15"/>
        </w:rPr>
        <w:t xml:space="preserve">时长为 </w:t>
      </w:r>
      <w:r>
        <w:rPr>
          <w:rFonts w:ascii="Times New Roman" w:eastAsia="Times New Roman"/>
          <w:spacing w:val="-8"/>
        </w:rPr>
        <w:t>4800h</w:t>
      </w:r>
      <w:r>
        <w:rPr>
          <w:spacing w:val="-8"/>
        </w:rPr>
        <w:t xml:space="preserve">，则单条生产线生产能力为 </w:t>
      </w:r>
      <w:r>
        <w:rPr>
          <w:rFonts w:ascii="Times New Roman" w:eastAsia="Times New Roman"/>
          <w:spacing w:val="-6"/>
        </w:rPr>
        <w:t>2880t/a</w:t>
      </w:r>
      <w:r>
        <w:rPr>
          <w:spacing w:val="-14"/>
        </w:rPr>
        <w:t xml:space="preserve">，则项目 </w:t>
      </w:r>
      <w:r>
        <w:rPr>
          <w:rFonts w:ascii="Times New Roman" w:eastAsia="Times New Roman"/>
        </w:rPr>
        <w:t xml:space="preserve">2 </w:t>
      </w:r>
      <w:r>
        <w:t>条挤出造粒生产线的</w:t>
      </w:r>
      <w:r>
        <w:rPr>
          <w:spacing w:val="-11"/>
        </w:rPr>
        <w:t xml:space="preserve">生产能力为 </w:t>
      </w:r>
      <w:r>
        <w:rPr>
          <w:rFonts w:ascii="Times New Roman" w:eastAsia="Times New Roman"/>
        </w:rPr>
        <w:t>11520t/a</w:t>
      </w:r>
      <w:r>
        <w:rPr>
          <w:spacing w:val="-11"/>
        </w:rPr>
        <w:t xml:space="preserve">，满足年产 </w:t>
      </w:r>
      <w:r>
        <w:rPr>
          <w:rFonts w:ascii="Times New Roman" w:eastAsia="Times New Roman"/>
        </w:rPr>
        <w:t xml:space="preserve">1 </w:t>
      </w:r>
      <w:r>
        <w:t>万吨塑料排水板系列产品的产能需求。</w:t>
      </w:r>
    </w:p>
    <w:p w14:paraId="70112344">
      <w:pPr>
        <w:pStyle w:val="16"/>
        <w:numPr>
          <w:ilvl w:val="2"/>
          <w:numId w:val="8"/>
        </w:numPr>
        <w:tabs>
          <w:tab w:val="left" w:pos="849"/>
        </w:tabs>
        <w:spacing w:before="53" w:after="0" w:line="240" w:lineRule="auto"/>
        <w:ind w:left="848" w:right="0" w:hanging="628"/>
        <w:jc w:val="left"/>
        <w:rPr>
          <w:b/>
          <w:sz w:val="28"/>
        </w:rPr>
      </w:pPr>
      <w:r>
        <w:rPr>
          <w:b/>
          <w:sz w:val="28"/>
        </w:rPr>
        <w:t>公用工程</w:t>
      </w:r>
    </w:p>
    <w:p w14:paraId="4009AF67">
      <w:pPr>
        <w:pStyle w:val="10"/>
        <w:spacing w:before="214"/>
        <w:ind w:left="700"/>
      </w:pPr>
      <w:r>
        <w:rPr>
          <w:rFonts w:ascii="Times New Roman" w:eastAsia="Times New Roman"/>
        </w:rPr>
        <w:t>1</w:t>
      </w:r>
      <w:r>
        <w:t>、给水</w:t>
      </w:r>
    </w:p>
    <w:p w14:paraId="47AC526C">
      <w:pPr>
        <w:pStyle w:val="10"/>
        <w:spacing w:before="161" w:line="364" w:lineRule="auto"/>
        <w:ind w:left="220" w:right="357" w:firstLine="480"/>
        <w:jc w:val="both"/>
      </w:pPr>
      <w:r>
        <w:rPr>
          <w:spacing w:val="-5"/>
        </w:rPr>
        <w:t>本项目给水依托中塑新材料公司现有给水系统，厂区已建成生产生活供水管网，可满足本项目用水要求。</w:t>
      </w:r>
    </w:p>
    <w:p w14:paraId="43D1A755">
      <w:pPr>
        <w:pStyle w:val="10"/>
        <w:spacing w:before="1"/>
        <w:ind w:left="700"/>
      </w:pPr>
      <w:r>
        <w:rPr>
          <w:rFonts w:ascii="Times New Roman" w:eastAsia="Times New Roman"/>
        </w:rPr>
        <w:t>2</w:t>
      </w:r>
      <w:r>
        <w:t>、排水</w:t>
      </w:r>
    </w:p>
    <w:p w14:paraId="13932BB4">
      <w:pPr>
        <w:pStyle w:val="10"/>
        <w:spacing w:before="161"/>
        <w:ind w:left="700"/>
      </w:pPr>
      <w:r>
        <w:t>本项目排水依托中塑新材料公司现有排水系统，已建设</w:t>
      </w:r>
      <w:r>
        <w:rPr>
          <w:rFonts w:ascii="Times New Roman" w:hAnsi="Times New Roman" w:eastAsia="Times New Roman"/>
        </w:rPr>
        <w:t>“</w:t>
      </w:r>
      <w:r>
        <w:t>雨污分流、污污分</w:t>
      </w:r>
    </w:p>
    <w:p w14:paraId="4E03835E">
      <w:pPr>
        <w:spacing w:after="0"/>
        <w:sectPr>
          <w:pgSz w:w="11910" w:h="16840"/>
          <w:pgMar w:top="1440" w:right="1440" w:bottom="1220" w:left="1580" w:header="0" w:footer="1024" w:gutter="0"/>
          <w:cols w:space="720" w:num="1"/>
        </w:sectPr>
      </w:pPr>
    </w:p>
    <w:p w14:paraId="51937CD3">
      <w:pPr>
        <w:pStyle w:val="10"/>
        <w:spacing w:before="62" w:line="364" w:lineRule="auto"/>
        <w:ind w:left="220" w:right="357"/>
        <w:jc w:val="both"/>
      </w:pPr>
      <w:r>
        <w:t>流</w:t>
      </w:r>
      <w:r>
        <w:rPr>
          <w:rFonts w:ascii="Times New Roman" w:hAnsi="Times New Roman" w:eastAsia="Times New Roman"/>
        </w:rPr>
        <w:t>”</w:t>
      </w:r>
      <w:r>
        <w:t>排水系统。间接冷却水循环使用，不外排，定期补充损耗；生活污水经化粪</w:t>
      </w:r>
      <w:r>
        <w:rPr>
          <w:spacing w:val="-5"/>
        </w:rPr>
        <w:t>池处理后排入汨罗市城市污水处理厂进行处理；雨水经厂区雨水沟收集后排入园区雨水管网。</w:t>
      </w:r>
    </w:p>
    <w:p w14:paraId="421FA595">
      <w:pPr>
        <w:pStyle w:val="10"/>
        <w:spacing w:before="2"/>
        <w:ind w:left="700"/>
      </w:pPr>
      <w:r>
        <w:rPr>
          <w:rFonts w:ascii="Times New Roman" w:eastAsia="Times New Roman"/>
        </w:rPr>
        <w:t>3</w:t>
      </w:r>
      <w:r>
        <w:t>、供电</w:t>
      </w:r>
    </w:p>
    <w:p w14:paraId="0AE3182D">
      <w:pPr>
        <w:pStyle w:val="10"/>
        <w:spacing w:before="160"/>
        <w:ind w:left="700"/>
      </w:pPr>
      <w:r>
        <w:t xml:space="preserve">本项目用电依托新市镇市政电网，供电容量为 </w:t>
      </w:r>
      <w:r>
        <w:rPr>
          <w:rFonts w:ascii="Times New Roman" w:eastAsia="Times New Roman"/>
        </w:rPr>
        <w:t>250kVA</w:t>
      </w:r>
      <w:r>
        <w:t>，本项目用电量约为</w:t>
      </w:r>
    </w:p>
    <w:p w14:paraId="7952DD9D">
      <w:pPr>
        <w:pStyle w:val="10"/>
        <w:spacing w:before="161"/>
        <w:ind w:left="220"/>
      </w:pPr>
      <w:r>
        <w:rPr>
          <w:rFonts w:ascii="Times New Roman" w:eastAsia="Times New Roman"/>
        </w:rPr>
        <w:t xml:space="preserve">60 </w:t>
      </w:r>
      <w:r>
        <w:t xml:space="preserve">万 </w:t>
      </w:r>
      <w:r>
        <w:rPr>
          <w:rFonts w:ascii="Times New Roman" w:eastAsia="Times New Roman"/>
        </w:rPr>
        <w:t>KWh/a</w:t>
      </w:r>
      <w:r>
        <w:t>。</w:t>
      </w:r>
    </w:p>
    <w:p w14:paraId="21A05780">
      <w:pPr>
        <w:pStyle w:val="10"/>
        <w:spacing w:before="160"/>
        <w:ind w:left="700"/>
      </w:pPr>
      <w:r>
        <w:rPr>
          <w:rFonts w:ascii="Times New Roman" w:eastAsia="Times New Roman"/>
        </w:rPr>
        <w:t>4</w:t>
      </w:r>
      <w:r>
        <w:t>、循环冷却水系统</w:t>
      </w:r>
    </w:p>
    <w:p w14:paraId="109EED63">
      <w:pPr>
        <w:pStyle w:val="10"/>
        <w:spacing w:before="161" w:line="364" w:lineRule="auto"/>
        <w:ind w:left="220" w:right="303" w:firstLine="480"/>
      </w:pPr>
      <w:r>
        <w:t xml:space="preserve">本项目挤出注塑工段采用间接水冷方式，建设一座 </w:t>
      </w:r>
      <w:r>
        <w:rPr>
          <w:rFonts w:ascii="Times New Roman" w:eastAsia="Times New Roman"/>
        </w:rPr>
        <w:t>10m</w:t>
      </w:r>
      <w:r>
        <w:rPr>
          <w:rFonts w:ascii="Times New Roman" w:eastAsia="Times New Roman"/>
          <w:position w:val="8"/>
          <w:sz w:val="15"/>
        </w:rPr>
        <w:t xml:space="preserve">3 </w:t>
      </w:r>
      <w:r>
        <w:t xml:space="preserve">循环冷却水池，循环水量为 </w:t>
      </w:r>
      <w:r>
        <w:rPr>
          <w:rFonts w:ascii="Times New Roman" w:eastAsia="Times New Roman"/>
        </w:rPr>
        <w:t>3m</w:t>
      </w:r>
      <w:r>
        <w:rPr>
          <w:rFonts w:ascii="Times New Roman" w:eastAsia="Times New Roman"/>
          <w:position w:val="8"/>
          <w:sz w:val="15"/>
        </w:rPr>
        <w:t>3</w:t>
      </w:r>
      <w:r>
        <w:rPr>
          <w:rFonts w:ascii="Times New Roman" w:eastAsia="Times New Roman"/>
        </w:rPr>
        <w:t>/h</w:t>
      </w:r>
      <w:r>
        <w:t>。</w:t>
      </w:r>
    </w:p>
    <w:p w14:paraId="163AF6F9">
      <w:pPr>
        <w:pStyle w:val="16"/>
        <w:numPr>
          <w:ilvl w:val="2"/>
          <w:numId w:val="8"/>
        </w:numPr>
        <w:tabs>
          <w:tab w:val="left" w:pos="849"/>
        </w:tabs>
        <w:spacing w:before="55" w:after="0" w:line="240" w:lineRule="auto"/>
        <w:ind w:left="848" w:right="0" w:hanging="628"/>
        <w:jc w:val="left"/>
        <w:rPr>
          <w:b/>
          <w:sz w:val="28"/>
        </w:rPr>
      </w:pPr>
      <w:r>
        <w:rPr>
          <w:b/>
          <w:sz w:val="28"/>
        </w:rPr>
        <w:t>储运工程</w:t>
      </w:r>
    </w:p>
    <w:p w14:paraId="623B0A0A">
      <w:pPr>
        <w:pStyle w:val="10"/>
        <w:spacing w:before="211" w:line="364" w:lineRule="auto"/>
        <w:ind w:left="220" w:right="357" w:firstLine="480"/>
        <w:jc w:val="both"/>
      </w:pPr>
      <w:r>
        <w:rPr>
          <w:spacing w:val="-13"/>
        </w:rPr>
        <w:t xml:space="preserve">本项目 </w:t>
      </w:r>
      <w:r>
        <w:rPr>
          <w:rFonts w:ascii="Times New Roman" w:eastAsia="Times New Roman"/>
        </w:rPr>
        <w:t xml:space="preserve">PE </w:t>
      </w:r>
      <w:r>
        <w:rPr>
          <w:spacing w:val="-10"/>
        </w:rPr>
        <w:t xml:space="preserve">新料、废 </w:t>
      </w:r>
      <w:r>
        <w:rPr>
          <w:rFonts w:ascii="Times New Roman" w:eastAsia="Times New Roman"/>
        </w:rPr>
        <w:t xml:space="preserve">PE </w:t>
      </w:r>
      <w:r>
        <w:t>塑料（已破碎清洗分拣后的废塑料）、钙粉、色母粒、稳定剂、</w:t>
      </w:r>
      <w:r>
        <w:rPr>
          <w:rFonts w:ascii="Times New Roman" w:eastAsia="Times New Roman"/>
        </w:rPr>
        <w:t xml:space="preserve">PE </w:t>
      </w:r>
      <w:r>
        <w:t>蜡等原辅材料存放在车间内西侧的原料区内。项目产品临时堆放在车间东侧的成品区。</w:t>
      </w:r>
    </w:p>
    <w:p w14:paraId="4D68223B">
      <w:pPr>
        <w:pStyle w:val="16"/>
        <w:numPr>
          <w:ilvl w:val="2"/>
          <w:numId w:val="8"/>
        </w:numPr>
        <w:tabs>
          <w:tab w:val="left" w:pos="849"/>
        </w:tabs>
        <w:spacing w:before="56" w:after="0" w:line="240" w:lineRule="auto"/>
        <w:ind w:left="848" w:right="0" w:hanging="628"/>
        <w:jc w:val="left"/>
        <w:rPr>
          <w:b/>
          <w:sz w:val="28"/>
        </w:rPr>
      </w:pPr>
      <w:r>
        <w:rPr>
          <w:b/>
          <w:sz w:val="28"/>
        </w:rPr>
        <w:t>劳动定员及工作制度</w:t>
      </w:r>
    </w:p>
    <w:p w14:paraId="548AD450">
      <w:pPr>
        <w:pStyle w:val="10"/>
        <w:spacing w:before="211" w:line="364" w:lineRule="auto"/>
        <w:ind w:left="220" w:right="357" w:firstLine="480"/>
      </w:pPr>
      <w:r>
        <w:rPr>
          <w:spacing w:val="-8"/>
        </w:rPr>
        <w:t xml:space="preserve">本项目劳动定员 </w:t>
      </w:r>
      <w:r>
        <w:rPr>
          <w:rFonts w:ascii="Times New Roman" w:eastAsia="Times New Roman"/>
        </w:rPr>
        <w:t xml:space="preserve">20 </w:t>
      </w:r>
      <w:r>
        <w:rPr>
          <w:spacing w:val="-23"/>
        </w:rPr>
        <w:t xml:space="preserve">人，每天三班，每班 </w:t>
      </w:r>
      <w:r>
        <w:rPr>
          <w:rFonts w:ascii="Times New Roman" w:eastAsia="Times New Roman"/>
        </w:rPr>
        <w:t xml:space="preserve">8 </w:t>
      </w:r>
      <w:r>
        <w:rPr>
          <w:spacing w:val="-14"/>
        </w:rPr>
        <w:t xml:space="preserve">小时工作制，年生产时间 </w:t>
      </w:r>
      <w:r>
        <w:rPr>
          <w:rFonts w:ascii="Times New Roman" w:eastAsia="Times New Roman"/>
          <w:spacing w:val="-13"/>
        </w:rPr>
        <w:t>300d</w:t>
      </w:r>
      <w:r>
        <w:rPr>
          <w:spacing w:val="-13"/>
        </w:rPr>
        <w:t>（</w:t>
      </w:r>
      <w:r>
        <w:t>折</w:t>
      </w:r>
      <w:r>
        <w:rPr>
          <w:spacing w:val="-20"/>
        </w:rPr>
        <w:t xml:space="preserve">合约 </w:t>
      </w:r>
      <w:r>
        <w:rPr>
          <w:rFonts w:ascii="Times New Roman" w:eastAsia="Times New Roman"/>
        </w:rPr>
        <w:t>7200h</w:t>
      </w:r>
      <w:r>
        <w:t>），不在厂区食宿。</w:t>
      </w:r>
    </w:p>
    <w:p w14:paraId="69757D68">
      <w:pPr>
        <w:pStyle w:val="3"/>
        <w:numPr>
          <w:ilvl w:val="1"/>
          <w:numId w:val="9"/>
        </w:numPr>
        <w:tabs>
          <w:tab w:val="left" w:pos="669"/>
        </w:tabs>
        <w:spacing w:before="42" w:after="0" w:line="240" w:lineRule="auto"/>
        <w:ind w:left="668" w:right="0" w:hanging="448"/>
        <w:jc w:val="left"/>
      </w:pPr>
      <w:bookmarkStart w:id="17" w:name="_TOC_250038"/>
      <w:bookmarkEnd w:id="17"/>
      <w:r>
        <w:t>拟建项目影响因素分析</w:t>
      </w:r>
    </w:p>
    <w:p w14:paraId="59B3EEB9">
      <w:pPr>
        <w:pStyle w:val="16"/>
        <w:numPr>
          <w:ilvl w:val="2"/>
          <w:numId w:val="9"/>
        </w:numPr>
        <w:tabs>
          <w:tab w:val="left" w:pos="849"/>
        </w:tabs>
        <w:spacing w:before="253" w:after="0" w:line="240" w:lineRule="auto"/>
        <w:ind w:left="848" w:right="0" w:hanging="628"/>
        <w:jc w:val="left"/>
        <w:rPr>
          <w:b/>
          <w:sz w:val="28"/>
        </w:rPr>
      </w:pPr>
      <w:r>
        <w:rPr>
          <w:b/>
          <w:sz w:val="28"/>
        </w:rPr>
        <w:t>施工期工程分析</w:t>
      </w:r>
    </w:p>
    <w:p w14:paraId="07BF4C9C">
      <w:pPr>
        <w:pStyle w:val="10"/>
        <w:spacing w:before="211" w:line="364" w:lineRule="auto"/>
        <w:ind w:left="220" w:right="237" w:firstLine="480"/>
      </w:pPr>
      <w:r>
        <w:rPr>
          <w:spacing w:val="-5"/>
        </w:rPr>
        <w:t>本项目租赁已建成厂房，主要施工内容为在厂房内进行设备安装、调试、运</w:t>
      </w:r>
      <w:r>
        <w:rPr>
          <w:spacing w:val="-17"/>
        </w:rPr>
        <w:t>行等，项目不新增用地，不涉及土石方工程。施工期工程内容简单，施工时间短， 故不进行施工期的工程分析。</w:t>
      </w:r>
    </w:p>
    <w:p w14:paraId="68A54B7E">
      <w:pPr>
        <w:pStyle w:val="16"/>
        <w:numPr>
          <w:ilvl w:val="2"/>
          <w:numId w:val="9"/>
        </w:numPr>
        <w:tabs>
          <w:tab w:val="left" w:pos="849"/>
        </w:tabs>
        <w:spacing w:before="56" w:after="0" w:line="240" w:lineRule="auto"/>
        <w:ind w:left="848" w:right="0" w:hanging="628"/>
        <w:jc w:val="left"/>
        <w:rPr>
          <w:b/>
          <w:sz w:val="28"/>
        </w:rPr>
      </w:pPr>
      <w:r>
        <w:rPr>
          <w:b/>
          <w:sz w:val="28"/>
        </w:rPr>
        <w:t>运营期工艺流程及产排污节点</w:t>
      </w:r>
    </w:p>
    <w:p w14:paraId="5DCBFEEF">
      <w:pPr>
        <w:pStyle w:val="9"/>
        <w:numPr>
          <w:ilvl w:val="3"/>
          <w:numId w:val="9"/>
        </w:numPr>
        <w:tabs>
          <w:tab w:val="left" w:pos="940"/>
        </w:tabs>
        <w:spacing w:before="211" w:after="0" w:line="240" w:lineRule="auto"/>
        <w:ind w:left="940" w:right="0" w:hanging="720"/>
        <w:jc w:val="left"/>
      </w:pPr>
      <w:r>
        <w:t>工艺流程</w:t>
      </w:r>
    </w:p>
    <w:p w14:paraId="373B3A85">
      <w:pPr>
        <w:pStyle w:val="10"/>
        <w:spacing w:before="161"/>
        <w:ind w:left="700"/>
      </w:pPr>
      <w:r>
        <w:t>本项目主要生产工艺流程和产污节点见下图。</w:t>
      </w:r>
    </w:p>
    <w:p w14:paraId="2EB29FFA">
      <w:pPr>
        <w:spacing w:after="0"/>
        <w:sectPr>
          <w:pgSz w:w="11910" w:h="16840"/>
          <w:pgMar w:top="1440" w:right="1440" w:bottom="1220" w:left="1580" w:header="0" w:footer="1024" w:gutter="0"/>
          <w:cols w:space="720" w:num="1"/>
        </w:sectPr>
      </w:pPr>
    </w:p>
    <w:p w14:paraId="0965E01F">
      <w:pPr>
        <w:pStyle w:val="10"/>
        <w:ind w:left="220"/>
        <w:rPr>
          <w:sz w:val="20"/>
        </w:rPr>
      </w:pPr>
      <w:r>
        <w:rPr>
          <w:sz w:val="20"/>
        </w:rPr>
        <w:drawing>
          <wp:inline distT="0" distB="0" distL="0" distR="0">
            <wp:extent cx="5222240" cy="6631940"/>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4.png"/>
                    <pic:cNvPicPr>
                      <a:picLocks noChangeAspect="1"/>
                    </pic:cNvPicPr>
                  </pic:nvPicPr>
                  <pic:blipFill>
                    <a:blip r:embed="rId56" cstate="print"/>
                    <a:stretch>
                      <a:fillRect/>
                    </a:stretch>
                  </pic:blipFill>
                  <pic:spPr>
                    <a:xfrm>
                      <a:off x="0" y="0"/>
                      <a:ext cx="5222637" cy="6632448"/>
                    </a:xfrm>
                    <a:prstGeom prst="rect">
                      <a:avLst/>
                    </a:prstGeom>
                  </pic:spPr>
                </pic:pic>
              </a:graphicData>
            </a:graphic>
          </wp:inline>
        </w:drawing>
      </w:r>
    </w:p>
    <w:p w14:paraId="62829970">
      <w:pPr>
        <w:pStyle w:val="10"/>
        <w:spacing w:before="5"/>
        <w:rPr>
          <w:sz w:val="5"/>
        </w:rPr>
      </w:pPr>
    </w:p>
    <w:p w14:paraId="384879B4">
      <w:pPr>
        <w:spacing w:after="0"/>
        <w:rPr>
          <w:sz w:val="5"/>
        </w:rPr>
        <w:sectPr>
          <w:pgSz w:w="11910" w:h="16840"/>
          <w:pgMar w:top="1460" w:right="1440" w:bottom="1220" w:left="1580" w:header="0" w:footer="1024" w:gutter="0"/>
          <w:cols w:space="720" w:num="1"/>
        </w:sectPr>
      </w:pPr>
    </w:p>
    <w:p w14:paraId="46DF4E2D">
      <w:pPr>
        <w:pStyle w:val="10"/>
        <w:spacing w:before="12"/>
        <w:rPr>
          <w:sz w:val="34"/>
        </w:rPr>
      </w:pPr>
    </w:p>
    <w:p w14:paraId="1AEDDC88">
      <w:pPr>
        <w:pStyle w:val="10"/>
        <w:ind w:left="700"/>
      </w:pPr>
      <w:r>
        <w:t>工艺流程简述：</w:t>
      </w:r>
    </w:p>
    <w:p w14:paraId="036356EE">
      <w:pPr>
        <w:pStyle w:val="9"/>
        <w:spacing w:before="59"/>
        <w:ind w:left="288"/>
      </w:pPr>
      <w:r>
        <w:rPr>
          <w:b w:val="0"/>
        </w:rPr>
        <w:br w:type="column"/>
      </w:r>
      <w:r>
        <w:rPr>
          <w:spacing w:val="-31"/>
        </w:rPr>
        <w:t xml:space="preserve">图 </w:t>
      </w:r>
      <w:r>
        <w:rPr>
          <w:rFonts w:ascii="Times New Roman" w:eastAsia="Times New Roman"/>
        </w:rPr>
        <w:t>2.2-1</w:t>
      </w:r>
      <w:r>
        <w:rPr>
          <w:rFonts w:ascii="Times New Roman" w:eastAsia="Times New Roman"/>
          <w:spacing w:val="58"/>
        </w:rPr>
        <w:t xml:space="preserve"> </w:t>
      </w:r>
      <w:r>
        <w:t>生产工艺及产污节点图</w:t>
      </w:r>
    </w:p>
    <w:p w14:paraId="2F7D15EA">
      <w:pPr>
        <w:spacing w:after="0"/>
        <w:sectPr>
          <w:type w:val="continuous"/>
          <w:pgSz w:w="11910" w:h="16840"/>
          <w:pgMar w:top="1600" w:right="1440" w:bottom="280" w:left="1580" w:header="720" w:footer="720" w:gutter="0"/>
          <w:cols w:equalWidth="0" w:num="2">
            <w:col w:w="2381" w:space="40"/>
            <w:col w:w="6469"/>
          </w:cols>
        </w:sectPr>
      </w:pPr>
    </w:p>
    <w:p w14:paraId="41BDB4E3">
      <w:pPr>
        <w:pStyle w:val="10"/>
        <w:spacing w:before="161" w:line="364" w:lineRule="auto"/>
        <w:ind w:left="220" w:right="357" w:firstLine="480"/>
        <w:jc w:val="both"/>
      </w:pPr>
      <w:r>
        <w:t>（</w:t>
      </w:r>
      <w:r>
        <w:rPr>
          <w:rFonts w:ascii="Times New Roman" w:eastAsia="Times New Roman"/>
        </w:rPr>
        <w:t>1</w:t>
      </w:r>
      <w:r>
        <w:t>）破碎：项目产生的不合格品和边角料通过破碎机破碎处理后和外购的</w:t>
      </w:r>
      <w:r>
        <w:rPr>
          <w:spacing w:val="-31"/>
        </w:rPr>
        <w:t xml:space="preserve">废 </w:t>
      </w:r>
      <w:r>
        <w:rPr>
          <w:rFonts w:ascii="Times New Roman" w:eastAsia="Times New Roman"/>
        </w:rPr>
        <w:t xml:space="preserve">PE </w:t>
      </w:r>
      <w:r>
        <w:rPr>
          <w:spacing w:val="-2"/>
        </w:rPr>
        <w:t>塑料片一起进入后续工序，项目采用全密闭破碎机。在破碎工序产生破碎粉尘和噪声。</w:t>
      </w:r>
    </w:p>
    <w:p w14:paraId="1BEBF6B5">
      <w:pPr>
        <w:pStyle w:val="10"/>
        <w:spacing w:before="1" w:line="364" w:lineRule="auto"/>
        <w:ind w:left="220" w:right="163" w:firstLine="480"/>
      </w:pPr>
      <w:r>
        <w:t>（</w:t>
      </w:r>
      <w:r>
        <w:rPr>
          <w:rFonts w:ascii="Times New Roman" w:eastAsia="Times New Roman"/>
        </w:rPr>
        <w:t>2</w:t>
      </w:r>
      <w:r>
        <w:t xml:space="preserve">）投料、混料：将破碎后的不合格品、边角料，外购的的废 </w:t>
      </w:r>
      <w:r>
        <w:rPr>
          <w:rFonts w:ascii="Times New Roman" w:eastAsia="Times New Roman"/>
        </w:rPr>
        <w:t xml:space="preserve">PE </w:t>
      </w:r>
      <w:r>
        <w:t>塑料片、钙粉、稳定剂、</w:t>
      </w:r>
      <w:r>
        <w:rPr>
          <w:rFonts w:ascii="Times New Roman" w:eastAsia="Times New Roman"/>
        </w:rPr>
        <w:t xml:space="preserve">PE </w:t>
      </w:r>
      <w:r>
        <w:t>蜡、调节剂等辅料投入到搅拌机的上料斗内，采用人口投料，</w:t>
      </w:r>
    </w:p>
    <w:p w14:paraId="477853E2">
      <w:pPr>
        <w:spacing w:after="0" w:line="364" w:lineRule="auto"/>
        <w:sectPr>
          <w:type w:val="continuous"/>
          <w:pgSz w:w="11910" w:h="16840"/>
          <w:pgMar w:top="1600" w:right="1440" w:bottom="280" w:left="1580" w:header="720" w:footer="720" w:gutter="0"/>
          <w:cols w:space="720" w:num="1"/>
        </w:sectPr>
      </w:pPr>
    </w:p>
    <w:p w14:paraId="463428EC">
      <w:pPr>
        <w:pStyle w:val="10"/>
        <w:spacing w:before="62" w:line="364" w:lineRule="auto"/>
        <w:ind w:left="220" w:right="251"/>
      </w:pPr>
      <w:r>
        <w:t xml:space="preserve">通过搅拌机进行混合搅拌，目的是使各种物料均匀混合。搅拌温度约为 </w:t>
      </w:r>
      <w:r>
        <w:rPr>
          <w:rFonts w:ascii="Times New Roman" w:hAnsi="Times New Roman" w:eastAsia="Times New Roman"/>
        </w:rPr>
        <w:t>105℃</w:t>
      </w:r>
      <w:r>
        <w:t xml:space="preserve">， 搅拌时间约为 </w:t>
      </w:r>
      <w:r>
        <w:rPr>
          <w:rFonts w:ascii="Times New Roman" w:hAnsi="Times New Roman" w:eastAsia="Times New Roman"/>
        </w:rPr>
        <w:t>15min</w:t>
      </w:r>
      <w:r>
        <w:t>，在配料混合过程中会产生粉尘。</w:t>
      </w:r>
    </w:p>
    <w:p w14:paraId="7AD6C406">
      <w:pPr>
        <w:pStyle w:val="10"/>
        <w:spacing w:before="1" w:line="364" w:lineRule="auto"/>
        <w:ind w:left="220" w:right="237" w:firstLine="480"/>
      </w:pPr>
      <w:r>
        <w:t>（</w:t>
      </w:r>
      <w:r>
        <w:rPr>
          <w:rFonts w:ascii="Times New Roman" w:hAnsi="Times New Roman" w:eastAsia="Times New Roman"/>
        </w:rPr>
        <w:t>3</w:t>
      </w:r>
      <w:r>
        <w:t xml:space="preserve">）挤出造粒：混合后的物料通过螺杆挤出机的混合、输送、剪切等作用下将物料熔融混合，使各种成分均匀分散在整个系统中，并将聚合物熔体挤出， </w:t>
      </w:r>
      <w:r>
        <w:rPr>
          <w:spacing w:val="-20"/>
        </w:rPr>
        <w:t xml:space="preserve">生成 </w:t>
      </w:r>
      <w:r>
        <w:rPr>
          <w:rFonts w:ascii="Times New Roman" w:hAnsi="Times New Roman" w:eastAsia="Times New Roman"/>
        </w:rPr>
        <w:t xml:space="preserve">PE </w:t>
      </w:r>
      <w:r>
        <w:rPr>
          <w:spacing w:val="-1"/>
        </w:rPr>
        <w:t>再生塑料粒子</w:t>
      </w:r>
      <w:r>
        <w:t>（</w:t>
      </w:r>
      <w:r>
        <w:rPr>
          <w:spacing w:val="-1"/>
        </w:rPr>
        <w:t>全部用于本项目排水板系列产品生产，不外售</w:t>
      </w:r>
      <w:r>
        <w:rPr>
          <w:spacing w:val="-5"/>
        </w:rPr>
        <w:t>）</w:t>
      </w:r>
      <w:r>
        <w:rPr>
          <w:spacing w:val="-2"/>
        </w:rPr>
        <w:t>。塑料</w:t>
      </w:r>
      <w:r>
        <w:rPr>
          <w:spacing w:val="-14"/>
        </w:rPr>
        <w:t xml:space="preserve">种类不同，加热熔融的温度也不一样，项目 </w:t>
      </w:r>
      <w:r>
        <w:rPr>
          <w:rFonts w:ascii="Times New Roman" w:hAnsi="Times New Roman" w:eastAsia="Times New Roman"/>
        </w:rPr>
        <w:t xml:space="preserve">PE </w:t>
      </w:r>
      <w:r>
        <w:rPr>
          <w:spacing w:val="-7"/>
        </w:rPr>
        <w:t xml:space="preserve">造粒工序控制温度在 </w:t>
      </w:r>
      <w:r>
        <w:rPr>
          <w:rFonts w:ascii="Times New Roman" w:hAnsi="Times New Roman" w:eastAsia="Times New Roman"/>
        </w:rPr>
        <w:t>170~190℃</w:t>
      </w:r>
      <w:r>
        <w:t>、热分解温度＞</w:t>
      </w:r>
      <w:r>
        <w:rPr>
          <w:rFonts w:ascii="Times New Roman" w:hAnsi="Times New Roman" w:eastAsia="Times New Roman"/>
        </w:rPr>
        <w:t>320℃</w:t>
      </w:r>
      <w:r>
        <w:t xml:space="preserve">，加热方式为电加热。加热熔融塑料出口设置微孔过滤机， </w:t>
      </w:r>
      <w:r>
        <w:rPr>
          <w:spacing w:val="-13"/>
        </w:rPr>
        <w:t>进一步去除熔体中的杂质，微孔过滤机内的滤网需要定期更换，会产生造粒杂质、废滤网。</w:t>
      </w:r>
    </w:p>
    <w:p w14:paraId="783E9D64">
      <w:pPr>
        <w:pStyle w:val="10"/>
        <w:spacing w:before="4" w:line="364" w:lineRule="auto"/>
        <w:ind w:left="220" w:right="296" w:firstLine="480"/>
      </w:pPr>
      <w:r>
        <w:t>（</w:t>
      </w:r>
      <w:r>
        <w:rPr>
          <w:rFonts w:ascii="Times New Roman" w:eastAsia="Times New Roman"/>
        </w:rPr>
        <w:t>4</w:t>
      </w:r>
      <w:r>
        <w:t xml:space="preserve">）投料混料：将挤出造粒生产的 </w:t>
      </w:r>
      <w:r>
        <w:rPr>
          <w:rFonts w:ascii="Times New Roman" w:eastAsia="Times New Roman"/>
        </w:rPr>
        <w:t xml:space="preserve">PE </w:t>
      </w:r>
      <w:r>
        <w:t>再生塑料粒子、</w:t>
      </w:r>
      <w:r>
        <w:rPr>
          <w:rFonts w:ascii="Times New Roman" w:eastAsia="Times New Roman"/>
        </w:rPr>
        <w:t xml:space="preserve">PE </w:t>
      </w:r>
      <w:r>
        <w:t>新料、色母粒等投入搅拌机中，采用真空上料。</w:t>
      </w:r>
    </w:p>
    <w:p w14:paraId="2AAD9EC1">
      <w:pPr>
        <w:pStyle w:val="10"/>
        <w:spacing w:before="1" w:line="364" w:lineRule="auto"/>
        <w:ind w:left="220" w:right="265" w:firstLine="480"/>
      </w:pPr>
      <w:r>
        <w:t>（</w:t>
      </w:r>
      <w:r>
        <w:rPr>
          <w:rFonts w:ascii="Times New Roman" w:hAnsi="Times New Roman" w:eastAsia="Times New Roman"/>
        </w:rPr>
        <w:t>5</w:t>
      </w:r>
      <w:r>
        <w:t>）挤出注塑：按工艺要求提前设定好挤出机机筒、机头的温度。待设定</w:t>
      </w:r>
      <w:r>
        <w:rPr>
          <w:spacing w:val="-7"/>
        </w:rPr>
        <w:t>温度达到并保温半小时左右，开机挤出。物料在挤出机中通过螺杆的剪切和外热的作用，平均塑化后进入挤出机机头，物料在机头中被赋予一定的形状并挤出。</w:t>
      </w:r>
      <w:r>
        <w:rPr>
          <w:spacing w:val="-16"/>
        </w:rPr>
        <w:t xml:space="preserve">挤出温度在 </w:t>
      </w:r>
      <w:r>
        <w:rPr>
          <w:rFonts w:ascii="Times New Roman" w:hAnsi="Times New Roman" w:eastAsia="Times New Roman"/>
        </w:rPr>
        <w:t>170~190</w:t>
      </w:r>
      <w:r>
        <w:rPr>
          <w:spacing w:val="-7"/>
        </w:rPr>
        <w:t>℃左右，采用电加热。挤出末端料胚熔体暴露在空气中，会产生一定量有机废气、颗粒物。</w:t>
      </w:r>
    </w:p>
    <w:p w14:paraId="4A451ECE">
      <w:pPr>
        <w:pStyle w:val="10"/>
        <w:spacing w:before="3" w:line="364" w:lineRule="auto"/>
        <w:ind w:left="220" w:right="357" w:firstLine="480"/>
        <w:jc w:val="both"/>
      </w:pPr>
      <w:r>
        <w:rPr>
          <w:spacing w:val="-3"/>
        </w:rPr>
        <w:t>（</w:t>
      </w:r>
      <w:r>
        <w:rPr>
          <w:rFonts w:ascii="Times New Roman" w:hAnsi="Times New Roman" w:eastAsia="Times New Roman"/>
          <w:spacing w:val="-3"/>
        </w:rPr>
        <w:t>6</w:t>
      </w:r>
      <w:r>
        <w:rPr>
          <w:spacing w:val="-3"/>
        </w:rPr>
        <w:t>）</w:t>
      </w:r>
      <w:r>
        <w:rPr>
          <w:spacing w:val="-8"/>
        </w:rPr>
        <w:t xml:space="preserve">冷却、裁切：冷却的作用是使板材定型，冷却至 </w:t>
      </w:r>
      <w:r>
        <w:rPr>
          <w:rFonts w:ascii="Times New Roman" w:hAnsi="Times New Roman" w:eastAsia="Times New Roman"/>
        </w:rPr>
        <w:t>36℃</w:t>
      </w:r>
      <w:r>
        <w:rPr>
          <w:spacing w:val="-3"/>
        </w:rPr>
        <w:t>左右。本项目冷</w:t>
      </w:r>
      <w:r>
        <w:rPr>
          <w:spacing w:val="-9"/>
        </w:rPr>
        <w:t>却采用循环冷却水间接冷却，即冷却水在隔套内间接与产品接触，循环冷却水经循环水池后循环使用，按时补充损耗。</w:t>
      </w:r>
    </w:p>
    <w:p w14:paraId="00D85D2D">
      <w:pPr>
        <w:pStyle w:val="10"/>
        <w:spacing w:before="2" w:line="364" w:lineRule="auto"/>
        <w:ind w:left="220" w:right="265" w:firstLine="480"/>
      </w:pPr>
      <w:r>
        <w:t xml:space="preserve">根据客户订单，将 </w:t>
      </w:r>
      <w:r>
        <w:rPr>
          <w:rFonts w:ascii="Times New Roman" w:eastAsia="Times New Roman"/>
        </w:rPr>
        <w:t xml:space="preserve">PE </w:t>
      </w:r>
      <w:r>
        <w:t>板材经裁切设备进行裁切，属于机器闸刀快速裁切， 产生粉尘量可忽略不计，裁切过程中产生边角料收集破碎磨粉后回用。切割后， 人工对其切割后的产品进行检查，得到排水板系列产品。检验出的不合格品收集后与边角料一起进行破碎磨粉后回用。</w:t>
      </w:r>
    </w:p>
    <w:p w14:paraId="732FF3C7">
      <w:pPr>
        <w:pStyle w:val="9"/>
        <w:numPr>
          <w:ilvl w:val="3"/>
          <w:numId w:val="9"/>
        </w:numPr>
        <w:tabs>
          <w:tab w:val="left" w:pos="940"/>
        </w:tabs>
        <w:spacing w:before="3" w:after="0" w:line="240" w:lineRule="auto"/>
        <w:ind w:left="940" w:right="0" w:hanging="720"/>
        <w:jc w:val="left"/>
      </w:pPr>
      <w:r>
        <w:t>产排污节点</w:t>
      </w:r>
    </w:p>
    <w:p w14:paraId="2347E177">
      <w:pPr>
        <w:spacing w:before="160" w:line="364" w:lineRule="auto"/>
        <w:ind w:left="2708" w:right="237" w:hanging="2009"/>
        <w:jc w:val="left"/>
        <w:rPr>
          <w:b/>
          <w:sz w:val="24"/>
        </w:rPr>
      </w:pPr>
      <w:r>
        <w:pict>
          <v:shape id="_x0000_s1226" o:spid="_x0000_s1226" o:spt="202" type="#_x0000_t202" style="position:absolute;left:0pt;margin-left:87.25pt;margin-top:50.75pt;height:88.4pt;width:421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784"/>
                    <w:gridCol w:w="1920"/>
                    <w:gridCol w:w="3714"/>
                  </w:tblGrid>
                  <w:tr w14:paraId="39334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tcBorders>
                          <w:left w:val="nil"/>
                        </w:tcBorders>
                      </w:tcPr>
                      <w:p w14:paraId="5E5C57D9">
                        <w:pPr>
                          <w:pStyle w:val="17"/>
                          <w:spacing w:before="62"/>
                          <w:ind w:left="78"/>
                          <w:jc w:val="left"/>
                          <w:rPr>
                            <w:sz w:val="21"/>
                          </w:rPr>
                        </w:pPr>
                        <w:r>
                          <w:rPr>
                            <w:sz w:val="21"/>
                          </w:rPr>
                          <w:t>污染类型</w:t>
                        </w:r>
                      </w:p>
                    </w:tc>
                    <w:tc>
                      <w:tcPr>
                        <w:tcW w:w="1784" w:type="dxa"/>
                      </w:tcPr>
                      <w:p w14:paraId="0EE27F49">
                        <w:pPr>
                          <w:pStyle w:val="17"/>
                          <w:spacing w:before="62"/>
                          <w:ind w:left="30" w:right="24"/>
                          <w:rPr>
                            <w:sz w:val="21"/>
                          </w:rPr>
                        </w:pPr>
                        <w:r>
                          <w:rPr>
                            <w:sz w:val="21"/>
                          </w:rPr>
                          <w:t>产污节点</w:t>
                        </w:r>
                      </w:p>
                    </w:tc>
                    <w:tc>
                      <w:tcPr>
                        <w:tcW w:w="1920" w:type="dxa"/>
                      </w:tcPr>
                      <w:p w14:paraId="29499AC2">
                        <w:pPr>
                          <w:pStyle w:val="17"/>
                          <w:spacing w:before="62"/>
                          <w:ind w:left="8"/>
                          <w:rPr>
                            <w:sz w:val="21"/>
                          </w:rPr>
                        </w:pPr>
                        <w:r>
                          <w:rPr>
                            <w:sz w:val="21"/>
                          </w:rPr>
                          <w:t>污染因子</w:t>
                        </w:r>
                      </w:p>
                    </w:tc>
                    <w:tc>
                      <w:tcPr>
                        <w:tcW w:w="3714" w:type="dxa"/>
                        <w:tcBorders>
                          <w:right w:val="nil"/>
                        </w:tcBorders>
                      </w:tcPr>
                      <w:p w14:paraId="6E179B87">
                        <w:pPr>
                          <w:pStyle w:val="17"/>
                          <w:spacing w:before="62"/>
                          <w:ind w:left="65" w:right="65"/>
                          <w:rPr>
                            <w:sz w:val="21"/>
                          </w:rPr>
                        </w:pPr>
                        <w:r>
                          <w:rPr>
                            <w:sz w:val="21"/>
                          </w:rPr>
                          <w:t>处理措施</w:t>
                        </w:r>
                      </w:p>
                    </w:tc>
                  </w:tr>
                  <w:tr w14:paraId="2A053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restart"/>
                        <w:tcBorders>
                          <w:left w:val="nil"/>
                        </w:tcBorders>
                      </w:tcPr>
                      <w:p w14:paraId="75A37DCB">
                        <w:pPr>
                          <w:pStyle w:val="17"/>
                          <w:jc w:val="left"/>
                          <w:rPr>
                            <w:b/>
                            <w:sz w:val="20"/>
                          </w:rPr>
                        </w:pPr>
                      </w:p>
                      <w:p w14:paraId="6E9DF8DE">
                        <w:pPr>
                          <w:pStyle w:val="17"/>
                          <w:spacing w:before="10"/>
                          <w:jc w:val="left"/>
                          <w:rPr>
                            <w:b/>
                            <w:sz w:val="21"/>
                          </w:rPr>
                        </w:pPr>
                      </w:p>
                      <w:p w14:paraId="3E5A63D8">
                        <w:pPr>
                          <w:pStyle w:val="17"/>
                          <w:ind w:left="287"/>
                          <w:jc w:val="left"/>
                          <w:rPr>
                            <w:sz w:val="21"/>
                          </w:rPr>
                        </w:pPr>
                        <w:r>
                          <w:rPr>
                            <w:sz w:val="21"/>
                          </w:rPr>
                          <w:t>废气</w:t>
                        </w:r>
                      </w:p>
                    </w:tc>
                    <w:tc>
                      <w:tcPr>
                        <w:tcW w:w="1784" w:type="dxa"/>
                      </w:tcPr>
                      <w:p w14:paraId="1015A457">
                        <w:pPr>
                          <w:pStyle w:val="17"/>
                          <w:spacing w:before="63"/>
                          <w:ind w:left="30" w:right="21"/>
                          <w:rPr>
                            <w:sz w:val="21"/>
                          </w:rPr>
                        </w:pPr>
                        <w:r>
                          <w:rPr>
                            <w:sz w:val="21"/>
                          </w:rPr>
                          <w:t>破碎</w:t>
                        </w:r>
                      </w:p>
                    </w:tc>
                    <w:tc>
                      <w:tcPr>
                        <w:tcW w:w="1920" w:type="dxa"/>
                        <w:vMerge w:val="restart"/>
                      </w:tcPr>
                      <w:p w14:paraId="012FA749">
                        <w:pPr>
                          <w:pStyle w:val="17"/>
                          <w:spacing w:before="1"/>
                          <w:jc w:val="left"/>
                          <w:rPr>
                            <w:b/>
                            <w:sz w:val="26"/>
                          </w:rPr>
                        </w:pPr>
                      </w:p>
                      <w:p w14:paraId="030CFC5E">
                        <w:pPr>
                          <w:pStyle w:val="17"/>
                          <w:ind w:left="6"/>
                          <w:rPr>
                            <w:sz w:val="21"/>
                          </w:rPr>
                        </w:pPr>
                        <w:r>
                          <w:rPr>
                            <w:sz w:val="21"/>
                          </w:rPr>
                          <w:t>颗粒物</w:t>
                        </w:r>
                      </w:p>
                    </w:tc>
                    <w:tc>
                      <w:tcPr>
                        <w:tcW w:w="3714" w:type="dxa"/>
                        <w:vMerge w:val="restart"/>
                        <w:tcBorders>
                          <w:right w:val="nil"/>
                        </w:tcBorders>
                      </w:tcPr>
                      <w:p w14:paraId="43AF83FA">
                        <w:pPr>
                          <w:pStyle w:val="17"/>
                          <w:spacing w:before="22" w:line="278" w:lineRule="auto"/>
                          <w:ind w:left="72" w:right="65"/>
                          <w:rPr>
                            <w:sz w:val="21"/>
                          </w:rPr>
                        </w:pPr>
                        <w:r>
                          <w:rPr>
                            <w:w w:val="95"/>
                            <w:sz w:val="21"/>
                          </w:rPr>
                          <w:t>本项目破碎粉尘、混料粉尘采用全密闭</w:t>
                        </w:r>
                        <w:r>
                          <w:rPr>
                            <w:sz w:val="21"/>
                          </w:rPr>
                          <w:t>收集罩收集后经布袋除尘器处理后经</w:t>
                        </w:r>
                      </w:p>
                      <w:p w14:paraId="2D6025C7">
                        <w:pPr>
                          <w:pStyle w:val="17"/>
                          <w:spacing w:line="269" w:lineRule="exact"/>
                          <w:ind w:left="65" w:right="65"/>
                          <w:rPr>
                            <w:sz w:val="21"/>
                          </w:rPr>
                        </w:pPr>
                        <w:r>
                          <w:rPr>
                            <w:rFonts w:ascii="Times New Roman" w:eastAsia="Times New Roman"/>
                            <w:sz w:val="21"/>
                          </w:rPr>
                          <w:t xml:space="preserve">15m </w:t>
                        </w:r>
                        <w:r>
                          <w:rPr>
                            <w:sz w:val="21"/>
                          </w:rPr>
                          <w:t xml:space="preserve">高排气筒 </w:t>
                        </w:r>
                        <w:r>
                          <w:rPr>
                            <w:rFonts w:ascii="Times New Roman" w:eastAsia="Times New Roman"/>
                            <w:sz w:val="21"/>
                          </w:rPr>
                          <w:t xml:space="preserve">DA001 </w:t>
                        </w:r>
                        <w:r>
                          <w:rPr>
                            <w:sz w:val="21"/>
                          </w:rPr>
                          <w:t>排放</w:t>
                        </w:r>
                      </w:p>
                    </w:tc>
                  </w:tr>
                  <w:tr w14:paraId="4C72C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987" w:type="dxa"/>
                        <w:vMerge w:val="continue"/>
                        <w:tcBorders>
                          <w:top w:val="nil"/>
                          <w:left w:val="nil"/>
                        </w:tcBorders>
                      </w:tcPr>
                      <w:p w14:paraId="051F6F67">
                        <w:pPr>
                          <w:rPr>
                            <w:sz w:val="2"/>
                            <w:szCs w:val="2"/>
                          </w:rPr>
                        </w:pPr>
                      </w:p>
                    </w:tc>
                    <w:tc>
                      <w:tcPr>
                        <w:tcW w:w="1784" w:type="dxa"/>
                      </w:tcPr>
                      <w:p w14:paraId="62A9911B">
                        <w:pPr>
                          <w:pStyle w:val="17"/>
                          <w:spacing w:before="128"/>
                          <w:ind w:left="30" w:right="24"/>
                          <w:rPr>
                            <w:sz w:val="21"/>
                          </w:rPr>
                        </w:pPr>
                        <w:r>
                          <w:rPr>
                            <w:sz w:val="21"/>
                          </w:rPr>
                          <w:t>投料混料</w:t>
                        </w:r>
                      </w:p>
                    </w:tc>
                    <w:tc>
                      <w:tcPr>
                        <w:tcW w:w="1920" w:type="dxa"/>
                        <w:vMerge w:val="continue"/>
                        <w:tcBorders>
                          <w:top w:val="nil"/>
                        </w:tcBorders>
                      </w:tcPr>
                      <w:p w14:paraId="6F40227A">
                        <w:pPr>
                          <w:rPr>
                            <w:sz w:val="2"/>
                            <w:szCs w:val="2"/>
                          </w:rPr>
                        </w:pPr>
                      </w:p>
                    </w:tc>
                    <w:tc>
                      <w:tcPr>
                        <w:tcW w:w="3714" w:type="dxa"/>
                        <w:vMerge w:val="continue"/>
                        <w:tcBorders>
                          <w:top w:val="nil"/>
                          <w:right w:val="nil"/>
                        </w:tcBorders>
                      </w:tcPr>
                      <w:p w14:paraId="7FA52A9F">
                        <w:pPr>
                          <w:rPr>
                            <w:sz w:val="2"/>
                            <w:szCs w:val="2"/>
                          </w:rPr>
                        </w:pPr>
                      </w:p>
                    </w:tc>
                  </w:tr>
                  <w:tr w14:paraId="020D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87" w:type="dxa"/>
                        <w:vMerge w:val="continue"/>
                        <w:tcBorders>
                          <w:top w:val="nil"/>
                          <w:left w:val="nil"/>
                        </w:tcBorders>
                      </w:tcPr>
                      <w:p w14:paraId="3FD8D2D0">
                        <w:pPr>
                          <w:rPr>
                            <w:sz w:val="2"/>
                            <w:szCs w:val="2"/>
                          </w:rPr>
                        </w:pPr>
                      </w:p>
                    </w:tc>
                    <w:tc>
                      <w:tcPr>
                        <w:tcW w:w="1784" w:type="dxa"/>
                      </w:tcPr>
                      <w:p w14:paraId="13375352">
                        <w:pPr>
                          <w:pStyle w:val="17"/>
                          <w:spacing w:before="62"/>
                          <w:ind w:left="30" w:right="24"/>
                          <w:rPr>
                            <w:sz w:val="21"/>
                          </w:rPr>
                        </w:pPr>
                        <w:r>
                          <w:rPr>
                            <w:sz w:val="21"/>
                          </w:rPr>
                          <w:t>挤出造粒</w:t>
                        </w:r>
                      </w:p>
                    </w:tc>
                    <w:tc>
                      <w:tcPr>
                        <w:tcW w:w="1920" w:type="dxa"/>
                      </w:tcPr>
                      <w:p w14:paraId="4830C64F">
                        <w:pPr>
                          <w:pStyle w:val="17"/>
                          <w:spacing w:before="62"/>
                          <w:ind w:left="8"/>
                          <w:rPr>
                            <w:sz w:val="21"/>
                          </w:rPr>
                        </w:pPr>
                        <w:r>
                          <w:rPr>
                            <w:sz w:val="21"/>
                          </w:rPr>
                          <w:t>颗粒物、非甲烷总</w:t>
                        </w:r>
                      </w:p>
                    </w:tc>
                    <w:tc>
                      <w:tcPr>
                        <w:tcW w:w="3714" w:type="dxa"/>
                        <w:tcBorders>
                          <w:right w:val="nil"/>
                        </w:tcBorders>
                      </w:tcPr>
                      <w:p w14:paraId="418E99CC">
                        <w:pPr>
                          <w:pStyle w:val="17"/>
                          <w:spacing w:before="62"/>
                          <w:ind w:left="51" w:right="47"/>
                          <w:rPr>
                            <w:sz w:val="21"/>
                          </w:rPr>
                        </w:pPr>
                        <w:r>
                          <w:rPr>
                            <w:sz w:val="21"/>
                          </w:rPr>
                          <w:t>挤出造粒废气和挤出注塑废气采用全密</w:t>
                        </w:r>
                      </w:p>
                    </w:tc>
                  </w:tr>
                </w:tbl>
                <w:p w14:paraId="7776C75F">
                  <w:pPr>
                    <w:pStyle w:val="10"/>
                  </w:pPr>
                </w:p>
              </w:txbxContent>
            </v:textbox>
          </v:shape>
        </w:pict>
      </w:r>
      <w:r>
        <w:rPr>
          <w:spacing w:val="-12"/>
          <w:sz w:val="24"/>
        </w:rPr>
        <w:t xml:space="preserve">本项目营运期主要污染工序包括废气、废水、噪声和固废。污染环节如下表： </w:t>
      </w:r>
      <w:r>
        <w:rPr>
          <w:b/>
          <w:spacing w:val="-37"/>
          <w:sz w:val="24"/>
        </w:rPr>
        <w:t xml:space="preserve">表 </w:t>
      </w:r>
      <w:r>
        <w:rPr>
          <w:rFonts w:ascii="Times New Roman" w:eastAsia="Times New Roman"/>
          <w:b/>
          <w:sz w:val="24"/>
        </w:rPr>
        <w:t>2.2-1</w:t>
      </w:r>
      <w:r>
        <w:rPr>
          <w:rFonts w:ascii="Times New Roman" w:eastAsia="Times New Roman"/>
          <w:b/>
          <w:spacing w:val="58"/>
          <w:sz w:val="24"/>
        </w:rPr>
        <w:t xml:space="preserve"> </w:t>
      </w:r>
      <w:r>
        <w:rPr>
          <w:b/>
          <w:sz w:val="24"/>
        </w:rPr>
        <w:t>本项目营运期污染环节</w:t>
      </w:r>
    </w:p>
    <w:p w14:paraId="17851F27">
      <w:pPr>
        <w:spacing w:after="0" w:line="364" w:lineRule="auto"/>
        <w:jc w:val="left"/>
        <w:rPr>
          <w:sz w:val="24"/>
        </w:rPr>
        <w:sectPr>
          <w:pgSz w:w="11910" w:h="16840"/>
          <w:pgMar w:top="1440" w:right="1440" w:bottom="1220" w:left="1580" w:header="0" w:footer="1024" w:gutter="0"/>
          <w:cols w:space="720" w:num="1"/>
        </w:sectPr>
      </w:pPr>
    </w:p>
    <w:tbl>
      <w:tblPr>
        <w:tblStyle w:val="13"/>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7"/>
        <w:gridCol w:w="1784"/>
        <w:gridCol w:w="1920"/>
        <w:gridCol w:w="3714"/>
      </w:tblGrid>
      <w:tr w14:paraId="081E4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87" w:type="dxa"/>
            <w:tcBorders>
              <w:left w:val="nil"/>
            </w:tcBorders>
          </w:tcPr>
          <w:p w14:paraId="30CEF743">
            <w:pPr>
              <w:pStyle w:val="17"/>
              <w:jc w:val="left"/>
              <w:rPr>
                <w:rFonts w:ascii="Times New Roman"/>
                <w:sz w:val="22"/>
              </w:rPr>
            </w:pPr>
          </w:p>
        </w:tc>
        <w:tc>
          <w:tcPr>
            <w:tcW w:w="1784" w:type="dxa"/>
          </w:tcPr>
          <w:p w14:paraId="2E98CAD9">
            <w:pPr>
              <w:pStyle w:val="17"/>
              <w:jc w:val="left"/>
              <w:rPr>
                <w:b/>
                <w:sz w:val="26"/>
              </w:rPr>
            </w:pPr>
          </w:p>
          <w:p w14:paraId="7F758D7C">
            <w:pPr>
              <w:pStyle w:val="17"/>
              <w:ind w:left="30" w:right="24"/>
              <w:rPr>
                <w:sz w:val="21"/>
              </w:rPr>
            </w:pPr>
            <w:r>
              <w:rPr>
                <w:sz w:val="21"/>
              </w:rPr>
              <w:t>挤出注塑</w:t>
            </w:r>
          </w:p>
        </w:tc>
        <w:tc>
          <w:tcPr>
            <w:tcW w:w="1920" w:type="dxa"/>
          </w:tcPr>
          <w:p w14:paraId="2B193309">
            <w:pPr>
              <w:pStyle w:val="17"/>
              <w:spacing w:before="21"/>
              <w:ind w:left="6"/>
              <w:rPr>
                <w:sz w:val="21"/>
              </w:rPr>
            </w:pPr>
            <w:r>
              <w:rPr>
                <w:sz w:val="21"/>
              </w:rPr>
              <w:t>烃、臭气浓度</w:t>
            </w:r>
          </w:p>
        </w:tc>
        <w:tc>
          <w:tcPr>
            <w:tcW w:w="3714" w:type="dxa"/>
            <w:tcBorders>
              <w:right w:val="nil"/>
            </w:tcBorders>
          </w:tcPr>
          <w:p w14:paraId="4E011797">
            <w:pPr>
              <w:pStyle w:val="17"/>
              <w:spacing w:before="21" w:line="278" w:lineRule="auto"/>
              <w:ind w:left="117" w:right="111"/>
              <w:rPr>
                <w:sz w:val="21"/>
              </w:rPr>
            </w:pPr>
            <w:r>
              <w:rPr>
                <w:w w:val="95"/>
                <w:sz w:val="21"/>
              </w:rPr>
              <w:t>闭负压收集罩收集后经布袋除尘器</w:t>
            </w:r>
            <w:r>
              <w:rPr>
                <w:rFonts w:ascii="Times New Roman" w:eastAsia="Times New Roman"/>
                <w:w w:val="95"/>
                <w:sz w:val="21"/>
              </w:rPr>
              <w:t>+</w:t>
            </w:r>
            <w:r>
              <w:rPr>
                <w:w w:val="95"/>
                <w:sz w:val="21"/>
              </w:rPr>
              <w:t>过</w:t>
            </w:r>
            <w:r>
              <w:rPr>
                <w:sz w:val="21"/>
              </w:rPr>
              <w:t>滤棉</w:t>
            </w:r>
            <w:r>
              <w:rPr>
                <w:rFonts w:ascii="Times New Roman" w:eastAsia="Times New Roman"/>
                <w:sz w:val="21"/>
              </w:rPr>
              <w:t>+</w:t>
            </w:r>
            <w:r>
              <w:rPr>
                <w:sz w:val="21"/>
              </w:rPr>
              <w:t>二级活性炭吸附处理达标后经</w:t>
            </w:r>
          </w:p>
          <w:p w14:paraId="23311A0E">
            <w:pPr>
              <w:pStyle w:val="17"/>
              <w:spacing w:line="269" w:lineRule="exact"/>
              <w:ind w:left="67" w:right="65"/>
              <w:rPr>
                <w:sz w:val="21"/>
              </w:rPr>
            </w:pPr>
            <w:r>
              <w:rPr>
                <w:rFonts w:ascii="Times New Roman" w:eastAsia="Times New Roman"/>
                <w:sz w:val="21"/>
              </w:rPr>
              <w:t xml:space="preserve">15m </w:t>
            </w:r>
            <w:r>
              <w:rPr>
                <w:sz w:val="21"/>
              </w:rPr>
              <w:t>高排气筒排放（</w:t>
            </w:r>
            <w:r>
              <w:rPr>
                <w:rFonts w:ascii="Times New Roman" w:eastAsia="Times New Roman"/>
                <w:sz w:val="21"/>
              </w:rPr>
              <w:t>DA002</w:t>
            </w:r>
            <w:r>
              <w:rPr>
                <w:sz w:val="21"/>
              </w:rPr>
              <w:t>）</w:t>
            </w:r>
          </w:p>
        </w:tc>
      </w:tr>
      <w:tr w14:paraId="66482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87" w:type="dxa"/>
            <w:vMerge w:val="restart"/>
            <w:tcBorders>
              <w:left w:val="nil"/>
            </w:tcBorders>
          </w:tcPr>
          <w:p w14:paraId="3C074C58">
            <w:pPr>
              <w:pStyle w:val="17"/>
              <w:jc w:val="left"/>
              <w:rPr>
                <w:b/>
                <w:sz w:val="20"/>
              </w:rPr>
            </w:pPr>
          </w:p>
          <w:p w14:paraId="3F970F56">
            <w:pPr>
              <w:pStyle w:val="17"/>
              <w:spacing w:before="6"/>
              <w:jc w:val="left"/>
              <w:rPr>
                <w:b/>
                <w:sz w:val="18"/>
              </w:rPr>
            </w:pPr>
          </w:p>
          <w:p w14:paraId="7131E908">
            <w:pPr>
              <w:pStyle w:val="17"/>
              <w:ind w:left="287"/>
              <w:jc w:val="left"/>
              <w:rPr>
                <w:sz w:val="21"/>
              </w:rPr>
            </w:pPr>
            <w:r>
              <w:rPr>
                <w:sz w:val="21"/>
              </w:rPr>
              <w:t>废水</w:t>
            </w:r>
          </w:p>
        </w:tc>
        <w:tc>
          <w:tcPr>
            <w:tcW w:w="1784" w:type="dxa"/>
          </w:tcPr>
          <w:p w14:paraId="6CC71291">
            <w:pPr>
              <w:pStyle w:val="17"/>
              <w:spacing w:before="176"/>
              <w:ind w:left="30" w:right="24"/>
              <w:rPr>
                <w:sz w:val="21"/>
              </w:rPr>
            </w:pPr>
            <w:r>
              <w:rPr>
                <w:sz w:val="21"/>
              </w:rPr>
              <w:t>员工生活</w:t>
            </w:r>
          </w:p>
        </w:tc>
        <w:tc>
          <w:tcPr>
            <w:tcW w:w="1920" w:type="dxa"/>
          </w:tcPr>
          <w:p w14:paraId="7CEA06C6">
            <w:pPr>
              <w:pStyle w:val="17"/>
              <w:spacing w:before="17"/>
              <w:ind w:left="1" w:right="97"/>
              <w:rPr>
                <w:rFonts w:ascii="Times New Roman" w:eastAsia="Times New Roman"/>
                <w:sz w:val="21"/>
              </w:rPr>
            </w:pPr>
            <w:r>
              <w:rPr>
                <w:rFonts w:ascii="Times New Roman" w:eastAsia="Times New Roman"/>
                <w:position w:val="2"/>
                <w:sz w:val="21"/>
              </w:rPr>
              <w:t>CODcr</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p>
          <w:p w14:paraId="7F923A11">
            <w:pPr>
              <w:pStyle w:val="17"/>
              <w:spacing w:before="37" w:line="274" w:lineRule="exact"/>
              <w:ind w:left="6"/>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 xml:space="preserve">-N </w:t>
            </w:r>
            <w:r>
              <w:rPr>
                <w:position w:val="2"/>
                <w:sz w:val="21"/>
                <w:vertAlign w:val="baseline"/>
              </w:rPr>
              <w:t>等</w:t>
            </w:r>
          </w:p>
        </w:tc>
        <w:tc>
          <w:tcPr>
            <w:tcW w:w="3714" w:type="dxa"/>
            <w:tcBorders>
              <w:right w:val="nil"/>
            </w:tcBorders>
          </w:tcPr>
          <w:p w14:paraId="12A276EF">
            <w:pPr>
              <w:pStyle w:val="17"/>
              <w:spacing w:before="20"/>
              <w:ind w:left="-156"/>
              <w:jc w:val="left"/>
              <w:rPr>
                <w:sz w:val="21"/>
              </w:rPr>
            </w:pPr>
            <w:r>
              <w:rPr>
                <w:sz w:val="21"/>
              </w:rPr>
              <w:t>、经化粪池处理后进入汨罗市城市污水处</w:t>
            </w:r>
          </w:p>
          <w:p w14:paraId="1CF539D4">
            <w:pPr>
              <w:pStyle w:val="17"/>
              <w:spacing w:before="43"/>
              <w:ind w:left="67" w:right="65"/>
              <w:rPr>
                <w:sz w:val="21"/>
              </w:rPr>
            </w:pPr>
            <w:r>
              <w:rPr>
                <w:sz w:val="21"/>
              </w:rPr>
              <w:t>理厂</w:t>
            </w:r>
          </w:p>
        </w:tc>
      </w:tr>
      <w:tr w14:paraId="745F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7" w:type="dxa"/>
            <w:vMerge w:val="continue"/>
            <w:tcBorders>
              <w:top w:val="nil"/>
              <w:left w:val="nil"/>
            </w:tcBorders>
          </w:tcPr>
          <w:p w14:paraId="26E38C0A">
            <w:pPr>
              <w:rPr>
                <w:sz w:val="2"/>
                <w:szCs w:val="2"/>
              </w:rPr>
            </w:pPr>
          </w:p>
        </w:tc>
        <w:tc>
          <w:tcPr>
            <w:tcW w:w="1784" w:type="dxa"/>
          </w:tcPr>
          <w:p w14:paraId="538E6562">
            <w:pPr>
              <w:pStyle w:val="17"/>
              <w:spacing w:before="176"/>
              <w:ind w:left="30" w:right="24"/>
              <w:rPr>
                <w:sz w:val="21"/>
              </w:rPr>
            </w:pPr>
            <w:r>
              <w:rPr>
                <w:sz w:val="21"/>
              </w:rPr>
              <w:t>冷却成型</w:t>
            </w:r>
          </w:p>
        </w:tc>
        <w:tc>
          <w:tcPr>
            <w:tcW w:w="1920" w:type="dxa"/>
          </w:tcPr>
          <w:p w14:paraId="6DA2542D">
            <w:pPr>
              <w:pStyle w:val="17"/>
              <w:spacing w:before="190"/>
              <w:ind w:left="11"/>
              <w:rPr>
                <w:rFonts w:ascii="Times New Roman"/>
                <w:sz w:val="21"/>
              </w:rPr>
            </w:pPr>
            <w:r>
              <w:rPr>
                <w:rFonts w:ascii="Times New Roman"/>
                <w:w w:val="99"/>
                <w:sz w:val="21"/>
              </w:rPr>
              <w:t>/</w:t>
            </w:r>
          </w:p>
        </w:tc>
        <w:tc>
          <w:tcPr>
            <w:tcW w:w="3714" w:type="dxa"/>
            <w:tcBorders>
              <w:right w:val="nil"/>
            </w:tcBorders>
          </w:tcPr>
          <w:p w14:paraId="553CB7D9">
            <w:pPr>
              <w:pStyle w:val="17"/>
              <w:spacing w:before="20"/>
              <w:ind w:left="51" w:right="47"/>
              <w:rPr>
                <w:sz w:val="21"/>
              </w:rPr>
            </w:pPr>
            <w:r>
              <w:rPr>
                <w:sz w:val="21"/>
              </w:rPr>
              <w:t>经循环冷却水池沉淀后循环使用，定期</w:t>
            </w:r>
          </w:p>
          <w:p w14:paraId="06139CEF">
            <w:pPr>
              <w:pStyle w:val="17"/>
              <w:spacing w:before="43"/>
              <w:ind w:left="65" w:right="65"/>
              <w:rPr>
                <w:sz w:val="21"/>
              </w:rPr>
            </w:pPr>
            <w:r>
              <w:rPr>
                <w:sz w:val="21"/>
              </w:rPr>
              <w:t>补充损耗，不外排</w:t>
            </w:r>
          </w:p>
        </w:tc>
      </w:tr>
      <w:tr w14:paraId="00C57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87" w:type="dxa"/>
            <w:tcBorders>
              <w:left w:val="nil"/>
            </w:tcBorders>
          </w:tcPr>
          <w:p w14:paraId="4B4D87B3">
            <w:pPr>
              <w:pStyle w:val="17"/>
              <w:spacing w:before="176"/>
              <w:ind w:left="287"/>
              <w:jc w:val="left"/>
              <w:rPr>
                <w:sz w:val="21"/>
              </w:rPr>
            </w:pPr>
            <w:r>
              <w:rPr>
                <w:sz w:val="21"/>
              </w:rPr>
              <w:t>噪声</w:t>
            </w:r>
          </w:p>
        </w:tc>
        <w:tc>
          <w:tcPr>
            <w:tcW w:w="1784" w:type="dxa"/>
          </w:tcPr>
          <w:p w14:paraId="2E81F699">
            <w:pPr>
              <w:pStyle w:val="17"/>
              <w:spacing w:before="176"/>
              <w:ind w:left="30" w:right="21"/>
              <w:rPr>
                <w:sz w:val="21"/>
              </w:rPr>
            </w:pPr>
            <w:r>
              <w:rPr>
                <w:sz w:val="21"/>
              </w:rPr>
              <w:t>生产设备运行</w:t>
            </w:r>
          </w:p>
        </w:tc>
        <w:tc>
          <w:tcPr>
            <w:tcW w:w="1920" w:type="dxa"/>
          </w:tcPr>
          <w:p w14:paraId="34A0E2F3">
            <w:pPr>
              <w:pStyle w:val="17"/>
              <w:spacing w:before="20"/>
              <w:ind w:left="6"/>
              <w:rPr>
                <w:sz w:val="21"/>
              </w:rPr>
            </w:pPr>
            <w:r>
              <w:rPr>
                <w:sz w:val="21"/>
              </w:rPr>
              <w:t>设备噪声：等效连续</w:t>
            </w:r>
          </w:p>
          <w:p w14:paraId="4A19D88B">
            <w:pPr>
              <w:pStyle w:val="17"/>
              <w:spacing w:before="43"/>
              <w:ind w:left="3"/>
              <w:rPr>
                <w:sz w:val="21"/>
              </w:rPr>
            </w:pPr>
            <w:r>
              <w:rPr>
                <w:rFonts w:ascii="Times New Roman" w:eastAsia="Times New Roman"/>
                <w:sz w:val="21"/>
              </w:rPr>
              <w:t>A</w:t>
            </w:r>
            <w:r>
              <w:rPr>
                <w:rFonts w:ascii="Times New Roman" w:eastAsia="Times New Roman"/>
                <w:spacing w:val="50"/>
                <w:sz w:val="21"/>
              </w:rPr>
              <w:t xml:space="preserve"> </w:t>
            </w:r>
            <w:r>
              <w:rPr>
                <w:sz w:val="21"/>
              </w:rPr>
              <w:t>声级</w:t>
            </w:r>
          </w:p>
        </w:tc>
        <w:tc>
          <w:tcPr>
            <w:tcW w:w="3714" w:type="dxa"/>
            <w:tcBorders>
              <w:right w:val="nil"/>
            </w:tcBorders>
          </w:tcPr>
          <w:p w14:paraId="38C427E6">
            <w:pPr>
              <w:pStyle w:val="17"/>
              <w:spacing w:before="176"/>
              <w:ind w:left="67" w:right="65"/>
              <w:rPr>
                <w:sz w:val="21"/>
              </w:rPr>
            </w:pPr>
            <w:r>
              <w:rPr>
                <w:sz w:val="21"/>
              </w:rPr>
              <w:t>减振、隔声、距离衰减</w:t>
            </w:r>
          </w:p>
        </w:tc>
      </w:tr>
      <w:tr w14:paraId="085B6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restart"/>
            <w:tcBorders>
              <w:left w:val="nil"/>
            </w:tcBorders>
          </w:tcPr>
          <w:p w14:paraId="33E43372">
            <w:pPr>
              <w:pStyle w:val="17"/>
              <w:jc w:val="left"/>
              <w:rPr>
                <w:b/>
                <w:sz w:val="20"/>
              </w:rPr>
            </w:pPr>
          </w:p>
          <w:p w14:paraId="092A19FA">
            <w:pPr>
              <w:pStyle w:val="17"/>
              <w:jc w:val="left"/>
              <w:rPr>
                <w:b/>
                <w:sz w:val="20"/>
              </w:rPr>
            </w:pPr>
          </w:p>
          <w:p w14:paraId="557A3EA2">
            <w:pPr>
              <w:pStyle w:val="17"/>
              <w:jc w:val="left"/>
              <w:rPr>
                <w:b/>
                <w:sz w:val="20"/>
              </w:rPr>
            </w:pPr>
          </w:p>
          <w:p w14:paraId="42540EEF">
            <w:pPr>
              <w:pStyle w:val="17"/>
              <w:jc w:val="left"/>
              <w:rPr>
                <w:b/>
                <w:sz w:val="20"/>
              </w:rPr>
            </w:pPr>
          </w:p>
          <w:p w14:paraId="2532897A">
            <w:pPr>
              <w:pStyle w:val="17"/>
              <w:jc w:val="left"/>
              <w:rPr>
                <w:b/>
                <w:sz w:val="20"/>
              </w:rPr>
            </w:pPr>
          </w:p>
          <w:p w14:paraId="5E1C381D">
            <w:pPr>
              <w:pStyle w:val="17"/>
              <w:jc w:val="left"/>
              <w:rPr>
                <w:b/>
                <w:sz w:val="20"/>
              </w:rPr>
            </w:pPr>
          </w:p>
          <w:p w14:paraId="7EB65F16">
            <w:pPr>
              <w:pStyle w:val="17"/>
              <w:jc w:val="left"/>
              <w:rPr>
                <w:b/>
                <w:sz w:val="20"/>
              </w:rPr>
            </w:pPr>
          </w:p>
          <w:p w14:paraId="0B9DEFA0">
            <w:pPr>
              <w:pStyle w:val="17"/>
              <w:jc w:val="left"/>
              <w:rPr>
                <w:b/>
                <w:sz w:val="20"/>
              </w:rPr>
            </w:pPr>
          </w:p>
          <w:p w14:paraId="478BC1CE">
            <w:pPr>
              <w:pStyle w:val="17"/>
              <w:spacing w:before="163"/>
              <w:ind w:left="287"/>
              <w:jc w:val="left"/>
              <w:rPr>
                <w:sz w:val="21"/>
              </w:rPr>
            </w:pPr>
            <w:r>
              <w:rPr>
                <w:sz w:val="21"/>
              </w:rPr>
              <w:t>固废</w:t>
            </w:r>
          </w:p>
        </w:tc>
        <w:tc>
          <w:tcPr>
            <w:tcW w:w="1784" w:type="dxa"/>
          </w:tcPr>
          <w:p w14:paraId="75912411">
            <w:pPr>
              <w:pStyle w:val="17"/>
              <w:spacing w:before="63"/>
              <w:ind w:left="30" w:right="21"/>
              <w:rPr>
                <w:sz w:val="21"/>
              </w:rPr>
            </w:pPr>
            <w:r>
              <w:rPr>
                <w:sz w:val="21"/>
              </w:rPr>
              <w:t>裁切</w:t>
            </w:r>
          </w:p>
        </w:tc>
        <w:tc>
          <w:tcPr>
            <w:tcW w:w="1920" w:type="dxa"/>
          </w:tcPr>
          <w:p w14:paraId="4C986BDB">
            <w:pPr>
              <w:pStyle w:val="17"/>
              <w:spacing w:before="63"/>
              <w:ind w:left="6"/>
              <w:rPr>
                <w:sz w:val="21"/>
              </w:rPr>
            </w:pPr>
            <w:r>
              <w:rPr>
                <w:sz w:val="21"/>
              </w:rPr>
              <w:t>边角料</w:t>
            </w:r>
          </w:p>
        </w:tc>
        <w:tc>
          <w:tcPr>
            <w:tcW w:w="3714" w:type="dxa"/>
            <w:vMerge w:val="restart"/>
            <w:tcBorders>
              <w:right w:val="nil"/>
            </w:tcBorders>
          </w:tcPr>
          <w:p w14:paraId="725A5B50">
            <w:pPr>
              <w:pStyle w:val="17"/>
              <w:jc w:val="left"/>
              <w:rPr>
                <w:b/>
                <w:sz w:val="20"/>
              </w:rPr>
            </w:pPr>
          </w:p>
          <w:p w14:paraId="1EE26169">
            <w:pPr>
              <w:pStyle w:val="17"/>
              <w:spacing w:before="9"/>
              <w:jc w:val="left"/>
              <w:rPr>
                <w:b/>
                <w:sz w:val="16"/>
              </w:rPr>
            </w:pPr>
          </w:p>
          <w:p w14:paraId="3C69E609">
            <w:pPr>
              <w:pStyle w:val="17"/>
              <w:ind w:left="69" w:right="65"/>
              <w:rPr>
                <w:sz w:val="21"/>
              </w:rPr>
            </w:pPr>
            <w:r>
              <w:rPr>
                <w:sz w:val="21"/>
              </w:rPr>
              <w:t>回用于生产</w:t>
            </w:r>
          </w:p>
        </w:tc>
      </w:tr>
      <w:tr w14:paraId="33227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01C3CAE5">
            <w:pPr>
              <w:rPr>
                <w:sz w:val="2"/>
                <w:szCs w:val="2"/>
              </w:rPr>
            </w:pPr>
          </w:p>
        </w:tc>
        <w:tc>
          <w:tcPr>
            <w:tcW w:w="1784" w:type="dxa"/>
          </w:tcPr>
          <w:p w14:paraId="1794159F">
            <w:pPr>
              <w:pStyle w:val="17"/>
              <w:spacing w:before="64"/>
              <w:ind w:left="30" w:right="24"/>
              <w:rPr>
                <w:sz w:val="21"/>
              </w:rPr>
            </w:pPr>
            <w:r>
              <w:rPr>
                <w:sz w:val="21"/>
              </w:rPr>
              <w:t>布袋除尘器</w:t>
            </w:r>
          </w:p>
        </w:tc>
        <w:tc>
          <w:tcPr>
            <w:tcW w:w="1920" w:type="dxa"/>
          </w:tcPr>
          <w:p w14:paraId="06AFFF2F">
            <w:pPr>
              <w:pStyle w:val="17"/>
              <w:spacing w:before="64"/>
              <w:ind w:left="6"/>
              <w:rPr>
                <w:sz w:val="21"/>
              </w:rPr>
            </w:pPr>
            <w:r>
              <w:rPr>
                <w:sz w:val="21"/>
              </w:rPr>
              <w:t>布袋除尘器收尘</w:t>
            </w:r>
          </w:p>
        </w:tc>
        <w:tc>
          <w:tcPr>
            <w:tcW w:w="3714" w:type="dxa"/>
            <w:vMerge w:val="continue"/>
            <w:tcBorders>
              <w:top w:val="nil"/>
              <w:right w:val="nil"/>
            </w:tcBorders>
          </w:tcPr>
          <w:p w14:paraId="608E10FF">
            <w:pPr>
              <w:rPr>
                <w:sz w:val="2"/>
                <w:szCs w:val="2"/>
              </w:rPr>
            </w:pPr>
          </w:p>
        </w:tc>
      </w:tr>
      <w:tr w14:paraId="47892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6938A0D5">
            <w:pPr>
              <w:rPr>
                <w:sz w:val="2"/>
                <w:szCs w:val="2"/>
              </w:rPr>
            </w:pPr>
          </w:p>
        </w:tc>
        <w:tc>
          <w:tcPr>
            <w:tcW w:w="1784" w:type="dxa"/>
          </w:tcPr>
          <w:p w14:paraId="0BA7419C">
            <w:pPr>
              <w:pStyle w:val="17"/>
              <w:spacing w:before="62"/>
              <w:ind w:left="30" w:right="21"/>
              <w:rPr>
                <w:sz w:val="21"/>
              </w:rPr>
            </w:pPr>
            <w:r>
              <w:rPr>
                <w:sz w:val="21"/>
              </w:rPr>
              <w:t>检验</w:t>
            </w:r>
          </w:p>
        </w:tc>
        <w:tc>
          <w:tcPr>
            <w:tcW w:w="1920" w:type="dxa"/>
          </w:tcPr>
          <w:p w14:paraId="5BD6D078">
            <w:pPr>
              <w:pStyle w:val="17"/>
              <w:spacing w:before="62"/>
              <w:ind w:left="8"/>
              <w:rPr>
                <w:sz w:val="21"/>
              </w:rPr>
            </w:pPr>
            <w:r>
              <w:rPr>
                <w:sz w:val="21"/>
              </w:rPr>
              <w:t>不合格品</w:t>
            </w:r>
          </w:p>
        </w:tc>
        <w:tc>
          <w:tcPr>
            <w:tcW w:w="3714" w:type="dxa"/>
            <w:vMerge w:val="continue"/>
            <w:tcBorders>
              <w:top w:val="nil"/>
              <w:right w:val="nil"/>
            </w:tcBorders>
          </w:tcPr>
          <w:p w14:paraId="0EAF3A5D">
            <w:pPr>
              <w:rPr>
                <w:sz w:val="2"/>
                <w:szCs w:val="2"/>
              </w:rPr>
            </w:pPr>
          </w:p>
        </w:tc>
      </w:tr>
      <w:tr w14:paraId="44233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63A6A373">
            <w:pPr>
              <w:rPr>
                <w:sz w:val="2"/>
                <w:szCs w:val="2"/>
              </w:rPr>
            </w:pPr>
          </w:p>
        </w:tc>
        <w:tc>
          <w:tcPr>
            <w:tcW w:w="1784" w:type="dxa"/>
          </w:tcPr>
          <w:p w14:paraId="46F544EC">
            <w:pPr>
              <w:pStyle w:val="17"/>
              <w:spacing w:before="63"/>
              <w:ind w:left="30" w:right="24"/>
              <w:rPr>
                <w:sz w:val="21"/>
              </w:rPr>
            </w:pPr>
            <w:r>
              <w:rPr>
                <w:sz w:val="21"/>
              </w:rPr>
              <w:t>挤出造粒</w:t>
            </w:r>
          </w:p>
        </w:tc>
        <w:tc>
          <w:tcPr>
            <w:tcW w:w="1920" w:type="dxa"/>
          </w:tcPr>
          <w:p w14:paraId="42FC7A99">
            <w:pPr>
              <w:pStyle w:val="17"/>
              <w:spacing w:before="63"/>
              <w:ind w:left="8"/>
              <w:rPr>
                <w:sz w:val="21"/>
              </w:rPr>
            </w:pPr>
            <w:r>
              <w:rPr>
                <w:sz w:val="21"/>
              </w:rPr>
              <w:t>造粒杂质</w:t>
            </w:r>
          </w:p>
        </w:tc>
        <w:tc>
          <w:tcPr>
            <w:tcW w:w="3714" w:type="dxa"/>
            <w:tcBorders>
              <w:right w:val="nil"/>
            </w:tcBorders>
          </w:tcPr>
          <w:p w14:paraId="57349D5A">
            <w:pPr>
              <w:pStyle w:val="17"/>
              <w:spacing w:before="63"/>
              <w:ind w:left="67" w:right="65"/>
              <w:rPr>
                <w:sz w:val="21"/>
              </w:rPr>
            </w:pPr>
            <w:r>
              <w:rPr>
                <w:sz w:val="21"/>
              </w:rPr>
              <w:t>经收集后外售综合利用</w:t>
            </w:r>
          </w:p>
        </w:tc>
      </w:tr>
      <w:tr w14:paraId="189BB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68877327">
            <w:pPr>
              <w:rPr>
                <w:sz w:val="2"/>
                <w:szCs w:val="2"/>
              </w:rPr>
            </w:pPr>
          </w:p>
        </w:tc>
        <w:tc>
          <w:tcPr>
            <w:tcW w:w="1784" w:type="dxa"/>
          </w:tcPr>
          <w:p w14:paraId="7820261C">
            <w:pPr>
              <w:pStyle w:val="17"/>
              <w:spacing w:before="62"/>
              <w:ind w:left="30" w:right="24"/>
              <w:rPr>
                <w:sz w:val="21"/>
              </w:rPr>
            </w:pPr>
            <w:r>
              <w:rPr>
                <w:sz w:val="21"/>
              </w:rPr>
              <w:t>挤出造粒</w:t>
            </w:r>
          </w:p>
        </w:tc>
        <w:tc>
          <w:tcPr>
            <w:tcW w:w="1920" w:type="dxa"/>
          </w:tcPr>
          <w:p w14:paraId="2589CF7F">
            <w:pPr>
              <w:pStyle w:val="17"/>
              <w:spacing w:before="62"/>
              <w:ind w:left="6"/>
              <w:rPr>
                <w:sz w:val="21"/>
              </w:rPr>
            </w:pPr>
            <w:r>
              <w:rPr>
                <w:sz w:val="21"/>
              </w:rPr>
              <w:t>废滤网</w:t>
            </w:r>
          </w:p>
        </w:tc>
        <w:tc>
          <w:tcPr>
            <w:tcW w:w="3714" w:type="dxa"/>
            <w:tcBorders>
              <w:right w:val="nil"/>
            </w:tcBorders>
          </w:tcPr>
          <w:p w14:paraId="61CA4491">
            <w:pPr>
              <w:pStyle w:val="17"/>
              <w:spacing w:before="62"/>
              <w:ind w:left="67" w:right="65"/>
              <w:rPr>
                <w:sz w:val="21"/>
              </w:rPr>
            </w:pPr>
            <w:r>
              <w:rPr>
                <w:sz w:val="21"/>
              </w:rPr>
              <w:t>经收集后外售综合利用</w:t>
            </w:r>
          </w:p>
        </w:tc>
      </w:tr>
      <w:tr w14:paraId="6FA12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10E42737">
            <w:pPr>
              <w:rPr>
                <w:sz w:val="2"/>
                <w:szCs w:val="2"/>
              </w:rPr>
            </w:pPr>
          </w:p>
        </w:tc>
        <w:tc>
          <w:tcPr>
            <w:tcW w:w="1784" w:type="dxa"/>
          </w:tcPr>
          <w:p w14:paraId="0B6B0178">
            <w:pPr>
              <w:pStyle w:val="17"/>
              <w:spacing w:before="63"/>
              <w:ind w:left="30" w:right="24"/>
              <w:rPr>
                <w:sz w:val="21"/>
              </w:rPr>
            </w:pPr>
            <w:r>
              <w:rPr>
                <w:sz w:val="21"/>
              </w:rPr>
              <w:t>原辅料及成品包装</w:t>
            </w:r>
          </w:p>
        </w:tc>
        <w:tc>
          <w:tcPr>
            <w:tcW w:w="1920" w:type="dxa"/>
          </w:tcPr>
          <w:p w14:paraId="60176435">
            <w:pPr>
              <w:pStyle w:val="17"/>
              <w:spacing w:before="63"/>
              <w:ind w:left="6"/>
              <w:rPr>
                <w:sz w:val="21"/>
              </w:rPr>
            </w:pPr>
            <w:r>
              <w:rPr>
                <w:sz w:val="21"/>
              </w:rPr>
              <w:t>一般废包装材料</w:t>
            </w:r>
          </w:p>
        </w:tc>
        <w:tc>
          <w:tcPr>
            <w:tcW w:w="3714" w:type="dxa"/>
            <w:tcBorders>
              <w:right w:val="nil"/>
            </w:tcBorders>
          </w:tcPr>
          <w:p w14:paraId="3640474B">
            <w:pPr>
              <w:pStyle w:val="17"/>
              <w:spacing w:before="63"/>
              <w:ind w:left="67" w:right="65"/>
              <w:rPr>
                <w:sz w:val="21"/>
              </w:rPr>
            </w:pPr>
            <w:r>
              <w:rPr>
                <w:sz w:val="21"/>
              </w:rPr>
              <w:t>交由物资回收单位处置</w:t>
            </w:r>
          </w:p>
        </w:tc>
      </w:tr>
      <w:tr w14:paraId="2E780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87" w:type="dxa"/>
            <w:vMerge w:val="continue"/>
            <w:tcBorders>
              <w:top w:val="nil"/>
              <w:left w:val="nil"/>
            </w:tcBorders>
          </w:tcPr>
          <w:p w14:paraId="220F1000">
            <w:pPr>
              <w:rPr>
                <w:sz w:val="2"/>
                <w:szCs w:val="2"/>
              </w:rPr>
            </w:pPr>
          </w:p>
        </w:tc>
        <w:tc>
          <w:tcPr>
            <w:tcW w:w="1784" w:type="dxa"/>
          </w:tcPr>
          <w:p w14:paraId="53CAD291">
            <w:pPr>
              <w:pStyle w:val="17"/>
              <w:spacing w:before="21"/>
              <w:ind w:left="30" w:right="24"/>
              <w:rPr>
                <w:sz w:val="21"/>
              </w:rPr>
            </w:pPr>
            <w:r>
              <w:rPr>
                <w:sz w:val="21"/>
              </w:rPr>
              <w:t>二级活性炭吸附装</w:t>
            </w:r>
          </w:p>
          <w:p w14:paraId="072A7989">
            <w:pPr>
              <w:pStyle w:val="17"/>
              <w:spacing w:before="42"/>
              <w:ind w:left="6"/>
              <w:rPr>
                <w:sz w:val="21"/>
              </w:rPr>
            </w:pPr>
            <w:r>
              <w:rPr>
                <w:w w:val="99"/>
                <w:sz w:val="21"/>
              </w:rPr>
              <w:t>置</w:t>
            </w:r>
          </w:p>
        </w:tc>
        <w:tc>
          <w:tcPr>
            <w:tcW w:w="1920" w:type="dxa"/>
          </w:tcPr>
          <w:p w14:paraId="0EC9E1E4">
            <w:pPr>
              <w:pStyle w:val="17"/>
              <w:spacing w:before="176"/>
              <w:ind w:left="8"/>
              <w:rPr>
                <w:sz w:val="21"/>
              </w:rPr>
            </w:pPr>
            <w:r>
              <w:rPr>
                <w:sz w:val="21"/>
              </w:rPr>
              <w:t>废活性炭</w:t>
            </w:r>
          </w:p>
        </w:tc>
        <w:tc>
          <w:tcPr>
            <w:tcW w:w="3714" w:type="dxa"/>
            <w:vMerge w:val="restart"/>
            <w:tcBorders>
              <w:right w:val="nil"/>
            </w:tcBorders>
          </w:tcPr>
          <w:p w14:paraId="1A39059E">
            <w:pPr>
              <w:pStyle w:val="17"/>
              <w:jc w:val="left"/>
              <w:rPr>
                <w:b/>
                <w:sz w:val="20"/>
              </w:rPr>
            </w:pPr>
          </w:p>
          <w:p w14:paraId="080C9E43">
            <w:pPr>
              <w:pStyle w:val="17"/>
              <w:spacing w:before="2"/>
              <w:jc w:val="left"/>
              <w:rPr>
                <w:b/>
                <w:sz w:val="29"/>
              </w:rPr>
            </w:pPr>
          </w:p>
          <w:p w14:paraId="72DE45D8">
            <w:pPr>
              <w:pStyle w:val="17"/>
              <w:spacing w:line="278" w:lineRule="auto"/>
              <w:ind w:left="1646" w:right="65" w:hanging="1575"/>
              <w:jc w:val="left"/>
              <w:rPr>
                <w:sz w:val="21"/>
              </w:rPr>
            </w:pPr>
            <w:r>
              <w:rPr>
                <w:w w:val="95"/>
                <w:sz w:val="21"/>
              </w:rPr>
              <w:t>暂存于危废暂存间后，交由有资质单位</w:t>
            </w:r>
            <w:r>
              <w:rPr>
                <w:sz w:val="21"/>
              </w:rPr>
              <w:t>处置</w:t>
            </w:r>
          </w:p>
        </w:tc>
      </w:tr>
      <w:tr w14:paraId="7820D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2FD6C228">
            <w:pPr>
              <w:rPr>
                <w:sz w:val="2"/>
                <w:szCs w:val="2"/>
              </w:rPr>
            </w:pPr>
          </w:p>
        </w:tc>
        <w:tc>
          <w:tcPr>
            <w:tcW w:w="1784" w:type="dxa"/>
          </w:tcPr>
          <w:p w14:paraId="54E7C92F">
            <w:pPr>
              <w:pStyle w:val="17"/>
              <w:spacing w:before="63"/>
              <w:ind w:left="30" w:right="21"/>
              <w:rPr>
                <w:sz w:val="21"/>
              </w:rPr>
            </w:pPr>
            <w:r>
              <w:rPr>
                <w:sz w:val="21"/>
              </w:rPr>
              <w:t>过滤棉</w:t>
            </w:r>
          </w:p>
        </w:tc>
        <w:tc>
          <w:tcPr>
            <w:tcW w:w="1920" w:type="dxa"/>
          </w:tcPr>
          <w:p w14:paraId="22521DE2">
            <w:pPr>
              <w:pStyle w:val="17"/>
              <w:spacing w:before="63"/>
              <w:ind w:left="8"/>
              <w:rPr>
                <w:sz w:val="21"/>
              </w:rPr>
            </w:pPr>
            <w:r>
              <w:rPr>
                <w:sz w:val="21"/>
              </w:rPr>
              <w:t>废过滤棉</w:t>
            </w:r>
          </w:p>
        </w:tc>
        <w:tc>
          <w:tcPr>
            <w:tcW w:w="3714" w:type="dxa"/>
            <w:vMerge w:val="continue"/>
            <w:tcBorders>
              <w:top w:val="nil"/>
              <w:right w:val="nil"/>
            </w:tcBorders>
          </w:tcPr>
          <w:p w14:paraId="246B92F1">
            <w:pPr>
              <w:rPr>
                <w:sz w:val="2"/>
                <w:szCs w:val="2"/>
              </w:rPr>
            </w:pPr>
          </w:p>
        </w:tc>
      </w:tr>
      <w:tr w14:paraId="45E12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4D08ADF0">
            <w:pPr>
              <w:rPr>
                <w:sz w:val="2"/>
                <w:szCs w:val="2"/>
              </w:rPr>
            </w:pPr>
          </w:p>
        </w:tc>
        <w:tc>
          <w:tcPr>
            <w:tcW w:w="1784" w:type="dxa"/>
          </w:tcPr>
          <w:p w14:paraId="135AA6E8">
            <w:pPr>
              <w:pStyle w:val="17"/>
              <w:spacing w:before="62"/>
              <w:ind w:left="30" w:right="21"/>
              <w:rPr>
                <w:sz w:val="21"/>
              </w:rPr>
            </w:pPr>
            <w:r>
              <w:rPr>
                <w:sz w:val="21"/>
              </w:rPr>
              <w:t>设备维护和检修</w:t>
            </w:r>
          </w:p>
        </w:tc>
        <w:tc>
          <w:tcPr>
            <w:tcW w:w="1920" w:type="dxa"/>
          </w:tcPr>
          <w:p w14:paraId="4CD5FE83">
            <w:pPr>
              <w:pStyle w:val="17"/>
              <w:spacing w:before="62"/>
              <w:ind w:left="8"/>
              <w:rPr>
                <w:sz w:val="21"/>
              </w:rPr>
            </w:pPr>
            <w:r>
              <w:rPr>
                <w:sz w:val="21"/>
              </w:rPr>
              <w:t>废润滑油</w:t>
            </w:r>
          </w:p>
        </w:tc>
        <w:tc>
          <w:tcPr>
            <w:tcW w:w="3714" w:type="dxa"/>
            <w:vMerge w:val="continue"/>
            <w:tcBorders>
              <w:top w:val="nil"/>
              <w:right w:val="nil"/>
            </w:tcBorders>
          </w:tcPr>
          <w:p w14:paraId="36103045">
            <w:pPr>
              <w:rPr>
                <w:sz w:val="2"/>
                <w:szCs w:val="2"/>
              </w:rPr>
            </w:pPr>
          </w:p>
        </w:tc>
      </w:tr>
      <w:tr w14:paraId="1B099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7" w:type="dxa"/>
            <w:vMerge w:val="continue"/>
            <w:tcBorders>
              <w:top w:val="nil"/>
              <w:left w:val="nil"/>
            </w:tcBorders>
          </w:tcPr>
          <w:p w14:paraId="07737D74">
            <w:pPr>
              <w:rPr>
                <w:sz w:val="2"/>
                <w:szCs w:val="2"/>
              </w:rPr>
            </w:pPr>
          </w:p>
        </w:tc>
        <w:tc>
          <w:tcPr>
            <w:tcW w:w="1784" w:type="dxa"/>
          </w:tcPr>
          <w:p w14:paraId="21EE8FC5">
            <w:pPr>
              <w:pStyle w:val="17"/>
              <w:spacing w:before="63"/>
              <w:ind w:left="30" w:right="21"/>
              <w:rPr>
                <w:sz w:val="21"/>
              </w:rPr>
            </w:pPr>
            <w:r>
              <w:rPr>
                <w:sz w:val="21"/>
              </w:rPr>
              <w:t>设备维护和检修</w:t>
            </w:r>
          </w:p>
        </w:tc>
        <w:tc>
          <w:tcPr>
            <w:tcW w:w="1920" w:type="dxa"/>
          </w:tcPr>
          <w:p w14:paraId="117BFDDA">
            <w:pPr>
              <w:pStyle w:val="17"/>
              <w:spacing w:before="63"/>
              <w:ind w:left="6"/>
              <w:rPr>
                <w:sz w:val="21"/>
              </w:rPr>
            </w:pPr>
            <w:r>
              <w:rPr>
                <w:sz w:val="21"/>
              </w:rPr>
              <w:t>含油废抹布手套</w:t>
            </w:r>
          </w:p>
        </w:tc>
        <w:tc>
          <w:tcPr>
            <w:tcW w:w="3714" w:type="dxa"/>
            <w:vMerge w:val="continue"/>
            <w:tcBorders>
              <w:top w:val="nil"/>
              <w:right w:val="nil"/>
            </w:tcBorders>
          </w:tcPr>
          <w:p w14:paraId="0AF0BD03">
            <w:pPr>
              <w:rPr>
                <w:sz w:val="2"/>
                <w:szCs w:val="2"/>
              </w:rPr>
            </w:pPr>
          </w:p>
        </w:tc>
      </w:tr>
      <w:tr w14:paraId="248AD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87" w:type="dxa"/>
            <w:vMerge w:val="continue"/>
            <w:tcBorders>
              <w:top w:val="nil"/>
              <w:left w:val="nil"/>
            </w:tcBorders>
          </w:tcPr>
          <w:p w14:paraId="57A82B49">
            <w:pPr>
              <w:rPr>
                <w:sz w:val="2"/>
                <w:szCs w:val="2"/>
              </w:rPr>
            </w:pPr>
          </w:p>
        </w:tc>
        <w:tc>
          <w:tcPr>
            <w:tcW w:w="1784" w:type="dxa"/>
          </w:tcPr>
          <w:p w14:paraId="11729231">
            <w:pPr>
              <w:pStyle w:val="17"/>
              <w:spacing w:before="64"/>
              <w:ind w:left="30" w:right="24"/>
              <w:rPr>
                <w:sz w:val="21"/>
              </w:rPr>
            </w:pPr>
            <w:r>
              <w:rPr>
                <w:sz w:val="21"/>
              </w:rPr>
              <w:t>员工生活</w:t>
            </w:r>
          </w:p>
        </w:tc>
        <w:tc>
          <w:tcPr>
            <w:tcW w:w="1920" w:type="dxa"/>
          </w:tcPr>
          <w:p w14:paraId="41135C4D">
            <w:pPr>
              <w:pStyle w:val="17"/>
              <w:spacing w:before="64"/>
              <w:ind w:left="8"/>
              <w:rPr>
                <w:sz w:val="21"/>
              </w:rPr>
            </w:pPr>
            <w:r>
              <w:rPr>
                <w:sz w:val="21"/>
              </w:rPr>
              <w:t>生活垃圾</w:t>
            </w:r>
          </w:p>
        </w:tc>
        <w:tc>
          <w:tcPr>
            <w:tcW w:w="3714" w:type="dxa"/>
            <w:tcBorders>
              <w:right w:val="nil"/>
            </w:tcBorders>
          </w:tcPr>
          <w:p w14:paraId="6B2C5821">
            <w:pPr>
              <w:pStyle w:val="17"/>
              <w:spacing w:before="64"/>
              <w:ind w:left="67" w:right="65"/>
              <w:rPr>
                <w:sz w:val="21"/>
              </w:rPr>
            </w:pPr>
            <w:r>
              <w:rPr>
                <w:sz w:val="21"/>
              </w:rPr>
              <w:t>交由环卫部门收集处理</w:t>
            </w:r>
          </w:p>
        </w:tc>
      </w:tr>
    </w:tbl>
    <w:p w14:paraId="19A40436">
      <w:pPr>
        <w:pStyle w:val="3"/>
        <w:numPr>
          <w:ilvl w:val="1"/>
          <w:numId w:val="9"/>
        </w:numPr>
        <w:tabs>
          <w:tab w:val="left" w:pos="669"/>
        </w:tabs>
        <w:spacing w:before="119" w:after="0" w:line="240" w:lineRule="auto"/>
        <w:ind w:left="668" w:right="0" w:hanging="448"/>
        <w:jc w:val="left"/>
      </w:pPr>
      <w:bookmarkStart w:id="18" w:name="_TOC_250037"/>
      <w:bookmarkEnd w:id="18"/>
      <w:r>
        <w:rPr>
          <w:w w:val="95"/>
        </w:rPr>
        <w:t>平衡分析</w:t>
      </w:r>
    </w:p>
    <w:p w14:paraId="7B029F60">
      <w:pPr>
        <w:pStyle w:val="16"/>
        <w:numPr>
          <w:ilvl w:val="2"/>
          <w:numId w:val="9"/>
        </w:numPr>
        <w:tabs>
          <w:tab w:val="left" w:pos="849"/>
        </w:tabs>
        <w:spacing w:before="253" w:after="0" w:line="240" w:lineRule="auto"/>
        <w:ind w:left="848" w:right="0" w:hanging="628"/>
        <w:jc w:val="left"/>
        <w:rPr>
          <w:b/>
          <w:sz w:val="28"/>
        </w:rPr>
      </w:pPr>
      <w:r>
        <w:rPr>
          <w:b/>
          <w:spacing w:val="-1"/>
          <w:w w:val="95"/>
          <w:sz w:val="28"/>
        </w:rPr>
        <w:t>水平衡</w:t>
      </w:r>
    </w:p>
    <w:p w14:paraId="7FC3B900">
      <w:pPr>
        <w:pStyle w:val="10"/>
        <w:spacing w:before="214" w:line="364" w:lineRule="auto"/>
        <w:ind w:left="220" w:right="357" w:firstLine="480"/>
        <w:jc w:val="both"/>
      </w:pPr>
      <w:r>
        <w:rPr>
          <w:spacing w:val="-5"/>
        </w:rPr>
        <w:t>本项目营运期用水主要为生活用水、循环冷却用水。地面清洁采用人工清扫方式，不使用水对地面进行冲洗，无地面冲洗用水。</w:t>
      </w:r>
    </w:p>
    <w:p w14:paraId="4FF0409D">
      <w:pPr>
        <w:pStyle w:val="10"/>
        <w:spacing w:before="1"/>
        <w:ind w:left="700"/>
      </w:pPr>
      <w:r>
        <w:t>（</w:t>
      </w:r>
      <w:r>
        <w:rPr>
          <w:rFonts w:ascii="Times New Roman" w:eastAsia="Times New Roman"/>
        </w:rPr>
        <w:t>1</w:t>
      </w:r>
      <w:r>
        <w:t>）生活用水</w:t>
      </w:r>
    </w:p>
    <w:p w14:paraId="6CFE5D51">
      <w:pPr>
        <w:pStyle w:val="10"/>
        <w:spacing w:before="160" w:line="364" w:lineRule="auto"/>
        <w:ind w:left="220" w:right="265" w:firstLine="480"/>
        <w:jc w:val="both"/>
      </w:pPr>
      <w:r>
        <w:rPr>
          <w:spacing w:val="-7"/>
        </w:rPr>
        <w:t xml:space="preserve">本项目劳动定员 </w:t>
      </w:r>
      <w:r>
        <w:rPr>
          <w:rFonts w:ascii="Times New Roman" w:eastAsia="Times New Roman"/>
        </w:rPr>
        <w:t xml:space="preserve">20 </w:t>
      </w:r>
      <w:r>
        <w:t>人，均不在厂区食宿，参照湖南省地方标准《湖南省地方标准用水定额》（</w:t>
      </w:r>
      <w:r>
        <w:rPr>
          <w:rFonts w:ascii="Times New Roman" w:eastAsia="Times New Roman"/>
        </w:rPr>
        <w:t>DB43/T388-2020</w:t>
      </w:r>
      <w:r>
        <w:t>）</w:t>
      </w:r>
      <w:r>
        <w:rPr>
          <w:spacing w:val="-5"/>
        </w:rPr>
        <w:t xml:space="preserve">，不住厂职工按每人 </w:t>
      </w:r>
      <w:r>
        <w:rPr>
          <w:rFonts w:ascii="Times New Roman" w:eastAsia="Times New Roman"/>
        </w:rPr>
        <w:t>38m</w:t>
      </w:r>
      <w:r>
        <w:rPr>
          <w:rFonts w:ascii="Times New Roman" w:eastAsia="Times New Roman"/>
          <w:position w:val="8"/>
          <w:sz w:val="15"/>
        </w:rPr>
        <w:t>3</w:t>
      </w:r>
      <w:r>
        <w:rPr>
          <w:rFonts w:ascii="Times New Roman" w:eastAsia="Times New Roman"/>
        </w:rPr>
        <w:t xml:space="preserve">/a </w:t>
      </w:r>
      <w:r>
        <w:t>计，则生活</w:t>
      </w:r>
      <w:r>
        <w:rPr>
          <w:spacing w:val="-13"/>
        </w:rPr>
        <w:t xml:space="preserve">用水量为 </w:t>
      </w:r>
      <w:r>
        <w:rPr>
          <w:rFonts w:ascii="Times New Roman" w:eastAsia="Times New Roman"/>
        </w:rPr>
        <w:t>760m</w:t>
      </w:r>
      <w:r>
        <w:rPr>
          <w:rFonts w:ascii="Times New Roman" w:eastAsia="Times New Roman"/>
          <w:position w:val="8"/>
          <w:sz w:val="15"/>
        </w:rPr>
        <w:t>3</w:t>
      </w:r>
      <w:r>
        <w:rPr>
          <w:rFonts w:ascii="Times New Roman" w:eastAsia="Times New Roman"/>
        </w:rPr>
        <w:t>/a</w:t>
      </w:r>
      <w:r>
        <w:rPr>
          <w:spacing w:val="-6"/>
        </w:rPr>
        <w:t xml:space="preserve">，项目污水排放系数取 </w:t>
      </w:r>
      <w:r>
        <w:rPr>
          <w:rFonts w:ascii="Times New Roman" w:eastAsia="Times New Roman"/>
        </w:rPr>
        <w:t>0.8</w:t>
      </w:r>
      <w:r>
        <w:rPr>
          <w:spacing w:val="-6"/>
        </w:rPr>
        <w:t xml:space="preserve">，则员工生活污水量为 </w:t>
      </w:r>
      <w:r>
        <w:rPr>
          <w:rFonts w:ascii="Times New Roman" w:eastAsia="Times New Roman"/>
        </w:rPr>
        <w:t>608m</w:t>
      </w:r>
      <w:r>
        <w:rPr>
          <w:rFonts w:ascii="Times New Roman" w:eastAsia="Times New Roman"/>
          <w:position w:val="8"/>
          <w:sz w:val="15"/>
        </w:rPr>
        <w:t>3</w:t>
      </w:r>
      <w:r>
        <w:rPr>
          <w:rFonts w:ascii="Times New Roman" w:eastAsia="Times New Roman"/>
        </w:rPr>
        <w:t>/a</w:t>
      </w:r>
      <w:r>
        <w:rPr>
          <w:spacing w:val="-2"/>
        </w:rPr>
        <w:t>。本项目生活污水依托中塑新材料公司现有化粪池处理后满足《污水综合排放标准》</w:t>
      </w:r>
    </w:p>
    <w:p w14:paraId="2621D8AC">
      <w:pPr>
        <w:pStyle w:val="10"/>
        <w:spacing w:before="3" w:line="364" w:lineRule="auto"/>
        <w:ind w:left="220" w:right="357"/>
        <w:jc w:val="both"/>
      </w:pPr>
      <w:r>
        <w:rPr>
          <w:spacing w:val="-3"/>
        </w:rPr>
        <w:t>（</w:t>
      </w:r>
      <w:r>
        <w:rPr>
          <w:rFonts w:ascii="Times New Roman" w:eastAsia="Times New Roman"/>
          <w:spacing w:val="-3"/>
        </w:rPr>
        <w:t>GB8978-1996</w:t>
      </w:r>
      <w:r>
        <w:rPr>
          <w:spacing w:val="-3"/>
        </w:rPr>
        <w:t>）</w:t>
      </w:r>
      <w:r>
        <w:t>中三级标准及汨罗市城市污水处理厂进水水质标准两者中的较</w:t>
      </w:r>
      <w:r>
        <w:rPr>
          <w:spacing w:val="-10"/>
        </w:rPr>
        <w:t>严值后，排入汨罗市城市污水处理厂，处理达到《城镇污水处理厂污染物排放标准》（</w:t>
      </w:r>
      <w:r>
        <w:rPr>
          <w:rFonts w:ascii="Times New Roman" w:eastAsia="Times New Roman"/>
          <w:spacing w:val="-10"/>
        </w:rPr>
        <w:t>GB18918-2002</w:t>
      </w:r>
      <w:r>
        <w:rPr>
          <w:spacing w:val="-10"/>
        </w:rPr>
        <w:t>）</w:t>
      </w:r>
      <w:r>
        <w:rPr>
          <w:spacing w:val="-27"/>
        </w:rPr>
        <w:t xml:space="preserve">一级 </w:t>
      </w:r>
      <w:r>
        <w:rPr>
          <w:rFonts w:ascii="Times New Roman" w:eastAsia="Times New Roman"/>
        </w:rPr>
        <w:t xml:space="preserve">A </w:t>
      </w:r>
      <w:r>
        <w:t>标准后经李家河排入汨罗江。</w:t>
      </w:r>
    </w:p>
    <w:p w14:paraId="7174AC35">
      <w:pPr>
        <w:pStyle w:val="10"/>
        <w:spacing w:before="1"/>
        <w:ind w:left="700"/>
      </w:pPr>
      <w:r>
        <w:t>（</w:t>
      </w:r>
      <w:r>
        <w:rPr>
          <w:rFonts w:ascii="Times New Roman" w:eastAsia="Times New Roman"/>
        </w:rPr>
        <w:t>2</w:t>
      </w:r>
      <w:r>
        <w:t>）循环冷却水系统补充用水</w:t>
      </w:r>
    </w:p>
    <w:p w14:paraId="49E0832F">
      <w:pPr>
        <w:spacing w:after="0"/>
        <w:sectPr>
          <w:footerReference r:id="rId10" w:type="default"/>
          <w:pgSz w:w="11910" w:h="16840"/>
          <w:pgMar w:top="1420" w:right="1440" w:bottom="1220" w:left="1580" w:header="0" w:footer="1024" w:gutter="0"/>
          <w:pgNumType w:start="50"/>
          <w:cols w:space="720" w:num="1"/>
        </w:sectPr>
      </w:pPr>
    </w:p>
    <w:p w14:paraId="2E867865">
      <w:pPr>
        <w:pStyle w:val="10"/>
        <w:spacing w:before="42" w:line="364" w:lineRule="auto"/>
        <w:ind w:left="220" w:right="357" w:firstLine="480"/>
        <w:jc w:val="both"/>
      </w:pPr>
      <w:r>
        <w:rPr>
          <w:spacing w:val="-5"/>
        </w:rPr>
        <w:t>本项目挤出冷却成型采用间接冷却的方式，冷却水经循环冷却池沉淀后循环</w:t>
      </w:r>
      <w:r>
        <w:rPr>
          <w:spacing w:val="-8"/>
        </w:rPr>
        <w:t xml:space="preserve">使用，不外排。本项目循环冷却水量为 </w:t>
      </w:r>
      <w:r>
        <w:rPr>
          <w:rFonts w:ascii="Times New Roman" w:eastAsia="Times New Roman"/>
        </w:rPr>
        <w:t>3m</w:t>
      </w:r>
      <w:r>
        <w:rPr>
          <w:rFonts w:ascii="Times New Roman" w:eastAsia="Times New Roman"/>
          <w:position w:val="8"/>
          <w:sz w:val="15"/>
        </w:rPr>
        <w:t>3</w:t>
      </w:r>
      <w:r>
        <w:rPr>
          <w:rFonts w:ascii="Times New Roman" w:eastAsia="Times New Roman"/>
        </w:rPr>
        <w:t>/h</w:t>
      </w:r>
      <w:r>
        <w:rPr>
          <w:spacing w:val="-8"/>
        </w:rPr>
        <w:t xml:space="preserve">，循环量为 </w:t>
      </w:r>
      <w:r>
        <w:rPr>
          <w:rFonts w:ascii="Times New Roman" w:eastAsia="Times New Roman"/>
        </w:rPr>
        <w:t>48m</w:t>
      </w:r>
      <w:r>
        <w:rPr>
          <w:rFonts w:ascii="Times New Roman" w:eastAsia="Times New Roman"/>
          <w:position w:val="8"/>
          <w:sz w:val="15"/>
        </w:rPr>
        <w:t>3</w:t>
      </w:r>
      <w:r>
        <w:rPr>
          <w:rFonts w:ascii="Times New Roman" w:eastAsia="Times New Roman"/>
        </w:rPr>
        <w:t>/d</w:t>
      </w:r>
      <w:r>
        <w:rPr>
          <w:spacing w:val="-8"/>
        </w:rPr>
        <w:t xml:space="preserve">，损耗量以 </w:t>
      </w:r>
      <w:r>
        <w:rPr>
          <w:rFonts w:ascii="Times New Roman" w:eastAsia="Times New Roman"/>
        </w:rPr>
        <w:t xml:space="preserve">5% </w:t>
      </w:r>
      <w:r>
        <w:rPr>
          <w:spacing w:val="-6"/>
        </w:rPr>
        <w:t xml:space="preserve">计，需补充新鲜水量为 </w:t>
      </w:r>
      <w:r>
        <w:rPr>
          <w:rFonts w:ascii="Times New Roman" w:eastAsia="Times New Roman"/>
        </w:rPr>
        <w:t>2.4m</w:t>
      </w:r>
      <w:r>
        <w:rPr>
          <w:rFonts w:ascii="Times New Roman" w:eastAsia="Times New Roman"/>
          <w:position w:val="8"/>
          <w:sz w:val="15"/>
        </w:rPr>
        <w:t>3</w:t>
      </w:r>
      <w:r>
        <w:rPr>
          <w:rFonts w:ascii="Times New Roman" w:eastAsia="Times New Roman"/>
        </w:rPr>
        <w:t>/d</w:t>
      </w:r>
      <w:r>
        <w:t>（</w:t>
      </w:r>
      <w:r>
        <w:rPr>
          <w:rFonts w:ascii="Times New Roman" w:eastAsia="Times New Roman"/>
        </w:rPr>
        <w:t>720m</w:t>
      </w:r>
      <w:r>
        <w:rPr>
          <w:rFonts w:ascii="Times New Roman" w:eastAsia="Times New Roman"/>
          <w:position w:val="8"/>
          <w:sz w:val="15"/>
        </w:rPr>
        <w:t>3</w:t>
      </w:r>
      <w:r>
        <w:rPr>
          <w:rFonts w:ascii="Times New Roman" w:eastAsia="Times New Roman"/>
        </w:rPr>
        <w:t>/a</w:t>
      </w:r>
      <w:r>
        <w:t>）。</w:t>
      </w:r>
    </w:p>
    <w:p w14:paraId="61FCE62C">
      <w:pPr>
        <w:pStyle w:val="10"/>
        <w:spacing w:before="2"/>
        <w:ind w:left="700"/>
      </w:pPr>
      <w:r>
        <w:drawing>
          <wp:anchor distT="0" distB="0" distL="0" distR="0" simplePos="0" relativeHeight="251659264" behindDoc="0" locked="0" layoutInCell="1" allowOverlap="1">
            <wp:simplePos x="0" y="0"/>
            <wp:positionH relativeFrom="page">
              <wp:posOffset>1143000</wp:posOffset>
            </wp:positionH>
            <wp:positionV relativeFrom="paragraph">
              <wp:posOffset>268605</wp:posOffset>
            </wp:positionV>
            <wp:extent cx="5264150" cy="2924175"/>
            <wp:effectExtent l="0" t="0" r="0" b="0"/>
            <wp:wrapTopAndBottom/>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png"/>
                    <pic:cNvPicPr>
                      <a:picLocks noChangeAspect="1"/>
                    </pic:cNvPicPr>
                  </pic:nvPicPr>
                  <pic:blipFill>
                    <a:blip r:embed="rId57" cstate="print"/>
                    <a:stretch>
                      <a:fillRect/>
                    </a:stretch>
                  </pic:blipFill>
                  <pic:spPr>
                    <a:xfrm>
                      <a:off x="0" y="0"/>
                      <a:ext cx="5263952" cy="2924079"/>
                    </a:xfrm>
                    <a:prstGeom prst="rect">
                      <a:avLst/>
                    </a:prstGeom>
                  </pic:spPr>
                </pic:pic>
              </a:graphicData>
            </a:graphic>
          </wp:anchor>
        </w:drawing>
      </w:r>
      <w:r>
        <w:t>项目水平衡图如下图所示。</w:t>
      </w:r>
    </w:p>
    <w:p w14:paraId="61F98C9D">
      <w:pPr>
        <w:pStyle w:val="10"/>
        <w:spacing w:before="5"/>
        <w:rPr>
          <w:sz w:val="5"/>
        </w:rPr>
      </w:pPr>
    </w:p>
    <w:p w14:paraId="3621D96B">
      <w:pPr>
        <w:spacing w:after="0"/>
        <w:rPr>
          <w:sz w:val="5"/>
        </w:rPr>
        <w:sectPr>
          <w:pgSz w:w="11910" w:h="16840"/>
          <w:pgMar w:top="1460" w:right="1440" w:bottom="1220" w:left="1580" w:header="0" w:footer="1024" w:gutter="0"/>
          <w:cols w:space="720" w:num="1"/>
        </w:sectPr>
      </w:pPr>
    </w:p>
    <w:p w14:paraId="76DF7082">
      <w:pPr>
        <w:pStyle w:val="10"/>
        <w:spacing w:before="7"/>
        <w:rPr>
          <w:sz w:val="42"/>
        </w:rPr>
      </w:pPr>
    </w:p>
    <w:p w14:paraId="6AE5AC36">
      <w:pPr>
        <w:pStyle w:val="16"/>
        <w:numPr>
          <w:ilvl w:val="2"/>
          <w:numId w:val="9"/>
        </w:numPr>
        <w:tabs>
          <w:tab w:val="left" w:pos="849"/>
        </w:tabs>
        <w:spacing w:before="0" w:after="0" w:line="240" w:lineRule="auto"/>
        <w:ind w:left="848" w:right="0" w:hanging="628"/>
        <w:jc w:val="left"/>
        <w:rPr>
          <w:b/>
          <w:sz w:val="28"/>
        </w:rPr>
      </w:pPr>
      <w:r>
        <w:rPr>
          <w:b/>
          <w:sz w:val="28"/>
        </w:rPr>
        <w:t>物料平衡</w:t>
      </w:r>
    </w:p>
    <w:p w14:paraId="48DF34A7">
      <w:pPr>
        <w:pStyle w:val="9"/>
        <w:spacing w:before="23"/>
        <w:ind w:left="220"/>
      </w:pPr>
      <w:r>
        <w:rPr>
          <w:b w:val="0"/>
        </w:rPr>
        <w:br w:type="column"/>
      </w:r>
      <w:r>
        <w:rPr>
          <w:spacing w:val="-31"/>
        </w:rPr>
        <w:t xml:space="preserve">图 </w:t>
      </w:r>
      <w:r>
        <w:rPr>
          <w:rFonts w:ascii="Times New Roman" w:eastAsia="Times New Roman"/>
        </w:rPr>
        <w:t>2.3-1</w:t>
      </w:r>
      <w:r>
        <w:rPr>
          <w:rFonts w:ascii="Times New Roman" w:eastAsia="Times New Roman"/>
          <w:spacing w:val="57"/>
        </w:rPr>
        <w:t xml:space="preserve"> </w:t>
      </w:r>
      <w:r>
        <w:t>水平衡图（单位：</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1A6698BD">
      <w:pPr>
        <w:spacing w:after="0"/>
        <w:sectPr>
          <w:type w:val="continuous"/>
          <w:pgSz w:w="11910" w:h="16840"/>
          <w:pgMar w:top="1600" w:right="1440" w:bottom="280" w:left="1580" w:header="720" w:footer="720" w:gutter="0"/>
          <w:cols w:equalWidth="0" w:num="2">
            <w:col w:w="2013" w:space="363"/>
            <w:col w:w="6514"/>
          </w:cols>
        </w:sectPr>
      </w:pPr>
    </w:p>
    <w:p w14:paraId="733CB55D">
      <w:pPr>
        <w:pStyle w:val="10"/>
        <w:spacing w:before="4"/>
        <w:rPr>
          <w:b/>
          <w:sz w:val="11"/>
        </w:rPr>
      </w:pPr>
    </w:p>
    <w:p w14:paraId="3513CCB1">
      <w:pPr>
        <w:pStyle w:val="10"/>
        <w:spacing w:before="67"/>
        <w:ind w:left="700"/>
      </w:pPr>
      <w:r>
        <w:t>项目物料平衡见下表。</w:t>
      </w:r>
    </w:p>
    <w:p w14:paraId="52310717">
      <w:pPr>
        <w:pStyle w:val="9"/>
        <w:spacing w:before="160"/>
        <w:ind w:left="0" w:right="141"/>
        <w:jc w:val="center"/>
      </w:pPr>
      <w:r>
        <w:rPr>
          <w:spacing w:val="-31"/>
        </w:rPr>
        <w:t xml:space="preserve">表 </w:t>
      </w:r>
      <w:r>
        <w:rPr>
          <w:rFonts w:ascii="Times New Roman" w:eastAsia="Times New Roman"/>
        </w:rPr>
        <w:t>2.3-1</w:t>
      </w:r>
      <w:r>
        <w:rPr>
          <w:rFonts w:ascii="Times New Roman" w:eastAsia="Times New Roman"/>
          <w:spacing w:val="58"/>
        </w:rPr>
        <w:t xml:space="preserve"> </w:t>
      </w:r>
      <w:r>
        <w:t>物料平衡表（单位：</w:t>
      </w:r>
      <w:r>
        <w:rPr>
          <w:rFonts w:ascii="Times New Roman" w:eastAsia="Times New Roman"/>
        </w:rPr>
        <w:t>t/a</w:t>
      </w:r>
      <w:r>
        <w:t>）</w:t>
      </w:r>
    </w:p>
    <w:p w14:paraId="3CD0B23F">
      <w:pPr>
        <w:pStyle w:val="10"/>
        <w:spacing w:before="3"/>
        <w:rPr>
          <w:b/>
          <w:sz w:val="6"/>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2937"/>
        <w:gridCol w:w="1251"/>
      </w:tblGrid>
      <w:tr w14:paraId="23042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4" w:type="dxa"/>
            <w:vMerge w:val="restart"/>
            <w:tcBorders>
              <w:left w:val="nil"/>
            </w:tcBorders>
          </w:tcPr>
          <w:p w14:paraId="3857F930">
            <w:pPr>
              <w:pStyle w:val="17"/>
              <w:spacing w:line="312" w:lineRule="exact"/>
              <w:ind w:left="170" w:right="157"/>
              <w:jc w:val="left"/>
              <w:rPr>
                <w:sz w:val="21"/>
              </w:rPr>
            </w:pPr>
            <w:r>
              <w:rPr>
                <w:sz w:val="21"/>
              </w:rPr>
              <w:t>序号</w:t>
            </w:r>
          </w:p>
        </w:tc>
        <w:tc>
          <w:tcPr>
            <w:tcW w:w="3772" w:type="dxa"/>
            <w:gridSpan w:val="2"/>
          </w:tcPr>
          <w:p w14:paraId="559C94F6">
            <w:pPr>
              <w:pStyle w:val="17"/>
              <w:spacing w:before="21"/>
              <w:ind w:left="1444" w:right="1438"/>
              <w:rPr>
                <w:sz w:val="21"/>
              </w:rPr>
            </w:pPr>
            <w:r>
              <w:rPr>
                <w:sz w:val="21"/>
              </w:rPr>
              <w:t>输入过程</w:t>
            </w:r>
          </w:p>
        </w:tc>
        <w:tc>
          <w:tcPr>
            <w:tcW w:w="4188" w:type="dxa"/>
            <w:gridSpan w:val="2"/>
            <w:tcBorders>
              <w:right w:val="nil"/>
            </w:tcBorders>
          </w:tcPr>
          <w:p w14:paraId="3076F428">
            <w:pPr>
              <w:pStyle w:val="17"/>
              <w:spacing w:before="21"/>
              <w:ind w:left="1653" w:right="1649"/>
              <w:rPr>
                <w:sz w:val="21"/>
              </w:rPr>
            </w:pPr>
            <w:r>
              <w:rPr>
                <w:sz w:val="21"/>
              </w:rPr>
              <w:t>输出过程</w:t>
            </w:r>
          </w:p>
        </w:tc>
      </w:tr>
      <w:tr w14:paraId="5F9CF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vMerge w:val="continue"/>
            <w:tcBorders>
              <w:top w:val="nil"/>
              <w:left w:val="nil"/>
            </w:tcBorders>
          </w:tcPr>
          <w:p w14:paraId="482AC873">
            <w:pPr>
              <w:rPr>
                <w:sz w:val="2"/>
                <w:szCs w:val="2"/>
              </w:rPr>
            </w:pPr>
          </w:p>
        </w:tc>
        <w:tc>
          <w:tcPr>
            <w:tcW w:w="2587" w:type="dxa"/>
          </w:tcPr>
          <w:p w14:paraId="6821F33A">
            <w:pPr>
              <w:pStyle w:val="17"/>
              <w:spacing w:before="35"/>
              <w:ind w:left="19" w:right="14"/>
              <w:rPr>
                <w:sz w:val="21"/>
              </w:rPr>
            </w:pPr>
            <w:r>
              <w:rPr>
                <w:sz w:val="21"/>
              </w:rPr>
              <w:t>物料名称</w:t>
            </w:r>
          </w:p>
        </w:tc>
        <w:tc>
          <w:tcPr>
            <w:tcW w:w="1185" w:type="dxa"/>
          </w:tcPr>
          <w:p w14:paraId="0EB1A3C4">
            <w:pPr>
              <w:pStyle w:val="17"/>
              <w:spacing w:before="35"/>
              <w:ind w:left="380"/>
              <w:jc w:val="left"/>
              <w:rPr>
                <w:sz w:val="21"/>
              </w:rPr>
            </w:pPr>
            <w:r>
              <w:rPr>
                <w:sz w:val="21"/>
              </w:rPr>
              <w:t>数量</w:t>
            </w:r>
          </w:p>
        </w:tc>
        <w:tc>
          <w:tcPr>
            <w:tcW w:w="2937" w:type="dxa"/>
          </w:tcPr>
          <w:p w14:paraId="3D0794D4">
            <w:pPr>
              <w:pStyle w:val="17"/>
              <w:spacing w:before="35"/>
              <w:ind w:left="1027" w:right="1020"/>
              <w:rPr>
                <w:sz w:val="21"/>
              </w:rPr>
            </w:pPr>
            <w:r>
              <w:rPr>
                <w:sz w:val="21"/>
              </w:rPr>
              <w:t>物料名称</w:t>
            </w:r>
          </w:p>
        </w:tc>
        <w:tc>
          <w:tcPr>
            <w:tcW w:w="1251" w:type="dxa"/>
            <w:tcBorders>
              <w:right w:val="nil"/>
            </w:tcBorders>
          </w:tcPr>
          <w:p w14:paraId="42D6301E">
            <w:pPr>
              <w:pStyle w:val="17"/>
              <w:spacing w:before="35"/>
              <w:ind w:left="415"/>
              <w:jc w:val="left"/>
              <w:rPr>
                <w:sz w:val="21"/>
              </w:rPr>
            </w:pPr>
            <w:r>
              <w:rPr>
                <w:sz w:val="21"/>
              </w:rPr>
              <w:t>数量</w:t>
            </w:r>
          </w:p>
        </w:tc>
      </w:tr>
    </w:tbl>
    <w:p w14:paraId="42F07AA8">
      <w:pPr>
        <w:spacing w:before="36" w:after="36"/>
        <w:ind w:left="0" w:right="142" w:firstLine="0"/>
        <w:jc w:val="center"/>
        <w:rPr>
          <w:sz w:val="21"/>
        </w:rPr>
      </w:pPr>
      <w:r>
        <w:rPr>
          <w:sz w:val="21"/>
        </w:rPr>
        <w:t>一、</w:t>
      </w:r>
      <w:r>
        <w:rPr>
          <w:rFonts w:ascii="Times New Roman" w:eastAsia="Times New Roman"/>
          <w:sz w:val="21"/>
        </w:rPr>
        <w:t xml:space="preserve">PE </w:t>
      </w:r>
      <w:r>
        <w:rPr>
          <w:sz w:val="21"/>
        </w:rPr>
        <w:t>再生塑料粒子</w:t>
      </w: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1302"/>
        <w:gridCol w:w="1635"/>
        <w:gridCol w:w="1251"/>
      </w:tblGrid>
      <w:tr w14:paraId="1D4BD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4" w:type="dxa"/>
            <w:tcBorders>
              <w:left w:val="nil"/>
            </w:tcBorders>
          </w:tcPr>
          <w:p w14:paraId="6DD9F743">
            <w:pPr>
              <w:pStyle w:val="17"/>
              <w:spacing w:before="191"/>
              <w:ind w:left="13"/>
              <w:rPr>
                <w:rFonts w:ascii="Times New Roman"/>
                <w:sz w:val="21"/>
              </w:rPr>
            </w:pPr>
            <w:r>
              <w:rPr>
                <w:rFonts w:ascii="Times New Roman"/>
                <w:w w:val="99"/>
                <w:sz w:val="21"/>
              </w:rPr>
              <w:t>1</w:t>
            </w:r>
          </w:p>
        </w:tc>
        <w:tc>
          <w:tcPr>
            <w:tcW w:w="2587" w:type="dxa"/>
          </w:tcPr>
          <w:p w14:paraId="722910FB">
            <w:pPr>
              <w:pStyle w:val="17"/>
              <w:spacing w:before="21"/>
              <w:ind w:left="19" w:right="14"/>
              <w:rPr>
                <w:sz w:val="21"/>
              </w:rPr>
            </w:pPr>
            <w:r>
              <w:rPr>
                <w:sz w:val="21"/>
              </w:rPr>
              <w:t xml:space="preserve">废 </w:t>
            </w:r>
            <w:r>
              <w:rPr>
                <w:rFonts w:ascii="Times New Roman" w:eastAsia="Times New Roman"/>
                <w:sz w:val="21"/>
              </w:rPr>
              <w:t xml:space="preserve">PE </w:t>
            </w:r>
            <w:r>
              <w:rPr>
                <w:sz w:val="21"/>
              </w:rPr>
              <w:t>塑料（已破碎清洗分</w:t>
            </w:r>
          </w:p>
          <w:p w14:paraId="1C65A164">
            <w:pPr>
              <w:pStyle w:val="17"/>
              <w:spacing w:before="43"/>
              <w:ind w:left="19" w:right="12"/>
              <w:rPr>
                <w:sz w:val="21"/>
              </w:rPr>
            </w:pPr>
            <w:r>
              <w:rPr>
                <w:sz w:val="21"/>
              </w:rPr>
              <w:t>拣后的废塑料）</w:t>
            </w:r>
          </w:p>
        </w:tc>
        <w:tc>
          <w:tcPr>
            <w:tcW w:w="1185" w:type="dxa"/>
          </w:tcPr>
          <w:p w14:paraId="29143B7C">
            <w:pPr>
              <w:pStyle w:val="17"/>
              <w:spacing w:before="191"/>
              <w:ind w:left="178" w:right="169"/>
              <w:rPr>
                <w:rFonts w:ascii="Times New Roman"/>
                <w:sz w:val="21"/>
              </w:rPr>
            </w:pPr>
            <w:r>
              <w:rPr>
                <w:rFonts w:ascii="Times New Roman"/>
                <w:sz w:val="21"/>
              </w:rPr>
              <w:t>4792.5</w:t>
            </w:r>
          </w:p>
        </w:tc>
        <w:tc>
          <w:tcPr>
            <w:tcW w:w="2937" w:type="dxa"/>
            <w:gridSpan w:val="2"/>
          </w:tcPr>
          <w:p w14:paraId="02DE6325">
            <w:pPr>
              <w:pStyle w:val="17"/>
              <w:spacing w:before="177"/>
              <w:ind w:left="688"/>
              <w:jc w:val="left"/>
              <w:rPr>
                <w:sz w:val="21"/>
              </w:rPr>
            </w:pPr>
            <w:r>
              <w:rPr>
                <w:rFonts w:ascii="Times New Roman" w:eastAsia="Times New Roman"/>
                <w:sz w:val="21"/>
              </w:rPr>
              <w:t xml:space="preserve">PE </w:t>
            </w:r>
            <w:r>
              <w:rPr>
                <w:sz w:val="21"/>
              </w:rPr>
              <w:t>再生塑料粒子</w:t>
            </w:r>
          </w:p>
        </w:tc>
        <w:tc>
          <w:tcPr>
            <w:tcW w:w="1251" w:type="dxa"/>
            <w:tcBorders>
              <w:right w:val="nil"/>
            </w:tcBorders>
          </w:tcPr>
          <w:p w14:paraId="6757379B">
            <w:pPr>
              <w:pStyle w:val="17"/>
              <w:spacing w:before="191"/>
              <w:ind w:left="415"/>
              <w:jc w:val="left"/>
              <w:rPr>
                <w:rFonts w:ascii="Times New Roman"/>
                <w:sz w:val="21"/>
              </w:rPr>
            </w:pPr>
            <w:r>
              <w:rPr>
                <w:rFonts w:ascii="Times New Roman"/>
                <w:sz w:val="21"/>
              </w:rPr>
              <w:t>5000</w:t>
            </w:r>
          </w:p>
        </w:tc>
      </w:tr>
      <w:tr w14:paraId="3D0C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1A93D732">
            <w:pPr>
              <w:pStyle w:val="17"/>
              <w:spacing w:before="191"/>
              <w:ind w:left="13"/>
              <w:rPr>
                <w:rFonts w:ascii="Times New Roman"/>
                <w:sz w:val="21"/>
              </w:rPr>
            </w:pPr>
            <w:r>
              <w:rPr>
                <w:rFonts w:ascii="Times New Roman"/>
                <w:w w:val="99"/>
                <w:sz w:val="21"/>
              </w:rPr>
              <w:t>2</w:t>
            </w:r>
          </w:p>
        </w:tc>
        <w:tc>
          <w:tcPr>
            <w:tcW w:w="2587" w:type="dxa"/>
          </w:tcPr>
          <w:p w14:paraId="7D0B00A1">
            <w:pPr>
              <w:pStyle w:val="17"/>
              <w:spacing w:before="177"/>
              <w:ind w:left="19" w:right="12"/>
              <w:rPr>
                <w:sz w:val="21"/>
              </w:rPr>
            </w:pPr>
            <w:r>
              <w:rPr>
                <w:sz w:val="21"/>
              </w:rPr>
              <w:t>钙粉</w:t>
            </w:r>
          </w:p>
        </w:tc>
        <w:tc>
          <w:tcPr>
            <w:tcW w:w="1185" w:type="dxa"/>
          </w:tcPr>
          <w:p w14:paraId="34E41434">
            <w:pPr>
              <w:pStyle w:val="17"/>
              <w:spacing w:before="191"/>
              <w:ind w:left="176" w:right="169"/>
              <w:rPr>
                <w:rFonts w:ascii="Times New Roman"/>
                <w:sz w:val="21"/>
              </w:rPr>
            </w:pPr>
            <w:r>
              <w:rPr>
                <w:rFonts w:ascii="Times New Roman"/>
                <w:sz w:val="21"/>
              </w:rPr>
              <w:t>50.0</w:t>
            </w:r>
          </w:p>
        </w:tc>
        <w:tc>
          <w:tcPr>
            <w:tcW w:w="1302" w:type="dxa"/>
            <w:vMerge w:val="restart"/>
          </w:tcPr>
          <w:p w14:paraId="5A96A014">
            <w:pPr>
              <w:pStyle w:val="17"/>
              <w:spacing w:before="4"/>
              <w:jc w:val="left"/>
              <w:rPr>
                <w:sz w:val="26"/>
              </w:rPr>
            </w:pPr>
          </w:p>
          <w:p w14:paraId="69C39032">
            <w:pPr>
              <w:pStyle w:val="17"/>
              <w:spacing w:before="1" w:line="278" w:lineRule="auto"/>
              <w:ind w:left="546" w:right="114" w:hanging="420"/>
              <w:jc w:val="left"/>
              <w:rPr>
                <w:sz w:val="21"/>
              </w:rPr>
            </w:pPr>
            <w:r>
              <w:rPr>
                <w:sz w:val="21"/>
              </w:rPr>
              <w:t>挤出造粒废气</w:t>
            </w:r>
          </w:p>
        </w:tc>
        <w:tc>
          <w:tcPr>
            <w:tcW w:w="1635" w:type="dxa"/>
          </w:tcPr>
          <w:p w14:paraId="572C8C46">
            <w:pPr>
              <w:pStyle w:val="17"/>
              <w:spacing w:before="21"/>
              <w:ind w:left="61" w:right="53"/>
              <w:rPr>
                <w:sz w:val="21"/>
              </w:rPr>
            </w:pPr>
            <w:r>
              <w:rPr>
                <w:sz w:val="21"/>
              </w:rPr>
              <w:t>非甲烷总烃（产</w:t>
            </w:r>
          </w:p>
          <w:p w14:paraId="2FFA5684">
            <w:pPr>
              <w:pStyle w:val="17"/>
              <w:spacing w:before="43"/>
              <w:ind w:left="61" w:right="53"/>
              <w:rPr>
                <w:sz w:val="21"/>
              </w:rPr>
            </w:pPr>
            <w:r>
              <w:rPr>
                <w:sz w:val="21"/>
              </w:rPr>
              <w:t>生量）</w:t>
            </w:r>
          </w:p>
        </w:tc>
        <w:tc>
          <w:tcPr>
            <w:tcW w:w="1251" w:type="dxa"/>
            <w:tcBorders>
              <w:right w:val="nil"/>
            </w:tcBorders>
          </w:tcPr>
          <w:p w14:paraId="2C804D1D">
            <w:pPr>
              <w:pStyle w:val="17"/>
              <w:spacing w:before="191"/>
              <w:ind w:right="380"/>
              <w:jc w:val="right"/>
              <w:rPr>
                <w:rFonts w:ascii="Times New Roman"/>
                <w:sz w:val="21"/>
              </w:rPr>
            </w:pPr>
            <w:r>
              <w:rPr>
                <w:rFonts w:ascii="Times New Roman"/>
                <w:sz w:val="21"/>
              </w:rPr>
              <w:t>1.750</w:t>
            </w:r>
          </w:p>
        </w:tc>
      </w:tr>
      <w:tr w14:paraId="1DB38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3958F201">
            <w:pPr>
              <w:pStyle w:val="17"/>
              <w:spacing w:before="190"/>
              <w:ind w:left="13"/>
              <w:rPr>
                <w:rFonts w:ascii="Times New Roman"/>
                <w:sz w:val="21"/>
              </w:rPr>
            </w:pPr>
            <w:r>
              <w:rPr>
                <w:rFonts w:ascii="Times New Roman"/>
                <w:w w:val="99"/>
                <w:sz w:val="21"/>
              </w:rPr>
              <w:t>3</w:t>
            </w:r>
          </w:p>
        </w:tc>
        <w:tc>
          <w:tcPr>
            <w:tcW w:w="2587" w:type="dxa"/>
          </w:tcPr>
          <w:p w14:paraId="5680E6F8">
            <w:pPr>
              <w:pStyle w:val="17"/>
              <w:spacing w:before="176"/>
              <w:ind w:left="19" w:right="12"/>
              <w:rPr>
                <w:sz w:val="21"/>
              </w:rPr>
            </w:pPr>
            <w:r>
              <w:rPr>
                <w:sz w:val="21"/>
              </w:rPr>
              <w:t>稳定剂</w:t>
            </w:r>
          </w:p>
        </w:tc>
        <w:tc>
          <w:tcPr>
            <w:tcW w:w="1185" w:type="dxa"/>
          </w:tcPr>
          <w:p w14:paraId="54CD54AB">
            <w:pPr>
              <w:pStyle w:val="17"/>
              <w:spacing w:before="190"/>
              <w:ind w:left="176" w:right="169"/>
              <w:rPr>
                <w:rFonts w:ascii="Times New Roman"/>
                <w:sz w:val="21"/>
              </w:rPr>
            </w:pPr>
            <w:r>
              <w:rPr>
                <w:rFonts w:ascii="Times New Roman"/>
                <w:sz w:val="21"/>
              </w:rPr>
              <w:t>5.0</w:t>
            </w:r>
          </w:p>
        </w:tc>
        <w:tc>
          <w:tcPr>
            <w:tcW w:w="1302" w:type="dxa"/>
            <w:vMerge w:val="continue"/>
            <w:tcBorders>
              <w:top w:val="nil"/>
            </w:tcBorders>
          </w:tcPr>
          <w:p w14:paraId="1E8072C0">
            <w:pPr>
              <w:rPr>
                <w:sz w:val="2"/>
                <w:szCs w:val="2"/>
              </w:rPr>
            </w:pPr>
          </w:p>
        </w:tc>
        <w:tc>
          <w:tcPr>
            <w:tcW w:w="1635" w:type="dxa"/>
          </w:tcPr>
          <w:p w14:paraId="191FB8B1">
            <w:pPr>
              <w:pStyle w:val="17"/>
              <w:spacing w:before="21"/>
              <w:ind w:left="56" w:right="53"/>
              <w:rPr>
                <w:sz w:val="21"/>
              </w:rPr>
            </w:pPr>
            <w:r>
              <w:rPr>
                <w:sz w:val="21"/>
              </w:rPr>
              <w:t>颗粒物（产生</w:t>
            </w:r>
          </w:p>
          <w:p w14:paraId="49CF9B79">
            <w:pPr>
              <w:pStyle w:val="17"/>
              <w:spacing w:before="42"/>
              <w:ind w:left="59" w:right="53"/>
              <w:rPr>
                <w:sz w:val="21"/>
              </w:rPr>
            </w:pPr>
            <w:r>
              <w:rPr>
                <w:sz w:val="21"/>
              </w:rPr>
              <w:t>量）</w:t>
            </w:r>
          </w:p>
        </w:tc>
        <w:tc>
          <w:tcPr>
            <w:tcW w:w="1251" w:type="dxa"/>
            <w:tcBorders>
              <w:right w:val="nil"/>
            </w:tcBorders>
          </w:tcPr>
          <w:p w14:paraId="7BBC2684">
            <w:pPr>
              <w:pStyle w:val="17"/>
              <w:spacing w:before="190"/>
              <w:ind w:right="380"/>
              <w:jc w:val="right"/>
              <w:rPr>
                <w:rFonts w:ascii="Times New Roman"/>
                <w:sz w:val="21"/>
              </w:rPr>
            </w:pPr>
            <w:r>
              <w:rPr>
                <w:rFonts w:ascii="Times New Roman"/>
                <w:sz w:val="21"/>
              </w:rPr>
              <w:t>0.750</w:t>
            </w:r>
          </w:p>
        </w:tc>
      </w:tr>
      <w:tr w14:paraId="34C9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54E93069">
            <w:pPr>
              <w:pStyle w:val="17"/>
              <w:spacing w:before="48"/>
              <w:ind w:left="13"/>
              <w:rPr>
                <w:rFonts w:ascii="Times New Roman"/>
                <w:sz w:val="21"/>
              </w:rPr>
            </w:pPr>
            <w:r>
              <w:rPr>
                <w:rFonts w:ascii="Times New Roman"/>
                <w:w w:val="99"/>
                <w:sz w:val="21"/>
              </w:rPr>
              <w:t>4</w:t>
            </w:r>
          </w:p>
        </w:tc>
        <w:tc>
          <w:tcPr>
            <w:tcW w:w="2587" w:type="dxa"/>
          </w:tcPr>
          <w:p w14:paraId="1ED49C02">
            <w:pPr>
              <w:pStyle w:val="17"/>
              <w:spacing w:before="34"/>
              <w:ind w:left="19" w:right="14"/>
              <w:rPr>
                <w:sz w:val="21"/>
              </w:rPr>
            </w:pPr>
            <w:r>
              <w:rPr>
                <w:rFonts w:ascii="Times New Roman" w:eastAsia="Times New Roman"/>
                <w:sz w:val="21"/>
              </w:rPr>
              <w:t xml:space="preserve">PE </w:t>
            </w:r>
            <w:r>
              <w:rPr>
                <w:sz w:val="21"/>
              </w:rPr>
              <w:t>蜡</w:t>
            </w:r>
          </w:p>
        </w:tc>
        <w:tc>
          <w:tcPr>
            <w:tcW w:w="1185" w:type="dxa"/>
          </w:tcPr>
          <w:p w14:paraId="2BACB242">
            <w:pPr>
              <w:pStyle w:val="17"/>
              <w:spacing w:before="48"/>
              <w:ind w:left="176" w:right="169"/>
              <w:rPr>
                <w:rFonts w:ascii="Times New Roman"/>
                <w:sz w:val="21"/>
              </w:rPr>
            </w:pPr>
            <w:r>
              <w:rPr>
                <w:rFonts w:ascii="Times New Roman"/>
                <w:sz w:val="21"/>
              </w:rPr>
              <w:t>2.5</w:t>
            </w:r>
          </w:p>
        </w:tc>
        <w:tc>
          <w:tcPr>
            <w:tcW w:w="2937" w:type="dxa"/>
            <w:gridSpan w:val="2"/>
          </w:tcPr>
          <w:p w14:paraId="13FA24B0">
            <w:pPr>
              <w:pStyle w:val="17"/>
              <w:spacing w:before="34"/>
              <w:ind w:left="837"/>
              <w:jc w:val="left"/>
              <w:rPr>
                <w:sz w:val="21"/>
              </w:rPr>
            </w:pPr>
            <w:r>
              <w:rPr>
                <w:sz w:val="21"/>
              </w:rPr>
              <w:t>投料混料粉尘</w:t>
            </w:r>
          </w:p>
        </w:tc>
        <w:tc>
          <w:tcPr>
            <w:tcW w:w="1251" w:type="dxa"/>
            <w:tcBorders>
              <w:right w:val="nil"/>
            </w:tcBorders>
          </w:tcPr>
          <w:p w14:paraId="44B38132">
            <w:pPr>
              <w:pStyle w:val="17"/>
              <w:spacing w:before="48"/>
              <w:ind w:right="380"/>
              <w:jc w:val="right"/>
              <w:rPr>
                <w:rFonts w:ascii="Times New Roman"/>
                <w:sz w:val="21"/>
              </w:rPr>
            </w:pPr>
            <w:r>
              <w:rPr>
                <w:rFonts w:ascii="Times New Roman"/>
                <w:sz w:val="21"/>
              </w:rPr>
              <w:t>0.360</w:t>
            </w:r>
          </w:p>
        </w:tc>
      </w:tr>
      <w:tr w14:paraId="15890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73715CBA">
            <w:pPr>
              <w:pStyle w:val="17"/>
              <w:spacing w:before="49"/>
              <w:ind w:left="13"/>
              <w:rPr>
                <w:rFonts w:ascii="Times New Roman"/>
                <w:sz w:val="21"/>
              </w:rPr>
            </w:pPr>
            <w:r>
              <w:rPr>
                <w:rFonts w:ascii="Times New Roman"/>
                <w:w w:val="99"/>
                <w:sz w:val="21"/>
              </w:rPr>
              <w:t>5</w:t>
            </w:r>
          </w:p>
        </w:tc>
        <w:tc>
          <w:tcPr>
            <w:tcW w:w="2587" w:type="dxa"/>
          </w:tcPr>
          <w:p w14:paraId="3ABF620F">
            <w:pPr>
              <w:pStyle w:val="17"/>
              <w:spacing w:before="35"/>
              <w:ind w:left="19" w:right="12"/>
              <w:rPr>
                <w:sz w:val="21"/>
              </w:rPr>
            </w:pPr>
            <w:r>
              <w:rPr>
                <w:sz w:val="21"/>
              </w:rPr>
              <w:t>调节剂</w:t>
            </w:r>
          </w:p>
        </w:tc>
        <w:tc>
          <w:tcPr>
            <w:tcW w:w="1185" w:type="dxa"/>
          </w:tcPr>
          <w:p w14:paraId="2DF7F42B">
            <w:pPr>
              <w:pStyle w:val="17"/>
              <w:spacing w:before="49"/>
              <w:ind w:left="176" w:right="169"/>
              <w:rPr>
                <w:rFonts w:ascii="Times New Roman"/>
                <w:sz w:val="21"/>
              </w:rPr>
            </w:pPr>
            <w:r>
              <w:rPr>
                <w:rFonts w:ascii="Times New Roman"/>
                <w:sz w:val="21"/>
              </w:rPr>
              <w:t>2.5</w:t>
            </w:r>
          </w:p>
        </w:tc>
        <w:tc>
          <w:tcPr>
            <w:tcW w:w="2937" w:type="dxa"/>
            <w:gridSpan w:val="2"/>
          </w:tcPr>
          <w:p w14:paraId="40A00F8F">
            <w:pPr>
              <w:pStyle w:val="17"/>
              <w:spacing w:before="35"/>
              <w:ind w:left="1027" w:right="1020"/>
              <w:rPr>
                <w:sz w:val="21"/>
              </w:rPr>
            </w:pPr>
            <w:r>
              <w:rPr>
                <w:sz w:val="21"/>
              </w:rPr>
              <w:t>破碎粉尘</w:t>
            </w:r>
          </w:p>
        </w:tc>
        <w:tc>
          <w:tcPr>
            <w:tcW w:w="1251" w:type="dxa"/>
            <w:tcBorders>
              <w:right w:val="nil"/>
            </w:tcBorders>
          </w:tcPr>
          <w:p w14:paraId="0DE986A8">
            <w:pPr>
              <w:pStyle w:val="17"/>
              <w:spacing w:before="49"/>
              <w:ind w:right="380"/>
              <w:jc w:val="right"/>
              <w:rPr>
                <w:rFonts w:ascii="Times New Roman"/>
                <w:sz w:val="21"/>
              </w:rPr>
            </w:pPr>
            <w:r>
              <w:rPr>
                <w:rFonts w:ascii="Times New Roman"/>
                <w:sz w:val="21"/>
              </w:rPr>
              <w:t>0.056</w:t>
            </w:r>
          </w:p>
        </w:tc>
      </w:tr>
      <w:tr w14:paraId="7DA07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19C1BE48">
            <w:pPr>
              <w:pStyle w:val="17"/>
              <w:spacing w:before="49"/>
              <w:ind w:left="13"/>
              <w:rPr>
                <w:rFonts w:ascii="Times New Roman"/>
                <w:sz w:val="21"/>
              </w:rPr>
            </w:pPr>
            <w:r>
              <w:rPr>
                <w:rFonts w:ascii="Times New Roman"/>
                <w:w w:val="99"/>
                <w:sz w:val="21"/>
              </w:rPr>
              <w:t>6</w:t>
            </w:r>
          </w:p>
        </w:tc>
        <w:tc>
          <w:tcPr>
            <w:tcW w:w="2587" w:type="dxa"/>
          </w:tcPr>
          <w:p w14:paraId="1FD51429">
            <w:pPr>
              <w:pStyle w:val="17"/>
              <w:spacing w:before="35"/>
              <w:ind w:left="19" w:right="14"/>
              <w:rPr>
                <w:sz w:val="21"/>
              </w:rPr>
            </w:pPr>
            <w:r>
              <w:rPr>
                <w:sz w:val="21"/>
              </w:rPr>
              <w:t>不合格品</w:t>
            </w:r>
          </w:p>
        </w:tc>
        <w:tc>
          <w:tcPr>
            <w:tcW w:w="1185" w:type="dxa"/>
          </w:tcPr>
          <w:p w14:paraId="1BE10BE3">
            <w:pPr>
              <w:pStyle w:val="17"/>
              <w:spacing w:before="49"/>
              <w:ind w:left="176" w:right="169"/>
              <w:rPr>
                <w:rFonts w:ascii="Times New Roman"/>
                <w:sz w:val="21"/>
              </w:rPr>
            </w:pPr>
            <w:r>
              <w:rPr>
                <w:rFonts w:ascii="Times New Roman"/>
                <w:sz w:val="21"/>
              </w:rPr>
              <w:t>50</w:t>
            </w:r>
          </w:p>
        </w:tc>
        <w:tc>
          <w:tcPr>
            <w:tcW w:w="2937" w:type="dxa"/>
            <w:gridSpan w:val="2"/>
          </w:tcPr>
          <w:p w14:paraId="2EB82587">
            <w:pPr>
              <w:pStyle w:val="17"/>
              <w:spacing w:before="35"/>
              <w:ind w:left="1027" w:right="1020"/>
              <w:rPr>
                <w:sz w:val="21"/>
              </w:rPr>
            </w:pPr>
            <w:r>
              <w:rPr>
                <w:sz w:val="21"/>
              </w:rPr>
              <w:t>造粒杂质</w:t>
            </w:r>
          </w:p>
        </w:tc>
        <w:tc>
          <w:tcPr>
            <w:tcW w:w="1251" w:type="dxa"/>
            <w:tcBorders>
              <w:right w:val="nil"/>
            </w:tcBorders>
          </w:tcPr>
          <w:p w14:paraId="25E2D909">
            <w:pPr>
              <w:pStyle w:val="17"/>
              <w:spacing w:before="49"/>
              <w:ind w:right="380"/>
              <w:jc w:val="right"/>
              <w:rPr>
                <w:rFonts w:ascii="Times New Roman"/>
                <w:sz w:val="21"/>
              </w:rPr>
            </w:pPr>
            <w:r>
              <w:rPr>
                <w:rFonts w:ascii="Times New Roman"/>
                <w:sz w:val="21"/>
              </w:rPr>
              <w:t>1.919</w:t>
            </w:r>
          </w:p>
        </w:tc>
      </w:tr>
      <w:tr w14:paraId="2CCA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25EC17C7">
            <w:pPr>
              <w:pStyle w:val="17"/>
              <w:spacing w:before="50"/>
              <w:ind w:left="13"/>
              <w:rPr>
                <w:rFonts w:ascii="Times New Roman"/>
                <w:sz w:val="21"/>
              </w:rPr>
            </w:pPr>
            <w:r>
              <w:rPr>
                <w:rFonts w:ascii="Times New Roman"/>
                <w:w w:val="99"/>
                <w:sz w:val="21"/>
              </w:rPr>
              <w:t>7</w:t>
            </w:r>
          </w:p>
        </w:tc>
        <w:tc>
          <w:tcPr>
            <w:tcW w:w="2587" w:type="dxa"/>
          </w:tcPr>
          <w:p w14:paraId="266BDDBC">
            <w:pPr>
              <w:pStyle w:val="17"/>
              <w:spacing w:before="36"/>
              <w:ind w:left="19" w:right="12"/>
              <w:rPr>
                <w:sz w:val="21"/>
              </w:rPr>
            </w:pPr>
            <w:r>
              <w:rPr>
                <w:sz w:val="21"/>
              </w:rPr>
              <w:t>边角料</w:t>
            </w:r>
          </w:p>
        </w:tc>
        <w:tc>
          <w:tcPr>
            <w:tcW w:w="1185" w:type="dxa"/>
          </w:tcPr>
          <w:p w14:paraId="7957D016">
            <w:pPr>
              <w:pStyle w:val="17"/>
              <w:spacing w:before="50"/>
              <w:ind w:left="178" w:right="166"/>
              <w:rPr>
                <w:rFonts w:ascii="Times New Roman"/>
                <w:sz w:val="21"/>
              </w:rPr>
            </w:pPr>
            <w:r>
              <w:rPr>
                <w:rFonts w:ascii="Times New Roman"/>
                <w:sz w:val="21"/>
              </w:rPr>
              <w:t>100</w:t>
            </w:r>
          </w:p>
        </w:tc>
        <w:tc>
          <w:tcPr>
            <w:tcW w:w="2937" w:type="dxa"/>
            <w:gridSpan w:val="2"/>
          </w:tcPr>
          <w:p w14:paraId="57B1D851">
            <w:pPr>
              <w:pStyle w:val="17"/>
              <w:jc w:val="left"/>
              <w:rPr>
                <w:rFonts w:ascii="Times New Roman"/>
                <w:sz w:val="22"/>
              </w:rPr>
            </w:pPr>
          </w:p>
        </w:tc>
        <w:tc>
          <w:tcPr>
            <w:tcW w:w="1251" w:type="dxa"/>
            <w:tcBorders>
              <w:right w:val="nil"/>
            </w:tcBorders>
          </w:tcPr>
          <w:p w14:paraId="279F347F">
            <w:pPr>
              <w:pStyle w:val="17"/>
              <w:jc w:val="left"/>
              <w:rPr>
                <w:rFonts w:ascii="Times New Roman"/>
                <w:sz w:val="22"/>
              </w:rPr>
            </w:pPr>
          </w:p>
        </w:tc>
      </w:tr>
      <w:tr w14:paraId="09CB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5B9C9F4E">
            <w:pPr>
              <w:pStyle w:val="17"/>
              <w:spacing w:before="48"/>
              <w:ind w:left="13"/>
              <w:rPr>
                <w:rFonts w:ascii="Times New Roman"/>
                <w:sz w:val="21"/>
              </w:rPr>
            </w:pPr>
            <w:r>
              <w:rPr>
                <w:rFonts w:ascii="Times New Roman"/>
                <w:w w:val="99"/>
                <w:sz w:val="21"/>
              </w:rPr>
              <w:t>8</w:t>
            </w:r>
          </w:p>
        </w:tc>
        <w:tc>
          <w:tcPr>
            <w:tcW w:w="2587" w:type="dxa"/>
          </w:tcPr>
          <w:p w14:paraId="2CC13861">
            <w:pPr>
              <w:pStyle w:val="17"/>
              <w:spacing w:before="34"/>
              <w:ind w:left="19" w:right="14"/>
              <w:rPr>
                <w:sz w:val="21"/>
              </w:rPr>
            </w:pPr>
            <w:r>
              <w:rPr>
                <w:sz w:val="21"/>
              </w:rPr>
              <w:t>收集除尘灰</w:t>
            </w:r>
          </w:p>
        </w:tc>
        <w:tc>
          <w:tcPr>
            <w:tcW w:w="1185" w:type="dxa"/>
          </w:tcPr>
          <w:p w14:paraId="6815E4A8">
            <w:pPr>
              <w:pStyle w:val="17"/>
              <w:spacing w:before="48"/>
              <w:ind w:left="178" w:right="169"/>
              <w:rPr>
                <w:rFonts w:ascii="Times New Roman"/>
                <w:sz w:val="21"/>
              </w:rPr>
            </w:pPr>
            <w:r>
              <w:rPr>
                <w:rFonts w:ascii="Times New Roman"/>
                <w:sz w:val="21"/>
              </w:rPr>
              <w:t>2.335</w:t>
            </w:r>
          </w:p>
        </w:tc>
        <w:tc>
          <w:tcPr>
            <w:tcW w:w="2937" w:type="dxa"/>
            <w:gridSpan w:val="2"/>
          </w:tcPr>
          <w:p w14:paraId="564BBD55">
            <w:pPr>
              <w:pStyle w:val="17"/>
              <w:jc w:val="left"/>
              <w:rPr>
                <w:rFonts w:ascii="Times New Roman"/>
                <w:sz w:val="22"/>
              </w:rPr>
            </w:pPr>
          </w:p>
        </w:tc>
        <w:tc>
          <w:tcPr>
            <w:tcW w:w="1251" w:type="dxa"/>
            <w:tcBorders>
              <w:right w:val="nil"/>
            </w:tcBorders>
          </w:tcPr>
          <w:p w14:paraId="64E5AAC6">
            <w:pPr>
              <w:pStyle w:val="17"/>
              <w:jc w:val="left"/>
              <w:rPr>
                <w:rFonts w:ascii="Times New Roman"/>
                <w:sz w:val="22"/>
              </w:rPr>
            </w:pPr>
          </w:p>
        </w:tc>
      </w:tr>
      <w:tr w14:paraId="28992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131" w:type="dxa"/>
            <w:gridSpan w:val="2"/>
            <w:tcBorders>
              <w:left w:val="nil"/>
            </w:tcBorders>
          </w:tcPr>
          <w:p w14:paraId="43E23FB9">
            <w:pPr>
              <w:pStyle w:val="17"/>
              <w:spacing w:before="34"/>
              <w:ind w:left="1337" w:right="1328"/>
              <w:rPr>
                <w:sz w:val="21"/>
              </w:rPr>
            </w:pPr>
            <w:r>
              <w:rPr>
                <w:sz w:val="21"/>
              </w:rPr>
              <w:t>小计</w:t>
            </w:r>
          </w:p>
        </w:tc>
        <w:tc>
          <w:tcPr>
            <w:tcW w:w="1185" w:type="dxa"/>
          </w:tcPr>
          <w:p w14:paraId="6B1196D4">
            <w:pPr>
              <w:pStyle w:val="17"/>
              <w:spacing w:before="48"/>
              <w:ind w:left="178" w:right="169"/>
              <w:rPr>
                <w:rFonts w:ascii="Times New Roman"/>
                <w:sz w:val="21"/>
              </w:rPr>
            </w:pPr>
            <w:r>
              <w:rPr>
                <w:rFonts w:ascii="Times New Roman"/>
                <w:sz w:val="21"/>
              </w:rPr>
              <w:t>5004.8</w:t>
            </w:r>
          </w:p>
        </w:tc>
        <w:tc>
          <w:tcPr>
            <w:tcW w:w="2937" w:type="dxa"/>
            <w:gridSpan w:val="2"/>
          </w:tcPr>
          <w:p w14:paraId="59AEABD8">
            <w:pPr>
              <w:pStyle w:val="17"/>
              <w:spacing w:before="34"/>
              <w:ind w:left="1025" w:right="1020"/>
              <w:rPr>
                <w:sz w:val="21"/>
              </w:rPr>
            </w:pPr>
            <w:r>
              <w:rPr>
                <w:sz w:val="21"/>
              </w:rPr>
              <w:t>小计</w:t>
            </w:r>
          </w:p>
        </w:tc>
        <w:tc>
          <w:tcPr>
            <w:tcW w:w="1251" w:type="dxa"/>
            <w:tcBorders>
              <w:right w:val="nil"/>
            </w:tcBorders>
          </w:tcPr>
          <w:p w14:paraId="108F4D89">
            <w:pPr>
              <w:pStyle w:val="17"/>
              <w:spacing w:before="48"/>
              <w:ind w:right="330"/>
              <w:jc w:val="right"/>
              <w:rPr>
                <w:rFonts w:ascii="Times New Roman"/>
                <w:sz w:val="21"/>
              </w:rPr>
            </w:pPr>
            <w:r>
              <w:rPr>
                <w:rFonts w:ascii="Times New Roman"/>
                <w:w w:val="95"/>
                <w:sz w:val="21"/>
              </w:rPr>
              <w:t>5004.8</w:t>
            </w:r>
          </w:p>
        </w:tc>
      </w:tr>
    </w:tbl>
    <w:p w14:paraId="2BE7628E">
      <w:pPr>
        <w:spacing w:after="0"/>
        <w:jc w:val="right"/>
        <w:rPr>
          <w:rFonts w:ascii="Times New Roman"/>
          <w:sz w:val="21"/>
        </w:rPr>
        <w:sectPr>
          <w:type w:val="continuous"/>
          <w:pgSz w:w="11910" w:h="16840"/>
          <w:pgMar w:top="1600" w:right="1440" w:bottom="280" w:left="1580" w:header="720" w:footer="720" w:gutter="0"/>
          <w:cols w:space="720" w:num="1"/>
        </w:sectPr>
      </w:pPr>
    </w:p>
    <w:p w14:paraId="7C395DE3">
      <w:pPr>
        <w:pStyle w:val="10"/>
        <w:spacing w:line="20" w:lineRule="exact"/>
        <w:ind w:left="116"/>
        <w:rPr>
          <w:sz w:val="2"/>
        </w:rPr>
      </w:pPr>
      <w:r>
        <w:rPr>
          <w:sz w:val="2"/>
        </w:rPr>
        <w:pict>
          <v:group id="_x0000_s1227" o:spid="_x0000_s1227" o:spt="203" style="height:0.5pt;width:425.2pt;" coordsize="8504,10">
            <o:lock v:ext="edit"/>
            <v:line id="_x0000_s1228" o:spid="_x0000_s1228" o:spt="20" style="position:absolute;left:0;top:5;height:0;width:8504;" stroked="t" coordsize="21600,21600">
              <v:path arrowok="t"/>
              <v:fill focussize="0,0"/>
              <v:stroke weight="0.48pt" color="#000000"/>
              <v:imagedata o:title=""/>
              <o:lock v:ext="edit"/>
            </v:line>
            <w10:wrap type="none"/>
            <w10:anchorlock/>
          </v:group>
        </w:pict>
      </w:r>
    </w:p>
    <w:p w14:paraId="7623C7AD">
      <w:pPr>
        <w:spacing w:before="25" w:after="36"/>
        <w:ind w:left="0" w:right="137" w:firstLine="0"/>
        <w:jc w:val="center"/>
        <w:rPr>
          <w:sz w:val="21"/>
        </w:rPr>
      </w:pPr>
      <w:r>
        <w:rPr>
          <w:sz w:val="21"/>
        </w:rPr>
        <w:t>二、排水板系列产品</w:t>
      </w: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2587"/>
        <w:gridCol w:w="1185"/>
        <w:gridCol w:w="1466"/>
        <w:gridCol w:w="1471"/>
        <w:gridCol w:w="1251"/>
      </w:tblGrid>
      <w:tr w14:paraId="185D8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4419F9D2">
            <w:pPr>
              <w:pStyle w:val="17"/>
              <w:spacing w:before="50"/>
              <w:ind w:left="13"/>
              <w:rPr>
                <w:rFonts w:ascii="Times New Roman"/>
                <w:sz w:val="21"/>
              </w:rPr>
            </w:pPr>
            <w:r>
              <w:rPr>
                <w:rFonts w:ascii="Times New Roman"/>
                <w:w w:val="99"/>
                <w:sz w:val="21"/>
              </w:rPr>
              <w:t>1</w:t>
            </w:r>
          </w:p>
        </w:tc>
        <w:tc>
          <w:tcPr>
            <w:tcW w:w="2587" w:type="dxa"/>
          </w:tcPr>
          <w:p w14:paraId="7B6FA683">
            <w:pPr>
              <w:pStyle w:val="17"/>
              <w:spacing w:before="36"/>
              <w:ind w:left="19" w:right="14"/>
              <w:rPr>
                <w:sz w:val="21"/>
              </w:rPr>
            </w:pPr>
            <w:r>
              <w:rPr>
                <w:rFonts w:ascii="Times New Roman" w:eastAsia="Times New Roman"/>
                <w:sz w:val="21"/>
              </w:rPr>
              <w:t xml:space="preserve">PE </w:t>
            </w:r>
            <w:r>
              <w:rPr>
                <w:sz w:val="21"/>
              </w:rPr>
              <w:t>新料</w:t>
            </w:r>
          </w:p>
        </w:tc>
        <w:tc>
          <w:tcPr>
            <w:tcW w:w="1185" w:type="dxa"/>
          </w:tcPr>
          <w:p w14:paraId="7B21BCAE">
            <w:pPr>
              <w:pStyle w:val="17"/>
              <w:spacing w:before="50"/>
              <w:ind w:left="178" w:right="169"/>
              <w:rPr>
                <w:rFonts w:ascii="Times New Roman"/>
                <w:sz w:val="21"/>
              </w:rPr>
            </w:pPr>
            <w:r>
              <w:rPr>
                <w:rFonts w:ascii="Times New Roman"/>
                <w:sz w:val="21"/>
              </w:rPr>
              <w:t>5166.25</w:t>
            </w:r>
          </w:p>
        </w:tc>
        <w:tc>
          <w:tcPr>
            <w:tcW w:w="2937" w:type="dxa"/>
            <w:gridSpan w:val="2"/>
          </w:tcPr>
          <w:p w14:paraId="7002BA67">
            <w:pPr>
              <w:pStyle w:val="17"/>
              <w:spacing w:before="36"/>
              <w:ind w:left="731"/>
              <w:jc w:val="left"/>
              <w:rPr>
                <w:sz w:val="21"/>
              </w:rPr>
            </w:pPr>
            <w:r>
              <w:rPr>
                <w:sz w:val="21"/>
              </w:rPr>
              <w:t>排水板系列产品</w:t>
            </w:r>
          </w:p>
        </w:tc>
        <w:tc>
          <w:tcPr>
            <w:tcW w:w="1251" w:type="dxa"/>
            <w:tcBorders>
              <w:right w:val="nil"/>
            </w:tcBorders>
          </w:tcPr>
          <w:p w14:paraId="38D43D8F">
            <w:pPr>
              <w:pStyle w:val="17"/>
              <w:spacing w:before="50"/>
              <w:ind w:left="210" w:right="207"/>
              <w:rPr>
                <w:rFonts w:ascii="Times New Roman"/>
                <w:sz w:val="21"/>
              </w:rPr>
            </w:pPr>
            <w:r>
              <w:rPr>
                <w:rFonts w:ascii="Times New Roman"/>
                <w:sz w:val="21"/>
              </w:rPr>
              <w:t>10000</w:t>
            </w:r>
          </w:p>
        </w:tc>
      </w:tr>
      <w:tr w14:paraId="6C1E0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4" w:type="dxa"/>
            <w:tcBorders>
              <w:left w:val="nil"/>
            </w:tcBorders>
          </w:tcPr>
          <w:p w14:paraId="658930BF">
            <w:pPr>
              <w:pStyle w:val="17"/>
              <w:spacing w:before="192"/>
              <w:ind w:left="13"/>
              <w:rPr>
                <w:rFonts w:ascii="Times New Roman"/>
                <w:sz w:val="21"/>
              </w:rPr>
            </w:pPr>
            <w:r>
              <w:rPr>
                <w:rFonts w:ascii="Times New Roman"/>
                <w:w w:val="99"/>
                <w:sz w:val="21"/>
              </w:rPr>
              <w:t>2</w:t>
            </w:r>
          </w:p>
        </w:tc>
        <w:tc>
          <w:tcPr>
            <w:tcW w:w="2587" w:type="dxa"/>
          </w:tcPr>
          <w:p w14:paraId="03996CFE">
            <w:pPr>
              <w:pStyle w:val="17"/>
              <w:spacing w:before="178"/>
              <w:ind w:left="19" w:right="14"/>
              <w:rPr>
                <w:sz w:val="21"/>
              </w:rPr>
            </w:pPr>
            <w:r>
              <w:rPr>
                <w:rFonts w:ascii="Times New Roman" w:eastAsia="Times New Roman"/>
                <w:sz w:val="21"/>
              </w:rPr>
              <w:t xml:space="preserve">PE </w:t>
            </w:r>
            <w:r>
              <w:rPr>
                <w:sz w:val="21"/>
              </w:rPr>
              <w:t>再生塑料粒子</w:t>
            </w:r>
          </w:p>
        </w:tc>
        <w:tc>
          <w:tcPr>
            <w:tcW w:w="1185" w:type="dxa"/>
          </w:tcPr>
          <w:p w14:paraId="55D19866">
            <w:pPr>
              <w:pStyle w:val="17"/>
              <w:spacing w:before="192"/>
              <w:ind w:left="176" w:right="169"/>
              <w:rPr>
                <w:rFonts w:ascii="Times New Roman"/>
                <w:sz w:val="21"/>
              </w:rPr>
            </w:pPr>
            <w:r>
              <w:rPr>
                <w:rFonts w:ascii="Times New Roman"/>
                <w:sz w:val="21"/>
              </w:rPr>
              <w:t>5000</w:t>
            </w:r>
          </w:p>
        </w:tc>
        <w:tc>
          <w:tcPr>
            <w:tcW w:w="1466" w:type="dxa"/>
            <w:vMerge w:val="restart"/>
          </w:tcPr>
          <w:p w14:paraId="0469EAF0">
            <w:pPr>
              <w:pStyle w:val="17"/>
              <w:spacing w:before="5"/>
              <w:jc w:val="left"/>
              <w:rPr>
                <w:sz w:val="26"/>
              </w:rPr>
            </w:pPr>
          </w:p>
          <w:p w14:paraId="4BDB974C">
            <w:pPr>
              <w:pStyle w:val="17"/>
              <w:spacing w:line="278" w:lineRule="auto"/>
              <w:ind w:left="628" w:right="196" w:hanging="420"/>
              <w:jc w:val="left"/>
              <w:rPr>
                <w:sz w:val="21"/>
              </w:rPr>
            </w:pPr>
            <w:r>
              <w:rPr>
                <w:sz w:val="21"/>
              </w:rPr>
              <w:t>挤出注塑废气</w:t>
            </w:r>
          </w:p>
        </w:tc>
        <w:tc>
          <w:tcPr>
            <w:tcW w:w="1471" w:type="dxa"/>
          </w:tcPr>
          <w:p w14:paraId="6D9F5FF9">
            <w:pPr>
              <w:pStyle w:val="17"/>
              <w:spacing w:before="22"/>
              <w:ind w:left="208"/>
              <w:jc w:val="left"/>
              <w:rPr>
                <w:sz w:val="21"/>
              </w:rPr>
            </w:pPr>
            <w:r>
              <w:rPr>
                <w:w w:val="95"/>
                <w:sz w:val="21"/>
              </w:rPr>
              <w:t>非甲烷总烃</w:t>
            </w:r>
          </w:p>
          <w:p w14:paraId="40E8AF7F">
            <w:pPr>
              <w:pStyle w:val="17"/>
              <w:spacing w:before="43"/>
              <w:ind w:left="208"/>
              <w:jc w:val="left"/>
              <w:rPr>
                <w:sz w:val="21"/>
              </w:rPr>
            </w:pPr>
            <w:r>
              <w:rPr>
                <w:w w:val="95"/>
                <w:sz w:val="21"/>
              </w:rPr>
              <w:t>（产生量）</w:t>
            </w:r>
          </w:p>
        </w:tc>
        <w:tc>
          <w:tcPr>
            <w:tcW w:w="1251" w:type="dxa"/>
            <w:tcBorders>
              <w:right w:val="nil"/>
            </w:tcBorders>
          </w:tcPr>
          <w:p w14:paraId="3BDFF266">
            <w:pPr>
              <w:pStyle w:val="17"/>
              <w:spacing w:before="192"/>
              <w:ind w:left="210" w:right="207"/>
              <w:rPr>
                <w:rFonts w:ascii="Times New Roman"/>
                <w:sz w:val="21"/>
              </w:rPr>
            </w:pPr>
            <w:r>
              <w:rPr>
                <w:rFonts w:ascii="Times New Roman"/>
                <w:sz w:val="21"/>
              </w:rPr>
              <w:t>15.000</w:t>
            </w:r>
          </w:p>
        </w:tc>
      </w:tr>
      <w:tr w14:paraId="43E7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44" w:type="dxa"/>
            <w:tcBorders>
              <w:left w:val="nil"/>
            </w:tcBorders>
          </w:tcPr>
          <w:p w14:paraId="3C20C650">
            <w:pPr>
              <w:pStyle w:val="17"/>
              <w:spacing w:before="191"/>
              <w:ind w:left="13"/>
              <w:rPr>
                <w:rFonts w:ascii="Times New Roman"/>
                <w:sz w:val="21"/>
              </w:rPr>
            </w:pPr>
            <w:r>
              <w:rPr>
                <w:rFonts w:ascii="Times New Roman"/>
                <w:w w:val="99"/>
                <w:sz w:val="21"/>
              </w:rPr>
              <w:t>3</w:t>
            </w:r>
          </w:p>
        </w:tc>
        <w:tc>
          <w:tcPr>
            <w:tcW w:w="2587" w:type="dxa"/>
          </w:tcPr>
          <w:p w14:paraId="08E58EE3">
            <w:pPr>
              <w:pStyle w:val="17"/>
              <w:spacing w:before="177"/>
              <w:ind w:left="19" w:right="12"/>
              <w:rPr>
                <w:sz w:val="21"/>
              </w:rPr>
            </w:pPr>
            <w:r>
              <w:rPr>
                <w:sz w:val="21"/>
              </w:rPr>
              <w:t>色母粒</w:t>
            </w:r>
          </w:p>
        </w:tc>
        <w:tc>
          <w:tcPr>
            <w:tcW w:w="1185" w:type="dxa"/>
          </w:tcPr>
          <w:p w14:paraId="72C0B396">
            <w:pPr>
              <w:pStyle w:val="17"/>
              <w:spacing w:before="191"/>
              <w:ind w:left="176" w:right="169"/>
              <w:rPr>
                <w:rFonts w:ascii="Times New Roman"/>
                <w:sz w:val="21"/>
              </w:rPr>
            </w:pPr>
            <w:r>
              <w:rPr>
                <w:rFonts w:ascii="Times New Roman"/>
                <w:sz w:val="21"/>
              </w:rPr>
              <w:t>1.0</w:t>
            </w:r>
          </w:p>
        </w:tc>
        <w:tc>
          <w:tcPr>
            <w:tcW w:w="1466" w:type="dxa"/>
            <w:vMerge w:val="continue"/>
            <w:tcBorders>
              <w:top w:val="nil"/>
            </w:tcBorders>
          </w:tcPr>
          <w:p w14:paraId="47AF7783">
            <w:pPr>
              <w:rPr>
                <w:sz w:val="2"/>
                <w:szCs w:val="2"/>
              </w:rPr>
            </w:pPr>
          </w:p>
        </w:tc>
        <w:tc>
          <w:tcPr>
            <w:tcW w:w="1471" w:type="dxa"/>
          </w:tcPr>
          <w:p w14:paraId="12B8052B">
            <w:pPr>
              <w:pStyle w:val="17"/>
              <w:spacing w:before="21"/>
              <w:ind w:left="84" w:right="77"/>
              <w:rPr>
                <w:sz w:val="21"/>
              </w:rPr>
            </w:pPr>
            <w:r>
              <w:rPr>
                <w:sz w:val="21"/>
              </w:rPr>
              <w:t>颗粒物（产生</w:t>
            </w:r>
          </w:p>
          <w:p w14:paraId="5ECE6F3E">
            <w:pPr>
              <w:pStyle w:val="17"/>
              <w:spacing w:before="43"/>
              <w:ind w:left="84" w:right="76"/>
              <w:rPr>
                <w:sz w:val="21"/>
              </w:rPr>
            </w:pPr>
            <w:r>
              <w:rPr>
                <w:sz w:val="21"/>
              </w:rPr>
              <w:t>量）</w:t>
            </w:r>
          </w:p>
        </w:tc>
        <w:tc>
          <w:tcPr>
            <w:tcW w:w="1251" w:type="dxa"/>
            <w:tcBorders>
              <w:right w:val="nil"/>
            </w:tcBorders>
          </w:tcPr>
          <w:p w14:paraId="5FAFAA88">
            <w:pPr>
              <w:pStyle w:val="17"/>
              <w:spacing w:before="191"/>
              <w:ind w:left="210" w:right="204"/>
              <w:rPr>
                <w:rFonts w:ascii="Times New Roman"/>
                <w:sz w:val="21"/>
              </w:rPr>
            </w:pPr>
            <w:r>
              <w:rPr>
                <w:rFonts w:ascii="Times New Roman"/>
                <w:sz w:val="21"/>
              </w:rPr>
              <w:t>2.250</w:t>
            </w:r>
          </w:p>
        </w:tc>
      </w:tr>
      <w:tr w14:paraId="44221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349EFB25">
            <w:pPr>
              <w:pStyle w:val="17"/>
              <w:spacing w:before="49"/>
              <w:ind w:left="13"/>
              <w:rPr>
                <w:rFonts w:ascii="Times New Roman"/>
                <w:sz w:val="21"/>
              </w:rPr>
            </w:pPr>
            <w:r>
              <w:rPr>
                <w:rFonts w:ascii="Times New Roman"/>
                <w:w w:val="99"/>
                <w:sz w:val="21"/>
              </w:rPr>
              <w:t>4</w:t>
            </w:r>
          </w:p>
        </w:tc>
        <w:tc>
          <w:tcPr>
            <w:tcW w:w="2587" w:type="dxa"/>
          </w:tcPr>
          <w:p w14:paraId="4CA236FE">
            <w:pPr>
              <w:pStyle w:val="17"/>
              <w:jc w:val="left"/>
              <w:rPr>
                <w:rFonts w:ascii="Times New Roman"/>
                <w:sz w:val="22"/>
              </w:rPr>
            </w:pPr>
          </w:p>
        </w:tc>
        <w:tc>
          <w:tcPr>
            <w:tcW w:w="1185" w:type="dxa"/>
          </w:tcPr>
          <w:p w14:paraId="137E901B">
            <w:pPr>
              <w:pStyle w:val="17"/>
              <w:jc w:val="left"/>
              <w:rPr>
                <w:rFonts w:ascii="Times New Roman"/>
                <w:sz w:val="22"/>
              </w:rPr>
            </w:pPr>
          </w:p>
        </w:tc>
        <w:tc>
          <w:tcPr>
            <w:tcW w:w="2937" w:type="dxa"/>
            <w:gridSpan w:val="2"/>
          </w:tcPr>
          <w:p w14:paraId="7D773B79">
            <w:pPr>
              <w:pStyle w:val="17"/>
              <w:spacing w:before="35"/>
              <w:ind w:left="1025" w:right="1020"/>
              <w:rPr>
                <w:sz w:val="21"/>
              </w:rPr>
            </w:pPr>
            <w:r>
              <w:rPr>
                <w:sz w:val="21"/>
              </w:rPr>
              <w:t>边角料</w:t>
            </w:r>
          </w:p>
        </w:tc>
        <w:tc>
          <w:tcPr>
            <w:tcW w:w="1251" w:type="dxa"/>
            <w:tcBorders>
              <w:right w:val="nil"/>
            </w:tcBorders>
          </w:tcPr>
          <w:p w14:paraId="0FA187DE">
            <w:pPr>
              <w:pStyle w:val="17"/>
              <w:spacing w:before="49"/>
              <w:ind w:left="210" w:right="204"/>
              <w:rPr>
                <w:rFonts w:ascii="Times New Roman"/>
                <w:sz w:val="21"/>
              </w:rPr>
            </w:pPr>
            <w:r>
              <w:rPr>
                <w:rFonts w:ascii="Times New Roman"/>
                <w:sz w:val="21"/>
              </w:rPr>
              <w:t>100</w:t>
            </w:r>
          </w:p>
        </w:tc>
      </w:tr>
      <w:tr w14:paraId="09FE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4" w:type="dxa"/>
            <w:tcBorders>
              <w:left w:val="nil"/>
            </w:tcBorders>
          </w:tcPr>
          <w:p w14:paraId="16AF36D8">
            <w:pPr>
              <w:pStyle w:val="17"/>
              <w:spacing w:before="50"/>
              <w:ind w:left="13"/>
              <w:rPr>
                <w:rFonts w:ascii="Times New Roman"/>
                <w:sz w:val="21"/>
              </w:rPr>
            </w:pPr>
            <w:r>
              <w:rPr>
                <w:rFonts w:ascii="Times New Roman"/>
                <w:w w:val="99"/>
                <w:sz w:val="21"/>
              </w:rPr>
              <w:t>5</w:t>
            </w:r>
          </w:p>
        </w:tc>
        <w:tc>
          <w:tcPr>
            <w:tcW w:w="2587" w:type="dxa"/>
          </w:tcPr>
          <w:p w14:paraId="543B2819">
            <w:pPr>
              <w:pStyle w:val="17"/>
              <w:jc w:val="left"/>
              <w:rPr>
                <w:rFonts w:ascii="Times New Roman"/>
                <w:sz w:val="22"/>
              </w:rPr>
            </w:pPr>
          </w:p>
        </w:tc>
        <w:tc>
          <w:tcPr>
            <w:tcW w:w="1185" w:type="dxa"/>
          </w:tcPr>
          <w:p w14:paraId="6246EC21">
            <w:pPr>
              <w:pStyle w:val="17"/>
              <w:jc w:val="left"/>
              <w:rPr>
                <w:rFonts w:ascii="Times New Roman"/>
                <w:sz w:val="22"/>
              </w:rPr>
            </w:pPr>
          </w:p>
        </w:tc>
        <w:tc>
          <w:tcPr>
            <w:tcW w:w="2937" w:type="dxa"/>
            <w:gridSpan w:val="2"/>
          </w:tcPr>
          <w:p w14:paraId="4FE73D7A">
            <w:pPr>
              <w:pStyle w:val="17"/>
              <w:spacing w:before="36"/>
              <w:ind w:left="1027" w:right="1020"/>
              <w:rPr>
                <w:sz w:val="21"/>
              </w:rPr>
            </w:pPr>
            <w:r>
              <w:rPr>
                <w:sz w:val="21"/>
              </w:rPr>
              <w:t>不合格品</w:t>
            </w:r>
          </w:p>
        </w:tc>
        <w:tc>
          <w:tcPr>
            <w:tcW w:w="1251" w:type="dxa"/>
            <w:tcBorders>
              <w:right w:val="nil"/>
            </w:tcBorders>
          </w:tcPr>
          <w:p w14:paraId="01D0A779">
            <w:pPr>
              <w:pStyle w:val="17"/>
              <w:spacing w:before="50"/>
              <w:ind w:left="208" w:right="207"/>
              <w:rPr>
                <w:rFonts w:ascii="Times New Roman"/>
                <w:sz w:val="21"/>
              </w:rPr>
            </w:pPr>
            <w:r>
              <w:rPr>
                <w:rFonts w:ascii="Times New Roman"/>
                <w:sz w:val="21"/>
              </w:rPr>
              <w:t>50</w:t>
            </w:r>
          </w:p>
        </w:tc>
      </w:tr>
      <w:tr w14:paraId="3DFC1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31" w:type="dxa"/>
            <w:gridSpan w:val="2"/>
            <w:tcBorders>
              <w:left w:val="nil"/>
            </w:tcBorders>
          </w:tcPr>
          <w:p w14:paraId="13EC43D8">
            <w:pPr>
              <w:pStyle w:val="17"/>
              <w:spacing w:before="34"/>
              <w:ind w:left="1337" w:right="1328"/>
              <w:rPr>
                <w:sz w:val="21"/>
              </w:rPr>
            </w:pPr>
            <w:r>
              <w:rPr>
                <w:sz w:val="21"/>
              </w:rPr>
              <w:t>小计</w:t>
            </w:r>
          </w:p>
        </w:tc>
        <w:tc>
          <w:tcPr>
            <w:tcW w:w="1185" w:type="dxa"/>
          </w:tcPr>
          <w:p w14:paraId="5AD43067">
            <w:pPr>
              <w:pStyle w:val="17"/>
              <w:spacing w:before="48"/>
              <w:ind w:left="178" w:right="169"/>
              <w:rPr>
                <w:rFonts w:ascii="Times New Roman"/>
                <w:sz w:val="21"/>
              </w:rPr>
            </w:pPr>
            <w:r>
              <w:rPr>
                <w:rFonts w:ascii="Times New Roman"/>
                <w:sz w:val="21"/>
              </w:rPr>
              <w:t>10167.25</w:t>
            </w:r>
          </w:p>
        </w:tc>
        <w:tc>
          <w:tcPr>
            <w:tcW w:w="2937" w:type="dxa"/>
            <w:gridSpan w:val="2"/>
          </w:tcPr>
          <w:p w14:paraId="3A62D421">
            <w:pPr>
              <w:pStyle w:val="17"/>
              <w:spacing w:before="34"/>
              <w:ind w:left="1025" w:right="1020"/>
              <w:rPr>
                <w:sz w:val="21"/>
              </w:rPr>
            </w:pPr>
            <w:r>
              <w:rPr>
                <w:sz w:val="21"/>
              </w:rPr>
              <w:t>小计</w:t>
            </w:r>
          </w:p>
        </w:tc>
        <w:tc>
          <w:tcPr>
            <w:tcW w:w="1251" w:type="dxa"/>
            <w:tcBorders>
              <w:right w:val="nil"/>
            </w:tcBorders>
          </w:tcPr>
          <w:p w14:paraId="0DAC9054">
            <w:pPr>
              <w:pStyle w:val="17"/>
              <w:spacing w:before="48"/>
              <w:ind w:left="210" w:right="207"/>
              <w:rPr>
                <w:rFonts w:ascii="Times New Roman"/>
                <w:sz w:val="21"/>
              </w:rPr>
            </w:pPr>
            <w:r>
              <w:rPr>
                <w:rFonts w:ascii="Times New Roman"/>
                <w:sz w:val="21"/>
              </w:rPr>
              <w:t>10167.25</w:t>
            </w:r>
          </w:p>
        </w:tc>
      </w:tr>
    </w:tbl>
    <w:p w14:paraId="6B63E18B">
      <w:pPr>
        <w:pStyle w:val="16"/>
        <w:numPr>
          <w:ilvl w:val="1"/>
          <w:numId w:val="9"/>
        </w:numPr>
        <w:tabs>
          <w:tab w:val="left" w:pos="669"/>
        </w:tabs>
        <w:spacing w:before="119" w:after="0" w:line="240" w:lineRule="auto"/>
        <w:ind w:left="668" w:right="0" w:hanging="448"/>
        <w:jc w:val="left"/>
        <w:rPr>
          <w:b/>
          <w:sz w:val="30"/>
        </w:rPr>
      </w:pPr>
      <w:r>
        <w:rPr>
          <w:b/>
          <w:sz w:val="30"/>
        </w:rPr>
        <w:t>污染源强核算</w:t>
      </w:r>
    </w:p>
    <w:p w14:paraId="1159D09D">
      <w:pPr>
        <w:pStyle w:val="16"/>
        <w:numPr>
          <w:ilvl w:val="2"/>
          <w:numId w:val="9"/>
        </w:numPr>
        <w:tabs>
          <w:tab w:val="left" w:pos="849"/>
        </w:tabs>
        <w:spacing w:before="253" w:after="0" w:line="240" w:lineRule="auto"/>
        <w:ind w:left="848" w:right="0" w:hanging="628"/>
        <w:jc w:val="left"/>
        <w:rPr>
          <w:b/>
          <w:sz w:val="28"/>
        </w:rPr>
      </w:pPr>
      <w:r>
        <w:rPr>
          <w:b/>
          <w:sz w:val="28"/>
        </w:rPr>
        <w:t>废水污染源</w:t>
      </w:r>
    </w:p>
    <w:p w14:paraId="1283C6BE">
      <w:pPr>
        <w:pStyle w:val="10"/>
        <w:spacing w:before="214" w:line="364" w:lineRule="auto"/>
        <w:ind w:left="220" w:right="357" w:firstLine="480"/>
        <w:jc w:val="both"/>
      </w:pPr>
      <w:r>
        <w:rPr>
          <w:spacing w:val="-6"/>
        </w:rPr>
        <w:t>本项目废水主要为生活污水，循环冷却水系统无废水外排。车间地面采用人工清扫方式，不进行地面冲洗，无地面清洗废水产生。</w:t>
      </w:r>
    </w:p>
    <w:p w14:paraId="4B4CCCE6">
      <w:pPr>
        <w:pStyle w:val="10"/>
        <w:spacing w:line="364" w:lineRule="auto"/>
        <w:ind w:left="220" w:right="357" w:firstLine="480"/>
        <w:jc w:val="both"/>
      </w:pPr>
      <w:r>
        <w:rPr>
          <w:spacing w:val="-6"/>
          <w:position w:val="2"/>
        </w:rPr>
        <w:t xml:space="preserve">本项目生活污水产生量为 </w:t>
      </w:r>
      <w:r>
        <w:rPr>
          <w:rFonts w:ascii="Times New Roman" w:eastAsia="Times New Roman"/>
          <w:position w:val="2"/>
        </w:rPr>
        <w:t>608</w:t>
      </w:r>
      <w:r>
        <w:rPr>
          <w:rFonts w:ascii="Times New Roman" w:eastAsia="Times New Roman"/>
          <w:spacing w:val="-2"/>
          <w:position w:val="2"/>
        </w:rPr>
        <w:t>m</w:t>
      </w:r>
      <w:r>
        <w:rPr>
          <w:rFonts w:ascii="Times New Roman" w:eastAsia="Times New Roman"/>
          <w:spacing w:val="0"/>
          <w:w w:val="103"/>
          <w:position w:val="2"/>
          <w:vertAlign w:val="superscript"/>
        </w:rPr>
        <w:t>3</w:t>
      </w:r>
      <w:r>
        <w:rPr>
          <w:rFonts w:ascii="Times New Roman" w:eastAsia="Times New Roman"/>
          <w:position w:val="2"/>
          <w:vertAlign w:val="baseline"/>
        </w:rPr>
        <w:t>/</w:t>
      </w:r>
      <w:r>
        <w:rPr>
          <w:rFonts w:ascii="Times New Roman" w:eastAsia="Times New Roman"/>
          <w:spacing w:val="-1"/>
          <w:position w:val="2"/>
          <w:vertAlign w:val="baseline"/>
        </w:rPr>
        <w:t>a</w:t>
      </w:r>
      <w:r>
        <w:rPr>
          <w:spacing w:val="-20"/>
          <w:position w:val="2"/>
          <w:vertAlign w:val="baseline"/>
        </w:rPr>
        <w:t xml:space="preserve">，根据类比生活污水中 </w:t>
      </w:r>
      <w:r>
        <w:rPr>
          <w:rFonts w:ascii="Times New Roman" w:eastAsia="Times New Roman"/>
          <w:position w:val="2"/>
          <w:vertAlign w:val="baseline"/>
        </w:rPr>
        <w:t>C</w:t>
      </w:r>
      <w:r>
        <w:rPr>
          <w:rFonts w:ascii="Times New Roman" w:eastAsia="Times New Roman"/>
          <w:spacing w:val="-1"/>
          <w:position w:val="2"/>
          <w:vertAlign w:val="baseline"/>
        </w:rPr>
        <w:t>OD</w:t>
      </w:r>
      <w:r>
        <w:rPr>
          <w:spacing w:val="-120"/>
          <w:position w:val="2"/>
          <w:vertAlign w:val="baseline"/>
        </w:rPr>
        <w:t>、</w:t>
      </w:r>
      <w:r>
        <w:rPr>
          <w:rFonts w:ascii="Times New Roman" w:eastAsia="Times New Roman"/>
          <w:spacing w:val="-2"/>
          <w:position w:val="2"/>
          <w:vertAlign w:val="baseline"/>
        </w:rPr>
        <w:t>B</w:t>
      </w:r>
      <w:r>
        <w:rPr>
          <w:rFonts w:ascii="Times New Roman" w:eastAsia="Times New Roman"/>
          <w:spacing w:val="-1"/>
          <w:position w:val="2"/>
          <w:vertAlign w:val="baseline"/>
        </w:rPr>
        <w:t>O</w:t>
      </w:r>
      <w:r>
        <w:rPr>
          <w:rFonts w:ascii="Times New Roman" w:eastAsia="Times New Roman"/>
          <w:spacing w:val="0"/>
          <w:position w:val="2"/>
          <w:vertAlign w:val="baseline"/>
        </w:rPr>
        <w:t>D</w:t>
      </w:r>
      <w:r>
        <w:rPr>
          <w:rFonts w:ascii="Times New Roman" w:eastAsia="Times New Roman"/>
          <w:spacing w:val="-2"/>
          <w:w w:val="103"/>
          <w:position w:val="2"/>
          <w:vertAlign w:val="subscript"/>
        </w:rPr>
        <w:t>5</w:t>
      </w:r>
      <w:r>
        <w:rPr>
          <w:spacing w:val="-120"/>
          <w:position w:val="2"/>
          <w:vertAlign w:val="baseline"/>
        </w:rPr>
        <w:t>、</w:t>
      </w:r>
      <w:r>
        <w:rPr>
          <w:rFonts w:ascii="Times New Roman" w:eastAsia="Times New Roman"/>
          <w:spacing w:val="-1"/>
          <w:position w:val="2"/>
          <w:vertAlign w:val="baseline"/>
        </w:rPr>
        <w:t>N</w:t>
      </w:r>
      <w:r>
        <w:rPr>
          <w:rFonts w:ascii="Times New Roman" w:eastAsia="Times New Roman"/>
          <w:spacing w:val="0"/>
          <w:position w:val="2"/>
          <w:vertAlign w:val="baseline"/>
        </w:rPr>
        <w:t>H</w:t>
      </w:r>
      <w:r>
        <w:rPr>
          <w:rFonts w:ascii="Times New Roman" w:eastAsia="Times New Roman"/>
          <w:spacing w:val="-2"/>
          <w:w w:val="103"/>
          <w:position w:val="2"/>
          <w:vertAlign w:val="subscript"/>
        </w:rPr>
        <w:t>3</w:t>
      </w:r>
      <w:r>
        <w:rPr>
          <w:rFonts w:ascii="Times New Roman" w:eastAsia="Times New Roman"/>
          <w:spacing w:val="-1"/>
          <w:position w:val="2"/>
          <w:vertAlign w:val="baseline"/>
        </w:rPr>
        <w:t>-</w:t>
      </w:r>
      <w:r>
        <w:rPr>
          <w:rFonts w:ascii="Times New Roman" w:eastAsia="Times New Roman"/>
          <w:position w:val="2"/>
          <w:vertAlign w:val="baseline"/>
        </w:rPr>
        <w:t>N</w:t>
      </w:r>
      <w:r>
        <w:rPr>
          <w:spacing w:val="-32"/>
          <w:vertAlign w:val="baseline"/>
        </w:rPr>
        <w:t xml:space="preserve">和 </w:t>
      </w:r>
      <w:r>
        <w:rPr>
          <w:rFonts w:ascii="Times New Roman" w:eastAsia="Times New Roman"/>
          <w:vertAlign w:val="baseline"/>
        </w:rPr>
        <w:t xml:space="preserve">SS </w:t>
      </w:r>
      <w:r>
        <w:rPr>
          <w:spacing w:val="-10"/>
          <w:vertAlign w:val="baseline"/>
        </w:rPr>
        <w:t xml:space="preserve">浓度分别约为 </w:t>
      </w:r>
      <w:r>
        <w:rPr>
          <w:rFonts w:ascii="Times New Roman" w:eastAsia="Times New Roman"/>
          <w:vertAlign w:val="baseline"/>
        </w:rPr>
        <w:t>280mg/L</w:t>
      </w:r>
      <w:r>
        <w:rPr>
          <w:spacing w:val="-12"/>
          <w:vertAlign w:val="baseline"/>
        </w:rPr>
        <w:t>、</w:t>
      </w:r>
      <w:r>
        <w:rPr>
          <w:rFonts w:ascii="Times New Roman" w:eastAsia="Times New Roman"/>
          <w:vertAlign w:val="baseline"/>
        </w:rPr>
        <w:t>200 mg/L</w:t>
      </w:r>
      <w:r>
        <w:rPr>
          <w:spacing w:val="-15"/>
          <w:vertAlign w:val="baseline"/>
        </w:rPr>
        <w:t>、</w:t>
      </w:r>
      <w:r>
        <w:rPr>
          <w:rFonts w:ascii="Times New Roman" w:eastAsia="Times New Roman"/>
          <w:vertAlign w:val="baseline"/>
        </w:rPr>
        <w:t xml:space="preserve">25mg/L </w:t>
      </w:r>
      <w:r>
        <w:rPr>
          <w:spacing w:val="-32"/>
          <w:vertAlign w:val="baseline"/>
        </w:rPr>
        <w:t xml:space="preserve">和 </w:t>
      </w:r>
      <w:r>
        <w:rPr>
          <w:rFonts w:ascii="Times New Roman" w:eastAsia="Times New Roman"/>
          <w:vertAlign w:val="baseline"/>
        </w:rPr>
        <w:t>200mg/L</w:t>
      </w:r>
      <w:r>
        <w:rPr>
          <w:vertAlign w:val="baseline"/>
        </w:rPr>
        <w:t>，依托中塑新材料</w:t>
      </w:r>
      <w:r>
        <w:rPr>
          <w:spacing w:val="-3"/>
          <w:vertAlign w:val="baseline"/>
        </w:rPr>
        <w:t>公司化粪池处理后达到《污水综合排放标准》</w:t>
      </w:r>
      <w:r>
        <w:rPr>
          <w:vertAlign w:val="baseline"/>
        </w:rPr>
        <w:t>（</w:t>
      </w:r>
      <w:r>
        <w:rPr>
          <w:rFonts w:ascii="Times New Roman" w:eastAsia="Times New Roman"/>
          <w:vertAlign w:val="baseline"/>
        </w:rPr>
        <w:t>GB8978-1996</w:t>
      </w:r>
      <w:r>
        <w:rPr>
          <w:vertAlign w:val="baseline"/>
        </w:rPr>
        <w:t>）中三级标准及汨</w:t>
      </w:r>
      <w:r>
        <w:rPr>
          <w:spacing w:val="-4"/>
          <w:vertAlign w:val="baseline"/>
        </w:rPr>
        <w:t>罗市城市污水处理厂进水水质标准两者中的较严值后，排入汨罗市城市污水处理厂。</w:t>
      </w:r>
    </w:p>
    <w:p w14:paraId="4FDE4779">
      <w:pPr>
        <w:pStyle w:val="16"/>
        <w:numPr>
          <w:ilvl w:val="2"/>
          <w:numId w:val="9"/>
        </w:numPr>
        <w:tabs>
          <w:tab w:val="left" w:pos="849"/>
        </w:tabs>
        <w:spacing w:before="51" w:after="0" w:line="240" w:lineRule="auto"/>
        <w:ind w:left="848" w:right="0" w:hanging="628"/>
        <w:jc w:val="left"/>
        <w:rPr>
          <w:b/>
          <w:sz w:val="28"/>
        </w:rPr>
      </w:pPr>
      <w:r>
        <w:rPr>
          <w:b/>
          <w:sz w:val="28"/>
        </w:rPr>
        <w:t>废气污染源</w:t>
      </w:r>
    </w:p>
    <w:p w14:paraId="219EA206">
      <w:pPr>
        <w:pStyle w:val="10"/>
        <w:spacing w:before="135" w:line="364" w:lineRule="auto"/>
        <w:ind w:left="220" w:right="357" w:firstLine="480"/>
        <w:jc w:val="both"/>
      </w:pPr>
      <w:r>
        <w:rPr>
          <w:spacing w:val="-5"/>
        </w:rPr>
        <w:t>项目生产过程中产生的主要废气为破碎、投料混料工序产生的颗粒物，挤出</w:t>
      </w:r>
      <w:r>
        <w:rPr>
          <w:spacing w:val="-11"/>
        </w:rPr>
        <w:t>造粒工序产生的颗粒物、挥发性有机物，挤出注塑工序产生的颗粒物、挥发性有机物。</w:t>
      </w:r>
    </w:p>
    <w:p w14:paraId="2913772E">
      <w:pPr>
        <w:pStyle w:val="10"/>
        <w:spacing w:line="305" w:lineRule="exact"/>
        <w:ind w:left="700"/>
      </w:pPr>
      <w:r>
        <w:rPr>
          <w:rFonts w:ascii="Times New Roman" w:eastAsia="Times New Roman"/>
        </w:rPr>
        <w:t>1</w:t>
      </w:r>
      <w:r>
        <w:t>、破碎、投料混料工序产生的颗粒物</w:t>
      </w:r>
    </w:p>
    <w:p w14:paraId="2E760CB4">
      <w:pPr>
        <w:pStyle w:val="10"/>
        <w:spacing w:before="160" w:line="364" w:lineRule="auto"/>
        <w:ind w:left="220" w:right="357" w:firstLine="480"/>
        <w:jc w:val="both"/>
      </w:pPr>
      <w:r>
        <w:rPr>
          <w:spacing w:val="-4"/>
        </w:rPr>
        <w:t>本项目在生产过程中的不合格产品和切割边角料需经破碎处理，然后与其他</w:t>
      </w:r>
      <w:r>
        <w:rPr>
          <w:spacing w:val="-9"/>
        </w:rPr>
        <w:t>原辅材料按照比例进入混料机中，在破碎、投料混料工序会产生粉尘，输送过程全封闭不考虑粉尘产生。</w:t>
      </w:r>
    </w:p>
    <w:p w14:paraId="70150CC9">
      <w:pPr>
        <w:pStyle w:val="10"/>
        <w:spacing w:line="364" w:lineRule="auto"/>
        <w:ind w:left="220" w:right="117" w:firstLine="480"/>
      </w:pPr>
      <w:r>
        <w:rPr>
          <w:spacing w:val="-51"/>
        </w:rPr>
        <w:t>根据</w:t>
      </w:r>
      <w:r>
        <w:fldChar w:fldCharType="begin"/>
      </w:r>
      <w:r>
        <w:instrText xml:space="preserve"> HYPERLINK "https://www.mee.gov.cn/ywgz/fgbz/bz/bzwb/pwxk/201908/W020190828514974076303.pdf" \h </w:instrText>
      </w:r>
      <w:r>
        <w:fldChar w:fldCharType="separate"/>
      </w:r>
      <w:r>
        <w:rPr>
          <w:spacing w:val="-1"/>
        </w:rPr>
        <w:t>《排污许可证申请与核发技术规范 废弃资源加工工业</w:t>
      </w:r>
      <w:r>
        <w:rPr>
          <w:spacing w:val="-200"/>
        </w:rPr>
        <w:t>》</w:t>
      </w:r>
      <w:r>
        <w:t>（</w:t>
      </w:r>
      <w:r>
        <w:rPr>
          <w:rFonts w:ascii="Times New Roman" w:hAnsi="Times New Roman" w:eastAsia="Times New Roman"/>
        </w:rPr>
        <w:t>HJ 1034—2019</w:t>
      </w:r>
      <w:r>
        <w:t xml:space="preserve">） </w:t>
      </w:r>
      <w:r>
        <w:fldChar w:fldCharType="end"/>
      </w:r>
      <w:r>
        <w:fldChar w:fldCharType="begin"/>
      </w:r>
      <w:r>
        <w:instrText xml:space="preserve"> HYPERLINK "https://www.mee.gov.cn/ywgz/fgbz/bz/bzwb/pwxk/201908/W020190828514974076303.pdf" \h </w:instrText>
      </w:r>
      <w:r>
        <w:fldChar w:fldCharType="separate"/>
      </w:r>
      <w:r>
        <w:rPr>
          <w:spacing w:val="-23"/>
        </w:rPr>
        <w:t xml:space="preserve">表 </w:t>
      </w:r>
      <w:r>
        <w:rPr>
          <w:spacing w:val="-23"/>
        </w:rPr>
        <w:fldChar w:fldCharType="end"/>
      </w:r>
      <w:r>
        <w:rPr>
          <w:rFonts w:ascii="Times New Roman" w:hAnsi="Times New Roman" w:eastAsia="Times New Roman"/>
        </w:rPr>
        <w:t>14-</w:t>
      </w:r>
      <w:r>
        <w:rPr>
          <w:spacing w:val="-23"/>
        </w:rPr>
        <w:t xml:space="preserve">废 </w:t>
      </w:r>
      <w:r>
        <w:rPr>
          <w:rFonts w:ascii="Times New Roman" w:hAnsi="Times New Roman" w:eastAsia="Times New Roman"/>
        </w:rPr>
        <w:t>PE/PP-</w:t>
      </w:r>
      <w:r>
        <w:t>干法破碎</w:t>
      </w:r>
      <w:r>
        <w:rPr>
          <w:rFonts w:ascii="Times New Roman" w:hAnsi="Times New Roman" w:eastAsia="Times New Roman"/>
        </w:rPr>
        <w:t>-</w:t>
      </w:r>
      <w:r>
        <w:rPr>
          <w:spacing w:val="-5"/>
        </w:rPr>
        <w:t xml:space="preserve">颗粒物产污系数为 </w:t>
      </w:r>
      <w:r>
        <w:rPr>
          <w:rFonts w:ascii="Times New Roman" w:hAnsi="Times New Roman" w:eastAsia="Times New Roman"/>
        </w:rPr>
        <w:t>375g/t</w:t>
      </w:r>
      <w:r>
        <w:rPr>
          <w:rFonts w:ascii="Times New Roman" w:hAnsi="Times New Roman" w:eastAsia="Times New Roman"/>
          <w:spacing w:val="8"/>
        </w:rPr>
        <w:t xml:space="preserve">  </w:t>
      </w:r>
      <w:r>
        <w:t>原料，本项目需破碎的不合格</w:t>
      </w:r>
      <w:r>
        <w:rPr>
          <w:spacing w:val="-26"/>
        </w:rPr>
        <w:t xml:space="preserve">品 </w:t>
      </w:r>
      <w:r>
        <w:rPr>
          <w:rFonts w:ascii="Times New Roman" w:hAnsi="Times New Roman" w:eastAsia="Times New Roman"/>
        </w:rPr>
        <w:t>50t/a</w:t>
      </w:r>
      <w:r>
        <w:rPr>
          <w:spacing w:val="-9"/>
        </w:rPr>
        <w:t xml:space="preserve">、边角料为 </w:t>
      </w:r>
      <w:r>
        <w:rPr>
          <w:rFonts w:ascii="Times New Roman" w:hAnsi="Times New Roman" w:eastAsia="Times New Roman"/>
        </w:rPr>
        <w:t>100t/a</w:t>
      </w:r>
      <w:r>
        <w:rPr>
          <w:spacing w:val="-5"/>
        </w:rPr>
        <w:t xml:space="preserve">，则颗粒物产生量为 </w:t>
      </w:r>
      <w:r>
        <w:rPr>
          <w:rFonts w:ascii="Times New Roman" w:hAnsi="Times New Roman" w:eastAsia="Times New Roman"/>
        </w:rPr>
        <w:t>0.056t/a</w:t>
      </w:r>
      <w:r>
        <w:t>（</w:t>
      </w:r>
      <w:r>
        <w:rPr>
          <w:rFonts w:ascii="Times New Roman" w:hAnsi="Times New Roman" w:eastAsia="Times New Roman"/>
        </w:rPr>
        <w:t>0.047kg/h</w:t>
      </w:r>
      <w:r>
        <w:t>），破碎机日运</w:t>
      </w:r>
      <w:r>
        <w:rPr>
          <w:spacing w:val="-10"/>
        </w:rPr>
        <w:t xml:space="preserve">行时长约为 </w:t>
      </w:r>
      <w:r>
        <w:rPr>
          <w:rFonts w:ascii="Times New Roman" w:hAnsi="Times New Roman" w:eastAsia="Times New Roman"/>
        </w:rPr>
        <w:t>4h</w:t>
      </w:r>
      <w:r>
        <w:rPr>
          <w:spacing w:val="-12"/>
        </w:rPr>
        <w:t xml:space="preserve">，年工作 </w:t>
      </w:r>
      <w:r>
        <w:rPr>
          <w:rFonts w:ascii="Times New Roman" w:hAnsi="Times New Roman" w:eastAsia="Times New Roman"/>
        </w:rPr>
        <w:t>300d</w:t>
      </w:r>
      <w:r>
        <w:rPr>
          <w:spacing w:val="-8"/>
        </w:rPr>
        <w:t xml:space="preserve">，年运行时长为 </w:t>
      </w:r>
      <w:r>
        <w:rPr>
          <w:rFonts w:ascii="Times New Roman" w:hAnsi="Times New Roman" w:eastAsia="Times New Roman"/>
        </w:rPr>
        <w:t>1200h</w:t>
      </w:r>
      <w:r>
        <w:t>。</w:t>
      </w:r>
    </w:p>
    <w:p w14:paraId="5EB80C71">
      <w:pPr>
        <w:pStyle w:val="10"/>
        <w:spacing w:line="305" w:lineRule="exact"/>
        <w:ind w:left="700"/>
      </w:pPr>
      <w:r>
        <w:t xml:space="preserve">本项目各种改性剂等辅助剂与废 </w:t>
      </w:r>
      <w:r>
        <w:rPr>
          <w:rFonts w:ascii="Times New Roman" w:eastAsia="Times New Roman"/>
        </w:rPr>
        <w:t xml:space="preserve">PE </w:t>
      </w:r>
      <w:r>
        <w:t>塑料碎片一起投加进入密闭的高速加热</w:t>
      </w:r>
    </w:p>
    <w:p w14:paraId="1161D540">
      <w:pPr>
        <w:spacing w:after="0" w:line="305" w:lineRule="exact"/>
        <w:sectPr>
          <w:pgSz w:w="11910" w:h="16840"/>
          <w:pgMar w:top="1420" w:right="1440" w:bottom="1220" w:left="1580" w:header="0" w:footer="1024" w:gutter="0"/>
          <w:cols w:space="720" w:num="1"/>
        </w:sectPr>
      </w:pPr>
    </w:p>
    <w:p w14:paraId="36C2FF02">
      <w:pPr>
        <w:pStyle w:val="10"/>
        <w:spacing w:before="43" w:line="364" w:lineRule="auto"/>
        <w:ind w:left="220" w:right="237"/>
      </w:pPr>
      <w:r>
        <w:rPr>
          <w:spacing w:val="-8"/>
        </w:rPr>
        <w:t>混料机进行混料，项目粉料为袋装，采用人工投料，将原料投入混料机密闭进料</w:t>
      </w:r>
      <w:r>
        <w:rPr>
          <w:spacing w:val="-17"/>
        </w:rPr>
        <w:t>口时，由于对粉状物料的翻弄，会产生粉尘，但产生量较小，污染因子为颗粒物。</w:t>
      </w:r>
      <w:r>
        <w:rPr>
          <w:spacing w:val="-18"/>
        </w:rPr>
        <w:t>混料过程在密闭容器内进行，基本无废气及粉尘产生。参考《排放源统计调查产</w:t>
      </w:r>
      <w:r>
        <w:rPr>
          <w:spacing w:val="-22"/>
        </w:rPr>
        <w:t>排污核算方法和系数手册》</w:t>
      </w:r>
      <w:r>
        <w:t xml:space="preserve">（公告 </w:t>
      </w:r>
      <w:r>
        <w:rPr>
          <w:rFonts w:ascii="Times New Roman" w:eastAsia="Times New Roman"/>
        </w:rPr>
        <w:t xml:space="preserve">2021 </w:t>
      </w:r>
      <w:r>
        <w:t xml:space="preserve">年第 </w:t>
      </w:r>
      <w:r>
        <w:rPr>
          <w:rFonts w:ascii="Times New Roman" w:eastAsia="Times New Roman"/>
        </w:rPr>
        <w:t xml:space="preserve">24 </w:t>
      </w:r>
      <w:r>
        <w:t>号</w:t>
      </w:r>
      <w:r>
        <w:rPr>
          <w:spacing w:val="-34"/>
        </w:rPr>
        <w:t>）</w:t>
      </w:r>
      <w:r>
        <w:t>中塑料制品行业系数手册</w:t>
      </w:r>
    </w:p>
    <w:p w14:paraId="7B1C871E">
      <w:pPr>
        <w:pStyle w:val="10"/>
        <w:spacing w:line="364" w:lineRule="auto"/>
        <w:ind w:left="220" w:right="237"/>
      </w:pPr>
      <w:r>
        <w:rPr>
          <w:rFonts w:ascii="Times New Roman" w:hAnsi="Times New Roman" w:eastAsia="Times New Roman"/>
        </w:rPr>
        <w:t xml:space="preserve">——2922 </w:t>
      </w:r>
      <w:r>
        <w:t>塑料板、管、型材制造行业系数表，配料</w:t>
      </w:r>
      <w:r>
        <w:rPr>
          <w:rFonts w:ascii="Times New Roman" w:hAnsi="Times New Roman" w:eastAsia="Times New Roman"/>
        </w:rPr>
        <w:t>-</w:t>
      </w:r>
      <w:r>
        <w:t>混合工序产生颗粒物产污系</w:t>
      </w:r>
      <w:r>
        <w:rPr>
          <w:spacing w:val="-20"/>
        </w:rPr>
        <w:t xml:space="preserve">数为 </w:t>
      </w:r>
      <w:r>
        <w:rPr>
          <w:rFonts w:ascii="Times New Roman" w:hAnsi="Times New Roman" w:eastAsia="Times New Roman"/>
        </w:rPr>
        <w:t>6.00kg/t</w:t>
      </w:r>
      <w:r>
        <w:rPr>
          <w:spacing w:val="-3"/>
        </w:rPr>
        <w:t xml:space="preserve">，本项目粉料投料混料过程中，粉料用量约为 </w:t>
      </w:r>
      <w:r>
        <w:rPr>
          <w:rFonts w:ascii="Times New Roman" w:hAnsi="Times New Roman" w:eastAsia="Times New Roman"/>
        </w:rPr>
        <w:t>60.0t/a</w:t>
      </w:r>
      <w:r>
        <w:t>，则投料混料</w:t>
      </w:r>
      <w:r>
        <w:rPr>
          <w:spacing w:val="-6"/>
        </w:rPr>
        <w:t xml:space="preserve">过程中颗粒物产生量 </w:t>
      </w:r>
      <w:r>
        <w:rPr>
          <w:rFonts w:ascii="Times New Roman" w:hAnsi="Times New Roman" w:eastAsia="Times New Roman"/>
          <w:spacing w:val="-7"/>
        </w:rPr>
        <w:t>0.360t/a</w:t>
      </w:r>
      <w:r>
        <w:rPr>
          <w:spacing w:val="-7"/>
        </w:rPr>
        <w:t>（</w:t>
      </w:r>
      <w:r>
        <w:rPr>
          <w:rFonts w:ascii="Times New Roman" w:hAnsi="Times New Roman" w:eastAsia="Times New Roman"/>
          <w:spacing w:val="-7"/>
        </w:rPr>
        <w:t>0.300kg/h</w:t>
      </w:r>
      <w:r>
        <w:rPr>
          <w:spacing w:val="-7"/>
        </w:rPr>
        <w:t>），</w:t>
      </w:r>
      <w:r>
        <w:rPr>
          <w:spacing w:val="-10"/>
        </w:rPr>
        <w:t xml:space="preserve">投料、混料工序日运行时长约为 </w:t>
      </w:r>
      <w:r>
        <w:rPr>
          <w:rFonts w:ascii="Times New Roman" w:hAnsi="Times New Roman" w:eastAsia="Times New Roman"/>
        </w:rPr>
        <w:t>4h</w:t>
      </w:r>
      <w:r>
        <w:t xml:space="preserve">， </w:t>
      </w:r>
      <w:r>
        <w:rPr>
          <w:spacing w:val="-15"/>
        </w:rPr>
        <w:t xml:space="preserve">年工作 </w:t>
      </w:r>
      <w:r>
        <w:rPr>
          <w:rFonts w:ascii="Times New Roman" w:hAnsi="Times New Roman" w:eastAsia="Times New Roman"/>
        </w:rPr>
        <w:t>1200h</w:t>
      </w:r>
      <w:r>
        <w:t>。</w:t>
      </w:r>
    </w:p>
    <w:p w14:paraId="7539F57C">
      <w:pPr>
        <w:pStyle w:val="10"/>
        <w:spacing w:line="364" w:lineRule="auto"/>
        <w:ind w:left="220" w:right="237" w:firstLine="600"/>
        <w:rPr>
          <w:rFonts w:ascii="Times New Roman" w:eastAsia="Times New Roman"/>
        </w:rPr>
      </w:pPr>
      <w:r>
        <w:rPr>
          <w:spacing w:val="-9"/>
        </w:rPr>
        <w:t xml:space="preserve">本项目破碎粉尘、投料混料粉尘颗粒物产生总量为 </w:t>
      </w:r>
      <w:r>
        <w:rPr>
          <w:rFonts w:ascii="Times New Roman" w:eastAsia="Times New Roman"/>
          <w:spacing w:val="-6"/>
        </w:rPr>
        <w:t>0.416t/a</w:t>
      </w:r>
      <w:r>
        <w:rPr>
          <w:spacing w:val="-6"/>
        </w:rPr>
        <w:t>（</w:t>
      </w:r>
      <w:r>
        <w:t>最大产生速率</w:t>
      </w:r>
      <w:r>
        <w:rPr>
          <w:spacing w:val="-21"/>
        </w:rPr>
        <w:t xml:space="preserve">为 </w:t>
      </w:r>
      <w:r>
        <w:rPr>
          <w:rFonts w:ascii="Times New Roman" w:eastAsia="Times New Roman"/>
        </w:rPr>
        <w:t>0.347kg/h</w:t>
      </w:r>
      <w:r>
        <w:t>），本项目使用全密闭破碎机，本项目拟在破碎机、投料混料工序</w:t>
      </w:r>
      <w:r>
        <w:rPr>
          <w:spacing w:val="-15"/>
        </w:rPr>
        <w:t xml:space="preserve">上方采用密闭收集罩对破碎粉尘、投料混料粉尘进行收集，集气效率不低于 </w:t>
      </w:r>
      <w:r>
        <w:rPr>
          <w:rFonts w:ascii="Times New Roman" w:eastAsia="Times New Roman"/>
        </w:rPr>
        <w:t>80%</w:t>
      </w:r>
      <w:r>
        <w:t xml:space="preserve">， </w:t>
      </w:r>
      <w:r>
        <w:rPr>
          <w:spacing w:val="-12"/>
        </w:rPr>
        <w:t xml:space="preserve">总风量为 </w:t>
      </w:r>
      <w:r>
        <w:rPr>
          <w:rFonts w:ascii="Times New Roman" w:eastAsia="Times New Roman"/>
        </w:rPr>
        <w:t>10000</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h</w:t>
      </w:r>
      <w:r>
        <w:rPr>
          <w:spacing w:val="-12"/>
        </w:rPr>
        <w:t xml:space="preserve">，收集后的废气采用布袋除尘器处理达标后经 </w:t>
      </w:r>
      <w:r>
        <w:rPr>
          <w:rFonts w:ascii="Times New Roman" w:eastAsia="Times New Roman"/>
        </w:rPr>
        <w:t xml:space="preserve">15m </w:t>
      </w:r>
      <w:r>
        <w:rPr>
          <w:spacing w:val="-1"/>
        </w:rPr>
        <w:t>高排气筒</w:t>
      </w:r>
      <w:r>
        <w:t>排放（</w:t>
      </w:r>
      <w:r>
        <w:rPr>
          <w:rFonts w:ascii="Times New Roman" w:eastAsia="Times New Roman"/>
        </w:rPr>
        <w:t>DA001</w:t>
      </w:r>
      <w:r>
        <w:t>）</w:t>
      </w:r>
      <w:r>
        <w:rPr>
          <w:spacing w:val="-2"/>
        </w:rPr>
        <w:t xml:space="preserve">。依据《排放源统计调查产排污核算方法和系数手册》中 </w:t>
      </w:r>
      <w:r>
        <w:rPr>
          <w:rFonts w:ascii="Times New Roman" w:eastAsia="Times New Roman"/>
        </w:rPr>
        <w:t>2922</w:t>
      </w:r>
    </w:p>
    <w:p w14:paraId="75AF088E">
      <w:pPr>
        <w:pStyle w:val="10"/>
        <w:spacing w:line="364" w:lineRule="auto"/>
        <w:ind w:left="220" w:right="357"/>
        <w:jc w:val="both"/>
      </w:pPr>
      <w:r>
        <w:rPr>
          <w:spacing w:val="-1"/>
        </w:rPr>
        <w:t xml:space="preserve">塑料板、管、型材制造行业系数表可知，布袋除尘器理效率按袋式除尘的 </w:t>
      </w:r>
      <w:r>
        <w:rPr>
          <w:rFonts w:ascii="Times New Roman" w:eastAsia="Times New Roman"/>
        </w:rPr>
        <w:t xml:space="preserve">99% </w:t>
      </w:r>
      <w:r>
        <w:rPr>
          <w:spacing w:val="-8"/>
        </w:rPr>
        <w:t xml:space="preserve">计。经计算得到颗粒物有组织产生量为 </w:t>
      </w:r>
      <w:r>
        <w:rPr>
          <w:rFonts w:ascii="Times New Roman" w:eastAsia="Times New Roman"/>
        </w:rPr>
        <w:t>0.333t/a</w:t>
      </w:r>
      <w:r>
        <w:rPr>
          <w:spacing w:val="-9"/>
        </w:rPr>
        <w:t xml:space="preserve">，最大产生速率为 </w:t>
      </w:r>
      <w:r>
        <w:rPr>
          <w:rFonts w:ascii="Times New Roman" w:eastAsia="Times New Roman"/>
        </w:rPr>
        <w:t>0.278kg/h</w:t>
      </w:r>
      <w:r>
        <w:t>，产</w:t>
      </w:r>
      <w:r>
        <w:rPr>
          <w:spacing w:val="-10"/>
        </w:rPr>
        <w:t xml:space="preserve">生浓度为 </w:t>
      </w:r>
      <w:r>
        <w:rPr>
          <w:rFonts w:ascii="Times New Roman" w:eastAsia="Times New Roman"/>
        </w:rPr>
        <w:t>27.8mg/m</w:t>
      </w:r>
      <w:r>
        <w:rPr>
          <w:rFonts w:ascii="Times New Roman" w:eastAsia="Times New Roman"/>
          <w:position w:val="8"/>
          <w:sz w:val="15"/>
        </w:rPr>
        <w:t>3</w:t>
      </w:r>
      <w:r>
        <w:rPr>
          <w:spacing w:val="-5"/>
        </w:rPr>
        <w:t xml:space="preserve">；颗粒物有组织排放量为 </w:t>
      </w:r>
      <w:r>
        <w:rPr>
          <w:rFonts w:ascii="Times New Roman" w:eastAsia="Times New Roman"/>
        </w:rPr>
        <w:t>0.003t/a</w:t>
      </w:r>
      <w:r>
        <w:rPr>
          <w:spacing w:val="-9"/>
        </w:rPr>
        <w:t xml:space="preserve">，排放速率 </w:t>
      </w:r>
      <w:r>
        <w:rPr>
          <w:rFonts w:ascii="Times New Roman" w:eastAsia="Times New Roman"/>
        </w:rPr>
        <w:t>0.003kg/h</w:t>
      </w:r>
      <w:r>
        <w:t>，排</w:t>
      </w:r>
      <w:r>
        <w:rPr>
          <w:spacing w:val="-7"/>
        </w:rPr>
        <w:t xml:space="preserve">放浓度 </w:t>
      </w:r>
      <w:r>
        <w:rPr>
          <w:rFonts w:ascii="Times New Roman" w:eastAsia="Times New Roman"/>
        </w:rPr>
        <w:t>0.3mg/m</w:t>
      </w:r>
      <w:r>
        <w:rPr>
          <w:rFonts w:ascii="Times New Roman" w:eastAsia="Times New Roman"/>
          <w:position w:val="8"/>
          <w:sz w:val="15"/>
        </w:rPr>
        <w:t>3</w:t>
      </w:r>
      <w:r>
        <w:t>；未被收集的颗粒物在车间内无组织排放，则无组织逸散的颗</w:t>
      </w:r>
      <w:r>
        <w:rPr>
          <w:spacing w:val="-9"/>
        </w:rPr>
        <w:t xml:space="preserve">粒物排放量为 </w:t>
      </w:r>
      <w:r>
        <w:rPr>
          <w:rFonts w:ascii="Times New Roman" w:eastAsia="Times New Roman"/>
        </w:rPr>
        <w:t>0.083t/a</w:t>
      </w:r>
      <w:r>
        <w:rPr>
          <w:spacing w:val="-8"/>
        </w:rPr>
        <w:t xml:space="preserve">，最大排放速率 </w:t>
      </w:r>
      <w:r>
        <w:rPr>
          <w:rFonts w:ascii="Times New Roman" w:eastAsia="Times New Roman"/>
        </w:rPr>
        <w:t>0.069kg/h</w:t>
      </w:r>
      <w:r>
        <w:t>。</w:t>
      </w:r>
    </w:p>
    <w:p w14:paraId="45F2231D">
      <w:pPr>
        <w:pStyle w:val="10"/>
        <w:spacing w:line="306" w:lineRule="exact"/>
        <w:ind w:left="700"/>
      </w:pPr>
      <w:r>
        <w:rPr>
          <w:rFonts w:ascii="Times New Roman" w:eastAsia="Times New Roman"/>
        </w:rPr>
        <w:t>2</w:t>
      </w:r>
      <w:r>
        <w:t>、挤出造粒废气、挤出注塑废气</w:t>
      </w:r>
    </w:p>
    <w:p w14:paraId="7A77A4B2">
      <w:pPr>
        <w:pStyle w:val="10"/>
        <w:spacing w:before="151" w:line="364" w:lineRule="auto"/>
        <w:ind w:left="220" w:right="237" w:firstLine="480"/>
      </w:pPr>
      <w:r>
        <w:rPr>
          <w:spacing w:val="-7"/>
        </w:rPr>
        <w:t>本项目挤出注塑工段采用电加热，原料在热解熔融过程由于分子间的剪切挤</w:t>
      </w:r>
      <w:r>
        <w:rPr>
          <w:spacing w:val="-22"/>
        </w:rPr>
        <w:t>压下断链、分解、降解过程中产生游离单体等挥发性有机物</w:t>
      </w:r>
      <w:r>
        <w:t>（以非甲烷总烃表征</w:t>
      </w:r>
      <w:r>
        <w:rPr>
          <w:spacing w:val="-120"/>
        </w:rPr>
        <w:t>）</w:t>
      </w:r>
      <w:r>
        <w:t>。</w:t>
      </w:r>
      <w:r>
        <w:rPr>
          <w:spacing w:val="-9"/>
        </w:rPr>
        <w:t>此外，塑料在加温过程中因为温度不够而无法完全热解，将产生大量的塑料颗粒烟尘。因此本项目在挤出工序产生污染物为颗粒物、挥发性有机物。</w:t>
      </w:r>
    </w:p>
    <w:p w14:paraId="081A86A6">
      <w:pPr>
        <w:pStyle w:val="10"/>
        <w:ind w:left="700"/>
      </w:pPr>
      <w:r>
        <w:t>①挤出废气挥发性有机物</w:t>
      </w:r>
    </w:p>
    <w:p w14:paraId="2187F0C5">
      <w:pPr>
        <w:pStyle w:val="10"/>
        <w:spacing w:before="158" w:line="362" w:lineRule="auto"/>
        <w:ind w:left="220" w:right="310" w:firstLine="480"/>
      </w:pPr>
      <w:r>
        <w:t>根据《工业源产排污核算方法和系数手册》中</w:t>
      </w:r>
      <w:r>
        <w:rPr>
          <w:rFonts w:ascii="Times New Roman" w:hAnsi="Times New Roman" w:eastAsia="Times New Roman"/>
        </w:rPr>
        <w:t xml:space="preserve">“42 </w:t>
      </w:r>
      <w:r>
        <w:t>废弃资源综合利用行业系数手册塑料制品业系数手册</w:t>
      </w:r>
      <w:r>
        <w:rPr>
          <w:rFonts w:ascii="Times New Roman" w:hAnsi="Times New Roman" w:eastAsia="Times New Roman"/>
        </w:rPr>
        <w:t>”</w:t>
      </w:r>
      <w:r>
        <w:t>，</w:t>
      </w:r>
      <w:r>
        <w:rPr>
          <w:rFonts w:ascii="Times New Roman" w:hAnsi="Times New Roman" w:eastAsia="Times New Roman"/>
        </w:rPr>
        <w:t xml:space="preserve">“4220 </w:t>
      </w:r>
      <w:r>
        <w:t>非金属废料和碎屑加工处理行业系数表</w:t>
      </w:r>
      <w:r>
        <w:rPr>
          <w:rFonts w:ascii="Times New Roman" w:hAnsi="Times New Roman" w:eastAsia="Times New Roman"/>
        </w:rPr>
        <w:t>”</w:t>
      </w:r>
      <w:r>
        <w:t>中</w:t>
      </w:r>
    </w:p>
    <w:p w14:paraId="7ED1F7F1">
      <w:pPr>
        <w:pStyle w:val="10"/>
        <w:spacing w:before="5" w:line="364" w:lineRule="auto"/>
        <w:ind w:left="220" w:right="237"/>
        <w:jc w:val="both"/>
      </w:pPr>
      <w:r>
        <w:rPr>
          <w:rFonts w:ascii="Times New Roman" w:hAnsi="Times New Roman" w:eastAsia="Times New Roman"/>
        </w:rPr>
        <w:t>“</w:t>
      </w:r>
      <w:r>
        <w:rPr>
          <w:spacing w:val="-24"/>
        </w:rPr>
        <w:t xml:space="preserve">废 </w:t>
      </w:r>
      <w:r>
        <w:rPr>
          <w:rFonts w:ascii="Times New Roman" w:hAnsi="Times New Roman" w:eastAsia="Times New Roman"/>
        </w:rPr>
        <w:t>PE/PP”“</w:t>
      </w:r>
      <w:r>
        <w:t>挤出造粒</w:t>
      </w:r>
      <w:r>
        <w:rPr>
          <w:rFonts w:ascii="Times New Roman" w:hAnsi="Times New Roman" w:eastAsia="Times New Roman"/>
        </w:rPr>
        <w:t>”</w:t>
      </w:r>
      <w:r>
        <w:t>的废气挥发性有机物产污系数为</w:t>
      </w:r>
      <w:r>
        <w:rPr>
          <w:rFonts w:ascii="Times New Roman" w:hAnsi="Times New Roman" w:eastAsia="Times New Roman"/>
        </w:rPr>
        <w:t xml:space="preserve">“350g/t </w:t>
      </w:r>
      <w:r>
        <w:t>原料</w:t>
      </w:r>
      <w:r>
        <w:rPr>
          <w:rFonts w:ascii="Times New Roman" w:hAnsi="Times New Roman" w:eastAsia="Times New Roman"/>
        </w:rPr>
        <w:t>”</w:t>
      </w:r>
      <w:r>
        <w:t>，项目挤出</w:t>
      </w:r>
      <w:r>
        <w:rPr>
          <w:spacing w:val="-10"/>
        </w:rPr>
        <w:t xml:space="preserve">造粒工序废 </w:t>
      </w:r>
      <w:r>
        <w:rPr>
          <w:rFonts w:ascii="Times New Roman" w:hAnsi="Times New Roman" w:eastAsia="Times New Roman"/>
        </w:rPr>
        <w:t xml:space="preserve">PE </w:t>
      </w:r>
      <w:r>
        <w:rPr>
          <w:spacing w:val="-5"/>
        </w:rPr>
        <w:t xml:space="preserve">再生塑料粒子的总产量约为 </w:t>
      </w:r>
      <w:r>
        <w:rPr>
          <w:rFonts w:ascii="Times New Roman" w:hAnsi="Times New Roman" w:eastAsia="Times New Roman"/>
          <w:spacing w:val="-10"/>
        </w:rPr>
        <w:t>5000t/a</w:t>
      </w:r>
      <w:r>
        <w:rPr>
          <w:spacing w:val="-3"/>
        </w:rPr>
        <w:t>，项目造粒挤出工序生产时间</w:t>
      </w:r>
      <w:r>
        <w:rPr>
          <w:spacing w:val="-32"/>
        </w:rPr>
        <w:t xml:space="preserve">为 </w:t>
      </w:r>
      <w:r>
        <w:rPr>
          <w:rFonts w:ascii="Times New Roman" w:hAnsi="Times New Roman" w:eastAsia="Times New Roman"/>
        </w:rPr>
        <w:t>4800h/</w:t>
      </w:r>
      <w:r>
        <w:rPr>
          <w:rFonts w:ascii="Times New Roman" w:hAnsi="Times New Roman" w:eastAsia="Times New Roman"/>
          <w:spacing w:val="-1"/>
        </w:rPr>
        <w:t>a</w:t>
      </w:r>
      <w:r>
        <w:rPr>
          <w:spacing w:val="-12"/>
        </w:rPr>
        <w:t xml:space="preserve">。据此计算，挤出造粒工序非甲烷总烃产生量为 </w:t>
      </w:r>
      <w:r>
        <w:rPr>
          <w:rFonts w:ascii="Times New Roman" w:hAnsi="Times New Roman" w:eastAsia="Times New Roman"/>
        </w:rPr>
        <w:t>1.750t/</w:t>
      </w:r>
      <w:r>
        <w:rPr>
          <w:rFonts w:ascii="Times New Roman" w:hAnsi="Times New Roman" w:eastAsia="Times New Roman"/>
          <w:spacing w:val="-40"/>
        </w:rPr>
        <w:t>a</w:t>
      </w:r>
      <w:r>
        <w:t>（</w:t>
      </w:r>
      <w:r>
        <w:rPr>
          <w:rFonts w:ascii="Times New Roman" w:hAnsi="Times New Roman" w:eastAsia="Times New Roman"/>
        </w:rPr>
        <w:t>0.365k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h</w:t>
      </w:r>
      <w:r>
        <w:rPr>
          <w:spacing w:val="-101"/>
        </w:rPr>
        <w:t>）</w:t>
      </w:r>
      <w:r>
        <w:t>。</w:t>
      </w:r>
    </w:p>
    <w:p w14:paraId="721B6B8E">
      <w:pPr>
        <w:pStyle w:val="10"/>
        <w:spacing w:line="307" w:lineRule="exact"/>
        <w:ind w:left="700"/>
      </w:pPr>
      <w:r>
        <w:rPr>
          <w:spacing w:val="-12"/>
        </w:rPr>
        <w:t>根据《排放源统计调查产排污核算方法和系数手册</w:t>
      </w:r>
      <w:r>
        <w:rPr>
          <w:spacing w:val="-221"/>
        </w:rPr>
        <w:t>》</w:t>
      </w:r>
      <w:r>
        <w:t xml:space="preserve">（公告 </w:t>
      </w:r>
      <w:r>
        <w:rPr>
          <w:rFonts w:ascii="Times New Roman" w:eastAsia="Times New Roman"/>
        </w:rPr>
        <w:t xml:space="preserve">2021 </w:t>
      </w:r>
      <w:r>
        <w:rPr>
          <w:spacing w:val="-1"/>
        </w:rPr>
        <w:t xml:space="preserve">年第 </w:t>
      </w:r>
      <w:r>
        <w:rPr>
          <w:rFonts w:ascii="Times New Roman" w:eastAsia="Times New Roman"/>
        </w:rPr>
        <w:t xml:space="preserve">24 </w:t>
      </w:r>
      <w:r>
        <w:t>号）</w:t>
      </w:r>
    </w:p>
    <w:p w14:paraId="3E6C039C">
      <w:pPr>
        <w:spacing w:after="0" w:line="307" w:lineRule="exact"/>
        <w:sectPr>
          <w:pgSz w:w="11910" w:h="16840"/>
          <w:pgMar w:top="1380" w:right="1440" w:bottom="1220" w:left="1580" w:header="0" w:footer="1024" w:gutter="0"/>
          <w:cols w:space="720" w:num="1"/>
        </w:sectPr>
      </w:pPr>
    </w:p>
    <w:p w14:paraId="6398591C">
      <w:pPr>
        <w:pStyle w:val="10"/>
        <w:spacing w:before="63" w:line="364" w:lineRule="auto"/>
        <w:ind w:left="220" w:right="237"/>
        <w:jc w:val="both"/>
      </w:pPr>
      <w:r>
        <w:t>中塑料制品行业系数手册</w:t>
      </w:r>
      <w:r>
        <w:rPr>
          <w:rFonts w:ascii="Times New Roman" w:hAnsi="Times New Roman" w:eastAsia="Times New Roman"/>
        </w:rPr>
        <w:t xml:space="preserve">——2922 </w:t>
      </w:r>
      <w:r>
        <w:t>塑料板、管、型材制造行业系数表，挥发性</w:t>
      </w:r>
      <w:r>
        <w:rPr>
          <w:spacing w:val="-6"/>
        </w:rPr>
        <w:t xml:space="preserve">有机物产生系数为 </w:t>
      </w:r>
      <w:r>
        <w:rPr>
          <w:rFonts w:ascii="Times New Roman" w:hAnsi="Times New Roman" w:eastAsia="Times New Roman"/>
        </w:rPr>
        <w:t>1.5kg/</w:t>
      </w:r>
      <w:r>
        <w:t>吨</w:t>
      </w:r>
      <w:r>
        <w:rPr>
          <w:rFonts w:ascii="Times New Roman" w:hAnsi="Times New Roman" w:eastAsia="Times New Roman"/>
          <w:spacing w:val="2"/>
        </w:rPr>
        <w:t>-</w:t>
      </w:r>
      <w:r>
        <w:rPr>
          <w:spacing w:val="-3"/>
        </w:rPr>
        <w:t xml:space="preserve">产品，本项目排水板系列产品产量为 </w:t>
      </w:r>
      <w:r>
        <w:rPr>
          <w:rFonts w:ascii="Times New Roman" w:hAnsi="Times New Roman" w:eastAsia="Times New Roman"/>
        </w:rPr>
        <w:t>10000t</w:t>
      </w:r>
      <w:r>
        <w:t>，则挤</w:t>
      </w:r>
      <w:r>
        <w:rPr>
          <w:spacing w:val="-4"/>
        </w:rPr>
        <w:t>出注塑工序挥发性有机物</w:t>
      </w:r>
      <w:r>
        <w:rPr>
          <w:spacing w:val="-3"/>
        </w:rPr>
        <w:t>（</w:t>
      </w:r>
      <w:r>
        <w:t>以非甲烷总烃表征</w:t>
      </w:r>
      <w:r>
        <w:rPr>
          <w:spacing w:val="-39"/>
        </w:rPr>
        <w:t>）</w:t>
      </w:r>
      <w:r>
        <w:rPr>
          <w:spacing w:val="-12"/>
        </w:rPr>
        <w:t xml:space="preserve">产生量为 </w:t>
      </w:r>
      <w:r>
        <w:rPr>
          <w:rFonts w:ascii="Times New Roman" w:hAnsi="Times New Roman" w:eastAsia="Times New Roman"/>
        </w:rPr>
        <w:t>15.000t/</w:t>
      </w:r>
      <w:r>
        <w:rPr>
          <w:rFonts w:ascii="Times New Roman" w:hAnsi="Times New Roman" w:eastAsia="Times New Roman"/>
          <w:spacing w:val="-40"/>
        </w:rPr>
        <w:t>a</w:t>
      </w:r>
      <w:r>
        <w:t>（</w:t>
      </w:r>
      <w:r>
        <w:rPr>
          <w:rFonts w:ascii="Times New Roman" w:hAnsi="Times New Roman" w:eastAsia="Times New Roman"/>
        </w:rPr>
        <w:t>3.125k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h</w:t>
      </w:r>
      <w:r>
        <w:rPr>
          <w:spacing w:val="-106"/>
        </w:rPr>
        <w:t>）</w:t>
      </w:r>
      <w:r>
        <w:t>。</w:t>
      </w:r>
    </w:p>
    <w:p w14:paraId="21E6EF3A">
      <w:pPr>
        <w:pStyle w:val="10"/>
        <w:spacing w:line="307" w:lineRule="exact"/>
        <w:ind w:left="700"/>
      </w:pPr>
      <w:r>
        <w:t>②挤出废气颗粒物</w:t>
      </w:r>
    </w:p>
    <w:p w14:paraId="38708C0A">
      <w:pPr>
        <w:pStyle w:val="10"/>
        <w:spacing w:before="158"/>
        <w:ind w:left="700"/>
      </w:pPr>
      <w:r>
        <w:t>根据《废塑料预处理行业环境影响评价中常见污染物源强估算及污染治理》</w:t>
      </w:r>
    </w:p>
    <w:p w14:paraId="63F65851">
      <w:pPr>
        <w:pStyle w:val="10"/>
        <w:spacing w:before="160" w:line="364" w:lineRule="auto"/>
        <w:ind w:left="220" w:right="237"/>
        <w:rPr>
          <w:rFonts w:ascii="Times New Roman" w:eastAsia="Times New Roman"/>
        </w:rPr>
      </w:pPr>
      <w:r>
        <w:t>（</w:t>
      </w:r>
      <w:r>
        <w:rPr>
          <w:spacing w:val="-9"/>
        </w:rPr>
        <w:t>李飞，中国资源综合利用，</w:t>
      </w:r>
      <w:r>
        <w:rPr>
          <w:rFonts w:ascii="Times New Roman" w:eastAsia="Times New Roman"/>
          <w:spacing w:val="-12"/>
        </w:rPr>
        <w:t xml:space="preserve">2019 </w:t>
      </w:r>
      <w:r>
        <w:rPr>
          <w:spacing w:val="-30"/>
        </w:rPr>
        <w:t xml:space="preserve">年 </w:t>
      </w:r>
      <w:r>
        <w:rPr>
          <w:rFonts w:ascii="Times New Roman" w:eastAsia="Times New Roman"/>
        </w:rPr>
        <w:t xml:space="preserve">1 </w:t>
      </w:r>
      <w:r>
        <w:t>月</w:t>
      </w:r>
      <w:r>
        <w:rPr>
          <w:spacing w:val="-56"/>
        </w:rPr>
        <w:t>）</w:t>
      </w:r>
      <w:r>
        <w:rPr>
          <w:spacing w:val="-5"/>
        </w:rPr>
        <w:t xml:space="preserve">挤出工序颗粒物产污系数为 </w:t>
      </w:r>
      <w:r>
        <w:rPr>
          <w:rFonts w:ascii="Times New Roman" w:eastAsia="Times New Roman"/>
        </w:rPr>
        <w:t>0.15kg/t</w:t>
      </w:r>
      <w:r>
        <w:t xml:space="preserve">， </w:t>
      </w:r>
      <w:r>
        <w:rPr>
          <w:spacing w:val="-6"/>
        </w:rPr>
        <w:t xml:space="preserve">本项目挤出造粒工序废 </w:t>
      </w:r>
      <w:r>
        <w:rPr>
          <w:rFonts w:ascii="Times New Roman" w:eastAsia="Times New Roman"/>
        </w:rPr>
        <w:t xml:space="preserve">PE </w:t>
      </w:r>
      <w:r>
        <w:rPr>
          <w:spacing w:val="-5"/>
        </w:rPr>
        <w:t xml:space="preserve">再生塑料粒子的总产量约为 </w:t>
      </w:r>
      <w:r>
        <w:rPr>
          <w:rFonts w:ascii="Times New Roman" w:eastAsia="Times New Roman"/>
          <w:spacing w:val="-10"/>
        </w:rPr>
        <w:t>5000t/a</w:t>
      </w:r>
      <w:r>
        <w:rPr>
          <w:spacing w:val="-3"/>
        </w:rPr>
        <w:t>，项目造粒挤出工</w:t>
      </w:r>
      <w:r>
        <w:rPr>
          <w:spacing w:val="10"/>
        </w:rPr>
        <w:t xml:space="preserve">序生产时间为 </w:t>
      </w:r>
      <w:r>
        <w:rPr>
          <w:rFonts w:ascii="Times New Roman" w:eastAsia="Times New Roman"/>
        </w:rPr>
        <w:t xml:space="preserve">4800h/a </w:t>
      </w:r>
      <w:r>
        <w:rPr>
          <w:spacing w:val="6"/>
        </w:rPr>
        <w:t xml:space="preserve">。据此计算， 挤出造粒工序颗粒物产生量为 </w:t>
      </w:r>
      <w:r>
        <w:rPr>
          <w:rFonts w:ascii="Times New Roman" w:eastAsia="Times New Roman"/>
        </w:rPr>
        <w:t>0.750t/a</w:t>
      </w:r>
    </w:p>
    <w:p w14:paraId="2B568B4D">
      <w:pPr>
        <w:pStyle w:val="10"/>
        <w:spacing w:line="307" w:lineRule="exact"/>
        <w:ind w:left="220"/>
      </w:pPr>
      <w:r>
        <w:t>（</w:t>
      </w:r>
      <w:r>
        <w:rPr>
          <w:rFonts w:ascii="Times New Roman" w:eastAsia="Times New Roman"/>
        </w:rPr>
        <w:t>0.156kg/h</w:t>
      </w:r>
      <w:r>
        <w:t>）。</w:t>
      </w:r>
    </w:p>
    <w:p w14:paraId="0F998138">
      <w:pPr>
        <w:pStyle w:val="10"/>
        <w:spacing w:before="158" w:line="362" w:lineRule="auto"/>
        <w:ind w:left="220" w:right="357" w:firstLine="480"/>
      </w:pPr>
      <w:r>
        <w:rPr>
          <w:spacing w:val="-5"/>
        </w:rPr>
        <w:t xml:space="preserve">本项目排水板系列产品产量为 </w:t>
      </w:r>
      <w:r>
        <w:rPr>
          <w:rFonts w:ascii="Times New Roman" w:eastAsia="Times New Roman"/>
        </w:rPr>
        <w:t>10000</w:t>
      </w:r>
      <w:r>
        <w:rPr>
          <w:rFonts w:ascii="Times New Roman" w:eastAsia="Times New Roman"/>
          <w:spacing w:val="-2"/>
        </w:rPr>
        <w:t>t</w:t>
      </w:r>
      <w:r>
        <w:rPr>
          <w:spacing w:val="-11"/>
        </w:rPr>
        <w:t>，则挤出注塑工序挥发性颗粒物产生量</w:t>
      </w:r>
      <w:r>
        <w:rPr>
          <w:spacing w:val="-36"/>
        </w:rPr>
        <w:t xml:space="preserve">为 </w:t>
      </w:r>
      <w:r>
        <w:rPr>
          <w:rFonts w:ascii="Times New Roman" w:eastAsia="Times New Roman"/>
        </w:rPr>
        <w:t>1.500t/a</w:t>
      </w:r>
      <w:r>
        <w:t>（</w:t>
      </w:r>
      <w:r>
        <w:rPr>
          <w:rFonts w:ascii="Times New Roman" w:eastAsia="Times New Roman"/>
        </w:rPr>
        <w:t>0.313kg/h</w:t>
      </w:r>
      <w:r>
        <w:t>）。</w:t>
      </w:r>
    </w:p>
    <w:p w14:paraId="4887DAC3">
      <w:pPr>
        <w:pStyle w:val="10"/>
        <w:spacing w:before="5"/>
        <w:ind w:left="700"/>
      </w:pPr>
      <w:r>
        <w:t xml:space="preserve">则本项目挤出造粒、挤出注塑工序颗粒物总产生量为 </w:t>
      </w:r>
      <w:r>
        <w:rPr>
          <w:rFonts w:ascii="Times New Roman" w:eastAsia="Times New Roman"/>
        </w:rPr>
        <w:t>2.250t/a</w:t>
      </w:r>
      <w:r>
        <w:t>（</w:t>
      </w:r>
      <w:r>
        <w:rPr>
          <w:rFonts w:ascii="Times New Roman" w:eastAsia="Times New Roman"/>
        </w:rPr>
        <w:t>0.469kg/h</w:t>
      </w:r>
      <w:r>
        <w:t>）。</w:t>
      </w:r>
    </w:p>
    <w:p w14:paraId="5D6C80A3">
      <w:pPr>
        <w:pStyle w:val="10"/>
        <w:spacing w:before="161"/>
        <w:ind w:left="700"/>
      </w:pPr>
      <w:r>
        <w:t>③挤出注塑废气异味</w:t>
      </w:r>
    </w:p>
    <w:p w14:paraId="75528ED9">
      <w:pPr>
        <w:pStyle w:val="10"/>
        <w:spacing w:before="158" w:line="364" w:lineRule="auto"/>
        <w:ind w:left="220" w:right="357" w:firstLine="480"/>
        <w:jc w:val="both"/>
      </w:pPr>
      <w:r>
        <w:rPr>
          <w:spacing w:val="-5"/>
        </w:rPr>
        <w:t>项目挤出工序还会伴随产生一定异味——恶臭，由于挤出机机头废气集气罩</w:t>
      </w:r>
      <w:r>
        <w:rPr>
          <w:spacing w:val="-11"/>
        </w:rPr>
        <w:t>收集不可能完全，会有少量的恶臭气体散发进入车间，生产中除提高集气罩的收</w:t>
      </w:r>
      <w:r>
        <w:rPr>
          <w:spacing w:val="-12"/>
        </w:rPr>
        <w:t>集率外，还须加强车间通风，可在车间四周设置通风排气扇，将少量恶臭气体排放出车间，以保持较好的车间环境空气质量。由于恶臭污染物排放量较小，排出</w:t>
      </w:r>
      <w:r>
        <w:rPr>
          <w:spacing w:val="-13"/>
        </w:rPr>
        <w:t>车间和厂界外后，经周围空气稀释和大气扩散，类比同类企业情况，其臭气浓度</w:t>
      </w:r>
      <w:r>
        <w:rPr>
          <w:spacing w:val="-15"/>
        </w:rPr>
        <w:t>在厂界外的浓度较低，不会对区域大气环境造成明显影响。本项目以臭气浓度表征，无法进行定量分析，活性炭吸附可去除部分恶臭。</w:t>
      </w:r>
    </w:p>
    <w:p w14:paraId="61B891BF">
      <w:pPr>
        <w:pStyle w:val="10"/>
        <w:spacing w:line="362" w:lineRule="auto"/>
        <w:ind w:left="220" w:right="357" w:firstLine="480"/>
      </w:pPr>
      <w:r>
        <w:rPr>
          <w:spacing w:val="-7"/>
        </w:rPr>
        <w:t>本项目在挤出造粒工序、挤出注塑工序上方设置负压密闭罩，对项目废气进行收集，集气罩示意图如下：</w:t>
      </w:r>
    </w:p>
    <w:p w14:paraId="7CE5657D">
      <w:pPr>
        <w:pStyle w:val="10"/>
        <w:ind w:left="2768"/>
        <w:rPr>
          <w:sz w:val="20"/>
        </w:rPr>
      </w:pPr>
      <w:r>
        <w:rPr>
          <w:sz w:val="20"/>
        </w:rPr>
        <w:drawing>
          <wp:inline distT="0" distB="0" distL="0" distR="0">
            <wp:extent cx="2038350" cy="1819275"/>
            <wp:effectExtent l="0" t="0" r="0" b="0"/>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6.jpeg"/>
                    <pic:cNvPicPr>
                      <a:picLocks noChangeAspect="1"/>
                    </pic:cNvPicPr>
                  </pic:nvPicPr>
                  <pic:blipFill>
                    <a:blip r:embed="rId58" cstate="print"/>
                    <a:stretch>
                      <a:fillRect/>
                    </a:stretch>
                  </pic:blipFill>
                  <pic:spPr>
                    <a:xfrm>
                      <a:off x="0" y="0"/>
                      <a:ext cx="2038685" cy="1819275"/>
                    </a:xfrm>
                    <a:prstGeom prst="rect">
                      <a:avLst/>
                    </a:prstGeom>
                  </pic:spPr>
                </pic:pic>
              </a:graphicData>
            </a:graphic>
          </wp:inline>
        </w:drawing>
      </w:r>
    </w:p>
    <w:p w14:paraId="55D0821D">
      <w:pPr>
        <w:pStyle w:val="9"/>
        <w:spacing w:before="152"/>
        <w:ind w:left="0" w:right="137"/>
        <w:jc w:val="center"/>
      </w:pPr>
      <w:r>
        <w:t xml:space="preserve">图 </w:t>
      </w:r>
      <w:r>
        <w:rPr>
          <w:rFonts w:ascii="Times New Roman" w:eastAsia="Times New Roman"/>
        </w:rPr>
        <w:t xml:space="preserve">2.4-1 </w:t>
      </w:r>
      <w:r>
        <w:t>负压密闭罩示意图</w:t>
      </w:r>
    </w:p>
    <w:p w14:paraId="53A0AEF3">
      <w:pPr>
        <w:spacing w:after="0"/>
        <w:jc w:val="center"/>
        <w:sectPr>
          <w:pgSz w:w="11910" w:h="16840"/>
          <w:pgMar w:top="1360" w:right="1440" w:bottom="1220" w:left="1580" w:header="0" w:footer="1024" w:gutter="0"/>
          <w:cols w:space="720" w:num="1"/>
        </w:sectPr>
      </w:pPr>
    </w:p>
    <w:p w14:paraId="1C2D800C">
      <w:pPr>
        <w:pStyle w:val="10"/>
        <w:spacing w:before="63" w:line="364" w:lineRule="auto"/>
        <w:ind w:left="220" w:right="357" w:firstLine="480"/>
        <w:jc w:val="both"/>
      </w:pPr>
      <w:r>
        <w:t>参考《关于印发</w:t>
      </w:r>
      <w:r>
        <w:rPr>
          <w:rFonts w:ascii="Times New Roman" w:eastAsia="Times New Roman"/>
        </w:rPr>
        <w:t>&lt;</w:t>
      </w:r>
      <w:r>
        <w:t>主要污染物总量减排核算技术指南（</w:t>
      </w:r>
      <w:r>
        <w:rPr>
          <w:rFonts w:ascii="Times New Roman" w:eastAsia="Times New Roman"/>
        </w:rPr>
        <w:t xml:space="preserve">2022 </w:t>
      </w:r>
      <w:r>
        <w:t>年修订）</w:t>
      </w:r>
      <w:r>
        <w:rPr>
          <w:rFonts w:ascii="Times New Roman" w:eastAsia="Times New Roman"/>
        </w:rPr>
        <w:t>&gt;</w:t>
      </w:r>
      <w:r>
        <w:t>的通</w:t>
      </w:r>
      <w:r>
        <w:rPr>
          <w:spacing w:val="-5"/>
        </w:rPr>
        <w:t>知》</w:t>
      </w:r>
      <w:r>
        <w:t>（环办综合函</w:t>
      </w:r>
      <w:r>
        <w:rPr>
          <w:rFonts w:ascii="Times New Roman" w:eastAsia="Times New Roman"/>
        </w:rPr>
        <w:t xml:space="preserve">[2022]350 </w:t>
      </w:r>
      <w:r>
        <w:t>号</w:t>
      </w:r>
      <w:r>
        <w:rPr>
          <w:spacing w:val="-5"/>
        </w:rPr>
        <w:t>）</w:t>
      </w:r>
      <w:r>
        <w:rPr>
          <w:spacing w:val="-31"/>
        </w:rPr>
        <w:t xml:space="preserve">表 </w:t>
      </w:r>
      <w:r>
        <w:rPr>
          <w:rFonts w:ascii="Times New Roman" w:eastAsia="Times New Roman"/>
        </w:rPr>
        <w:t xml:space="preserve">2.3VOCs </w:t>
      </w:r>
      <w:r>
        <w:t>废气收集率和治理设施去除率通用系数，本项目集气效率参照密闭空间（含密闭式集气罩）</w:t>
      </w:r>
      <w:r>
        <w:rPr>
          <w:spacing w:val="-13"/>
        </w:rPr>
        <w:t xml:space="preserve">负压，取 </w:t>
      </w:r>
      <w:r>
        <w:rPr>
          <w:rFonts w:ascii="Times New Roman" w:eastAsia="Times New Roman"/>
        </w:rPr>
        <w:t>90%</w:t>
      </w:r>
      <w:r>
        <w:t>。</w:t>
      </w:r>
    </w:p>
    <w:p w14:paraId="5EE90305">
      <w:pPr>
        <w:pStyle w:val="10"/>
        <w:spacing w:line="364" w:lineRule="auto"/>
        <w:ind w:left="220" w:right="244" w:firstLine="480"/>
      </w:pPr>
      <w:r>
        <w:rPr>
          <w:spacing w:val="-5"/>
        </w:rPr>
        <w:t>本项目拟采用密闭负压收集罩对挤出造粒工序废气、挤出注塑工序废气进行</w:t>
      </w:r>
      <w:r>
        <w:rPr>
          <w:spacing w:val="-11"/>
        </w:rPr>
        <w:t xml:space="preserve">收集，集气效率不低于 </w:t>
      </w:r>
      <w:r>
        <w:rPr>
          <w:rFonts w:ascii="Times New Roman" w:eastAsia="Times New Roman"/>
          <w:spacing w:val="-3"/>
        </w:rPr>
        <w:t>90%</w:t>
      </w:r>
      <w:r>
        <w:rPr>
          <w:spacing w:val="-12"/>
        </w:rPr>
        <w:t xml:space="preserve">，总风量为 </w:t>
      </w:r>
      <w:r>
        <w:rPr>
          <w:rFonts w:ascii="Times New Roman" w:eastAsia="Times New Roman"/>
        </w:rPr>
        <w:t>15000m</w:t>
      </w:r>
      <w:r>
        <w:rPr>
          <w:rFonts w:ascii="Times New Roman" w:eastAsia="Times New Roman"/>
          <w:position w:val="8"/>
          <w:sz w:val="15"/>
        </w:rPr>
        <w:t>3</w:t>
      </w:r>
      <w:r>
        <w:rPr>
          <w:rFonts w:ascii="Times New Roman" w:eastAsia="Times New Roman"/>
        </w:rPr>
        <w:t>/h</w:t>
      </w:r>
      <w:r>
        <w:t>，收集后的废气采用布袋除尘器</w:t>
      </w:r>
      <w:r>
        <w:rPr>
          <w:rFonts w:ascii="Times New Roman" w:eastAsia="Times New Roman"/>
        </w:rPr>
        <w:t>+</w:t>
      </w:r>
      <w:r>
        <w:t>过滤棉</w:t>
      </w:r>
      <w:r>
        <w:rPr>
          <w:rFonts w:ascii="Times New Roman" w:eastAsia="Times New Roman"/>
        </w:rPr>
        <w:t>+</w:t>
      </w:r>
      <w:r>
        <w:rPr>
          <w:spacing w:val="-5"/>
        </w:rPr>
        <w:t xml:space="preserve">二级活性炭吸附处理达标后经 </w:t>
      </w:r>
      <w:r>
        <w:rPr>
          <w:rFonts w:ascii="Times New Roman" w:eastAsia="Times New Roman"/>
        </w:rPr>
        <w:t xml:space="preserve">15m </w:t>
      </w:r>
      <w:r>
        <w:t>高排气筒排放（</w:t>
      </w:r>
      <w:r>
        <w:rPr>
          <w:rFonts w:ascii="Times New Roman" w:eastAsia="Times New Roman"/>
        </w:rPr>
        <w:t>DA002</w:t>
      </w:r>
      <w:r>
        <w:t>）。布袋除尘器</w:t>
      </w:r>
      <w:r>
        <w:rPr>
          <w:rFonts w:ascii="Times New Roman" w:eastAsia="Times New Roman"/>
        </w:rPr>
        <w:t>+</w:t>
      </w:r>
      <w:r>
        <w:rPr>
          <w:spacing w:val="-5"/>
        </w:rPr>
        <w:t xml:space="preserve">过滤棉的颗粒物处理效率为 </w:t>
      </w:r>
      <w:r>
        <w:rPr>
          <w:rFonts w:ascii="Times New Roman" w:eastAsia="Times New Roman"/>
        </w:rPr>
        <w:t>99%</w:t>
      </w:r>
      <w:r>
        <w:t>，根据《关于印发</w:t>
      </w:r>
      <w:r>
        <w:rPr>
          <w:rFonts w:ascii="Times New Roman" w:eastAsia="Times New Roman"/>
        </w:rPr>
        <w:t>&lt;</w:t>
      </w:r>
      <w:r>
        <w:t>主要污染物总量减</w:t>
      </w:r>
      <w:r>
        <w:rPr>
          <w:spacing w:val="-15"/>
        </w:rPr>
        <w:t>排核算技术指南</w:t>
      </w:r>
      <w:r>
        <w:rPr>
          <w:spacing w:val="-5"/>
        </w:rPr>
        <w:t>（</w:t>
      </w:r>
      <w:r>
        <w:rPr>
          <w:rFonts w:ascii="Times New Roman" w:eastAsia="Times New Roman"/>
        </w:rPr>
        <w:t xml:space="preserve">2022 </w:t>
      </w:r>
      <w:r>
        <w:t>年修订</w:t>
      </w:r>
      <w:r>
        <w:rPr>
          <w:spacing w:val="-101"/>
        </w:rPr>
        <w:t>）</w:t>
      </w:r>
      <w:r>
        <w:rPr>
          <w:rFonts w:ascii="Times New Roman" w:eastAsia="Times New Roman"/>
          <w:spacing w:val="0"/>
        </w:rPr>
        <w:t>&gt;</w:t>
      </w:r>
      <w:r>
        <w:t>的通知</w:t>
      </w:r>
      <w:r>
        <w:rPr>
          <w:spacing w:val="-200"/>
        </w:rPr>
        <w:t>》</w:t>
      </w:r>
      <w:r>
        <w:rPr>
          <w:spacing w:val="-5"/>
        </w:rPr>
        <w:t>（</w:t>
      </w:r>
      <w:r>
        <w:rPr>
          <w:spacing w:val="-18"/>
        </w:rPr>
        <w:t>环办综合函〔</w:t>
      </w:r>
      <w:r>
        <w:rPr>
          <w:rFonts w:ascii="Times New Roman" w:eastAsia="Times New Roman"/>
        </w:rPr>
        <w:t>2022</w:t>
      </w:r>
      <w:r>
        <w:rPr>
          <w:spacing w:val="-101"/>
        </w:rPr>
        <w:t>〕</w:t>
      </w:r>
      <w:r>
        <w:rPr>
          <w:rFonts w:ascii="Times New Roman" w:eastAsia="Times New Roman"/>
        </w:rPr>
        <w:t xml:space="preserve">350 </w:t>
      </w:r>
      <w:r>
        <w:t>号</w:t>
      </w:r>
      <w:r>
        <w:rPr>
          <w:spacing w:val="-104"/>
        </w:rPr>
        <w:t>）</w:t>
      </w:r>
      <w:r>
        <w:rPr>
          <w:spacing w:val="-30"/>
        </w:rPr>
        <w:t xml:space="preserve">表 </w:t>
      </w:r>
      <w:r>
        <w:rPr>
          <w:rFonts w:ascii="Times New Roman" w:eastAsia="Times New Roman"/>
        </w:rPr>
        <w:t>2.3</w:t>
      </w:r>
      <w:r>
        <w:rPr>
          <w:rFonts w:ascii="Times New Roman" w:eastAsia="Times New Roman"/>
          <w:spacing w:val="-1"/>
        </w:rPr>
        <w:t>VO</w:t>
      </w:r>
      <w:r>
        <w:rPr>
          <w:rFonts w:ascii="Times New Roman" w:eastAsia="Times New Roman"/>
          <w:spacing w:val="2"/>
        </w:rPr>
        <w:t>C</w:t>
      </w:r>
      <w:r>
        <w:rPr>
          <w:rFonts w:ascii="Times New Roman" w:eastAsia="Times New Roman"/>
        </w:rPr>
        <w:t>s</w:t>
      </w:r>
      <w:r>
        <w:rPr>
          <w:spacing w:val="-5"/>
        </w:rPr>
        <w:t>废气收集率和治理设施去除率通用系数，本项目活性炭及时更换的情况下，本次</w:t>
      </w:r>
      <w:r>
        <w:rPr>
          <w:spacing w:val="-7"/>
        </w:rPr>
        <w:t xml:space="preserve">单级活性炭吸附效率参照一次性活性炭吸附集中再生并活化的处理效率取 </w:t>
      </w:r>
      <w:r>
        <w:rPr>
          <w:rFonts w:ascii="Times New Roman" w:eastAsia="Times New Roman"/>
        </w:rPr>
        <w:t>50%</w:t>
      </w:r>
      <w:r>
        <w:t xml:space="preserve">， </w:t>
      </w:r>
      <w:r>
        <w:rPr>
          <w:spacing w:val="-6"/>
        </w:rPr>
        <w:t xml:space="preserve">则二级活性炭吸附效率取 </w:t>
      </w:r>
      <w:r>
        <w:rPr>
          <w:rFonts w:ascii="Times New Roman" w:eastAsia="Times New Roman"/>
        </w:rPr>
        <w:t>75%</w:t>
      </w:r>
      <w:r>
        <w:t>。</w:t>
      </w:r>
    </w:p>
    <w:p w14:paraId="76F14D39">
      <w:pPr>
        <w:pStyle w:val="10"/>
        <w:spacing w:line="364" w:lineRule="auto"/>
        <w:ind w:left="220" w:right="265" w:firstLine="480"/>
      </w:pPr>
      <w:r>
        <w:t>从环境最不利情况考虑，考虑挤出造粒、挤出注塑等工序同时进行的情况， 综上所述，本项目挤出造粒废气、挤出注塑废气污染物产生总量为颗粒物：</w:t>
      </w:r>
    </w:p>
    <w:p w14:paraId="5DEF6909">
      <w:pPr>
        <w:pStyle w:val="10"/>
        <w:spacing w:line="306" w:lineRule="exact"/>
        <w:ind w:left="220"/>
        <w:rPr>
          <w:rFonts w:ascii="Times New Roman" w:eastAsia="Times New Roman"/>
        </w:rPr>
      </w:pPr>
      <w:r>
        <w:rPr>
          <w:rFonts w:ascii="Times New Roman" w:eastAsia="Times New Roman"/>
        </w:rPr>
        <w:t>2.250t/</w:t>
      </w:r>
      <w:r>
        <w:rPr>
          <w:rFonts w:ascii="Times New Roman" w:eastAsia="Times New Roman"/>
          <w:spacing w:val="-107"/>
        </w:rPr>
        <w:t>a</w:t>
      </w:r>
      <w:r>
        <w:rPr>
          <w:spacing w:val="-3"/>
        </w:rPr>
        <w:t>（</w:t>
      </w:r>
      <w:r>
        <w:rPr>
          <w:spacing w:val="-8"/>
        </w:rPr>
        <w:t xml:space="preserve">最大产生速率为 </w:t>
      </w:r>
      <w:r>
        <w:rPr>
          <w:rFonts w:ascii="Times New Roman" w:eastAsia="Times New Roman"/>
        </w:rPr>
        <w:t>0.469k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06"/>
        </w:rPr>
        <w:t>）</w:t>
      </w:r>
      <w:r>
        <w:rPr>
          <w:spacing w:val="-32"/>
        </w:rPr>
        <w:t>、挥发性有机物</w:t>
      </w:r>
      <w:r>
        <w:t>（以非甲烷总烃计</w:t>
      </w:r>
      <w:r>
        <w:rPr>
          <w:spacing w:val="-108"/>
        </w:rPr>
        <w:t>）</w:t>
      </w:r>
      <w:r>
        <w:rPr>
          <w:spacing w:val="-106"/>
        </w:rPr>
        <w:t>：</w:t>
      </w:r>
      <w:r>
        <w:rPr>
          <w:rFonts w:ascii="Times New Roman" w:eastAsia="Times New Roman"/>
        </w:rPr>
        <w:t>16.750t/a</w:t>
      </w:r>
    </w:p>
    <w:p w14:paraId="412970F2">
      <w:pPr>
        <w:pStyle w:val="10"/>
        <w:spacing w:before="155"/>
        <w:ind w:left="220"/>
      </w:pPr>
      <w:r>
        <w:t>（</w:t>
      </w:r>
      <w:r>
        <w:rPr>
          <w:rFonts w:ascii="Times New Roman" w:eastAsia="Times New Roman"/>
        </w:rPr>
        <w:t>3.490kg/h</w:t>
      </w:r>
      <w:r>
        <w:t>），有组织收集量为颗粒物：</w:t>
      </w:r>
      <w:r>
        <w:rPr>
          <w:rFonts w:ascii="Times New Roman" w:eastAsia="Times New Roman"/>
        </w:rPr>
        <w:t>2.025t/a</w:t>
      </w:r>
      <w:r>
        <w:t xml:space="preserve">（最大速率为 </w:t>
      </w:r>
      <w:r>
        <w:rPr>
          <w:rFonts w:ascii="Times New Roman" w:eastAsia="Times New Roman"/>
        </w:rPr>
        <w:t>0.422kg/h</w:t>
      </w:r>
      <w:r>
        <w:t>，</w:t>
      </w:r>
    </w:p>
    <w:p w14:paraId="0D07ACC2">
      <w:pPr>
        <w:pStyle w:val="10"/>
        <w:spacing w:before="158"/>
        <w:ind w:left="220"/>
      </w:pPr>
      <w:r>
        <w:rPr>
          <w:rFonts w:ascii="Times New Roman" w:eastAsia="Times New Roman"/>
        </w:rPr>
        <w:t>28.1m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118"/>
        </w:rPr>
        <w:t>）</w:t>
      </w:r>
      <w:r>
        <w:rPr>
          <w:spacing w:val="-34"/>
        </w:rPr>
        <w:t>、挥发性有机物</w:t>
      </w:r>
      <w:r>
        <w:rPr>
          <w:spacing w:val="-3"/>
        </w:rPr>
        <w:t>（</w:t>
      </w:r>
      <w:r>
        <w:t>以非甲烷总烃计</w:t>
      </w:r>
      <w:r>
        <w:rPr>
          <w:spacing w:val="-118"/>
        </w:rPr>
        <w:t>）</w:t>
      </w:r>
      <w:r>
        <w:rPr>
          <w:spacing w:val="-120"/>
        </w:rPr>
        <w:t>：</w:t>
      </w:r>
      <w:r>
        <w:rPr>
          <w:rFonts w:ascii="Times New Roman" w:eastAsia="Times New Roman"/>
        </w:rPr>
        <w:t>15.075t</w:t>
      </w:r>
      <w:r>
        <w:rPr>
          <w:rFonts w:ascii="Times New Roman" w:eastAsia="Times New Roman"/>
          <w:spacing w:val="-12"/>
        </w:rPr>
        <w:t>/</w:t>
      </w:r>
      <w:r>
        <w:rPr>
          <w:spacing w:val="-229"/>
        </w:rPr>
        <w:t>（</w:t>
      </w:r>
      <w:r>
        <w:rPr>
          <w:rFonts w:ascii="Times New Roman" w:eastAsia="Times New Roman"/>
        </w:rPr>
        <w:t>a</w:t>
      </w:r>
      <w:r>
        <w:rPr>
          <w:rFonts w:ascii="Times New Roman" w:eastAsia="Times New Roman"/>
          <w:spacing w:val="-1"/>
        </w:rPr>
        <w:t xml:space="preserve">  </w:t>
      </w:r>
      <w:r>
        <w:rPr>
          <w:rFonts w:ascii="Times New Roman" w:eastAsia="Times New Roman"/>
        </w:rPr>
        <w:t>3.141k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20"/>
        </w:rPr>
        <w:t>，</w:t>
      </w:r>
      <w:r>
        <w:rPr>
          <w:rFonts w:ascii="Times New Roman" w:eastAsia="Times New Roman"/>
        </w:rPr>
        <w:t>209.4m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120"/>
        </w:rPr>
        <w:t>）</w:t>
      </w:r>
      <w:r>
        <w:t>，</w:t>
      </w:r>
    </w:p>
    <w:p w14:paraId="6311ADCA">
      <w:pPr>
        <w:pStyle w:val="10"/>
        <w:spacing w:before="160"/>
        <w:ind w:left="220"/>
        <w:rPr>
          <w:rFonts w:ascii="Times New Roman" w:eastAsia="Times New Roman"/>
        </w:rPr>
      </w:pPr>
      <w:r>
        <w:t>经布袋除尘器</w:t>
      </w:r>
      <w:r>
        <w:rPr>
          <w:rFonts w:ascii="Times New Roman" w:eastAsia="Times New Roman"/>
        </w:rPr>
        <w:t>+</w:t>
      </w:r>
      <w:r>
        <w:t>过滤棉</w:t>
      </w:r>
      <w:r>
        <w:rPr>
          <w:rFonts w:ascii="Times New Roman" w:eastAsia="Times New Roman"/>
        </w:rPr>
        <w:t>+</w:t>
      </w:r>
      <w:r>
        <w:t>二级活性炭吸附处理后有组织排放量为颗粒物：</w:t>
      </w:r>
      <w:r>
        <w:rPr>
          <w:rFonts w:ascii="Times New Roman" w:eastAsia="Times New Roman"/>
        </w:rPr>
        <w:t>0.020t/a</w:t>
      </w:r>
    </w:p>
    <w:p w14:paraId="402ABA60">
      <w:pPr>
        <w:pStyle w:val="10"/>
        <w:spacing w:before="158" w:line="364" w:lineRule="auto"/>
        <w:ind w:left="220" w:right="237"/>
        <w:jc w:val="both"/>
      </w:pPr>
      <w:r>
        <w:t>（</w:t>
      </w:r>
      <w:r>
        <w:rPr>
          <w:spacing w:val="-12"/>
        </w:rPr>
        <w:t xml:space="preserve">最大速率 </w:t>
      </w:r>
      <w:r>
        <w:rPr>
          <w:rFonts w:ascii="Times New Roman" w:eastAsia="Times New Roman"/>
        </w:rPr>
        <w:t>0.004k</w:t>
      </w:r>
      <w:r>
        <w:rPr>
          <w:rFonts w:ascii="Times New Roman" w:eastAsia="Times New Roman"/>
          <w:spacing w:val="-3"/>
        </w:rPr>
        <w:t>g</w:t>
      </w:r>
      <w:r>
        <w:rPr>
          <w:rFonts w:ascii="Times New Roman" w:eastAsia="Times New Roman"/>
        </w:rPr>
        <w:t>/h</w:t>
      </w:r>
      <w:r>
        <w:rPr>
          <w:spacing w:val="-77"/>
        </w:rPr>
        <w:t>）</w:t>
      </w:r>
      <w:r>
        <w:rPr>
          <w:spacing w:val="-24"/>
        </w:rPr>
        <w:t>、挥发性有机物</w:t>
      </w:r>
      <w:r>
        <w:t>（以非甲烷总烃计</w:t>
      </w:r>
      <w:r>
        <w:rPr>
          <w:spacing w:val="-77"/>
        </w:rPr>
        <w:t>）</w:t>
      </w:r>
      <w:r>
        <w:rPr>
          <w:spacing w:val="-80"/>
        </w:rPr>
        <w:t>：</w:t>
      </w:r>
      <w:r>
        <w:rPr>
          <w:rFonts w:ascii="Times New Roman" w:eastAsia="Times New Roman"/>
        </w:rPr>
        <w:t>3.769t/</w:t>
      </w:r>
      <w:r>
        <w:rPr>
          <w:rFonts w:ascii="Times New Roman" w:eastAsia="Times New Roman"/>
          <w:spacing w:val="-78"/>
        </w:rPr>
        <w:t>a</w:t>
      </w:r>
      <w:r>
        <w:t>（</w:t>
      </w:r>
      <w:r>
        <w:rPr>
          <w:rFonts w:ascii="Times New Roman" w:eastAsia="Times New Roman"/>
        </w:rPr>
        <w:t>0.785k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120"/>
        </w:rPr>
        <w:t>）</w:t>
      </w:r>
      <w:r>
        <w:t>，</w:t>
      </w:r>
      <w:r>
        <w:rPr>
          <w:spacing w:val="-9"/>
        </w:rPr>
        <w:t>排放浓度约为颗粒物：</w:t>
      </w:r>
      <w:r>
        <w:rPr>
          <w:rFonts w:ascii="Times New Roman" w:eastAsia="Times New Roman"/>
        </w:rPr>
        <w:t>0.27m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25"/>
        </w:rPr>
        <w:t>、挥发性有机物</w:t>
      </w:r>
      <w:r>
        <w:rPr>
          <w:spacing w:val="-3"/>
        </w:rPr>
        <w:t>（</w:t>
      </w:r>
      <w:r>
        <w:t>以非甲烷总烃计</w:t>
      </w:r>
      <w:r>
        <w:rPr>
          <w:spacing w:val="-82"/>
        </w:rPr>
        <w:t>）：</w:t>
      </w:r>
      <w:r>
        <w:rPr>
          <w:rFonts w:ascii="Times New Roman" w:eastAsia="Times New Roman"/>
        </w:rPr>
        <w:t>52.3m</w:t>
      </w:r>
      <w:r>
        <w:rPr>
          <w:rFonts w:ascii="Times New Roman" w:eastAsia="Times New Roman"/>
          <w:spacing w:val="-3"/>
        </w:rPr>
        <w:t>g</w:t>
      </w:r>
      <w:r>
        <w:rPr>
          <w:rFonts w:ascii="Times New Roman" w:eastAsia="Times New Roman"/>
        </w:rPr>
        <w:t>/m</w:t>
      </w:r>
      <w:r>
        <w:rPr>
          <w:rFonts w:ascii="Times New Roman" w:eastAsia="Times New Roman"/>
          <w:spacing w:val="0"/>
          <w:w w:val="104"/>
          <w:position w:val="8"/>
          <w:sz w:val="15"/>
        </w:rPr>
        <w:t>3</w:t>
      </w:r>
      <w:r>
        <w:t>；</w:t>
      </w:r>
      <w:r>
        <w:rPr>
          <w:spacing w:val="-4"/>
        </w:rPr>
        <w:t>未被收集到的颗粒物：</w:t>
      </w:r>
      <w:r>
        <w:rPr>
          <w:rFonts w:ascii="Times New Roman" w:eastAsia="Times New Roman"/>
        </w:rPr>
        <w:t>0.225t/</w:t>
      </w:r>
      <w:r>
        <w:rPr>
          <w:rFonts w:ascii="Times New Roman" w:eastAsia="Times New Roman"/>
          <w:spacing w:val="-33"/>
        </w:rPr>
        <w:t>a</w:t>
      </w:r>
      <w:r>
        <w:t>（</w:t>
      </w:r>
      <w:r>
        <w:rPr>
          <w:rFonts w:ascii="Times New Roman" w:eastAsia="Times New Roman"/>
        </w:rPr>
        <w:t>0.047k</w:t>
      </w:r>
      <w:r>
        <w:rPr>
          <w:rFonts w:ascii="Times New Roman" w:eastAsia="Times New Roman"/>
          <w:spacing w:val="-3"/>
        </w:rPr>
        <w:t>g</w:t>
      </w:r>
      <w:r>
        <w:rPr>
          <w:rFonts w:ascii="Times New Roman" w:eastAsia="Times New Roman"/>
        </w:rPr>
        <w:t>/</w:t>
      </w:r>
      <w:r>
        <w:rPr>
          <w:rFonts w:ascii="Times New Roman" w:eastAsia="Times New Roman"/>
          <w:spacing w:val="1"/>
        </w:rPr>
        <w:t>h</w:t>
      </w:r>
      <w:r>
        <w:rPr>
          <w:spacing w:val="-34"/>
        </w:rPr>
        <w:t>）</w:t>
      </w:r>
      <w:r>
        <w:rPr>
          <w:spacing w:val="-11"/>
        </w:rPr>
        <w:t>、挥发性有机物</w:t>
      </w:r>
      <w:r>
        <w:t>（</w:t>
      </w:r>
      <w:r>
        <w:rPr>
          <w:spacing w:val="-1"/>
        </w:rPr>
        <w:t>以非甲烷总烃计</w:t>
      </w:r>
      <w:r>
        <w:rPr>
          <w:spacing w:val="-120"/>
        </w:rPr>
        <w:t>）</w:t>
      </w:r>
      <w:r>
        <w:t>：</w:t>
      </w:r>
    </w:p>
    <w:p w14:paraId="5F13DC97">
      <w:pPr>
        <w:pStyle w:val="10"/>
        <w:spacing w:line="307" w:lineRule="exact"/>
        <w:ind w:left="220"/>
        <w:jc w:val="both"/>
      </w:pPr>
      <w:r>
        <w:rPr>
          <w:rFonts w:ascii="Times New Roman" w:eastAsia="Times New Roman"/>
        </w:rPr>
        <w:t>1.675t/a</w:t>
      </w:r>
      <w:r>
        <w:t>（</w:t>
      </w:r>
      <w:r>
        <w:rPr>
          <w:rFonts w:ascii="Times New Roman" w:eastAsia="Times New Roman"/>
        </w:rPr>
        <w:t>0.349kg/h</w:t>
      </w:r>
      <w:r>
        <w:t>），在车间内无组织排放。</w:t>
      </w:r>
    </w:p>
    <w:p w14:paraId="2F7234F8">
      <w:pPr>
        <w:pStyle w:val="10"/>
        <w:spacing w:before="7"/>
        <w:rPr>
          <w:sz w:val="18"/>
        </w:rPr>
      </w:pPr>
    </w:p>
    <w:p w14:paraId="05991AF9">
      <w:pPr>
        <w:pStyle w:val="10"/>
        <w:ind w:right="45"/>
        <w:jc w:val="center"/>
      </w:pPr>
      <w:r>
        <w:t>综合上述废气分析可知，本项目营运期内废气产排情况分析详见下表。</w:t>
      </w:r>
    </w:p>
    <w:p w14:paraId="3FF09923">
      <w:pPr>
        <w:spacing w:after="0"/>
        <w:jc w:val="center"/>
        <w:sectPr>
          <w:pgSz w:w="11910" w:h="16840"/>
          <w:pgMar w:top="1360" w:right="1440" w:bottom="1220" w:left="1580" w:header="0" w:footer="1024" w:gutter="0"/>
          <w:cols w:space="720" w:num="1"/>
        </w:sectPr>
      </w:pPr>
    </w:p>
    <w:p w14:paraId="7D2FB80C">
      <w:pPr>
        <w:pStyle w:val="10"/>
        <w:rPr>
          <w:sz w:val="20"/>
        </w:rPr>
      </w:pPr>
    </w:p>
    <w:p w14:paraId="2C61A93E">
      <w:pPr>
        <w:pStyle w:val="10"/>
        <w:rPr>
          <w:sz w:val="20"/>
        </w:rPr>
      </w:pPr>
    </w:p>
    <w:p w14:paraId="25C4C09B">
      <w:pPr>
        <w:pStyle w:val="10"/>
        <w:spacing w:before="2"/>
        <w:rPr>
          <w:sz w:val="15"/>
        </w:rPr>
      </w:pPr>
    </w:p>
    <w:p w14:paraId="49F99424">
      <w:pPr>
        <w:pStyle w:val="9"/>
        <w:spacing w:before="77"/>
        <w:ind w:left="4912" w:right="4914"/>
        <w:jc w:val="center"/>
      </w:pPr>
      <w:r>
        <w:rPr>
          <w:spacing w:val="-31"/>
        </w:rPr>
        <w:t xml:space="preserve">表 </w:t>
      </w:r>
      <w:r>
        <w:rPr>
          <w:rFonts w:ascii="Times New Roman" w:eastAsia="Times New Roman"/>
        </w:rPr>
        <w:t>2.4-1</w:t>
      </w:r>
      <w:r>
        <w:rPr>
          <w:rFonts w:ascii="Times New Roman" w:eastAsia="Times New Roman"/>
          <w:spacing w:val="58"/>
        </w:rPr>
        <w:t xml:space="preserve"> </w:t>
      </w:r>
      <w:r>
        <w:t>本项目营运期废气产排情况一览表</w:t>
      </w:r>
    </w:p>
    <w:p w14:paraId="201206A2">
      <w:pPr>
        <w:pStyle w:val="10"/>
        <w:spacing w:before="7"/>
        <w:rPr>
          <w:b/>
          <w:sz w:val="6"/>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498"/>
        <w:gridCol w:w="462"/>
        <w:gridCol w:w="799"/>
        <w:gridCol w:w="794"/>
        <w:gridCol w:w="750"/>
        <w:gridCol w:w="874"/>
        <w:gridCol w:w="758"/>
        <w:gridCol w:w="799"/>
        <w:gridCol w:w="2290"/>
        <w:gridCol w:w="772"/>
        <w:gridCol w:w="765"/>
        <w:gridCol w:w="891"/>
        <w:gridCol w:w="758"/>
        <w:gridCol w:w="703"/>
        <w:gridCol w:w="758"/>
        <w:gridCol w:w="703"/>
      </w:tblGrid>
      <w:tr w14:paraId="352D8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800" w:type="dxa"/>
            <w:vMerge w:val="restart"/>
            <w:tcBorders>
              <w:left w:val="nil"/>
            </w:tcBorders>
          </w:tcPr>
          <w:p w14:paraId="3F3309F2">
            <w:pPr>
              <w:pStyle w:val="17"/>
              <w:spacing w:before="2"/>
              <w:jc w:val="left"/>
              <w:rPr>
                <w:b/>
                <w:sz w:val="27"/>
              </w:rPr>
            </w:pPr>
          </w:p>
          <w:p w14:paraId="2F8A5B6A">
            <w:pPr>
              <w:pStyle w:val="17"/>
              <w:spacing w:line="283" w:lineRule="auto"/>
              <w:ind w:left="165" w:right="149" w:firstLine="28"/>
              <w:jc w:val="both"/>
              <w:rPr>
                <w:b/>
                <w:sz w:val="21"/>
              </w:rPr>
            </w:pPr>
            <w:r>
              <w:rPr>
                <w:b/>
                <w:sz w:val="21"/>
              </w:rPr>
              <w:t>污染</w:t>
            </w:r>
            <w:r>
              <w:rPr>
                <w:b/>
                <w:w w:val="95"/>
                <w:sz w:val="21"/>
              </w:rPr>
              <w:t>源</w:t>
            </w:r>
            <w:r>
              <w:rPr>
                <w:rFonts w:ascii="Times New Roman" w:eastAsia="Times New Roman"/>
                <w:b/>
                <w:w w:val="95"/>
                <w:sz w:val="21"/>
              </w:rPr>
              <w:t>/</w:t>
            </w:r>
            <w:r>
              <w:rPr>
                <w:b/>
                <w:w w:val="95"/>
                <w:sz w:val="21"/>
              </w:rPr>
              <w:t>产</w:t>
            </w:r>
            <w:r>
              <w:rPr>
                <w:b/>
                <w:sz w:val="21"/>
              </w:rPr>
              <w:t>污工序</w:t>
            </w:r>
          </w:p>
        </w:tc>
        <w:tc>
          <w:tcPr>
            <w:tcW w:w="498" w:type="dxa"/>
            <w:vMerge w:val="restart"/>
          </w:tcPr>
          <w:p w14:paraId="2240011D">
            <w:pPr>
              <w:pStyle w:val="17"/>
              <w:jc w:val="left"/>
              <w:rPr>
                <w:b/>
                <w:sz w:val="20"/>
              </w:rPr>
            </w:pPr>
          </w:p>
          <w:p w14:paraId="33A40D77">
            <w:pPr>
              <w:pStyle w:val="17"/>
              <w:spacing w:before="6"/>
              <w:jc w:val="left"/>
              <w:rPr>
                <w:b/>
                <w:sz w:val="19"/>
              </w:rPr>
            </w:pPr>
          </w:p>
          <w:p w14:paraId="21E7BBC7">
            <w:pPr>
              <w:pStyle w:val="17"/>
              <w:spacing w:line="285" w:lineRule="auto"/>
              <w:ind w:left="142" w:right="134"/>
              <w:jc w:val="both"/>
              <w:rPr>
                <w:b/>
                <w:sz w:val="21"/>
              </w:rPr>
            </w:pPr>
            <w:r>
              <w:rPr>
                <w:b/>
                <w:sz w:val="21"/>
              </w:rPr>
              <w:t>污染物</w:t>
            </w:r>
          </w:p>
        </w:tc>
        <w:tc>
          <w:tcPr>
            <w:tcW w:w="2055" w:type="dxa"/>
            <w:gridSpan w:val="3"/>
          </w:tcPr>
          <w:p w14:paraId="55AB99EE">
            <w:pPr>
              <w:pStyle w:val="17"/>
              <w:spacing w:before="3"/>
              <w:jc w:val="left"/>
              <w:rPr>
                <w:b/>
                <w:sz w:val="14"/>
              </w:rPr>
            </w:pPr>
          </w:p>
          <w:p w14:paraId="63B3B14E">
            <w:pPr>
              <w:pStyle w:val="17"/>
              <w:ind w:left="604"/>
              <w:jc w:val="left"/>
              <w:rPr>
                <w:b/>
                <w:sz w:val="21"/>
              </w:rPr>
            </w:pPr>
            <w:r>
              <w:rPr>
                <w:b/>
                <w:sz w:val="21"/>
              </w:rPr>
              <w:t>产生情况</w:t>
            </w:r>
          </w:p>
        </w:tc>
        <w:tc>
          <w:tcPr>
            <w:tcW w:w="3181" w:type="dxa"/>
            <w:gridSpan w:val="4"/>
          </w:tcPr>
          <w:p w14:paraId="5A85A016">
            <w:pPr>
              <w:pStyle w:val="17"/>
              <w:spacing w:before="3"/>
              <w:jc w:val="left"/>
              <w:rPr>
                <w:b/>
                <w:sz w:val="14"/>
              </w:rPr>
            </w:pPr>
          </w:p>
          <w:p w14:paraId="49CD9B94">
            <w:pPr>
              <w:pStyle w:val="17"/>
              <w:ind w:left="851"/>
              <w:jc w:val="left"/>
              <w:rPr>
                <w:b/>
                <w:sz w:val="21"/>
              </w:rPr>
            </w:pPr>
            <w:r>
              <w:rPr>
                <w:b/>
                <w:sz w:val="21"/>
              </w:rPr>
              <w:t>有组织收集情况</w:t>
            </w:r>
          </w:p>
        </w:tc>
        <w:tc>
          <w:tcPr>
            <w:tcW w:w="3827" w:type="dxa"/>
            <w:gridSpan w:val="3"/>
          </w:tcPr>
          <w:p w14:paraId="09816AAA">
            <w:pPr>
              <w:pStyle w:val="17"/>
              <w:spacing w:before="3"/>
              <w:jc w:val="left"/>
              <w:rPr>
                <w:b/>
                <w:sz w:val="14"/>
              </w:rPr>
            </w:pPr>
          </w:p>
          <w:p w14:paraId="10DE09F0">
            <w:pPr>
              <w:pStyle w:val="17"/>
              <w:ind w:left="1470" w:right="1462"/>
              <w:rPr>
                <w:b/>
                <w:sz w:val="21"/>
              </w:rPr>
            </w:pPr>
            <w:r>
              <w:rPr>
                <w:b/>
                <w:sz w:val="21"/>
              </w:rPr>
              <w:t>治理措施</w:t>
            </w:r>
          </w:p>
        </w:tc>
        <w:tc>
          <w:tcPr>
            <w:tcW w:w="2352" w:type="dxa"/>
            <w:gridSpan w:val="3"/>
          </w:tcPr>
          <w:p w14:paraId="36F36791">
            <w:pPr>
              <w:pStyle w:val="17"/>
              <w:spacing w:before="3"/>
              <w:jc w:val="left"/>
              <w:rPr>
                <w:b/>
                <w:sz w:val="14"/>
              </w:rPr>
            </w:pPr>
          </w:p>
          <w:p w14:paraId="122EC41E">
            <w:pPr>
              <w:pStyle w:val="17"/>
              <w:ind w:left="438"/>
              <w:jc w:val="left"/>
              <w:rPr>
                <w:b/>
                <w:sz w:val="21"/>
              </w:rPr>
            </w:pPr>
            <w:r>
              <w:rPr>
                <w:b/>
                <w:sz w:val="21"/>
              </w:rPr>
              <w:t>有组织排放情况</w:t>
            </w:r>
          </w:p>
        </w:tc>
        <w:tc>
          <w:tcPr>
            <w:tcW w:w="1461" w:type="dxa"/>
            <w:gridSpan w:val="2"/>
            <w:tcBorders>
              <w:right w:val="nil"/>
            </w:tcBorders>
          </w:tcPr>
          <w:p w14:paraId="6AB92D17">
            <w:pPr>
              <w:pStyle w:val="17"/>
              <w:spacing w:before="24"/>
              <w:ind w:left="181" w:right="179"/>
              <w:rPr>
                <w:b/>
                <w:sz w:val="21"/>
              </w:rPr>
            </w:pPr>
            <w:r>
              <w:rPr>
                <w:b/>
                <w:sz w:val="21"/>
              </w:rPr>
              <w:t>无组织排放</w:t>
            </w:r>
          </w:p>
          <w:p w14:paraId="1B0FA3FD">
            <w:pPr>
              <w:pStyle w:val="17"/>
              <w:spacing w:before="50"/>
              <w:ind w:left="179" w:right="179"/>
              <w:rPr>
                <w:b/>
                <w:sz w:val="21"/>
              </w:rPr>
            </w:pPr>
            <w:r>
              <w:rPr>
                <w:b/>
                <w:sz w:val="21"/>
              </w:rPr>
              <w:t>情况</w:t>
            </w:r>
          </w:p>
        </w:tc>
      </w:tr>
      <w:tr w14:paraId="60394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800" w:type="dxa"/>
            <w:vMerge w:val="continue"/>
            <w:tcBorders>
              <w:top w:val="nil"/>
              <w:left w:val="nil"/>
            </w:tcBorders>
          </w:tcPr>
          <w:p w14:paraId="631A03B6">
            <w:pPr>
              <w:rPr>
                <w:sz w:val="2"/>
                <w:szCs w:val="2"/>
              </w:rPr>
            </w:pPr>
          </w:p>
        </w:tc>
        <w:tc>
          <w:tcPr>
            <w:tcW w:w="498" w:type="dxa"/>
            <w:vMerge w:val="continue"/>
            <w:tcBorders>
              <w:top w:val="nil"/>
            </w:tcBorders>
          </w:tcPr>
          <w:p w14:paraId="4ECC1C89">
            <w:pPr>
              <w:rPr>
                <w:sz w:val="2"/>
                <w:szCs w:val="2"/>
              </w:rPr>
            </w:pPr>
          </w:p>
        </w:tc>
        <w:tc>
          <w:tcPr>
            <w:tcW w:w="462" w:type="dxa"/>
          </w:tcPr>
          <w:p w14:paraId="1F3EA033">
            <w:pPr>
              <w:pStyle w:val="17"/>
              <w:spacing w:before="24" w:line="283" w:lineRule="auto"/>
              <w:ind w:left="124" w:right="116"/>
              <w:jc w:val="both"/>
              <w:rPr>
                <w:b/>
                <w:sz w:val="21"/>
              </w:rPr>
            </w:pPr>
            <w:r>
              <w:rPr>
                <w:b/>
                <w:sz w:val="21"/>
              </w:rPr>
              <w:t>核算方</w:t>
            </w:r>
          </w:p>
          <w:p w14:paraId="4A2B2230">
            <w:pPr>
              <w:pStyle w:val="17"/>
              <w:spacing w:before="2"/>
              <w:ind w:left="124"/>
              <w:jc w:val="both"/>
              <w:rPr>
                <w:b/>
                <w:sz w:val="21"/>
              </w:rPr>
            </w:pPr>
            <w:r>
              <w:rPr>
                <w:b/>
                <w:w w:val="99"/>
                <w:sz w:val="21"/>
              </w:rPr>
              <w:t>法</w:t>
            </w:r>
          </w:p>
        </w:tc>
        <w:tc>
          <w:tcPr>
            <w:tcW w:w="799" w:type="dxa"/>
          </w:tcPr>
          <w:p w14:paraId="51FC030B">
            <w:pPr>
              <w:pStyle w:val="17"/>
              <w:spacing w:before="182" w:line="290" w:lineRule="auto"/>
              <w:ind w:left="282" w:right="178" w:hanging="94"/>
              <w:jc w:val="left"/>
              <w:rPr>
                <w:rFonts w:ascii="Times New Roman" w:eastAsia="Times New Roman"/>
                <w:b/>
                <w:sz w:val="21"/>
              </w:rPr>
            </w:pPr>
            <w:r>
              <w:rPr>
                <w:b/>
                <w:sz w:val="21"/>
              </w:rPr>
              <w:t>产生量</w:t>
            </w:r>
            <w:r>
              <w:rPr>
                <w:rFonts w:ascii="Times New Roman" w:eastAsia="Times New Roman"/>
                <w:b/>
                <w:sz w:val="21"/>
              </w:rPr>
              <w:t>t/a</w:t>
            </w:r>
          </w:p>
        </w:tc>
        <w:tc>
          <w:tcPr>
            <w:tcW w:w="794" w:type="dxa"/>
          </w:tcPr>
          <w:p w14:paraId="24710020">
            <w:pPr>
              <w:pStyle w:val="17"/>
              <w:spacing w:before="24" w:line="283" w:lineRule="auto"/>
              <w:ind w:left="186" w:right="175"/>
              <w:jc w:val="both"/>
              <w:rPr>
                <w:b/>
                <w:sz w:val="21"/>
              </w:rPr>
            </w:pPr>
            <w:r>
              <w:rPr>
                <w:b/>
                <w:sz w:val="21"/>
              </w:rPr>
              <w:t>最大产生</w:t>
            </w:r>
            <w:r>
              <w:rPr>
                <w:b/>
                <w:w w:val="95"/>
                <w:sz w:val="21"/>
              </w:rPr>
              <w:t>速率</w:t>
            </w:r>
          </w:p>
          <w:p w14:paraId="7C0B732F">
            <w:pPr>
              <w:pStyle w:val="17"/>
              <w:spacing w:before="16"/>
              <w:ind w:left="198"/>
              <w:jc w:val="both"/>
              <w:rPr>
                <w:rFonts w:ascii="Times New Roman"/>
                <w:b/>
                <w:sz w:val="21"/>
              </w:rPr>
            </w:pPr>
            <w:r>
              <w:rPr>
                <w:rFonts w:ascii="Times New Roman"/>
                <w:b/>
                <w:sz w:val="21"/>
              </w:rPr>
              <w:t>kg/h</w:t>
            </w:r>
          </w:p>
        </w:tc>
        <w:tc>
          <w:tcPr>
            <w:tcW w:w="750" w:type="dxa"/>
          </w:tcPr>
          <w:p w14:paraId="652F526D">
            <w:pPr>
              <w:pStyle w:val="17"/>
              <w:spacing w:before="182" w:line="290" w:lineRule="auto"/>
              <w:ind w:left="162" w:right="155"/>
              <w:rPr>
                <w:rFonts w:ascii="Times New Roman" w:eastAsia="Times New Roman"/>
                <w:sz w:val="21"/>
              </w:rPr>
            </w:pPr>
            <w:r>
              <w:rPr>
                <w:b/>
                <w:w w:val="95"/>
                <w:sz w:val="21"/>
              </w:rPr>
              <w:t>废气</w:t>
            </w:r>
            <w:r>
              <w:rPr>
                <w:b/>
                <w:sz w:val="21"/>
              </w:rPr>
              <w:t>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874" w:type="dxa"/>
          </w:tcPr>
          <w:p w14:paraId="1BFF7FDB">
            <w:pPr>
              <w:pStyle w:val="17"/>
              <w:spacing w:before="182" w:line="290" w:lineRule="auto"/>
              <w:ind w:left="120" w:right="112"/>
              <w:rPr>
                <w:rFonts w:ascii="Times New Roman" w:eastAsia="Times New Roman"/>
                <w:b/>
                <w:sz w:val="13"/>
              </w:rPr>
            </w:pPr>
            <w:r>
              <w:rPr>
                <w:b/>
                <w:w w:val="95"/>
                <w:sz w:val="21"/>
              </w:rPr>
              <w:t>产生浓</w:t>
            </w:r>
            <w:r>
              <w:rPr>
                <w:b/>
                <w:sz w:val="21"/>
              </w:rPr>
              <w:t xml:space="preserve">度 </w:t>
            </w:r>
            <w:r>
              <w:rPr>
                <w:rFonts w:ascii="Times New Roman" w:eastAsia="Times New Roman"/>
                <w:b/>
                <w:sz w:val="21"/>
              </w:rPr>
              <w:t>mg/m</w:t>
            </w:r>
            <w:r>
              <w:rPr>
                <w:rFonts w:ascii="Times New Roman" w:eastAsia="Times New Roman"/>
                <w:b/>
                <w:position w:val="7"/>
                <w:sz w:val="13"/>
              </w:rPr>
              <w:t>3</w:t>
            </w:r>
          </w:p>
        </w:tc>
        <w:tc>
          <w:tcPr>
            <w:tcW w:w="758" w:type="dxa"/>
          </w:tcPr>
          <w:p w14:paraId="4655A90F">
            <w:pPr>
              <w:pStyle w:val="17"/>
              <w:spacing w:before="182" w:line="290" w:lineRule="auto"/>
              <w:ind w:left="168" w:right="157"/>
              <w:jc w:val="both"/>
              <w:rPr>
                <w:rFonts w:ascii="Times New Roman" w:eastAsia="Times New Roman"/>
                <w:b/>
                <w:sz w:val="21"/>
              </w:rPr>
            </w:pPr>
            <w:r>
              <w:rPr>
                <w:b/>
                <w:sz w:val="21"/>
              </w:rPr>
              <w:t>产生</w:t>
            </w:r>
            <w:r>
              <w:rPr>
                <w:b/>
                <w:w w:val="95"/>
                <w:sz w:val="21"/>
              </w:rPr>
              <w:t>速率</w:t>
            </w:r>
            <w:r>
              <w:rPr>
                <w:rFonts w:ascii="Times New Roman" w:eastAsia="Times New Roman"/>
                <w:b/>
                <w:sz w:val="21"/>
              </w:rPr>
              <w:t>kg/h</w:t>
            </w:r>
          </w:p>
        </w:tc>
        <w:tc>
          <w:tcPr>
            <w:tcW w:w="799" w:type="dxa"/>
          </w:tcPr>
          <w:p w14:paraId="3E8708D3">
            <w:pPr>
              <w:pStyle w:val="17"/>
              <w:spacing w:before="182" w:line="290" w:lineRule="auto"/>
              <w:ind w:left="281" w:right="178" w:hanging="94"/>
              <w:jc w:val="left"/>
              <w:rPr>
                <w:rFonts w:ascii="Times New Roman" w:eastAsia="Times New Roman"/>
                <w:b/>
                <w:sz w:val="21"/>
              </w:rPr>
            </w:pPr>
            <w:r>
              <w:rPr>
                <w:b/>
                <w:sz w:val="21"/>
              </w:rPr>
              <w:t>产生量</w:t>
            </w:r>
            <w:r>
              <w:rPr>
                <w:rFonts w:ascii="Times New Roman" w:eastAsia="Times New Roman"/>
                <w:b/>
                <w:sz w:val="21"/>
              </w:rPr>
              <w:t>t/a</w:t>
            </w:r>
          </w:p>
        </w:tc>
        <w:tc>
          <w:tcPr>
            <w:tcW w:w="2290" w:type="dxa"/>
          </w:tcPr>
          <w:p w14:paraId="17B9CDF7">
            <w:pPr>
              <w:pStyle w:val="17"/>
              <w:jc w:val="left"/>
              <w:rPr>
                <w:b/>
                <w:sz w:val="20"/>
              </w:rPr>
            </w:pPr>
          </w:p>
          <w:p w14:paraId="0667C21E">
            <w:pPr>
              <w:pStyle w:val="17"/>
              <w:spacing w:before="1"/>
              <w:jc w:val="left"/>
              <w:rPr>
                <w:b/>
                <w:sz w:val="19"/>
              </w:rPr>
            </w:pPr>
          </w:p>
          <w:p w14:paraId="28C97295">
            <w:pPr>
              <w:pStyle w:val="17"/>
              <w:spacing w:before="1"/>
              <w:ind w:left="723"/>
              <w:jc w:val="left"/>
              <w:rPr>
                <w:b/>
                <w:sz w:val="21"/>
              </w:rPr>
            </w:pPr>
            <w:r>
              <w:rPr>
                <w:b/>
                <w:sz w:val="21"/>
              </w:rPr>
              <w:t>治理措施</w:t>
            </w:r>
          </w:p>
        </w:tc>
        <w:tc>
          <w:tcPr>
            <w:tcW w:w="772" w:type="dxa"/>
          </w:tcPr>
          <w:p w14:paraId="61B4E101">
            <w:pPr>
              <w:pStyle w:val="17"/>
              <w:spacing w:before="10"/>
              <w:jc w:val="left"/>
              <w:rPr>
                <w:b/>
                <w:sz w:val="26"/>
              </w:rPr>
            </w:pPr>
          </w:p>
          <w:p w14:paraId="478BF8E1">
            <w:pPr>
              <w:pStyle w:val="17"/>
              <w:spacing w:line="283" w:lineRule="auto"/>
              <w:ind w:left="175" w:right="164"/>
              <w:jc w:val="left"/>
              <w:rPr>
                <w:b/>
                <w:sz w:val="21"/>
              </w:rPr>
            </w:pPr>
            <w:r>
              <w:rPr>
                <w:b/>
                <w:sz w:val="21"/>
              </w:rPr>
              <w:t>收集效率</w:t>
            </w:r>
          </w:p>
        </w:tc>
        <w:tc>
          <w:tcPr>
            <w:tcW w:w="765" w:type="dxa"/>
          </w:tcPr>
          <w:p w14:paraId="78AA2473">
            <w:pPr>
              <w:pStyle w:val="17"/>
              <w:spacing w:before="10"/>
              <w:jc w:val="left"/>
              <w:rPr>
                <w:b/>
                <w:sz w:val="26"/>
              </w:rPr>
            </w:pPr>
          </w:p>
          <w:p w14:paraId="7D72D3EE">
            <w:pPr>
              <w:pStyle w:val="17"/>
              <w:spacing w:line="283" w:lineRule="auto"/>
              <w:ind w:left="171" w:right="161"/>
              <w:jc w:val="left"/>
              <w:rPr>
                <w:b/>
                <w:sz w:val="21"/>
              </w:rPr>
            </w:pPr>
            <w:r>
              <w:rPr>
                <w:b/>
                <w:sz w:val="21"/>
              </w:rPr>
              <w:t>处理效率</w:t>
            </w:r>
          </w:p>
        </w:tc>
        <w:tc>
          <w:tcPr>
            <w:tcW w:w="891" w:type="dxa"/>
          </w:tcPr>
          <w:p w14:paraId="42DBA08E">
            <w:pPr>
              <w:pStyle w:val="17"/>
              <w:spacing w:before="182" w:line="290" w:lineRule="auto"/>
              <w:ind w:left="129" w:right="118"/>
              <w:rPr>
                <w:rFonts w:ascii="Times New Roman" w:eastAsia="Times New Roman"/>
                <w:b/>
                <w:sz w:val="13"/>
              </w:rPr>
            </w:pPr>
            <w:r>
              <w:rPr>
                <w:b/>
                <w:w w:val="95"/>
                <w:sz w:val="21"/>
              </w:rPr>
              <w:t>排放浓</w:t>
            </w:r>
            <w:r>
              <w:rPr>
                <w:b/>
                <w:sz w:val="21"/>
              </w:rPr>
              <w:t xml:space="preserve">度 </w:t>
            </w:r>
            <w:r>
              <w:rPr>
                <w:rFonts w:ascii="Times New Roman" w:eastAsia="Times New Roman"/>
                <w:b/>
                <w:sz w:val="21"/>
              </w:rPr>
              <w:t>mg/m</w:t>
            </w:r>
            <w:r>
              <w:rPr>
                <w:rFonts w:ascii="Times New Roman" w:eastAsia="Times New Roman"/>
                <w:b/>
                <w:position w:val="7"/>
                <w:sz w:val="13"/>
              </w:rPr>
              <w:t>3</w:t>
            </w:r>
          </w:p>
        </w:tc>
        <w:tc>
          <w:tcPr>
            <w:tcW w:w="758" w:type="dxa"/>
          </w:tcPr>
          <w:p w14:paraId="683E0144">
            <w:pPr>
              <w:pStyle w:val="17"/>
              <w:spacing w:before="182" w:line="290" w:lineRule="auto"/>
              <w:ind w:left="166" w:right="158"/>
              <w:jc w:val="both"/>
              <w:rPr>
                <w:rFonts w:ascii="Times New Roman" w:eastAsia="Times New Roman"/>
                <w:b/>
                <w:sz w:val="21"/>
              </w:rPr>
            </w:pPr>
            <w:r>
              <w:rPr>
                <w:b/>
                <w:sz w:val="21"/>
              </w:rPr>
              <w:t>排放速率</w:t>
            </w:r>
            <w:r>
              <w:rPr>
                <w:rFonts w:ascii="Times New Roman" w:eastAsia="Times New Roman"/>
                <w:b/>
                <w:sz w:val="21"/>
              </w:rPr>
              <w:t>kg/h</w:t>
            </w:r>
          </w:p>
        </w:tc>
        <w:tc>
          <w:tcPr>
            <w:tcW w:w="703" w:type="dxa"/>
          </w:tcPr>
          <w:p w14:paraId="67C67971">
            <w:pPr>
              <w:pStyle w:val="17"/>
              <w:spacing w:before="182" w:line="290" w:lineRule="auto"/>
              <w:ind w:left="234" w:right="132" w:hanging="96"/>
              <w:jc w:val="left"/>
              <w:rPr>
                <w:rFonts w:ascii="Times New Roman" w:eastAsia="Times New Roman"/>
                <w:b/>
                <w:sz w:val="21"/>
              </w:rPr>
            </w:pPr>
            <w:r>
              <w:rPr>
                <w:b/>
                <w:sz w:val="21"/>
              </w:rPr>
              <w:t>排放量</w:t>
            </w:r>
            <w:r>
              <w:rPr>
                <w:rFonts w:ascii="Times New Roman" w:eastAsia="Times New Roman"/>
                <w:b/>
                <w:sz w:val="21"/>
              </w:rPr>
              <w:t>t/a</w:t>
            </w:r>
          </w:p>
        </w:tc>
        <w:tc>
          <w:tcPr>
            <w:tcW w:w="758" w:type="dxa"/>
          </w:tcPr>
          <w:p w14:paraId="44F7F21D">
            <w:pPr>
              <w:pStyle w:val="17"/>
              <w:spacing w:before="182" w:line="290" w:lineRule="auto"/>
              <w:ind w:left="167" w:right="158"/>
              <w:jc w:val="both"/>
              <w:rPr>
                <w:rFonts w:ascii="Times New Roman" w:eastAsia="Times New Roman"/>
                <w:b/>
                <w:sz w:val="21"/>
              </w:rPr>
            </w:pPr>
            <w:r>
              <w:rPr>
                <w:b/>
                <w:sz w:val="21"/>
              </w:rPr>
              <w:t>排放速率</w:t>
            </w:r>
            <w:r>
              <w:rPr>
                <w:b/>
                <w:w w:val="99"/>
                <w:sz w:val="21"/>
              </w:rPr>
              <w:t xml:space="preserve"> </w:t>
            </w:r>
            <w:r>
              <w:rPr>
                <w:rFonts w:ascii="Times New Roman" w:eastAsia="Times New Roman"/>
                <w:b/>
                <w:sz w:val="21"/>
              </w:rPr>
              <w:t>kg/h</w:t>
            </w:r>
          </w:p>
        </w:tc>
        <w:tc>
          <w:tcPr>
            <w:tcW w:w="703" w:type="dxa"/>
            <w:tcBorders>
              <w:right w:val="nil"/>
            </w:tcBorders>
          </w:tcPr>
          <w:p w14:paraId="5383AA7A">
            <w:pPr>
              <w:pStyle w:val="17"/>
              <w:spacing w:before="182" w:line="290" w:lineRule="auto"/>
              <w:ind w:left="235" w:right="136" w:hanging="96"/>
              <w:jc w:val="left"/>
              <w:rPr>
                <w:rFonts w:ascii="Times New Roman" w:eastAsia="Times New Roman"/>
                <w:b/>
                <w:sz w:val="21"/>
              </w:rPr>
            </w:pPr>
            <w:r>
              <w:rPr>
                <w:b/>
                <w:sz w:val="21"/>
              </w:rPr>
              <w:t>排放量</w:t>
            </w:r>
            <w:r>
              <w:rPr>
                <w:rFonts w:ascii="Times New Roman" w:eastAsia="Times New Roman"/>
                <w:b/>
                <w:sz w:val="21"/>
              </w:rPr>
              <w:t>t/a</w:t>
            </w:r>
          </w:p>
        </w:tc>
      </w:tr>
      <w:tr w14:paraId="3D0B3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800" w:type="dxa"/>
            <w:tcBorders>
              <w:left w:val="nil"/>
            </w:tcBorders>
          </w:tcPr>
          <w:p w14:paraId="5EE1FED5">
            <w:pPr>
              <w:pStyle w:val="17"/>
              <w:spacing w:before="22" w:line="285" w:lineRule="auto"/>
              <w:ind w:left="194" w:right="51" w:hanging="82"/>
              <w:jc w:val="left"/>
              <w:rPr>
                <w:sz w:val="21"/>
              </w:rPr>
            </w:pPr>
            <w:r>
              <w:rPr>
                <w:sz w:val="21"/>
              </w:rPr>
              <w:t>破碎、投料</w:t>
            </w:r>
            <w:r>
              <w:rPr>
                <w:w w:val="95"/>
                <w:sz w:val="21"/>
              </w:rPr>
              <w:t>混料</w:t>
            </w:r>
          </w:p>
          <w:p w14:paraId="1052AD32">
            <w:pPr>
              <w:pStyle w:val="17"/>
              <w:spacing w:line="266" w:lineRule="exact"/>
              <w:ind w:left="194"/>
              <w:jc w:val="left"/>
              <w:rPr>
                <w:sz w:val="21"/>
              </w:rPr>
            </w:pPr>
            <w:r>
              <w:rPr>
                <w:w w:val="95"/>
                <w:sz w:val="21"/>
              </w:rPr>
              <w:t>粉尘</w:t>
            </w:r>
          </w:p>
        </w:tc>
        <w:tc>
          <w:tcPr>
            <w:tcW w:w="498" w:type="dxa"/>
          </w:tcPr>
          <w:p w14:paraId="0430515B">
            <w:pPr>
              <w:pStyle w:val="17"/>
              <w:spacing w:before="3"/>
              <w:jc w:val="left"/>
              <w:rPr>
                <w:b/>
                <w:sz w:val="14"/>
              </w:rPr>
            </w:pPr>
          </w:p>
          <w:p w14:paraId="1F676341">
            <w:pPr>
              <w:pStyle w:val="17"/>
              <w:spacing w:line="285" w:lineRule="auto"/>
              <w:ind w:left="142" w:right="134"/>
              <w:jc w:val="both"/>
              <w:rPr>
                <w:sz w:val="21"/>
              </w:rPr>
            </w:pPr>
            <w:r>
              <w:rPr>
                <w:sz w:val="21"/>
              </w:rPr>
              <w:t>颗粒物</w:t>
            </w:r>
          </w:p>
        </w:tc>
        <w:tc>
          <w:tcPr>
            <w:tcW w:w="462" w:type="dxa"/>
          </w:tcPr>
          <w:p w14:paraId="46AF2FFF">
            <w:pPr>
              <w:pStyle w:val="17"/>
              <w:spacing w:before="3"/>
              <w:jc w:val="left"/>
              <w:rPr>
                <w:b/>
                <w:sz w:val="14"/>
              </w:rPr>
            </w:pPr>
          </w:p>
          <w:p w14:paraId="5095AF8B">
            <w:pPr>
              <w:pStyle w:val="17"/>
              <w:spacing w:line="285" w:lineRule="auto"/>
              <w:ind w:left="124" w:right="116"/>
              <w:jc w:val="both"/>
              <w:rPr>
                <w:sz w:val="21"/>
              </w:rPr>
            </w:pPr>
            <w:r>
              <w:rPr>
                <w:sz w:val="21"/>
              </w:rPr>
              <w:t>系数法</w:t>
            </w:r>
          </w:p>
        </w:tc>
        <w:tc>
          <w:tcPr>
            <w:tcW w:w="799" w:type="dxa"/>
          </w:tcPr>
          <w:p w14:paraId="235BB2F1">
            <w:pPr>
              <w:pStyle w:val="17"/>
              <w:jc w:val="left"/>
              <w:rPr>
                <w:b/>
                <w:sz w:val="22"/>
              </w:rPr>
            </w:pPr>
          </w:p>
          <w:p w14:paraId="64EAE7FE">
            <w:pPr>
              <w:pStyle w:val="17"/>
              <w:spacing w:before="3"/>
              <w:jc w:val="left"/>
              <w:rPr>
                <w:b/>
                <w:sz w:val="18"/>
              </w:rPr>
            </w:pPr>
          </w:p>
          <w:p w14:paraId="09EE8C2A">
            <w:pPr>
              <w:pStyle w:val="17"/>
              <w:ind w:left="88" w:right="79"/>
              <w:rPr>
                <w:rFonts w:ascii="Times New Roman"/>
                <w:sz w:val="21"/>
              </w:rPr>
            </w:pPr>
            <w:r>
              <w:rPr>
                <w:rFonts w:ascii="Times New Roman"/>
                <w:sz w:val="21"/>
              </w:rPr>
              <w:t>0.416</w:t>
            </w:r>
          </w:p>
        </w:tc>
        <w:tc>
          <w:tcPr>
            <w:tcW w:w="794" w:type="dxa"/>
          </w:tcPr>
          <w:p w14:paraId="0A89B652">
            <w:pPr>
              <w:pStyle w:val="17"/>
              <w:jc w:val="left"/>
              <w:rPr>
                <w:b/>
                <w:sz w:val="22"/>
              </w:rPr>
            </w:pPr>
          </w:p>
          <w:p w14:paraId="22116F3A">
            <w:pPr>
              <w:pStyle w:val="17"/>
              <w:spacing w:before="3"/>
              <w:jc w:val="left"/>
              <w:rPr>
                <w:b/>
                <w:sz w:val="18"/>
              </w:rPr>
            </w:pPr>
          </w:p>
          <w:p w14:paraId="26F8EEFA">
            <w:pPr>
              <w:pStyle w:val="17"/>
              <w:ind w:left="140" w:right="130"/>
              <w:rPr>
                <w:rFonts w:ascii="Times New Roman"/>
                <w:sz w:val="21"/>
              </w:rPr>
            </w:pPr>
            <w:r>
              <w:rPr>
                <w:rFonts w:ascii="Times New Roman"/>
                <w:sz w:val="21"/>
              </w:rPr>
              <w:t>0.347</w:t>
            </w:r>
          </w:p>
        </w:tc>
        <w:tc>
          <w:tcPr>
            <w:tcW w:w="750" w:type="dxa"/>
          </w:tcPr>
          <w:p w14:paraId="7EEDABE0">
            <w:pPr>
              <w:pStyle w:val="17"/>
              <w:jc w:val="left"/>
              <w:rPr>
                <w:b/>
                <w:sz w:val="22"/>
              </w:rPr>
            </w:pPr>
          </w:p>
          <w:p w14:paraId="65BC9952">
            <w:pPr>
              <w:pStyle w:val="17"/>
              <w:spacing w:before="3"/>
              <w:jc w:val="left"/>
              <w:rPr>
                <w:b/>
                <w:sz w:val="18"/>
              </w:rPr>
            </w:pPr>
          </w:p>
          <w:p w14:paraId="7BB55FBB">
            <w:pPr>
              <w:pStyle w:val="17"/>
              <w:ind w:left="112"/>
              <w:jc w:val="left"/>
              <w:rPr>
                <w:rFonts w:ascii="Times New Roman"/>
                <w:sz w:val="21"/>
              </w:rPr>
            </w:pPr>
            <w:r>
              <w:rPr>
                <w:rFonts w:ascii="Times New Roman"/>
                <w:sz w:val="21"/>
              </w:rPr>
              <w:t>10000</w:t>
            </w:r>
          </w:p>
        </w:tc>
        <w:tc>
          <w:tcPr>
            <w:tcW w:w="874" w:type="dxa"/>
          </w:tcPr>
          <w:p w14:paraId="23A8DEB5">
            <w:pPr>
              <w:pStyle w:val="17"/>
              <w:jc w:val="left"/>
              <w:rPr>
                <w:b/>
                <w:sz w:val="22"/>
              </w:rPr>
            </w:pPr>
          </w:p>
          <w:p w14:paraId="7B804619">
            <w:pPr>
              <w:pStyle w:val="17"/>
              <w:spacing w:before="3"/>
              <w:jc w:val="left"/>
              <w:rPr>
                <w:b/>
                <w:sz w:val="18"/>
              </w:rPr>
            </w:pPr>
          </w:p>
          <w:p w14:paraId="789F601B">
            <w:pPr>
              <w:pStyle w:val="17"/>
              <w:ind w:right="240"/>
              <w:jc w:val="right"/>
              <w:rPr>
                <w:rFonts w:ascii="Times New Roman"/>
                <w:sz w:val="21"/>
              </w:rPr>
            </w:pPr>
            <w:r>
              <w:rPr>
                <w:rFonts w:ascii="Times New Roman"/>
                <w:sz w:val="21"/>
              </w:rPr>
              <w:t>27.8</w:t>
            </w:r>
          </w:p>
        </w:tc>
        <w:tc>
          <w:tcPr>
            <w:tcW w:w="758" w:type="dxa"/>
          </w:tcPr>
          <w:p w14:paraId="0717CB20">
            <w:pPr>
              <w:pStyle w:val="17"/>
              <w:jc w:val="left"/>
              <w:rPr>
                <w:b/>
                <w:sz w:val="22"/>
              </w:rPr>
            </w:pPr>
          </w:p>
          <w:p w14:paraId="7955E3D8">
            <w:pPr>
              <w:pStyle w:val="17"/>
              <w:spacing w:before="3"/>
              <w:jc w:val="left"/>
              <w:rPr>
                <w:b/>
                <w:sz w:val="18"/>
              </w:rPr>
            </w:pPr>
          </w:p>
          <w:p w14:paraId="79A0A279">
            <w:pPr>
              <w:pStyle w:val="17"/>
              <w:ind w:left="121" w:right="111"/>
              <w:rPr>
                <w:rFonts w:ascii="Times New Roman"/>
                <w:sz w:val="21"/>
              </w:rPr>
            </w:pPr>
            <w:r>
              <w:rPr>
                <w:rFonts w:ascii="Times New Roman"/>
                <w:sz w:val="21"/>
              </w:rPr>
              <w:t>0.278</w:t>
            </w:r>
          </w:p>
        </w:tc>
        <w:tc>
          <w:tcPr>
            <w:tcW w:w="799" w:type="dxa"/>
          </w:tcPr>
          <w:p w14:paraId="493BD804">
            <w:pPr>
              <w:pStyle w:val="17"/>
              <w:jc w:val="left"/>
              <w:rPr>
                <w:b/>
                <w:sz w:val="22"/>
              </w:rPr>
            </w:pPr>
          </w:p>
          <w:p w14:paraId="27AB5E18">
            <w:pPr>
              <w:pStyle w:val="17"/>
              <w:spacing w:before="3"/>
              <w:jc w:val="left"/>
              <w:rPr>
                <w:b/>
                <w:sz w:val="18"/>
              </w:rPr>
            </w:pPr>
          </w:p>
          <w:p w14:paraId="7DF3FA67">
            <w:pPr>
              <w:pStyle w:val="17"/>
              <w:ind w:left="88" w:right="80"/>
              <w:rPr>
                <w:rFonts w:ascii="Times New Roman"/>
                <w:sz w:val="21"/>
              </w:rPr>
            </w:pPr>
            <w:r>
              <w:rPr>
                <w:rFonts w:ascii="Times New Roman"/>
                <w:sz w:val="21"/>
              </w:rPr>
              <w:t>0.333</w:t>
            </w:r>
          </w:p>
        </w:tc>
        <w:tc>
          <w:tcPr>
            <w:tcW w:w="2290" w:type="dxa"/>
          </w:tcPr>
          <w:p w14:paraId="10A16897">
            <w:pPr>
              <w:pStyle w:val="17"/>
              <w:spacing w:before="183" w:line="285" w:lineRule="auto"/>
              <w:ind w:left="140" w:right="131"/>
              <w:rPr>
                <w:sz w:val="21"/>
              </w:rPr>
            </w:pPr>
            <w:r>
              <w:rPr>
                <w:w w:val="95"/>
                <w:sz w:val="21"/>
              </w:rPr>
              <w:t>密闭收集罩</w:t>
            </w:r>
            <w:r>
              <w:rPr>
                <w:rFonts w:ascii="Times New Roman" w:eastAsia="Times New Roman"/>
                <w:w w:val="95"/>
                <w:sz w:val="21"/>
              </w:rPr>
              <w:t>+</w:t>
            </w:r>
            <w:r>
              <w:rPr>
                <w:w w:val="95"/>
                <w:sz w:val="21"/>
              </w:rPr>
              <w:t>布袋除尘</w:t>
            </w:r>
            <w:r>
              <w:rPr>
                <w:sz w:val="21"/>
              </w:rPr>
              <w:t>器</w:t>
            </w:r>
            <w:r>
              <w:rPr>
                <w:rFonts w:ascii="Times New Roman" w:eastAsia="Times New Roman"/>
                <w:sz w:val="21"/>
              </w:rPr>
              <w:t xml:space="preserve">+15m </w:t>
            </w:r>
            <w:r>
              <w:rPr>
                <w:sz w:val="21"/>
              </w:rPr>
              <w:t>高排气筒</w:t>
            </w:r>
            <w:r>
              <w:rPr>
                <w:rFonts w:ascii="Times New Roman" w:eastAsia="Times New Roman"/>
                <w:sz w:val="21"/>
              </w:rPr>
              <w:t xml:space="preserve">DA001 </w:t>
            </w:r>
            <w:r>
              <w:rPr>
                <w:sz w:val="21"/>
              </w:rPr>
              <w:t>排放</w:t>
            </w:r>
          </w:p>
        </w:tc>
        <w:tc>
          <w:tcPr>
            <w:tcW w:w="772" w:type="dxa"/>
          </w:tcPr>
          <w:p w14:paraId="0AABF8BF">
            <w:pPr>
              <w:pStyle w:val="17"/>
              <w:jc w:val="left"/>
              <w:rPr>
                <w:b/>
                <w:sz w:val="22"/>
              </w:rPr>
            </w:pPr>
          </w:p>
          <w:p w14:paraId="70625C8C">
            <w:pPr>
              <w:pStyle w:val="17"/>
              <w:spacing w:before="3"/>
              <w:jc w:val="left"/>
              <w:rPr>
                <w:b/>
                <w:sz w:val="18"/>
              </w:rPr>
            </w:pPr>
          </w:p>
          <w:p w14:paraId="54034CDF">
            <w:pPr>
              <w:pStyle w:val="17"/>
              <w:ind w:left="192"/>
              <w:jc w:val="left"/>
              <w:rPr>
                <w:rFonts w:ascii="Times New Roman"/>
                <w:sz w:val="21"/>
              </w:rPr>
            </w:pPr>
            <w:r>
              <w:rPr>
                <w:rFonts w:ascii="Times New Roman"/>
                <w:sz w:val="21"/>
              </w:rPr>
              <w:t>80%</w:t>
            </w:r>
          </w:p>
        </w:tc>
        <w:tc>
          <w:tcPr>
            <w:tcW w:w="765" w:type="dxa"/>
          </w:tcPr>
          <w:p w14:paraId="411CE759">
            <w:pPr>
              <w:pStyle w:val="17"/>
              <w:jc w:val="left"/>
              <w:rPr>
                <w:b/>
                <w:sz w:val="22"/>
              </w:rPr>
            </w:pPr>
          </w:p>
          <w:p w14:paraId="47ADC7F2">
            <w:pPr>
              <w:pStyle w:val="17"/>
              <w:spacing w:before="3"/>
              <w:jc w:val="left"/>
              <w:rPr>
                <w:b/>
                <w:sz w:val="18"/>
              </w:rPr>
            </w:pPr>
          </w:p>
          <w:p w14:paraId="58BDC8DA">
            <w:pPr>
              <w:pStyle w:val="17"/>
              <w:ind w:left="168" w:right="161"/>
              <w:rPr>
                <w:rFonts w:ascii="Times New Roman"/>
                <w:sz w:val="21"/>
              </w:rPr>
            </w:pPr>
            <w:r>
              <w:rPr>
                <w:rFonts w:ascii="Times New Roman"/>
                <w:sz w:val="21"/>
              </w:rPr>
              <w:t>99%</w:t>
            </w:r>
          </w:p>
        </w:tc>
        <w:tc>
          <w:tcPr>
            <w:tcW w:w="891" w:type="dxa"/>
          </w:tcPr>
          <w:p w14:paraId="1F864412">
            <w:pPr>
              <w:pStyle w:val="17"/>
              <w:jc w:val="left"/>
              <w:rPr>
                <w:b/>
                <w:sz w:val="22"/>
              </w:rPr>
            </w:pPr>
          </w:p>
          <w:p w14:paraId="50542790">
            <w:pPr>
              <w:pStyle w:val="17"/>
              <w:spacing w:before="3"/>
              <w:jc w:val="left"/>
              <w:rPr>
                <w:b/>
                <w:sz w:val="18"/>
              </w:rPr>
            </w:pPr>
          </w:p>
          <w:p w14:paraId="1116264A">
            <w:pPr>
              <w:pStyle w:val="17"/>
              <w:ind w:left="127" w:right="118"/>
              <w:rPr>
                <w:rFonts w:ascii="Times New Roman"/>
                <w:sz w:val="21"/>
              </w:rPr>
            </w:pPr>
            <w:r>
              <w:rPr>
                <w:rFonts w:ascii="Times New Roman"/>
                <w:sz w:val="21"/>
              </w:rPr>
              <w:t>0.3</w:t>
            </w:r>
          </w:p>
        </w:tc>
        <w:tc>
          <w:tcPr>
            <w:tcW w:w="758" w:type="dxa"/>
          </w:tcPr>
          <w:p w14:paraId="081DB220">
            <w:pPr>
              <w:pStyle w:val="17"/>
              <w:jc w:val="left"/>
              <w:rPr>
                <w:b/>
                <w:sz w:val="22"/>
              </w:rPr>
            </w:pPr>
          </w:p>
          <w:p w14:paraId="6B4EDAD4">
            <w:pPr>
              <w:pStyle w:val="17"/>
              <w:spacing w:before="3"/>
              <w:jc w:val="left"/>
              <w:rPr>
                <w:b/>
                <w:sz w:val="18"/>
              </w:rPr>
            </w:pPr>
          </w:p>
          <w:p w14:paraId="783B9CEB">
            <w:pPr>
              <w:pStyle w:val="17"/>
              <w:ind w:left="119" w:right="112"/>
              <w:rPr>
                <w:rFonts w:ascii="Times New Roman"/>
                <w:sz w:val="21"/>
              </w:rPr>
            </w:pPr>
            <w:r>
              <w:rPr>
                <w:rFonts w:ascii="Times New Roman"/>
                <w:sz w:val="21"/>
              </w:rPr>
              <w:t>0.003</w:t>
            </w:r>
          </w:p>
        </w:tc>
        <w:tc>
          <w:tcPr>
            <w:tcW w:w="703" w:type="dxa"/>
          </w:tcPr>
          <w:p w14:paraId="6DC7B209">
            <w:pPr>
              <w:pStyle w:val="17"/>
              <w:jc w:val="left"/>
              <w:rPr>
                <w:b/>
                <w:sz w:val="22"/>
              </w:rPr>
            </w:pPr>
          </w:p>
          <w:p w14:paraId="30573AF6">
            <w:pPr>
              <w:pStyle w:val="17"/>
              <w:spacing w:before="3"/>
              <w:jc w:val="left"/>
              <w:rPr>
                <w:b/>
                <w:sz w:val="18"/>
              </w:rPr>
            </w:pPr>
          </w:p>
          <w:p w14:paraId="766D9191">
            <w:pPr>
              <w:pStyle w:val="17"/>
              <w:ind w:left="95" w:right="85"/>
              <w:rPr>
                <w:rFonts w:ascii="Times New Roman"/>
                <w:sz w:val="21"/>
              </w:rPr>
            </w:pPr>
            <w:r>
              <w:rPr>
                <w:rFonts w:ascii="Times New Roman"/>
                <w:sz w:val="21"/>
              </w:rPr>
              <w:t>0.003</w:t>
            </w:r>
          </w:p>
        </w:tc>
        <w:tc>
          <w:tcPr>
            <w:tcW w:w="758" w:type="dxa"/>
          </w:tcPr>
          <w:p w14:paraId="262888B4">
            <w:pPr>
              <w:pStyle w:val="17"/>
              <w:jc w:val="left"/>
              <w:rPr>
                <w:b/>
                <w:sz w:val="22"/>
              </w:rPr>
            </w:pPr>
          </w:p>
          <w:p w14:paraId="57C3624E">
            <w:pPr>
              <w:pStyle w:val="17"/>
              <w:spacing w:before="3"/>
              <w:jc w:val="left"/>
              <w:rPr>
                <w:b/>
                <w:sz w:val="18"/>
              </w:rPr>
            </w:pPr>
          </w:p>
          <w:p w14:paraId="2B0B94B9">
            <w:pPr>
              <w:pStyle w:val="17"/>
              <w:ind w:left="120" w:right="112"/>
              <w:rPr>
                <w:rFonts w:ascii="Times New Roman"/>
                <w:sz w:val="21"/>
              </w:rPr>
            </w:pPr>
            <w:r>
              <w:rPr>
                <w:rFonts w:ascii="Times New Roman"/>
                <w:sz w:val="21"/>
              </w:rPr>
              <w:t>0.069</w:t>
            </w:r>
          </w:p>
        </w:tc>
        <w:tc>
          <w:tcPr>
            <w:tcW w:w="703" w:type="dxa"/>
            <w:tcBorders>
              <w:right w:val="nil"/>
            </w:tcBorders>
          </w:tcPr>
          <w:p w14:paraId="493C295D">
            <w:pPr>
              <w:pStyle w:val="17"/>
              <w:jc w:val="left"/>
              <w:rPr>
                <w:b/>
                <w:sz w:val="22"/>
              </w:rPr>
            </w:pPr>
          </w:p>
          <w:p w14:paraId="52DA24DC">
            <w:pPr>
              <w:pStyle w:val="17"/>
              <w:spacing w:before="3"/>
              <w:jc w:val="left"/>
              <w:rPr>
                <w:b/>
                <w:sz w:val="18"/>
              </w:rPr>
            </w:pPr>
          </w:p>
          <w:p w14:paraId="314842F7">
            <w:pPr>
              <w:pStyle w:val="17"/>
              <w:ind w:left="94" w:right="90"/>
              <w:rPr>
                <w:rFonts w:ascii="Times New Roman"/>
                <w:sz w:val="21"/>
              </w:rPr>
            </w:pPr>
            <w:r>
              <w:rPr>
                <w:rFonts w:ascii="Times New Roman"/>
                <w:sz w:val="21"/>
              </w:rPr>
              <w:t>0.083</w:t>
            </w:r>
          </w:p>
        </w:tc>
      </w:tr>
      <w:tr w14:paraId="30894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00" w:type="dxa"/>
            <w:vMerge w:val="restart"/>
            <w:tcBorders>
              <w:left w:val="nil"/>
            </w:tcBorders>
          </w:tcPr>
          <w:p w14:paraId="1F1AF576">
            <w:pPr>
              <w:pStyle w:val="17"/>
              <w:jc w:val="left"/>
              <w:rPr>
                <w:b/>
                <w:sz w:val="20"/>
              </w:rPr>
            </w:pPr>
          </w:p>
          <w:p w14:paraId="7D5E030B">
            <w:pPr>
              <w:pStyle w:val="17"/>
              <w:jc w:val="left"/>
              <w:rPr>
                <w:b/>
                <w:sz w:val="20"/>
              </w:rPr>
            </w:pPr>
          </w:p>
          <w:p w14:paraId="2FD6BCD2">
            <w:pPr>
              <w:pStyle w:val="17"/>
              <w:jc w:val="left"/>
              <w:rPr>
                <w:b/>
                <w:sz w:val="20"/>
              </w:rPr>
            </w:pPr>
          </w:p>
          <w:p w14:paraId="5876E28E">
            <w:pPr>
              <w:pStyle w:val="17"/>
              <w:spacing w:before="7"/>
              <w:jc w:val="left"/>
              <w:rPr>
                <w:b/>
                <w:sz w:val="29"/>
              </w:rPr>
            </w:pPr>
          </w:p>
          <w:p w14:paraId="6E1909A9">
            <w:pPr>
              <w:pStyle w:val="17"/>
              <w:spacing w:line="285" w:lineRule="auto"/>
              <w:ind w:left="112" w:right="51" w:hanging="49"/>
              <w:rPr>
                <w:sz w:val="21"/>
              </w:rPr>
            </w:pPr>
            <w:r>
              <w:rPr>
                <w:sz w:val="21"/>
              </w:rPr>
              <w:t xml:space="preserve">挤出 </w:t>
            </w:r>
            <w:r>
              <w:rPr>
                <w:w w:val="95"/>
                <w:sz w:val="21"/>
              </w:rPr>
              <w:t>造粒、</w:t>
            </w:r>
            <w:r>
              <w:rPr>
                <w:sz w:val="21"/>
              </w:rPr>
              <w:t>挤出 注塑 工序</w:t>
            </w:r>
          </w:p>
        </w:tc>
        <w:tc>
          <w:tcPr>
            <w:tcW w:w="498" w:type="dxa"/>
          </w:tcPr>
          <w:p w14:paraId="2ED3B8E2">
            <w:pPr>
              <w:pStyle w:val="17"/>
              <w:spacing w:before="22" w:line="285" w:lineRule="auto"/>
              <w:ind w:left="142" w:right="134"/>
              <w:jc w:val="left"/>
              <w:rPr>
                <w:sz w:val="21"/>
              </w:rPr>
            </w:pPr>
            <w:r>
              <w:rPr>
                <w:sz w:val="21"/>
              </w:rPr>
              <w:t>颗粒</w:t>
            </w:r>
          </w:p>
          <w:p w14:paraId="48545D5B">
            <w:pPr>
              <w:pStyle w:val="17"/>
              <w:spacing w:line="267" w:lineRule="exact"/>
              <w:ind w:left="142"/>
              <w:jc w:val="left"/>
              <w:rPr>
                <w:sz w:val="21"/>
              </w:rPr>
            </w:pPr>
            <w:r>
              <w:rPr>
                <w:w w:val="99"/>
                <w:sz w:val="21"/>
              </w:rPr>
              <w:t>物</w:t>
            </w:r>
          </w:p>
        </w:tc>
        <w:tc>
          <w:tcPr>
            <w:tcW w:w="462" w:type="dxa"/>
          </w:tcPr>
          <w:p w14:paraId="13741A2D">
            <w:pPr>
              <w:pStyle w:val="17"/>
              <w:spacing w:before="22" w:line="285" w:lineRule="auto"/>
              <w:ind w:left="124" w:right="116"/>
              <w:jc w:val="left"/>
              <w:rPr>
                <w:sz w:val="21"/>
              </w:rPr>
            </w:pPr>
            <w:r>
              <w:rPr>
                <w:sz w:val="21"/>
              </w:rPr>
              <w:t>系数</w:t>
            </w:r>
          </w:p>
          <w:p w14:paraId="24FCE1C7">
            <w:pPr>
              <w:pStyle w:val="17"/>
              <w:spacing w:line="267" w:lineRule="exact"/>
              <w:ind w:left="124"/>
              <w:jc w:val="left"/>
              <w:rPr>
                <w:sz w:val="21"/>
              </w:rPr>
            </w:pPr>
            <w:r>
              <w:rPr>
                <w:w w:val="99"/>
                <w:sz w:val="21"/>
              </w:rPr>
              <w:t>法</w:t>
            </w:r>
          </w:p>
        </w:tc>
        <w:tc>
          <w:tcPr>
            <w:tcW w:w="799" w:type="dxa"/>
          </w:tcPr>
          <w:p w14:paraId="0499C9A8">
            <w:pPr>
              <w:pStyle w:val="17"/>
              <w:spacing w:before="9"/>
              <w:jc w:val="left"/>
              <w:rPr>
                <w:b/>
                <w:sz w:val="27"/>
              </w:rPr>
            </w:pPr>
          </w:p>
          <w:p w14:paraId="4E8791D9">
            <w:pPr>
              <w:pStyle w:val="17"/>
              <w:ind w:left="88" w:right="79"/>
              <w:rPr>
                <w:rFonts w:ascii="Times New Roman"/>
                <w:sz w:val="21"/>
              </w:rPr>
            </w:pPr>
            <w:r>
              <w:rPr>
                <w:rFonts w:ascii="Times New Roman"/>
                <w:sz w:val="21"/>
              </w:rPr>
              <w:t>2.250</w:t>
            </w:r>
          </w:p>
        </w:tc>
        <w:tc>
          <w:tcPr>
            <w:tcW w:w="794" w:type="dxa"/>
          </w:tcPr>
          <w:p w14:paraId="09BA5608">
            <w:pPr>
              <w:pStyle w:val="17"/>
              <w:spacing w:before="9"/>
              <w:jc w:val="left"/>
              <w:rPr>
                <w:b/>
                <w:sz w:val="27"/>
              </w:rPr>
            </w:pPr>
          </w:p>
          <w:p w14:paraId="26C97F06">
            <w:pPr>
              <w:pStyle w:val="17"/>
              <w:ind w:left="140" w:right="130"/>
              <w:rPr>
                <w:rFonts w:ascii="Times New Roman"/>
                <w:sz w:val="21"/>
              </w:rPr>
            </w:pPr>
            <w:r>
              <w:rPr>
                <w:rFonts w:ascii="Times New Roman"/>
                <w:sz w:val="21"/>
              </w:rPr>
              <w:t>0.469</w:t>
            </w:r>
          </w:p>
        </w:tc>
        <w:tc>
          <w:tcPr>
            <w:tcW w:w="750" w:type="dxa"/>
            <w:vMerge w:val="restart"/>
          </w:tcPr>
          <w:p w14:paraId="7338CEEA">
            <w:pPr>
              <w:pStyle w:val="17"/>
              <w:jc w:val="left"/>
              <w:rPr>
                <w:b/>
                <w:sz w:val="22"/>
              </w:rPr>
            </w:pPr>
          </w:p>
          <w:p w14:paraId="61944386">
            <w:pPr>
              <w:pStyle w:val="17"/>
              <w:jc w:val="left"/>
              <w:rPr>
                <w:b/>
                <w:sz w:val="22"/>
              </w:rPr>
            </w:pPr>
          </w:p>
          <w:p w14:paraId="275C2E99">
            <w:pPr>
              <w:pStyle w:val="17"/>
              <w:jc w:val="left"/>
              <w:rPr>
                <w:b/>
                <w:sz w:val="22"/>
              </w:rPr>
            </w:pPr>
          </w:p>
          <w:p w14:paraId="76FC6956">
            <w:pPr>
              <w:pStyle w:val="17"/>
              <w:jc w:val="left"/>
              <w:rPr>
                <w:b/>
                <w:sz w:val="22"/>
              </w:rPr>
            </w:pPr>
          </w:p>
          <w:p w14:paraId="0AD1D1B5">
            <w:pPr>
              <w:pStyle w:val="17"/>
              <w:jc w:val="left"/>
              <w:rPr>
                <w:b/>
                <w:sz w:val="22"/>
              </w:rPr>
            </w:pPr>
          </w:p>
          <w:p w14:paraId="4F29DA64">
            <w:pPr>
              <w:pStyle w:val="17"/>
              <w:spacing w:before="6"/>
              <w:jc w:val="left"/>
              <w:rPr>
                <w:b/>
                <w:sz w:val="30"/>
              </w:rPr>
            </w:pPr>
          </w:p>
          <w:p w14:paraId="15663F06">
            <w:pPr>
              <w:pStyle w:val="17"/>
              <w:ind w:left="112"/>
              <w:jc w:val="left"/>
              <w:rPr>
                <w:rFonts w:ascii="Times New Roman"/>
                <w:sz w:val="21"/>
              </w:rPr>
            </w:pPr>
            <w:r>
              <w:rPr>
                <w:rFonts w:ascii="Times New Roman"/>
                <w:sz w:val="21"/>
              </w:rPr>
              <w:t>15000</w:t>
            </w:r>
          </w:p>
        </w:tc>
        <w:tc>
          <w:tcPr>
            <w:tcW w:w="874" w:type="dxa"/>
          </w:tcPr>
          <w:p w14:paraId="11374EA4">
            <w:pPr>
              <w:pStyle w:val="17"/>
              <w:spacing w:before="9"/>
              <w:jc w:val="left"/>
              <w:rPr>
                <w:b/>
                <w:sz w:val="27"/>
              </w:rPr>
            </w:pPr>
          </w:p>
          <w:p w14:paraId="7068B1FE">
            <w:pPr>
              <w:pStyle w:val="17"/>
              <w:ind w:right="240"/>
              <w:jc w:val="right"/>
              <w:rPr>
                <w:rFonts w:ascii="Times New Roman"/>
                <w:sz w:val="21"/>
              </w:rPr>
            </w:pPr>
            <w:r>
              <w:rPr>
                <w:rFonts w:ascii="Times New Roman"/>
                <w:sz w:val="21"/>
              </w:rPr>
              <w:t>28.1</w:t>
            </w:r>
          </w:p>
        </w:tc>
        <w:tc>
          <w:tcPr>
            <w:tcW w:w="758" w:type="dxa"/>
          </w:tcPr>
          <w:p w14:paraId="694B988F">
            <w:pPr>
              <w:pStyle w:val="17"/>
              <w:spacing w:before="9"/>
              <w:jc w:val="left"/>
              <w:rPr>
                <w:b/>
                <w:sz w:val="27"/>
              </w:rPr>
            </w:pPr>
          </w:p>
          <w:p w14:paraId="2AAB805E">
            <w:pPr>
              <w:pStyle w:val="17"/>
              <w:ind w:left="121" w:right="111"/>
              <w:rPr>
                <w:rFonts w:ascii="Times New Roman"/>
                <w:sz w:val="21"/>
              </w:rPr>
            </w:pPr>
            <w:r>
              <w:rPr>
                <w:rFonts w:ascii="Times New Roman"/>
                <w:sz w:val="21"/>
              </w:rPr>
              <w:t>0.422</w:t>
            </w:r>
          </w:p>
        </w:tc>
        <w:tc>
          <w:tcPr>
            <w:tcW w:w="799" w:type="dxa"/>
          </w:tcPr>
          <w:p w14:paraId="2434FFB3">
            <w:pPr>
              <w:pStyle w:val="17"/>
              <w:spacing w:before="9"/>
              <w:jc w:val="left"/>
              <w:rPr>
                <w:b/>
                <w:sz w:val="27"/>
              </w:rPr>
            </w:pPr>
          </w:p>
          <w:p w14:paraId="21882473">
            <w:pPr>
              <w:pStyle w:val="17"/>
              <w:ind w:left="88" w:right="80"/>
              <w:rPr>
                <w:rFonts w:ascii="Times New Roman"/>
                <w:sz w:val="21"/>
              </w:rPr>
            </w:pPr>
            <w:r>
              <w:rPr>
                <w:rFonts w:ascii="Times New Roman"/>
                <w:sz w:val="21"/>
              </w:rPr>
              <w:t>2.025</w:t>
            </w:r>
          </w:p>
        </w:tc>
        <w:tc>
          <w:tcPr>
            <w:tcW w:w="2290" w:type="dxa"/>
            <w:vMerge w:val="restart"/>
          </w:tcPr>
          <w:p w14:paraId="4B114089">
            <w:pPr>
              <w:pStyle w:val="17"/>
              <w:jc w:val="left"/>
              <w:rPr>
                <w:b/>
                <w:sz w:val="22"/>
              </w:rPr>
            </w:pPr>
          </w:p>
          <w:p w14:paraId="535B4973">
            <w:pPr>
              <w:pStyle w:val="17"/>
              <w:jc w:val="left"/>
              <w:rPr>
                <w:b/>
                <w:sz w:val="22"/>
              </w:rPr>
            </w:pPr>
          </w:p>
          <w:p w14:paraId="0931B789">
            <w:pPr>
              <w:pStyle w:val="17"/>
              <w:jc w:val="left"/>
              <w:rPr>
                <w:b/>
                <w:sz w:val="22"/>
              </w:rPr>
            </w:pPr>
          </w:p>
          <w:p w14:paraId="190AB7D3">
            <w:pPr>
              <w:pStyle w:val="17"/>
              <w:jc w:val="left"/>
              <w:rPr>
                <w:b/>
                <w:sz w:val="22"/>
              </w:rPr>
            </w:pPr>
          </w:p>
          <w:p w14:paraId="5ACC1AD7">
            <w:pPr>
              <w:pStyle w:val="17"/>
              <w:spacing w:before="181" w:line="285" w:lineRule="auto"/>
              <w:ind w:left="137" w:right="128" w:hanging="1"/>
              <w:rPr>
                <w:sz w:val="21"/>
              </w:rPr>
            </w:pPr>
            <w:r>
              <w:rPr>
                <w:w w:val="95"/>
                <w:sz w:val="21"/>
              </w:rPr>
              <w:t>密闭负压收集罩</w:t>
            </w:r>
            <w:r>
              <w:rPr>
                <w:rFonts w:ascii="Times New Roman" w:eastAsia="Times New Roman"/>
                <w:w w:val="95"/>
                <w:sz w:val="21"/>
              </w:rPr>
              <w:t>+</w:t>
            </w:r>
            <w:r>
              <w:rPr>
                <w:w w:val="95"/>
                <w:sz w:val="21"/>
              </w:rPr>
              <w:t>布袋</w:t>
            </w:r>
            <w:r>
              <w:rPr>
                <w:sz w:val="21"/>
              </w:rPr>
              <w:t>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r>
              <w:rPr>
                <w:rFonts w:ascii="Times New Roman" w:eastAsia="Times New Roman"/>
                <w:sz w:val="21"/>
              </w:rPr>
              <w:t xml:space="preserve">+15m </w:t>
            </w:r>
            <w:r>
              <w:rPr>
                <w:sz w:val="21"/>
              </w:rPr>
              <w:t xml:space="preserve">高排气筒 </w:t>
            </w:r>
            <w:r>
              <w:rPr>
                <w:rFonts w:ascii="Times New Roman" w:eastAsia="Times New Roman"/>
                <w:sz w:val="21"/>
              </w:rPr>
              <w:t xml:space="preserve">DA002 </w:t>
            </w:r>
            <w:r>
              <w:rPr>
                <w:sz w:val="21"/>
              </w:rPr>
              <w:t>排放</w:t>
            </w:r>
          </w:p>
        </w:tc>
        <w:tc>
          <w:tcPr>
            <w:tcW w:w="772" w:type="dxa"/>
          </w:tcPr>
          <w:p w14:paraId="717CC37A">
            <w:pPr>
              <w:pStyle w:val="17"/>
              <w:spacing w:before="9"/>
              <w:jc w:val="left"/>
              <w:rPr>
                <w:b/>
                <w:sz w:val="27"/>
              </w:rPr>
            </w:pPr>
          </w:p>
          <w:p w14:paraId="16F37532">
            <w:pPr>
              <w:pStyle w:val="17"/>
              <w:ind w:left="192"/>
              <w:jc w:val="left"/>
              <w:rPr>
                <w:rFonts w:ascii="Times New Roman"/>
                <w:sz w:val="21"/>
              </w:rPr>
            </w:pPr>
            <w:r>
              <w:rPr>
                <w:rFonts w:ascii="Times New Roman"/>
                <w:sz w:val="21"/>
              </w:rPr>
              <w:t>90%</w:t>
            </w:r>
          </w:p>
        </w:tc>
        <w:tc>
          <w:tcPr>
            <w:tcW w:w="765" w:type="dxa"/>
          </w:tcPr>
          <w:p w14:paraId="02474760">
            <w:pPr>
              <w:pStyle w:val="17"/>
              <w:spacing w:before="9"/>
              <w:jc w:val="left"/>
              <w:rPr>
                <w:b/>
                <w:sz w:val="27"/>
              </w:rPr>
            </w:pPr>
          </w:p>
          <w:p w14:paraId="6C431444">
            <w:pPr>
              <w:pStyle w:val="17"/>
              <w:ind w:left="168" w:right="161"/>
              <w:rPr>
                <w:rFonts w:ascii="Times New Roman"/>
                <w:sz w:val="21"/>
              </w:rPr>
            </w:pPr>
            <w:r>
              <w:rPr>
                <w:rFonts w:ascii="Times New Roman"/>
                <w:sz w:val="21"/>
              </w:rPr>
              <w:t>99%</w:t>
            </w:r>
          </w:p>
        </w:tc>
        <w:tc>
          <w:tcPr>
            <w:tcW w:w="891" w:type="dxa"/>
          </w:tcPr>
          <w:p w14:paraId="60D497A3">
            <w:pPr>
              <w:pStyle w:val="17"/>
              <w:spacing w:before="9"/>
              <w:jc w:val="left"/>
              <w:rPr>
                <w:b/>
                <w:sz w:val="27"/>
              </w:rPr>
            </w:pPr>
          </w:p>
          <w:p w14:paraId="0DBA09FE">
            <w:pPr>
              <w:pStyle w:val="17"/>
              <w:ind w:left="127" w:right="118"/>
              <w:rPr>
                <w:rFonts w:ascii="Times New Roman"/>
                <w:sz w:val="21"/>
              </w:rPr>
            </w:pPr>
            <w:r>
              <w:rPr>
                <w:rFonts w:ascii="Times New Roman"/>
                <w:sz w:val="21"/>
              </w:rPr>
              <w:t>0.27</w:t>
            </w:r>
          </w:p>
        </w:tc>
        <w:tc>
          <w:tcPr>
            <w:tcW w:w="758" w:type="dxa"/>
          </w:tcPr>
          <w:p w14:paraId="2A5D5A86">
            <w:pPr>
              <w:pStyle w:val="17"/>
              <w:spacing w:before="9"/>
              <w:jc w:val="left"/>
              <w:rPr>
                <w:b/>
                <w:sz w:val="27"/>
              </w:rPr>
            </w:pPr>
          </w:p>
          <w:p w14:paraId="39CD0C46">
            <w:pPr>
              <w:pStyle w:val="17"/>
              <w:ind w:left="119" w:right="112"/>
              <w:rPr>
                <w:rFonts w:ascii="Times New Roman"/>
                <w:sz w:val="21"/>
              </w:rPr>
            </w:pPr>
            <w:r>
              <w:rPr>
                <w:rFonts w:ascii="Times New Roman"/>
                <w:sz w:val="21"/>
              </w:rPr>
              <w:t>0.004</w:t>
            </w:r>
          </w:p>
        </w:tc>
        <w:tc>
          <w:tcPr>
            <w:tcW w:w="703" w:type="dxa"/>
          </w:tcPr>
          <w:p w14:paraId="37B47959">
            <w:pPr>
              <w:pStyle w:val="17"/>
              <w:spacing w:before="9"/>
              <w:jc w:val="left"/>
              <w:rPr>
                <w:b/>
                <w:sz w:val="27"/>
              </w:rPr>
            </w:pPr>
          </w:p>
          <w:p w14:paraId="3768C115">
            <w:pPr>
              <w:pStyle w:val="17"/>
              <w:ind w:left="95" w:right="85"/>
              <w:rPr>
                <w:rFonts w:ascii="Times New Roman"/>
                <w:sz w:val="21"/>
              </w:rPr>
            </w:pPr>
            <w:r>
              <w:rPr>
                <w:rFonts w:ascii="Times New Roman"/>
                <w:sz w:val="21"/>
              </w:rPr>
              <w:t>0.020</w:t>
            </w:r>
          </w:p>
        </w:tc>
        <w:tc>
          <w:tcPr>
            <w:tcW w:w="758" w:type="dxa"/>
          </w:tcPr>
          <w:p w14:paraId="7A4F86A6">
            <w:pPr>
              <w:pStyle w:val="17"/>
              <w:spacing w:before="9"/>
              <w:jc w:val="left"/>
              <w:rPr>
                <w:b/>
                <w:sz w:val="27"/>
              </w:rPr>
            </w:pPr>
          </w:p>
          <w:p w14:paraId="7E715585">
            <w:pPr>
              <w:pStyle w:val="17"/>
              <w:ind w:left="120" w:right="112"/>
              <w:rPr>
                <w:rFonts w:ascii="Times New Roman"/>
                <w:sz w:val="21"/>
              </w:rPr>
            </w:pPr>
            <w:r>
              <w:rPr>
                <w:rFonts w:ascii="Times New Roman"/>
                <w:sz w:val="21"/>
              </w:rPr>
              <w:t>0.047</w:t>
            </w:r>
          </w:p>
        </w:tc>
        <w:tc>
          <w:tcPr>
            <w:tcW w:w="703" w:type="dxa"/>
            <w:tcBorders>
              <w:right w:val="nil"/>
            </w:tcBorders>
          </w:tcPr>
          <w:p w14:paraId="1E6B762A">
            <w:pPr>
              <w:pStyle w:val="17"/>
              <w:spacing w:before="9"/>
              <w:jc w:val="left"/>
              <w:rPr>
                <w:b/>
                <w:sz w:val="27"/>
              </w:rPr>
            </w:pPr>
          </w:p>
          <w:p w14:paraId="703E2E0F">
            <w:pPr>
              <w:pStyle w:val="17"/>
              <w:ind w:left="94" w:right="90"/>
              <w:rPr>
                <w:rFonts w:ascii="Times New Roman"/>
                <w:sz w:val="21"/>
              </w:rPr>
            </w:pPr>
            <w:r>
              <w:rPr>
                <w:rFonts w:ascii="Times New Roman"/>
                <w:sz w:val="21"/>
              </w:rPr>
              <w:t>0.225</w:t>
            </w:r>
          </w:p>
        </w:tc>
      </w:tr>
      <w:tr w14:paraId="09A65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trPr>
        <w:tc>
          <w:tcPr>
            <w:tcW w:w="800" w:type="dxa"/>
            <w:vMerge w:val="continue"/>
            <w:tcBorders>
              <w:top w:val="nil"/>
              <w:left w:val="nil"/>
            </w:tcBorders>
          </w:tcPr>
          <w:p w14:paraId="022F0C86">
            <w:pPr>
              <w:rPr>
                <w:sz w:val="2"/>
                <w:szCs w:val="2"/>
              </w:rPr>
            </w:pPr>
          </w:p>
        </w:tc>
        <w:tc>
          <w:tcPr>
            <w:tcW w:w="498" w:type="dxa"/>
          </w:tcPr>
          <w:p w14:paraId="72A6F449">
            <w:pPr>
              <w:pStyle w:val="17"/>
              <w:spacing w:before="22" w:line="285" w:lineRule="auto"/>
              <w:ind w:left="142" w:right="134"/>
              <w:jc w:val="both"/>
              <w:rPr>
                <w:sz w:val="21"/>
              </w:rPr>
            </w:pPr>
            <w:r>
              <w:rPr>
                <w:sz w:val="21"/>
              </w:rPr>
              <w:t>非甲烷总</w:t>
            </w:r>
          </w:p>
          <w:p w14:paraId="7A444014">
            <w:pPr>
              <w:pStyle w:val="17"/>
              <w:spacing w:line="265" w:lineRule="exact"/>
              <w:ind w:left="142"/>
              <w:jc w:val="both"/>
              <w:rPr>
                <w:sz w:val="21"/>
              </w:rPr>
            </w:pPr>
            <w:r>
              <w:rPr>
                <w:w w:val="99"/>
                <w:sz w:val="21"/>
              </w:rPr>
              <w:t>烃</w:t>
            </w:r>
          </w:p>
        </w:tc>
        <w:tc>
          <w:tcPr>
            <w:tcW w:w="462" w:type="dxa"/>
          </w:tcPr>
          <w:p w14:paraId="43F58B63">
            <w:pPr>
              <w:pStyle w:val="17"/>
              <w:spacing w:before="8"/>
              <w:jc w:val="left"/>
              <w:rPr>
                <w:b/>
                <w:sz w:val="26"/>
              </w:rPr>
            </w:pPr>
          </w:p>
          <w:p w14:paraId="757EFBC2">
            <w:pPr>
              <w:pStyle w:val="17"/>
              <w:spacing w:line="285" w:lineRule="auto"/>
              <w:ind w:left="124" w:right="116"/>
              <w:jc w:val="both"/>
              <w:rPr>
                <w:sz w:val="21"/>
              </w:rPr>
            </w:pPr>
            <w:r>
              <w:rPr>
                <w:sz w:val="21"/>
              </w:rPr>
              <w:t>系数法</w:t>
            </w:r>
          </w:p>
        </w:tc>
        <w:tc>
          <w:tcPr>
            <w:tcW w:w="799" w:type="dxa"/>
          </w:tcPr>
          <w:p w14:paraId="40D5B8BF">
            <w:pPr>
              <w:pStyle w:val="17"/>
              <w:jc w:val="left"/>
              <w:rPr>
                <w:b/>
                <w:sz w:val="22"/>
              </w:rPr>
            </w:pPr>
          </w:p>
          <w:p w14:paraId="6FF67610">
            <w:pPr>
              <w:pStyle w:val="17"/>
              <w:spacing w:before="8"/>
              <w:jc w:val="left"/>
              <w:rPr>
                <w:b/>
                <w:sz w:val="30"/>
              </w:rPr>
            </w:pPr>
          </w:p>
          <w:p w14:paraId="4EB6837A">
            <w:pPr>
              <w:pStyle w:val="17"/>
              <w:ind w:left="88" w:right="81"/>
              <w:rPr>
                <w:rFonts w:ascii="Times New Roman"/>
                <w:sz w:val="21"/>
              </w:rPr>
            </w:pPr>
            <w:r>
              <w:rPr>
                <w:rFonts w:ascii="Times New Roman"/>
                <w:sz w:val="21"/>
              </w:rPr>
              <w:t>16.750</w:t>
            </w:r>
          </w:p>
        </w:tc>
        <w:tc>
          <w:tcPr>
            <w:tcW w:w="794" w:type="dxa"/>
          </w:tcPr>
          <w:p w14:paraId="60C43BD4">
            <w:pPr>
              <w:pStyle w:val="17"/>
              <w:jc w:val="left"/>
              <w:rPr>
                <w:b/>
                <w:sz w:val="22"/>
              </w:rPr>
            </w:pPr>
          </w:p>
          <w:p w14:paraId="23EE2312">
            <w:pPr>
              <w:pStyle w:val="17"/>
              <w:spacing w:before="8"/>
              <w:jc w:val="left"/>
              <w:rPr>
                <w:b/>
                <w:sz w:val="30"/>
              </w:rPr>
            </w:pPr>
          </w:p>
          <w:p w14:paraId="5A65C7DA">
            <w:pPr>
              <w:pStyle w:val="17"/>
              <w:ind w:left="140" w:right="130"/>
              <w:rPr>
                <w:rFonts w:ascii="Times New Roman"/>
                <w:sz w:val="21"/>
              </w:rPr>
            </w:pPr>
            <w:r>
              <w:rPr>
                <w:rFonts w:ascii="Times New Roman"/>
                <w:sz w:val="21"/>
              </w:rPr>
              <w:t>3.490</w:t>
            </w:r>
          </w:p>
        </w:tc>
        <w:tc>
          <w:tcPr>
            <w:tcW w:w="750" w:type="dxa"/>
            <w:vMerge w:val="continue"/>
            <w:tcBorders>
              <w:top w:val="nil"/>
            </w:tcBorders>
          </w:tcPr>
          <w:p w14:paraId="7A0D8E91">
            <w:pPr>
              <w:rPr>
                <w:sz w:val="2"/>
                <w:szCs w:val="2"/>
              </w:rPr>
            </w:pPr>
          </w:p>
        </w:tc>
        <w:tc>
          <w:tcPr>
            <w:tcW w:w="874" w:type="dxa"/>
          </w:tcPr>
          <w:p w14:paraId="7564133F">
            <w:pPr>
              <w:pStyle w:val="17"/>
              <w:jc w:val="left"/>
              <w:rPr>
                <w:b/>
                <w:sz w:val="22"/>
              </w:rPr>
            </w:pPr>
          </w:p>
          <w:p w14:paraId="0DD1D583">
            <w:pPr>
              <w:pStyle w:val="17"/>
              <w:spacing w:before="8"/>
              <w:jc w:val="left"/>
              <w:rPr>
                <w:b/>
                <w:sz w:val="30"/>
              </w:rPr>
            </w:pPr>
          </w:p>
          <w:p w14:paraId="75D45A68">
            <w:pPr>
              <w:pStyle w:val="17"/>
              <w:ind w:right="187"/>
              <w:jc w:val="right"/>
              <w:rPr>
                <w:rFonts w:ascii="Times New Roman"/>
                <w:sz w:val="21"/>
              </w:rPr>
            </w:pPr>
            <w:r>
              <w:rPr>
                <w:rFonts w:ascii="Times New Roman"/>
                <w:sz w:val="21"/>
              </w:rPr>
              <w:t>209.4</w:t>
            </w:r>
          </w:p>
        </w:tc>
        <w:tc>
          <w:tcPr>
            <w:tcW w:w="758" w:type="dxa"/>
          </w:tcPr>
          <w:p w14:paraId="78F7010B">
            <w:pPr>
              <w:pStyle w:val="17"/>
              <w:jc w:val="left"/>
              <w:rPr>
                <w:b/>
                <w:sz w:val="22"/>
              </w:rPr>
            </w:pPr>
          </w:p>
          <w:p w14:paraId="16E0D542">
            <w:pPr>
              <w:pStyle w:val="17"/>
              <w:spacing w:before="8"/>
              <w:jc w:val="left"/>
              <w:rPr>
                <w:b/>
                <w:sz w:val="30"/>
              </w:rPr>
            </w:pPr>
          </w:p>
          <w:p w14:paraId="02D50991">
            <w:pPr>
              <w:pStyle w:val="17"/>
              <w:ind w:left="121" w:right="111"/>
              <w:rPr>
                <w:rFonts w:ascii="Times New Roman"/>
                <w:sz w:val="21"/>
              </w:rPr>
            </w:pPr>
            <w:r>
              <w:rPr>
                <w:rFonts w:ascii="Times New Roman"/>
                <w:sz w:val="21"/>
              </w:rPr>
              <w:t>3.141</w:t>
            </w:r>
          </w:p>
        </w:tc>
        <w:tc>
          <w:tcPr>
            <w:tcW w:w="799" w:type="dxa"/>
          </w:tcPr>
          <w:p w14:paraId="66CF66ED">
            <w:pPr>
              <w:pStyle w:val="17"/>
              <w:jc w:val="left"/>
              <w:rPr>
                <w:b/>
                <w:sz w:val="22"/>
              </w:rPr>
            </w:pPr>
          </w:p>
          <w:p w14:paraId="787D59D9">
            <w:pPr>
              <w:pStyle w:val="17"/>
              <w:spacing w:before="8"/>
              <w:jc w:val="left"/>
              <w:rPr>
                <w:b/>
                <w:sz w:val="30"/>
              </w:rPr>
            </w:pPr>
          </w:p>
          <w:p w14:paraId="759469A0">
            <w:pPr>
              <w:pStyle w:val="17"/>
              <w:ind w:left="87" w:right="82"/>
              <w:rPr>
                <w:rFonts w:ascii="Times New Roman"/>
                <w:sz w:val="21"/>
              </w:rPr>
            </w:pPr>
            <w:r>
              <w:rPr>
                <w:rFonts w:ascii="Times New Roman"/>
                <w:sz w:val="21"/>
              </w:rPr>
              <w:t>15.075</w:t>
            </w:r>
          </w:p>
        </w:tc>
        <w:tc>
          <w:tcPr>
            <w:tcW w:w="2290" w:type="dxa"/>
            <w:vMerge w:val="continue"/>
            <w:tcBorders>
              <w:top w:val="nil"/>
            </w:tcBorders>
          </w:tcPr>
          <w:p w14:paraId="66415B0C">
            <w:pPr>
              <w:rPr>
                <w:sz w:val="2"/>
                <w:szCs w:val="2"/>
              </w:rPr>
            </w:pPr>
          </w:p>
        </w:tc>
        <w:tc>
          <w:tcPr>
            <w:tcW w:w="772" w:type="dxa"/>
          </w:tcPr>
          <w:p w14:paraId="67354BDC">
            <w:pPr>
              <w:pStyle w:val="17"/>
              <w:jc w:val="left"/>
              <w:rPr>
                <w:b/>
                <w:sz w:val="22"/>
              </w:rPr>
            </w:pPr>
          </w:p>
          <w:p w14:paraId="23A672E4">
            <w:pPr>
              <w:pStyle w:val="17"/>
              <w:spacing w:before="8"/>
              <w:jc w:val="left"/>
              <w:rPr>
                <w:b/>
                <w:sz w:val="30"/>
              </w:rPr>
            </w:pPr>
          </w:p>
          <w:p w14:paraId="481709B3">
            <w:pPr>
              <w:pStyle w:val="17"/>
              <w:ind w:left="192"/>
              <w:jc w:val="left"/>
              <w:rPr>
                <w:rFonts w:ascii="Times New Roman"/>
                <w:sz w:val="21"/>
              </w:rPr>
            </w:pPr>
            <w:r>
              <w:rPr>
                <w:rFonts w:ascii="Times New Roman"/>
                <w:sz w:val="21"/>
              </w:rPr>
              <w:t>90%</w:t>
            </w:r>
          </w:p>
        </w:tc>
        <w:tc>
          <w:tcPr>
            <w:tcW w:w="765" w:type="dxa"/>
          </w:tcPr>
          <w:p w14:paraId="652510E8">
            <w:pPr>
              <w:pStyle w:val="17"/>
              <w:jc w:val="left"/>
              <w:rPr>
                <w:b/>
                <w:sz w:val="22"/>
              </w:rPr>
            </w:pPr>
          </w:p>
          <w:p w14:paraId="7E2EBA13">
            <w:pPr>
              <w:pStyle w:val="17"/>
              <w:spacing w:before="8"/>
              <w:jc w:val="left"/>
              <w:rPr>
                <w:b/>
                <w:sz w:val="30"/>
              </w:rPr>
            </w:pPr>
          </w:p>
          <w:p w14:paraId="69BC623B">
            <w:pPr>
              <w:pStyle w:val="17"/>
              <w:ind w:left="168" w:right="161"/>
              <w:rPr>
                <w:rFonts w:ascii="Times New Roman"/>
                <w:sz w:val="21"/>
              </w:rPr>
            </w:pPr>
            <w:r>
              <w:rPr>
                <w:rFonts w:ascii="Times New Roman"/>
                <w:sz w:val="21"/>
              </w:rPr>
              <w:t>75%</w:t>
            </w:r>
          </w:p>
        </w:tc>
        <w:tc>
          <w:tcPr>
            <w:tcW w:w="891" w:type="dxa"/>
          </w:tcPr>
          <w:p w14:paraId="0917A0F5">
            <w:pPr>
              <w:pStyle w:val="17"/>
              <w:jc w:val="left"/>
              <w:rPr>
                <w:b/>
                <w:sz w:val="22"/>
              </w:rPr>
            </w:pPr>
          </w:p>
          <w:p w14:paraId="13F87C5E">
            <w:pPr>
              <w:pStyle w:val="17"/>
              <w:spacing w:before="8"/>
              <w:jc w:val="left"/>
              <w:rPr>
                <w:b/>
                <w:sz w:val="30"/>
              </w:rPr>
            </w:pPr>
          </w:p>
          <w:p w14:paraId="46ECD475">
            <w:pPr>
              <w:pStyle w:val="17"/>
              <w:ind w:left="127" w:right="118"/>
              <w:rPr>
                <w:rFonts w:ascii="Times New Roman"/>
                <w:sz w:val="21"/>
              </w:rPr>
            </w:pPr>
            <w:r>
              <w:rPr>
                <w:rFonts w:ascii="Times New Roman"/>
                <w:sz w:val="21"/>
              </w:rPr>
              <w:t>52.3</w:t>
            </w:r>
          </w:p>
        </w:tc>
        <w:tc>
          <w:tcPr>
            <w:tcW w:w="758" w:type="dxa"/>
          </w:tcPr>
          <w:p w14:paraId="1B78363A">
            <w:pPr>
              <w:pStyle w:val="17"/>
              <w:jc w:val="left"/>
              <w:rPr>
                <w:b/>
                <w:sz w:val="22"/>
              </w:rPr>
            </w:pPr>
          </w:p>
          <w:p w14:paraId="6B2A1B44">
            <w:pPr>
              <w:pStyle w:val="17"/>
              <w:spacing w:before="8"/>
              <w:jc w:val="left"/>
              <w:rPr>
                <w:b/>
                <w:sz w:val="30"/>
              </w:rPr>
            </w:pPr>
          </w:p>
          <w:p w14:paraId="051454C2">
            <w:pPr>
              <w:pStyle w:val="17"/>
              <w:ind w:left="119" w:right="112"/>
              <w:rPr>
                <w:rFonts w:ascii="Times New Roman"/>
                <w:sz w:val="21"/>
              </w:rPr>
            </w:pPr>
            <w:r>
              <w:rPr>
                <w:rFonts w:ascii="Times New Roman"/>
                <w:sz w:val="21"/>
              </w:rPr>
              <w:t>0.785</w:t>
            </w:r>
          </w:p>
        </w:tc>
        <w:tc>
          <w:tcPr>
            <w:tcW w:w="703" w:type="dxa"/>
          </w:tcPr>
          <w:p w14:paraId="442EE260">
            <w:pPr>
              <w:pStyle w:val="17"/>
              <w:jc w:val="left"/>
              <w:rPr>
                <w:b/>
                <w:sz w:val="22"/>
              </w:rPr>
            </w:pPr>
          </w:p>
          <w:p w14:paraId="5C36B4C0">
            <w:pPr>
              <w:pStyle w:val="17"/>
              <w:spacing w:before="8"/>
              <w:jc w:val="left"/>
              <w:rPr>
                <w:b/>
                <w:sz w:val="30"/>
              </w:rPr>
            </w:pPr>
          </w:p>
          <w:p w14:paraId="32AA359E">
            <w:pPr>
              <w:pStyle w:val="17"/>
              <w:ind w:left="95" w:right="85"/>
              <w:rPr>
                <w:rFonts w:ascii="Times New Roman"/>
                <w:sz w:val="21"/>
              </w:rPr>
            </w:pPr>
            <w:r>
              <w:rPr>
                <w:rFonts w:ascii="Times New Roman"/>
                <w:sz w:val="21"/>
              </w:rPr>
              <w:t>3.769</w:t>
            </w:r>
          </w:p>
        </w:tc>
        <w:tc>
          <w:tcPr>
            <w:tcW w:w="758" w:type="dxa"/>
          </w:tcPr>
          <w:p w14:paraId="46AE1E04">
            <w:pPr>
              <w:pStyle w:val="17"/>
              <w:jc w:val="left"/>
              <w:rPr>
                <w:b/>
                <w:sz w:val="22"/>
              </w:rPr>
            </w:pPr>
          </w:p>
          <w:p w14:paraId="7C872DFB">
            <w:pPr>
              <w:pStyle w:val="17"/>
              <w:spacing w:before="8"/>
              <w:jc w:val="left"/>
              <w:rPr>
                <w:b/>
                <w:sz w:val="30"/>
              </w:rPr>
            </w:pPr>
          </w:p>
          <w:p w14:paraId="5CC53A59">
            <w:pPr>
              <w:pStyle w:val="17"/>
              <w:ind w:left="120" w:right="112"/>
              <w:rPr>
                <w:rFonts w:ascii="Times New Roman"/>
                <w:sz w:val="21"/>
              </w:rPr>
            </w:pPr>
            <w:r>
              <w:rPr>
                <w:rFonts w:ascii="Times New Roman"/>
                <w:sz w:val="21"/>
              </w:rPr>
              <w:t>0.349</w:t>
            </w:r>
          </w:p>
        </w:tc>
        <w:tc>
          <w:tcPr>
            <w:tcW w:w="703" w:type="dxa"/>
            <w:tcBorders>
              <w:right w:val="nil"/>
            </w:tcBorders>
          </w:tcPr>
          <w:p w14:paraId="232C6A5C">
            <w:pPr>
              <w:pStyle w:val="17"/>
              <w:jc w:val="left"/>
              <w:rPr>
                <w:b/>
                <w:sz w:val="22"/>
              </w:rPr>
            </w:pPr>
          </w:p>
          <w:p w14:paraId="224B27BE">
            <w:pPr>
              <w:pStyle w:val="17"/>
              <w:spacing w:before="8"/>
              <w:jc w:val="left"/>
              <w:rPr>
                <w:b/>
                <w:sz w:val="30"/>
              </w:rPr>
            </w:pPr>
          </w:p>
          <w:p w14:paraId="3E6A6F34">
            <w:pPr>
              <w:pStyle w:val="17"/>
              <w:ind w:left="94" w:right="90"/>
              <w:rPr>
                <w:rFonts w:ascii="Times New Roman"/>
                <w:sz w:val="21"/>
              </w:rPr>
            </w:pPr>
            <w:r>
              <w:rPr>
                <w:rFonts w:ascii="Times New Roman"/>
                <w:sz w:val="21"/>
              </w:rPr>
              <w:t>1.675</w:t>
            </w:r>
          </w:p>
        </w:tc>
      </w:tr>
      <w:tr w14:paraId="6DF27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800" w:type="dxa"/>
            <w:vMerge w:val="continue"/>
            <w:tcBorders>
              <w:top w:val="nil"/>
              <w:left w:val="nil"/>
            </w:tcBorders>
          </w:tcPr>
          <w:p w14:paraId="4193C233">
            <w:pPr>
              <w:rPr>
                <w:sz w:val="2"/>
                <w:szCs w:val="2"/>
              </w:rPr>
            </w:pPr>
          </w:p>
        </w:tc>
        <w:tc>
          <w:tcPr>
            <w:tcW w:w="498" w:type="dxa"/>
          </w:tcPr>
          <w:p w14:paraId="4373A863">
            <w:pPr>
              <w:pStyle w:val="17"/>
              <w:spacing w:before="23" w:line="285" w:lineRule="auto"/>
              <w:ind w:left="142" w:right="134"/>
              <w:jc w:val="both"/>
              <w:rPr>
                <w:sz w:val="21"/>
              </w:rPr>
            </w:pPr>
            <w:r>
              <w:rPr>
                <w:sz w:val="21"/>
              </w:rPr>
              <w:t>臭气浓</w:t>
            </w:r>
          </w:p>
          <w:p w14:paraId="5BC0F75B">
            <w:pPr>
              <w:pStyle w:val="17"/>
              <w:spacing w:line="266" w:lineRule="exact"/>
              <w:ind w:left="142"/>
              <w:jc w:val="both"/>
              <w:rPr>
                <w:sz w:val="21"/>
              </w:rPr>
            </w:pPr>
            <w:r>
              <w:rPr>
                <w:w w:val="99"/>
                <w:sz w:val="21"/>
              </w:rPr>
              <w:t>度</w:t>
            </w:r>
          </w:p>
        </w:tc>
        <w:tc>
          <w:tcPr>
            <w:tcW w:w="462" w:type="dxa"/>
          </w:tcPr>
          <w:p w14:paraId="259B70A5">
            <w:pPr>
              <w:pStyle w:val="17"/>
              <w:jc w:val="left"/>
              <w:rPr>
                <w:b/>
                <w:sz w:val="22"/>
              </w:rPr>
            </w:pPr>
          </w:p>
          <w:p w14:paraId="2B74D2CF">
            <w:pPr>
              <w:pStyle w:val="17"/>
              <w:spacing w:before="2"/>
              <w:jc w:val="left"/>
              <w:rPr>
                <w:b/>
                <w:sz w:val="18"/>
              </w:rPr>
            </w:pPr>
          </w:p>
          <w:p w14:paraId="68AF494D">
            <w:pPr>
              <w:pStyle w:val="17"/>
              <w:ind w:left="9"/>
              <w:rPr>
                <w:rFonts w:ascii="Times New Roman"/>
                <w:sz w:val="21"/>
              </w:rPr>
            </w:pPr>
            <w:r>
              <w:rPr>
                <w:rFonts w:ascii="Times New Roman"/>
                <w:w w:val="99"/>
                <w:sz w:val="21"/>
              </w:rPr>
              <w:t>/</w:t>
            </w:r>
          </w:p>
        </w:tc>
        <w:tc>
          <w:tcPr>
            <w:tcW w:w="799" w:type="dxa"/>
          </w:tcPr>
          <w:p w14:paraId="49BA8D37">
            <w:pPr>
              <w:pStyle w:val="17"/>
              <w:jc w:val="left"/>
              <w:rPr>
                <w:b/>
                <w:sz w:val="22"/>
              </w:rPr>
            </w:pPr>
          </w:p>
          <w:p w14:paraId="74C97305">
            <w:pPr>
              <w:pStyle w:val="17"/>
              <w:spacing w:before="2"/>
              <w:jc w:val="left"/>
              <w:rPr>
                <w:b/>
                <w:sz w:val="18"/>
              </w:rPr>
            </w:pPr>
          </w:p>
          <w:p w14:paraId="433A17C3">
            <w:pPr>
              <w:pStyle w:val="17"/>
              <w:ind w:left="6"/>
              <w:rPr>
                <w:rFonts w:ascii="Times New Roman"/>
                <w:sz w:val="21"/>
              </w:rPr>
            </w:pPr>
            <w:r>
              <w:rPr>
                <w:rFonts w:ascii="Times New Roman"/>
                <w:w w:val="99"/>
                <w:sz w:val="21"/>
              </w:rPr>
              <w:t>/</w:t>
            </w:r>
          </w:p>
        </w:tc>
        <w:tc>
          <w:tcPr>
            <w:tcW w:w="794" w:type="dxa"/>
          </w:tcPr>
          <w:p w14:paraId="75A1E358">
            <w:pPr>
              <w:pStyle w:val="17"/>
              <w:jc w:val="left"/>
              <w:rPr>
                <w:b/>
                <w:sz w:val="22"/>
              </w:rPr>
            </w:pPr>
          </w:p>
          <w:p w14:paraId="6B46323F">
            <w:pPr>
              <w:pStyle w:val="17"/>
              <w:spacing w:before="2"/>
              <w:jc w:val="left"/>
              <w:rPr>
                <w:b/>
                <w:sz w:val="18"/>
              </w:rPr>
            </w:pPr>
          </w:p>
          <w:p w14:paraId="1DE10821">
            <w:pPr>
              <w:pStyle w:val="17"/>
              <w:ind w:left="11"/>
              <w:rPr>
                <w:rFonts w:ascii="Times New Roman"/>
                <w:sz w:val="21"/>
              </w:rPr>
            </w:pPr>
            <w:r>
              <w:rPr>
                <w:rFonts w:ascii="Times New Roman"/>
                <w:w w:val="99"/>
                <w:sz w:val="21"/>
              </w:rPr>
              <w:t>/</w:t>
            </w:r>
          </w:p>
        </w:tc>
        <w:tc>
          <w:tcPr>
            <w:tcW w:w="750" w:type="dxa"/>
            <w:vMerge w:val="continue"/>
            <w:tcBorders>
              <w:top w:val="nil"/>
            </w:tcBorders>
          </w:tcPr>
          <w:p w14:paraId="32C2D8DC">
            <w:pPr>
              <w:rPr>
                <w:sz w:val="2"/>
                <w:szCs w:val="2"/>
              </w:rPr>
            </w:pPr>
          </w:p>
        </w:tc>
        <w:tc>
          <w:tcPr>
            <w:tcW w:w="874" w:type="dxa"/>
          </w:tcPr>
          <w:p w14:paraId="045BB35F">
            <w:pPr>
              <w:pStyle w:val="17"/>
              <w:jc w:val="left"/>
              <w:rPr>
                <w:b/>
                <w:sz w:val="22"/>
              </w:rPr>
            </w:pPr>
          </w:p>
          <w:p w14:paraId="06F5DBB0">
            <w:pPr>
              <w:pStyle w:val="17"/>
              <w:spacing w:before="2"/>
              <w:jc w:val="left"/>
              <w:rPr>
                <w:b/>
                <w:sz w:val="18"/>
              </w:rPr>
            </w:pPr>
          </w:p>
          <w:p w14:paraId="7D5EB921">
            <w:pPr>
              <w:pStyle w:val="17"/>
              <w:ind w:left="11"/>
              <w:rPr>
                <w:rFonts w:ascii="Times New Roman"/>
                <w:sz w:val="21"/>
              </w:rPr>
            </w:pPr>
            <w:r>
              <w:rPr>
                <w:rFonts w:ascii="Times New Roman"/>
                <w:w w:val="99"/>
                <w:sz w:val="21"/>
              </w:rPr>
              <w:t>/</w:t>
            </w:r>
          </w:p>
        </w:tc>
        <w:tc>
          <w:tcPr>
            <w:tcW w:w="758" w:type="dxa"/>
          </w:tcPr>
          <w:p w14:paraId="275718BB">
            <w:pPr>
              <w:pStyle w:val="17"/>
              <w:jc w:val="left"/>
              <w:rPr>
                <w:b/>
                <w:sz w:val="22"/>
              </w:rPr>
            </w:pPr>
          </w:p>
          <w:p w14:paraId="341A945E">
            <w:pPr>
              <w:pStyle w:val="17"/>
              <w:spacing w:before="2"/>
              <w:jc w:val="left"/>
              <w:rPr>
                <w:b/>
                <w:sz w:val="18"/>
              </w:rPr>
            </w:pPr>
          </w:p>
          <w:p w14:paraId="65909285">
            <w:pPr>
              <w:pStyle w:val="17"/>
              <w:ind w:left="11"/>
              <w:rPr>
                <w:rFonts w:ascii="Times New Roman"/>
                <w:sz w:val="21"/>
              </w:rPr>
            </w:pPr>
            <w:r>
              <w:rPr>
                <w:rFonts w:ascii="Times New Roman"/>
                <w:w w:val="99"/>
                <w:sz w:val="21"/>
              </w:rPr>
              <w:t>/</w:t>
            </w:r>
          </w:p>
        </w:tc>
        <w:tc>
          <w:tcPr>
            <w:tcW w:w="799" w:type="dxa"/>
          </w:tcPr>
          <w:p w14:paraId="6AF5B665">
            <w:pPr>
              <w:pStyle w:val="17"/>
              <w:jc w:val="left"/>
              <w:rPr>
                <w:b/>
                <w:sz w:val="22"/>
              </w:rPr>
            </w:pPr>
          </w:p>
          <w:p w14:paraId="57A75750">
            <w:pPr>
              <w:pStyle w:val="17"/>
              <w:spacing w:before="2"/>
              <w:jc w:val="left"/>
              <w:rPr>
                <w:b/>
                <w:sz w:val="18"/>
              </w:rPr>
            </w:pPr>
          </w:p>
          <w:p w14:paraId="46AE06A8">
            <w:pPr>
              <w:pStyle w:val="17"/>
              <w:ind w:left="9"/>
              <w:rPr>
                <w:rFonts w:ascii="Times New Roman"/>
                <w:sz w:val="21"/>
              </w:rPr>
            </w:pPr>
            <w:r>
              <w:rPr>
                <w:rFonts w:ascii="Times New Roman"/>
                <w:w w:val="99"/>
                <w:sz w:val="21"/>
              </w:rPr>
              <w:t>/</w:t>
            </w:r>
          </w:p>
        </w:tc>
        <w:tc>
          <w:tcPr>
            <w:tcW w:w="2290" w:type="dxa"/>
            <w:vMerge w:val="continue"/>
            <w:tcBorders>
              <w:top w:val="nil"/>
            </w:tcBorders>
          </w:tcPr>
          <w:p w14:paraId="0F8E6B36">
            <w:pPr>
              <w:rPr>
                <w:sz w:val="2"/>
                <w:szCs w:val="2"/>
              </w:rPr>
            </w:pPr>
          </w:p>
        </w:tc>
        <w:tc>
          <w:tcPr>
            <w:tcW w:w="772" w:type="dxa"/>
          </w:tcPr>
          <w:p w14:paraId="35F209D2">
            <w:pPr>
              <w:pStyle w:val="17"/>
              <w:jc w:val="left"/>
              <w:rPr>
                <w:b/>
                <w:sz w:val="22"/>
              </w:rPr>
            </w:pPr>
          </w:p>
          <w:p w14:paraId="1288CB1D">
            <w:pPr>
              <w:pStyle w:val="17"/>
              <w:spacing w:before="2"/>
              <w:jc w:val="left"/>
              <w:rPr>
                <w:b/>
                <w:sz w:val="18"/>
              </w:rPr>
            </w:pPr>
          </w:p>
          <w:p w14:paraId="57A744C9">
            <w:pPr>
              <w:pStyle w:val="17"/>
              <w:ind w:left="192"/>
              <w:jc w:val="left"/>
              <w:rPr>
                <w:rFonts w:ascii="Times New Roman"/>
                <w:sz w:val="21"/>
              </w:rPr>
            </w:pPr>
            <w:r>
              <w:rPr>
                <w:rFonts w:ascii="Times New Roman"/>
                <w:sz w:val="21"/>
              </w:rPr>
              <w:t>90%</w:t>
            </w:r>
          </w:p>
        </w:tc>
        <w:tc>
          <w:tcPr>
            <w:tcW w:w="765" w:type="dxa"/>
          </w:tcPr>
          <w:p w14:paraId="44E6BBA2">
            <w:pPr>
              <w:pStyle w:val="17"/>
              <w:jc w:val="left"/>
              <w:rPr>
                <w:b/>
                <w:sz w:val="22"/>
              </w:rPr>
            </w:pPr>
          </w:p>
          <w:p w14:paraId="5E031238">
            <w:pPr>
              <w:pStyle w:val="17"/>
              <w:spacing w:before="2"/>
              <w:jc w:val="left"/>
              <w:rPr>
                <w:b/>
                <w:sz w:val="18"/>
              </w:rPr>
            </w:pPr>
          </w:p>
          <w:p w14:paraId="26195AEC">
            <w:pPr>
              <w:pStyle w:val="17"/>
              <w:ind w:left="168" w:right="161"/>
              <w:rPr>
                <w:rFonts w:ascii="Times New Roman"/>
                <w:sz w:val="21"/>
              </w:rPr>
            </w:pPr>
            <w:r>
              <w:rPr>
                <w:rFonts w:ascii="Times New Roman"/>
                <w:sz w:val="21"/>
              </w:rPr>
              <w:t>75%</w:t>
            </w:r>
          </w:p>
        </w:tc>
        <w:tc>
          <w:tcPr>
            <w:tcW w:w="891" w:type="dxa"/>
          </w:tcPr>
          <w:p w14:paraId="71B176DD">
            <w:pPr>
              <w:pStyle w:val="17"/>
              <w:spacing w:before="181"/>
              <w:ind w:left="129"/>
              <w:jc w:val="left"/>
              <w:rPr>
                <w:rFonts w:ascii="Times New Roman" w:eastAsia="Times New Roman"/>
                <w:sz w:val="21"/>
              </w:rPr>
            </w:pPr>
            <w:r>
              <w:rPr>
                <w:sz w:val="21"/>
              </w:rPr>
              <w:t>＜</w:t>
            </w:r>
            <w:r>
              <w:rPr>
                <w:rFonts w:ascii="Times New Roman" w:eastAsia="Times New Roman"/>
                <w:sz w:val="21"/>
              </w:rPr>
              <w:t>2000</w:t>
            </w:r>
          </w:p>
          <w:p w14:paraId="2395B614">
            <w:pPr>
              <w:pStyle w:val="17"/>
              <w:spacing w:before="50" w:line="285" w:lineRule="auto"/>
              <w:ind w:left="234" w:right="120" w:hanging="106"/>
              <w:jc w:val="left"/>
              <w:rPr>
                <w:sz w:val="21"/>
              </w:rPr>
            </w:pPr>
            <w:r>
              <w:rPr>
                <w:sz w:val="21"/>
              </w:rPr>
              <w:t>（无量纲）</w:t>
            </w:r>
          </w:p>
        </w:tc>
        <w:tc>
          <w:tcPr>
            <w:tcW w:w="758" w:type="dxa"/>
          </w:tcPr>
          <w:p w14:paraId="49C13C79">
            <w:pPr>
              <w:pStyle w:val="17"/>
              <w:jc w:val="left"/>
              <w:rPr>
                <w:b/>
                <w:sz w:val="22"/>
              </w:rPr>
            </w:pPr>
          </w:p>
          <w:p w14:paraId="60AA61D6">
            <w:pPr>
              <w:pStyle w:val="17"/>
              <w:spacing w:before="2"/>
              <w:jc w:val="left"/>
              <w:rPr>
                <w:b/>
                <w:sz w:val="18"/>
              </w:rPr>
            </w:pPr>
          </w:p>
          <w:p w14:paraId="3382231B">
            <w:pPr>
              <w:pStyle w:val="17"/>
              <w:ind w:left="8"/>
              <w:rPr>
                <w:rFonts w:ascii="Times New Roman"/>
                <w:sz w:val="21"/>
              </w:rPr>
            </w:pPr>
            <w:r>
              <w:rPr>
                <w:rFonts w:ascii="Times New Roman"/>
                <w:w w:val="99"/>
                <w:sz w:val="21"/>
              </w:rPr>
              <w:t>/</w:t>
            </w:r>
          </w:p>
        </w:tc>
        <w:tc>
          <w:tcPr>
            <w:tcW w:w="703" w:type="dxa"/>
          </w:tcPr>
          <w:p w14:paraId="1D20C57F">
            <w:pPr>
              <w:pStyle w:val="17"/>
              <w:jc w:val="left"/>
              <w:rPr>
                <w:b/>
                <w:sz w:val="22"/>
              </w:rPr>
            </w:pPr>
          </w:p>
          <w:p w14:paraId="48DA5955">
            <w:pPr>
              <w:pStyle w:val="17"/>
              <w:spacing w:before="2"/>
              <w:jc w:val="left"/>
              <w:rPr>
                <w:b/>
                <w:sz w:val="18"/>
              </w:rPr>
            </w:pPr>
          </w:p>
          <w:p w14:paraId="68CD31C7">
            <w:pPr>
              <w:pStyle w:val="17"/>
              <w:ind w:left="7"/>
              <w:rPr>
                <w:rFonts w:ascii="Times New Roman"/>
                <w:sz w:val="21"/>
              </w:rPr>
            </w:pPr>
            <w:r>
              <w:rPr>
                <w:rFonts w:ascii="Times New Roman"/>
                <w:w w:val="99"/>
                <w:sz w:val="21"/>
              </w:rPr>
              <w:t>/</w:t>
            </w:r>
          </w:p>
        </w:tc>
        <w:tc>
          <w:tcPr>
            <w:tcW w:w="758" w:type="dxa"/>
          </w:tcPr>
          <w:p w14:paraId="68FFCF0D">
            <w:pPr>
              <w:pStyle w:val="17"/>
              <w:jc w:val="left"/>
              <w:rPr>
                <w:b/>
                <w:sz w:val="22"/>
              </w:rPr>
            </w:pPr>
          </w:p>
          <w:p w14:paraId="77745145">
            <w:pPr>
              <w:pStyle w:val="17"/>
              <w:spacing w:before="2"/>
              <w:jc w:val="left"/>
              <w:rPr>
                <w:b/>
                <w:sz w:val="18"/>
              </w:rPr>
            </w:pPr>
          </w:p>
          <w:p w14:paraId="778FE125">
            <w:pPr>
              <w:pStyle w:val="17"/>
              <w:ind w:left="10"/>
              <w:rPr>
                <w:rFonts w:ascii="Times New Roman"/>
                <w:sz w:val="21"/>
              </w:rPr>
            </w:pPr>
            <w:r>
              <w:rPr>
                <w:rFonts w:ascii="Times New Roman"/>
                <w:w w:val="99"/>
                <w:sz w:val="21"/>
              </w:rPr>
              <w:t>/</w:t>
            </w:r>
          </w:p>
        </w:tc>
        <w:tc>
          <w:tcPr>
            <w:tcW w:w="703" w:type="dxa"/>
            <w:tcBorders>
              <w:right w:val="nil"/>
            </w:tcBorders>
          </w:tcPr>
          <w:p w14:paraId="136FE1A8">
            <w:pPr>
              <w:pStyle w:val="17"/>
              <w:jc w:val="left"/>
              <w:rPr>
                <w:b/>
                <w:sz w:val="22"/>
              </w:rPr>
            </w:pPr>
          </w:p>
          <w:p w14:paraId="3965745A">
            <w:pPr>
              <w:pStyle w:val="17"/>
              <w:spacing w:before="2"/>
              <w:jc w:val="left"/>
              <w:rPr>
                <w:b/>
                <w:sz w:val="18"/>
              </w:rPr>
            </w:pPr>
          </w:p>
          <w:p w14:paraId="7175FA95">
            <w:pPr>
              <w:pStyle w:val="17"/>
              <w:ind w:left="3"/>
              <w:rPr>
                <w:rFonts w:ascii="Times New Roman"/>
                <w:sz w:val="21"/>
              </w:rPr>
            </w:pPr>
            <w:r>
              <w:rPr>
                <w:rFonts w:ascii="Times New Roman"/>
                <w:w w:val="99"/>
                <w:sz w:val="21"/>
              </w:rPr>
              <w:t>/</w:t>
            </w:r>
          </w:p>
        </w:tc>
      </w:tr>
    </w:tbl>
    <w:p w14:paraId="56C3E765">
      <w:pPr>
        <w:pStyle w:val="10"/>
        <w:rPr>
          <w:b/>
          <w:sz w:val="26"/>
        </w:rPr>
      </w:pPr>
    </w:p>
    <w:p w14:paraId="3D26D3BD">
      <w:pPr>
        <w:pStyle w:val="10"/>
        <w:rPr>
          <w:b/>
          <w:sz w:val="26"/>
        </w:rPr>
      </w:pPr>
    </w:p>
    <w:p w14:paraId="46AD3E37">
      <w:pPr>
        <w:pStyle w:val="10"/>
        <w:rPr>
          <w:b/>
          <w:sz w:val="26"/>
        </w:rPr>
      </w:pPr>
    </w:p>
    <w:p w14:paraId="04E2CE77">
      <w:pPr>
        <w:pStyle w:val="10"/>
        <w:spacing w:before="9"/>
        <w:rPr>
          <w:b/>
          <w:sz w:val="23"/>
        </w:rPr>
      </w:pPr>
    </w:p>
    <w:p w14:paraId="062531EC">
      <w:pPr>
        <w:spacing w:before="0"/>
        <w:ind w:left="4912" w:right="4912" w:firstLine="0"/>
        <w:jc w:val="center"/>
        <w:rPr>
          <w:rFonts w:ascii="Times New Roman"/>
          <w:sz w:val="21"/>
        </w:rPr>
      </w:pPr>
      <w:r>
        <w:rPr>
          <w:rFonts w:ascii="Times New Roman"/>
          <w:sz w:val="21"/>
        </w:rPr>
        <w:t>56</w:t>
      </w:r>
    </w:p>
    <w:p w14:paraId="50EA4E9E">
      <w:pPr>
        <w:spacing w:after="0"/>
        <w:jc w:val="center"/>
        <w:rPr>
          <w:rFonts w:ascii="Times New Roman"/>
          <w:sz w:val="21"/>
        </w:rPr>
        <w:sectPr>
          <w:footerReference r:id="rId11" w:type="default"/>
          <w:pgSz w:w="16840" w:h="11910" w:orient="landscape"/>
          <w:pgMar w:top="1100" w:right="1220" w:bottom="280" w:left="1220" w:header="0" w:footer="0" w:gutter="0"/>
          <w:cols w:space="720" w:num="1"/>
        </w:sectPr>
      </w:pPr>
    </w:p>
    <w:p w14:paraId="36729E61">
      <w:pPr>
        <w:pStyle w:val="10"/>
        <w:spacing w:before="62"/>
        <w:ind w:left="640"/>
      </w:pPr>
      <w:r>
        <w:rPr>
          <w:rFonts w:ascii="Times New Roman" w:eastAsia="Times New Roman"/>
        </w:rPr>
        <w:t>3</w:t>
      </w:r>
      <w:r>
        <w:t>、非正常排放废气</w:t>
      </w:r>
    </w:p>
    <w:p w14:paraId="106EB337">
      <w:pPr>
        <w:pStyle w:val="10"/>
        <w:spacing w:before="160" w:line="364" w:lineRule="auto"/>
        <w:ind w:left="160" w:right="237" w:firstLine="480"/>
        <w:jc w:val="both"/>
      </w:pPr>
      <w:r>
        <w:t>根据《环境影响评价技术导则 大气环境》（</w:t>
      </w:r>
      <w:r>
        <w:rPr>
          <w:rFonts w:ascii="Times New Roman" w:hAnsi="Times New Roman" w:eastAsia="Times New Roman"/>
        </w:rPr>
        <w:t>HJ2.2-2018</w:t>
      </w:r>
      <w:r>
        <w:t>）中对废气非正常</w:t>
      </w:r>
      <w:r>
        <w:rPr>
          <w:spacing w:val="-6"/>
        </w:rPr>
        <w:t>排放的定义，“生产过程中开停车</w:t>
      </w:r>
      <w:r>
        <w:t>（</w:t>
      </w:r>
      <w:r>
        <w:rPr>
          <w:spacing w:val="-6"/>
        </w:rPr>
        <w:t>工、炉</w:t>
      </w:r>
      <w:r>
        <w:rPr>
          <w:spacing w:val="-12"/>
        </w:rPr>
        <w:t>）</w:t>
      </w:r>
      <w:r>
        <w:rPr>
          <w:spacing w:val="-6"/>
        </w:rPr>
        <w:t>、设备检修、工艺设备运转异常等</w:t>
      </w:r>
      <w:r>
        <w:rPr>
          <w:spacing w:val="-13"/>
        </w:rPr>
        <w:t>非正常工况下的污染物排放，以及污染物排放控制措施达不到应有效率等情况下</w:t>
      </w:r>
      <w:r>
        <w:rPr>
          <w:spacing w:val="-2"/>
        </w:rPr>
        <w:t>的排放”。本项目非正常排放主要考虑布袋除尘器、布袋除尘器</w:t>
      </w:r>
      <w:r>
        <w:rPr>
          <w:rFonts w:ascii="Times New Roman" w:hAnsi="Times New Roman" w:eastAsia="Times New Roman"/>
        </w:rPr>
        <w:t>+</w:t>
      </w:r>
      <w:r>
        <w:t>过滤棉</w:t>
      </w:r>
      <w:r>
        <w:rPr>
          <w:rFonts w:ascii="Times New Roman" w:hAnsi="Times New Roman" w:eastAsia="Times New Roman"/>
        </w:rPr>
        <w:t>+</w:t>
      </w:r>
      <w:r>
        <w:t>二级</w:t>
      </w:r>
      <w:r>
        <w:rPr>
          <w:spacing w:val="-13"/>
        </w:rPr>
        <w:t xml:space="preserve">活性炭吸附装置故障，处理系统处理效率为 </w:t>
      </w:r>
      <w:r>
        <w:rPr>
          <w:rFonts w:ascii="Times New Roman" w:hAnsi="Times New Roman" w:eastAsia="Times New Roman"/>
        </w:rPr>
        <w:t xml:space="preserve">0 </w:t>
      </w:r>
      <w:r>
        <w:t>情况下排气筒排放的主要污染物排放情况，具体见下表。</w:t>
      </w:r>
    </w:p>
    <w:p w14:paraId="461169C8">
      <w:pPr>
        <w:pStyle w:val="9"/>
        <w:spacing w:before="0" w:line="234" w:lineRule="exact"/>
        <w:ind w:left="2508" w:right="2588"/>
        <w:jc w:val="center"/>
      </w:pPr>
      <w:r>
        <w:t xml:space="preserve">表 </w:t>
      </w:r>
      <w:r>
        <w:rPr>
          <w:rFonts w:ascii="Times New Roman" w:eastAsia="Times New Roman"/>
        </w:rPr>
        <w:t xml:space="preserve">2.4-2 </w:t>
      </w:r>
      <w:r>
        <w:t>本项目非正常排放参数表</w:t>
      </w:r>
    </w:p>
    <w:tbl>
      <w:tblPr>
        <w:tblStyle w:val="13"/>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450"/>
        <w:gridCol w:w="1075"/>
        <w:gridCol w:w="1169"/>
        <w:gridCol w:w="1260"/>
        <w:gridCol w:w="900"/>
        <w:gridCol w:w="819"/>
        <w:gridCol w:w="886"/>
      </w:tblGrid>
      <w:tr w14:paraId="08917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44" w:type="dxa"/>
            <w:tcBorders>
              <w:left w:val="nil"/>
            </w:tcBorders>
          </w:tcPr>
          <w:p w14:paraId="4E4DC0AA">
            <w:pPr>
              <w:pStyle w:val="17"/>
              <w:spacing w:before="177" w:line="278" w:lineRule="auto"/>
              <w:ind w:left="111" w:right="96"/>
              <w:jc w:val="left"/>
              <w:rPr>
                <w:sz w:val="21"/>
              </w:rPr>
            </w:pPr>
            <w:r>
              <w:rPr>
                <w:sz w:val="21"/>
              </w:rPr>
              <w:t>非正常排放源</w:t>
            </w:r>
          </w:p>
        </w:tc>
        <w:tc>
          <w:tcPr>
            <w:tcW w:w="1450" w:type="dxa"/>
          </w:tcPr>
          <w:p w14:paraId="7EE2CBED">
            <w:pPr>
              <w:pStyle w:val="17"/>
              <w:spacing w:before="177" w:line="278" w:lineRule="auto"/>
              <w:ind w:left="620" w:right="85" w:hanging="526"/>
              <w:jc w:val="left"/>
              <w:rPr>
                <w:sz w:val="21"/>
              </w:rPr>
            </w:pPr>
            <w:r>
              <w:rPr>
                <w:w w:val="95"/>
                <w:sz w:val="21"/>
              </w:rPr>
              <w:t>非正常排放原</w:t>
            </w:r>
            <w:r>
              <w:rPr>
                <w:sz w:val="21"/>
              </w:rPr>
              <w:t>因</w:t>
            </w:r>
          </w:p>
        </w:tc>
        <w:tc>
          <w:tcPr>
            <w:tcW w:w="1075" w:type="dxa"/>
          </w:tcPr>
          <w:p w14:paraId="4437C6E8">
            <w:pPr>
              <w:pStyle w:val="17"/>
              <w:jc w:val="left"/>
              <w:rPr>
                <w:b/>
                <w:sz w:val="26"/>
              </w:rPr>
            </w:pPr>
          </w:p>
          <w:p w14:paraId="1A1409EC">
            <w:pPr>
              <w:pStyle w:val="17"/>
              <w:ind w:left="221"/>
              <w:jc w:val="left"/>
              <w:rPr>
                <w:sz w:val="21"/>
              </w:rPr>
            </w:pPr>
            <w:r>
              <w:rPr>
                <w:sz w:val="21"/>
              </w:rPr>
              <w:t>污染物</w:t>
            </w:r>
          </w:p>
        </w:tc>
        <w:tc>
          <w:tcPr>
            <w:tcW w:w="1169" w:type="dxa"/>
          </w:tcPr>
          <w:p w14:paraId="67701AC4">
            <w:pPr>
              <w:pStyle w:val="17"/>
              <w:spacing w:before="177" w:line="278" w:lineRule="auto"/>
              <w:ind w:left="51" w:right="49" w:firstLine="7"/>
              <w:jc w:val="left"/>
              <w:rPr>
                <w:rFonts w:ascii="Times New Roman" w:eastAsia="Times New Roman"/>
                <w:sz w:val="21"/>
              </w:rPr>
            </w:pPr>
            <w:r>
              <w:rPr>
                <w:sz w:val="21"/>
              </w:rPr>
              <w:t>非正常排放速率（</w:t>
            </w:r>
            <w:r>
              <w:rPr>
                <w:rFonts w:ascii="Times New Roman" w:eastAsia="Times New Roman"/>
                <w:sz w:val="21"/>
              </w:rPr>
              <w:t>kg/h</w:t>
            </w:r>
          </w:p>
        </w:tc>
        <w:tc>
          <w:tcPr>
            <w:tcW w:w="1260" w:type="dxa"/>
          </w:tcPr>
          <w:p w14:paraId="6410CC5E">
            <w:pPr>
              <w:pStyle w:val="17"/>
              <w:spacing w:before="21"/>
              <w:ind w:left="82" w:right="75"/>
              <w:rPr>
                <w:sz w:val="21"/>
              </w:rPr>
            </w:pPr>
            <w:r>
              <w:rPr>
                <w:sz w:val="21"/>
              </w:rPr>
              <w:t>非正常排放</w:t>
            </w:r>
          </w:p>
          <w:p w14:paraId="5847E7DD">
            <w:pPr>
              <w:pStyle w:val="17"/>
              <w:spacing w:before="43" w:line="213" w:lineRule="exact"/>
              <w:ind w:left="83" w:right="75"/>
              <w:rPr>
                <w:rFonts w:ascii="Times New Roman" w:eastAsia="Times New Roman"/>
                <w:sz w:val="21"/>
              </w:rPr>
            </w:pPr>
            <w:r>
              <w:rPr>
                <w:sz w:val="21"/>
              </w:rPr>
              <w:t>浓度</w:t>
            </w:r>
            <w:r>
              <w:rPr>
                <w:rFonts w:ascii="Times New Roman" w:eastAsia="Times New Roman"/>
                <w:sz w:val="21"/>
              </w:rPr>
              <w:t>/</w:t>
            </w:r>
          </w:p>
          <w:p w14:paraId="379B1EC8">
            <w:pPr>
              <w:pStyle w:val="17"/>
              <w:spacing w:line="156" w:lineRule="exact"/>
              <w:ind w:left="-158"/>
              <w:jc w:val="left"/>
              <w:rPr>
                <w:sz w:val="21"/>
              </w:rPr>
            </w:pPr>
            <w:r>
              <w:rPr>
                <w:w w:val="99"/>
                <w:sz w:val="21"/>
              </w:rPr>
              <w:t>）</w:t>
            </w:r>
          </w:p>
          <w:p w14:paraId="59B549CE">
            <w:pPr>
              <w:pStyle w:val="17"/>
              <w:spacing w:line="213" w:lineRule="exact"/>
              <w:ind w:left="82" w:right="75"/>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900" w:type="dxa"/>
          </w:tcPr>
          <w:p w14:paraId="3C362E43">
            <w:pPr>
              <w:pStyle w:val="17"/>
              <w:spacing w:before="177" w:line="278" w:lineRule="auto"/>
              <w:ind w:left="51" w:right="43" w:firstLine="84"/>
              <w:jc w:val="left"/>
              <w:rPr>
                <w:rFonts w:ascii="Times New Roman" w:eastAsia="Times New Roman"/>
                <w:sz w:val="21"/>
              </w:rPr>
            </w:pPr>
            <w:r>
              <w:rPr>
                <w:sz w:val="21"/>
              </w:rPr>
              <w:t>单次持续时间</w:t>
            </w:r>
            <w:r>
              <w:rPr>
                <w:rFonts w:ascii="Times New Roman" w:eastAsia="Times New Roman"/>
                <w:sz w:val="21"/>
              </w:rPr>
              <w:t>/h</w:t>
            </w:r>
          </w:p>
        </w:tc>
        <w:tc>
          <w:tcPr>
            <w:tcW w:w="819" w:type="dxa"/>
          </w:tcPr>
          <w:p w14:paraId="297870B8">
            <w:pPr>
              <w:pStyle w:val="17"/>
              <w:spacing w:before="177" w:line="278" w:lineRule="auto"/>
              <w:ind w:left="63" w:right="54" w:firstLine="31"/>
              <w:jc w:val="left"/>
              <w:rPr>
                <w:sz w:val="21"/>
              </w:rPr>
            </w:pPr>
            <w:r>
              <w:rPr>
                <w:sz w:val="21"/>
              </w:rPr>
              <w:t>年发生频次</w:t>
            </w:r>
            <w:r>
              <w:rPr>
                <w:rFonts w:ascii="Times New Roman" w:eastAsia="Times New Roman"/>
                <w:sz w:val="21"/>
              </w:rPr>
              <w:t>/</w:t>
            </w:r>
            <w:r>
              <w:rPr>
                <w:sz w:val="21"/>
              </w:rPr>
              <w:t>次</w:t>
            </w:r>
          </w:p>
        </w:tc>
        <w:tc>
          <w:tcPr>
            <w:tcW w:w="886" w:type="dxa"/>
            <w:tcBorders>
              <w:right w:val="nil"/>
            </w:tcBorders>
          </w:tcPr>
          <w:p w14:paraId="4357F5AC">
            <w:pPr>
              <w:pStyle w:val="17"/>
              <w:spacing w:before="21" w:line="278" w:lineRule="auto"/>
              <w:ind w:left="127" w:right="122"/>
              <w:jc w:val="left"/>
              <w:rPr>
                <w:sz w:val="21"/>
              </w:rPr>
            </w:pPr>
            <w:r>
              <w:rPr>
                <w:sz w:val="21"/>
              </w:rPr>
              <w:t>非正常排放量</w:t>
            </w:r>
          </w:p>
          <w:p w14:paraId="402656A8">
            <w:pPr>
              <w:pStyle w:val="17"/>
              <w:spacing w:line="269" w:lineRule="exact"/>
              <w:ind w:left="50"/>
              <w:jc w:val="left"/>
              <w:rPr>
                <w:sz w:val="21"/>
              </w:rPr>
            </w:pPr>
            <w:r>
              <w:rPr>
                <w:sz w:val="21"/>
              </w:rPr>
              <w:t>（</w:t>
            </w:r>
            <w:r>
              <w:rPr>
                <w:rFonts w:ascii="Times New Roman" w:eastAsia="Times New Roman"/>
                <w:sz w:val="21"/>
              </w:rPr>
              <w:t>kg/a</w:t>
            </w:r>
            <w:r>
              <w:rPr>
                <w:sz w:val="21"/>
              </w:rPr>
              <w:t>）</w:t>
            </w:r>
          </w:p>
        </w:tc>
      </w:tr>
      <w:tr w14:paraId="020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44" w:type="dxa"/>
            <w:tcBorders>
              <w:left w:val="nil"/>
            </w:tcBorders>
          </w:tcPr>
          <w:p w14:paraId="130F6D8B">
            <w:pPr>
              <w:pStyle w:val="17"/>
              <w:spacing w:before="34"/>
              <w:ind w:left="118"/>
              <w:jc w:val="left"/>
              <w:rPr>
                <w:rFonts w:ascii="Times New Roman"/>
                <w:sz w:val="21"/>
              </w:rPr>
            </w:pPr>
            <w:r>
              <w:rPr>
                <w:rFonts w:ascii="Times New Roman"/>
                <w:sz w:val="21"/>
              </w:rPr>
              <w:t>DA001</w:t>
            </w:r>
          </w:p>
          <w:p w14:paraId="318E829A">
            <w:pPr>
              <w:pStyle w:val="17"/>
              <w:spacing w:before="57"/>
              <w:ind w:left="111"/>
              <w:jc w:val="left"/>
              <w:rPr>
                <w:sz w:val="21"/>
              </w:rPr>
            </w:pPr>
            <w:r>
              <w:rPr>
                <w:w w:val="95"/>
                <w:sz w:val="21"/>
              </w:rPr>
              <w:t>排气筒</w:t>
            </w:r>
          </w:p>
        </w:tc>
        <w:tc>
          <w:tcPr>
            <w:tcW w:w="1450" w:type="dxa"/>
          </w:tcPr>
          <w:p w14:paraId="1C2DC342">
            <w:pPr>
              <w:pStyle w:val="17"/>
              <w:spacing w:before="21"/>
              <w:ind w:left="95"/>
              <w:jc w:val="left"/>
              <w:rPr>
                <w:sz w:val="21"/>
              </w:rPr>
            </w:pPr>
            <w:r>
              <w:rPr>
                <w:w w:val="95"/>
                <w:sz w:val="21"/>
              </w:rPr>
              <w:t>布袋除尘器装</w:t>
            </w:r>
          </w:p>
          <w:p w14:paraId="599FA4BC">
            <w:pPr>
              <w:pStyle w:val="17"/>
              <w:spacing w:before="42"/>
              <w:ind w:left="95"/>
              <w:jc w:val="left"/>
              <w:rPr>
                <w:sz w:val="21"/>
              </w:rPr>
            </w:pPr>
            <w:r>
              <w:rPr>
                <w:w w:val="95"/>
                <w:sz w:val="21"/>
              </w:rPr>
              <w:t>置故障、失效</w:t>
            </w:r>
          </w:p>
        </w:tc>
        <w:tc>
          <w:tcPr>
            <w:tcW w:w="1075" w:type="dxa"/>
          </w:tcPr>
          <w:p w14:paraId="53F3ADC9">
            <w:pPr>
              <w:pStyle w:val="17"/>
              <w:spacing w:before="177"/>
              <w:ind w:left="221"/>
              <w:jc w:val="left"/>
              <w:rPr>
                <w:sz w:val="21"/>
              </w:rPr>
            </w:pPr>
            <w:r>
              <w:rPr>
                <w:sz w:val="21"/>
              </w:rPr>
              <w:t>颗粒物</w:t>
            </w:r>
          </w:p>
        </w:tc>
        <w:tc>
          <w:tcPr>
            <w:tcW w:w="1169" w:type="dxa"/>
          </w:tcPr>
          <w:p w14:paraId="24E2848B">
            <w:pPr>
              <w:pStyle w:val="17"/>
              <w:spacing w:before="190"/>
              <w:ind w:left="346"/>
              <w:jc w:val="left"/>
              <w:rPr>
                <w:rFonts w:ascii="Times New Roman"/>
                <w:sz w:val="21"/>
              </w:rPr>
            </w:pPr>
            <w:r>
              <w:rPr>
                <w:rFonts w:ascii="Times New Roman"/>
                <w:sz w:val="21"/>
              </w:rPr>
              <w:t>0.278</w:t>
            </w:r>
          </w:p>
        </w:tc>
        <w:tc>
          <w:tcPr>
            <w:tcW w:w="1260" w:type="dxa"/>
          </w:tcPr>
          <w:p w14:paraId="0B06F01D">
            <w:pPr>
              <w:pStyle w:val="17"/>
              <w:spacing w:before="190"/>
              <w:ind w:left="83" w:right="75"/>
              <w:rPr>
                <w:rFonts w:ascii="Times New Roman"/>
                <w:sz w:val="21"/>
              </w:rPr>
            </w:pPr>
            <w:r>
              <w:rPr>
                <w:rFonts w:ascii="Times New Roman"/>
                <w:sz w:val="21"/>
              </w:rPr>
              <w:t>27.8</w:t>
            </w:r>
          </w:p>
        </w:tc>
        <w:tc>
          <w:tcPr>
            <w:tcW w:w="900" w:type="dxa"/>
          </w:tcPr>
          <w:p w14:paraId="4F1B2C7A">
            <w:pPr>
              <w:pStyle w:val="17"/>
              <w:spacing w:before="190"/>
              <w:ind w:left="8"/>
              <w:rPr>
                <w:rFonts w:ascii="Times New Roman"/>
                <w:sz w:val="21"/>
              </w:rPr>
            </w:pPr>
            <w:r>
              <w:rPr>
                <w:rFonts w:ascii="Times New Roman"/>
                <w:w w:val="99"/>
                <w:sz w:val="21"/>
              </w:rPr>
              <w:t>1</w:t>
            </w:r>
          </w:p>
        </w:tc>
        <w:tc>
          <w:tcPr>
            <w:tcW w:w="819" w:type="dxa"/>
          </w:tcPr>
          <w:p w14:paraId="7DAADDC0">
            <w:pPr>
              <w:pStyle w:val="17"/>
              <w:spacing w:before="190"/>
              <w:ind w:left="356"/>
              <w:jc w:val="left"/>
              <w:rPr>
                <w:rFonts w:ascii="Times New Roman"/>
                <w:sz w:val="21"/>
              </w:rPr>
            </w:pPr>
            <w:r>
              <w:rPr>
                <w:rFonts w:ascii="Times New Roman"/>
                <w:w w:val="99"/>
                <w:sz w:val="21"/>
              </w:rPr>
              <w:t>1</w:t>
            </w:r>
          </w:p>
        </w:tc>
        <w:tc>
          <w:tcPr>
            <w:tcW w:w="886" w:type="dxa"/>
            <w:tcBorders>
              <w:right w:val="nil"/>
            </w:tcBorders>
          </w:tcPr>
          <w:p w14:paraId="6583D30B">
            <w:pPr>
              <w:pStyle w:val="17"/>
              <w:spacing w:before="190"/>
              <w:ind w:left="204"/>
              <w:jc w:val="left"/>
              <w:rPr>
                <w:rFonts w:ascii="Times New Roman"/>
                <w:sz w:val="21"/>
              </w:rPr>
            </w:pPr>
            <w:r>
              <w:rPr>
                <w:rFonts w:ascii="Times New Roman"/>
                <w:sz w:val="21"/>
              </w:rPr>
              <w:t>0.278</w:t>
            </w:r>
          </w:p>
        </w:tc>
      </w:tr>
      <w:tr w14:paraId="31D8D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44" w:type="dxa"/>
            <w:vMerge w:val="restart"/>
            <w:tcBorders>
              <w:left w:val="nil"/>
            </w:tcBorders>
          </w:tcPr>
          <w:p w14:paraId="7AC15589">
            <w:pPr>
              <w:pStyle w:val="17"/>
              <w:jc w:val="left"/>
              <w:rPr>
                <w:b/>
                <w:sz w:val="27"/>
              </w:rPr>
            </w:pPr>
          </w:p>
          <w:p w14:paraId="74DB29C9">
            <w:pPr>
              <w:pStyle w:val="17"/>
              <w:ind w:left="118"/>
              <w:jc w:val="left"/>
              <w:rPr>
                <w:rFonts w:ascii="Times New Roman"/>
                <w:sz w:val="21"/>
              </w:rPr>
            </w:pPr>
            <w:r>
              <w:rPr>
                <w:rFonts w:ascii="Times New Roman"/>
                <w:sz w:val="21"/>
              </w:rPr>
              <w:t>DA002</w:t>
            </w:r>
          </w:p>
          <w:p w14:paraId="09BBC119">
            <w:pPr>
              <w:pStyle w:val="17"/>
              <w:spacing w:before="57"/>
              <w:ind w:left="111"/>
              <w:jc w:val="left"/>
              <w:rPr>
                <w:sz w:val="21"/>
              </w:rPr>
            </w:pPr>
            <w:r>
              <w:rPr>
                <w:w w:val="95"/>
                <w:sz w:val="21"/>
              </w:rPr>
              <w:t>排气筒</w:t>
            </w:r>
          </w:p>
        </w:tc>
        <w:tc>
          <w:tcPr>
            <w:tcW w:w="1450" w:type="dxa"/>
            <w:vMerge w:val="restart"/>
          </w:tcPr>
          <w:p w14:paraId="4FF869F5">
            <w:pPr>
              <w:pStyle w:val="17"/>
              <w:spacing w:before="20" w:line="278" w:lineRule="auto"/>
              <w:ind w:left="95" w:right="85" w:firstLine="45"/>
              <w:jc w:val="both"/>
              <w:rPr>
                <w:sz w:val="21"/>
              </w:rPr>
            </w:pPr>
            <w:r>
              <w:rPr>
                <w:sz w:val="21"/>
              </w:rPr>
              <w:t>布袋除尘器</w:t>
            </w:r>
            <w:r>
              <w:rPr>
                <w:rFonts w:ascii="Times New Roman" w:eastAsia="Times New Roman"/>
                <w:sz w:val="21"/>
              </w:rPr>
              <w:t xml:space="preserve">+ </w:t>
            </w:r>
            <w:r>
              <w:rPr>
                <w:sz w:val="21"/>
              </w:rPr>
              <w:t>过滤棉</w:t>
            </w:r>
            <w:r>
              <w:rPr>
                <w:rFonts w:ascii="Times New Roman" w:eastAsia="Times New Roman"/>
                <w:sz w:val="21"/>
              </w:rPr>
              <w:t>+</w:t>
            </w:r>
            <w:r>
              <w:rPr>
                <w:sz w:val="21"/>
              </w:rPr>
              <w:t>二级</w:t>
            </w:r>
            <w:r>
              <w:rPr>
                <w:w w:val="95"/>
                <w:sz w:val="21"/>
              </w:rPr>
              <w:t>活性炭吸附装</w:t>
            </w:r>
          </w:p>
          <w:p w14:paraId="50B2BF46">
            <w:pPr>
              <w:pStyle w:val="17"/>
              <w:spacing w:line="269" w:lineRule="exact"/>
              <w:ind w:left="95"/>
              <w:jc w:val="both"/>
              <w:rPr>
                <w:sz w:val="21"/>
              </w:rPr>
            </w:pPr>
            <w:r>
              <w:rPr>
                <w:w w:val="95"/>
                <w:sz w:val="21"/>
              </w:rPr>
              <w:t>置故障、失效</w:t>
            </w:r>
          </w:p>
        </w:tc>
        <w:tc>
          <w:tcPr>
            <w:tcW w:w="1075" w:type="dxa"/>
          </w:tcPr>
          <w:p w14:paraId="11F10BA4">
            <w:pPr>
              <w:pStyle w:val="17"/>
              <w:spacing w:before="73"/>
              <w:ind w:left="221"/>
              <w:jc w:val="left"/>
              <w:rPr>
                <w:sz w:val="21"/>
              </w:rPr>
            </w:pPr>
            <w:r>
              <w:rPr>
                <w:sz w:val="21"/>
              </w:rPr>
              <w:t>颗粒物</w:t>
            </w:r>
          </w:p>
        </w:tc>
        <w:tc>
          <w:tcPr>
            <w:tcW w:w="1169" w:type="dxa"/>
          </w:tcPr>
          <w:p w14:paraId="2E44B2B7">
            <w:pPr>
              <w:pStyle w:val="17"/>
              <w:spacing w:before="87"/>
              <w:ind w:left="346"/>
              <w:jc w:val="left"/>
              <w:rPr>
                <w:rFonts w:ascii="Times New Roman"/>
                <w:sz w:val="21"/>
              </w:rPr>
            </w:pPr>
            <w:r>
              <w:rPr>
                <w:rFonts w:ascii="Times New Roman"/>
                <w:sz w:val="21"/>
              </w:rPr>
              <w:t>0.469</w:t>
            </w:r>
          </w:p>
        </w:tc>
        <w:tc>
          <w:tcPr>
            <w:tcW w:w="1260" w:type="dxa"/>
          </w:tcPr>
          <w:p w14:paraId="0C1EFBA9">
            <w:pPr>
              <w:pStyle w:val="17"/>
              <w:spacing w:before="87"/>
              <w:ind w:left="83" w:right="75"/>
              <w:rPr>
                <w:rFonts w:ascii="Times New Roman"/>
                <w:sz w:val="21"/>
              </w:rPr>
            </w:pPr>
            <w:r>
              <w:rPr>
                <w:rFonts w:ascii="Times New Roman"/>
                <w:sz w:val="21"/>
              </w:rPr>
              <w:t>28.1</w:t>
            </w:r>
          </w:p>
        </w:tc>
        <w:tc>
          <w:tcPr>
            <w:tcW w:w="900" w:type="dxa"/>
          </w:tcPr>
          <w:p w14:paraId="51DAAAA2">
            <w:pPr>
              <w:pStyle w:val="17"/>
              <w:spacing w:before="87"/>
              <w:ind w:left="8"/>
              <w:rPr>
                <w:rFonts w:ascii="Times New Roman"/>
                <w:sz w:val="21"/>
              </w:rPr>
            </w:pPr>
            <w:r>
              <w:rPr>
                <w:rFonts w:ascii="Times New Roman"/>
                <w:w w:val="99"/>
                <w:sz w:val="21"/>
              </w:rPr>
              <w:t>1</w:t>
            </w:r>
          </w:p>
        </w:tc>
        <w:tc>
          <w:tcPr>
            <w:tcW w:w="819" w:type="dxa"/>
          </w:tcPr>
          <w:p w14:paraId="7273CD76">
            <w:pPr>
              <w:pStyle w:val="17"/>
              <w:spacing w:before="87"/>
              <w:ind w:left="356"/>
              <w:jc w:val="left"/>
              <w:rPr>
                <w:rFonts w:ascii="Times New Roman"/>
                <w:sz w:val="21"/>
              </w:rPr>
            </w:pPr>
            <w:r>
              <w:rPr>
                <w:rFonts w:ascii="Times New Roman"/>
                <w:w w:val="99"/>
                <w:sz w:val="21"/>
              </w:rPr>
              <w:t>1</w:t>
            </w:r>
          </w:p>
        </w:tc>
        <w:tc>
          <w:tcPr>
            <w:tcW w:w="886" w:type="dxa"/>
            <w:tcBorders>
              <w:right w:val="nil"/>
            </w:tcBorders>
          </w:tcPr>
          <w:p w14:paraId="058A29F3">
            <w:pPr>
              <w:pStyle w:val="17"/>
              <w:spacing w:before="87"/>
              <w:ind w:left="204"/>
              <w:jc w:val="left"/>
              <w:rPr>
                <w:rFonts w:ascii="Times New Roman"/>
                <w:sz w:val="21"/>
              </w:rPr>
            </w:pPr>
            <w:r>
              <w:rPr>
                <w:rFonts w:ascii="Times New Roman"/>
                <w:sz w:val="21"/>
              </w:rPr>
              <w:t>0.469</w:t>
            </w:r>
          </w:p>
        </w:tc>
      </w:tr>
      <w:tr w14:paraId="12511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44" w:type="dxa"/>
            <w:vMerge w:val="continue"/>
            <w:tcBorders>
              <w:top w:val="nil"/>
              <w:left w:val="nil"/>
            </w:tcBorders>
          </w:tcPr>
          <w:p w14:paraId="0AF2C4E0">
            <w:pPr>
              <w:rPr>
                <w:sz w:val="2"/>
                <w:szCs w:val="2"/>
              </w:rPr>
            </w:pPr>
          </w:p>
        </w:tc>
        <w:tc>
          <w:tcPr>
            <w:tcW w:w="1450" w:type="dxa"/>
            <w:vMerge w:val="continue"/>
            <w:tcBorders>
              <w:top w:val="nil"/>
            </w:tcBorders>
          </w:tcPr>
          <w:p w14:paraId="0989B196">
            <w:pPr>
              <w:rPr>
                <w:sz w:val="2"/>
                <w:szCs w:val="2"/>
              </w:rPr>
            </w:pPr>
          </w:p>
        </w:tc>
        <w:tc>
          <w:tcPr>
            <w:tcW w:w="1075" w:type="dxa"/>
          </w:tcPr>
          <w:p w14:paraId="3CFD3B8F">
            <w:pPr>
              <w:pStyle w:val="17"/>
              <w:spacing w:before="120" w:line="278" w:lineRule="auto"/>
              <w:ind w:left="430" w:right="108" w:hanging="315"/>
              <w:jc w:val="left"/>
              <w:rPr>
                <w:sz w:val="21"/>
              </w:rPr>
            </w:pPr>
            <w:r>
              <w:rPr>
                <w:w w:val="95"/>
                <w:sz w:val="21"/>
              </w:rPr>
              <w:t>非甲烷总</w:t>
            </w:r>
            <w:r>
              <w:rPr>
                <w:sz w:val="21"/>
              </w:rPr>
              <w:t>烃</w:t>
            </w:r>
          </w:p>
        </w:tc>
        <w:tc>
          <w:tcPr>
            <w:tcW w:w="1169" w:type="dxa"/>
          </w:tcPr>
          <w:p w14:paraId="2078DE12">
            <w:pPr>
              <w:pStyle w:val="17"/>
              <w:spacing w:before="8"/>
              <w:jc w:val="left"/>
              <w:rPr>
                <w:b/>
                <w:sz w:val="22"/>
              </w:rPr>
            </w:pPr>
          </w:p>
          <w:p w14:paraId="3A14AB8C">
            <w:pPr>
              <w:pStyle w:val="17"/>
              <w:ind w:left="346"/>
              <w:jc w:val="left"/>
              <w:rPr>
                <w:rFonts w:ascii="Times New Roman"/>
                <w:sz w:val="21"/>
              </w:rPr>
            </w:pPr>
            <w:r>
              <w:rPr>
                <w:rFonts w:ascii="Times New Roman"/>
                <w:sz w:val="21"/>
              </w:rPr>
              <w:t>3.141</w:t>
            </w:r>
          </w:p>
        </w:tc>
        <w:tc>
          <w:tcPr>
            <w:tcW w:w="1260" w:type="dxa"/>
          </w:tcPr>
          <w:p w14:paraId="06AD91B7">
            <w:pPr>
              <w:pStyle w:val="17"/>
              <w:spacing w:before="8"/>
              <w:jc w:val="left"/>
              <w:rPr>
                <w:b/>
                <w:sz w:val="22"/>
              </w:rPr>
            </w:pPr>
          </w:p>
          <w:p w14:paraId="562525CD">
            <w:pPr>
              <w:pStyle w:val="17"/>
              <w:ind w:left="83" w:right="75"/>
              <w:rPr>
                <w:rFonts w:ascii="Times New Roman"/>
                <w:sz w:val="21"/>
              </w:rPr>
            </w:pPr>
            <w:r>
              <w:rPr>
                <w:rFonts w:ascii="Times New Roman"/>
                <w:sz w:val="21"/>
              </w:rPr>
              <w:t>209.4</w:t>
            </w:r>
          </w:p>
        </w:tc>
        <w:tc>
          <w:tcPr>
            <w:tcW w:w="900" w:type="dxa"/>
          </w:tcPr>
          <w:p w14:paraId="7E81B0E6">
            <w:pPr>
              <w:pStyle w:val="17"/>
              <w:spacing w:before="8"/>
              <w:jc w:val="left"/>
              <w:rPr>
                <w:b/>
                <w:sz w:val="22"/>
              </w:rPr>
            </w:pPr>
          </w:p>
          <w:p w14:paraId="78F8CA08">
            <w:pPr>
              <w:pStyle w:val="17"/>
              <w:ind w:left="8"/>
              <w:rPr>
                <w:rFonts w:ascii="Times New Roman"/>
                <w:sz w:val="21"/>
              </w:rPr>
            </w:pPr>
            <w:r>
              <w:rPr>
                <w:rFonts w:ascii="Times New Roman"/>
                <w:w w:val="99"/>
                <w:sz w:val="21"/>
              </w:rPr>
              <w:t>1</w:t>
            </w:r>
          </w:p>
        </w:tc>
        <w:tc>
          <w:tcPr>
            <w:tcW w:w="819" w:type="dxa"/>
          </w:tcPr>
          <w:p w14:paraId="3128AAC0">
            <w:pPr>
              <w:pStyle w:val="17"/>
              <w:spacing w:before="8"/>
              <w:jc w:val="left"/>
              <w:rPr>
                <w:b/>
                <w:sz w:val="22"/>
              </w:rPr>
            </w:pPr>
          </w:p>
          <w:p w14:paraId="05C09B56">
            <w:pPr>
              <w:pStyle w:val="17"/>
              <w:ind w:left="356"/>
              <w:jc w:val="left"/>
              <w:rPr>
                <w:rFonts w:ascii="Times New Roman"/>
                <w:sz w:val="21"/>
              </w:rPr>
            </w:pPr>
            <w:r>
              <w:rPr>
                <w:rFonts w:ascii="Times New Roman"/>
                <w:w w:val="99"/>
                <w:sz w:val="21"/>
              </w:rPr>
              <w:t>1</w:t>
            </w:r>
          </w:p>
        </w:tc>
        <w:tc>
          <w:tcPr>
            <w:tcW w:w="886" w:type="dxa"/>
            <w:tcBorders>
              <w:right w:val="nil"/>
            </w:tcBorders>
          </w:tcPr>
          <w:p w14:paraId="0C1AA843">
            <w:pPr>
              <w:pStyle w:val="17"/>
              <w:spacing w:before="8"/>
              <w:jc w:val="left"/>
              <w:rPr>
                <w:b/>
                <w:sz w:val="22"/>
              </w:rPr>
            </w:pPr>
          </w:p>
          <w:p w14:paraId="34E799F1">
            <w:pPr>
              <w:pStyle w:val="17"/>
              <w:ind w:left="204"/>
              <w:jc w:val="left"/>
              <w:rPr>
                <w:rFonts w:ascii="Times New Roman"/>
                <w:sz w:val="21"/>
              </w:rPr>
            </w:pPr>
            <w:r>
              <w:rPr>
                <w:rFonts w:ascii="Times New Roman"/>
                <w:sz w:val="21"/>
              </w:rPr>
              <w:t>3.141</w:t>
            </w:r>
          </w:p>
        </w:tc>
      </w:tr>
    </w:tbl>
    <w:p w14:paraId="36194FF2">
      <w:pPr>
        <w:pStyle w:val="16"/>
        <w:numPr>
          <w:ilvl w:val="2"/>
          <w:numId w:val="10"/>
        </w:numPr>
        <w:tabs>
          <w:tab w:val="left" w:pos="789"/>
        </w:tabs>
        <w:spacing w:before="132" w:after="0" w:line="240" w:lineRule="auto"/>
        <w:ind w:left="788" w:right="0" w:hanging="628"/>
        <w:jc w:val="left"/>
        <w:rPr>
          <w:b/>
          <w:sz w:val="28"/>
        </w:rPr>
      </w:pPr>
      <w:r>
        <w:rPr>
          <w:b/>
          <w:sz w:val="28"/>
        </w:rPr>
        <w:t>噪声污染源</w:t>
      </w:r>
    </w:p>
    <w:p w14:paraId="7CE04726">
      <w:pPr>
        <w:pStyle w:val="10"/>
        <w:spacing w:before="214" w:line="364" w:lineRule="auto"/>
        <w:ind w:left="160" w:right="237" w:firstLine="480"/>
        <w:jc w:val="both"/>
      </w:pPr>
      <w:r>
        <w:rPr>
          <w:spacing w:val="-6"/>
        </w:rPr>
        <w:t>本项目噪声设备为破碎机、挤出造粒机、上料机、混料机、挤出注塑机、自</w:t>
      </w:r>
      <w:r>
        <w:rPr>
          <w:spacing w:val="-8"/>
        </w:rPr>
        <w:t xml:space="preserve">动裁切机、空压机、风机等。单台设备噪声源强约 </w:t>
      </w:r>
      <w:r>
        <w:rPr>
          <w:rFonts w:ascii="Times New Roman" w:eastAsia="Times New Roman"/>
        </w:rPr>
        <w:t>70~85dB</w:t>
      </w:r>
      <w:r>
        <w:t>（</w:t>
      </w:r>
      <w:r>
        <w:rPr>
          <w:rFonts w:ascii="Times New Roman" w:eastAsia="Times New Roman"/>
        </w:rPr>
        <w:t>A</w:t>
      </w:r>
      <w:r>
        <w:t>），根据现有的</w:t>
      </w:r>
      <w:r>
        <w:rPr>
          <w:spacing w:val="-5"/>
        </w:rPr>
        <w:t>行业污染源源强核算技术指南关于常见噪声治理措施的描述，减振的降噪效果为</w:t>
      </w:r>
    </w:p>
    <w:p w14:paraId="3F638DCB">
      <w:pPr>
        <w:pStyle w:val="10"/>
        <w:spacing w:before="2"/>
        <w:ind w:left="160"/>
      </w:pPr>
      <w:r>
        <w:rPr>
          <w:rFonts w:ascii="Times New Roman" w:eastAsia="Times New Roman"/>
        </w:rPr>
        <w:t>10</w:t>
      </w:r>
      <w:r>
        <w:t>～</w:t>
      </w:r>
      <w:r>
        <w:rPr>
          <w:rFonts w:ascii="Times New Roman" w:eastAsia="Times New Roman"/>
        </w:rPr>
        <w:t>20dB(A)</w:t>
      </w:r>
      <w:r>
        <w:t xml:space="preserve">，消声器的降噪效果为 </w:t>
      </w:r>
      <w:r>
        <w:rPr>
          <w:rFonts w:ascii="Times New Roman" w:eastAsia="Times New Roman"/>
        </w:rPr>
        <w:t>12</w:t>
      </w:r>
      <w:r>
        <w:t>～</w:t>
      </w:r>
      <w:r>
        <w:rPr>
          <w:rFonts w:ascii="Times New Roman" w:eastAsia="Times New Roman"/>
        </w:rPr>
        <w:t>35dB(A)</w:t>
      </w:r>
      <w:r>
        <w:t xml:space="preserve">，隔声罩的降噪效果为 </w:t>
      </w:r>
      <w:r>
        <w:rPr>
          <w:rFonts w:ascii="Times New Roman" w:eastAsia="Times New Roman"/>
        </w:rPr>
        <w:t>10</w:t>
      </w:r>
      <w:r>
        <w:t>～</w:t>
      </w:r>
    </w:p>
    <w:p w14:paraId="5FD5A136">
      <w:pPr>
        <w:pStyle w:val="10"/>
        <w:spacing w:before="161"/>
        <w:ind w:left="160"/>
      </w:pPr>
      <w:r>
        <w:rPr>
          <w:rFonts w:ascii="Times New Roman" w:eastAsia="Times New Roman"/>
        </w:rPr>
        <w:t>20dB(A)</w:t>
      </w:r>
      <w:r>
        <w:t xml:space="preserve">，隔声间的降噪效果为 </w:t>
      </w:r>
      <w:r>
        <w:rPr>
          <w:rFonts w:ascii="Times New Roman" w:eastAsia="Times New Roman"/>
        </w:rPr>
        <w:t>15</w:t>
      </w:r>
      <w:r>
        <w:t>～</w:t>
      </w:r>
      <w:r>
        <w:rPr>
          <w:rFonts w:ascii="Times New Roman" w:eastAsia="Times New Roman"/>
        </w:rPr>
        <w:t>35dB(A)</w:t>
      </w:r>
      <w:r>
        <w:t xml:space="preserve">，厂房隔声的降噪效果为 </w:t>
      </w:r>
      <w:r>
        <w:rPr>
          <w:rFonts w:ascii="Times New Roman" w:eastAsia="Times New Roman"/>
        </w:rPr>
        <w:t>10</w:t>
      </w:r>
      <w:r>
        <w:t>～</w:t>
      </w:r>
    </w:p>
    <w:p w14:paraId="4053C922">
      <w:pPr>
        <w:pStyle w:val="10"/>
        <w:spacing w:before="160" w:line="364" w:lineRule="auto"/>
        <w:ind w:left="160" w:right="117"/>
      </w:pPr>
      <w:r>
        <w:rPr>
          <w:rFonts w:ascii="Times New Roman" w:eastAsia="Times New Roman"/>
        </w:rPr>
        <w:t>35dB(A)</w:t>
      </w:r>
      <w:r>
        <w:t>。本项目车间墙体为钢结构，考虑门窗面积和开门开窗对隔声的负面影</w:t>
      </w:r>
      <w:r>
        <w:rPr>
          <w:spacing w:val="-5"/>
        </w:rPr>
        <w:t xml:space="preserve">响，厂房隔声量取 </w:t>
      </w:r>
      <w:r>
        <w:rPr>
          <w:rFonts w:ascii="Times New Roman" w:eastAsia="Times New Roman"/>
        </w:rPr>
        <w:t>15dB</w:t>
      </w:r>
      <w:r>
        <w:t>（</w:t>
      </w:r>
      <w:r>
        <w:rPr>
          <w:rFonts w:ascii="Times New Roman" w:eastAsia="Times New Roman"/>
        </w:rPr>
        <w:t>A</w:t>
      </w:r>
      <w:r>
        <w:t>）</w:t>
      </w:r>
      <w:r>
        <w:rPr>
          <w:spacing w:val="-5"/>
        </w:rPr>
        <w:t xml:space="preserve">。减振降噪效果取 </w:t>
      </w:r>
      <w:r>
        <w:rPr>
          <w:rFonts w:ascii="Times New Roman" w:eastAsia="Times New Roman"/>
        </w:rPr>
        <w:t>10dB</w:t>
      </w:r>
      <w:r>
        <w:t>（</w:t>
      </w:r>
      <w:r>
        <w:rPr>
          <w:rFonts w:ascii="Times New Roman" w:eastAsia="Times New Roman"/>
        </w:rPr>
        <w:t>A</w:t>
      </w:r>
      <w:r>
        <w:t>）。风机消声器降噪</w:t>
      </w:r>
      <w:r>
        <w:rPr>
          <w:spacing w:val="-15"/>
        </w:rPr>
        <w:t xml:space="preserve">效果取 </w:t>
      </w:r>
      <w:r>
        <w:rPr>
          <w:rFonts w:ascii="Times New Roman" w:eastAsia="Times New Roman"/>
          <w:spacing w:val="-3"/>
        </w:rPr>
        <w:t>20dB</w:t>
      </w:r>
      <w:r>
        <w:rPr>
          <w:spacing w:val="-3"/>
        </w:rPr>
        <w:t>（</w:t>
      </w:r>
      <w:r>
        <w:rPr>
          <w:rFonts w:ascii="Times New Roman" w:eastAsia="Times New Roman"/>
          <w:spacing w:val="-3"/>
        </w:rPr>
        <w:t>A</w:t>
      </w:r>
      <w:r>
        <w:rPr>
          <w:spacing w:val="-3"/>
        </w:rPr>
        <w:t>），</w:t>
      </w:r>
      <w:r>
        <w:rPr>
          <w:spacing w:val="-7"/>
        </w:rPr>
        <w:t xml:space="preserve">空压机隔音效果取 </w:t>
      </w:r>
      <w:r>
        <w:rPr>
          <w:rFonts w:ascii="Times New Roman" w:eastAsia="Times New Roman"/>
          <w:spacing w:val="-3"/>
        </w:rPr>
        <w:t>15dB</w:t>
      </w:r>
      <w:r>
        <w:rPr>
          <w:spacing w:val="-3"/>
        </w:rPr>
        <w:t>（</w:t>
      </w:r>
      <w:r>
        <w:rPr>
          <w:rFonts w:ascii="Times New Roman" w:eastAsia="Times New Roman"/>
          <w:spacing w:val="-3"/>
        </w:rPr>
        <w:t>A</w:t>
      </w:r>
      <w:r>
        <w:rPr>
          <w:spacing w:val="-3"/>
        </w:rPr>
        <w:t>）</w:t>
      </w:r>
      <w:r>
        <w:rPr>
          <w:spacing w:val="-2"/>
        </w:rPr>
        <w:t>。本项目各设备均位于室内， 其噪声源强调查清单见下表。</w:t>
      </w:r>
    </w:p>
    <w:p w14:paraId="01F75A67">
      <w:pPr>
        <w:pStyle w:val="10"/>
        <w:rPr>
          <w:sz w:val="20"/>
        </w:rPr>
      </w:pPr>
    </w:p>
    <w:p w14:paraId="1A8C642F">
      <w:pPr>
        <w:pStyle w:val="10"/>
        <w:rPr>
          <w:sz w:val="20"/>
        </w:rPr>
      </w:pPr>
    </w:p>
    <w:p w14:paraId="65C35CEC">
      <w:pPr>
        <w:pStyle w:val="10"/>
        <w:rPr>
          <w:sz w:val="20"/>
        </w:rPr>
      </w:pPr>
    </w:p>
    <w:p w14:paraId="46FB43C2">
      <w:pPr>
        <w:pStyle w:val="10"/>
        <w:rPr>
          <w:sz w:val="20"/>
        </w:rPr>
      </w:pPr>
    </w:p>
    <w:p w14:paraId="4E515C0E">
      <w:pPr>
        <w:pStyle w:val="10"/>
        <w:rPr>
          <w:sz w:val="20"/>
        </w:rPr>
      </w:pPr>
    </w:p>
    <w:p w14:paraId="543E22C9">
      <w:pPr>
        <w:pStyle w:val="10"/>
        <w:rPr>
          <w:sz w:val="20"/>
        </w:rPr>
      </w:pPr>
    </w:p>
    <w:p w14:paraId="1E4E4A04">
      <w:pPr>
        <w:pStyle w:val="10"/>
        <w:rPr>
          <w:sz w:val="20"/>
        </w:rPr>
      </w:pPr>
    </w:p>
    <w:p w14:paraId="158557F0">
      <w:pPr>
        <w:pStyle w:val="10"/>
        <w:rPr>
          <w:sz w:val="20"/>
        </w:rPr>
      </w:pPr>
    </w:p>
    <w:p w14:paraId="15E503C9">
      <w:pPr>
        <w:pStyle w:val="10"/>
        <w:rPr>
          <w:sz w:val="20"/>
        </w:rPr>
      </w:pPr>
    </w:p>
    <w:p w14:paraId="4F104442">
      <w:pPr>
        <w:pStyle w:val="10"/>
        <w:rPr>
          <w:sz w:val="20"/>
        </w:rPr>
      </w:pPr>
    </w:p>
    <w:p w14:paraId="0001A45C">
      <w:pPr>
        <w:pStyle w:val="10"/>
        <w:spacing w:before="8"/>
        <w:rPr>
          <w:sz w:val="19"/>
        </w:rPr>
      </w:pPr>
    </w:p>
    <w:p w14:paraId="75114A38">
      <w:pPr>
        <w:spacing w:before="0"/>
        <w:ind w:left="2508" w:right="2584" w:firstLine="0"/>
        <w:jc w:val="center"/>
        <w:rPr>
          <w:rFonts w:ascii="Times New Roman"/>
          <w:sz w:val="21"/>
        </w:rPr>
      </w:pPr>
      <w:r>
        <w:rPr>
          <w:rFonts w:ascii="Times New Roman"/>
          <w:sz w:val="21"/>
        </w:rPr>
        <w:t>57</w:t>
      </w:r>
    </w:p>
    <w:p w14:paraId="4B484215">
      <w:pPr>
        <w:spacing w:after="0"/>
        <w:jc w:val="center"/>
        <w:rPr>
          <w:rFonts w:ascii="Times New Roman"/>
          <w:sz w:val="21"/>
        </w:rPr>
        <w:sectPr>
          <w:footerReference r:id="rId12" w:type="default"/>
          <w:pgSz w:w="11910" w:h="16840"/>
          <w:pgMar w:top="1440" w:right="1560" w:bottom="280" w:left="1640" w:header="0" w:footer="0" w:gutter="0"/>
          <w:cols w:space="720" w:num="1"/>
        </w:sectPr>
      </w:pPr>
    </w:p>
    <w:p w14:paraId="6471FCF6">
      <w:pPr>
        <w:pStyle w:val="10"/>
        <w:rPr>
          <w:rFonts w:ascii="Times New Roman"/>
          <w:sz w:val="20"/>
        </w:rPr>
      </w:pPr>
    </w:p>
    <w:p w14:paraId="5B7C7DBB">
      <w:pPr>
        <w:pStyle w:val="10"/>
        <w:rPr>
          <w:rFonts w:ascii="Times New Roman"/>
          <w:sz w:val="20"/>
        </w:rPr>
      </w:pPr>
    </w:p>
    <w:p w14:paraId="71B8CD23">
      <w:pPr>
        <w:pStyle w:val="10"/>
        <w:spacing w:before="10"/>
        <w:rPr>
          <w:rFonts w:ascii="Times New Roman"/>
          <w:sz w:val="20"/>
        </w:rPr>
      </w:pPr>
    </w:p>
    <w:p w14:paraId="114D4C9C">
      <w:pPr>
        <w:pStyle w:val="9"/>
        <w:spacing w:before="74"/>
        <w:ind w:left="4552" w:right="4571"/>
        <w:jc w:val="center"/>
        <w:rPr>
          <w:rFonts w:ascii="Times New Roman" w:eastAsia="Times New Roman"/>
        </w:rPr>
      </w:pPr>
      <w:r>
        <w:t xml:space="preserve">表 </w:t>
      </w:r>
      <w:r>
        <w:rPr>
          <w:rFonts w:ascii="Times New Roman" w:eastAsia="Times New Roman"/>
        </w:rPr>
        <w:t xml:space="preserve">2.4-3 </w:t>
      </w:r>
      <w:r>
        <w:t>主要噪声源强表</w:t>
      </w:r>
      <w:r>
        <w:rPr>
          <w:rFonts w:ascii="Times New Roman" w:eastAsia="Times New Roman"/>
        </w:rPr>
        <w:t>(</w:t>
      </w:r>
      <w:r>
        <w:t>室内声源</w:t>
      </w:r>
      <w:r>
        <w:rPr>
          <w:rFonts w:ascii="Times New Roman" w:eastAsia="Times New Roman"/>
        </w:rPr>
        <w:t>)</w:t>
      </w:r>
    </w:p>
    <w:p w14:paraId="1970C830">
      <w:pPr>
        <w:pStyle w:val="10"/>
        <w:rPr>
          <w:rFonts w:ascii="Times New Roman"/>
          <w:b/>
          <w:sz w:val="7"/>
        </w:rPr>
      </w:pPr>
    </w:p>
    <w:tbl>
      <w:tblPr>
        <w:tblStyle w:val="13"/>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2"/>
        <w:gridCol w:w="735"/>
        <w:gridCol w:w="743"/>
        <w:gridCol w:w="655"/>
        <w:gridCol w:w="845"/>
        <w:gridCol w:w="1421"/>
        <w:gridCol w:w="374"/>
        <w:gridCol w:w="377"/>
        <w:gridCol w:w="261"/>
        <w:gridCol w:w="321"/>
        <w:gridCol w:w="321"/>
        <w:gridCol w:w="321"/>
        <w:gridCol w:w="343"/>
        <w:gridCol w:w="550"/>
        <w:gridCol w:w="550"/>
        <w:gridCol w:w="550"/>
        <w:gridCol w:w="667"/>
        <w:gridCol w:w="789"/>
        <w:gridCol w:w="726"/>
        <w:gridCol w:w="806"/>
        <w:gridCol w:w="808"/>
        <w:gridCol w:w="806"/>
        <w:gridCol w:w="854"/>
      </w:tblGrid>
      <w:tr w14:paraId="36E79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vMerge w:val="restart"/>
            <w:tcBorders>
              <w:left w:val="nil"/>
            </w:tcBorders>
          </w:tcPr>
          <w:p w14:paraId="0B7AF70C">
            <w:pPr>
              <w:pStyle w:val="17"/>
              <w:spacing w:before="10"/>
              <w:jc w:val="left"/>
              <w:rPr>
                <w:rFonts w:ascii="Times New Roman"/>
                <w:b/>
                <w:sz w:val="20"/>
              </w:rPr>
            </w:pPr>
          </w:p>
          <w:p w14:paraId="1A5DA770">
            <w:pPr>
              <w:pStyle w:val="17"/>
              <w:spacing w:before="1" w:line="242" w:lineRule="auto"/>
              <w:ind w:left="86" w:right="68"/>
              <w:jc w:val="left"/>
              <w:rPr>
                <w:sz w:val="18"/>
              </w:rPr>
            </w:pPr>
            <w:r>
              <w:rPr>
                <w:sz w:val="18"/>
              </w:rPr>
              <w:t>序号</w:t>
            </w:r>
          </w:p>
        </w:tc>
        <w:tc>
          <w:tcPr>
            <w:tcW w:w="735" w:type="dxa"/>
            <w:vMerge w:val="restart"/>
          </w:tcPr>
          <w:p w14:paraId="6B19AB70">
            <w:pPr>
              <w:pStyle w:val="17"/>
              <w:spacing w:before="10"/>
              <w:jc w:val="left"/>
              <w:rPr>
                <w:rFonts w:ascii="Times New Roman"/>
                <w:b/>
                <w:sz w:val="20"/>
              </w:rPr>
            </w:pPr>
          </w:p>
          <w:p w14:paraId="3DDFE82D">
            <w:pPr>
              <w:pStyle w:val="17"/>
              <w:spacing w:before="1" w:line="242" w:lineRule="auto"/>
              <w:ind w:left="185" w:right="86" w:hanging="89"/>
              <w:jc w:val="left"/>
              <w:rPr>
                <w:sz w:val="18"/>
              </w:rPr>
            </w:pPr>
            <w:r>
              <w:rPr>
                <w:sz w:val="18"/>
              </w:rPr>
              <w:t>建筑物名称</w:t>
            </w:r>
          </w:p>
        </w:tc>
        <w:tc>
          <w:tcPr>
            <w:tcW w:w="743" w:type="dxa"/>
            <w:vMerge w:val="restart"/>
          </w:tcPr>
          <w:p w14:paraId="6F13DBF6">
            <w:pPr>
              <w:pStyle w:val="17"/>
              <w:spacing w:before="10"/>
              <w:jc w:val="left"/>
              <w:rPr>
                <w:rFonts w:ascii="Times New Roman"/>
                <w:b/>
                <w:sz w:val="20"/>
              </w:rPr>
            </w:pPr>
          </w:p>
          <w:p w14:paraId="3582141A">
            <w:pPr>
              <w:pStyle w:val="17"/>
              <w:spacing w:before="1" w:line="242" w:lineRule="auto"/>
              <w:ind w:left="281" w:right="89" w:hanging="180"/>
              <w:jc w:val="left"/>
              <w:rPr>
                <w:sz w:val="18"/>
              </w:rPr>
            </w:pPr>
            <w:r>
              <w:rPr>
                <w:sz w:val="18"/>
              </w:rPr>
              <w:t>声源名称</w:t>
            </w:r>
          </w:p>
        </w:tc>
        <w:tc>
          <w:tcPr>
            <w:tcW w:w="655" w:type="dxa"/>
            <w:vMerge w:val="restart"/>
          </w:tcPr>
          <w:p w14:paraId="76D60389">
            <w:pPr>
              <w:pStyle w:val="17"/>
              <w:spacing w:before="10"/>
              <w:jc w:val="left"/>
              <w:rPr>
                <w:rFonts w:ascii="Times New Roman"/>
                <w:b/>
                <w:sz w:val="20"/>
              </w:rPr>
            </w:pPr>
          </w:p>
          <w:p w14:paraId="248738E7">
            <w:pPr>
              <w:pStyle w:val="17"/>
              <w:spacing w:before="1"/>
              <w:ind w:left="147"/>
              <w:jc w:val="left"/>
              <w:rPr>
                <w:sz w:val="18"/>
              </w:rPr>
            </w:pPr>
            <w:r>
              <w:rPr>
                <w:sz w:val="18"/>
              </w:rPr>
              <w:t>数量</w:t>
            </w:r>
          </w:p>
          <w:p w14:paraId="765C35BA">
            <w:pPr>
              <w:pStyle w:val="17"/>
              <w:spacing w:before="2"/>
              <w:ind w:left="56"/>
              <w:jc w:val="left"/>
              <w:rPr>
                <w:sz w:val="18"/>
              </w:rPr>
            </w:pPr>
            <w:r>
              <w:rPr>
                <w:sz w:val="18"/>
              </w:rPr>
              <w:t>（台）</w:t>
            </w:r>
          </w:p>
        </w:tc>
        <w:tc>
          <w:tcPr>
            <w:tcW w:w="845" w:type="dxa"/>
          </w:tcPr>
          <w:p w14:paraId="7BBA9489">
            <w:pPr>
              <w:pStyle w:val="17"/>
              <w:spacing w:before="118"/>
              <w:ind w:left="41" w:right="33"/>
              <w:rPr>
                <w:sz w:val="18"/>
              </w:rPr>
            </w:pPr>
            <w:r>
              <w:rPr>
                <w:sz w:val="18"/>
              </w:rPr>
              <w:t>声源源强</w:t>
            </w:r>
          </w:p>
        </w:tc>
        <w:tc>
          <w:tcPr>
            <w:tcW w:w="1421" w:type="dxa"/>
            <w:vMerge w:val="restart"/>
          </w:tcPr>
          <w:p w14:paraId="1F45493D">
            <w:pPr>
              <w:pStyle w:val="17"/>
              <w:jc w:val="left"/>
              <w:rPr>
                <w:rFonts w:ascii="Times New Roman"/>
                <w:b/>
                <w:sz w:val="18"/>
              </w:rPr>
            </w:pPr>
          </w:p>
          <w:p w14:paraId="441CD4A3">
            <w:pPr>
              <w:pStyle w:val="17"/>
              <w:spacing w:before="149"/>
              <w:ind w:left="169"/>
              <w:jc w:val="left"/>
              <w:rPr>
                <w:sz w:val="18"/>
              </w:rPr>
            </w:pPr>
            <w:r>
              <w:rPr>
                <w:sz w:val="18"/>
              </w:rPr>
              <w:t>声源控制措施</w:t>
            </w:r>
          </w:p>
        </w:tc>
        <w:tc>
          <w:tcPr>
            <w:tcW w:w="1012" w:type="dxa"/>
            <w:gridSpan w:val="3"/>
          </w:tcPr>
          <w:p w14:paraId="74F0137A">
            <w:pPr>
              <w:pStyle w:val="17"/>
              <w:spacing w:before="3" w:line="230" w:lineRule="atLeast"/>
              <w:ind w:left="416" w:right="43" w:hanging="360"/>
              <w:jc w:val="left"/>
              <w:rPr>
                <w:sz w:val="18"/>
              </w:rPr>
            </w:pPr>
            <w:r>
              <w:rPr>
                <w:sz w:val="18"/>
              </w:rPr>
              <w:t>空间相对位置</w:t>
            </w:r>
          </w:p>
        </w:tc>
        <w:tc>
          <w:tcPr>
            <w:tcW w:w="1306" w:type="dxa"/>
            <w:gridSpan w:val="4"/>
          </w:tcPr>
          <w:p w14:paraId="78A4FC72">
            <w:pPr>
              <w:pStyle w:val="17"/>
              <w:spacing w:before="3" w:line="230" w:lineRule="atLeast"/>
              <w:ind w:left="467" w:right="101" w:hanging="356"/>
              <w:jc w:val="left"/>
              <w:rPr>
                <w:rFonts w:ascii="Times New Roman" w:eastAsia="Times New Roman"/>
                <w:sz w:val="18"/>
              </w:rPr>
            </w:pPr>
            <w:r>
              <w:rPr>
                <w:sz w:val="18"/>
              </w:rPr>
              <w:t>距室内边界距离</w:t>
            </w:r>
            <w:r>
              <w:rPr>
                <w:rFonts w:ascii="Times New Roman" w:eastAsia="Times New Roman"/>
                <w:sz w:val="18"/>
              </w:rPr>
              <w:t>/m</w:t>
            </w:r>
          </w:p>
        </w:tc>
        <w:tc>
          <w:tcPr>
            <w:tcW w:w="2317" w:type="dxa"/>
            <w:gridSpan w:val="4"/>
          </w:tcPr>
          <w:p w14:paraId="545654E1">
            <w:pPr>
              <w:pStyle w:val="17"/>
              <w:spacing w:before="118"/>
              <w:ind w:left="361"/>
              <w:jc w:val="left"/>
              <w:rPr>
                <w:rFonts w:ascii="Times New Roman" w:eastAsia="Times New Roman"/>
                <w:sz w:val="18"/>
              </w:rPr>
            </w:pPr>
            <w:r>
              <w:rPr>
                <w:sz w:val="18"/>
              </w:rPr>
              <w:t>室内边界声级</w:t>
            </w:r>
            <w:r>
              <w:rPr>
                <w:rFonts w:ascii="Times New Roman" w:eastAsia="Times New Roman"/>
                <w:sz w:val="18"/>
              </w:rPr>
              <w:t>/dB(A)</w:t>
            </w:r>
          </w:p>
        </w:tc>
        <w:tc>
          <w:tcPr>
            <w:tcW w:w="789" w:type="dxa"/>
            <w:vMerge w:val="restart"/>
          </w:tcPr>
          <w:p w14:paraId="308DABC4">
            <w:pPr>
              <w:pStyle w:val="17"/>
              <w:spacing w:before="10"/>
              <w:jc w:val="left"/>
              <w:rPr>
                <w:rFonts w:ascii="Times New Roman"/>
                <w:b/>
                <w:sz w:val="20"/>
              </w:rPr>
            </w:pPr>
          </w:p>
          <w:p w14:paraId="0E2DA3CC">
            <w:pPr>
              <w:pStyle w:val="17"/>
              <w:spacing w:before="1" w:line="242" w:lineRule="auto"/>
              <w:ind w:left="302" w:right="114" w:hanging="180"/>
              <w:jc w:val="left"/>
              <w:rPr>
                <w:sz w:val="18"/>
              </w:rPr>
            </w:pPr>
            <w:r>
              <w:rPr>
                <w:sz w:val="18"/>
              </w:rPr>
              <w:t>运行时段</w:t>
            </w:r>
          </w:p>
        </w:tc>
        <w:tc>
          <w:tcPr>
            <w:tcW w:w="726" w:type="dxa"/>
            <w:vMerge w:val="restart"/>
          </w:tcPr>
          <w:p w14:paraId="713838CD">
            <w:pPr>
              <w:pStyle w:val="17"/>
              <w:spacing w:before="20" w:line="242" w:lineRule="auto"/>
              <w:ind w:left="92" w:right="81"/>
              <w:rPr>
                <w:sz w:val="18"/>
              </w:rPr>
            </w:pPr>
            <w:r>
              <w:rPr>
                <w:sz w:val="18"/>
              </w:rPr>
              <w:t>建筑物插入损</w:t>
            </w:r>
          </w:p>
          <w:p w14:paraId="7BDEFFD0">
            <w:pPr>
              <w:pStyle w:val="17"/>
              <w:ind w:left="133" w:right="122" w:firstLine="2"/>
              <w:rPr>
                <w:rFonts w:ascii="Times New Roman" w:eastAsia="Times New Roman"/>
                <w:sz w:val="18"/>
              </w:rPr>
            </w:pPr>
            <w:r>
              <w:rPr>
                <w:sz w:val="18"/>
              </w:rPr>
              <w:t xml:space="preserve">失 </w:t>
            </w:r>
            <w:r>
              <w:rPr>
                <w:rFonts w:ascii="Times New Roman" w:eastAsia="Times New Roman"/>
                <w:sz w:val="18"/>
              </w:rPr>
              <w:t>/ dB(A)</w:t>
            </w:r>
          </w:p>
        </w:tc>
        <w:tc>
          <w:tcPr>
            <w:tcW w:w="3274" w:type="dxa"/>
            <w:gridSpan w:val="4"/>
            <w:tcBorders>
              <w:right w:val="nil"/>
            </w:tcBorders>
          </w:tcPr>
          <w:p w14:paraId="5A357243">
            <w:pPr>
              <w:pStyle w:val="17"/>
              <w:spacing w:before="3" w:line="230" w:lineRule="atLeast"/>
              <w:ind w:left="1137" w:right="9" w:hanging="1068"/>
              <w:jc w:val="left"/>
              <w:rPr>
                <w:sz w:val="18"/>
              </w:rPr>
            </w:pPr>
            <w:r>
              <w:rPr>
                <w:sz w:val="18"/>
              </w:rPr>
              <w:t xml:space="preserve">建筑物外噪声声压级 </w:t>
            </w:r>
            <w:r>
              <w:rPr>
                <w:rFonts w:ascii="Times New Roman" w:eastAsia="Times New Roman"/>
                <w:sz w:val="18"/>
              </w:rPr>
              <w:t>dB</w:t>
            </w:r>
            <w:r>
              <w:rPr>
                <w:sz w:val="18"/>
              </w:rPr>
              <w:t>（</w:t>
            </w:r>
            <w:r>
              <w:rPr>
                <w:rFonts w:ascii="Times New Roman" w:eastAsia="Times New Roman"/>
                <w:sz w:val="18"/>
              </w:rPr>
              <w:t>A</w:t>
            </w:r>
            <w:r>
              <w:rPr>
                <w:sz w:val="18"/>
              </w:rPr>
              <w:t>）</w:t>
            </w:r>
            <w:r>
              <w:rPr>
                <w:rFonts w:ascii="Times New Roman" w:eastAsia="Times New Roman"/>
                <w:sz w:val="18"/>
              </w:rPr>
              <w:t>/</w:t>
            </w:r>
            <w:r>
              <w:rPr>
                <w:sz w:val="18"/>
              </w:rPr>
              <w:t xml:space="preserve">（建筑物外距离 </w:t>
            </w:r>
            <w:r>
              <w:rPr>
                <w:rFonts w:ascii="Times New Roman" w:eastAsia="Times New Roman"/>
                <w:sz w:val="18"/>
              </w:rPr>
              <w:t>1m</w:t>
            </w:r>
            <w:r>
              <w:rPr>
                <w:sz w:val="18"/>
              </w:rPr>
              <w:t>）</w:t>
            </w:r>
          </w:p>
        </w:tc>
      </w:tr>
      <w:tr w14:paraId="0A4C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vMerge w:val="continue"/>
            <w:tcBorders>
              <w:top w:val="nil"/>
              <w:left w:val="nil"/>
            </w:tcBorders>
          </w:tcPr>
          <w:p w14:paraId="51002522">
            <w:pPr>
              <w:rPr>
                <w:sz w:val="2"/>
                <w:szCs w:val="2"/>
              </w:rPr>
            </w:pPr>
          </w:p>
        </w:tc>
        <w:tc>
          <w:tcPr>
            <w:tcW w:w="735" w:type="dxa"/>
            <w:vMerge w:val="continue"/>
            <w:tcBorders>
              <w:top w:val="nil"/>
            </w:tcBorders>
          </w:tcPr>
          <w:p w14:paraId="3E19FE0A">
            <w:pPr>
              <w:rPr>
                <w:sz w:val="2"/>
                <w:szCs w:val="2"/>
              </w:rPr>
            </w:pPr>
          </w:p>
        </w:tc>
        <w:tc>
          <w:tcPr>
            <w:tcW w:w="743" w:type="dxa"/>
            <w:vMerge w:val="continue"/>
            <w:tcBorders>
              <w:top w:val="nil"/>
            </w:tcBorders>
          </w:tcPr>
          <w:p w14:paraId="65A8C77C">
            <w:pPr>
              <w:rPr>
                <w:sz w:val="2"/>
                <w:szCs w:val="2"/>
              </w:rPr>
            </w:pPr>
          </w:p>
        </w:tc>
        <w:tc>
          <w:tcPr>
            <w:tcW w:w="655" w:type="dxa"/>
            <w:vMerge w:val="continue"/>
            <w:tcBorders>
              <w:top w:val="nil"/>
            </w:tcBorders>
          </w:tcPr>
          <w:p w14:paraId="70294095">
            <w:pPr>
              <w:rPr>
                <w:sz w:val="2"/>
                <w:szCs w:val="2"/>
              </w:rPr>
            </w:pPr>
          </w:p>
        </w:tc>
        <w:tc>
          <w:tcPr>
            <w:tcW w:w="845" w:type="dxa"/>
          </w:tcPr>
          <w:p w14:paraId="6BF8F576">
            <w:pPr>
              <w:pStyle w:val="17"/>
              <w:spacing w:before="1"/>
              <w:ind w:left="104"/>
              <w:jc w:val="left"/>
              <w:rPr>
                <w:sz w:val="18"/>
              </w:rPr>
            </w:pPr>
            <w:r>
              <w:rPr>
                <w:rFonts w:ascii="Times New Roman" w:eastAsia="Times New Roman"/>
                <w:sz w:val="18"/>
              </w:rPr>
              <w:t xml:space="preserve">1m </w:t>
            </w:r>
            <w:r>
              <w:rPr>
                <w:sz w:val="18"/>
              </w:rPr>
              <w:t>处声</w:t>
            </w:r>
          </w:p>
          <w:p w14:paraId="6E5062DF">
            <w:pPr>
              <w:pStyle w:val="17"/>
              <w:spacing w:before="2" w:line="213" w:lineRule="exact"/>
              <w:ind w:left="152"/>
              <w:jc w:val="left"/>
              <w:rPr>
                <w:sz w:val="18"/>
              </w:rPr>
            </w:pPr>
            <w:r>
              <w:rPr>
                <w:sz w:val="18"/>
              </w:rPr>
              <w:t>功率级</w:t>
            </w:r>
          </w:p>
        </w:tc>
        <w:tc>
          <w:tcPr>
            <w:tcW w:w="1421" w:type="dxa"/>
            <w:vMerge w:val="continue"/>
            <w:tcBorders>
              <w:top w:val="nil"/>
            </w:tcBorders>
          </w:tcPr>
          <w:p w14:paraId="633400DE">
            <w:pPr>
              <w:rPr>
                <w:sz w:val="2"/>
                <w:szCs w:val="2"/>
              </w:rPr>
            </w:pPr>
          </w:p>
        </w:tc>
        <w:tc>
          <w:tcPr>
            <w:tcW w:w="374" w:type="dxa"/>
          </w:tcPr>
          <w:p w14:paraId="05F35730">
            <w:pPr>
              <w:pStyle w:val="17"/>
              <w:spacing w:before="128"/>
              <w:ind w:left="121"/>
              <w:jc w:val="left"/>
              <w:rPr>
                <w:rFonts w:ascii="Times New Roman"/>
                <w:sz w:val="18"/>
              </w:rPr>
            </w:pPr>
            <w:r>
              <w:rPr>
                <w:rFonts w:ascii="Times New Roman"/>
                <w:sz w:val="18"/>
              </w:rPr>
              <w:t>X</w:t>
            </w:r>
          </w:p>
        </w:tc>
        <w:tc>
          <w:tcPr>
            <w:tcW w:w="377" w:type="dxa"/>
          </w:tcPr>
          <w:p w14:paraId="76B077D5">
            <w:pPr>
              <w:pStyle w:val="17"/>
              <w:spacing w:before="128"/>
              <w:ind w:right="113"/>
              <w:jc w:val="right"/>
              <w:rPr>
                <w:rFonts w:ascii="Times New Roman"/>
                <w:sz w:val="18"/>
              </w:rPr>
            </w:pPr>
            <w:r>
              <w:rPr>
                <w:rFonts w:ascii="Times New Roman"/>
                <w:sz w:val="18"/>
              </w:rPr>
              <w:t>Y</w:t>
            </w:r>
          </w:p>
        </w:tc>
        <w:tc>
          <w:tcPr>
            <w:tcW w:w="261" w:type="dxa"/>
          </w:tcPr>
          <w:p w14:paraId="6DAFFCBF">
            <w:pPr>
              <w:pStyle w:val="17"/>
              <w:spacing w:before="128"/>
              <w:ind w:left="75"/>
              <w:jc w:val="left"/>
              <w:rPr>
                <w:rFonts w:ascii="Times New Roman"/>
                <w:sz w:val="18"/>
              </w:rPr>
            </w:pPr>
            <w:r>
              <w:rPr>
                <w:rFonts w:ascii="Times New Roman"/>
                <w:sz w:val="18"/>
              </w:rPr>
              <w:t>Z</w:t>
            </w:r>
          </w:p>
        </w:tc>
        <w:tc>
          <w:tcPr>
            <w:tcW w:w="321" w:type="dxa"/>
          </w:tcPr>
          <w:p w14:paraId="00029579">
            <w:pPr>
              <w:pStyle w:val="17"/>
              <w:spacing w:before="116"/>
              <w:ind w:left="69"/>
              <w:jc w:val="left"/>
              <w:rPr>
                <w:sz w:val="18"/>
              </w:rPr>
            </w:pPr>
            <w:r>
              <w:rPr>
                <w:sz w:val="18"/>
              </w:rPr>
              <w:t>东</w:t>
            </w:r>
          </w:p>
        </w:tc>
        <w:tc>
          <w:tcPr>
            <w:tcW w:w="321" w:type="dxa"/>
          </w:tcPr>
          <w:p w14:paraId="7B0689EE">
            <w:pPr>
              <w:pStyle w:val="17"/>
              <w:spacing w:before="116"/>
              <w:ind w:right="59"/>
              <w:jc w:val="right"/>
              <w:rPr>
                <w:sz w:val="18"/>
              </w:rPr>
            </w:pPr>
            <w:r>
              <w:rPr>
                <w:sz w:val="18"/>
              </w:rPr>
              <w:t>南</w:t>
            </w:r>
          </w:p>
        </w:tc>
        <w:tc>
          <w:tcPr>
            <w:tcW w:w="321" w:type="dxa"/>
          </w:tcPr>
          <w:p w14:paraId="752CC64A">
            <w:pPr>
              <w:pStyle w:val="17"/>
              <w:spacing w:before="116"/>
              <w:ind w:right="58"/>
              <w:jc w:val="right"/>
              <w:rPr>
                <w:sz w:val="18"/>
              </w:rPr>
            </w:pPr>
            <w:r>
              <w:rPr>
                <w:sz w:val="18"/>
              </w:rPr>
              <w:t>西</w:t>
            </w:r>
          </w:p>
        </w:tc>
        <w:tc>
          <w:tcPr>
            <w:tcW w:w="343" w:type="dxa"/>
          </w:tcPr>
          <w:p w14:paraId="50E8EBBC">
            <w:pPr>
              <w:pStyle w:val="17"/>
              <w:spacing w:before="116"/>
              <w:ind w:left="80"/>
              <w:jc w:val="left"/>
              <w:rPr>
                <w:sz w:val="18"/>
              </w:rPr>
            </w:pPr>
            <w:r>
              <w:rPr>
                <w:sz w:val="18"/>
              </w:rPr>
              <w:t>北</w:t>
            </w:r>
          </w:p>
        </w:tc>
        <w:tc>
          <w:tcPr>
            <w:tcW w:w="550" w:type="dxa"/>
          </w:tcPr>
          <w:p w14:paraId="75BF3665">
            <w:pPr>
              <w:pStyle w:val="17"/>
              <w:spacing w:before="116"/>
              <w:ind w:left="7"/>
              <w:rPr>
                <w:sz w:val="18"/>
              </w:rPr>
            </w:pPr>
            <w:r>
              <w:rPr>
                <w:sz w:val="18"/>
              </w:rPr>
              <w:t>东</w:t>
            </w:r>
          </w:p>
        </w:tc>
        <w:tc>
          <w:tcPr>
            <w:tcW w:w="550" w:type="dxa"/>
          </w:tcPr>
          <w:p w14:paraId="661A870F">
            <w:pPr>
              <w:pStyle w:val="17"/>
              <w:spacing w:before="116"/>
              <w:ind w:left="7"/>
              <w:rPr>
                <w:sz w:val="18"/>
              </w:rPr>
            </w:pPr>
            <w:r>
              <w:rPr>
                <w:sz w:val="18"/>
              </w:rPr>
              <w:t>南</w:t>
            </w:r>
          </w:p>
        </w:tc>
        <w:tc>
          <w:tcPr>
            <w:tcW w:w="550" w:type="dxa"/>
          </w:tcPr>
          <w:p w14:paraId="4D2E761E">
            <w:pPr>
              <w:pStyle w:val="17"/>
              <w:spacing w:before="116"/>
              <w:ind w:left="185"/>
              <w:jc w:val="left"/>
              <w:rPr>
                <w:sz w:val="18"/>
              </w:rPr>
            </w:pPr>
            <w:r>
              <w:rPr>
                <w:sz w:val="18"/>
              </w:rPr>
              <w:t>西</w:t>
            </w:r>
          </w:p>
        </w:tc>
        <w:tc>
          <w:tcPr>
            <w:tcW w:w="667" w:type="dxa"/>
          </w:tcPr>
          <w:p w14:paraId="376040CC">
            <w:pPr>
              <w:pStyle w:val="17"/>
              <w:spacing w:before="116"/>
              <w:ind w:left="8"/>
              <w:rPr>
                <w:sz w:val="18"/>
              </w:rPr>
            </w:pPr>
            <w:r>
              <w:rPr>
                <w:sz w:val="18"/>
              </w:rPr>
              <w:t>北</w:t>
            </w:r>
          </w:p>
        </w:tc>
        <w:tc>
          <w:tcPr>
            <w:tcW w:w="789" w:type="dxa"/>
            <w:vMerge w:val="continue"/>
            <w:tcBorders>
              <w:top w:val="nil"/>
            </w:tcBorders>
          </w:tcPr>
          <w:p w14:paraId="10789C38">
            <w:pPr>
              <w:rPr>
                <w:sz w:val="2"/>
                <w:szCs w:val="2"/>
              </w:rPr>
            </w:pPr>
          </w:p>
        </w:tc>
        <w:tc>
          <w:tcPr>
            <w:tcW w:w="726" w:type="dxa"/>
            <w:vMerge w:val="continue"/>
            <w:tcBorders>
              <w:top w:val="nil"/>
            </w:tcBorders>
          </w:tcPr>
          <w:p w14:paraId="616AD733">
            <w:pPr>
              <w:rPr>
                <w:sz w:val="2"/>
                <w:szCs w:val="2"/>
              </w:rPr>
            </w:pPr>
          </w:p>
        </w:tc>
        <w:tc>
          <w:tcPr>
            <w:tcW w:w="806" w:type="dxa"/>
          </w:tcPr>
          <w:p w14:paraId="2A11F410">
            <w:pPr>
              <w:pStyle w:val="17"/>
              <w:spacing w:before="116"/>
              <w:ind w:left="7"/>
              <w:rPr>
                <w:sz w:val="18"/>
              </w:rPr>
            </w:pPr>
            <w:r>
              <w:rPr>
                <w:sz w:val="18"/>
              </w:rPr>
              <w:t>东</w:t>
            </w:r>
          </w:p>
        </w:tc>
        <w:tc>
          <w:tcPr>
            <w:tcW w:w="808" w:type="dxa"/>
          </w:tcPr>
          <w:p w14:paraId="6E792096">
            <w:pPr>
              <w:pStyle w:val="17"/>
              <w:spacing w:before="116"/>
              <w:ind w:right="301"/>
              <w:jc w:val="right"/>
              <w:rPr>
                <w:sz w:val="18"/>
              </w:rPr>
            </w:pPr>
            <w:r>
              <w:rPr>
                <w:sz w:val="18"/>
              </w:rPr>
              <w:t>南</w:t>
            </w:r>
          </w:p>
        </w:tc>
        <w:tc>
          <w:tcPr>
            <w:tcW w:w="806" w:type="dxa"/>
          </w:tcPr>
          <w:p w14:paraId="2F479642">
            <w:pPr>
              <w:pStyle w:val="17"/>
              <w:spacing w:before="116"/>
              <w:ind w:left="313"/>
              <w:jc w:val="left"/>
              <w:rPr>
                <w:sz w:val="18"/>
              </w:rPr>
            </w:pPr>
            <w:r>
              <w:rPr>
                <w:sz w:val="18"/>
              </w:rPr>
              <w:t>西</w:t>
            </w:r>
          </w:p>
        </w:tc>
        <w:tc>
          <w:tcPr>
            <w:tcW w:w="854" w:type="dxa"/>
            <w:tcBorders>
              <w:right w:val="nil"/>
            </w:tcBorders>
          </w:tcPr>
          <w:p w14:paraId="7C0F791B">
            <w:pPr>
              <w:pStyle w:val="17"/>
              <w:spacing w:before="116"/>
              <w:ind w:right="329"/>
              <w:jc w:val="right"/>
              <w:rPr>
                <w:sz w:val="18"/>
              </w:rPr>
            </w:pPr>
            <w:r>
              <w:rPr>
                <w:sz w:val="18"/>
              </w:rPr>
              <w:t>北</w:t>
            </w:r>
          </w:p>
        </w:tc>
      </w:tr>
      <w:tr w14:paraId="48EEB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342" w:type="dxa"/>
            <w:tcBorders>
              <w:left w:val="nil"/>
            </w:tcBorders>
          </w:tcPr>
          <w:p w14:paraId="0D009C87">
            <w:pPr>
              <w:pStyle w:val="17"/>
              <w:spacing w:before="2"/>
              <w:jc w:val="left"/>
              <w:rPr>
                <w:rFonts w:ascii="Times New Roman"/>
                <w:b/>
                <w:sz w:val="21"/>
              </w:rPr>
            </w:pPr>
          </w:p>
          <w:p w14:paraId="06217736">
            <w:pPr>
              <w:pStyle w:val="17"/>
              <w:spacing w:before="1"/>
              <w:ind w:left="129"/>
              <w:jc w:val="left"/>
              <w:rPr>
                <w:rFonts w:ascii="Times New Roman"/>
                <w:sz w:val="18"/>
              </w:rPr>
            </w:pPr>
            <w:r>
              <w:rPr>
                <w:rFonts w:ascii="Times New Roman"/>
                <w:sz w:val="18"/>
              </w:rPr>
              <w:t>1</w:t>
            </w:r>
          </w:p>
        </w:tc>
        <w:tc>
          <w:tcPr>
            <w:tcW w:w="735" w:type="dxa"/>
            <w:vMerge w:val="restart"/>
          </w:tcPr>
          <w:p w14:paraId="1A4EF769">
            <w:pPr>
              <w:pStyle w:val="17"/>
              <w:jc w:val="left"/>
              <w:rPr>
                <w:rFonts w:ascii="Times New Roman"/>
                <w:b/>
                <w:sz w:val="18"/>
              </w:rPr>
            </w:pPr>
          </w:p>
          <w:p w14:paraId="1B6C001D">
            <w:pPr>
              <w:pStyle w:val="17"/>
              <w:jc w:val="left"/>
              <w:rPr>
                <w:rFonts w:ascii="Times New Roman"/>
                <w:b/>
                <w:sz w:val="18"/>
              </w:rPr>
            </w:pPr>
          </w:p>
          <w:p w14:paraId="63B8063B">
            <w:pPr>
              <w:pStyle w:val="17"/>
              <w:jc w:val="left"/>
              <w:rPr>
                <w:rFonts w:ascii="Times New Roman"/>
                <w:b/>
                <w:sz w:val="18"/>
              </w:rPr>
            </w:pPr>
          </w:p>
          <w:p w14:paraId="172BCCEF">
            <w:pPr>
              <w:pStyle w:val="17"/>
              <w:jc w:val="left"/>
              <w:rPr>
                <w:rFonts w:ascii="Times New Roman"/>
                <w:b/>
                <w:sz w:val="18"/>
              </w:rPr>
            </w:pPr>
          </w:p>
          <w:p w14:paraId="102733D3">
            <w:pPr>
              <w:pStyle w:val="17"/>
              <w:jc w:val="left"/>
              <w:rPr>
                <w:rFonts w:ascii="Times New Roman"/>
                <w:b/>
                <w:sz w:val="18"/>
              </w:rPr>
            </w:pPr>
          </w:p>
          <w:p w14:paraId="66E4DD4C">
            <w:pPr>
              <w:pStyle w:val="17"/>
              <w:jc w:val="left"/>
              <w:rPr>
                <w:rFonts w:ascii="Times New Roman"/>
                <w:b/>
                <w:sz w:val="18"/>
              </w:rPr>
            </w:pPr>
          </w:p>
          <w:p w14:paraId="4BDA4E31">
            <w:pPr>
              <w:pStyle w:val="17"/>
              <w:jc w:val="left"/>
              <w:rPr>
                <w:rFonts w:ascii="Times New Roman"/>
                <w:b/>
                <w:sz w:val="18"/>
              </w:rPr>
            </w:pPr>
          </w:p>
          <w:p w14:paraId="70776463">
            <w:pPr>
              <w:pStyle w:val="17"/>
              <w:jc w:val="left"/>
              <w:rPr>
                <w:rFonts w:ascii="Times New Roman"/>
                <w:b/>
                <w:sz w:val="18"/>
              </w:rPr>
            </w:pPr>
          </w:p>
          <w:p w14:paraId="45DB2A43">
            <w:pPr>
              <w:pStyle w:val="17"/>
              <w:spacing w:before="4"/>
              <w:jc w:val="left"/>
              <w:rPr>
                <w:rFonts w:ascii="Times New Roman"/>
                <w:b/>
                <w:sz w:val="15"/>
              </w:rPr>
            </w:pPr>
          </w:p>
          <w:p w14:paraId="4984AA7E">
            <w:pPr>
              <w:pStyle w:val="17"/>
              <w:spacing w:before="1" w:line="242" w:lineRule="auto"/>
              <w:ind w:left="276" w:right="86" w:hanging="180"/>
              <w:jc w:val="left"/>
              <w:rPr>
                <w:sz w:val="18"/>
              </w:rPr>
            </w:pPr>
            <w:r>
              <w:rPr>
                <w:sz w:val="18"/>
              </w:rPr>
              <w:t>生产车间</w:t>
            </w:r>
          </w:p>
        </w:tc>
        <w:tc>
          <w:tcPr>
            <w:tcW w:w="743" w:type="dxa"/>
          </w:tcPr>
          <w:p w14:paraId="55152D5D">
            <w:pPr>
              <w:pStyle w:val="17"/>
              <w:spacing w:before="4"/>
              <w:jc w:val="left"/>
              <w:rPr>
                <w:rFonts w:ascii="Times New Roman"/>
                <w:b/>
                <w:sz w:val="20"/>
              </w:rPr>
            </w:pPr>
          </w:p>
          <w:p w14:paraId="69E31AC8">
            <w:pPr>
              <w:pStyle w:val="17"/>
              <w:spacing w:before="1"/>
              <w:ind w:left="81" w:right="72"/>
              <w:rPr>
                <w:sz w:val="18"/>
              </w:rPr>
            </w:pPr>
            <w:r>
              <w:rPr>
                <w:sz w:val="18"/>
              </w:rPr>
              <w:t>破碎机</w:t>
            </w:r>
          </w:p>
        </w:tc>
        <w:tc>
          <w:tcPr>
            <w:tcW w:w="655" w:type="dxa"/>
          </w:tcPr>
          <w:p w14:paraId="6A4B7AD7">
            <w:pPr>
              <w:pStyle w:val="17"/>
              <w:spacing w:before="2"/>
              <w:jc w:val="left"/>
              <w:rPr>
                <w:rFonts w:ascii="Times New Roman"/>
                <w:b/>
                <w:sz w:val="21"/>
              </w:rPr>
            </w:pPr>
          </w:p>
          <w:p w14:paraId="2AA3B243">
            <w:pPr>
              <w:pStyle w:val="17"/>
              <w:spacing w:before="1"/>
              <w:ind w:left="9"/>
              <w:rPr>
                <w:rFonts w:ascii="Times New Roman"/>
                <w:sz w:val="18"/>
              </w:rPr>
            </w:pPr>
            <w:r>
              <w:rPr>
                <w:rFonts w:ascii="Times New Roman"/>
                <w:sz w:val="18"/>
              </w:rPr>
              <w:t>2</w:t>
            </w:r>
          </w:p>
        </w:tc>
        <w:tc>
          <w:tcPr>
            <w:tcW w:w="845" w:type="dxa"/>
          </w:tcPr>
          <w:p w14:paraId="20B30016">
            <w:pPr>
              <w:pStyle w:val="17"/>
              <w:spacing w:before="2"/>
              <w:jc w:val="left"/>
              <w:rPr>
                <w:rFonts w:ascii="Times New Roman"/>
                <w:b/>
                <w:sz w:val="21"/>
              </w:rPr>
            </w:pPr>
          </w:p>
          <w:p w14:paraId="54355CE5">
            <w:pPr>
              <w:pStyle w:val="17"/>
              <w:spacing w:before="1"/>
              <w:ind w:left="41" w:right="30"/>
              <w:rPr>
                <w:rFonts w:ascii="Times New Roman"/>
                <w:sz w:val="18"/>
              </w:rPr>
            </w:pPr>
            <w:r>
              <w:rPr>
                <w:rFonts w:ascii="Times New Roman"/>
                <w:sz w:val="18"/>
              </w:rPr>
              <w:t>85</w:t>
            </w:r>
          </w:p>
        </w:tc>
        <w:tc>
          <w:tcPr>
            <w:tcW w:w="1421" w:type="dxa"/>
          </w:tcPr>
          <w:p w14:paraId="2ECABF1B">
            <w:pPr>
              <w:pStyle w:val="17"/>
              <w:spacing w:before="2" w:line="230" w:lineRule="atLeast"/>
              <w:ind w:left="80" w:right="68"/>
              <w:rPr>
                <w:sz w:val="18"/>
              </w:rPr>
            </w:pPr>
            <w:r>
              <w:rPr>
                <w:sz w:val="18"/>
              </w:rPr>
              <w:t>低噪声设备、基础减振、厂房隔声</w:t>
            </w:r>
          </w:p>
        </w:tc>
        <w:tc>
          <w:tcPr>
            <w:tcW w:w="374" w:type="dxa"/>
          </w:tcPr>
          <w:p w14:paraId="7EC6D958">
            <w:pPr>
              <w:pStyle w:val="17"/>
              <w:spacing w:before="2"/>
              <w:jc w:val="left"/>
              <w:rPr>
                <w:rFonts w:ascii="Times New Roman"/>
                <w:b/>
                <w:sz w:val="21"/>
              </w:rPr>
            </w:pPr>
          </w:p>
          <w:p w14:paraId="125B88CF">
            <w:pPr>
              <w:pStyle w:val="17"/>
              <w:spacing w:before="1"/>
              <w:ind w:left="65"/>
              <w:jc w:val="left"/>
              <w:rPr>
                <w:rFonts w:ascii="Times New Roman"/>
                <w:sz w:val="18"/>
              </w:rPr>
            </w:pPr>
            <w:r>
              <w:rPr>
                <w:rFonts w:ascii="Times New Roman"/>
                <w:sz w:val="18"/>
              </w:rPr>
              <w:t>-25</w:t>
            </w:r>
          </w:p>
        </w:tc>
        <w:tc>
          <w:tcPr>
            <w:tcW w:w="377" w:type="dxa"/>
          </w:tcPr>
          <w:p w14:paraId="781B6E46">
            <w:pPr>
              <w:pStyle w:val="17"/>
              <w:spacing w:before="2"/>
              <w:jc w:val="left"/>
              <w:rPr>
                <w:rFonts w:ascii="Times New Roman"/>
                <w:b/>
                <w:sz w:val="21"/>
              </w:rPr>
            </w:pPr>
          </w:p>
          <w:p w14:paraId="5BA20576">
            <w:pPr>
              <w:pStyle w:val="17"/>
              <w:spacing w:before="1"/>
              <w:ind w:right="55"/>
              <w:jc w:val="right"/>
              <w:rPr>
                <w:rFonts w:ascii="Times New Roman"/>
                <w:sz w:val="18"/>
              </w:rPr>
            </w:pPr>
            <w:r>
              <w:rPr>
                <w:rFonts w:ascii="Times New Roman"/>
                <w:sz w:val="18"/>
              </w:rPr>
              <w:t>-20</w:t>
            </w:r>
          </w:p>
        </w:tc>
        <w:tc>
          <w:tcPr>
            <w:tcW w:w="261" w:type="dxa"/>
          </w:tcPr>
          <w:p w14:paraId="063C93B9">
            <w:pPr>
              <w:pStyle w:val="17"/>
              <w:spacing w:before="2"/>
              <w:jc w:val="left"/>
              <w:rPr>
                <w:rFonts w:ascii="Times New Roman"/>
                <w:b/>
                <w:sz w:val="21"/>
              </w:rPr>
            </w:pPr>
          </w:p>
          <w:p w14:paraId="1BA8B39F">
            <w:pPr>
              <w:pStyle w:val="17"/>
              <w:spacing w:before="1"/>
              <w:ind w:left="85"/>
              <w:jc w:val="left"/>
              <w:rPr>
                <w:rFonts w:ascii="Times New Roman"/>
                <w:sz w:val="18"/>
              </w:rPr>
            </w:pPr>
            <w:r>
              <w:rPr>
                <w:rFonts w:ascii="Times New Roman"/>
                <w:sz w:val="18"/>
              </w:rPr>
              <w:t>1</w:t>
            </w:r>
          </w:p>
        </w:tc>
        <w:tc>
          <w:tcPr>
            <w:tcW w:w="321" w:type="dxa"/>
          </w:tcPr>
          <w:p w14:paraId="2D8C04E0">
            <w:pPr>
              <w:pStyle w:val="17"/>
              <w:spacing w:before="2"/>
              <w:jc w:val="left"/>
              <w:rPr>
                <w:rFonts w:ascii="Times New Roman"/>
                <w:b/>
                <w:sz w:val="21"/>
              </w:rPr>
            </w:pPr>
          </w:p>
          <w:p w14:paraId="09A54B89">
            <w:pPr>
              <w:pStyle w:val="17"/>
              <w:spacing w:before="1"/>
              <w:ind w:left="69"/>
              <w:jc w:val="left"/>
              <w:rPr>
                <w:rFonts w:ascii="Times New Roman"/>
                <w:sz w:val="18"/>
              </w:rPr>
            </w:pPr>
            <w:r>
              <w:rPr>
                <w:rFonts w:ascii="Times New Roman"/>
                <w:sz w:val="18"/>
              </w:rPr>
              <w:t>68</w:t>
            </w:r>
          </w:p>
        </w:tc>
        <w:tc>
          <w:tcPr>
            <w:tcW w:w="321" w:type="dxa"/>
          </w:tcPr>
          <w:p w14:paraId="67C60619">
            <w:pPr>
              <w:pStyle w:val="17"/>
              <w:spacing w:before="2"/>
              <w:jc w:val="left"/>
              <w:rPr>
                <w:rFonts w:ascii="Times New Roman"/>
                <w:b/>
                <w:sz w:val="21"/>
              </w:rPr>
            </w:pPr>
          </w:p>
          <w:p w14:paraId="6A14F9F9">
            <w:pPr>
              <w:pStyle w:val="17"/>
              <w:spacing w:before="1"/>
              <w:ind w:right="103"/>
              <w:jc w:val="right"/>
              <w:rPr>
                <w:rFonts w:ascii="Times New Roman"/>
                <w:sz w:val="18"/>
              </w:rPr>
            </w:pPr>
            <w:r>
              <w:rPr>
                <w:rFonts w:ascii="Times New Roman"/>
                <w:sz w:val="18"/>
              </w:rPr>
              <w:t>4</w:t>
            </w:r>
          </w:p>
        </w:tc>
        <w:tc>
          <w:tcPr>
            <w:tcW w:w="321" w:type="dxa"/>
          </w:tcPr>
          <w:p w14:paraId="03D5D21A">
            <w:pPr>
              <w:pStyle w:val="17"/>
              <w:spacing w:before="2"/>
              <w:jc w:val="left"/>
              <w:rPr>
                <w:rFonts w:ascii="Times New Roman"/>
                <w:b/>
                <w:sz w:val="21"/>
              </w:rPr>
            </w:pPr>
          </w:p>
          <w:p w14:paraId="72CC565E">
            <w:pPr>
              <w:pStyle w:val="17"/>
              <w:spacing w:before="1"/>
              <w:ind w:right="57"/>
              <w:jc w:val="right"/>
              <w:rPr>
                <w:rFonts w:ascii="Times New Roman"/>
                <w:sz w:val="18"/>
              </w:rPr>
            </w:pPr>
            <w:r>
              <w:rPr>
                <w:rFonts w:ascii="Times New Roman"/>
                <w:sz w:val="18"/>
              </w:rPr>
              <w:t>12</w:t>
            </w:r>
          </w:p>
        </w:tc>
        <w:tc>
          <w:tcPr>
            <w:tcW w:w="343" w:type="dxa"/>
          </w:tcPr>
          <w:p w14:paraId="587433B3">
            <w:pPr>
              <w:pStyle w:val="17"/>
              <w:spacing w:before="2"/>
              <w:jc w:val="left"/>
              <w:rPr>
                <w:rFonts w:ascii="Times New Roman"/>
                <w:b/>
                <w:sz w:val="21"/>
              </w:rPr>
            </w:pPr>
          </w:p>
          <w:p w14:paraId="1C1C6621">
            <w:pPr>
              <w:pStyle w:val="17"/>
              <w:spacing w:before="1"/>
              <w:ind w:left="80"/>
              <w:jc w:val="left"/>
              <w:rPr>
                <w:rFonts w:ascii="Times New Roman"/>
                <w:sz w:val="18"/>
              </w:rPr>
            </w:pPr>
            <w:r>
              <w:rPr>
                <w:rFonts w:ascii="Times New Roman"/>
                <w:sz w:val="18"/>
              </w:rPr>
              <w:t>35</w:t>
            </w:r>
          </w:p>
        </w:tc>
        <w:tc>
          <w:tcPr>
            <w:tcW w:w="550" w:type="dxa"/>
          </w:tcPr>
          <w:p w14:paraId="27F9AD6B">
            <w:pPr>
              <w:pStyle w:val="17"/>
              <w:spacing w:before="5"/>
              <w:jc w:val="left"/>
              <w:rPr>
                <w:rFonts w:ascii="Times New Roman"/>
                <w:b/>
                <w:sz w:val="21"/>
              </w:rPr>
            </w:pPr>
          </w:p>
          <w:p w14:paraId="0F78FB3B">
            <w:pPr>
              <w:pStyle w:val="17"/>
              <w:ind w:left="96" w:right="87"/>
              <w:rPr>
                <w:rFonts w:ascii="Times New Roman"/>
                <w:sz w:val="18"/>
              </w:rPr>
            </w:pPr>
            <w:r>
              <w:rPr>
                <w:rFonts w:ascii="Times New Roman"/>
                <w:sz w:val="18"/>
              </w:rPr>
              <w:t>51.4</w:t>
            </w:r>
          </w:p>
        </w:tc>
        <w:tc>
          <w:tcPr>
            <w:tcW w:w="550" w:type="dxa"/>
          </w:tcPr>
          <w:p w14:paraId="3BCDD7F8">
            <w:pPr>
              <w:pStyle w:val="17"/>
              <w:spacing w:before="5"/>
              <w:jc w:val="left"/>
              <w:rPr>
                <w:rFonts w:ascii="Times New Roman"/>
                <w:b/>
                <w:sz w:val="21"/>
              </w:rPr>
            </w:pPr>
          </w:p>
          <w:p w14:paraId="789CFE2F">
            <w:pPr>
              <w:pStyle w:val="17"/>
              <w:ind w:left="96" w:right="88"/>
              <w:rPr>
                <w:rFonts w:ascii="Times New Roman"/>
                <w:sz w:val="18"/>
              </w:rPr>
            </w:pPr>
            <w:r>
              <w:rPr>
                <w:rFonts w:ascii="Times New Roman"/>
                <w:sz w:val="18"/>
              </w:rPr>
              <w:t>76.0</w:t>
            </w:r>
          </w:p>
        </w:tc>
        <w:tc>
          <w:tcPr>
            <w:tcW w:w="550" w:type="dxa"/>
          </w:tcPr>
          <w:p w14:paraId="5B8D630B">
            <w:pPr>
              <w:pStyle w:val="17"/>
              <w:spacing w:before="5"/>
              <w:jc w:val="left"/>
              <w:rPr>
                <w:rFonts w:ascii="Times New Roman"/>
                <w:b/>
                <w:sz w:val="21"/>
              </w:rPr>
            </w:pPr>
          </w:p>
          <w:p w14:paraId="5E3066FB">
            <w:pPr>
              <w:pStyle w:val="17"/>
              <w:ind w:left="115"/>
              <w:jc w:val="left"/>
              <w:rPr>
                <w:rFonts w:ascii="Times New Roman"/>
                <w:sz w:val="18"/>
              </w:rPr>
            </w:pPr>
            <w:r>
              <w:rPr>
                <w:rFonts w:ascii="Times New Roman"/>
                <w:sz w:val="18"/>
              </w:rPr>
              <w:t>66.4</w:t>
            </w:r>
          </w:p>
        </w:tc>
        <w:tc>
          <w:tcPr>
            <w:tcW w:w="667" w:type="dxa"/>
          </w:tcPr>
          <w:p w14:paraId="30BC24F6">
            <w:pPr>
              <w:pStyle w:val="17"/>
              <w:spacing w:before="5"/>
              <w:jc w:val="left"/>
              <w:rPr>
                <w:rFonts w:ascii="Times New Roman"/>
                <w:b/>
                <w:sz w:val="21"/>
              </w:rPr>
            </w:pPr>
          </w:p>
          <w:p w14:paraId="346C9D2E">
            <w:pPr>
              <w:pStyle w:val="17"/>
              <w:ind w:left="155" w:right="146"/>
              <w:rPr>
                <w:rFonts w:ascii="Times New Roman"/>
                <w:sz w:val="18"/>
              </w:rPr>
            </w:pPr>
            <w:r>
              <w:rPr>
                <w:rFonts w:ascii="Times New Roman"/>
                <w:sz w:val="18"/>
              </w:rPr>
              <w:t>57.1</w:t>
            </w:r>
          </w:p>
        </w:tc>
        <w:tc>
          <w:tcPr>
            <w:tcW w:w="789" w:type="dxa"/>
            <w:vMerge w:val="restart"/>
          </w:tcPr>
          <w:p w14:paraId="6322DDFE">
            <w:pPr>
              <w:pStyle w:val="17"/>
              <w:jc w:val="left"/>
              <w:rPr>
                <w:rFonts w:ascii="Times New Roman"/>
                <w:b/>
                <w:sz w:val="20"/>
              </w:rPr>
            </w:pPr>
          </w:p>
          <w:p w14:paraId="5F33B536">
            <w:pPr>
              <w:pStyle w:val="17"/>
              <w:jc w:val="left"/>
              <w:rPr>
                <w:rFonts w:ascii="Times New Roman"/>
                <w:b/>
                <w:sz w:val="20"/>
              </w:rPr>
            </w:pPr>
          </w:p>
          <w:p w14:paraId="55C8CD1E">
            <w:pPr>
              <w:pStyle w:val="17"/>
              <w:jc w:val="left"/>
              <w:rPr>
                <w:rFonts w:ascii="Times New Roman"/>
                <w:b/>
                <w:sz w:val="20"/>
              </w:rPr>
            </w:pPr>
          </w:p>
          <w:p w14:paraId="6E49E323">
            <w:pPr>
              <w:pStyle w:val="17"/>
              <w:jc w:val="left"/>
              <w:rPr>
                <w:rFonts w:ascii="Times New Roman"/>
                <w:b/>
                <w:sz w:val="20"/>
              </w:rPr>
            </w:pPr>
          </w:p>
          <w:p w14:paraId="3F8C7D10">
            <w:pPr>
              <w:pStyle w:val="17"/>
              <w:jc w:val="left"/>
              <w:rPr>
                <w:rFonts w:ascii="Times New Roman"/>
                <w:b/>
                <w:sz w:val="20"/>
              </w:rPr>
            </w:pPr>
          </w:p>
          <w:p w14:paraId="2E239C67">
            <w:pPr>
              <w:pStyle w:val="17"/>
              <w:jc w:val="left"/>
              <w:rPr>
                <w:rFonts w:ascii="Times New Roman"/>
                <w:b/>
                <w:sz w:val="20"/>
              </w:rPr>
            </w:pPr>
          </w:p>
          <w:p w14:paraId="0721EA1A">
            <w:pPr>
              <w:pStyle w:val="17"/>
              <w:jc w:val="left"/>
              <w:rPr>
                <w:rFonts w:ascii="Times New Roman"/>
                <w:b/>
                <w:sz w:val="20"/>
              </w:rPr>
            </w:pPr>
          </w:p>
          <w:p w14:paraId="126D7DFA">
            <w:pPr>
              <w:pStyle w:val="17"/>
              <w:spacing w:before="4"/>
              <w:jc w:val="left"/>
              <w:rPr>
                <w:rFonts w:ascii="Times New Roman"/>
                <w:b/>
                <w:sz w:val="19"/>
              </w:rPr>
            </w:pPr>
          </w:p>
          <w:p w14:paraId="39488EEA">
            <w:pPr>
              <w:pStyle w:val="17"/>
              <w:spacing w:before="1" w:line="242" w:lineRule="auto"/>
              <w:ind w:left="101" w:right="-44" w:hanging="58"/>
              <w:jc w:val="left"/>
              <w:rPr>
                <w:rFonts w:ascii="Times New Roman" w:eastAsia="Times New Roman"/>
                <w:sz w:val="18"/>
              </w:rPr>
            </w:pPr>
            <w:r>
              <w:rPr>
                <w:spacing w:val="-16"/>
                <w:sz w:val="18"/>
              </w:rPr>
              <w:t xml:space="preserve">昼间 </w:t>
            </w:r>
            <w:r>
              <w:rPr>
                <w:rFonts w:ascii="Times New Roman" w:eastAsia="Times New Roman"/>
                <w:sz w:val="18"/>
              </w:rPr>
              <w:t>8h</w:t>
            </w:r>
            <w:r>
              <w:rPr>
                <w:sz w:val="18"/>
              </w:rPr>
              <w:t xml:space="preserve">， </w:t>
            </w:r>
            <w:r>
              <w:rPr>
                <w:spacing w:val="-15"/>
                <w:sz w:val="18"/>
              </w:rPr>
              <w:t xml:space="preserve">夜间 </w:t>
            </w:r>
            <w:r>
              <w:rPr>
                <w:rFonts w:ascii="Times New Roman" w:eastAsia="Times New Roman"/>
                <w:sz w:val="18"/>
              </w:rPr>
              <w:t>8h</w:t>
            </w:r>
          </w:p>
        </w:tc>
        <w:tc>
          <w:tcPr>
            <w:tcW w:w="726" w:type="dxa"/>
          </w:tcPr>
          <w:p w14:paraId="0E25EA55">
            <w:pPr>
              <w:pStyle w:val="17"/>
              <w:spacing w:before="5"/>
              <w:jc w:val="left"/>
              <w:rPr>
                <w:rFonts w:ascii="Times New Roman"/>
                <w:b/>
                <w:sz w:val="21"/>
              </w:rPr>
            </w:pPr>
          </w:p>
          <w:p w14:paraId="18E5A7B2">
            <w:pPr>
              <w:pStyle w:val="17"/>
              <w:ind w:left="272"/>
              <w:jc w:val="left"/>
              <w:rPr>
                <w:rFonts w:ascii="Times New Roman"/>
                <w:sz w:val="18"/>
              </w:rPr>
            </w:pPr>
            <w:r>
              <w:rPr>
                <w:rFonts w:ascii="Times New Roman"/>
                <w:sz w:val="18"/>
              </w:rPr>
              <w:t>25</w:t>
            </w:r>
          </w:p>
        </w:tc>
        <w:tc>
          <w:tcPr>
            <w:tcW w:w="806" w:type="dxa"/>
          </w:tcPr>
          <w:p w14:paraId="29A26299">
            <w:pPr>
              <w:pStyle w:val="17"/>
              <w:spacing w:before="5"/>
              <w:jc w:val="left"/>
              <w:rPr>
                <w:rFonts w:ascii="Times New Roman"/>
                <w:b/>
                <w:sz w:val="21"/>
              </w:rPr>
            </w:pPr>
          </w:p>
          <w:p w14:paraId="06A5A20B">
            <w:pPr>
              <w:pStyle w:val="17"/>
              <w:ind w:left="225" w:right="216"/>
              <w:rPr>
                <w:rFonts w:ascii="Times New Roman"/>
                <w:sz w:val="18"/>
              </w:rPr>
            </w:pPr>
            <w:r>
              <w:rPr>
                <w:rFonts w:ascii="Times New Roman"/>
                <w:sz w:val="18"/>
              </w:rPr>
              <w:t>26.4</w:t>
            </w:r>
          </w:p>
        </w:tc>
        <w:tc>
          <w:tcPr>
            <w:tcW w:w="808" w:type="dxa"/>
          </w:tcPr>
          <w:p w14:paraId="2A73FE26">
            <w:pPr>
              <w:pStyle w:val="17"/>
              <w:spacing w:before="5"/>
              <w:jc w:val="left"/>
              <w:rPr>
                <w:rFonts w:ascii="Times New Roman"/>
                <w:b/>
                <w:sz w:val="21"/>
              </w:rPr>
            </w:pPr>
          </w:p>
          <w:p w14:paraId="3F428898">
            <w:pPr>
              <w:pStyle w:val="17"/>
              <w:ind w:right="235"/>
              <w:jc w:val="right"/>
              <w:rPr>
                <w:rFonts w:ascii="Times New Roman"/>
                <w:sz w:val="18"/>
              </w:rPr>
            </w:pPr>
            <w:r>
              <w:rPr>
                <w:rFonts w:ascii="Times New Roman"/>
                <w:sz w:val="18"/>
              </w:rPr>
              <w:t>51.0</w:t>
            </w:r>
          </w:p>
        </w:tc>
        <w:tc>
          <w:tcPr>
            <w:tcW w:w="806" w:type="dxa"/>
          </w:tcPr>
          <w:p w14:paraId="36A97051">
            <w:pPr>
              <w:pStyle w:val="17"/>
              <w:spacing w:before="5"/>
              <w:jc w:val="left"/>
              <w:rPr>
                <w:rFonts w:ascii="Times New Roman"/>
                <w:b/>
                <w:sz w:val="21"/>
              </w:rPr>
            </w:pPr>
          </w:p>
          <w:p w14:paraId="3E67ABFC">
            <w:pPr>
              <w:pStyle w:val="17"/>
              <w:ind w:left="243"/>
              <w:jc w:val="left"/>
              <w:rPr>
                <w:rFonts w:ascii="Times New Roman"/>
                <w:sz w:val="18"/>
              </w:rPr>
            </w:pPr>
            <w:r>
              <w:rPr>
                <w:rFonts w:ascii="Times New Roman"/>
                <w:sz w:val="18"/>
              </w:rPr>
              <w:t>41.4</w:t>
            </w:r>
          </w:p>
        </w:tc>
        <w:tc>
          <w:tcPr>
            <w:tcW w:w="854" w:type="dxa"/>
            <w:tcBorders>
              <w:right w:val="nil"/>
            </w:tcBorders>
          </w:tcPr>
          <w:p w14:paraId="5C597E2A">
            <w:pPr>
              <w:pStyle w:val="17"/>
              <w:spacing w:before="5"/>
              <w:jc w:val="left"/>
              <w:rPr>
                <w:rFonts w:ascii="Times New Roman"/>
                <w:b/>
                <w:sz w:val="21"/>
              </w:rPr>
            </w:pPr>
          </w:p>
          <w:p w14:paraId="08F8DE3A">
            <w:pPr>
              <w:pStyle w:val="17"/>
              <w:ind w:right="263"/>
              <w:jc w:val="right"/>
              <w:rPr>
                <w:rFonts w:ascii="Times New Roman"/>
                <w:sz w:val="18"/>
              </w:rPr>
            </w:pPr>
            <w:r>
              <w:rPr>
                <w:rFonts w:ascii="Times New Roman"/>
                <w:sz w:val="18"/>
              </w:rPr>
              <w:t>32.1</w:t>
            </w:r>
          </w:p>
        </w:tc>
      </w:tr>
      <w:tr w14:paraId="67571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42" w:type="dxa"/>
            <w:tcBorders>
              <w:left w:val="nil"/>
            </w:tcBorders>
          </w:tcPr>
          <w:p w14:paraId="18CB5F9D">
            <w:pPr>
              <w:pStyle w:val="17"/>
              <w:spacing w:before="129"/>
              <w:ind w:left="129"/>
              <w:jc w:val="left"/>
              <w:rPr>
                <w:rFonts w:ascii="Times New Roman"/>
                <w:sz w:val="18"/>
              </w:rPr>
            </w:pPr>
            <w:r>
              <w:rPr>
                <w:rFonts w:ascii="Times New Roman"/>
                <w:sz w:val="18"/>
              </w:rPr>
              <w:t>2</w:t>
            </w:r>
          </w:p>
        </w:tc>
        <w:tc>
          <w:tcPr>
            <w:tcW w:w="735" w:type="dxa"/>
            <w:vMerge w:val="continue"/>
            <w:tcBorders>
              <w:top w:val="nil"/>
            </w:tcBorders>
          </w:tcPr>
          <w:p w14:paraId="081E604E">
            <w:pPr>
              <w:rPr>
                <w:sz w:val="2"/>
                <w:szCs w:val="2"/>
              </w:rPr>
            </w:pPr>
          </w:p>
        </w:tc>
        <w:tc>
          <w:tcPr>
            <w:tcW w:w="743" w:type="dxa"/>
          </w:tcPr>
          <w:p w14:paraId="028FE0D3">
            <w:pPr>
              <w:pStyle w:val="17"/>
              <w:spacing w:before="2" w:line="230" w:lineRule="atLeast"/>
              <w:ind w:left="189" w:right="89" w:hanging="89"/>
              <w:jc w:val="left"/>
              <w:rPr>
                <w:sz w:val="18"/>
              </w:rPr>
            </w:pPr>
            <w:r>
              <w:rPr>
                <w:sz w:val="18"/>
              </w:rPr>
              <w:t>挤出造粒机</w:t>
            </w:r>
          </w:p>
        </w:tc>
        <w:tc>
          <w:tcPr>
            <w:tcW w:w="655" w:type="dxa"/>
          </w:tcPr>
          <w:p w14:paraId="0549FF50">
            <w:pPr>
              <w:pStyle w:val="17"/>
              <w:spacing w:before="129"/>
              <w:ind w:left="9"/>
              <w:rPr>
                <w:rFonts w:ascii="Times New Roman"/>
                <w:sz w:val="18"/>
              </w:rPr>
            </w:pPr>
            <w:r>
              <w:rPr>
                <w:rFonts w:ascii="Times New Roman"/>
                <w:sz w:val="18"/>
              </w:rPr>
              <w:t>2</w:t>
            </w:r>
          </w:p>
        </w:tc>
        <w:tc>
          <w:tcPr>
            <w:tcW w:w="845" w:type="dxa"/>
          </w:tcPr>
          <w:p w14:paraId="21C32EF1">
            <w:pPr>
              <w:pStyle w:val="17"/>
              <w:spacing w:before="129"/>
              <w:ind w:left="41" w:right="30"/>
              <w:rPr>
                <w:rFonts w:ascii="Times New Roman"/>
                <w:sz w:val="18"/>
              </w:rPr>
            </w:pPr>
            <w:r>
              <w:rPr>
                <w:rFonts w:ascii="Times New Roman"/>
                <w:sz w:val="18"/>
              </w:rPr>
              <w:t>75</w:t>
            </w:r>
          </w:p>
        </w:tc>
        <w:tc>
          <w:tcPr>
            <w:tcW w:w="1421" w:type="dxa"/>
            <w:vMerge w:val="restart"/>
          </w:tcPr>
          <w:p w14:paraId="5CADF990">
            <w:pPr>
              <w:pStyle w:val="17"/>
              <w:spacing w:before="89" w:line="242" w:lineRule="auto"/>
              <w:ind w:left="80" w:right="68"/>
              <w:rPr>
                <w:sz w:val="18"/>
              </w:rPr>
            </w:pPr>
            <w:r>
              <w:rPr>
                <w:sz w:val="18"/>
              </w:rPr>
              <w:t>低噪声设备、基础减振、厂房隔声</w:t>
            </w:r>
          </w:p>
        </w:tc>
        <w:tc>
          <w:tcPr>
            <w:tcW w:w="374" w:type="dxa"/>
          </w:tcPr>
          <w:p w14:paraId="7907A01E">
            <w:pPr>
              <w:pStyle w:val="17"/>
              <w:spacing w:before="129"/>
              <w:ind w:left="65"/>
              <w:jc w:val="left"/>
              <w:rPr>
                <w:rFonts w:ascii="Times New Roman"/>
                <w:sz w:val="18"/>
              </w:rPr>
            </w:pPr>
            <w:r>
              <w:rPr>
                <w:rFonts w:ascii="Times New Roman"/>
                <w:sz w:val="18"/>
              </w:rPr>
              <w:t>-35</w:t>
            </w:r>
          </w:p>
        </w:tc>
        <w:tc>
          <w:tcPr>
            <w:tcW w:w="377" w:type="dxa"/>
          </w:tcPr>
          <w:p w14:paraId="6485DBBB">
            <w:pPr>
              <w:pStyle w:val="17"/>
              <w:spacing w:before="129"/>
              <w:ind w:right="55"/>
              <w:jc w:val="right"/>
              <w:rPr>
                <w:rFonts w:ascii="Times New Roman"/>
                <w:sz w:val="18"/>
              </w:rPr>
            </w:pPr>
            <w:r>
              <w:rPr>
                <w:rFonts w:ascii="Times New Roman"/>
                <w:sz w:val="18"/>
              </w:rPr>
              <w:t>-17</w:t>
            </w:r>
          </w:p>
        </w:tc>
        <w:tc>
          <w:tcPr>
            <w:tcW w:w="261" w:type="dxa"/>
          </w:tcPr>
          <w:p w14:paraId="0DD2E5BA">
            <w:pPr>
              <w:pStyle w:val="17"/>
              <w:spacing w:before="129"/>
              <w:ind w:left="85"/>
              <w:jc w:val="left"/>
              <w:rPr>
                <w:rFonts w:ascii="Times New Roman"/>
                <w:sz w:val="18"/>
              </w:rPr>
            </w:pPr>
            <w:r>
              <w:rPr>
                <w:rFonts w:ascii="Times New Roman"/>
                <w:sz w:val="18"/>
              </w:rPr>
              <w:t>1</w:t>
            </w:r>
          </w:p>
        </w:tc>
        <w:tc>
          <w:tcPr>
            <w:tcW w:w="321" w:type="dxa"/>
          </w:tcPr>
          <w:p w14:paraId="55DB8BDD">
            <w:pPr>
              <w:pStyle w:val="17"/>
              <w:spacing w:before="129"/>
              <w:ind w:left="69"/>
              <w:jc w:val="left"/>
              <w:rPr>
                <w:rFonts w:ascii="Times New Roman"/>
                <w:sz w:val="18"/>
              </w:rPr>
            </w:pPr>
            <w:r>
              <w:rPr>
                <w:rFonts w:ascii="Times New Roman"/>
                <w:sz w:val="18"/>
              </w:rPr>
              <w:t>65</w:t>
            </w:r>
          </w:p>
        </w:tc>
        <w:tc>
          <w:tcPr>
            <w:tcW w:w="321" w:type="dxa"/>
          </w:tcPr>
          <w:p w14:paraId="5740F286">
            <w:pPr>
              <w:pStyle w:val="17"/>
              <w:spacing w:before="129"/>
              <w:ind w:right="103"/>
              <w:jc w:val="right"/>
              <w:rPr>
                <w:rFonts w:ascii="Times New Roman"/>
                <w:sz w:val="18"/>
              </w:rPr>
            </w:pPr>
            <w:r>
              <w:rPr>
                <w:rFonts w:ascii="Times New Roman"/>
                <w:sz w:val="18"/>
              </w:rPr>
              <w:t>4</w:t>
            </w:r>
          </w:p>
        </w:tc>
        <w:tc>
          <w:tcPr>
            <w:tcW w:w="321" w:type="dxa"/>
          </w:tcPr>
          <w:p w14:paraId="5105C2DF">
            <w:pPr>
              <w:pStyle w:val="17"/>
              <w:spacing w:before="129"/>
              <w:ind w:right="105"/>
              <w:jc w:val="right"/>
              <w:rPr>
                <w:rFonts w:ascii="Times New Roman"/>
                <w:sz w:val="18"/>
              </w:rPr>
            </w:pPr>
            <w:r>
              <w:rPr>
                <w:rFonts w:ascii="Times New Roman"/>
                <w:sz w:val="18"/>
              </w:rPr>
              <w:t>4</w:t>
            </w:r>
          </w:p>
        </w:tc>
        <w:tc>
          <w:tcPr>
            <w:tcW w:w="343" w:type="dxa"/>
          </w:tcPr>
          <w:p w14:paraId="0A7FA1C5">
            <w:pPr>
              <w:pStyle w:val="17"/>
              <w:spacing w:before="129"/>
              <w:ind w:left="80"/>
              <w:jc w:val="left"/>
              <w:rPr>
                <w:rFonts w:ascii="Times New Roman"/>
                <w:sz w:val="18"/>
              </w:rPr>
            </w:pPr>
            <w:r>
              <w:rPr>
                <w:rFonts w:ascii="Times New Roman"/>
                <w:sz w:val="18"/>
              </w:rPr>
              <w:t>35</w:t>
            </w:r>
          </w:p>
        </w:tc>
        <w:tc>
          <w:tcPr>
            <w:tcW w:w="550" w:type="dxa"/>
          </w:tcPr>
          <w:p w14:paraId="400973E8">
            <w:pPr>
              <w:pStyle w:val="17"/>
              <w:spacing w:before="129"/>
              <w:ind w:left="96" w:right="87"/>
              <w:rPr>
                <w:rFonts w:ascii="Times New Roman"/>
                <w:sz w:val="18"/>
              </w:rPr>
            </w:pPr>
            <w:r>
              <w:rPr>
                <w:rFonts w:ascii="Times New Roman"/>
                <w:sz w:val="18"/>
              </w:rPr>
              <w:t>41.8</w:t>
            </w:r>
          </w:p>
        </w:tc>
        <w:tc>
          <w:tcPr>
            <w:tcW w:w="550" w:type="dxa"/>
          </w:tcPr>
          <w:p w14:paraId="5F822CD3">
            <w:pPr>
              <w:pStyle w:val="17"/>
              <w:spacing w:before="129"/>
              <w:ind w:left="96" w:right="88"/>
              <w:rPr>
                <w:rFonts w:ascii="Times New Roman"/>
                <w:sz w:val="18"/>
              </w:rPr>
            </w:pPr>
            <w:r>
              <w:rPr>
                <w:rFonts w:ascii="Times New Roman"/>
                <w:sz w:val="18"/>
              </w:rPr>
              <w:t>66.0</w:t>
            </w:r>
          </w:p>
        </w:tc>
        <w:tc>
          <w:tcPr>
            <w:tcW w:w="550" w:type="dxa"/>
          </w:tcPr>
          <w:p w14:paraId="2F164600">
            <w:pPr>
              <w:pStyle w:val="17"/>
              <w:spacing w:before="129"/>
              <w:ind w:left="115"/>
              <w:jc w:val="left"/>
              <w:rPr>
                <w:rFonts w:ascii="Times New Roman"/>
                <w:sz w:val="18"/>
              </w:rPr>
            </w:pPr>
            <w:r>
              <w:rPr>
                <w:rFonts w:ascii="Times New Roman"/>
                <w:sz w:val="18"/>
              </w:rPr>
              <w:t>69.0</w:t>
            </w:r>
          </w:p>
        </w:tc>
        <w:tc>
          <w:tcPr>
            <w:tcW w:w="667" w:type="dxa"/>
          </w:tcPr>
          <w:p w14:paraId="2927CECF">
            <w:pPr>
              <w:pStyle w:val="17"/>
              <w:spacing w:before="129"/>
              <w:ind w:left="155" w:right="146"/>
              <w:rPr>
                <w:rFonts w:ascii="Times New Roman"/>
                <w:sz w:val="18"/>
              </w:rPr>
            </w:pPr>
            <w:r>
              <w:rPr>
                <w:rFonts w:ascii="Times New Roman"/>
                <w:sz w:val="18"/>
              </w:rPr>
              <w:t>47.1</w:t>
            </w:r>
          </w:p>
        </w:tc>
        <w:tc>
          <w:tcPr>
            <w:tcW w:w="789" w:type="dxa"/>
            <w:vMerge w:val="continue"/>
            <w:tcBorders>
              <w:top w:val="nil"/>
            </w:tcBorders>
          </w:tcPr>
          <w:p w14:paraId="7394654C">
            <w:pPr>
              <w:rPr>
                <w:sz w:val="2"/>
                <w:szCs w:val="2"/>
              </w:rPr>
            </w:pPr>
          </w:p>
        </w:tc>
        <w:tc>
          <w:tcPr>
            <w:tcW w:w="726" w:type="dxa"/>
          </w:tcPr>
          <w:p w14:paraId="696821FB">
            <w:pPr>
              <w:pStyle w:val="17"/>
              <w:spacing w:before="129"/>
              <w:ind w:left="272"/>
              <w:jc w:val="left"/>
              <w:rPr>
                <w:rFonts w:ascii="Times New Roman"/>
                <w:sz w:val="18"/>
              </w:rPr>
            </w:pPr>
            <w:r>
              <w:rPr>
                <w:rFonts w:ascii="Times New Roman"/>
                <w:sz w:val="18"/>
              </w:rPr>
              <w:t>25</w:t>
            </w:r>
          </w:p>
        </w:tc>
        <w:tc>
          <w:tcPr>
            <w:tcW w:w="806" w:type="dxa"/>
          </w:tcPr>
          <w:p w14:paraId="27529CEE">
            <w:pPr>
              <w:pStyle w:val="17"/>
              <w:spacing w:before="129"/>
              <w:ind w:left="225" w:right="216"/>
              <w:rPr>
                <w:rFonts w:ascii="Times New Roman"/>
                <w:sz w:val="18"/>
              </w:rPr>
            </w:pPr>
            <w:r>
              <w:rPr>
                <w:rFonts w:ascii="Times New Roman"/>
                <w:sz w:val="18"/>
              </w:rPr>
              <w:t>16.8</w:t>
            </w:r>
          </w:p>
        </w:tc>
        <w:tc>
          <w:tcPr>
            <w:tcW w:w="808" w:type="dxa"/>
          </w:tcPr>
          <w:p w14:paraId="6909E8F2">
            <w:pPr>
              <w:pStyle w:val="17"/>
              <w:spacing w:before="129"/>
              <w:ind w:right="235"/>
              <w:jc w:val="right"/>
              <w:rPr>
                <w:rFonts w:ascii="Times New Roman"/>
                <w:sz w:val="18"/>
              </w:rPr>
            </w:pPr>
            <w:r>
              <w:rPr>
                <w:rFonts w:ascii="Times New Roman"/>
                <w:sz w:val="18"/>
              </w:rPr>
              <w:t>41.0</w:t>
            </w:r>
          </w:p>
        </w:tc>
        <w:tc>
          <w:tcPr>
            <w:tcW w:w="806" w:type="dxa"/>
          </w:tcPr>
          <w:p w14:paraId="0E4C0445">
            <w:pPr>
              <w:pStyle w:val="17"/>
              <w:spacing w:before="129"/>
              <w:ind w:left="243"/>
              <w:jc w:val="left"/>
              <w:rPr>
                <w:rFonts w:ascii="Times New Roman"/>
                <w:sz w:val="18"/>
              </w:rPr>
            </w:pPr>
            <w:r>
              <w:rPr>
                <w:rFonts w:ascii="Times New Roman"/>
                <w:sz w:val="18"/>
              </w:rPr>
              <w:t>44.0</w:t>
            </w:r>
          </w:p>
        </w:tc>
        <w:tc>
          <w:tcPr>
            <w:tcW w:w="854" w:type="dxa"/>
            <w:tcBorders>
              <w:right w:val="nil"/>
            </w:tcBorders>
          </w:tcPr>
          <w:p w14:paraId="364CC85B">
            <w:pPr>
              <w:pStyle w:val="17"/>
              <w:spacing w:before="129"/>
              <w:ind w:right="263"/>
              <w:jc w:val="right"/>
              <w:rPr>
                <w:rFonts w:ascii="Times New Roman"/>
                <w:sz w:val="18"/>
              </w:rPr>
            </w:pPr>
            <w:r>
              <w:rPr>
                <w:rFonts w:ascii="Times New Roman"/>
                <w:sz w:val="18"/>
              </w:rPr>
              <w:t>22.1</w:t>
            </w:r>
          </w:p>
        </w:tc>
      </w:tr>
      <w:tr w14:paraId="452BA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42" w:type="dxa"/>
            <w:tcBorders>
              <w:left w:val="nil"/>
            </w:tcBorders>
          </w:tcPr>
          <w:p w14:paraId="10BE0A4A">
            <w:pPr>
              <w:pStyle w:val="17"/>
              <w:spacing w:before="94"/>
              <w:ind w:left="129"/>
              <w:jc w:val="left"/>
              <w:rPr>
                <w:rFonts w:ascii="Times New Roman"/>
                <w:sz w:val="18"/>
              </w:rPr>
            </w:pPr>
            <w:r>
              <w:rPr>
                <w:rFonts w:ascii="Times New Roman"/>
                <w:sz w:val="18"/>
              </w:rPr>
              <w:t>3</w:t>
            </w:r>
          </w:p>
        </w:tc>
        <w:tc>
          <w:tcPr>
            <w:tcW w:w="735" w:type="dxa"/>
            <w:vMerge w:val="continue"/>
            <w:tcBorders>
              <w:top w:val="nil"/>
            </w:tcBorders>
          </w:tcPr>
          <w:p w14:paraId="19DE3A6E">
            <w:pPr>
              <w:rPr>
                <w:sz w:val="2"/>
                <w:szCs w:val="2"/>
              </w:rPr>
            </w:pPr>
          </w:p>
        </w:tc>
        <w:tc>
          <w:tcPr>
            <w:tcW w:w="743" w:type="dxa"/>
          </w:tcPr>
          <w:p w14:paraId="44915528">
            <w:pPr>
              <w:pStyle w:val="17"/>
              <w:spacing w:before="82"/>
              <w:ind w:left="81" w:right="72"/>
              <w:rPr>
                <w:sz w:val="18"/>
              </w:rPr>
            </w:pPr>
            <w:r>
              <w:rPr>
                <w:sz w:val="18"/>
              </w:rPr>
              <w:t>混料机</w:t>
            </w:r>
          </w:p>
        </w:tc>
        <w:tc>
          <w:tcPr>
            <w:tcW w:w="655" w:type="dxa"/>
          </w:tcPr>
          <w:p w14:paraId="0083C761">
            <w:pPr>
              <w:pStyle w:val="17"/>
              <w:spacing w:before="94"/>
              <w:ind w:left="9"/>
              <w:rPr>
                <w:rFonts w:ascii="Times New Roman"/>
                <w:sz w:val="18"/>
              </w:rPr>
            </w:pPr>
            <w:r>
              <w:rPr>
                <w:rFonts w:ascii="Times New Roman"/>
                <w:sz w:val="18"/>
              </w:rPr>
              <w:t>2</w:t>
            </w:r>
          </w:p>
        </w:tc>
        <w:tc>
          <w:tcPr>
            <w:tcW w:w="845" w:type="dxa"/>
          </w:tcPr>
          <w:p w14:paraId="1A7938AB">
            <w:pPr>
              <w:pStyle w:val="17"/>
              <w:spacing w:before="94"/>
              <w:ind w:left="41" w:right="30"/>
              <w:rPr>
                <w:rFonts w:ascii="Times New Roman"/>
                <w:sz w:val="18"/>
              </w:rPr>
            </w:pPr>
            <w:r>
              <w:rPr>
                <w:rFonts w:ascii="Times New Roman"/>
                <w:sz w:val="18"/>
              </w:rPr>
              <w:t>80</w:t>
            </w:r>
          </w:p>
        </w:tc>
        <w:tc>
          <w:tcPr>
            <w:tcW w:w="1421" w:type="dxa"/>
            <w:vMerge w:val="continue"/>
            <w:tcBorders>
              <w:top w:val="nil"/>
            </w:tcBorders>
          </w:tcPr>
          <w:p w14:paraId="4ECF10F5">
            <w:pPr>
              <w:rPr>
                <w:sz w:val="2"/>
                <w:szCs w:val="2"/>
              </w:rPr>
            </w:pPr>
          </w:p>
        </w:tc>
        <w:tc>
          <w:tcPr>
            <w:tcW w:w="374" w:type="dxa"/>
          </w:tcPr>
          <w:p w14:paraId="1C7DF3E9">
            <w:pPr>
              <w:pStyle w:val="17"/>
              <w:spacing w:before="94"/>
              <w:ind w:left="65"/>
              <w:jc w:val="left"/>
              <w:rPr>
                <w:rFonts w:ascii="Times New Roman"/>
                <w:sz w:val="18"/>
              </w:rPr>
            </w:pPr>
            <w:r>
              <w:rPr>
                <w:rFonts w:ascii="Times New Roman"/>
                <w:sz w:val="18"/>
              </w:rPr>
              <w:t>-30</w:t>
            </w:r>
          </w:p>
        </w:tc>
        <w:tc>
          <w:tcPr>
            <w:tcW w:w="377" w:type="dxa"/>
          </w:tcPr>
          <w:p w14:paraId="31B7AC51">
            <w:pPr>
              <w:pStyle w:val="17"/>
              <w:spacing w:before="94"/>
              <w:ind w:right="55"/>
              <w:jc w:val="right"/>
              <w:rPr>
                <w:rFonts w:ascii="Times New Roman"/>
                <w:sz w:val="18"/>
              </w:rPr>
            </w:pPr>
            <w:r>
              <w:rPr>
                <w:rFonts w:ascii="Times New Roman"/>
                <w:sz w:val="18"/>
              </w:rPr>
              <w:t>-20</w:t>
            </w:r>
          </w:p>
        </w:tc>
        <w:tc>
          <w:tcPr>
            <w:tcW w:w="261" w:type="dxa"/>
          </w:tcPr>
          <w:p w14:paraId="00868A31">
            <w:pPr>
              <w:pStyle w:val="17"/>
              <w:spacing w:before="94"/>
              <w:ind w:left="85"/>
              <w:jc w:val="left"/>
              <w:rPr>
                <w:rFonts w:ascii="Times New Roman"/>
                <w:sz w:val="18"/>
              </w:rPr>
            </w:pPr>
            <w:r>
              <w:rPr>
                <w:rFonts w:ascii="Times New Roman"/>
                <w:sz w:val="18"/>
              </w:rPr>
              <w:t>1</w:t>
            </w:r>
          </w:p>
        </w:tc>
        <w:tc>
          <w:tcPr>
            <w:tcW w:w="321" w:type="dxa"/>
          </w:tcPr>
          <w:p w14:paraId="5EEB23FF">
            <w:pPr>
              <w:pStyle w:val="17"/>
              <w:spacing w:before="94"/>
              <w:ind w:left="69"/>
              <w:jc w:val="left"/>
              <w:rPr>
                <w:rFonts w:ascii="Times New Roman"/>
                <w:sz w:val="18"/>
              </w:rPr>
            </w:pPr>
            <w:r>
              <w:rPr>
                <w:rFonts w:ascii="Times New Roman"/>
                <w:sz w:val="18"/>
              </w:rPr>
              <w:t>76</w:t>
            </w:r>
          </w:p>
        </w:tc>
        <w:tc>
          <w:tcPr>
            <w:tcW w:w="321" w:type="dxa"/>
          </w:tcPr>
          <w:p w14:paraId="4348675C">
            <w:pPr>
              <w:pStyle w:val="17"/>
              <w:spacing w:before="94"/>
              <w:ind w:right="103"/>
              <w:jc w:val="right"/>
              <w:rPr>
                <w:rFonts w:ascii="Times New Roman"/>
                <w:sz w:val="18"/>
              </w:rPr>
            </w:pPr>
            <w:r>
              <w:rPr>
                <w:rFonts w:ascii="Times New Roman"/>
                <w:sz w:val="18"/>
              </w:rPr>
              <w:t>6</w:t>
            </w:r>
          </w:p>
        </w:tc>
        <w:tc>
          <w:tcPr>
            <w:tcW w:w="321" w:type="dxa"/>
          </w:tcPr>
          <w:p w14:paraId="5E9C3869">
            <w:pPr>
              <w:pStyle w:val="17"/>
              <w:spacing w:before="94"/>
              <w:ind w:right="105"/>
              <w:jc w:val="right"/>
              <w:rPr>
                <w:rFonts w:ascii="Times New Roman"/>
                <w:sz w:val="18"/>
              </w:rPr>
            </w:pPr>
            <w:r>
              <w:rPr>
                <w:rFonts w:ascii="Times New Roman"/>
                <w:sz w:val="18"/>
              </w:rPr>
              <w:t>4</w:t>
            </w:r>
          </w:p>
        </w:tc>
        <w:tc>
          <w:tcPr>
            <w:tcW w:w="343" w:type="dxa"/>
          </w:tcPr>
          <w:p w14:paraId="4F47FDCD">
            <w:pPr>
              <w:pStyle w:val="17"/>
              <w:spacing w:before="94"/>
              <w:ind w:left="80"/>
              <w:jc w:val="left"/>
              <w:rPr>
                <w:rFonts w:ascii="Times New Roman"/>
                <w:sz w:val="18"/>
              </w:rPr>
            </w:pPr>
            <w:r>
              <w:rPr>
                <w:rFonts w:ascii="Times New Roman"/>
                <w:sz w:val="18"/>
              </w:rPr>
              <w:t>33</w:t>
            </w:r>
          </w:p>
        </w:tc>
        <w:tc>
          <w:tcPr>
            <w:tcW w:w="550" w:type="dxa"/>
          </w:tcPr>
          <w:p w14:paraId="766ED49A">
            <w:pPr>
              <w:pStyle w:val="17"/>
              <w:spacing w:before="94"/>
              <w:ind w:left="96" w:right="87"/>
              <w:rPr>
                <w:rFonts w:ascii="Times New Roman"/>
                <w:sz w:val="18"/>
              </w:rPr>
            </w:pPr>
            <w:r>
              <w:rPr>
                <w:rFonts w:ascii="Times New Roman"/>
                <w:sz w:val="18"/>
              </w:rPr>
              <w:t>45.4</w:t>
            </w:r>
          </w:p>
        </w:tc>
        <w:tc>
          <w:tcPr>
            <w:tcW w:w="550" w:type="dxa"/>
          </w:tcPr>
          <w:p w14:paraId="486A8837">
            <w:pPr>
              <w:pStyle w:val="17"/>
              <w:spacing w:before="94"/>
              <w:ind w:left="96" w:right="88"/>
              <w:rPr>
                <w:rFonts w:ascii="Times New Roman"/>
                <w:sz w:val="18"/>
              </w:rPr>
            </w:pPr>
            <w:r>
              <w:rPr>
                <w:rFonts w:ascii="Times New Roman"/>
                <w:sz w:val="18"/>
              </w:rPr>
              <w:t>67.4</w:t>
            </w:r>
          </w:p>
        </w:tc>
        <w:tc>
          <w:tcPr>
            <w:tcW w:w="550" w:type="dxa"/>
          </w:tcPr>
          <w:p w14:paraId="59BF452D">
            <w:pPr>
              <w:pStyle w:val="17"/>
              <w:spacing w:before="94"/>
              <w:ind w:left="115"/>
              <w:jc w:val="left"/>
              <w:rPr>
                <w:rFonts w:ascii="Times New Roman"/>
                <w:sz w:val="18"/>
              </w:rPr>
            </w:pPr>
            <w:r>
              <w:rPr>
                <w:rFonts w:ascii="Times New Roman"/>
                <w:sz w:val="18"/>
              </w:rPr>
              <w:t>71.0</w:t>
            </w:r>
          </w:p>
        </w:tc>
        <w:tc>
          <w:tcPr>
            <w:tcW w:w="667" w:type="dxa"/>
          </w:tcPr>
          <w:p w14:paraId="0C62ECEE">
            <w:pPr>
              <w:pStyle w:val="17"/>
              <w:spacing w:before="94"/>
              <w:ind w:left="155" w:right="146"/>
              <w:rPr>
                <w:rFonts w:ascii="Times New Roman"/>
                <w:sz w:val="18"/>
              </w:rPr>
            </w:pPr>
            <w:r>
              <w:rPr>
                <w:rFonts w:ascii="Times New Roman"/>
                <w:sz w:val="18"/>
              </w:rPr>
              <w:t>52.6</w:t>
            </w:r>
          </w:p>
        </w:tc>
        <w:tc>
          <w:tcPr>
            <w:tcW w:w="789" w:type="dxa"/>
            <w:vMerge w:val="continue"/>
            <w:tcBorders>
              <w:top w:val="nil"/>
            </w:tcBorders>
          </w:tcPr>
          <w:p w14:paraId="197F8CCF">
            <w:pPr>
              <w:rPr>
                <w:sz w:val="2"/>
                <w:szCs w:val="2"/>
              </w:rPr>
            </w:pPr>
          </w:p>
        </w:tc>
        <w:tc>
          <w:tcPr>
            <w:tcW w:w="726" w:type="dxa"/>
          </w:tcPr>
          <w:p w14:paraId="0F017B4B">
            <w:pPr>
              <w:pStyle w:val="17"/>
              <w:spacing w:before="94"/>
              <w:ind w:left="272"/>
              <w:jc w:val="left"/>
              <w:rPr>
                <w:rFonts w:ascii="Times New Roman"/>
                <w:sz w:val="18"/>
              </w:rPr>
            </w:pPr>
            <w:r>
              <w:rPr>
                <w:rFonts w:ascii="Times New Roman"/>
                <w:sz w:val="18"/>
              </w:rPr>
              <w:t>25</w:t>
            </w:r>
          </w:p>
        </w:tc>
        <w:tc>
          <w:tcPr>
            <w:tcW w:w="806" w:type="dxa"/>
          </w:tcPr>
          <w:p w14:paraId="5854C5E4">
            <w:pPr>
              <w:pStyle w:val="17"/>
              <w:spacing w:before="94"/>
              <w:ind w:left="225" w:right="216"/>
              <w:rPr>
                <w:rFonts w:ascii="Times New Roman"/>
                <w:sz w:val="18"/>
              </w:rPr>
            </w:pPr>
            <w:r>
              <w:rPr>
                <w:rFonts w:ascii="Times New Roman"/>
                <w:sz w:val="18"/>
              </w:rPr>
              <w:t>20.4</w:t>
            </w:r>
          </w:p>
        </w:tc>
        <w:tc>
          <w:tcPr>
            <w:tcW w:w="808" w:type="dxa"/>
          </w:tcPr>
          <w:p w14:paraId="03A17B03">
            <w:pPr>
              <w:pStyle w:val="17"/>
              <w:spacing w:before="94"/>
              <w:ind w:right="235"/>
              <w:jc w:val="right"/>
              <w:rPr>
                <w:rFonts w:ascii="Times New Roman"/>
                <w:sz w:val="18"/>
              </w:rPr>
            </w:pPr>
            <w:r>
              <w:rPr>
                <w:rFonts w:ascii="Times New Roman"/>
                <w:sz w:val="18"/>
              </w:rPr>
              <w:t>42.4</w:t>
            </w:r>
          </w:p>
        </w:tc>
        <w:tc>
          <w:tcPr>
            <w:tcW w:w="806" w:type="dxa"/>
          </w:tcPr>
          <w:p w14:paraId="63566487">
            <w:pPr>
              <w:pStyle w:val="17"/>
              <w:spacing w:before="94"/>
              <w:ind w:left="243"/>
              <w:jc w:val="left"/>
              <w:rPr>
                <w:rFonts w:ascii="Times New Roman"/>
                <w:sz w:val="18"/>
              </w:rPr>
            </w:pPr>
            <w:r>
              <w:rPr>
                <w:rFonts w:ascii="Times New Roman"/>
                <w:sz w:val="18"/>
              </w:rPr>
              <w:t>46.0</w:t>
            </w:r>
          </w:p>
        </w:tc>
        <w:tc>
          <w:tcPr>
            <w:tcW w:w="854" w:type="dxa"/>
            <w:tcBorders>
              <w:right w:val="nil"/>
            </w:tcBorders>
          </w:tcPr>
          <w:p w14:paraId="74165C49">
            <w:pPr>
              <w:pStyle w:val="17"/>
              <w:spacing w:before="94"/>
              <w:ind w:right="263"/>
              <w:jc w:val="right"/>
              <w:rPr>
                <w:rFonts w:ascii="Times New Roman"/>
                <w:sz w:val="18"/>
              </w:rPr>
            </w:pPr>
            <w:r>
              <w:rPr>
                <w:rFonts w:ascii="Times New Roman"/>
                <w:sz w:val="18"/>
              </w:rPr>
              <w:t>27.6</w:t>
            </w:r>
          </w:p>
        </w:tc>
      </w:tr>
      <w:tr w14:paraId="52EE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2" w:type="dxa"/>
            <w:tcBorders>
              <w:left w:val="nil"/>
            </w:tcBorders>
          </w:tcPr>
          <w:p w14:paraId="5FDEE7A1">
            <w:pPr>
              <w:pStyle w:val="17"/>
              <w:spacing w:before="95"/>
              <w:ind w:left="129"/>
              <w:jc w:val="left"/>
              <w:rPr>
                <w:rFonts w:ascii="Times New Roman"/>
                <w:sz w:val="18"/>
              </w:rPr>
            </w:pPr>
            <w:r>
              <w:rPr>
                <w:rFonts w:ascii="Times New Roman"/>
                <w:sz w:val="18"/>
              </w:rPr>
              <w:t>4</w:t>
            </w:r>
          </w:p>
        </w:tc>
        <w:tc>
          <w:tcPr>
            <w:tcW w:w="735" w:type="dxa"/>
            <w:vMerge w:val="continue"/>
            <w:tcBorders>
              <w:top w:val="nil"/>
            </w:tcBorders>
          </w:tcPr>
          <w:p w14:paraId="5AE5C6FD">
            <w:pPr>
              <w:rPr>
                <w:sz w:val="2"/>
                <w:szCs w:val="2"/>
              </w:rPr>
            </w:pPr>
          </w:p>
        </w:tc>
        <w:tc>
          <w:tcPr>
            <w:tcW w:w="743" w:type="dxa"/>
          </w:tcPr>
          <w:p w14:paraId="7D6C59CE">
            <w:pPr>
              <w:pStyle w:val="17"/>
              <w:spacing w:before="83"/>
              <w:ind w:left="81" w:right="72"/>
              <w:rPr>
                <w:sz w:val="18"/>
              </w:rPr>
            </w:pPr>
            <w:r>
              <w:rPr>
                <w:sz w:val="18"/>
              </w:rPr>
              <w:t>上料机</w:t>
            </w:r>
          </w:p>
        </w:tc>
        <w:tc>
          <w:tcPr>
            <w:tcW w:w="655" w:type="dxa"/>
          </w:tcPr>
          <w:p w14:paraId="6C09AEDB">
            <w:pPr>
              <w:pStyle w:val="17"/>
              <w:spacing w:before="95"/>
              <w:ind w:left="9"/>
              <w:rPr>
                <w:rFonts w:ascii="Times New Roman"/>
                <w:sz w:val="18"/>
              </w:rPr>
            </w:pPr>
            <w:r>
              <w:rPr>
                <w:rFonts w:ascii="Times New Roman"/>
                <w:sz w:val="18"/>
              </w:rPr>
              <w:t>4</w:t>
            </w:r>
          </w:p>
        </w:tc>
        <w:tc>
          <w:tcPr>
            <w:tcW w:w="845" w:type="dxa"/>
          </w:tcPr>
          <w:p w14:paraId="679118A1">
            <w:pPr>
              <w:pStyle w:val="17"/>
              <w:spacing w:before="95"/>
              <w:ind w:left="41" w:right="30"/>
              <w:rPr>
                <w:rFonts w:ascii="Times New Roman"/>
                <w:sz w:val="18"/>
              </w:rPr>
            </w:pPr>
            <w:r>
              <w:rPr>
                <w:rFonts w:ascii="Times New Roman"/>
                <w:sz w:val="18"/>
              </w:rPr>
              <w:t>70</w:t>
            </w:r>
          </w:p>
        </w:tc>
        <w:tc>
          <w:tcPr>
            <w:tcW w:w="1421" w:type="dxa"/>
            <w:vMerge w:val="restart"/>
          </w:tcPr>
          <w:p w14:paraId="34A3FDD1">
            <w:pPr>
              <w:pStyle w:val="17"/>
              <w:jc w:val="left"/>
              <w:rPr>
                <w:rFonts w:ascii="Times New Roman"/>
                <w:b/>
                <w:sz w:val="18"/>
              </w:rPr>
            </w:pPr>
          </w:p>
          <w:p w14:paraId="30B9CC12">
            <w:pPr>
              <w:pStyle w:val="17"/>
              <w:jc w:val="left"/>
              <w:rPr>
                <w:rFonts w:ascii="Times New Roman"/>
                <w:b/>
                <w:sz w:val="18"/>
              </w:rPr>
            </w:pPr>
          </w:p>
          <w:p w14:paraId="28CA3716">
            <w:pPr>
              <w:pStyle w:val="17"/>
              <w:spacing w:before="149" w:line="242" w:lineRule="auto"/>
              <w:ind w:left="80" w:right="68"/>
              <w:rPr>
                <w:sz w:val="18"/>
              </w:rPr>
            </w:pPr>
            <w:r>
              <w:rPr>
                <w:sz w:val="18"/>
              </w:rPr>
              <w:t>低噪声设备、基础减振、厂房隔声</w:t>
            </w:r>
          </w:p>
        </w:tc>
        <w:tc>
          <w:tcPr>
            <w:tcW w:w="374" w:type="dxa"/>
          </w:tcPr>
          <w:p w14:paraId="60FAF02B">
            <w:pPr>
              <w:pStyle w:val="17"/>
              <w:spacing w:before="95"/>
              <w:ind w:left="65"/>
              <w:jc w:val="left"/>
              <w:rPr>
                <w:rFonts w:ascii="Times New Roman"/>
                <w:sz w:val="18"/>
              </w:rPr>
            </w:pPr>
            <w:r>
              <w:rPr>
                <w:rFonts w:ascii="Times New Roman"/>
                <w:sz w:val="18"/>
              </w:rPr>
              <w:t>-13</w:t>
            </w:r>
          </w:p>
        </w:tc>
        <w:tc>
          <w:tcPr>
            <w:tcW w:w="377" w:type="dxa"/>
          </w:tcPr>
          <w:p w14:paraId="4C51D0BA">
            <w:pPr>
              <w:pStyle w:val="17"/>
              <w:spacing w:before="95"/>
              <w:ind w:right="103"/>
              <w:jc w:val="right"/>
              <w:rPr>
                <w:rFonts w:ascii="Times New Roman"/>
                <w:sz w:val="18"/>
              </w:rPr>
            </w:pPr>
            <w:r>
              <w:rPr>
                <w:rFonts w:ascii="Times New Roman"/>
                <w:sz w:val="18"/>
              </w:rPr>
              <w:t>-4</w:t>
            </w:r>
          </w:p>
        </w:tc>
        <w:tc>
          <w:tcPr>
            <w:tcW w:w="261" w:type="dxa"/>
          </w:tcPr>
          <w:p w14:paraId="1B6A76EC">
            <w:pPr>
              <w:pStyle w:val="17"/>
              <w:spacing w:before="95"/>
              <w:ind w:left="85"/>
              <w:jc w:val="left"/>
              <w:rPr>
                <w:rFonts w:ascii="Times New Roman"/>
                <w:sz w:val="18"/>
              </w:rPr>
            </w:pPr>
            <w:r>
              <w:rPr>
                <w:rFonts w:ascii="Times New Roman"/>
                <w:sz w:val="18"/>
              </w:rPr>
              <w:t>1</w:t>
            </w:r>
          </w:p>
        </w:tc>
        <w:tc>
          <w:tcPr>
            <w:tcW w:w="321" w:type="dxa"/>
          </w:tcPr>
          <w:p w14:paraId="63DD82FD">
            <w:pPr>
              <w:pStyle w:val="17"/>
              <w:spacing w:before="95"/>
              <w:ind w:left="69"/>
              <w:jc w:val="left"/>
              <w:rPr>
                <w:rFonts w:ascii="Times New Roman"/>
                <w:sz w:val="18"/>
              </w:rPr>
            </w:pPr>
            <w:r>
              <w:rPr>
                <w:rFonts w:ascii="Times New Roman"/>
                <w:sz w:val="18"/>
              </w:rPr>
              <w:t>53</w:t>
            </w:r>
          </w:p>
        </w:tc>
        <w:tc>
          <w:tcPr>
            <w:tcW w:w="321" w:type="dxa"/>
          </w:tcPr>
          <w:p w14:paraId="78511B30">
            <w:pPr>
              <w:pStyle w:val="17"/>
              <w:spacing w:before="95"/>
              <w:ind w:right="58"/>
              <w:jc w:val="right"/>
              <w:rPr>
                <w:rFonts w:ascii="Times New Roman"/>
                <w:sz w:val="18"/>
              </w:rPr>
            </w:pPr>
            <w:r>
              <w:rPr>
                <w:rFonts w:ascii="Times New Roman"/>
                <w:sz w:val="18"/>
              </w:rPr>
              <w:t>20</w:t>
            </w:r>
          </w:p>
        </w:tc>
        <w:tc>
          <w:tcPr>
            <w:tcW w:w="321" w:type="dxa"/>
          </w:tcPr>
          <w:p w14:paraId="2F4A994B">
            <w:pPr>
              <w:pStyle w:val="17"/>
              <w:spacing w:before="95"/>
              <w:ind w:right="57"/>
              <w:jc w:val="right"/>
              <w:rPr>
                <w:rFonts w:ascii="Times New Roman"/>
                <w:sz w:val="18"/>
              </w:rPr>
            </w:pPr>
            <w:r>
              <w:rPr>
                <w:rFonts w:ascii="Times New Roman"/>
                <w:sz w:val="18"/>
              </w:rPr>
              <w:t>27</w:t>
            </w:r>
          </w:p>
        </w:tc>
        <w:tc>
          <w:tcPr>
            <w:tcW w:w="343" w:type="dxa"/>
          </w:tcPr>
          <w:p w14:paraId="31423E99">
            <w:pPr>
              <w:pStyle w:val="17"/>
              <w:spacing w:before="95"/>
              <w:ind w:left="80"/>
              <w:jc w:val="left"/>
              <w:rPr>
                <w:rFonts w:ascii="Times New Roman"/>
                <w:sz w:val="18"/>
              </w:rPr>
            </w:pPr>
            <w:r>
              <w:rPr>
                <w:rFonts w:ascii="Times New Roman"/>
                <w:sz w:val="18"/>
              </w:rPr>
              <w:t>20</w:t>
            </w:r>
          </w:p>
        </w:tc>
        <w:tc>
          <w:tcPr>
            <w:tcW w:w="550" w:type="dxa"/>
          </w:tcPr>
          <w:p w14:paraId="321217E3">
            <w:pPr>
              <w:pStyle w:val="17"/>
              <w:spacing w:before="95"/>
              <w:ind w:left="96" w:right="87"/>
              <w:rPr>
                <w:rFonts w:ascii="Times New Roman"/>
                <w:sz w:val="18"/>
              </w:rPr>
            </w:pPr>
            <w:r>
              <w:rPr>
                <w:rFonts w:ascii="Times New Roman"/>
                <w:sz w:val="18"/>
              </w:rPr>
              <w:t>41.5</w:t>
            </w:r>
          </w:p>
        </w:tc>
        <w:tc>
          <w:tcPr>
            <w:tcW w:w="550" w:type="dxa"/>
          </w:tcPr>
          <w:p w14:paraId="51C65FF2">
            <w:pPr>
              <w:pStyle w:val="17"/>
              <w:spacing w:before="95"/>
              <w:ind w:left="96" w:right="88"/>
              <w:rPr>
                <w:rFonts w:ascii="Times New Roman"/>
                <w:sz w:val="18"/>
              </w:rPr>
            </w:pPr>
            <w:r>
              <w:rPr>
                <w:rFonts w:ascii="Times New Roman"/>
                <w:sz w:val="18"/>
              </w:rPr>
              <w:t>50.0</w:t>
            </w:r>
          </w:p>
        </w:tc>
        <w:tc>
          <w:tcPr>
            <w:tcW w:w="550" w:type="dxa"/>
          </w:tcPr>
          <w:p w14:paraId="73A9F7CC">
            <w:pPr>
              <w:pStyle w:val="17"/>
              <w:spacing w:before="95"/>
              <w:ind w:left="115"/>
              <w:jc w:val="left"/>
              <w:rPr>
                <w:rFonts w:ascii="Times New Roman"/>
                <w:sz w:val="18"/>
              </w:rPr>
            </w:pPr>
            <w:r>
              <w:rPr>
                <w:rFonts w:ascii="Times New Roman"/>
                <w:sz w:val="18"/>
              </w:rPr>
              <w:t>47.4</w:t>
            </w:r>
          </w:p>
        </w:tc>
        <w:tc>
          <w:tcPr>
            <w:tcW w:w="667" w:type="dxa"/>
          </w:tcPr>
          <w:p w14:paraId="4ED5A532">
            <w:pPr>
              <w:pStyle w:val="17"/>
              <w:spacing w:before="95"/>
              <w:ind w:left="155" w:right="146"/>
              <w:rPr>
                <w:rFonts w:ascii="Times New Roman"/>
                <w:sz w:val="18"/>
              </w:rPr>
            </w:pPr>
            <w:r>
              <w:rPr>
                <w:rFonts w:ascii="Times New Roman"/>
                <w:sz w:val="18"/>
              </w:rPr>
              <w:t>50.0</w:t>
            </w:r>
          </w:p>
        </w:tc>
        <w:tc>
          <w:tcPr>
            <w:tcW w:w="789" w:type="dxa"/>
            <w:vMerge w:val="continue"/>
            <w:tcBorders>
              <w:top w:val="nil"/>
            </w:tcBorders>
          </w:tcPr>
          <w:p w14:paraId="2AD14087">
            <w:pPr>
              <w:rPr>
                <w:sz w:val="2"/>
                <w:szCs w:val="2"/>
              </w:rPr>
            </w:pPr>
          </w:p>
        </w:tc>
        <w:tc>
          <w:tcPr>
            <w:tcW w:w="726" w:type="dxa"/>
          </w:tcPr>
          <w:p w14:paraId="00841478">
            <w:pPr>
              <w:pStyle w:val="17"/>
              <w:spacing w:before="95"/>
              <w:ind w:left="272"/>
              <w:jc w:val="left"/>
              <w:rPr>
                <w:rFonts w:ascii="Times New Roman"/>
                <w:sz w:val="18"/>
              </w:rPr>
            </w:pPr>
            <w:r>
              <w:rPr>
                <w:rFonts w:ascii="Times New Roman"/>
                <w:sz w:val="18"/>
              </w:rPr>
              <w:t>25</w:t>
            </w:r>
          </w:p>
        </w:tc>
        <w:tc>
          <w:tcPr>
            <w:tcW w:w="806" w:type="dxa"/>
          </w:tcPr>
          <w:p w14:paraId="52DE524A">
            <w:pPr>
              <w:pStyle w:val="17"/>
              <w:spacing w:before="95"/>
              <w:ind w:left="225" w:right="216"/>
              <w:rPr>
                <w:rFonts w:ascii="Times New Roman"/>
                <w:sz w:val="18"/>
              </w:rPr>
            </w:pPr>
            <w:r>
              <w:rPr>
                <w:rFonts w:ascii="Times New Roman"/>
                <w:sz w:val="18"/>
              </w:rPr>
              <w:t>16.5</w:t>
            </w:r>
          </w:p>
        </w:tc>
        <w:tc>
          <w:tcPr>
            <w:tcW w:w="808" w:type="dxa"/>
          </w:tcPr>
          <w:p w14:paraId="457BC061">
            <w:pPr>
              <w:pStyle w:val="17"/>
              <w:spacing w:before="95"/>
              <w:ind w:right="235"/>
              <w:jc w:val="right"/>
              <w:rPr>
                <w:rFonts w:ascii="Times New Roman"/>
                <w:sz w:val="18"/>
              </w:rPr>
            </w:pPr>
            <w:r>
              <w:rPr>
                <w:rFonts w:ascii="Times New Roman"/>
                <w:sz w:val="18"/>
              </w:rPr>
              <w:t>25.0</w:t>
            </w:r>
          </w:p>
        </w:tc>
        <w:tc>
          <w:tcPr>
            <w:tcW w:w="806" w:type="dxa"/>
          </w:tcPr>
          <w:p w14:paraId="0A5DAB0E">
            <w:pPr>
              <w:pStyle w:val="17"/>
              <w:spacing w:before="95"/>
              <w:ind w:left="243"/>
              <w:jc w:val="left"/>
              <w:rPr>
                <w:rFonts w:ascii="Times New Roman"/>
                <w:sz w:val="18"/>
              </w:rPr>
            </w:pPr>
            <w:r>
              <w:rPr>
                <w:rFonts w:ascii="Times New Roman"/>
                <w:sz w:val="18"/>
              </w:rPr>
              <w:t>22.4</w:t>
            </w:r>
          </w:p>
        </w:tc>
        <w:tc>
          <w:tcPr>
            <w:tcW w:w="854" w:type="dxa"/>
            <w:tcBorders>
              <w:right w:val="nil"/>
            </w:tcBorders>
          </w:tcPr>
          <w:p w14:paraId="4223244D">
            <w:pPr>
              <w:pStyle w:val="17"/>
              <w:spacing w:before="95"/>
              <w:ind w:right="263"/>
              <w:jc w:val="right"/>
              <w:rPr>
                <w:rFonts w:ascii="Times New Roman"/>
                <w:sz w:val="18"/>
              </w:rPr>
            </w:pPr>
            <w:r>
              <w:rPr>
                <w:rFonts w:ascii="Times New Roman"/>
                <w:sz w:val="18"/>
              </w:rPr>
              <w:t>25.0</w:t>
            </w:r>
          </w:p>
        </w:tc>
      </w:tr>
      <w:tr w14:paraId="0346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tcBorders>
              <w:left w:val="nil"/>
            </w:tcBorders>
          </w:tcPr>
          <w:p w14:paraId="600320D8">
            <w:pPr>
              <w:pStyle w:val="17"/>
              <w:spacing w:before="127"/>
              <w:ind w:left="129"/>
              <w:jc w:val="left"/>
              <w:rPr>
                <w:rFonts w:ascii="Times New Roman"/>
                <w:sz w:val="18"/>
              </w:rPr>
            </w:pPr>
            <w:r>
              <w:rPr>
                <w:rFonts w:ascii="Times New Roman"/>
                <w:sz w:val="18"/>
              </w:rPr>
              <w:t>5</w:t>
            </w:r>
          </w:p>
        </w:tc>
        <w:tc>
          <w:tcPr>
            <w:tcW w:w="735" w:type="dxa"/>
            <w:vMerge w:val="continue"/>
            <w:tcBorders>
              <w:top w:val="nil"/>
            </w:tcBorders>
          </w:tcPr>
          <w:p w14:paraId="45E31C98">
            <w:pPr>
              <w:rPr>
                <w:sz w:val="2"/>
                <w:szCs w:val="2"/>
              </w:rPr>
            </w:pPr>
          </w:p>
        </w:tc>
        <w:tc>
          <w:tcPr>
            <w:tcW w:w="743" w:type="dxa"/>
          </w:tcPr>
          <w:p w14:paraId="74460365">
            <w:pPr>
              <w:pStyle w:val="17"/>
              <w:ind w:left="101"/>
              <w:jc w:val="left"/>
              <w:rPr>
                <w:sz w:val="18"/>
              </w:rPr>
            </w:pPr>
            <w:r>
              <w:rPr>
                <w:sz w:val="18"/>
              </w:rPr>
              <w:t>混料搅</w:t>
            </w:r>
          </w:p>
          <w:p w14:paraId="155DDF02">
            <w:pPr>
              <w:pStyle w:val="17"/>
              <w:spacing w:before="2" w:line="214" w:lineRule="exact"/>
              <w:ind w:left="189"/>
              <w:jc w:val="left"/>
              <w:rPr>
                <w:sz w:val="18"/>
              </w:rPr>
            </w:pPr>
            <w:r>
              <w:rPr>
                <w:sz w:val="18"/>
              </w:rPr>
              <w:t>拌机</w:t>
            </w:r>
          </w:p>
        </w:tc>
        <w:tc>
          <w:tcPr>
            <w:tcW w:w="655" w:type="dxa"/>
          </w:tcPr>
          <w:p w14:paraId="3B84BE9C">
            <w:pPr>
              <w:pStyle w:val="17"/>
              <w:spacing w:before="127"/>
              <w:ind w:left="9"/>
              <w:rPr>
                <w:rFonts w:ascii="Times New Roman"/>
                <w:sz w:val="18"/>
              </w:rPr>
            </w:pPr>
            <w:r>
              <w:rPr>
                <w:rFonts w:ascii="Times New Roman"/>
                <w:sz w:val="18"/>
              </w:rPr>
              <w:t>4</w:t>
            </w:r>
          </w:p>
        </w:tc>
        <w:tc>
          <w:tcPr>
            <w:tcW w:w="845" w:type="dxa"/>
          </w:tcPr>
          <w:p w14:paraId="50B1AF03">
            <w:pPr>
              <w:pStyle w:val="17"/>
              <w:spacing w:before="127"/>
              <w:ind w:left="41" w:right="32"/>
              <w:rPr>
                <w:rFonts w:ascii="Times New Roman"/>
                <w:sz w:val="18"/>
              </w:rPr>
            </w:pPr>
            <w:r>
              <w:rPr>
                <w:rFonts w:ascii="Times New Roman"/>
                <w:sz w:val="18"/>
              </w:rPr>
              <w:t>80</w:t>
            </w:r>
          </w:p>
        </w:tc>
        <w:tc>
          <w:tcPr>
            <w:tcW w:w="1421" w:type="dxa"/>
            <w:vMerge w:val="continue"/>
            <w:tcBorders>
              <w:top w:val="nil"/>
            </w:tcBorders>
          </w:tcPr>
          <w:p w14:paraId="523BDCF9">
            <w:pPr>
              <w:rPr>
                <w:sz w:val="2"/>
                <w:szCs w:val="2"/>
              </w:rPr>
            </w:pPr>
          </w:p>
        </w:tc>
        <w:tc>
          <w:tcPr>
            <w:tcW w:w="374" w:type="dxa"/>
          </w:tcPr>
          <w:p w14:paraId="417BAAFB">
            <w:pPr>
              <w:pStyle w:val="17"/>
              <w:spacing w:before="127"/>
              <w:ind w:left="70"/>
              <w:jc w:val="left"/>
              <w:rPr>
                <w:rFonts w:ascii="Times New Roman"/>
                <w:sz w:val="18"/>
              </w:rPr>
            </w:pPr>
            <w:r>
              <w:rPr>
                <w:rFonts w:ascii="Times New Roman"/>
                <w:sz w:val="18"/>
              </w:rPr>
              <w:t>-11</w:t>
            </w:r>
          </w:p>
        </w:tc>
        <w:tc>
          <w:tcPr>
            <w:tcW w:w="377" w:type="dxa"/>
          </w:tcPr>
          <w:p w14:paraId="15A2422A">
            <w:pPr>
              <w:pStyle w:val="17"/>
              <w:spacing w:before="127"/>
              <w:ind w:right="103"/>
              <w:jc w:val="right"/>
              <w:rPr>
                <w:rFonts w:ascii="Times New Roman"/>
                <w:sz w:val="18"/>
              </w:rPr>
            </w:pPr>
            <w:r>
              <w:rPr>
                <w:rFonts w:ascii="Times New Roman"/>
                <w:sz w:val="18"/>
              </w:rPr>
              <w:t>-3</w:t>
            </w:r>
          </w:p>
        </w:tc>
        <w:tc>
          <w:tcPr>
            <w:tcW w:w="261" w:type="dxa"/>
          </w:tcPr>
          <w:p w14:paraId="2996A693">
            <w:pPr>
              <w:pStyle w:val="17"/>
              <w:spacing w:before="127"/>
              <w:ind w:left="85"/>
              <w:jc w:val="left"/>
              <w:rPr>
                <w:rFonts w:ascii="Times New Roman"/>
                <w:sz w:val="18"/>
              </w:rPr>
            </w:pPr>
            <w:r>
              <w:rPr>
                <w:rFonts w:ascii="Times New Roman"/>
                <w:sz w:val="18"/>
              </w:rPr>
              <w:t>1</w:t>
            </w:r>
          </w:p>
        </w:tc>
        <w:tc>
          <w:tcPr>
            <w:tcW w:w="321" w:type="dxa"/>
          </w:tcPr>
          <w:p w14:paraId="468F8CBA">
            <w:pPr>
              <w:pStyle w:val="17"/>
              <w:spacing w:before="127"/>
              <w:ind w:left="69"/>
              <w:jc w:val="left"/>
              <w:rPr>
                <w:rFonts w:ascii="Times New Roman"/>
                <w:sz w:val="18"/>
              </w:rPr>
            </w:pPr>
            <w:r>
              <w:rPr>
                <w:rFonts w:ascii="Times New Roman"/>
                <w:sz w:val="18"/>
              </w:rPr>
              <w:t>51</w:t>
            </w:r>
          </w:p>
        </w:tc>
        <w:tc>
          <w:tcPr>
            <w:tcW w:w="321" w:type="dxa"/>
          </w:tcPr>
          <w:p w14:paraId="443365EA">
            <w:pPr>
              <w:pStyle w:val="17"/>
              <w:spacing w:before="127"/>
              <w:ind w:right="58"/>
              <w:jc w:val="right"/>
              <w:rPr>
                <w:rFonts w:ascii="Times New Roman"/>
                <w:sz w:val="18"/>
              </w:rPr>
            </w:pPr>
            <w:r>
              <w:rPr>
                <w:rFonts w:ascii="Times New Roman"/>
                <w:sz w:val="18"/>
              </w:rPr>
              <w:t>20</w:t>
            </w:r>
          </w:p>
        </w:tc>
        <w:tc>
          <w:tcPr>
            <w:tcW w:w="321" w:type="dxa"/>
          </w:tcPr>
          <w:p w14:paraId="196DE27A">
            <w:pPr>
              <w:pStyle w:val="17"/>
              <w:spacing w:before="127"/>
              <w:ind w:right="57"/>
              <w:jc w:val="right"/>
              <w:rPr>
                <w:rFonts w:ascii="Times New Roman"/>
                <w:sz w:val="18"/>
              </w:rPr>
            </w:pPr>
            <w:r>
              <w:rPr>
                <w:rFonts w:ascii="Times New Roman"/>
                <w:sz w:val="18"/>
              </w:rPr>
              <w:t>29</w:t>
            </w:r>
          </w:p>
        </w:tc>
        <w:tc>
          <w:tcPr>
            <w:tcW w:w="343" w:type="dxa"/>
          </w:tcPr>
          <w:p w14:paraId="7B8D292D">
            <w:pPr>
              <w:pStyle w:val="17"/>
              <w:spacing w:before="127"/>
              <w:ind w:left="80"/>
              <w:jc w:val="left"/>
              <w:rPr>
                <w:rFonts w:ascii="Times New Roman"/>
                <w:sz w:val="18"/>
              </w:rPr>
            </w:pPr>
            <w:r>
              <w:rPr>
                <w:rFonts w:ascii="Times New Roman"/>
                <w:sz w:val="18"/>
              </w:rPr>
              <w:t>20</w:t>
            </w:r>
          </w:p>
        </w:tc>
        <w:tc>
          <w:tcPr>
            <w:tcW w:w="550" w:type="dxa"/>
          </w:tcPr>
          <w:p w14:paraId="01C7065B">
            <w:pPr>
              <w:pStyle w:val="17"/>
              <w:spacing w:before="129"/>
              <w:ind w:left="96" w:right="87"/>
              <w:rPr>
                <w:rFonts w:ascii="Times New Roman"/>
                <w:sz w:val="18"/>
              </w:rPr>
            </w:pPr>
            <w:r>
              <w:rPr>
                <w:rFonts w:ascii="Times New Roman"/>
                <w:sz w:val="18"/>
              </w:rPr>
              <w:t>51.9</w:t>
            </w:r>
          </w:p>
        </w:tc>
        <w:tc>
          <w:tcPr>
            <w:tcW w:w="550" w:type="dxa"/>
          </w:tcPr>
          <w:p w14:paraId="0B432BEE">
            <w:pPr>
              <w:pStyle w:val="17"/>
              <w:spacing w:before="129"/>
              <w:ind w:left="96" w:right="88"/>
              <w:rPr>
                <w:rFonts w:ascii="Times New Roman"/>
                <w:sz w:val="18"/>
              </w:rPr>
            </w:pPr>
            <w:r>
              <w:rPr>
                <w:rFonts w:ascii="Times New Roman"/>
                <w:sz w:val="18"/>
              </w:rPr>
              <w:t>60.0</w:t>
            </w:r>
          </w:p>
        </w:tc>
        <w:tc>
          <w:tcPr>
            <w:tcW w:w="550" w:type="dxa"/>
          </w:tcPr>
          <w:p w14:paraId="3F12EC86">
            <w:pPr>
              <w:pStyle w:val="17"/>
              <w:spacing w:before="129"/>
              <w:ind w:left="115"/>
              <w:jc w:val="left"/>
              <w:rPr>
                <w:rFonts w:ascii="Times New Roman"/>
                <w:sz w:val="18"/>
              </w:rPr>
            </w:pPr>
            <w:r>
              <w:rPr>
                <w:rFonts w:ascii="Times New Roman"/>
                <w:sz w:val="18"/>
              </w:rPr>
              <w:t>56.8</w:t>
            </w:r>
          </w:p>
        </w:tc>
        <w:tc>
          <w:tcPr>
            <w:tcW w:w="667" w:type="dxa"/>
          </w:tcPr>
          <w:p w14:paraId="40C08333">
            <w:pPr>
              <w:pStyle w:val="17"/>
              <w:spacing w:before="129"/>
              <w:ind w:left="155" w:right="146"/>
              <w:rPr>
                <w:rFonts w:ascii="Times New Roman"/>
                <w:sz w:val="18"/>
              </w:rPr>
            </w:pPr>
            <w:r>
              <w:rPr>
                <w:rFonts w:ascii="Times New Roman"/>
                <w:sz w:val="18"/>
              </w:rPr>
              <w:t>60.0</w:t>
            </w:r>
          </w:p>
        </w:tc>
        <w:tc>
          <w:tcPr>
            <w:tcW w:w="789" w:type="dxa"/>
            <w:vMerge w:val="continue"/>
            <w:tcBorders>
              <w:top w:val="nil"/>
            </w:tcBorders>
          </w:tcPr>
          <w:p w14:paraId="4CF456FA">
            <w:pPr>
              <w:rPr>
                <w:sz w:val="2"/>
                <w:szCs w:val="2"/>
              </w:rPr>
            </w:pPr>
          </w:p>
        </w:tc>
        <w:tc>
          <w:tcPr>
            <w:tcW w:w="726" w:type="dxa"/>
          </w:tcPr>
          <w:p w14:paraId="25AEFCF0">
            <w:pPr>
              <w:pStyle w:val="17"/>
              <w:spacing w:before="129"/>
              <w:ind w:left="272"/>
              <w:jc w:val="left"/>
              <w:rPr>
                <w:rFonts w:ascii="Times New Roman"/>
                <w:sz w:val="18"/>
              </w:rPr>
            </w:pPr>
            <w:r>
              <w:rPr>
                <w:rFonts w:ascii="Times New Roman"/>
                <w:sz w:val="18"/>
              </w:rPr>
              <w:t>25</w:t>
            </w:r>
          </w:p>
        </w:tc>
        <w:tc>
          <w:tcPr>
            <w:tcW w:w="806" w:type="dxa"/>
          </w:tcPr>
          <w:p w14:paraId="7300A294">
            <w:pPr>
              <w:pStyle w:val="17"/>
              <w:spacing w:before="129"/>
              <w:ind w:left="225" w:right="216"/>
              <w:rPr>
                <w:rFonts w:ascii="Times New Roman"/>
                <w:sz w:val="18"/>
              </w:rPr>
            </w:pPr>
            <w:r>
              <w:rPr>
                <w:rFonts w:ascii="Times New Roman"/>
                <w:sz w:val="18"/>
              </w:rPr>
              <w:t>26.9</w:t>
            </w:r>
          </w:p>
        </w:tc>
        <w:tc>
          <w:tcPr>
            <w:tcW w:w="808" w:type="dxa"/>
          </w:tcPr>
          <w:p w14:paraId="6A51FB94">
            <w:pPr>
              <w:pStyle w:val="17"/>
              <w:spacing w:before="129"/>
              <w:ind w:right="235"/>
              <w:jc w:val="right"/>
              <w:rPr>
                <w:rFonts w:ascii="Times New Roman"/>
                <w:sz w:val="18"/>
              </w:rPr>
            </w:pPr>
            <w:r>
              <w:rPr>
                <w:rFonts w:ascii="Times New Roman"/>
                <w:sz w:val="18"/>
              </w:rPr>
              <w:t>35.0</w:t>
            </w:r>
          </w:p>
        </w:tc>
        <w:tc>
          <w:tcPr>
            <w:tcW w:w="806" w:type="dxa"/>
          </w:tcPr>
          <w:p w14:paraId="2DAB5099">
            <w:pPr>
              <w:pStyle w:val="17"/>
              <w:spacing w:before="129"/>
              <w:ind w:left="243"/>
              <w:jc w:val="left"/>
              <w:rPr>
                <w:rFonts w:ascii="Times New Roman"/>
                <w:sz w:val="18"/>
              </w:rPr>
            </w:pPr>
            <w:r>
              <w:rPr>
                <w:rFonts w:ascii="Times New Roman"/>
                <w:sz w:val="18"/>
              </w:rPr>
              <w:t>31.8</w:t>
            </w:r>
          </w:p>
        </w:tc>
        <w:tc>
          <w:tcPr>
            <w:tcW w:w="854" w:type="dxa"/>
            <w:tcBorders>
              <w:right w:val="nil"/>
            </w:tcBorders>
          </w:tcPr>
          <w:p w14:paraId="614816F8">
            <w:pPr>
              <w:pStyle w:val="17"/>
              <w:spacing w:before="129"/>
              <w:ind w:right="263"/>
              <w:jc w:val="right"/>
              <w:rPr>
                <w:rFonts w:ascii="Times New Roman"/>
                <w:sz w:val="18"/>
              </w:rPr>
            </w:pPr>
            <w:r>
              <w:rPr>
                <w:rFonts w:ascii="Times New Roman"/>
                <w:sz w:val="18"/>
              </w:rPr>
              <w:t>35.0</w:t>
            </w:r>
          </w:p>
        </w:tc>
      </w:tr>
      <w:tr w14:paraId="4B713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342" w:type="dxa"/>
            <w:tcBorders>
              <w:left w:val="nil"/>
            </w:tcBorders>
          </w:tcPr>
          <w:p w14:paraId="02B5EF22">
            <w:pPr>
              <w:pStyle w:val="17"/>
              <w:spacing w:before="128"/>
              <w:ind w:left="129"/>
              <w:jc w:val="left"/>
              <w:rPr>
                <w:rFonts w:ascii="Times New Roman"/>
                <w:sz w:val="18"/>
              </w:rPr>
            </w:pPr>
            <w:r>
              <w:rPr>
                <w:rFonts w:ascii="Times New Roman"/>
                <w:sz w:val="18"/>
              </w:rPr>
              <w:t>6</w:t>
            </w:r>
          </w:p>
        </w:tc>
        <w:tc>
          <w:tcPr>
            <w:tcW w:w="735" w:type="dxa"/>
            <w:vMerge w:val="continue"/>
            <w:tcBorders>
              <w:top w:val="nil"/>
            </w:tcBorders>
          </w:tcPr>
          <w:p w14:paraId="5312C89E">
            <w:pPr>
              <w:rPr>
                <w:sz w:val="2"/>
                <w:szCs w:val="2"/>
              </w:rPr>
            </w:pPr>
          </w:p>
        </w:tc>
        <w:tc>
          <w:tcPr>
            <w:tcW w:w="743" w:type="dxa"/>
          </w:tcPr>
          <w:p w14:paraId="3C40C26A">
            <w:pPr>
              <w:pStyle w:val="17"/>
              <w:spacing w:before="1"/>
              <w:ind w:left="101"/>
              <w:jc w:val="left"/>
              <w:rPr>
                <w:sz w:val="18"/>
              </w:rPr>
            </w:pPr>
            <w:r>
              <w:rPr>
                <w:sz w:val="18"/>
              </w:rPr>
              <w:t>挤出注</w:t>
            </w:r>
          </w:p>
          <w:p w14:paraId="067231A7">
            <w:pPr>
              <w:pStyle w:val="17"/>
              <w:spacing w:before="2" w:line="213" w:lineRule="exact"/>
              <w:ind w:left="189"/>
              <w:jc w:val="left"/>
              <w:rPr>
                <w:sz w:val="18"/>
              </w:rPr>
            </w:pPr>
            <w:r>
              <w:rPr>
                <w:sz w:val="18"/>
              </w:rPr>
              <w:t>塑机</w:t>
            </w:r>
          </w:p>
        </w:tc>
        <w:tc>
          <w:tcPr>
            <w:tcW w:w="655" w:type="dxa"/>
          </w:tcPr>
          <w:p w14:paraId="5F0D15C0">
            <w:pPr>
              <w:pStyle w:val="17"/>
              <w:spacing w:before="128"/>
              <w:ind w:left="9"/>
              <w:rPr>
                <w:rFonts w:ascii="Times New Roman"/>
                <w:sz w:val="18"/>
              </w:rPr>
            </w:pPr>
            <w:r>
              <w:rPr>
                <w:rFonts w:ascii="Times New Roman"/>
                <w:sz w:val="18"/>
              </w:rPr>
              <w:t>4</w:t>
            </w:r>
          </w:p>
        </w:tc>
        <w:tc>
          <w:tcPr>
            <w:tcW w:w="845" w:type="dxa"/>
          </w:tcPr>
          <w:p w14:paraId="3F4BDD82">
            <w:pPr>
              <w:pStyle w:val="17"/>
              <w:spacing w:before="128"/>
              <w:ind w:left="41" w:right="30"/>
              <w:rPr>
                <w:rFonts w:ascii="Times New Roman"/>
                <w:sz w:val="18"/>
              </w:rPr>
            </w:pPr>
            <w:r>
              <w:rPr>
                <w:rFonts w:ascii="Times New Roman"/>
                <w:sz w:val="18"/>
              </w:rPr>
              <w:t>75</w:t>
            </w:r>
          </w:p>
        </w:tc>
        <w:tc>
          <w:tcPr>
            <w:tcW w:w="1421" w:type="dxa"/>
            <w:vMerge w:val="continue"/>
            <w:tcBorders>
              <w:top w:val="nil"/>
            </w:tcBorders>
          </w:tcPr>
          <w:p w14:paraId="3294E18D">
            <w:pPr>
              <w:rPr>
                <w:sz w:val="2"/>
                <w:szCs w:val="2"/>
              </w:rPr>
            </w:pPr>
          </w:p>
        </w:tc>
        <w:tc>
          <w:tcPr>
            <w:tcW w:w="374" w:type="dxa"/>
          </w:tcPr>
          <w:p w14:paraId="7EEA2BF3">
            <w:pPr>
              <w:pStyle w:val="17"/>
              <w:spacing w:before="128"/>
              <w:ind w:left="111"/>
              <w:jc w:val="left"/>
              <w:rPr>
                <w:rFonts w:ascii="Times New Roman"/>
                <w:sz w:val="18"/>
              </w:rPr>
            </w:pPr>
            <w:r>
              <w:rPr>
                <w:rFonts w:ascii="Times New Roman"/>
                <w:sz w:val="18"/>
              </w:rPr>
              <w:t>-8</w:t>
            </w:r>
          </w:p>
        </w:tc>
        <w:tc>
          <w:tcPr>
            <w:tcW w:w="377" w:type="dxa"/>
          </w:tcPr>
          <w:p w14:paraId="697A624A">
            <w:pPr>
              <w:pStyle w:val="17"/>
              <w:spacing w:before="128"/>
              <w:ind w:right="103"/>
              <w:jc w:val="right"/>
              <w:rPr>
                <w:rFonts w:ascii="Times New Roman"/>
                <w:sz w:val="18"/>
              </w:rPr>
            </w:pPr>
            <w:r>
              <w:rPr>
                <w:rFonts w:ascii="Times New Roman"/>
                <w:sz w:val="18"/>
              </w:rPr>
              <w:t>-2</w:t>
            </w:r>
          </w:p>
        </w:tc>
        <w:tc>
          <w:tcPr>
            <w:tcW w:w="261" w:type="dxa"/>
          </w:tcPr>
          <w:p w14:paraId="0038591E">
            <w:pPr>
              <w:pStyle w:val="17"/>
              <w:spacing w:before="128"/>
              <w:ind w:left="85"/>
              <w:jc w:val="left"/>
              <w:rPr>
                <w:rFonts w:ascii="Times New Roman"/>
                <w:sz w:val="18"/>
              </w:rPr>
            </w:pPr>
            <w:r>
              <w:rPr>
                <w:rFonts w:ascii="Times New Roman"/>
                <w:sz w:val="18"/>
              </w:rPr>
              <w:t>1</w:t>
            </w:r>
          </w:p>
        </w:tc>
        <w:tc>
          <w:tcPr>
            <w:tcW w:w="321" w:type="dxa"/>
          </w:tcPr>
          <w:p w14:paraId="561D0314">
            <w:pPr>
              <w:pStyle w:val="17"/>
              <w:spacing w:before="128"/>
              <w:ind w:left="69"/>
              <w:jc w:val="left"/>
              <w:rPr>
                <w:rFonts w:ascii="Times New Roman"/>
                <w:sz w:val="18"/>
              </w:rPr>
            </w:pPr>
            <w:r>
              <w:rPr>
                <w:rFonts w:ascii="Times New Roman"/>
                <w:sz w:val="18"/>
              </w:rPr>
              <w:t>48</w:t>
            </w:r>
          </w:p>
        </w:tc>
        <w:tc>
          <w:tcPr>
            <w:tcW w:w="321" w:type="dxa"/>
          </w:tcPr>
          <w:p w14:paraId="0315CA1E">
            <w:pPr>
              <w:pStyle w:val="17"/>
              <w:spacing w:before="128"/>
              <w:ind w:right="58"/>
              <w:jc w:val="right"/>
              <w:rPr>
                <w:rFonts w:ascii="Times New Roman"/>
                <w:sz w:val="18"/>
              </w:rPr>
            </w:pPr>
            <w:r>
              <w:rPr>
                <w:rFonts w:ascii="Times New Roman"/>
                <w:sz w:val="18"/>
              </w:rPr>
              <w:t>20</w:t>
            </w:r>
          </w:p>
        </w:tc>
        <w:tc>
          <w:tcPr>
            <w:tcW w:w="321" w:type="dxa"/>
          </w:tcPr>
          <w:p w14:paraId="7D22D172">
            <w:pPr>
              <w:pStyle w:val="17"/>
              <w:spacing w:before="128"/>
              <w:ind w:right="57"/>
              <w:jc w:val="right"/>
              <w:rPr>
                <w:rFonts w:ascii="Times New Roman"/>
                <w:sz w:val="18"/>
              </w:rPr>
            </w:pPr>
            <w:r>
              <w:rPr>
                <w:rFonts w:ascii="Times New Roman"/>
                <w:sz w:val="18"/>
              </w:rPr>
              <w:t>32</w:t>
            </w:r>
          </w:p>
        </w:tc>
        <w:tc>
          <w:tcPr>
            <w:tcW w:w="343" w:type="dxa"/>
          </w:tcPr>
          <w:p w14:paraId="0707C8D5">
            <w:pPr>
              <w:pStyle w:val="17"/>
              <w:spacing w:before="128"/>
              <w:ind w:left="80"/>
              <w:jc w:val="left"/>
              <w:rPr>
                <w:rFonts w:ascii="Times New Roman"/>
                <w:sz w:val="18"/>
              </w:rPr>
            </w:pPr>
            <w:r>
              <w:rPr>
                <w:rFonts w:ascii="Times New Roman"/>
                <w:sz w:val="18"/>
              </w:rPr>
              <w:t>20</w:t>
            </w:r>
          </w:p>
        </w:tc>
        <w:tc>
          <w:tcPr>
            <w:tcW w:w="550" w:type="dxa"/>
          </w:tcPr>
          <w:p w14:paraId="385BE602">
            <w:pPr>
              <w:pStyle w:val="17"/>
              <w:spacing w:before="128"/>
              <w:ind w:left="96" w:right="87"/>
              <w:rPr>
                <w:rFonts w:ascii="Times New Roman"/>
                <w:sz w:val="18"/>
              </w:rPr>
            </w:pPr>
            <w:r>
              <w:rPr>
                <w:rFonts w:ascii="Times New Roman"/>
                <w:sz w:val="18"/>
              </w:rPr>
              <w:t>47.4</w:t>
            </w:r>
          </w:p>
        </w:tc>
        <w:tc>
          <w:tcPr>
            <w:tcW w:w="550" w:type="dxa"/>
          </w:tcPr>
          <w:p w14:paraId="6C8F327D">
            <w:pPr>
              <w:pStyle w:val="17"/>
              <w:spacing w:before="128"/>
              <w:ind w:left="96" w:right="88"/>
              <w:rPr>
                <w:rFonts w:ascii="Times New Roman"/>
                <w:sz w:val="18"/>
              </w:rPr>
            </w:pPr>
            <w:r>
              <w:rPr>
                <w:rFonts w:ascii="Times New Roman"/>
                <w:sz w:val="18"/>
              </w:rPr>
              <w:t>55.0</w:t>
            </w:r>
          </w:p>
        </w:tc>
        <w:tc>
          <w:tcPr>
            <w:tcW w:w="550" w:type="dxa"/>
          </w:tcPr>
          <w:p w14:paraId="1E3239D6">
            <w:pPr>
              <w:pStyle w:val="17"/>
              <w:spacing w:before="128"/>
              <w:ind w:left="115"/>
              <w:jc w:val="left"/>
              <w:rPr>
                <w:rFonts w:ascii="Times New Roman"/>
                <w:sz w:val="18"/>
              </w:rPr>
            </w:pPr>
            <w:r>
              <w:rPr>
                <w:rFonts w:ascii="Times New Roman"/>
                <w:sz w:val="18"/>
              </w:rPr>
              <w:t>50.9</w:t>
            </w:r>
          </w:p>
        </w:tc>
        <w:tc>
          <w:tcPr>
            <w:tcW w:w="667" w:type="dxa"/>
          </w:tcPr>
          <w:p w14:paraId="2D377CE8">
            <w:pPr>
              <w:pStyle w:val="17"/>
              <w:spacing w:before="128"/>
              <w:ind w:left="155" w:right="146"/>
              <w:rPr>
                <w:rFonts w:ascii="Times New Roman"/>
                <w:sz w:val="18"/>
              </w:rPr>
            </w:pPr>
            <w:r>
              <w:rPr>
                <w:rFonts w:ascii="Times New Roman"/>
                <w:sz w:val="18"/>
              </w:rPr>
              <w:t>55.0</w:t>
            </w:r>
          </w:p>
        </w:tc>
        <w:tc>
          <w:tcPr>
            <w:tcW w:w="789" w:type="dxa"/>
            <w:vMerge w:val="continue"/>
            <w:tcBorders>
              <w:top w:val="nil"/>
            </w:tcBorders>
          </w:tcPr>
          <w:p w14:paraId="37EE3B30">
            <w:pPr>
              <w:rPr>
                <w:sz w:val="2"/>
                <w:szCs w:val="2"/>
              </w:rPr>
            </w:pPr>
          </w:p>
        </w:tc>
        <w:tc>
          <w:tcPr>
            <w:tcW w:w="726" w:type="dxa"/>
          </w:tcPr>
          <w:p w14:paraId="1CD58C10">
            <w:pPr>
              <w:pStyle w:val="17"/>
              <w:spacing w:before="128"/>
              <w:ind w:left="272"/>
              <w:jc w:val="left"/>
              <w:rPr>
                <w:rFonts w:ascii="Times New Roman"/>
                <w:sz w:val="18"/>
              </w:rPr>
            </w:pPr>
            <w:r>
              <w:rPr>
                <w:rFonts w:ascii="Times New Roman"/>
                <w:sz w:val="18"/>
              </w:rPr>
              <w:t>25</w:t>
            </w:r>
          </w:p>
        </w:tc>
        <w:tc>
          <w:tcPr>
            <w:tcW w:w="806" w:type="dxa"/>
          </w:tcPr>
          <w:p w14:paraId="0D24AC24">
            <w:pPr>
              <w:pStyle w:val="17"/>
              <w:spacing w:before="128"/>
              <w:ind w:left="225" w:right="216"/>
              <w:rPr>
                <w:rFonts w:ascii="Times New Roman"/>
                <w:sz w:val="18"/>
              </w:rPr>
            </w:pPr>
            <w:r>
              <w:rPr>
                <w:rFonts w:ascii="Times New Roman"/>
                <w:sz w:val="18"/>
              </w:rPr>
              <w:t>22.4</w:t>
            </w:r>
          </w:p>
        </w:tc>
        <w:tc>
          <w:tcPr>
            <w:tcW w:w="808" w:type="dxa"/>
          </w:tcPr>
          <w:p w14:paraId="251E9060">
            <w:pPr>
              <w:pStyle w:val="17"/>
              <w:spacing w:before="128"/>
              <w:ind w:right="235"/>
              <w:jc w:val="right"/>
              <w:rPr>
                <w:rFonts w:ascii="Times New Roman"/>
                <w:sz w:val="18"/>
              </w:rPr>
            </w:pPr>
            <w:r>
              <w:rPr>
                <w:rFonts w:ascii="Times New Roman"/>
                <w:sz w:val="18"/>
              </w:rPr>
              <w:t>30.0</w:t>
            </w:r>
          </w:p>
        </w:tc>
        <w:tc>
          <w:tcPr>
            <w:tcW w:w="806" w:type="dxa"/>
          </w:tcPr>
          <w:p w14:paraId="4121417D">
            <w:pPr>
              <w:pStyle w:val="17"/>
              <w:spacing w:before="128"/>
              <w:ind w:left="243"/>
              <w:jc w:val="left"/>
              <w:rPr>
                <w:rFonts w:ascii="Times New Roman"/>
                <w:sz w:val="18"/>
              </w:rPr>
            </w:pPr>
            <w:r>
              <w:rPr>
                <w:rFonts w:ascii="Times New Roman"/>
                <w:sz w:val="18"/>
              </w:rPr>
              <w:t>25.9</w:t>
            </w:r>
          </w:p>
        </w:tc>
        <w:tc>
          <w:tcPr>
            <w:tcW w:w="854" w:type="dxa"/>
            <w:tcBorders>
              <w:right w:val="nil"/>
            </w:tcBorders>
          </w:tcPr>
          <w:p w14:paraId="018527A4">
            <w:pPr>
              <w:pStyle w:val="17"/>
              <w:spacing w:before="128"/>
              <w:ind w:right="263"/>
              <w:jc w:val="right"/>
              <w:rPr>
                <w:rFonts w:ascii="Times New Roman"/>
                <w:sz w:val="18"/>
              </w:rPr>
            </w:pPr>
            <w:r>
              <w:rPr>
                <w:rFonts w:ascii="Times New Roman"/>
                <w:sz w:val="18"/>
              </w:rPr>
              <w:t>30.0</w:t>
            </w:r>
          </w:p>
        </w:tc>
      </w:tr>
      <w:tr w14:paraId="5DEB6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2" w:type="dxa"/>
            <w:tcBorders>
              <w:left w:val="nil"/>
            </w:tcBorders>
          </w:tcPr>
          <w:p w14:paraId="715B3B00">
            <w:pPr>
              <w:pStyle w:val="17"/>
              <w:spacing w:before="128"/>
              <w:ind w:left="129"/>
              <w:jc w:val="left"/>
              <w:rPr>
                <w:rFonts w:ascii="Times New Roman"/>
                <w:sz w:val="18"/>
              </w:rPr>
            </w:pPr>
            <w:r>
              <w:rPr>
                <w:rFonts w:ascii="Times New Roman"/>
                <w:sz w:val="18"/>
              </w:rPr>
              <w:t>7</w:t>
            </w:r>
          </w:p>
        </w:tc>
        <w:tc>
          <w:tcPr>
            <w:tcW w:w="735" w:type="dxa"/>
            <w:vMerge w:val="continue"/>
            <w:tcBorders>
              <w:top w:val="nil"/>
            </w:tcBorders>
          </w:tcPr>
          <w:p w14:paraId="433885C8">
            <w:pPr>
              <w:rPr>
                <w:sz w:val="2"/>
                <w:szCs w:val="2"/>
              </w:rPr>
            </w:pPr>
          </w:p>
        </w:tc>
        <w:tc>
          <w:tcPr>
            <w:tcW w:w="743" w:type="dxa"/>
          </w:tcPr>
          <w:p w14:paraId="65574C26">
            <w:pPr>
              <w:pStyle w:val="17"/>
              <w:spacing w:before="1"/>
              <w:ind w:left="101"/>
              <w:jc w:val="left"/>
              <w:rPr>
                <w:sz w:val="18"/>
              </w:rPr>
            </w:pPr>
            <w:r>
              <w:rPr>
                <w:sz w:val="18"/>
              </w:rPr>
              <w:t>自动裁</w:t>
            </w:r>
          </w:p>
          <w:p w14:paraId="09CC9A26">
            <w:pPr>
              <w:pStyle w:val="17"/>
              <w:spacing w:before="2" w:line="213" w:lineRule="exact"/>
              <w:ind w:left="189"/>
              <w:jc w:val="left"/>
              <w:rPr>
                <w:sz w:val="18"/>
              </w:rPr>
            </w:pPr>
            <w:r>
              <w:rPr>
                <w:sz w:val="18"/>
              </w:rPr>
              <w:t>切机</w:t>
            </w:r>
          </w:p>
        </w:tc>
        <w:tc>
          <w:tcPr>
            <w:tcW w:w="655" w:type="dxa"/>
          </w:tcPr>
          <w:p w14:paraId="1E6C2502">
            <w:pPr>
              <w:pStyle w:val="17"/>
              <w:spacing w:before="128"/>
              <w:ind w:left="9"/>
              <w:rPr>
                <w:rFonts w:ascii="Times New Roman"/>
                <w:sz w:val="18"/>
              </w:rPr>
            </w:pPr>
            <w:r>
              <w:rPr>
                <w:rFonts w:ascii="Times New Roman"/>
                <w:sz w:val="18"/>
              </w:rPr>
              <w:t>4</w:t>
            </w:r>
          </w:p>
        </w:tc>
        <w:tc>
          <w:tcPr>
            <w:tcW w:w="845" w:type="dxa"/>
          </w:tcPr>
          <w:p w14:paraId="0A568C8C">
            <w:pPr>
              <w:pStyle w:val="17"/>
              <w:spacing w:before="128"/>
              <w:ind w:left="41" w:right="30"/>
              <w:rPr>
                <w:rFonts w:ascii="Times New Roman"/>
                <w:sz w:val="18"/>
              </w:rPr>
            </w:pPr>
            <w:r>
              <w:rPr>
                <w:rFonts w:ascii="Times New Roman"/>
                <w:sz w:val="18"/>
              </w:rPr>
              <w:t>75</w:t>
            </w:r>
          </w:p>
        </w:tc>
        <w:tc>
          <w:tcPr>
            <w:tcW w:w="1421" w:type="dxa"/>
            <w:vMerge w:val="continue"/>
            <w:tcBorders>
              <w:top w:val="nil"/>
            </w:tcBorders>
          </w:tcPr>
          <w:p w14:paraId="74D18597">
            <w:pPr>
              <w:rPr>
                <w:sz w:val="2"/>
                <w:szCs w:val="2"/>
              </w:rPr>
            </w:pPr>
          </w:p>
        </w:tc>
        <w:tc>
          <w:tcPr>
            <w:tcW w:w="374" w:type="dxa"/>
          </w:tcPr>
          <w:p w14:paraId="2041AF5A">
            <w:pPr>
              <w:pStyle w:val="17"/>
              <w:spacing w:before="128"/>
              <w:ind w:left="111"/>
              <w:jc w:val="left"/>
              <w:rPr>
                <w:rFonts w:ascii="Times New Roman"/>
                <w:sz w:val="18"/>
              </w:rPr>
            </w:pPr>
            <w:r>
              <w:rPr>
                <w:rFonts w:ascii="Times New Roman"/>
                <w:sz w:val="18"/>
              </w:rPr>
              <w:t>-5</w:t>
            </w:r>
          </w:p>
        </w:tc>
        <w:tc>
          <w:tcPr>
            <w:tcW w:w="377" w:type="dxa"/>
          </w:tcPr>
          <w:p w14:paraId="6E39F0BE">
            <w:pPr>
              <w:pStyle w:val="17"/>
              <w:spacing w:before="128"/>
              <w:ind w:right="103"/>
              <w:jc w:val="right"/>
              <w:rPr>
                <w:rFonts w:ascii="Times New Roman"/>
                <w:sz w:val="18"/>
              </w:rPr>
            </w:pPr>
            <w:r>
              <w:rPr>
                <w:rFonts w:ascii="Times New Roman"/>
                <w:sz w:val="18"/>
              </w:rPr>
              <w:t>-1</w:t>
            </w:r>
          </w:p>
        </w:tc>
        <w:tc>
          <w:tcPr>
            <w:tcW w:w="261" w:type="dxa"/>
          </w:tcPr>
          <w:p w14:paraId="3C02DF3C">
            <w:pPr>
              <w:pStyle w:val="17"/>
              <w:spacing w:before="128"/>
              <w:ind w:left="85"/>
              <w:jc w:val="left"/>
              <w:rPr>
                <w:rFonts w:ascii="Times New Roman"/>
                <w:sz w:val="18"/>
              </w:rPr>
            </w:pPr>
            <w:r>
              <w:rPr>
                <w:rFonts w:ascii="Times New Roman"/>
                <w:sz w:val="18"/>
              </w:rPr>
              <w:t>1</w:t>
            </w:r>
          </w:p>
        </w:tc>
        <w:tc>
          <w:tcPr>
            <w:tcW w:w="321" w:type="dxa"/>
          </w:tcPr>
          <w:p w14:paraId="49D2E2E9">
            <w:pPr>
              <w:pStyle w:val="17"/>
              <w:spacing w:before="128"/>
              <w:ind w:left="69"/>
              <w:jc w:val="left"/>
              <w:rPr>
                <w:rFonts w:ascii="Times New Roman"/>
                <w:sz w:val="18"/>
              </w:rPr>
            </w:pPr>
            <w:r>
              <w:rPr>
                <w:rFonts w:ascii="Times New Roman"/>
                <w:sz w:val="18"/>
              </w:rPr>
              <w:t>45</w:t>
            </w:r>
          </w:p>
        </w:tc>
        <w:tc>
          <w:tcPr>
            <w:tcW w:w="321" w:type="dxa"/>
          </w:tcPr>
          <w:p w14:paraId="451AFA11">
            <w:pPr>
              <w:pStyle w:val="17"/>
              <w:spacing w:before="128"/>
              <w:ind w:right="58"/>
              <w:jc w:val="right"/>
              <w:rPr>
                <w:rFonts w:ascii="Times New Roman"/>
                <w:sz w:val="18"/>
              </w:rPr>
            </w:pPr>
            <w:r>
              <w:rPr>
                <w:rFonts w:ascii="Times New Roman"/>
                <w:sz w:val="18"/>
              </w:rPr>
              <w:t>20</w:t>
            </w:r>
          </w:p>
        </w:tc>
        <w:tc>
          <w:tcPr>
            <w:tcW w:w="321" w:type="dxa"/>
          </w:tcPr>
          <w:p w14:paraId="1BE81FA0">
            <w:pPr>
              <w:pStyle w:val="17"/>
              <w:spacing w:before="128"/>
              <w:ind w:right="57"/>
              <w:jc w:val="right"/>
              <w:rPr>
                <w:rFonts w:ascii="Times New Roman"/>
                <w:sz w:val="18"/>
              </w:rPr>
            </w:pPr>
            <w:r>
              <w:rPr>
                <w:rFonts w:ascii="Times New Roman"/>
                <w:sz w:val="18"/>
              </w:rPr>
              <w:t>35</w:t>
            </w:r>
          </w:p>
        </w:tc>
        <w:tc>
          <w:tcPr>
            <w:tcW w:w="343" w:type="dxa"/>
          </w:tcPr>
          <w:p w14:paraId="6F227A14">
            <w:pPr>
              <w:pStyle w:val="17"/>
              <w:spacing w:before="128"/>
              <w:ind w:left="80"/>
              <w:jc w:val="left"/>
              <w:rPr>
                <w:rFonts w:ascii="Times New Roman"/>
                <w:sz w:val="18"/>
              </w:rPr>
            </w:pPr>
            <w:r>
              <w:rPr>
                <w:rFonts w:ascii="Times New Roman"/>
                <w:sz w:val="18"/>
              </w:rPr>
              <w:t>20</w:t>
            </w:r>
          </w:p>
        </w:tc>
        <w:tc>
          <w:tcPr>
            <w:tcW w:w="550" w:type="dxa"/>
          </w:tcPr>
          <w:p w14:paraId="387480BE">
            <w:pPr>
              <w:pStyle w:val="17"/>
              <w:spacing w:before="128"/>
              <w:ind w:left="96" w:right="87"/>
              <w:rPr>
                <w:rFonts w:ascii="Times New Roman"/>
                <w:sz w:val="18"/>
              </w:rPr>
            </w:pPr>
            <w:r>
              <w:rPr>
                <w:rFonts w:ascii="Times New Roman"/>
                <w:sz w:val="18"/>
              </w:rPr>
              <w:t>48.0</w:t>
            </w:r>
          </w:p>
        </w:tc>
        <w:tc>
          <w:tcPr>
            <w:tcW w:w="550" w:type="dxa"/>
          </w:tcPr>
          <w:p w14:paraId="041C94C9">
            <w:pPr>
              <w:pStyle w:val="17"/>
              <w:spacing w:before="128"/>
              <w:ind w:left="96" w:right="88"/>
              <w:rPr>
                <w:rFonts w:ascii="Times New Roman"/>
                <w:sz w:val="18"/>
              </w:rPr>
            </w:pPr>
            <w:r>
              <w:rPr>
                <w:rFonts w:ascii="Times New Roman"/>
                <w:sz w:val="18"/>
              </w:rPr>
              <w:t>55.0</w:t>
            </w:r>
          </w:p>
        </w:tc>
        <w:tc>
          <w:tcPr>
            <w:tcW w:w="550" w:type="dxa"/>
          </w:tcPr>
          <w:p w14:paraId="389A8A70">
            <w:pPr>
              <w:pStyle w:val="17"/>
              <w:spacing w:before="128"/>
              <w:ind w:left="115"/>
              <w:jc w:val="left"/>
              <w:rPr>
                <w:rFonts w:ascii="Times New Roman"/>
                <w:sz w:val="18"/>
              </w:rPr>
            </w:pPr>
            <w:r>
              <w:rPr>
                <w:rFonts w:ascii="Times New Roman"/>
                <w:sz w:val="18"/>
              </w:rPr>
              <w:t>50.1</w:t>
            </w:r>
          </w:p>
        </w:tc>
        <w:tc>
          <w:tcPr>
            <w:tcW w:w="667" w:type="dxa"/>
          </w:tcPr>
          <w:p w14:paraId="0716BA56">
            <w:pPr>
              <w:pStyle w:val="17"/>
              <w:spacing w:before="128"/>
              <w:ind w:left="155" w:right="146"/>
              <w:rPr>
                <w:rFonts w:ascii="Times New Roman"/>
                <w:sz w:val="18"/>
              </w:rPr>
            </w:pPr>
            <w:r>
              <w:rPr>
                <w:rFonts w:ascii="Times New Roman"/>
                <w:sz w:val="18"/>
              </w:rPr>
              <w:t>55.0</w:t>
            </w:r>
          </w:p>
        </w:tc>
        <w:tc>
          <w:tcPr>
            <w:tcW w:w="789" w:type="dxa"/>
            <w:vMerge w:val="continue"/>
            <w:tcBorders>
              <w:top w:val="nil"/>
            </w:tcBorders>
          </w:tcPr>
          <w:p w14:paraId="2BEB4162">
            <w:pPr>
              <w:rPr>
                <w:sz w:val="2"/>
                <w:szCs w:val="2"/>
              </w:rPr>
            </w:pPr>
          </w:p>
        </w:tc>
        <w:tc>
          <w:tcPr>
            <w:tcW w:w="726" w:type="dxa"/>
          </w:tcPr>
          <w:p w14:paraId="3A8B8977">
            <w:pPr>
              <w:pStyle w:val="17"/>
              <w:spacing w:before="128"/>
              <w:ind w:left="272"/>
              <w:jc w:val="left"/>
              <w:rPr>
                <w:rFonts w:ascii="Times New Roman"/>
                <w:sz w:val="18"/>
              </w:rPr>
            </w:pPr>
            <w:r>
              <w:rPr>
                <w:rFonts w:ascii="Times New Roman"/>
                <w:sz w:val="18"/>
              </w:rPr>
              <w:t>25</w:t>
            </w:r>
          </w:p>
        </w:tc>
        <w:tc>
          <w:tcPr>
            <w:tcW w:w="806" w:type="dxa"/>
          </w:tcPr>
          <w:p w14:paraId="5DB3D4B2">
            <w:pPr>
              <w:pStyle w:val="17"/>
              <w:spacing w:before="128"/>
              <w:ind w:left="225" w:right="216"/>
              <w:rPr>
                <w:rFonts w:ascii="Times New Roman"/>
                <w:sz w:val="18"/>
              </w:rPr>
            </w:pPr>
            <w:r>
              <w:rPr>
                <w:rFonts w:ascii="Times New Roman"/>
                <w:sz w:val="18"/>
              </w:rPr>
              <w:t>23.0</w:t>
            </w:r>
          </w:p>
        </w:tc>
        <w:tc>
          <w:tcPr>
            <w:tcW w:w="808" w:type="dxa"/>
          </w:tcPr>
          <w:p w14:paraId="7DA8E3A5">
            <w:pPr>
              <w:pStyle w:val="17"/>
              <w:spacing w:before="128"/>
              <w:ind w:right="235"/>
              <w:jc w:val="right"/>
              <w:rPr>
                <w:rFonts w:ascii="Times New Roman"/>
                <w:sz w:val="18"/>
              </w:rPr>
            </w:pPr>
            <w:r>
              <w:rPr>
                <w:rFonts w:ascii="Times New Roman"/>
                <w:sz w:val="18"/>
              </w:rPr>
              <w:t>30.0</w:t>
            </w:r>
          </w:p>
        </w:tc>
        <w:tc>
          <w:tcPr>
            <w:tcW w:w="806" w:type="dxa"/>
          </w:tcPr>
          <w:p w14:paraId="5FE6FD9D">
            <w:pPr>
              <w:pStyle w:val="17"/>
              <w:spacing w:before="128"/>
              <w:ind w:left="243"/>
              <w:jc w:val="left"/>
              <w:rPr>
                <w:rFonts w:ascii="Times New Roman"/>
                <w:sz w:val="18"/>
              </w:rPr>
            </w:pPr>
            <w:r>
              <w:rPr>
                <w:rFonts w:ascii="Times New Roman"/>
                <w:sz w:val="18"/>
              </w:rPr>
              <w:t>25.1</w:t>
            </w:r>
          </w:p>
        </w:tc>
        <w:tc>
          <w:tcPr>
            <w:tcW w:w="854" w:type="dxa"/>
            <w:tcBorders>
              <w:right w:val="nil"/>
            </w:tcBorders>
          </w:tcPr>
          <w:p w14:paraId="4D86AAC2">
            <w:pPr>
              <w:pStyle w:val="17"/>
              <w:spacing w:before="128"/>
              <w:ind w:right="263"/>
              <w:jc w:val="right"/>
              <w:rPr>
                <w:rFonts w:ascii="Times New Roman"/>
                <w:sz w:val="18"/>
              </w:rPr>
            </w:pPr>
            <w:r>
              <w:rPr>
                <w:rFonts w:ascii="Times New Roman"/>
                <w:sz w:val="18"/>
              </w:rPr>
              <w:t>30.0</w:t>
            </w:r>
          </w:p>
        </w:tc>
      </w:tr>
      <w:tr w14:paraId="00CDB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342" w:type="dxa"/>
            <w:tcBorders>
              <w:left w:val="nil"/>
            </w:tcBorders>
          </w:tcPr>
          <w:p w14:paraId="08A36AD8">
            <w:pPr>
              <w:pStyle w:val="17"/>
              <w:spacing w:before="2"/>
              <w:jc w:val="left"/>
              <w:rPr>
                <w:rFonts w:ascii="Times New Roman"/>
                <w:b/>
                <w:sz w:val="21"/>
              </w:rPr>
            </w:pPr>
          </w:p>
          <w:p w14:paraId="45354525">
            <w:pPr>
              <w:pStyle w:val="17"/>
              <w:spacing w:before="1"/>
              <w:ind w:left="129"/>
              <w:jc w:val="left"/>
              <w:rPr>
                <w:rFonts w:ascii="Times New Roman"/>
                <w:sz w:val="18"/>
              </w:rPr>
            </w:pPr>
            <w:r>
              <w:rPr>
                <w:rFonts w:ascii="Times New Roman"/>
                <w:sz w:val="18"/>
              </w:rPr>
              <w:t>8</w:t>
            </w:r>
          </w:p>
        </w:tc>
        <w:tc>
          <w:tcPr>
            <w:tcW w:w="735" w:type="dxa"/>
            <w:vMerge w:val="continue"/>
            <w:tcBorders>
              <w:top w:val="nil"/>
            </w:tcBorders>
          </w:tcPr>
          <w:p w14:paraId="49283A48">
            <w:pPr>
              <w:rPr>
                <w:sz w:val="2"/>
                <w:szCs w:val="2"/>
              </w:rPr>
            </w:pPr>
          </w:p>
        </w:tc>
        <w:tc>
          <w:tcPr>
            <w:tcW w:w="743" w:type="dxa"/>
          </w:tcPr>
          <w:p w14:paraId="0024ECE8">
            <w:pPr>
              <w:pStyle w:val="17"/>
              <w:spacing w:before="4"/>
              <w:jc w:val="left"/>
              <w:rPr>
                <w:rFonts w:ascii="Times New Roman"/>
                <w:b/>
                <w:sz w:val="20"/>
              </w:rPr>
            </w:pPr>
          </w:p>
          <w:p w14:paraId="37BE8BB4">
            <w:pPr>
              <w:pStyle w:val="17"/>
              <w:spacing w:before="1"/>
              <w:ind w:left="81" w:right="72"/>
              <w:rPr>
                <w:sz w:val="18"/>
              </w:rPr>
            </w:pPr>
            <w:r>
              <w:rPr>
                <w:sz w:val="18"/>
              </w:rPr>
              <w:t>空压机</w:t>
            </w:r>
          </w:p>
        </w:tc>
        <w:tc>
          <w:tcPr>
            <w:tcW w:w="655" w:type="dxa"/>
          </w:tcPr>
          <w:p w14:paraId="5AE2BFE1">
            <w:pPr>
              <w:pStyle w:val="17"/>
              <w:spacing w:before="2"/>
              <w:jc w:val="left"/>
              <w:rPr>
                <w:rFonts w:ascii="Times New Roman"/>
                <w:b/>
                <w:sz w:val="21"/>
              </w:rPr>
            </w:pPr>
          </w:p>
          <w:p w14:paraId="11BFE8F9">
            <w:pPr>
              <w:pStyle w:val="17"/>
              <w:spacing w:before="1"/>
              <w:ind w:left="9"/>
              <w:rPr>
                <w:rFonts w:ascii="Times New Roman"/>
                <w:sz w:val="18"/>
              </w:rPr>
            </w:pPr>
            <w:r>
              <w:rPr>
                <w:rFonts w:ascii="Times New Roman"/>
                <w:sz w:val="18"/>
              </w:rPr>
              <w:t>1</w:t>
            </w:r>
          </w:p>
        </w:tc>
        <w:tc>
          <w:tcPr>
            <w:tcW w:w="845" w:type="dxa"/>
          </w:tcPr>
          <w:p w14:paraId="119AF23B">
            <w:pPr>
              <w:pStyle w:val="17"/>
              <w:spacing w:before="2"/>
              <w:jc w:val="left"/>
              <w:rPr>
                <w:rFonts w:ascii="Times New Roman"/>
                <w:b/>
                <w:sz w:val="21"/>
              </w:rPr>
            </w:pPr>
          </w:p>
          <w:p w14:paraId="14047A90">
            <w:pPr>
              <w:pStyle w:val="17"/>
              <w:spacing w:before="1"/>
              <w:ind w:left="41" w:right="30"/>
              <w:rPr>
                <w:rFonts w:ascii="Times New Roman"/>
                <w:sz w:val="18"/>
              </w:rPr>
            </w:pPr>
            <w:r>
              <w:rPr>
                <w:rFonts w:ascii="Times New Roman"/>
                <w:sz w:val="18"/>
              </w:rPr>
              <w:t>85</w:t>
            </w:r>
          </w:p>
        </w:tc>
        <w:tc>
          <w:tcPr>
            <w:tcW w:w="1421" w:type="dxa"/>
          </w:tcPr>
          <w:p w14:paraId="15232648">
            <w:pPr>
              <w:pStyle w:val="17"/>
              <w:spacing w:before="2" w:line="230" w:lineRule="atLeast"/>
              <w:ind w:left="80" w:right="68"/>
              <w:jc w:val="both"/>
              <w:rPr>
                <w:sz w:val="18"/>
              </w:rPr>
            </w:pPr>
            <w:r>
              <w:rPr>
                <w:sz w:val="18"/>
              </w:rPr>
              <w:t>低噪声设备、基础减振、隔音、消音、厂房隔声</w:t>
            </w:r>
          </w:p>
        </w:tc>
        <w:tc>
          <w:tcPr>
            <w:tcW w:w="374" w:type="dxa"/>
          </w:tcPr>
          <w:p w14:paraId="0AA2093F">
            <w:pPr>
              <w:pStyle w:val="17"/>
              <w:spacing w:before="2"/>
              <w:jc w:val="left"/>
              <w:rPr>
                <w:rFonts w:ascii="Times New Roman"/>
                <w:b/>
                <w:sz w:val="21"/>
              </w:rPr>
            </w:pPr>
          </w:p>
          <w:p w14:paraId="579D1A46">
            <w:pPr>
              <w:pStyle w:val="17"/>
              <w:spacing w:before="1"/>
              <w:ind w:left="65"/>
              <w:jc w:val="left"/>
              <w:rPr>
                <w:rFonts w:ascii="Times New Roman"/>
                <w:sz w:val="18"/>
              </w:rPr>
            </w:pPr>
            <w:r>
              <w:rPr>
                <w:rFonts w:ascii="Times New Roman"/>
                <w:sz w:val="18"/>
              </w:rPr>
              <w:t>-10</w:t>
            </w:r>
          </w:p>
        </w:tc>
        <w:tc>
          <w:tcPr>
            <w:tcW w:w="377" w:type="dxa"/>
          </w:tcPr>
          <w:p w14:paraId="29ECF731">
            <w:pPr>
              <w:pStyle w:val="17"/>
              <w:spacing w:before="2"/>
              <w:jc w:val="left"/>
              <w:rPr>
                <w:rFonts w:ascii="Times New Roman"/>
                <w:b/>
                <w:sz w:val="21"/>
              </w:rPr>
            </w:pPr>
          </w:p>
          <w:p w14:paraId="52F0AF7C">
            <w:pPr>
              <w:pStyle w:val="17"/>
              <w:spacing w:before="1"/>
              <w:ind w:right="86"/>
              <w:jc w:val="right"/>
              <w:rPr>
                <w:rFonts w:ascii="Times New Roman"/>
                <w:sz w:val="18"/>
              </w:rPr>
            </w:pPr>
            <w:r>
              <w:rPr>
                <w:rFonts w:ascii="Times New Roman"/>
                <w:sz w:val="18"/>
              </w:rPr>
              <w:t>15</w:t>
            </w:r>
          </w:p>
        </w:tc>
        <w:tc>
          <w:tcPr>
            <w:tcW w:w="261" w:type="dxa"/>
          </w:tcPr>
          <w:p w14:paraId="22F0AADC">
            <w:pPr>
              <w:pStyle w:val="17"/>
              <w:spacing w:before="2"/>
              <w:jc w:val="left"/>
              <w:rPr>
                <w:rFonts w:ascii="Times New Roman"/>
                <w:b/>
                <w:sz w:val="21"/>
              </w:rPr>
            </w:pPr>
          </w:p>
          <w:p w14:paraId="29142D32">
            <w:pPr>
              <w:pStyle w:val="17"/>
              <w:spacing w:before="1"/>
              <w:ind w:left="85"/>
              <w:jc w:val="left"/>
              <w:rPr>
                <w:rFonts w:ascii="Times New Roman"/>
                <w:sz w:val="18"/>
              </w:rPr>
            </w:pPr>
            <w:r>
              <w:rPr>
                <w:rFonts w:ascii="Times New Roman"/>
                <w:sz w:val="18"/>
              </w:rPr>
              <w:t>1</w:t>
            </w:r>
          </w:p>
        </w:tc>
        <w:tc>
          <w:tcPr>
            <w:tcW w:w="321" w:type="dxa"/>
          </w:tcPr>
          <w:p w14:paraId="629D9DF0">
            <w:pPr>
              <w:pStyle w:val="17"/>
              <w:spacing w:before="2"/>
              <w:jc w:val="left"/>
              <w:rPr>
                <w:rFonts w:ascii="Times New Roman"/>
                <w:b/>
                <w:sz w:val="21"/>
              </w:rPr>
            </w:pPr>
          </w:p>
          <w:p w14:paraId="0093D605">
            <w:pPr>
              <w:pStyle w:val="17"/>
              <w:spacing w:before="1"/>
              <w:ind w:left="69"/>
              <w:jc w:val="left"/>
              <w:rPr>
                <w:rFonts w:ascii="Times New Roman"/>
                <w:sz w:val="18"/>
              </w:rPr>
            </w:pPr>
            <w:r>
              <w:rPr>
                <w:rFonts w:ascii="Times New Roman"/>
                <w:sz w:val="18"/>
              </w:rPr>
              <w:t>48</w:t>
            </w:r>
          </w:p>
        </w:tc>
        <w:tc>
          <w:tcPr>
            <w:tcW w:w="321" w:type="dxa"/>
          </w:tcPr>
          <w:p w14:paraId="4E07FE6D">
            <w:pPr>
              <w:pStyle w:val="17"/>
              <w:spacing w:before="2"/>
              <w:jc w:val="left"/>
              <w:rPr>
                <w:rFonts w:ascii="Times New Roman"/>
                <w:b/>
                <w:sz w:val="21"/>
              </w:rPr>
            </w:pPr>
          </w:p>
          <w:p w14:paraId="5FE2A0C5">
            <w:pPr>
              <w:pStyle w:val="17"/>
              <w:spacing w:before="1"/>
              <w:ind w:right="58"/>
              <w:jc w:val="right"/>
              <w:rPr>
                <w:rFonts w:ascii="Times New Roman"/>
                <w:sz w:val="18"/>
              </w:rPr>
            </w:pPr>
            <w:r>
              <w:rPr>
                <w:rFonts w:ascii="Times New Roman"/>
                <w:sz w:val="18"/>
              </w:rPr>
              <w:t>36</w:t>
            </w:r>
          </w:p>
        </w:tc>
        <w:tc>
          <w:tcPr>
            <w:tcW w:w="321" w:type="dxa"/>
          </w:tcPr>
          <w:p w14:paraId="4716D45F">
            <w:pPr>
              <w:pStyle w:val="17"/>
              <w:spacing w:before="2"/>
              <w:jc w:val="left"/>
              <w:rPr>
                <w:rFonts w:ascii="Times New Roman"/>
                <w:b/>
                <w:sz w:val="21"/>
              </w:rPr>
            </w:pPr>
          </w:p>
          <w:p w14:paraId="5602CFF6">
            <w:pPr>
              <w:pStyle w:val="17"/>
              <w:spacing w:before="1"/>
              <w:ind w:right="57"/>
              <w:jc w:val="right"/>
              <w:rPr>
                <w:rFonts w:ascii="Times New Roman"/>
                <w:sz w:val="18"/>
              </w:rPr>
            </w:pPr>
            <w:r>
              <w:rPr>
                <w:rFonts w:ascii="Times New Roman"/>
                <w:sz w:val="18"/>
              </w:rPr>
              <w:t>32</w:t>
            </w:r>
          </w:p>
        </w:tc>
        <w:tc>
          <w:tcPr>
            <w:tcW w:w="343" w:type="dxa"/>
          </w:tcPr>
          <w:p w14:paraId="0DD6B8AB">
            <w:pPr>
              <w:pStyle w:val="17"/>
              <w:spacing w:before="2"/>
              <w:jc w:val="left"/>
              <w:rPr>
                <w:rFonts w:ascii="Times New Roman"/>
                <w:b/>
                <w:sz w:val="21"/>
              </w:rPr>
            </w:pPr>
          </w:p>
          <w:p w14:paraId="44AD06D0">
            <w:pPr>
              <w:pStyle w:val="17"/>
              <w:spacing w:before="1"/>
              <w:ind w:left="126"/>
              <w:jc w:val="left"/>
              <w:rPr>
                <w:rFonts w:ascii="Times New Roman"/>
                <w:sz w:val="18"/>
              </w:rPr>
            </w:pPr>
            <w:r>
              <w:rPr>
                <w:rFonts w:ascii="Times New Roman"/>
                <w:sz w:val="18"/>
              </w:rPr>
              <w:t>4</w:t>
            </w:r>
          </w:p>
        </w:tc>
        <w:tc>
          <w:tcPr>
            <w:tcW w:w="550" w:type="dxa"/>
          </w:tcPr>
          <w:p w14:paraId="05CF6BDE">
            <w:pPr>
              <w:pStyle w:val="17"/>
              <w:spacing w:before="5"/>
              <w:jc w:val="left"/>
              <w:rPr>
                <w:rFonts w:ascii="Times New Roman"/>
                <w:b/>
                <w:sz w:val="21"/>
              </w:rPr>
            </w:pPr>
          </w:p>
          <w:p w14:paraId="3198B16A">
            <w:pPr>
              <w:pStyle w:val="17"/>
              <w:ind w:left="96" w:right="87"/>
              <w:rPr>
                <w:rFonts w:ascii="Times New Roman"/>
                <w:sz w:val="18"/>
              </w:rPr>
            </w:pPr>
            <w:r>
              <w:rPr>
                <w:rFonts w:ascii="Times New Roman"/>
                <w:sz w:val="18"/>
              </w:rPr>
              <w:t>51.4</w:t>
            </w:r>
          </w:p>
        </w:tc>
        <w:tc>
          <w:tcPr>
            <w:tcW w:w="550" w:type="dxa"/>
          </w:tcPr>
          <w:p w14:paraId="4313CC41">
            <w:pPr>
              <w:pStyle w:val="17"/>
              <w:spacing w:before="5"/>
              <w:jc w:val="left"/>
              <w:rPr>
                <w:rFonts w:ascii="Times New Roman"/>
                <w:b/>
                <w:sz w:val="21"/>
              </w:rPr>
            </w:pPr>
          </w:p>
          <w:p w14:paraId="11AA8CF7">
            <w:pPr>
              <w:pStyle w:val="17"/>
              <w:ind w:left="96" w:right="88"/>
              <w:rPr>
                <w:rFonts w:ascii="Times New Roman"/>
                <w:sz w:val="18"/>
              </w:rPr>
            </w:pPr>
            <w:r>
              <w:rPr>
                <w:rFonts w:ascii="Times New Roman"/>
                <w:sz w:val="18"/>
              </w:rPr>
              <w:t>53.9</w:t>
            </w:r>
          </w:p>
        </w:tc>
        <w:tc>
          <w:tcPr>
            <w:tcW w:w="550" w:type="dxa"/>
          </w:tcPr>
          <w:p w14:paraId="3544A486">
            <w:pPr>
              <w:pStyle w:val="17"/>
              <w:spacing w:before="5"/>
              <w:jc w:val="left"/>
              <w:rPr>
                <w:rFonts w:ascii="Times New Roman"/>
                <w:b/>
                <w:sz w:val="21"/>
              </w:rPr>
            </w:pPr>
          </w:p>
          <w:p w14:paraId="4274521F">
            <w:pPr>
              <w:pStyle w:val="17"/>
              <w:ind w:left="115"/>
              <w:jc w:val="left"/>
              <w:rPr>
                <w:rFonts w:ascii="Times New Roman"/>
                <w:sz w:val="18"/>
              </w:rPr>
            </w:pPr>
            <w:r>
              <w:rPr>
                <w:rFonts w:ascii="Times New Roman"/>
                <w:sz w:val="18"/>
              </w:rPr>
              <w:t>54.9</w:t>
            </w:r>
          </w:p>
        </w:tc>
        <w:tc>
          <w:tcPr>
            <w:tcW w:w="667" w:type="dxa"/>
          </w:tcPr>
          <w:p w14:paraId="12A4C020">
            <w:pPr>
              <w:pStyle w:val="17"/>
              <w:spacing w:before="5"/>
              <w:jc w:val="left"/>
              <w:rPr>
                <w:rFonts w:ascii="Times New Roman"/>
                <w:b/>
                <w:sz w:val="21"/>
              </w:rPr>
            </w:pPr>
          </w:p>
          <w:p w14:paraId="7B422179">
            <w:pPr>
              <w:pStyle w:val="17"/>
              <w:ind w:left="155" w:right="146"/>
              <w:rPr>
                <w:rFonts w:ascii="Times New Roman"/>
                <w:sz w:val="18"/>
              </w:rPr>
            </w:pPr>
            <w:r>
              <w:rPr>
                <w:rFonts w:ascii="Times New Roman"/>
                <w:sz w:val="18"/>
              </w:rPr>
              <w:t>73.0</w:t>
            </w:r>
          </w:p>
        </w:tc>
        <w:tc>
          <w:tcPr>
            <w:tcW w:w="789" w:type="dxa"/>
            <w:vMerge w:val="continue"/>
            <w:tcBorders>
              <w:top w:val="nil"/>
            </w:tcBorders>
          </w:tcPr>
          <w:p w14:paraId="2FB72BAA">
            <w:pPr>
              <w:rPr>
                <w:sz w:val="2"/>
                <w:szCs w:val="2"/>
              </w:rPr>
            </w:pPr>
          </w:p>
        </w:tc>
        <w:tc>
          <w:tcPr>
            <w:tcW w:w="726" w:type="dxa"/>
          </w:tcPr>
          <w:p w14:paraId="1AE178E5">
            <w:pPr>
              <w:pStyle w:val="17"/>
              <w:spacing w:before="5"/>
              <w:jc w:val="left"/>
              <w:rPr>
                <w:rFonts w:ascii="Times New Roman"/>
                <w:b/>
                <w:sz w:val="21"/>
              </w:rPr>
            </w:pPr>
          </w:p>
          <w:p w14:paraId="154CC377">
            <w:pPr>
              <w:pStyle w:val="17"/>
              <w:ind w:left="272"/>
              <w:jc w:val="left"/>
              <w:rPr>
                <w:rFonts w:ascii="Times New Roman"/>
                <w:sz w:val="18"/>
              </w:rPr>
            </w:pPr>
            <w:r>
              <w:rPr>
                <w:rFonts w:ascii="Times New Roman"/>
                <w:sz w:val="18"/>
              </w:rPr>
              <w:t>40</w:t>
            </w:r>
          </w:p>
        </w:tc>
        <w:tc>
          <w:tcPr>
            <w:tcW w:w="806" w:type="dxa"/>
          </w:tcPr>
          <w:p w14:paraId="05B0539E">
            <w:pPr>
              <w:pStyle w:val="17"/>
              <w:spacing w:before="5"/>
              <w:jc w:val="left"/>
              <w:rPr>
                <w:rFonts w:ascii="Times New Roman"/>
                <w:b/>
                <w:sz w:val="21"/>
              </w:rPr>
            </w:pPr>
          </w:p>
          <w:p w14:paraId="3909C1EE">
            <w:pPr>
              <w:pStyle w:val="17"/>
              <w:ind w:left="225" w:right="216"/>
              <w:rPr>
                <w:rFonts w:ascii="Times New Roman"/>
                <w:sz w:val="18"/>
              </w:rPr>
            </w:pPr>
            <w:r>
              <w:rPr>
                <w:rFonts w:ascii="Times New Roman"/>
                <w:sz w:val="18"/>
              </w:rPr>
              <w:t>11.4</w:t>
            </w:r>
          </w:p>
        </w:tc>
        <w:tc>
          <w:tcPr>
            <w:tcW w:w="808" w:type="dxa"/>
          </w:tcPr>
          <w:p w14:paraId="7315FE3D">
            <w:pPr>
              <w:pStyle w:val="17"/>
              <w:spacing w:before="5"/>
              <w:jc w:val="left"/>
              <w:rPr>
                <w:rFonts w:ascii="Times New Roman"/>
                <w:b/>
                <w:sz w:val="21"/>
              </w:rPr>
            </w:pPr>
          </w:p>
          <w:p w14:paraId="1FBE9CF9">
            <w:pPr>
              <w:pStyle w:val="17"/>
              <w:ind w:right="235"/>
              <w:jc w:val="right"/>
              <w:rPr>
                <w:rFonts w:ascii="Times New Roman"/>
                <w:sz w:val="18"/>
              </w:rPr>
            </w:pPr>
            <w:r>
              <w:rPr>
                <w:rFonts w:ascii="Times New Roman"/>
                <w:sz w:val="18"/>
              </w:rPr>
              <w:t>13.9</w:t>
            </w:r>
          </w:p>
        </w:tc>
        <w:tc>
          <w:tcPr>
            <w:tcW w:w="806" w:type="dxa"/>
          </w:tcPr>
          <w:p w14:paraId="71797861">
            <w:pPr>
              <w:pStyle w:val="17"/>
              <w:spacing w:before="5"/>
              <w:jc w:val="left"/>
              <w:rPr>
                <w:rFonts w:ascii="Times New Roman"/>
                <w:b/>
                <w:sz w:val="21"/>
              </w:rPr>
            </w:pPr>
          </w:p>
          <w:p w14:paraId="39A0E888">
            <w:pPr>
              <w:pStyle w:val="17"/>
              <w:ind w:left="243"/>
              <w:jc w:val="left"/>
              <w:rPr>
                <w:rFonts w:ascii="Times New Roman"/>
                <w:sz w:val="18"/>
              </w:rPr>
            </w:pPr>
            <w:r>
              <w:rPr>
                <w:rFonts w:ascii="Times New Roman"/>
                <w:sz w:val="18"/>
              </w:rPr>
              <w:t>14.9</w:t>
            </w:r>
          </w:p>
        </w:tc>
        <w:tc>
          <w:tcPr>
            <w:tcW w:w="854" w:type="dxa"/>
            <w:tcBorders>
              <w:right w:val="nil"/>
            </w:tcBorders>
          </w:tcPr>
          <w:p w14:paraId="5B7CE7A9">
            <w:pPr>
              <w:pStyle w:val="17"/>
              <w:spacing w:before="5"/>
              <w:jc w:val="left"/>
              <w:rPr>
                <w:rFonts w:ascii="Times New Roman"/>
                <w:b/>
                <w:sz w:val="21"/>
              </w:rPr>
            </w:pPr>
          </w:p>
          <w:p w14:paraId="708A831B">
            <w:pPr>
              <w:pStyle w:val="17"/>
              <w:ind w:right="263"/>
              <w:jc w:val="right"/>
              <w:rPr>
                <w:rFonts w:ascii="Times New Roman"/>
                <w:sz w:val="18"/>
              </w:rPr>
            </w:pPr>
            <w:r>
              <w:rPr>
                <w:rFonts w:ascii="Times New Roman"/>
                <w:sz w:val="18"/>
              </w:rPr>
              <w:t>33.0</w:t>
            </w:r>
          </w:p>
        </w:tc>
      </w:tr>
    </w:tbl>
    <w:p w14:paraId="10000DCA">
      <w:pPr>
        <w:spacing w:before="20"/>
        <w:ind w:left="220" w:right="0" w:firstLine="0"/>
        <w:jc w:val="left"/>
        <w:rPr>
          <w:sz w:val="21"/>
        </w:rPr>
      </w:pPr>
      <w:r>
        <w:rPr>
          <w:sz w:val="21"/>
        </w:rPr>
        <w:t xml:space="preserve">注：以厂区中心为原点，以正北方向为正 </w:t>
      </w:r>
      <w:r>
        <w:rPr>
          <w:rFonts w:ascii="Times New Roman" w:eastAsia="Times New Roman"/>
          <w:sz w:val="21"/>
        </w:rPr>
        <w:t xml:space="preserve">Y </w:t>
      </w:r>
      <w:r>
        <w:rPr>
          <w:sz w:val="21"/>
        </w:rPr>
        <w:t xml:space="preserve">轴，正东方向为正 </w:t>
      </w:r>
      <w:r>
        <w:rPr>
          <w:rFonts w:ascii="Times New Roman" w:eastAsia="Times New Roman"/>
          <w:sz w:val="21"/>
        </w:rPr>
        <w:t xml:space="preserve">X </w:t>
      </w:r>
      <w:r>
        <w:rPr>
          <w:sz w:val="21"/>
        </w:rPr>
        <w:t>轴。</w:t>
      </w:r>
    </w:p>
    <w:p w14:paraId="00762760">
      <w:pPr>
        <w:pStyle w:val="9"/>
        <w:spacing w:before="23" w:after="4"/>
        <w:ind w:left="4552" w:right="4572"/>
        <w:jc w:val="center"/>
      </w:pPr>
      <w:r>
        <w:rPr>
          <w:spacing w:val="-31"/>
        </w:rPr>
        <w:t xml:space="preserve">表 </w:t>
      </w:r>
      <w:r>
        <w:rPr>
          <w:rFonts w:ascii="Times New Roman" w:eastAsia="Times New Roman"/>
        </w:rPr>
        <w:t>2.4-4</w:t>
      </w:r>
      <w:r>
        <w:rPr>
          <w:rFonts w:ascii="Times New Roman" w:eastAsia="Times New Roman"/>
          <w:spacing w:val="58"/>
        </w:rPr>
        <w:t xml:space="preserve"> </w:t>
      </w:r>
      <w:r>
        <w:t>工业企业噪声源强调查清单（室外声源）</w:t>
      </w:r>
    </w:p>
    <w:tbl>
      <w:tblPr>
        <w:tblStyle w:val="13"/>
        <w:tblW w:w="0" w:type="auto"/>
        <w:tblInd w:w="10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51"/>
        <w:gridCol w:w="2086"/>
        <w:gridCol w:w="916"/>
        <w:gridCol w:w="1009"/>
        <w:gridCol w:w="1247"/>
        <w:gridCol w:w="1213"/>
        <w:gridCol w:w="1639"/>
        <w:gridCol w:w="2274"/>
        <w:gridCol w:w="1514"/>
        <w:gridCol w:w="1514"/>
      </w:tblGrid>
      <w:tr w14:paraId="71A08A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751" w:type="dxa"/>
            <w:vMerge w:val="restart"/>
            <w:tcBorders>
              <w:left w:val="nil"/>
              <w:bottom w:val="single" w:color="000000" w:sz="4" w:space="0"/>
              <w:right w:val="single" w:color="000000" w:sz="4" w:space="0"/>
            </w:tcBorders>
          </w:tcPr>
          <w:p w14:paraId="7EB26F7E">
            <w:pPr>
              <w:pStyle w:val="17"/>
              <w:spacing w:before="135"/>
              <w:ind w:left="179"/>
              <w:jc w:val="left"/>
              <w:rPr>
                <w:sz w:val="21"/>
              </w:rPr>
            </w:pPr>
            <w:r>
              <w:rPr>
                <w:sz w:val="21"/>
              </w:rPr>
              <w:t>序号</w:t>
            </w:r>
          </w:p>
        </w:tc>
        <w:tc>
          <w:tcPr>
            <w:tcW w:w="2086" w:type="dxa"/>
            <w:vMerge w:val="restart"/>
            <w:tcBorders>
              <w:left w:val="single" w:color="000000" w:sz="4" w:space="0"/>
              <w:bottom w:val="single" w:color="000000" w:sz="4" w:space="0"/>
              <w:right w:val="single" w:color="000000" w:sz="4" w:space="0"/>
            </w:tcBorders>
          </w:tcPr>
          <w:p w14:paraId="3F21180C">
            <w:pPr>
              <w:pStyle w:val="17"/>
              <w:spacing w:before="135"/>
              <w:ind w:left="633"/>
              <w:jc w:val="left"/>
              <w:rPr>
                <w:sz w:val="21"/>
              </w:rPr>
            </w:pPr>
            <w:r>
              <w:rPr>
                <w:sz w:val="21"/>
              </w:rPr>
              <w:t>声源名称</w:t>
            </w:r>
          </w:p>
        </w:tc>
        <w:tc>
          <w:tcPr>
            <w:tcW w:w="916" w:type="dxa"/>
            <w:vMerge w:val="restart"/>
            <w:tcBorders>
              <w:left w:val="single" w:color="000000" w:sz="4" w:space="0"/>
              <w:bottom w:val="single" w:color="000000" w:sz="4" w:space="0"/>
              <w:right w:val="single" w:color="000000" w:sz="4" w:space="0"/>
            </w:tcBorders>
          </w:tcPr>
          <w:p w14:paraId="45648372">
            <w:pPr>
              <w:pStyle w:val="17"/>
              <w:spacing w:before="135"/>
              <w:ind w:left="256"/>
              <w:jc w:val="left"/>
              <w:rPr>
                <w:sz w:val="21"/>
              </w:rPr>
            </w:pPr>
            <w:r>
              <w:rPr>
                <w:sz w:val="21"/>
              </w:rPr>
              <w:t>型号</w:t>
            </w:r>
          </w:p>
        </w:tc>
        <w:tc>
          <w:tcPr>
            <w:tcW w:w="3469" w:type="dxa"/>
            <w:gridSpan w:val="3"/>
            <w:tcBorders>
              <w:left w:val="single" w:color="000000" w:sz="4" w:space="0"/>
              <w:bottom w:val="single" w:color="000000" w:sz="4" w:space="0"/>
              <w:right w:val="single" w:color="000000" w:sz="4" w:space="0"/>
            </w:tcBorders>
          </w:tcPr>
          <w:p w14:paraId="620661E2">
            <w:pPr>
              <w:pStyle w:val="17"/>
              <w:spacing w:before="1" w:line="251" w:lineRule="exact"/>
              <w:ind w:left="1003"/>
              <w:jc w:val="left"/>
              <w:rPr>
                <w:rFonts w:ascii="Times New Roman" w:eastAsia="Times New Roman"/>
                <w:sz w:val="21"/>
              </w:rPr>
            </w:pPr>
            <w:r>
              <w:rPr>
                <w:sz w:val="21"/>
              </w:rPr>
              <w:t>空间相对位置</w:t>
            </w:r>
            <w:r>
              <w:rPr>
                <w:rFonts w:ascii="Times New Roman" w:eastAsia="Times New Roman"/>
                <w:sz w:val="21"/>
              </w:rPr>
              <w:t>/m</w:t>
            </w:r>
          </w:p>
        </w:tc>
        <w:tc>
          <w:tcPr>
            <w:tcW w:w="1639" w:type="dxa"/>
            <w:vMerge w:val="restart"/>
            <w:tcBorders>
              <w:left w:val="single" w:color="000000" w:sz="4" w:space="0"/>
              <w:bottom w:val="single" w:color="000000" w:sz="4" w:space="0"/>
              <w:right w:val="single" w:color="000000" w:sz="4" w:space="0"/>
            </w:tcBorders>
          </w:tcPr>
          <w:p w14:paraId="55C5FCE4">
            <w:pPr>
              <w:pStyle w:val="17"/>
              <w:spacing w:before="1"/>
              <w:ind w:left="186" w:right="163"/>
              <w:rPr>
                <w:sz w:val="21"/>
              </w:rPr>
            </w:pPr>
            <w:r>
              <w:rPr>
                <w:sz w:val="21"/>
              </w:rPr>
              <w:t>声源源强</w:t>
            </w:r>
          </w:p>
          <w:p w14:paraId="25675237">
            <w:pPr>
              <w:pStyle w:val="17"/>
              <w:spacing w:before="2" w:line="253" w:lineRule="exact"/>
              <w:ind w:left="188" w:right="163"/>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p>
        </w:tc>
        <w:tc>
          <w:tcPr>
            <w:tcW w:w="2274" w:type="dxa"/>
            <w:vMerge w:val="restart"/>
            <w:tcBorders>
              <w:left w:val="single" w:color="000000" w:sz="4" w:space="0"/>
              <w:bottom w:val="single" w:color="000000" w:sz="4" w:space="0"/>
              <w:right w:val="single" w:color="000000" w:sz="4" w:space="0"/>
            </w:tcBorders>
          </w:tcPr>
          <w:p w14:paraId="308C69FB">
            <w:pPr>
              <w:pStyle w:val="17"/>
              <w:spacing w:before="135"/>
              <w:ind w:left="515"/>
              <w:jc w:val="left"/>
              <w:rPr>
                <w:sz w:val="21"/>
              </w:rPr>
            </w:pPr>
            <w:r>
              <w:rPr>
                <w:sz w:val="21"/>
              </w:rPr>
              <w:t>声源控制措施</w:t>
            </w:r>
          </w:p>
        </w:tc>
        <w:tc>
          <w:tcPr>
            <w:tcW w:w="1514" w:type="dxa"/>
            <w:vMerge w:val="restart"/>
            <w:tcBorders>
              <w:left w:val="single" w:color="000000" w:sz="4" w:space="0"/>
              <w:bottom w:val="single" w:color="000000" w:sz="4" w:space="0"/>
              <w:right w:val="single" w:color="000000" w:sz="4" w:space="0"/>
            </w:tcBorders>
          </w:tcPr>
          <w:p w14:paraId="7DC69D4D">
            <w:pPr>
              <w:pStyle w:val="17"/>
              <w:spacing w:before="1"/>
              <w:ind w:left="125" w:right="97"/>
              <w:rPr>
                <w:sz w:val="21"/>
              </w:rPr>
            </w:pPr>
            <w:r>
              <w:rPr>
                <w:sz w:val="21"/>
              </w:rPr>
              <w:t>降噪量</w:t>
            </w:r>
          </w:p>
          <w:p w14:paraId="4D6921F0">
            <w:pPr>
              <w:pStyle w:val="17"/>
              <w:spacing w:before="2" w:line="253" w:lineRule="exact"/>
              <w:ind w:left="125" w:right="102"/>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p>
        </w:tc>
        <w:tc>
          <w:tcPr>
            <w:tcW w:w="1514" w:type="dxa"/>
            <w:vMerge w:val="restart"/>
            <w:tcBorders>
              <w:left w:val="single" w:color="000000" w:sz="4" w:space="0"/>
              <w:bottom w:val="single" w:color="000000" w:sz="4" w:space="0"/>
              <w:right w:val="nil"/>
            </w:tcBorders>
          </w:tcPr>
          <w:p w14:paraId="4410CEBB">
            <w:pPr>
              <w:pStyle w:val="17"/>
              <w:spacing w:before="135"/>
              <w:ind w:left="116"/>
              <w:jc w:val="left"/>
              <w:rPr>
                <w:sz w:val="21"/>
              </w:rPr>
            </w:pPr>
            <w:r>
              <w:rPr>
                <w:sz w:val="21"/>
              </w:rPr>
              <w:t>运行时段（</w:t>
            </w:r>
            <w:r>
              <w:rPr>
                <w:rFonts w:ascii="Times New Roman" w:eastAsia="Times New Roman"/>
                <w:sz w:val="21"/>
              </w:rPr>
              <w:t>h</w:t>
            </w:r>
            <w:r>
              <w:rPr>
                <w:sz w:val="21"/>
              </w:rPr>
              <w:t>）</w:t>
            </w:r>
          </w:p>
        </w:tc>
      </w:tr>
      <w:tr w14:paraId="2F2C09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751" w:type="dxa"/>
            <w:vMerge w:val="continue"/>
            <w:tcBorders>
              <w:top w:val="nil"/>
              <w:left w:val="nil"/>
              <w:bottom w:val="single" w:color="000000" w:sz="4" w:space="0"/>
              <w:right w:val="single" w:color="000000" w:sz="4" w:space="0"/>
            </w:tcBorders>
          </w:tcPr>
          <w:p w14:paraId="7D904255">
            <w:pPr>
              <w:rPr>
                <w:sz w:val="2"/>
                <w:szCs w:val="2"/>
              </w:rPr>
            </w:pPr>
          </w:p>
        </w:tc>
        <w:tc>
          <w:tcPr>
            <w:tcW w:w="2086" w:type="dxa"/>
            <w:vMerge w:val="continue"/>
            <w:tcBorders>
              <w:top w:val="nil"/>
              <w:left w:val="single" w:color="000000" w:sz="4" w:space="0"/>
              <w:bottom w:val="single" w:color="000000" w:sz="4" w:space="0"/>
              <w:right w:val="single" w:color="000000" w:sz="4" w:space="0"/>
            </w:tcBorders>
          </w:tcPr>
          <w:p w14:paraId="16EA8654">
            <w:pPr>
              <w:rPr>
                <w:sz w:val="2"/>
                <w:szCs w:val="2"/>
              </w:rPr>
            </w:pPr>
          </w:p>
        </w:tc>
        <w:tc>
          <w:tcPr>
            <w:tcW w:w="916" w:type="dxa"/>
            <w:vMerge w:val="continue"/>
            <w:tcBorders>
              <w:top w:val="nil"/>
              <w:left w:val="single" w:color="000000" w:sz="4" w:space="0"/>
              <w:bottom w:val="single" w:color="000000" w:sz="4" w:space="0"/>
              <w:right w:val="single" w:color="000000" w:sz="4" w:space="0"/>
            </w:tcBorders>
          </w:tcPr>
          <w:p w14:paraId="0C77EC92">
            <w:pPr>
              <w:rPr>
                <w:sz w:val="2"/>
                <w:szCs w:val="2"/>
              </w:rPr>
            </w:pPr>
          </w:p>
        </w:tc>
        <w:tc>
          <w:tcPr>
            <w:tcW w:w="1009" w:type="dxa"/>
            <w:tcBorders>
              <w:top w:val="single" w:color="000000" w:sz="4" w:space="0"/>
              <w:left w:val="single" w:color="000000" w:sz="4" w:space="0"/>
              <w:bottom w:val="single" w:color="000000" w:sz="4" w:space="0"/>
              <w:right w:val="single" w:color="000000" w:sz="4" w:space="0"/>
            </w:tcBorders>
          </w:tcPr>
          <w:p w14:paraId="01E28861">
            <w:pPr>
              <w:pStyle w:val="17"/>
              <w:spacing w:before="9" w:line="234" w:lineRule="exact"/>
              <w:ind w:left="437"/>
              <w:jc w:val="left"/>
              <w:rPr>
                <w:rFonts w:ascii="Times New Roman"/>
                <w:sz w:val="21"/>
              </w:rPr>
            </w:pPr>
            <w:r>
              <w:rPr>
                <w:rFonts w:ascii="Times New Roman"/>
                <w:w w:val="99"/>
                <w:sz w:val="21"/>
              </w:rPr>
              <w:t>X</w:t>
            </w:r>
          </w:p>
        </w:tc>
        <w:tc>
          <w:tcPr>
            <w:tcW w:w="1247" w:type="dxa"/>
            <w:tcBorders>
              <w:top w:val="single" w:color="000000" w:sz="4" w:space="0"/>
              <w:left w:val="single" w:color="000000" w:sz="4" w:space="0"/>
              <w:bottom w:val="single" w:color="000000" w:sz="4" w:space="0"/>
              <w:right w:val="single" w:color="000000" w:sz="4" w:space="0"/>
            </w:tcBorders>
          </w:tcPr>
          <w:p w14:paraId="49E3BD80">
            <w:pPr>
              <w:pStyle w:val="17"/>
              <w:spacing w:before="9" w:line="234" w:lineRule="exact"/>
              <w:ind w:left="25"/>
              <w:rPr>
                <w:rFonts w:ascii="Times New Roman"/>
                <w:sz w:val="21"/>
              </w:rPr>
            </w:pPr>
            <w:r>
              <w:rPr>
                <w:rFonts w:ascii="Times New Roman"/>
                <w:w w:val="99"/>
                <w:sz w:val="21"/>
              </w:rPr>
              <w:t>Y</w:t>
            </w:r>
          </w:p>
        </w:tc>
        <w:tc>
          <w:tcPr>
            <w:tcW w:w="1213" w:type="dxa"/>
            <w:tcBorders>
              <w:top w:val="single" w:color="000000" w:sz="4" w:space="0"/>
              <w:left w:val="single" w:color="000000" w:sz="4" w:space="0"/>
              <w:bottom w:val="single" w:color="000000" w:sz="4" w:space="0"/>
              <w:right w:val="single" w:color="000000" w:sz="4" w:space="0"/>
            </w:tcBorders>
          </w:tcPr>
          <w:p w14:paraId="52EB0426">
            <w:pPr>
              <w:pStyle w:val="17"/>
              <w:spacing w:before="9" w:line="234" w:lineRule="exact"/>
              <w:ind w:left="29"/>
              <w:rPr>
                <w:rFonts w:ascii="Times New Roman"/>
                <w:sz w:val="21"/>
              </w:rPr>
            </w:pPr>
            <w:r>
              <w:rPr>
                <w:rFonts w:ascii="Times New Roman"/>
                <w:w w:val="99"/>
                <w:sz w:val="21"/>
              </w:rPr>
              <w:t>Z</w:t>
            </w:r>
          </w:p>
        </w:tc>
        <w:tc>
          <w:tcPr>
            <w:tcW w:w="1639" w:type="dxa"/>
            <w:vMerge w:val="continue"/>
            <w:tcBorders>
              <w:top w:val="nil"/>
              <w:left w:val="single" w:color="000000" w:sz="4" w:space="0"/>
              <w:bottom w:val="single" w:color="000000" w:sz="4" w:space="0"/>
              <w:right w:val="single" w:color="000000" w:sz="4" w:space="0"/>
            </w:tcBorders>
          </w:tcPr>
          <w:p w14:paraId="288ED18E">
            <w:pPr>
              <w:rPr>
                <w:sz w:val="2"/>
                <w:szCs w:val="2"/>
              </w:rPr>
            </w:pPr>
          </w:p>
        </w:tc>
        <w:tc>
          <w:tcPr>
            <w:tcW w:w="2274" w:type="dxa"/>
            <w:vMerge w:val="continue"/>
            <w:tcBorders>
              <w:top w:val="nil"/>
              <w:left w:val="single" w:color="000000" w:sz="4" w:space="0"/>
              <w:bottom w:val="single" w:color="000000" w:sz="4" w:space="0"/>
              <w:right w:val="single" w:color="000000" w:sz="4" w:space="0"/>
            </w:tcBorders>
          </w:tcPr>
          <w:p w14:paraId="10EE6D49">
            <w:pPr>
              <w:rPr>
                <w:sz w:val="2"/>
                <w:szCs w:val="2"/>
              </w:rPr>
            </w:pPr>
          </w:p>
        </w:tc>
        <w:tc>
          <w:tcPr>
            <w:tcW w:w="1514" w:type="dxa"/>
            <w:vMerge w:val="continue"/>
            <w:tcBorders>
              <w:top w:val="nil"/>
              <w:left w:val="single" w:color="000000" w:sz="4" w:space="0"/>
              <w:bottom w:val="single" w:color="000000" w:sz="4" w:space="0"/>
              <w:right w:val="single" w:color="000000" w:sz="4" w:space="0"/>
            </w:tcBorders>
          </w:tcPr>
          <w:p w14:paraId="61CA0A04">
            <w:pPr>
              <w:rPr>
                <w:sz w:val="2"/>
                <w:szCs w:val="2"/>
              </w:rPr>
            </w:pPr>
          </w:p>
        </w:tc>
        <w:tc>
          <w:tcPr>
            <w:tcW w:w="1514" w:type="dxa"/>
            <w:vMerge w:val="continue"/>
            <w:tcBorders>
              <w:top w:val="nil"/>
              <w:left w:val="single" w:color="000000" w:sz="4" w:space="0"/>
              <w:bottom w:val="single" w:color="000000" w:sz="4" w:space="0"/>
              <w:right w:val="nil"/>
            </w:tcBorders>
          </w:tcPr>
          <w:p w14:paraId="1372A0E6">
            <w:pPr>
              <w:rPr>
                <w:sz w:val="2"/>
                <w:szCs w:val="2"/>
              </w:rPr>
            </w:pPr>
          </w:p>
        </w:tc>
      </w:tr>
      <w:tr w14:paraId="7F2B7B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51" w:type="dxa"/>
            <w:tcBorders>
              <w:top w:val="single" w:color="000000" w:sz="4" w:space="0"/>
              <w:left w:val="nil"/>
              <w:bottom w:val="single" w:color="000000" w:sz="4" w:space="0"/>
              <w:right w:val="single" w:color="000000" w:sz="4" w:space="0"/>
            </w:tcBorders>
          </w:tcPr>
          <w:p w14:paraId="255CB387">
            <w:pPr>
              <w:pStyle w:val="17"/>
              <w:spacing w:before="151"/>
              <w:ind w:left="34"/>
              <w:rPr>
                <w:rFonts w:ascii="Times New Roman"/>
                <w:sz w:val="21"/>
              </w:rPr>
            </w:pPr>
            <w:r>
              <w:rPr>
                <w:rFonts w:ascii="Times New Roman"/>
                <w:w w:val="99"/>
                <w:sz w:val="21"/>
              </w:rPr>
              <w:t>1</w:t>
            </w:r>
          </w:p>
        </w:tc>
        <w:tc>
          <w:tcPr>
            <w:tcW w:w="2086" w:type="dxa"/>
            <w:tcBorders>
              <w:top w:val="single" w:color="000000" w:sz="4" w:space="0"/>
              <w:left w:val="single" w:color="000000" w:sz="4" w:space="0"/>
              <w:bottom w:val="single" w:color="000000" w:sz="4" w:space="0"/>
              <w:right w:val="single" w:color="000000" w:sz="4" w:space="0"/>
            </w:tcBorders>
          </w:tcPr>
          <w:p w14:paraId="4E3EA5DD">
            <w:pPr>
              <w:pStyle w:val="17"/>
              <w:spacing w:before="134"/>
              <w:ind w:left="170" w:right="144"/>
              <w:rPr>
                <w:sz w:val="21"/>
              </w:rPr>
            </w:pPr>
            <w:r>
              <w:rPr>
                <w:rFonts w:ascii="Times New Roman" w:eastAsia="Times New Roman"/>
                <w:sz w:val="21"/>
              </w:rPr>
              <w:t xml:space="preserve">DA001 </w:t>
            </w:r>
            <w:r>
              <w:rPr>
                <w:sz w:val="21"/>
              </w:rPr>
              <w:t>排气筒风机</w:t>
            </w:r>
          </w:p>
        </w:tc>
        <w:tc>
          <w:tcPr>
            <w:tcW w:w="916" w:type="dxa"/>
            <w:tcBorders>
              <w:top w:val="single" w:color="000000" w:sz="4" w:space="0"/>
              <w:left w:val="single" w:color="000000" w:sz="4" w:space="0"/>
              <w:bottom w:val="single" w:color="000000" w:sz="4" w:space="0"/>
              <w:right w:val="single" w:color="000000" w:sz="4" w:space="0"/>
            </w:tcBorders>
          </w:tcPr>
          <w:p w14:paraId="44C24219">
            <w:pPr>
              <w:pStyle w:val="17"/>
              <w:spacing w:before="151"/>
              <w:ind w:left="29"/>
              <w:rPr>
                <w:rFonts w:ascii="Times New Roman"/>
                <w:sz w:val="21"/>
              </w:rPr>
            </w:pPr>
            <w:r>
              <w:rPr>
                <w:rFonts w:ascii="Times New Roman"/>
                <w:w w:val="99"/>
                <w:sz w:val="21"/>
              </w:rPr>
              <w:t>/</w:t>
            </w:r>
          </w:p>
        </w:tc>
        <w:tc>
          <w:tcPr>
            <w:tcW w:w="1009" w:type="dxa"/>
            <w:tcBorders>
              <w:top w:val="single" w:color="000000" w:sz="4" w:space="0"/>
              <w:left w:val="single" w:color="000000" w:sz="4" w:space="0"/>
              <w:bottom w:val="single" w:color="000000" w:sz="4" w:space="0"/>
              <w:right w:val="single" w:color="000000" w:sz="4" w:space="0"/>
            </w:tcBorders>
          </w:tcPr>
          <w:p w14:paraId="3079EEAE">
            <w:pPr>
              <w:pStyle w:val="17"/>
              <w:spacing w:before="151"/>
              <w:ind w:left="372"/>
              <w:jc w:val="left"/>
              <w:rPr>
                <w:rFonts w:ascii="Times New Roman"/>
                <w:sz w:val="21"/>
              </w:rPr>
            </w:pPr>
            <w:r>
              <w:rPr>
                <w:rFonts w:ascii="Times New Roman"/>
                <w:sz w:val="21"/>
              </w:rPr>
              <w:t>-19</w:t>
            </w:r>
          </w:p>
        </w:tc>
        <w:tc>
          <w:tcPr>
            <w:tcW w:w="1247" w:type="dxa"/>
            <w:tcBorders>
              <w:top w:val="single" w:color="000000" w:sz="4" w:space="0"/>
              <w:left w:val="single" w:color="000000" w:sz="4" w:space="0"/>
              <w:bottom w:val="single" w:color="000000" w:sz="4" w:space="0"/>
              <w:right w:val="single" w:color="000000" w:sz="4" w:space="0"/>
            </w:tcBorders>
          </w:tcPr>
          <w:p w14:paraId="10AE8CA5">
            <w:pPr>
              <w:pStyle w:val="17"/>
              <w:spacing w:before="151"/>
              <w:ind w:left="471" w:right="446"/>
              <w:rPr>
                <w:rFonts w:ascii="Times New Roman"/>
                <w:sz w:val="21"/>
              </w:rPr>
            </w:pPr>
            <w:r>
              <w:rPr>
                <w:rFonts w:ascii="Times New Roman"/>
                <w:sz w:val="21"/>
              </w:rPr>
              <w:t>-31</w:t>
            </w:r>
          </w:p>
        </w:tc>
        <w:tc>
          <w:tcPr>
            <w:tcW w:w="1213" w:type="dxa"/>
            <w:tcBorders>
              <w:top w:val="single" w:color="000000" w:sz="4" w:space="0"/>
              <w:left w:val="single" w:color="000000" w:sz="4" w:space="0"/>
              <w:bottom w:val="single" w:color="000000" w:sz="4" w:space="0"/>
              <w:right w:val="single" w:color="000000" w:sz="4" w:space="0"/>
            </w:tcBorders>
          </w:tcPr>
          <w:p w14:paraId="4B1A3B98">
            <w:pPr>
              <w:pStyle w:val="17"/>
              <w:spacing w:before="151"/>
              <w:ind w:left="29"/>
              <w:rPr>
                <w:rFonts w:ascii="Times New Roman"/>
                <w:sz w:val="21"/>
              </w:rPr>
            </w:pPr>
            <w:r>
              <w:rPr>
                <w:rFonts w:ascii="Times New Roman"/>
                <w:w w:val="99"/>
                <w:sz w:val="21"/>
              </w:rPr>
              <w:t>1</w:t>
            </w:r>
          </w:p>
        </w:tc>
        <w:tc>
          <w:tcPr>
            <w:tcW w:w="1639" w:type="dxa"/>
            <w:tcBorders>
              <w:top w:val="single" w:color="000000" w:sz="4" w:space="0"/>
              <w:left w:val="single" w:color="000000" w:sz="4" w:space="0"/>
              <w:bottom w:val="single" w:color="000000" w:sz="4" w:space="0"/>
              <w:right w:val="single" w:color="000000" w:sz="4" w:space="0"/>
            </w:tcBorders>
          </w:tcPr>
          <w:p w14:paraId="3C03A11D">
            <w:pPr>
              <w:pStyle w:val="17"/>
              <w:spacing w:before="151"/>
              <w:ind w:right="695"/>
              <w:jc w:val="right"/>
              <w:rPr>
                <w:rFonts w:ascii="Times New Roman"/>
                <w:sz w:val="21"/>
              </w:rPr>
            </w:pPr>
            <w:r>
              <w:rPr>
                <w:rFonts w:ascii="Times New Roman"/>
                <w:w w:val="95"/>
                <w:sz w:val="21"/>
              </w:rPr>
              <w:t>80</w:t>
            </w:r>
          </w:p>
        </w:tc>
        <w:tc>
          <w:tcPr>
            <w:tcW w:w="2274" w:type="dxa"/>
            <w:tcBorders>
              <w:top w:val="single" w:color="000000" w:sz="4" w:space="0"/>
              <w:left w:val="single" w:color="000000" w:sz="4" w:space="0"/>
              <w:bottom w:val="single" w:color="000000" w:sz="4" w:space="0"/>
              <w:right w:val="single" w:color="000000" w:sz="4" w:space="0"/>
            </w:tcBorders>
          </w:tcPr>
          <w:p w14:paraId="727E0D8B">
            <w:pPr>
              <w:pStyle w:val="17"/>
              <w:ind w:left="180" w:right="154"/>
              <w:rPr>
                <w:sz w:val="21"/>
              </w:rPr>
            </w:pPr>
            <w:r>
              <w:rPr>
                <w:sz w:val="21"/>
              </w:rPr>
              <w:t>低噪声设备、基础减</w:t>
            </w:r>
          </w:p>
          <w:p w14:paraId="016FDBAA">
            <w:pPr>
              <w:pStyle w:val="17"/>
              <w:spacing w:before="2" w:line="253" w:lineRule="exact"/>
              <w:ind w:left="178" w:right="154"/>
              <w:rPr>
                <w:sz w:val="21"/>
              </w:rPr>
            </w:pPr>
            <w:r>
              <w:rPr>
                <w:sz w:val="21"/>
              </w:rPr>
              <w:t>振、隔音消音</w:t>
            </w:r>
          </w:p>
        </w:tc>
        <w:tc>
          <w:tcPr>
            <w:tcW w:w="1514" w:type="dxa"/>
            <w:tcBorders>
              <w:top w:val="single" w:color="000000" w:sz="4" w:space="0"/>
              <w:left w:val="single" w:color="000000" w:sz="4" w:space="0"/>
              <w:bottom w:val="single" w:color="000000" w:sz="4" w:space="0"/>
              <w:right w:val="single" w:color="000000" w:sz="4" w:space="0"/>
            </w:tcBorders>
          </w:tcPr>
          <w:p w14:paraId="50BCD191">
            <w:pPr>
              <w:pStyle w:val="17"/>
              <w:spacing w:before="151"/>
              <w:ind w:left="125" w:right="98"/>
              <w:rPr>
                <w:rFonts w:ascii="Times New Roman"/>
                <w:sz w:val="21"/>
              </w:rPr>
            </w:pPr>
            <w:r>
              <w:rPr>
                <w:rFonts w:ascii="Times New Roman"/>
                <w:sz w:val="21"/>
              </w:rPr>
              <w:t>30</w:t>
            </w:r>
          </w:p>
        </w:tc>
        <w:tc>
          <w:tcPr>
            <w:tcW w:w="1514" w:type="dxa"/>
            <w:tcBorders>
              <w:top w:val="single" w:color="000000" w:sz="4" w:space="0"/>
              <w:left w:val="single" w:color="000000" w:sz="4" w:space="0"/>
              <w:bottom w:val="single" w:color="000000" w:sz="4" w:space="0"/>
              <w:right w:val="nil"/>
            </w:tcBorders>
          </w:tcPr>
          <w:p w14:paraId="623F8288">
            <w:pPr>
              <w:pStyle w:val="17"/>
              <w:spacing w:before="151"/>
              <w:ind w:left="472" w:right="449"/>
              <w:rPr>
                <w:rFonts w:ascii="Times New Roman"/>
                <w:sz w:val="21"/>
              </w:rPr>
            </w:pPr>
            <w:r>
              <w:rPr>
                <w:rFonts w:ascii="Times New Roman"/>
                <w:sz w:val="21"/>
              </w:rPr>
              <w:t>4800</w:t>
            </w:r>
          </w:p>
        </w:tc>
      </w:tr>
      <w:tr w14:paraId="24C8BC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751" w:type="dxa"/>
            <w:tcBorders>
              <w:top w:val="single" w:color="000000" w:sz="4" w:space="0"/>
              <w:left w:val="nil"/>
              <w:bottom w:val="single" w:color="000000" w:sz="4" w:space="0"/>
              <w:right w:val="single" w:color="000000" w:sz="4" w:space="0"/>
            </w:tcBorders>
          </w:tcPr>
          <w:p w14:paraId="1D65CBD0">
            <w:pPr>
              <w:pStyle w:val="17"/>
              <w:spacing w:before="150"/>
              <w:ind w:left="34"/>
              <w:rPr>
                <w:rFonts w:ascii="Times New Roman"/>
                <w:sz w:val="21"/>
              </w:rPr>
            </w:pPr>
            <w:r>
              <w:rPr>
                <w:rFonts w:ascii="Times New Roman"/>
                <w:w w:val="99"/>
                <w:sz w:val="21"/>
              </w:rPr>
              <w:t>2</w:t>
            </w:r>
          </w:p>
        </w:tc>
        <w:tc>
          <w:tcPr>
            <w:tcW w:w="2086" w:type="dxa"/>
            <w:tcBorders>
              <w:top w:val="single" w:color="000000" w:sz="4" w:space="0"/>
              <w:left w:val="single" w:color="000000" w:sz="4" w:space="0"/>
              <w:bottom w:val="single" w:color="000000" w:sz="4" w:space="0"/>
              <w:right w:val="single" w:color="000000" w:sz="4" w:space="0"/>
            </w:tcBorders>
          </w:tcPr>
          <w:p w14:paraId="31FA2FCA">
            <w:pPr>
              <w:pStyle w:val="17"/>
              <w:spacing w:before="134"/>
              <w:ind w:left="170" w:right="144"/>
              <w:rPr>
                <w:sz w:val="21"/>
              </w:rPr>
            </w:pPr>
            <w:r>
              <w:rPr>
                <w:rFonts w:ascii="Times New Roman" w:eastAsia="Times New Roman"/>
                <w:sz w:val="21"/>
              </w:rPr>
              <w:t xml:space="preserve">DA002 </w:t>
            </w:r>
            <w:r>
              <w:rPr>
                <w:sz w:val="21"/>
              </w:rPr>
              <w:t>排气筒风机</w:t>
            </w:r>
          </w:p>
        </w:tc>
        <w:tc>
          <w:tcPr>
            <w:tcW w:w="916" w:type="dxa"/>
            <w:tcBorders>
              <w:top w:val="single" w:color="000000" w:sz="4" w:space="0"/>
              <w:left w:val="single" w:color="000000" w:sz="4" w:space="0"/>
              <w:bottom w:val="single" w:color="000000" w:sz="4" w:space="0"/>
              <w:right w:val="single" w:color="000000" w:sz="4" w:space="0"/>
            </w:tcBorders>
          </w:tcPr>
          <w:p w14:paraId="2A17B090">
            <w:pPr>
              <w:pStyle w:val="17"/>
              <w:spacing w:before="150"/>
              <w:ind w:left="29"/>
              <w:rPr>
                <w:rFonts w:ascii="Times New Roman"/>
                <w:sz w:val="21"/>
              </w:rPr>
            </w:pPr>
            <w:r>
              <w:rPr>
                <w:rFonts w:ascii="Times New Roman"/>
                <w:w w:val="99"/>
                <w:sz w:val="21"/>
              </w:rPr>
              <w:t>/</w:t>
            </w:r>
          </w:p>
        </w:tc>
        <w:tc>
          <w:tcPr>
            <w:tcW w:w="1009" w:type="dxa"/>
            <w:tcBorders>
              <w:top w:val="single" w:color="000000" w:sz="4" w:space="0"/>
              <w:left w:val="single" w:color="000000" w:sz="4" w:space="0"/>
              <w:bottom w:val="single" w:color="000000" w:sz="4" w:space="0"/>
              <w:right w:val="single" w:color="000000" w:sz="4" w:space="0"/>
            </w:tcBorders>
          </w:tcPr>
          <w:p w14:paraId="0D224254">
            <w:pPr>
              <w:pStyle w:val="17"/>
              <w:spacing w:before="150"/>
              <w:ind w:left="372"/>
              <w:jc w:val="left"/>
              <w:rPr>
                <w:rFonts w:ascii="Times New Roman"/>
                <w:sz w:val="21"/>
              </w:rPr>
            </w:pPr>
            <w:r>
              <w:rPr>
                <w:rFonts w:ascii="Times New Roman"/>
                <w:sz w:val="21"/>
              </w:rPr>
              <w:t>-10</w:t>
            </w:r>
          </w:p>
        </w:tc>
        <w:tc>
          <w:tcPr>
            <w:tcW w:w="1247" w:type="dxa"/>
            <w:tcBorders>
              <w:top w:val="single" w:color="000000" w:sz="4" w:space="0"/>
              <w:left w:val="single" w:color="000000" w:sz="4" w:space="0"/>
              <w:bottom w:val="single" w:color="000000" w:sz="4" w:space="0"/>
              <w:right w:val="single" w:color="000000" w:sz="4" w:space="0"/>
            </w:tcBorders>
          </w:tcPr>
          <w:p w14:paraId="7E111D8B">
            <w:pPr>
              <w:pStyle w:val="17"/>
              <w:spacing w:before="150"/>
              <w:ind w:left="471" w:right="446"/>
              <w:rPr>
                <w:rFonts w:ascii="Times New Roman"/>
                <w:sz w:val="21"/>
              </w:rPr>
            </w:pPr>
            <w:r>
              <w:rPr>
                <w:rFonts w:ascii="Times New Roman"/>
                <w:sz w:val="21"/>
              </w:rPr>
              <w:t>-28</w:t>
            </w:r>
          </w:p>
        </w:tc>
        <w:tc>
          <w:tcPr>
            <w:tcW w:w="1213" w:type="dxa"/>
            <w:tcBorders>
              <w:top w:val="single" w:color="000000" w:sz="4" w:space="0"/>
              <w:left w:val="single" w:color="000000" w:sz="4" w:space="0"/>
              <w:bottom w:val="single" w:color="000000" w:sz="4" w:space="0"/>
              <w:right w:val="single" w:color="000000" w:sz="4" w:space="0"/>
            </w:tcBorders>
          </w:tcPr>
          <w:p w14:paraId="476B51FA">
            <w:pPr>
              <w:pStyle w:val="17"/>
              <w:spacing w:before="150"/>
              <w:ind w:left="29"/>
              <w:rPr>
                <w:rFonts w:ascii="Times New Roman"/>
                <w:sz w:val="21"/>
              </w:rPr>
            </w:pPr>
            <w:r>
              <w:rPr>
                <w:rFonts w:ascii="Times New Roman"/>
                <w:w w:val="99"/>
                <w:sz w:val="21"/>
              </w:rPr>
              <w:t>1</w:t>
            </w:r>
          </w:p>
        </w:tc>
        <w:tc>
          <w:tcPr>
            <w:tcW w:w="1639" w:type="dxa"/>
            <w:tcBorders>
              <w:top w:val="single" w:color="000000" w:sz="4" w:space="0"/>
              <w:left w:val="single" w:color="000000" w:sz="4" w:space="0"/>
              <w:bottom w:val="single" w:color="000000" w:sz="4" w:space="0"/>
              <w:right w:val="single" w:color="000000" w:sz="4" w:space="0"/>
            </w:tcBorders>
          </w:tcPr>
          <w:p w14:paraId="7EDAAEB9">
            <w:pPr>
              <w:pStyle w:val="17"/>
              <w:spacing w:before="150"/>
              <w:ind w:right="695"/>
              <w:jc w:val="right"/>
              <w:rPr>
                <w:rFonts w:ascii="Times New Roman"/>
                <w:sz w:val="21"/>
              </w:rPr>
            </w:pPr>
            <w:r>
              <w:rPr>
                <w:rFonts w:ascii="Times New Roman"/>
                <w:w w:val="95"/>
                <w:sz w:val="21"/>
              </w:rPr>
              <w:t>80</w:t>
            </w:r>
          </w:p>
        </w:tc>
        <w:tc>
          <w:tcPr>
            <w:tcW w:w="2274" w:type="dxa"/>
            <w:tcBorders>
              <w:top w:val="single" w:color="000000" w:sz="4" w:space="0"/>
              <w:left w:val="single" w:color="000000" w:sz="4" w:space="0"/>
              <w:bottom w:val="single" w:color="000000" w:sz="4" w:space="0"/>
              <w:right w:val="single" w:color="000000" w:sz="4" w:space="0"/>
            </w:tcBorders>
          </w:tcPr>
          <w:p w14:paraId="55016855">
            <w:pPr>
              <w:pStyle w:val="17"/>
              <w:spacing w:line="269" w:lineRule="exact"/>
              <w:ind w:left="180" w:right="154"/>
              <w:rPr>
                <w:sz w:val="21"/>
              </w:rPr>
            </w:pPr>
            <w:r>
              <w:rPr>
                <w:sz w:val="21"/>
              </w:rPr>
              <w:t>低噪声设备、基础减</w:t>
            </w:r>
          </w:p>
          <w:p w14:paraId="374B93F1">
            <w:pPr>
              <w:pStyle w:val="17"/>
              <w:spacing w:before="2" w:line="253" w:lineRule="exact"/>
              <w:ind w:left="178" w:right="154"/>
              <w:rPr>
                <w:sz w:val="21"/>
              </w:rPr>
            </w:pPr>
            <w:r>
              <w:rPr>
                <w:sz w:val="21"/>
              </w:rPr>
              <w:t>振、隔音消音</w:t>
            </w:r>
          </w:p>
        </w:tc>
        <w:tc>
          <w:tcPr>
            <w:tcW w:w="1514" w:type="dxa"/>
            <w:tcBorders>
              <w:top w:val="single" w:color="000000" w:sz="4" w:space="0"/>
              <w:left w:val="single" w:color="000000" w:sz="4" w:space="0"/>
              <w:bottom w:val="single" w:color="000000" w:sz="4" w:space="0"/>
              <w:right w:val="single" w:color="000000" w:sz="4" w:space="0"/>
            </w:tcBorders>
          </w:tcPr>
          <w:p w14:paraId="6E3FF6B8">
            <w:pPr>
              <w:pStyle w:val="17"/>
              <w:spacing w:before="150"/>
              <w:ind w:left="125" w:right="98"/>
              <w:rPr>
                <w:rFonts w:ascii="Times New Roman"/>
                <w:sz w:val="21"/>
              </w:rPr>
            </w:pPr>
            <w:r>
              <w:rPr>
                <w:rFonts w:ascii="Times New Roman"/>
                <w:sz w:val="21"/>
              </w:rPr>
              <w:t>30</w:t>
            </w:r>
          </w:p>
        </w:tc>
        <w:tc>
          <w:tcPr>
            <w:tcW w:w="1514" w:type="dxa"/>
            <w:tcBorders>
              <w:top w:val="single" w:color="000000" w:sz="4" w:space="0"/>
              <w:left w:val="single" w:color="000000" w:sz="4" w:space="0"/>
              <w:bottom w:val="single" w:color="000000" w:sz="4" w:space="0"/>
              <w:right w:val="nil"/>
            </w:tcBorders>
          </w:tcPr>
          <w:p w14:paraId="1E37BD45">
            <w:pPr>
              <w:pStyle w:val="17"/>
              <w:spacing w:before="150"/>
              <w:ind w:left="472" w:right="449"/>
              <w:rPr>
                <w:rFonts w:ascii="Times New Roman"/>
                <w:sz w:val="21"/>
              </w:rPr>
            </w:pPr>
            <w:r>
              <w:rPr>
                <w:rFonts w:ascii="Times New Roman"/>
                <w:sz w:val="21"/>
              </w:rPr>
              <w:t>4800</w:t>
            </w:r>
          </w:p>
        </w:tc>
      </w:tr>
      <w:tr w14:paraId="56ED27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51" w:type="dxa"/>
            <w:tcBorders>
              <w:top w:val="single" w:color="000000" w:sz="4" w:space="0"/>
              <w:left w:val="nil"/>
              <w:right w:val="single" w:color="000000" w:sz="4" w:space="0"/>
            </w:tcBorders>
          </w:tcPr>
          <w:p w14:paraId="01261FB5">
            <w:pPr>
              <w:pStyle w:val="17"/>
              <w:spacing w:before="35"/>
              <w:ind w:left="34"/>
              <w:rPr>
                <w:rFonts w:ascii="Times New Roman"/>
                <w:sz w:val="21"/>
              </w:rPr>
            </w:pPr>
            <w:r>
              <w:rPr>
                <w:rFonts w:ascii="Times New Roman"/>
                <w:w w:val="99"/>
                <w:sz w:val="21"/>
              </w:rPr>
              <w:t>3</w:t>
            </w:r>
          </w:p>
        </w:tc>
        <w:tc>
          <w:tcPr>
            <w:tcW w:w="2086" w:type="dxa"/>
            <w:tcBorders>
              <w:top w:val="single" w:color="000000" w:sz="4" w:space="0"/>
              <w:left w:val="single" w:color="000000" w:sz="4" w:space="0"/>
              <w:right w:val="single" w:color="000000" w:sz="4" w:space="0"/>
            </w:tcBorders>
          </w:tcPr>
          <w:p w14:paraId="1140D470">
            <w:pPr>
              <w:pStyle w:val="17"/>
              <w:spacing w:before="19"/>
              <w:ind w:left="170" w:right="144"/>
              <w:rPr>
                <w:sz w:val="21"/>
              </w:rPr>
            </w:pPr>
            <w:r>
              <w:rPr>
                <w:sz w:val="21"/>
              </w:rPr>
              <w:t>冷却塔</w:t>
            </w:r>
          </w:p>
        </w:tc>
        <w:tc>
          <w:tcPr>
            <w:tcW w:w="916" w:type="dxa"/>
            <w:tcBorders>
              <w:top w:val="single" w:color="000000" w:sz="4" w:space="0"/>
              <w:left w:val="single" w:color="000000" w:sz="4" w:space="0"/>
              <w:right w:val="single" w:color="000000" w:sz="4" w:space="0"/>
            </w:tcBorders>
          </w:tcPr>
          <w:p w14:paraId="52138E01">
            <w:pPr>
              <w:pStyle w:val="17"/>
              <w:spacing w:before="35"/>
              <w:ind w:left="29"/>
              <w:rPr>
                <w:rFonts w:ascii="Times New Roman"/>
                <w:sz w:val="21"/>
              </w:rPr>
            </w:pPr>
            <w:r>
              <w:rPr>
                <w:rFonts w:ascii="Times New Roman"/>
                <w:w w:val="99"/>
                <w:sz w:val="21"/>
              </w:rPr>
              <w:t>/</w:t>
            </w:r>
          </w:p>
        </w:tc>
        <w:tc>
          <w:tcPr>
            <w:tcW w:w="1009" w:type="dxa"/>
            <w:tcBorders>
              <w:top w:val="single" w:color="000000" w:sz="4" w:space="0"/>
              <w:left w:val="single" w:color="000000" w:sz="4" w:space="0"/>
              <w:right w:val="single" w:color="000000" w:sz="4" w:space="0"/>
            </w:tcBorders>
          </w:tcPr>
          <w:p w14:paraId="389626BD">
            <w:pPr>
              <w:pStyle w:val="17"/>
              <w:spacing w:before="35"/>
              <w:ind w:left="408"/>
              <w:jc w:val="left"/>
              <w:rPr>
                <w:rFonts w:ascii="Times New Roman"/>
                <w:sz w:val="21"/>
              </w:rPr>
            </w:pPr>
            <w:r>
              <w:rPr>
                <w:rFonts w:ascii="Times New Roman"/>
                <w:sz w:val="21"/>
              </w:rPr>
              <w:t>21</w:t>
            </w:r>
          </w:p>
        </w:tc>
        <w:tc>
          <w:tcPr>
            <w:tcW w:w="1247" w:type="dxa"/>
            <w:tcBorders>
              <w:top w:val="single" w:color="000000" w:sz="4" w:space="0"/>
              <w:left w:val="single" w:color="000000" w:sz="4" w:space="0"/>
              <w:right w:val="single" w:color="000000" w:sz="4" w:space="0"/>
            </w:tcBorders>
          </w:tcPr>
          <w:p w14:paraId="2E2DB189">
            <w:pPr>
              <w:pStyle w:val="17"/>
              <w:spacing w:before="35"/>
              <w:ind w:left="471" w:right="446"/>
              <w:rPr>
                <w:rFonts w:ascii="Times New Roman"/>
                <w:sz w:val="21"/>
              </w:rPr>
            </w:pPr>
            <w:r>
              <w:rPr>
                <w:rFonts w:ascii="Times New Roman"/>
                <w:sz w:val="21"/>
              </w:rPr>
              <w:t>-18</w:t>
            </w:r>
          </w:p>
        </w:tc>
        <w:tc>
          <w:tcPr>
            <w:tcW w:w="1213" w:type="dxa"/>
            <w:tcBorders>
              <w:top w:val="single" w:color="000000" w:sz="4" w:space="0"/>
              <w:left w:val="single" w:color="000000" w:sz="4" w:space="0"/>
              <w:right w:val="single" w:color="000000" w:sz="4" w:space="0"/>
            </w:tcBorders>
          </w:tcPr>
          <w:p w14:paraId="731AEF72">
            <w:pPr>
              <w:pStyle w:val="17"/>
              <w:spacing w:before="35"/>
              <w:ind w:left="29"/>
              <w:rPr>
                <w:rFonts w:ascii="Times New Roman"/>
                <w:sz w:val="21"/>
              </w:rPr>
            </w:pPr>
            <w:r>
              <w:rPr>
                <w:rFonts w:ascii="Times New Roman"/>
                <w:w w:val="99"/>
                <w:sz w:val="21"/>
              </w:rPr>
              <w:t>1</w:t>
            </w:r>
          </w:p>
        </w:tc>
        <w:tc>
          <w:tcPr>
            <w:tcW w:w="1639" w:type="dxa"/>
            <w:tcBorders>
              <w:top w:val="single" w:color="000000" w:sz="4" w:space="0"/>
              <w:left w:val="single" w:color="000000" w:sz="4" w:space="0"/>
              <w:right w:val="single" w:color="000000" w:sz="4" w:space="0"/>
            </w:tcBorders>
          </w:tcPr>
          <w:p w14:paraId="1F410891">
            <w:pPr>
              <w:pStyle w:val="17"/>
              <w:spacing w:before="35"/>
              <w:ind w:right="695"/>
              <w:jc w:val="right"/>
              <w:rPr>
                <w:rFonts w:ascii="Times New Roman"/>
                <w:sz w:val="21"/>
              </w:rPr>
            </w:pPr>
            <w:r>
              <w:rPr>
                <w:rFonts w:ascii="Times New Roman"/>
                <w:w w:val="95"/>
                <w:sz w:val="21"/>
              </w:rPr>
              <w:t>70</w:t>
            </w:r>
          </w:p>
        </w:tc>
        <w:tc>
          <w:tcPr>
            <w:tcW w:w="2274" w:type="dxa"/>
            <w:tcBorders>
              <w:top w:val="single" w:color="000000" w:sz="4" w:space="0"/>
              <w:left w:val="single" w:color="000000" w:sz="4" w:space="0"/>
              <w:right w:val="single" w:color="000000" w:sz="4" w:space="0"/>
            </w:tcBorders>
          </w:tcPr>
          <w:p w14:paraId="73367287">
            <w:pPr>
              <w:pStyle w:val="17"/>
              <w:spacing w:before="19"/>
              <w:ind w:left="117"/>
              <w:jc w:val="left"/>
              <w:rPr>
                <w:sz w:val="21"/>
              </w:rPr>
            </w:pPr>
            <w:r>
              <w:rPr>
                <w:sz w:val="21"/>
              </w:rPr>
              <w:t>低噪声设备、基础减振</w:t>
            </w:r>
          </w:p>
        </w:tc>
        <w:tc>
          <w:tcPr>
            <w:tcW w:w="1514" w:type="dxa"/>
            <w:tcBorders>
              <w:top w:val="single" w:color="000000" w:sz="4" w:space="0"/>
              <w:left w:val="single" w:color="000000" w:sz="4" w:space="0"/>
              <w:right w:val="single" w:color="000000" w:sz="4" w:space="0"/>
            </w:tcBorders>
          </w:tcPr>
          <w:p w14:paraId="10041461">
            <w:pPr>
              <w:pStyle w:val="17"/>
              <w:spacing w:before="35"/>
              <w:ind w:left="125" w:right="98"/>
              <w:rPr>
                <w:rFonts w:ascii="Times New Roman"/>
                <w:sz w:val="21"/>
              </w:rPr>
            </w:pPr>
            <w:r>
              <w:rPr>
                <w:rFonts w:ascii="Times New Roman"/>
                <w:sz w:val="21"/>
              </w:rPr>
              <w:t>15</w:t>
            </w:r>
          </w:p>
        </w:tc>
        <w:tc>
          <w:tcPr>
            <w:tcW w:w="1514" w:type="dxa"/>
            <w:tcBorders>
              <w:top w:val="single" w:color="000000" w:sz="4" w:space="0"/>
              <w:left w:val="single" w:color="000000" w:sz="4" w:space="0"/>
              <w:right w:val="nil"/>
            </w:tcBorders>
          </w:tcPr>
          <w:p w14:paraId="3A7E5172">
            <w:pPr>
              <w:pStyle w:val="17"/>
              <w:spacing w:before="35"/>
              <w:ind w:left="472" w:right="449"/>
              <w:rPr>
                <w:rFonts w:ascii="Times New Roman"/>
                <w:sz w:val="21"/>
              </w:rPr>
            </w:pPr>
            <w:r>
              <w:rPr>
                <w:rFonts w:ascii="Times New Roman"/>
                <w:sz w:val="21"/>
              </w:rPr>
              <w:t>4800</w:t>
            </w:r>
          </w:p>
        </w:tc>
      </w:tr>
    </w:tbl>
    <w:p w14:paraId="78E47621">
      <w:pPr>
        <w:pStyle w:val="10"/>
        <w:rPr>
          <w:b/>
          <w:sz w:val="26"/>
        </w:rPr>
      </w:pPr>
    </w:p>
    <w:p w14:paraId="5F19EDF7">
      <w:pPr>
        <w:pStyle w:val="10"/>
        <w:spacing w:before="12"/>
        <w:rPr>
          <w:b/>
          <w:sz w:val="23"/>
        </w:rPr>
      </w:pPr>
    </w:p>
    <w:p w14:paraId="3C1144B2">
      <w:pPr>
        <w:spacing w:before="0"/>
        <w:ind w:left="4552" w:right="4570" w:firstLine="0"/>
        <w:jc w:val="center"/>
        <w:rPr>
          <w:rFonts w:ascii="Times New Roman"/>
          <w:sz w:val="21"/>
        </w:rPr>
      </w:pPr>
      <w:r>
        <w:rPr>
          <w:rFonts w:ascii="Times New Roman"/>
          <w:sz w:val="21"/>
        </w:rPr>
        <w:t>58</w:t>
      </w:r>
    </w:p>
    <w:p w14:paraId="3A3E535B">
      <w:pPr>
        <w:spacing w:after="0"/>
        <w:jc w:val="center"/>
        <w:rPr>
          <w:rFonts w:ascii="Times New Roman"/>
          <w:sz w:val="21"/>
        </w:rPr>
        <w:sectPr>
          <w:footerReference r:id="rId13" w:type="default"/>
          <w:pgSz w:w="16840" w:h="11910" w:orient="landscape"/>
          <w:pgMar w:top="1100" w:right="1200" w:bottom="280" w:left="1220" w:header="0" w:footer="0" w:gutter="0"/>
          <w:cols w:space="720" w:num="1"/>
        </w:sectPr>
      </w:pPr>
    </w:p>
    <w:p w14:paraId="0EAF11CA">
      <w:pPr>
        <w:pStyle w:val="16"/>
        <w:numPr>
          <w:ilvl w:val="2"/>
          <w:numId w:val="10"/>
        </w:numPr>
        <w:tabs>
          <w:tab w:val="left" w:pos="849"/>
        </w:tabs>
        <w:spacing w:before="55" w:after="0" w:line="240" w:lineRule="auto"/>
        <w:ind w:left="848" w:right="0" w:hanging="628"/>
        <w:jc w:val="left"/>
        <w:rPr>
          <w:b/>
          <w:sz w:val="28"/>
        </w:rPr>
      </w:pPr>
      <w:r>
        <w:rPr>
          <w:b/>
          <w:sz w:val="28"/>
        </w:rPr>
        <w:t>固体废物污染源</w:t>
      </w:r>
    </w:p>
    <w:p w14:paraId="013F8140">
      <w:pPr>
        <w:pStyle w:val="10"/>
        <w:spacing w:before="212" w:line="364" w:lineRule="auto"/>
        <w:ind w:left="220" w:right="237" w:firstLine="480"/>
        <w:jc w:val="both"/>
      </w:pPr>
      <w:r>
        <w:t>本项目产生的固体废物主要包括生活垃圾、收集除尘灰、一般废包装材料、</w:t>
      </w:r>
      <w:r>
        <w:rPr>
          <w:spacing w:val="-16"/>
        </w:rPr>
        <w:t>造粒杂质、废滤网、边角料、不合格品、废润滑油、含油废抹布手套、废活性炭、废过滤棉等。</w:t>
      </w:r>
    </w:p>
    <w:p w14:paraId="192B8828">
      <w:pPr>
        <w:pStyle w:val="10"/>
        <w:spacing w:before="2"/>
        <w:ind w:left="700"/>
      </w:pPr>
      <w:r>
        <w:rPr>
          <w:rFonts w:ascii="Times New Roman" w:eastAsia="Times New Roman"/>
        </w:rPr>
        <w:t>1</w:t>
      </w:r>
      <w:r>
        <w:t>、生活垃圾</w:t>
      </w:r>
    </w:p>
    <w:p w14:paraId="49A6F236">
      <w:pPr>
        <w:pStyle w:val="10"/>
        <w:spacing w:before="160" w:line="364" w:lineRule="auto"/>
        <w:ind w:left="220" w:right="237" w:firstLine="480"/>
      </w:pPr>
      <w:r>
        <w:rPr>
          <w:spacing w:val="-8"/>
        </w:rPr>
        <w:t xml:space="preserve">本项目劳动定员 </w:t>
      </w:r>
      <w:r>
        <w:rPr>
          <w:rFonts w:ascii="Times New Roman" w:hAnsi="Times New Roman" w:eastAsia="Times New Roman"/>
        </w:rPr>
        <w:t xml:space="preserve">20 </w:t>
      </w:r>
      <w:r>
        <w:rPr>
          <w:spacing w:val="-8"/>
        </w:rPr>
        <w:t xml:space="preserve">人，年工作天数 </w:t>
      </w:r>
      <w:r>
        <w:rPr>
          <w:rFonts w:ascii="Times New Roman" w:hAnsi="Times New Roman" w:eastAsia="Times New Roman"/>
        </w:rPr>
        <w:t xml:space="preserve">300 </w:t>
      </w:r>
      <w:r>
        <w:rPr>
          <w:spacing w:val="-7"/>
        </w:rPr>
        <w:t xml:space="preserve">天，生活垃圾产生按 </w:t>
      </w:r>
      <w:r>
        <w:rPr>
          <w:rFonts w:ascii="Times New Roman" w:hAnsi="Times New Roman" w:eastAsia="Times New Roman"/>
        </w:rPr>
        <w:t>0.5kg/</w:t>
      </w:r>
      <w:r>
        <w:t>（人</w:t>
      </w:r>
      <w:r>
        <w:rPr>
          <w:rFonts w:ascii="Times New Roman" w:hAnsi="Times New Roman" w:eastAsia="Times New Roman"/>
        </w:rPr>
        <w:t>·d</w:t>
      </w:r>
      <w:r>
        <w:t xml:space="preserve">） </w:t>
      </w:r>
      <w:r>
        <w:rPr>
          <w:spacing w:val="-6"/>
        </w:rPr>
        <w:t xml:space="preserve">计，则生活垃圾产生量为 </w:t>
      </w:r>
      <w:r>
        <w:rPr>
          <w:rFonts w:ascii="Times New Roman" w:hAnsi="Times New Roman" w:eastAsia="Times New Roman"/>
        </w:rPr>
        <w:t>3.0t/a</w:t>
      </w:r>
      <w:r>
        <w:t>，经收集后交由环卫部门处理。</w:t>
      </w:r>
    </w:p>
    <w:p w14:paraId="006E9FEC">
      <w:pPr>
        <w:pStyle w:val="10"/>
        <w:spacing w:before="2"/>
        <w:ind w:left="700"/>
      </w:pPr>
      <w:r>
        <w:rPr>
          <w:rFonts w:ascii="Times New Roman" w:eastAsia="Times New Roman"/>
        </w:rPr>
        <w:t>2</w:t>
      </w:r>
      <w:r>
        <w:t>、收集除尘灰</w:t>
      </w:r>
    </w:p>
    <w:p w14:paraId="2495741E">
      <w:pPr>
        <w:pStyle w:val="10"/>
        <w:spacing w:before="160" w:line="364" w:lineRule="auto"/>
        <w:ind w:left="220" w:right="303" w:firstLine="480"/>
      </w:pPr>
      <w:r>
        <w:t xml:space="preserve">根据工程分析可知，项目布袋除尘器收集的粉尘量为 </w:t>
      </w:r>
      <w:r>
        <w:rPr>
          <w:rFonts w:ascii="Times New Roman" w:eastAsia="Times New Roman"/>
        </w:rPr>
        <w:t>2.335t/a</w:t>
      </w:r>
      <w:r>
        <w:t>，主要成分为塑料粉尘及原辅材料，收集后可回用于生产。</w:t>
      </w:r>
    </w:p>
    <w:p w14:paraId="34F5373B">
      <w:pPr>
        <w:pStyle w:val="10"/>
        <w:spacing w:before="1"/>
        <w:ind w:left="700"/>
      </w:pPr>
      <w:r>
        <w:rPr>
          <w:rFonts w:ascii="Times New Roman" w:eastAsia="Times New Roman"/>
        </w:rPr>
        <w:t>3</w:t>
      </w:r>
      <w:r>
        <w:t>、一般废包装材料</w:t>
      </w:r>
    </w:p>
    <w:p w14:paraId="7C0040C5">
      <w:pPr>
        <w:pStyle w:val="10"/>
        <w:spacing w:before="161"/>
        <w:ind w:left="700"/>
      </w:pPr>
      <w:r>
        <w:t>项目原辅材料解包及成品包装过程中会产生一定量的废包装材料，产生量为</w:t>
      </w:r>
    </w:p>
    <w:p w14:paraId="133B48C2">
      <w:pPr>
        <w:pStyle w:val="10"/>
        <w:spacing w:before="160"/>
        <w:ind w:left="220"/>
      </w:pPr>
      <w:r>
        <w:rPr>
          <w:rFonts w:ascii="Times New Roman" w:eastAsia="Times New Roman"/>
        </w:rPr>
        <w:t>1.0t/a</w:t>
      </w:r>
      <w:r>
        <w:t>，属于一般固体废物，收集后可外售物资回收公司。</w:t>
      </w:r>
    </w:p>
    <w:p w14:paraId="45B7B49E">
      <w:pPr>
        <w:pStyle w:val="10"/>
        <w:spacing w:before="161"/>
        <w:ind w:left="700"/>
      </w:pPr>
      <w:r>
        <w:rPr>
          <w:rFonts w:ascii="Times New Roman" w:eastAsia="Times New Roman"/>
        </w:rPr>
        <w:t>4</w:t>
      </w:r>
      <w:r>
        <w:t>、造粒杂质</w:t>
      </w:r>
    </w:p>
    <w:p w14:paraId="41B8B7DF">
      <w:pPr>
        <w:pStyle w:val="10"/>
        <w:spacing w:before="160" w:line="364" w:lineRule="auto"/>
        <w:ind w:left="220" w:right="357" w:firstLine="480"/>
        <w:jc w:val="both"/>
      </w:pPr>
      <w:r>
        <w:rPr>
          <w:spacing w:val="-10"/>
        </w:rPr>
        <w:t>废塑料热熔挤出时，塑料挤出工序设置微孔过滤机对熔融物料进一步去除杂</w:t>
      </w:r>
      <w:r>
        <w:rPr>
          <w:spacing w:val="-12"/>
        </w:rPr>
        <w:t xml:space="preserve">质，此杂质主要为未熔融的物质，造粒杂质产生量约为 </w:t>
      </w:r>
      <w:r>
        <w:rPr>
          <w:rFonts w:ascii="Times New Roman" w:eastAsia="Times New Roman"/>
        </w:rPr>
        <w:t>1.919t/a</w:t>
      </w:r>
      <w:r>
        <w:t>。造粒杂质经收集后外售综合利用。</w:t>
      </w:r>
    </w:p>
    <w:p w14:paraId="306404F4">
      <w:pPr>
        <w:pStyle w:val="10"/>
        <w:spacing w:before="2"/>
        <w:ind w:left="700"/>
      </w:pPr>
      <w:r>
        <w:rPr>
          <w:rFonts w:ascii="Times New Roman" w:eastAsia="Times New Roman"/>
        </w:rPr>
        <w:t>5</w:t>
      </w:r>
      <w:r>
        <w:t>、废滤网</w:t>
      </w:r>
    </w:p>
    <w:p w14:paraId="0F326101">
      <w:pPr>
        <w:pStyle w:val="10"/>
        <w:spacing w:before="161" w:line="364" w:lineRule="auto"/>
        <w:ind w:left="220" w:right="357" w:firstLine="480"/>
        <w:jc w:val="both"/>
      </w:pPr>
      <w:r>
        <w:rPr>
          <w:spacing w:val="-3"/>
        </w:rPr>
        <w:t xml:space="preserve">每套造粒挤出设备每年需要更换过滤网约 </w:t>
      </w:r>
      <w:r>
        <w:rPr>
          <w:rFonts w:ascii="Times New Roman" w:eastAsia="Times New Roman"/>
        </w:rPr>
        <w:t xml:space="preserve">200 </w:t>
      </w:r>
      <w:r>
        <w:rPr>
          <w:spacing w:val="-6"/>
        </w:rPr>
        <w:t xml:space="preserve">次，每个过滤网重约 </w:t>
      </w:r>
      <w:r>
        <w:rPr>
          <w:rFonts w:ascii="Times New Roman" w:eastAsia="Times New Roman"/>
        </w:rPr>
        <w:t>0.5kg</w:t>
      </w:r>
      <w:r>
        <w:t xml:space="preserve">， </w:t>
      </w:r>
      <w:r>
        <w:rPr>
          <w:spacing w:val="-8"/>
        </w:rPr>
        <w:t xml:space="preserve">本项目共设有 </w:t>
      </w:r>
      <w:r>
        <w:rPr>
          <w:rFonts w:ascii="Times New Roman" w:eastAsia="Times New Roman"/>
        </w:rPr>
        <w:t xml:space="preserve">2 </w:t>
      </w:r>
      <w:r>
        <w:rPr>
          <w:spacing w:val="-3"/>
        </w:rPr>
        <w:t xml:space="preserve">套造粒挤出设备，则项过滤网产生量约为 </w:t>
      </w:r>
      <w:r>
        <w:rPr>
          <w:rFonts w:ascii="Times New Roman" w:eastAsia="Times New Roman"/>
        </w:rPr>
        <w:t>0.2t/a</w:t>
      </w:r>
      <w:r>
        <w:t>，经收集后外售综合利用，严禁露天焚烧滤网。</w:t>
      </w:r>
    </w:p>
    <w:p w14:paraId="1BA0150F">
      <w:pPr>
        <w:pStyle w:val="10"/>
        <w:spacing w:before="1"/>
        <w:ind w:left="700"/>
      </w:pPr>
      <w:r>
        <w:rPr>
          <w:rFonts w:ascii="Times New Roman" w:eastAsia="Times New Roman"/>
        </w:rPr>
        <w:t>6</w:t>
      </w:r>
      <w:r>
        <w:t>、边角料</w:t>
      </w:r>
    </w:p>
    <w:p w14:paraId="69E3834D">
      <w:pPr>
        <w:pStyle w:val="10"/>
        <w:spacing w:before="161" w:line="364" w:lineRule="auto"/>
        <w:ind w:left="220" w:right="357" w:firstLine="480"/>
      </w:pPr>
      <w:r>
        <w:rPr>
          <w:spacing w:val="-5"/>
        </w:rPr>
        <w:t>项目排水板材会按照所需规格尺寸进行裁切，根据建设单位提供资料，边角</w:t>
      </w:r>
      <w:r>
        <w:rPr>
          <w:spacing w:val="-13"/>
        </w:rPr>
        <w:t xml:space="preserve">料产生量约为 </w:t>
      </w:r>
      <w:r>
        <w:rPr>
          <w:rFonts w:ascii="Times New Roman" w:eastAsia="Times New Roman"/>
        </w:rPr>
        <w:t>100t/a</w:t>
      </w:r>
      <w:r>
        <w:t>，收集后经破碎工序回用于生产。</w:t>
      </w:r>
    </w:p>
    <w:p w14:paraId="1159E215">
      <w:pPr>
        <w:pStyle w:val="10"/>
        <w:spacing w:before="1"/>
        <w:ind w:left="700"/>
      </w:pPr>
      <w:r>
        <w:rPr>
          <w:rFonts w:ascii="Times New Roman" w:eastAsia="Times New Roman"/>
        </w:rPr>
        <w:t>7</w:t>
      </w:r>
      <w:r>
        <w:t>、不合格品</w:t>
      </w:r>
    </w:p>
    <w:p w14:paraId="236426A3">
      <w:pPr>
        <w:pStyle w:val="10"/>
        <w:spacing w:before="161" w:line="364" w:lineRule="auto"/>
        <w:ind w:left="220" w:right="357" w:firstLine="480"/>
      </w:pPr>
      <w:r>
        <w:t xml:space="preserve">项目在检验该工序产生不合格品，产生量为 </w:t>
      </w:r>
      <w:r>
        <w:rPr>
          <w:rFonts w:ascii="Times New Roman" w:eastAsia="Times New Roman"/>
        </w:rPr>
        <w:t>50t/a</w:t>
      </w:r>
      <w:r>
        <w:t>，收集后经破碎工序回用于生产。</w:t>
      </w:r>
    </w:p>
    <w:p w14:paraId="70A6359A">
      <w:pPr>
        <w:pStyle w:val="10"/>
        <w:spacing w:before="1"/>
        <w:ind w:left="700"/>
      </w:pPr>
      <w:r>
        <w:rPr>
          <w:rFonts w:ascii="Times New Roman" w:eastAsia="Times New Roman"/>
        </w:rPr>
        <w:t>8</w:t>
      </w:r>
      <w:r>
        <w:t>、废润滑油</w:t>
      </w:r>
    </w:p>
    <w:p w14:paraId="73CB1C92">
      <w:pPr>
        <w:pStyle w:val="10"/>
        <w:spacing w:before="160"/>
        <w:ind w:left="700"/>
        <w:rPr>
          <w:rFonts w:ascii="Times New Roman" w:eastAsia="Times New Roman"/>
        </w:rPr>
      </w:pPr>
      <w:r>
        <w:t>项目机械设备维护过程中使用润滑油，润滑油能重复使用，重复率可达</w:t>
      </w:r>
      <w:r>
        <w:rPr>
          <w:rFonts w:ascii="Times New Roman" w:eastAsia="Times New Roman"/>
        </w:rPr>
        <w:t>90%</w:t>
      </w:r>
    </w:p>
    <w:p w14:paraId="34F036B9">
      <w:pPr>
        <w:spacing w:after="0"/>
        <w:rPr>
          <w:rFonts w:ascii="Times New Roman" w:eastAsia="Times New Roman"/>
        </w:rPr>
        <w:sectPr>
          <w:footerReference r:id="rId14" w:type="default"/>
          <w:pgSz w:w="11910" w:h="16840"/>
          <w:pgMar w:top="1500" w:right="1440" w:bottom="1220" w:left="1580" w:header="0" w:footer="1024" w:gutter="0"/>
          <w:pgNumType w:start="59"/>
          <w:cols w:space="720" w:num="1"/>
        </w:sectPr>
      </w:pPr>
    </w:p>
    <w:p w14:paraId="620C8363">
      <w:pPr>
        <w:pStyle w:val="10"/>
        <w:spacing w:before="62" w:line="364" w:lineRule="auto"/>
        <w:ind w:left="220" w:right="357"/>
        <w:jc w:val="both"/>
      </w:pPr>
      <w:r>
        <w:rPr>
          <w:spacing w:val="-4"/>
        </w:rPr>
        <w:t>以上，根据建设单位提供资料废润滑油产生量约为</w:t>
      </w:r>
      <w:r>
        <w:rPr>
          <w:rFonts w:ascii="Times New Roman" w:eastAsia="Times New Roman"/>
        </w:rPr>
        <w:t>0.01t/a</w:t>
      </w:r>
      <w:r>
        <w:rPr>
          <w:spacing w:val="-3"/>
        </w:rPr>
        <w:t>，属于《国家危险废物名录》（</w:t>
      </w:r>
      <w:r>
        <w:rPr>
          <w:rFonts w:ascii="Times New Roman" w:eastAsia="Times New Roman"/>
          <w:spacing w:val="-3"/>
        </w:rPr>
        <w:t>2021</w:t>
      </w:r>
      <w:r>
        <w:rPr>
          <w:spacing w:val="-3"/>
        </w:rPr>
        <w:t>年版）</w:t>
      </w:r>
      <w:r>
        <w:rPr>
          <w:rFonts w:ascii="Times New Roman" w:eastAsia="Times New Roman"/>
          <w:spacing w:val="-3"/>
        </w:rPr>
        <w:t>HW08</w:t>
      </w:r>
      <w:r>
        <w:rPr>
          <w:spacing w:val="-3"/>
        </w:rPr>
        <w:t>废矿物油与含矿物油废物非特定行业中</w:t>
      </w:r>
      <w:r>
        <w:rPr>
          <w:rFonts w:ascii="Times New Roman" w:eastAsia="Times New Roman"/>
        </w:rPr>
        <w:t>900-249-08</w:t>
      </w:r>
      <w:r>
        <w:t>其</w:t>
      </w:r>
      <w:r>
        <w:rPr>
          <w:spacing w:val="-9"/>
        </w:rPr>
        <w:t>他生产、销售、使用过程中产生的废矿物油及沾染矿物油的废弃包装物，危险特性为毒性（</w:t>
      </w:r>
      <w:r>
        <w:rPr>
          <w:rFonts w:ascii="Times New Roman" w:eastAsia="Times New Roman"/>
          <w:spacing w:val="-9"/>
        </w:rPr>
        <w:t>T</w:t>
      </w:r>
      <w:r>
        <w:rPr>
          <w:spacing w:val="-9"/>
        </w:rPr>
        <w:t>）及感染性（</w:t>
      </w:r>
      <w:r>
        <w:rPr>
          <w:rFonts w:ascii="Times New Roman" w:eastAsia="Times New Roman"/>
          <w:spacing w:val="-9"/>
        </w:rPr>
        <w:t>In</w:t>
      </w:r>
      <w:r>
        <w:rPr>
          <w:spacing w:val="-9"/>
        </w:rPr>
        <w:t>），收集后委托具有处理危险废物资质的单位进行处理。</w:t>
      </w:r>
    </w:p>
    <w:p w14:paraId="231883AA">
      <w:pPr>
        <w:pStyle w:val="10"/>
        <w:spacing w:before="3"/>
        <w:ind w:left="700"/>
      </w:pPr>
      <w:r>
        <w:rPr>
          <w:rFonts w:ascii="Times New Roman" w:eastAsia="Times New Roman"/>
        </w:rPr>
        <w:t>9</w:t>
      </w:r>
      <w:r>
        <w:t>、含油废抹布手套</w:t>
      </w:r>
    </w:p>
    <w:p w14:paraId="6D2BC5BF">
      <w:pPr>
        <w:pStyle w:val="10"/>
        <w:spacing w:before="160" w:line="364" w:lineRule="auto"/>
        <w:ind w:left="220" w:right="117" w:firstLine="480"/>
      </w:pPr>
      <w:r>
        <w:rPr>
          <w:spacing w:val="-5"/>
        </w:rPr>
        <w:t xml:space="preserve">项目机械设备维护过程中利用抹布对装置进行擦拭，该工序产生含油废抹布， </w:t>
      </w:r>
      <w:r>
        <w:rPr>
          <w:spacing w:val="-10"/>
        </w:rPr>
        <w:t>根据建设单位提供资料，含油废抹布产生量为</w:t>
      </w:r>
      <w:r>
        <w:rPr>
          <w:rFonts w:ascii="Times New Roman" w:eastAsia="Times New Roman"/>
          <w:spacing w:val="-7"/>
        </w:rPr>
        <w:t>0.01t/a</w:t>
      </w:r>
      <w:r>
        <w:rPr>
          <w:spacing w:val="-8"/>
        </w:rPr>
        <w:t>，属于《国家危险废物名录》</w:t>
      </w:r>
    </w:p>
    <w:p w14:paraId="16DCDB78">
      <w:pPr>
        <w:pStyle w:val="10"/>
        <w:spacing w:before="2" w:line="364" w:lineRule="auto"/>
        <w:ind w:left="220" w:right="357"/>
        <w:jc w:val="both"/>
      </w:pPr>
      <w:r>
        <w:t>（</w:t>
      </w:r>
      <w:r>
        <w:rPr>
          <w:rFonts w:ascii="Times New Roman" w:eastAsia="Times New Roman"/>
        </w:rPr>
        <w:t>2021</w:t>
      </w:r>
      <w:r>
        <w:t>年版）中</w:t>
      </w:r>
      <w:r>
        <w:rPr>
          <w:rFonts w:ascii="Times New Roman" w:eastAsia="Times New Roman"/>
        </w:rPr>
        <w:t>HW49</w:t>
      </w:r>
      <w:r>
        <w:t>其他废物非特定行业中</w:t>
      </w:r>
      <w:r>
        <w:rPr>
          <w:rFonts w:ascii="Times New Roman" w:eastAsia="Times New Roman"/>
        </w:rPr>
        <w:t>900-041-49</w:t>
      </w:r>
      <w:r>
        <w:t>含有或沾染毒性、感染性危险废物的废弃包装物、容器、过滤吸附介质，危险特性为毒性（</w:t>
      </w:r>
      <w:r>
        <w:rPr>
          <w:rFonts w:ascii="Times New Roman" w:eastAsia="Times New Roman"/>
        </w:rPr>
        <w:t>T</w:t>
      </w:r>
      <w:r>
        <w:t>）及感染</w:t>
      </w:r>
      <w:r>
        <w:rPr>
          <w:spacing w:val="-12"/>
        </w:rPr>
        <w:t>性</w:t>
      </w:r>
      <w:r>
        <w:rPr>
          <w:spacing w:val="-7"/>
        </w:rPr>
        <w:t>（</w:t>
      </w:r>
      <w:r>
        <w:rPr>
          <w:rFonts w:ascii="Times New Roman" w:eastAsia="Times New Roman"/>
          <w:spacing w:val="-7"/>
        </w:rPr>
        <w:t>In</w:t>
      </w:r>
      <w:r>
        <w:rPr>
          <w:spacing w:val="-7"/>
        </w:rPr>
        <w:t>）</w:t>
      </w:r>
      <w:r>
        <w:rPr>
          <w:spacing w:val="-4"/>
        </w:rPr>
        <w:t>，收集后委托具有处理危险废物资质的单位进行处理。建设单位不得将含油废抹布手套混入生活垃圾进行处理。</w:t>
      </w:r>
    </w:p>
    <w:p w14:paraId="2BFDF26D">
      <w:pPr>
        <w:pStyle w:val="10"/>
        <w:spacing w:before="2"/>
        <w:ind w:left="700"/>
      </w:pPr>
      <w:r>
        <w:rPr>
          <w:rFonts w:ascii="Times New Roman" w:eastAsia="Times New Roman"/>
        </w:rPr>
        <w:t>10</w:t>
      </w:r>
      <w:r>
        <w:t>、废活性炭</w:t>
      </w:r>
    </w:p>
    <w:p w14:paraId="3FBCE0FC">
      <w:pPr>
        <w:pStyle w:val="10"/>
        <w:spacing w:before="160" w:line="364" w:lineRule="auto"/>
        <w:ind w:left="220" w:right="237" w:firstLine="480"/>
      </w:pPr>
      <w:r>
        <w:rPr>
          <w:spacing w:val="-5"/>
        </w:rPr>
        <w:t>项目活性炭需根据废气处理饱和度情况及时更换，以免影响处理效率。本项</w:t>
      </w:r>
      <w:r>
        <w:rPr>
          <w:spacing w:val="-8"/>
        </w:rPr>
        <w:t xml:space="preserve">目，二级活性炭吸附的废气量为 </w:t>
      </w:r>
      <w:r>
        <w:rPr>
          <w:rFonts w:ascii="Times New Roman" w:eastAsia="Times New Roman"/>
          <w:spacing w:val="-3"/>
        </w:rPr>
        <w:t>11.306t/a</w:t>
      </w:r>
      <w:r>
        <w:rPr>
          <w:spacing w:val="-3"/>
        </w:rPr>
        <w:t>，一般颗粒活性炭</w:t>
      </w:r>
      <w:r>
        <w:t>（</w:t>
      </w:r>
      <w:r>
        <w:rPr>
          <w:spacing w:val="-20"/>
        </w:rPr>
        <w:t xml:space="preserve">碘值 </w:t>
      </w:r>
      <w:r>
        <w:rPr>
          <w:rFonts w:ascii="Times New Roman" w:eastAsia="Times New Roman"/>
        </w:rPr>
        <w:t xml:space="preserve">800mg </w:t>
      </w:r>
      <w:r>
        <w:t xml:space="preserve">以上） </w:t>
      </w:r>
      <w:r>
        <w:rPr>
          <w:spacing w:val="-30"/>
        </w:rPr>
        <w:t xml:space="preserve">对 </w:t>
      </w:r>
      <w:r>
        <w:rPr>
          <w:rFonts w:ascii="Times New Roman" w:eastAsia="Times New Roman"/>
        </w:rPr>
        <w:t xml:space="preserve">VOCs </w:t>
      </w:r>
      <w:r>
        <w:rPr>
          <w:spacing w:val="-10"/>
        </w:rPr>
        <w:t xml:space="preserve">的吸附量按 </w:t>
      </w:r>
      <w:r>
        <w:rPr>
          <w:rFonts w:ascii="Times New Roman" w:eastAsia="Times New Roman"/>
        </w:rPr>
        <w:t xml:space="preserve">0.25g/g </w:t>
      </w:r>
      <w:r>
        <w:rPr>
          <w:spacing w:val="-4"/>
        </w:rPr>
        <w:t xml:space="preserve">考虑，经计算需要的活性炭量约为 </w:t>
      </w:r>
      <w:r>
        <w:rPr>
          <w:rFonts w:ascii="Times New Roman" w:eastAsia="Times New Roman"/>
        </w:rPr>
        <w:t>45.224t/a</w:t>
      </w:r>
      <w:r>
        <w:t xml:space="preserve">，本项目二级活性炭吸附装置活性炭的充填量为 </w:t>
      </w:r>
      <w:r>
        <w:rPr>
          <w:rFonts w:ascii="Times New Roman" w:eastAsia="Times New Roman"/>
        </w:rPr>
        <w:t>1.6t/a</w:t>
      </w:r>
      <w:r>
        <w:rPr>
          <w:spacing w:val="-17"/>
        </w:rPr>
        <w:t xml:space="preserve">，每 </w:t>
      </w:r>
      <w:r>
        <w:rPr>
          <w:rFonts w:ascii="Times New Roman" w:eastAsia="Times New Roman"/>
        </w:rPr>
        <w:t xml:space="preserve">10d </w:t>
      </w:r>
      <w:r>
        <w:rPr>
          <w:spacing w:val="-15"/>
        </w:rPr>
        <w:t xml:space="preserve">更换 </w:t>
      </w:r>
      <w:r>
        <w:rPr>
          <w:rFonts w:ascii="Times New Roman" w:eastAsia="Times New Roman"/>
        </w:rPr>
        <w:t xml:space="preserve">1 </w:t>
      </w:r>
      <w:r>
        <w:rPr>
          <w:spacing w:val="-5"/>
        </w:rPr>
        <w:t xml:space="preserve">次，年更换 </w:t>
      </w:r>
      <w:r>
        <w:rPr>
          <w:rFonts w:ascii="Times New Roman" w:eastAsia="Times New Roman"/>
        </w:rPr>
        <w:t xml:space="preserve">30 </w:t>
      </w:r>
      <w:r>
        <w:rPr>
          <w:spacing w:val="-9"/>
        </w:rPr>
        <w:t xml:space="preserve">次，经计算本项目废活性炭产生量约 </w:t>
      </w:r>
      <w:r>
        <w:rPr>
          <w:rFonts w:ascii="Times New Roman" w:eastAsia="Times New Roman"/>
          <w:spacing w:val="-3"/>
        </w:rPr>
        <w:t>59.306t/a</w:t>
      </w:r>
      <w:r>
        <w:rPr>
          <w:spacing w:val="-3"/>
        </w:rPr>
        <w:t>（</w:t>
      </w:r>
      <w:r>
        <w:rPr>
          <w:spacing w:val="-9"/>
        </w:rPr>
        <w:t xml:space="preserve">含非甲烷总烃 </w:t>
      </w:r>
      <w:r>
        <w:rPr>
          <w:rFonts w:ascii="Times New Roman" w:eastAsia="Times New Roman"/>
          <w:spacing w:val="-4"/>
        </w:rPr>
        <w:t>11.306t/a</w:t>
      </w:r>
      <w:r>
        <w:rPr>
          <w:spacing w:val="-4"/>
        </w:rPr>
        <w:t>）</w:t>
      </w:r>
      <w:r>
        <w:rPr>
          <w:spacing w:val="-8"/>
        </w:rPr>
        <w:t>。本项</w:t>
      </w:r>
      <w:r>
        <w:rPr>
          <w:spacing w:val="-1"/>
        </w:rPr>
        <w:t>目产生的废活性炭属于《国家危险废物名录</w:t>
      </w:r>
      <w:r>
        <w:t>（</w:t>
      </w:r>
      <w:r>
        <w:rPr>
          <w:rFonts w:ascii="Times New Roman" w:eastAsia="Times New Roman"/>
        </w:rPr>
        <w:t xml:space="preserve">2021 </w:t>
      </w:r>
      <w:r>
        <w:rPr>
          <w:spacing w:val="0"/>
        </w:rPr>
        <w:t>年版</w:t>
      </w:r>
      <w:r>
        <w:t>）</w:t>
      </w:r>
      <w:r>
        <w:rPr>
          <w:spacing w:val="2"/>
        </w:rPr>
        <w:t>》</w:t>
      </w:r>
      <w:r>
        <w:rPr>
          <w:rFonts w:ascii="Times New Roman" w:eastAsia="Times New Roman"/>
        </w:rPr>
        <w:t xml:space="preserve">HW49 </w:t>
      </w:r>
      <w:r>
        <w:t>其他废物非</w:t>
      </w:r>
      <w:r>
        <w:rPr>
          <w:spacing w:val="-11"/>
        </w:rPr>
        <w:t xml:space="preserve">特定行业中 </w:t>
      </w:r>
      <w:r>
        <w:rPr>
          <w:rFonts w:ascii="Times New Roman" w:eastAsia="Times New Roman"/>
        </w:rPr>
        <w:t xml:space="preserve">900-039-49 </w:t>
      </w:r>
      <w:r>
        <w:t>烟气、</w:t>
      </w:r>
      <w:r>
        <w:rPr>
          <w:rFonts w:ascii="Times New Roman" w:eastAsia="Times New Roman"/>
        </w:rPr>
        <w:t xml:space="preserve">VOCs </w:t>
      </w:r>
      <w:r>
        <w:t>治理过程（不包括餐饮行业油烟治理过程） 产生的废活性炭，危险特性为毒性（</w:t>
      </w:r>
      <w:r>
        <w:rPr>
          <w:rFonts w:ascii="Times New Roman" w:eastAsia="Times New Roman"/>
        </w:rPr>
        <w:t>T</w:t>
      </w:r>
      <w:r>
        <w:t>），收集后委托具有处理危险废物资质的单位进行处理。</w:t>
      </w:r>
    </w:p>
    <w:p w14:paraId="273EC873">
      <w:pPr>
        <w:pStyle w:val="10"/>
        <w:spacing w:before="6"/>
        <w:ind w:left="700"/>
      </w:pPr>
      <w:r>
        <w:rPr>
          <w:rFonts w:ascii="Times New Roman" w:eastAsia="Times New Roman"/>
        </w:rPr>
        <w:t>11</w:t>
      </w:r>
      <w:r>
        <w:t>、废过滤棉</w:t>
      </w:r>
    </w:p>
    <w:p w14:paraId="08D4D414">
      <w:pPr>
        <w:pStyle w:val="10"/>
        <w:spacing w:before="160" w:line="364" w:lineRule="auto"/>
        <w:ind w:left="220" w:right="237" w:firstLine="480"/>
      </w:pPr>
      <w:r>
        <w:rPr>
          <w:spacing w:val="-5"/>
        </w:rPr>
        <w:t xml:space="preserve">项目废气处理装置中废过滤棉每 </w:t>
      </w:r>
      <w:r>
        <w:rPr>
          <w:rFonts w:ascii="Times New Roman" w:eastAsia="Times New Roman"/>
        </w:rPr>
        <w:t xml:space="preserve">2 </w:t>
      </w:r>
      <w:r>
        <w:rPr>
          <w:spacing w:val="-16"/>
        </w:rPr>
        <w:t xml:space="preserve">个月更换一次，每次更换产生量约 </w:t>
      </w:r>
      <w:r>
        <w:rPr>
          <w:rFonts w:ascii="Times New Roman" w:eastAsia="Times New Roman"/>
        </w:rPr>
        <w:t>0.010t</w:t>
      </w:r>
      <w:r>
        <w:t xml:space="preserve">， </w:t>
      </w:r>
      <w:r>
        <w:rPr>
          <w:spacing w:val="-15"/>
        </w:rPr>
        <w:t xml:space="preserve">年更换 </w:t>
      </w:r>
      <w:r>
        <w:rPr>
          <w:rFonts w:ascii="Times New Roman" w:eastAsia="Times New Roman"/>
        </w:rPr>
        <w:t xml:space="preserve">6 </w:t>
      </w:r>
      <w:r>
        <w:rPr>
          <w:spacing w:val="-11"/>
        </w:rPr>
        <w:t xml:space="preserve">次，废过滤棉产生量约为 </w:t>
      </w:r>
      <w:r>
        <w:rPr>
          <w:rFonts w:ascii="Times New Roman" w:eastAsia="Times New Roman"/>
          <w:spacing w:val="-5"/>
        </w:rPr>
        <w:t>0.06t/a</w:t>
      </w:r>
      <w:r>
        <w:rPr>
          <w:spacing w:val="-5"/>
        </w:rPr>
        <w:t>，由于废过滤棉沾染有机废气，废过滤</w:t>
      </w:r>
      <w:r>
        <w:rPr>
          <w:spacing w:val="17"/>
        </w:rPr>
        <w:t>棉属于《国家危险废物名录</w:t>
      </w:r>
      <w:r>
        <w:rPr>
          <w:spacing w:val="2"/>
        </w:rPr>
        <w:t>（</w:t>
      </w:r>
      <w:r>
        <w:rPr>
          <w:rFonts w:ascii="Times New Roman" w:eastAsia="Times New Roman"/>
          <w:spacing w:val="2"/>
        </w:rPr>
        <w:t>2021</w:t>
      </w:r>
      <w:r>
        <w:rPr>
          <w:rFonts w:ascii="Times New Roman" w:eastAsia="Times New Roman"/>
          <w:spacing w:val="1"/>
        </w:rPr>
        <w:t xml:space="preserve"> </w:t>
      </w:r>
      <w:r>
        <w:rPr>
          <w:spacing w:val="17"/>
        </w:rPr>
        <w:t>年版</w:t>
      </w:r>
      <w:r>
        <w:t>）</w:t>
      </w:r>
      <w:r>
        <w:rPr>
          <w:spacing w:val="-39"/>
        </w:rPr>
        <w:t xml:space="preserve"> 》</w:t>
      </w:r>
      <w:r>
        <w:rPr>
          <w:rFonts w:ascii="Times New Roman" w:eastAsia="Times New Roman"/>
        </w:rPr>
        <w:t xml:space="preserve">HW49 </w:t>
      </w:r>
      <w:r>
        <w:rPr>
          <w:spacing w:val="15"/>
        </w:rPr>
        <w:t>其他废物非特定行业中</w:t>
      </w:r>
      <w:r>
        <w:rPr>
          <w:rFonts w:ascii="Times New Roman" w:eastAsia="Times New Roman"/>
          <w:spacing w:val="15"/>
        </w:rPr>
        <w:t xml:space="preserve">900-041-49 </w:t>
      </w:r>
      <w:r>
        <w:rPr>
          <w:spacing w:val="-5"/>
        </w:rPr>
        <w:t>含有或沾染毒性、感染性危险废物的废弃包装物、容器、过滤吸附介质，危险特性为毒性</w:t>
      </w:r>
      <w:r>
        <w:rPr>
          <w:spacing w:val="-3"/>
        </w:rPr>
        <w:t>（</w:t>
      </w:r>
      <w:r>
        <w:rPr>
          <w:rFonts w:ascii="Times New Roman" w:eastAsia="Times New Roman"/>
          <w:spacing w:val="-3"/>
        </w:rPr>
        <w:t>T/In</w:t>
      </w:r>
      <w:r>
        <w:rPr>
          <w:spacing w:val="-3"/>
        </w:rPr>
        <w:t>）</w:t>
      </w:r>
      <w:r>
        <w:rPr>
          <w:spacing w:val="-2"/>
        </w:rPr>
        <w:t>，收集后委托具有处理危险废物资质的单位进行处理。</w:t>
      </w:r>
    </w:p>
    <w:p w14:paraId="0B7D9C3B">
      <w:pPr>
        <w:spacing w:after="0" w:line="364" w:lineRule="auto"/>
        <w:sectPr>
          <w:footerReference r:id="rId15" w:type="default"/>
          <w:pgSz w:w="11910" w:h="16840"/>
          <w:pgMar w:top="1440" w:right="1440" w:bottom="1220" w:left="1580" w:header="0" w:footer="1024" w:gutter="0"/>
          <w:pgNumType w:start="60"/>
          <w:cols w:space="720" w:num="1"/>
        </w:sectPr>
      </w:pPr>
    </w:p>
    <w:p w14:paraId="29999BCD">
      <w:pPr>
        <w:pStyle w:val="9"/>
        <w:spacing w:before="65"/>
        <w:ind w:left="2586"/>
      </w:pPr>
      <w:r>
        <w:t xml:space="preserve">表 </w:t>
      </w:r>
      <w:r>
        <w:rPr>
          <w:rFonts w:ascii="Times New Roman" w:eastAsia="Times New Roman"/>
        </w:rPr>
        <w:t xml:space="preserve">2.4-4 </w:t>
      </w:r>
      <w:r>
        <w:t>项目固废产生处置情况表</w:t>
      </w:r>
    </w:p>
    <w:tbl>
      <w:tblPr>
        <w:tblStyle w:val="13"/>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1408"/>
        <w:gridCol w:w="891"/>
        <w:gridCol w:w="1389"/>
        <w:gridCol w:w="983"/>
        <w:gridCol w:w="1322"/>
        <w:gridCol w:w="2098"/>
      </w:tblGrid>
      <w:tr w14:paraId="3D424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0EB0CE09">
            <w:pPr>
              <w:pStyle w:val="17"/>
              <w:spacing w:before="21"/>
              <w:ind w:left="113"/>
              <w:jc w:val="left"/>
              <w:rPr>
                <w:sz w:val="21"/>
              </w:rPr>
            </w:pPr>
            <w:r>
              <w:rPr>
                <w:w w:val="99"/>
                <w:sz w:val="21"/>
              </w:rPr>
              <w:t>序</w:t>
            </w:r>
          </w:p>
          <w:p w14:paraId="5070ED38">
            <w:pPr>
              <w:pStyle w:val="17"/>
              <w:spacing w:before="43"/>
              <w:ind w:left="113"/>
              <w:jc w:val="left"/>
              <w:rPr>
                <w:sz w:val="21"/>
              </w:rPr>
            </w:pPr>
            <w:r>
              <w:rPr>
                <w:w w:val="99"/>
                <w:sz w:val="21"/>
              </w:rPr>
              <w:t>号</w:t>
            </w:r>
          </w:p>
        </w:tc>
        <w:tc>
          <w:tcPr>
            <w:tcW w:w="1408" w:type="dxa"/>
          </w:tcPr>
          <w:p w14:paraId="0B1F9FAF">
            <w:pPr>
              <w:pStyle w:val="17"/>
              <w:spacing w:before="177"/>
              <w:ind w:left="130" w:right="124"/>
              <w:rPr>
                <w:sz w:val="21"/>
              </w:rPr>
            </w:pPr>
            <w:r>
              <w:rPr>
                <w:sz w:val="21"/>
              </w:rPr>
              <w:t>类别</w:t>
            </w:r>
          </w:p>
        </w:tc>
        <w:tc>
          <w:tcPr>
            <w:tcW w:w="891" w:type="dxa"/>
          </w:tcPr>
          <w:p w14:paraId="494D81B6">
            <w:pPr>
              <w:pStyle w:val="17"/>
              <w:spacing w:before="21"/>
              <w:ind w:left="84" w:right="118"/>
              <w:rPr>
                <w:sz w:val="21"/>
              </w:rPr>
            </w:pPr>
            <w:r>
              <w:rPr>
                <w:sz w:val="21"/>
              </w:rPr>
              <w:t>产生量</w:t>
            </w:r>
          </w:p>
          <w:p w14:paraId="7FA0B13C">
            <w:pPr>
              <w:pStyle w:val="17"/>
              <w:spacing w:before="57"/>
              <w:ind w:left="126" w:right="118"/>
              <w:rPr>
                <w:rFonts w:ascii="Times New Roman"/>
                <w:sz w:val="21"/>
              </w:rPr>
            </w:pPr>
            <w:r>
              <w:rPr>
                <w:rFonts w:ascii="Times New Roman"/>
                <w:sz w:val="21"/>
              </w:rPr>
              <w:t>t/a</w:t>
            </w:r>
          </w:p>
        </w:tc>
        <w:tc>
          <w:tcPr>
            <w:tcW w:w="1389" w:type="dxa"/>
          </w:tcPr>
          <w:p w14:paraId="7255BC16">
            <w:pPr>
              <w:pStyle w:val="17"/>
              <w:spacing w:before="177"/>
              <w:ind w:left="251" w:right="245"/>
              <w:rPr>
                <w:sz w:val="21"/>
              </w:rPr>
            </w:pPr>
            <w:r>
              <w:rPr>
                <w:sz w:val="21"/>
              </w:rPr>
              <w:t>性质</w:t>
            </w:r>
          </w:p>
        </w:tc>
        <w:tc>
          <w:tcPr>
            <w:tcW w:w="983" w:type="dxa"/>
          </w:tcPr>
          <w:p w14:paraId="494468BF">
            <w:pPr>
              <w:pStyle w:val="17"/>
              <w:spacing w:before="177"/>
              <w:ind w:left="49" w:right="44"/>
              <w:rPr>
                <w:sz w:val="21"/>
              </w:rPr>
            </w:pPr>
            <w:r>
              <w:rPr>
                <w:sz w:val="21"/>
              </w:rPr>
              <w:t>类别</w:t>
            </w:r>
          </w:p>
        </w:tc>
        <w:tc>
          <w:tcPr>
            <w:tcW w:w="1322" w:type="dxa"/>
          </w:tcPr>
          <w:p w14:paraId="2330EBDC">
            <w:pPr>
              <w:pStyle w:val="17"/>
              <w:spacing w:before="177"/>
              <w:ind w:left="149" w:right="142"/>
              <w:rPr>
                <w:sz w:val="21"/>
              </w:rPr>
            </w:pPr>
            <w:r>
              <w:rPr>
                <w:sz w:val="21"/>
              </w:rPr>
              <w:t>废物代码</w:t>
            </w:r>
          </w:p>
        </w:tc>
        <w:tc>
          <w:tcPr>
            <w:tcW w:w="2098" w:type="dxa"/>
            <w:tcBorders>
              <w:right w:val="nil"/>
            </w:tcBorders>
          </w:tcPr>
          <w:p w14:paraId="73E0EE68">
            <w:pPr>
              <w:pStyle w:val="17"/>
              <w:spacing w:before="177"/>
              <w:ind w:left="627"/>
              <w:jc w:val="left"/>
              <w:rPr>
                <w:sz w:val="21"/>
              </w:rPr>
            </w:pPr>
            <w:r>
              <w:rPr>
                <w:sz w:val="21"/>
              </w:rPr>
              <w:t>处理方式</w:t>
            </w:r>
          </w:p>
        </w:tc>
      </w:tr>
      <w:tr w14:paraId="461A8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5717CCED">
            <w:pPr>
              <w:pStyle w:val="17"/>
              <w:spacing w:before="190"/>
              <w:ind w:left="10"/>
              <w:rPr>
                <w:rFonts w:ascii="Times New Roman"/>
                <w:sz w:val="21"/>
              </w:rPr>
            </w:pPr>
            <w:r>
              <w:rPr>
                <w:rFonts w:ascii="Times New Roman"/>
                <w:w w:val="99"/>
                <w:sz w:val="21"/>
              </w:rPr>
              <w:t>1</w:t>
            </w:r>
          </w:p>
        </w:tc>
        <w:tc>
          <w:tcPr>
            <w:tcW w:w="1408" w:type="dxa"/>
          </w:tcPr>
          <w:p w14:paraId="1562E695">
            <w:pPr>
              <w:pStyle w:val="17"/>
              <w:spacing w:before="176"/>
              <w:ind w:left="132" w:right="124"/>
              <w:rPr>
                <w:sz w:val="21"/>
              </w:rPr>
            </w:pPr>
            <w:r>
              <w:rPr>
                <w:sz w:val="21"/>
              </w:rPr>
              <w:t>生活垃圾</w:t>
            </w:r>
          </w:p>
        </w:tc>
        <w:tc>
          <w:tcPr>
            <w:tcW w:w="891" w:type="dxa"/>
          </w:tcPr>
          <w:p w14:paraId="4CCC2BDE">
            <w:pPr>
              <w:pStyle w:val="17"/>
              <w:spacing w:before="190"/>
              <w:ind w:left="128" w:right="118"/>
              <w:rPr>
                <w:rFonts w:ascii="Times New Roman"/>
                <w:sz w:val="21"/>
              </w:rPr>
            </w:pPr>
            <w:r>
              <w:rPr>
                <w:rFonts w:ascii="Times New Roman"/>
                <w:sz w:val="21"/>
              </w:rPr>
              <w:t>3.0</w:t>
            </w:r>
          </w:p>
        </w:tc>
        <w:tc>
          <w:tcPr>
            <w:tcW w:w="1389" w:type="dxa"/>
          </w:tcPr>
          <w:p w14:paraId="69FBD224">
            <w:pPr>
              <w:pStyle w:val="17"/>
              <w:spacing w:before="176"/>
              <w:ind w:left="251" w:right="247"/>
              <w:rPr>
                <w:sz w:val="21"/>
              </w:rPr>
            </w:pPr>
            <w:r>
              <w:rPr>
                <w:sz w:val="21"/>
              </w:rPr>
              <w:t>生活垃圾</w:t>
            </w:r>
          </w:p>
        </w:tc>
        <w:tc>
          <w:tcPr>
            <w:tcW w:w="983" w:type="dxa"/>
          </w:tcPr>
          <w:p w14:paraId="01FC73C4">
            <w:pPr>
              <w:pStyle w:val="17"/>
              <w:spacing w:before="190"/>
              <w:ind w:left="6"/>
              <w:rPr>
                <w:rFonts w:ascii="Times New Roman"/>
                <w:sz w:val="21"/>
              </w:rPr>
            </w:pPr>
            <w:r>
              <w:rPr>
                <w:rFonts w:ascii="Times New Roman"/>
                <w:w w:val="99"/>
                <w:sz w:val="21"/>
              </w:rPr>
              <w:t>/</w:t>
            </w:r>
          </w:p>
        </w:tc>
        <w:tc>
          <w:tcPr>
            <w:tcW w:w="1322" w:type="dxa"/>
          </w:tcPr>
          <w:p w14:paraId="2F290B54">
            <w:pPr>
              <w:pStyle w:val="17"/>
              <w:spacing w:before="190"/>
              <w:ind w:left="10"/>
              <w:rPr>
                <w:rFonts w:ascii="Times New Roman"/>
                <w:sz w:val="21"/>
              </w:rPr>
            </w:pPr>
            <w:r>
              <w:rPr>
                <w:rFonts w:ascii="Times New Roman"/>
                <w:w w:val="99"/>
                <w:sz w:val="21"/>
              </w:rPr>
              <w:t>/</w:t>
            </w:r>
          </w:p>
        </w:tc>
        <w:tc>
          <w:tcPr>
            <w:tcW w:w="2098" w:type="dxa"/>
            <w:tcBorders>
              <w:right w:val="nil"/>
            </w:tcBorders>
          </w:tcPr>
          <w:p w14:paraId="5A39DC1B">
            <w:pPr>
              <w:pStyle w:val="17"/>
              <w:spacing w:before="20"/>
              <w:ind w:left="186" w:right="186"/>
              <w:rPr>
                <w:sz w:val="21"/>
              </w:rPr>
            </w:pPr>
            <w:r>
              <w:rPr>
                <w:sz w:val="21"/>
              </w:rPr>
              <w:t>收集后交由环卫部</w:t>
            </w:r>
          </w:p>
          <w:p w14:paraId="743C1573">
            <w:pPr>
              <w:pStyle w:val="17"/>
              <w:spacing w:before="43"/>
              <w:ind w:left="186" w:right="184"/>
              <w:rPr>
                <w:sz w:val="21"/>
              </w:rPr>
            </w:pPr>
            <w:r>
              <w:rPr>
                <w:sz w:val="21"/>
              </w:rPr>
              <w:t>门处理</w:t>
            </w:r>
          </w:p>
        </w:tc>
      </w:tr>
      <w:tr w14:paraId="657CD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7F934F49">
            <w:pPr>
              <w:pStyle w:val="17"/>
              <w:spacing w:before="190"/>
              <w:ind w:left="10"/>
              <w:rPr>
                <w:rFonts w:ascii="Times New Roman"/>
                <w:sz w:val="21"/>
              </w:rPr>
            </w:pPr>
            <w:r>
              <w:rPr>
                <w:rFonts w:ascii="Times New Roman"/>
                <w:w w:val="99"/>
                <w:sz w:val="21"/>
              </w:rPr>
              <w:t>2</w:t>
            </w:r>
          </w:p>
        </w:tc>
        <w:tc>
          <w:tcPr>
            <w:tcW w:w="1408" w:type="dxa"/>
          </w:tcPr>
          <w:p w14:paraId="05C3C9E2">
            <w:pPr>
              <w:pStyle w:val="17"/>
              <w:spacing w:before="176"/>
              <w:ind w:left="132" w:right="124"/>
              <w:rPr>
                <w:sz w:val="21"/>
              </w:rPr>
            </w:pPr>
            <w:r>
              <w:rPr>
                <w:sz w:val="21"/>
              </w:rPr>
              <w:t>收集除尘灰</w:t>
            </w:r>
          </w:p>
        </w:tc>
        <w:tc>
          <w:tcPr>
            <w:tcW w:w="891" w:type="dxa"/>
          </w:tcPr>
          <w:p w14:paraId="13BDED0D">
            <w:pPr>
              <w:pStyle w:val="17"/>
              <w:spacing w:before="190"/>
              <w:ind w:left="128" w:right="118"/>
              <w:rPr>
                <w:rFonts w:ascii="Times New Roman"/>
                <w:sz w:val="21"/>
              </w:rPr>
            </w:pPr>
            <w:r>
              <w:rPr>
                <w:rFonts w:ascii="Times New Roman"/>
                <w:sz w:val="21"/>
              </w:rPr>
              <w:t>2.335</w:t>
            </w:r>
          </w:p>
        </w:tc>
        <w:tc>
          <w:tcPr>
            <w:tcW w:w="1389" w:type="dxa"/>
          </w:tcPr>
          <w:p w14:paraId="511E0E3B">
            <w:pPr>
              <w:pStyle w:val="17"/>
              <w:spacing w:before="176"/>
              <w:ind w:left="251" w:right="247"/>
              <w:rPr>
                <w:sz w:val="21"/>
              </w:rPr>
            </w:pPr>
            <w:r>
              <w:rPr>
                <w:sz w:val="21"/>
              </w:rPr>
              <w:t>一般固废</w:t>
            </w:r>
          </w:p>
        </w:tc>
        <w:tc>
          <w:tcPr>
            <w:tcW w:w="983" w:type="dxa"/>
          </w:tcPr>
          <w:p w14:paraId="04AD4B71">
            <w:pPr>
              <w:pStyle w:val="17"/>
              <w:spacing w:before="190"/>
              <w:ind w:left="6"/>
              <w:rPr>
                <w:rFonts w:ascii="Times New Roman"/>
                <w:sz w:val="21"/>
              </w:rPr>
            </w:pPr>
            <w:r>
              <w:rPr>
                <w:rFonts w:ascii="Times New Roman"/>
                <w:w w:val="99"/>
                <w:sz w:val="21"/>
              </w:rPr>
              <w:t>/</w:t>
            </w:r>
          </w:p>
        </w:tc>
        <w:tc>
          <w:tcPr>
            <w:tcW w:w="1322" w:type="dxa"/>
          </w:tcPr>
          <w:p w14:paraId="64D27D8B">
            <w:pPr>
              <w:pStyle w:val="17"/>
              <w:spacing w:before="190"/>
              <w:ind w:left="150" w:right="142"/>
              <w:rPr>
                <w:rFonts w:ascii="Times New Roman"/>
                <w:sz w:val="21"/>
              </w:rPr>
            </w:pPr>
            <w:r>
              <w:rPr>
                <w:rFonts w:ascii="Times New Roman"/>
                <w:sz w:val="21"/>
              </w:rPr>
              <w:t>292-002-66</w:t>
            </w:r>
          </w:p>
        </w:tc>
        <w:tc>
          <w:tcPr>
            <w:tcW w:w="2098" w:type="dxa"/>
            <w:tcBorders>
              <w:right w:val="nil"/>
            </w:tcBorders>
          </w:tcPr>
          <w:p w14:paraId="74D52123">
            <w:pPr>
              <w:pStyle w:val="17"/>
              <w:spacing w:before="20"/>
              <w:ind w:left="186" w:right="186"/>
              <w:rPr>
                <w:sz w:val="21"/>
              </w:rPr>
            </w:pPr>
            <w:r>
              <w:rPr>
                <w:sz w:val="21"/>
              </w:rPr>
              <w:t>收集后可回用于生</w:t>
            </w:r>
          </w:p>
          <w:p w14:paraId="32E81808">
            <w:pPr>
              <w:pStyle w:val="17"/>
              <w:spacing w:before="43"/>
              <w:ind w:left="4"/>
              <w:rPr>
                <w:sz w:val="21"/>
              </w:rPr>
            </w:pPr>
            <w:r>
              <w:rPr>
                <w:w w:val="99"/>
                <w:sz w:val="21"/>
              </w:rPr>
              <w:t>产</w:t>
            </w:r>
          </w:p>
        </w:tc>
      </w:tr>
      <w:tr w14:paraId="3B598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337CBA59">
            <w:pPr>
              <w:pStyle w:val="17"/>
              <w:spacing w:before="190"/>
              <w:ind w:left="10"/>
              <w:rPr>
                <w:rFonts w:ascii="Times New Roman"/>
                <w:sz w:val="21"/>
              </w:rPr>
            </w:pPr>
            <w:r>
              <w:rPr>
                <w:rFonts w:ascii="Times New Roman"/>
                <w:w w:val="99"/>
                <w:sz w:val="21"/>
              </w:rPr>
              <w:t>3</w:t>
            </w:r>
          </w:p>
        </w:tc>
        <w:tc>
          <w:tcPr>
            <w:tcW w:w="1408" w:type="dxa"/>
          </w:tcPr>
          <w:p w14:paraId="5D21E539">
            <w:pPr>
              <w:pStyle w:val="17"/>
              <w:spacing w:before="20"/>
              <w:ind w:left="132" w:right="124"/>
              <w:rPr>
                <w:sz w:val="21"/>
              </w:rPr>
            </w:pPr>
            <w:r>
              <w:rPr>
                <w:sz w:val="21"/>
              </w:rPr>
              <w:t>一般废包装</w:t>
            </w:r>
          </w:p>
          <w:p w14:paraId="2474D97E">
            <w:pPr>
              <w:pStyle w:val="17"/>
              <w:spacing w:before="43"/>
              <w:ind w:left="130" w:right="124"/>
              <w:rPr>
                <w:sz w:val="21"/>
              </w:rPr>
            </w:pPr>
            <w:r>
              <w:rPr>
                <w:sz w:val="21"/>
              </w:rPr>
              <w:t>材料</w:t>
            </w:r>
          </w:p>
        </w:tc>
        <w:tc>
          <w:tcPr>
            <w:tcW w:w="891" w:type="dxa"/>
          </w:tcPr>
          <w:p w14:paraId="08F84522">
            <w:pPr>
              <w:pStyle w:val="17"/>
              <w:spacing w:before="190"/>
              <w:ind w:left="128" w:right="118"/>
              <w:rPr>
                <w:rFonts w:ascii="Times New Roman"/>
                <w:sz w:val="21"/>
              </w:rPr>
            </w:pPr>
            <w:r>
              <w:rPr>
                <w:rFonts w:ascii="Times New Roman"/>
                <w:sz w:val="21"/>
              </w:rPr>
              <w:t>1.0</w:t>
            </w:r>
          </w:p>
        </w:tc>
        <w:tc>
          <w:tcPr>
            <w:tcW w:w="1389" w:type="dxa"/>
          </w:tcPr>
          <w:p w14:paraId="507B19CA">
            <w:pPr>
              <w:pStyle w:val="17"/>
              <w:spacing w:before="176"/>
              <w:ind w:left="251" w:right="247"/>
              <w:rPr>
                <w:sz w:val="21"/>
              </w:rPr>
            </w:pPr>
            <w:r>
              <w:rPr>
                <w:sz w:val="21"/>
              </w:rPr>
              <w:t>一般固废</w:t>
            </w:r>
          </w:p>
        </w:tc>
        <w:tc>
          <w:tcPr>
            <w:tcW w:w="983" w:type="dxa"/>
          </w:tcPr>
          <w:p w14:paraId="3B364DDF">
            <w:pPr>
              <w:pStyle w:val="17"/>
              <w:spacing w:before="190"/>
              <w:ind w:left="6"/>
              <w:rPr>
                <w:rFonts w:ascii="Times New Roman"/>
                <w:sz w:val="21"/>
              </w:rPr>
            </w:pPr>
            <w:r>
              <w:rPr>
                <w:rFonts w:ascii="Times New Roman"/>
                <w:w w:val="99"/>
                <w:sz w:val="21"/>
              </w:rPr>
              <w:t>/</w:t>
            </w:r>
          </w:p>
        </w:tc>
        <w:tc>
          <w:tcPr>
            <w:tcW w:w="1322" w:type="dxa"/>
          </w:tcPr>
          <w:p w14:paraId="748A6D16">
            <w:pPr>
              <w:pStyle w:val="17"/>
              <w:spacing w:before="190"/>
              <w:ind w:left="150" w:right="142"/>
              <w:rPr>
                <w:rFonts w:ascii="Times New Roman"/>
                <w:sz w:val="21"/>
              </w:rPr>
            </w:pPr>
            <w:r>
              <w:rPr>
                <w:rFonts w:ascii="Times New Roman"/>
                <w:sz w:val="21"/>
              </w:rPr>
              <w:t>292-002-07</w:t>
            </w:r>
          </w:p>
        </w:tc>
        <w:tc>
          <w:tcPr>
            <w:tcW w:w="2098" w:type="dxa"/>
            <w:tcBorders>
              <w:right w:val="nil"/>
            </w:tcBorders>
          </w:tcPr>
          <w:p w14:paraId="5A3924E6">
            <w:pPr>
              <w:pStyle w:val="17"/>
              <w:spacing w:before="20"/>
              <w:ind w:left="186" w:right="186"/>
              <w:rPr>
                <w:sz w:val="21"/>
              </w:rPr>
            </w:pPr>
            <w:r>
              <w:rPr>
                <w:sz w:val="21"/>
              </w:rPr>
              <w:t>外售至物资回收公</w:t>
            </w:r>
          </w:p>
          <w:p w14:paraId="5094FCA9">
            <w:pPr>
              <w:pStyle w:val="17"/>
              <w:spacing w:before="43"/>
              <w:ind w:left="4"/>
              <w:rPr>
                <w:sz w:val="21"/>
              </w:rPr>
            </w:pPr>
            <w:r>
              <w:rPr>
                <w:w w:val="99"/>
                <w:sz w:val="21"/>
              </w:rPr>
              <w:t>司</w:t>
            </w:r>
          </w:p>
        </w:tc>
      </w:tr>
      <w:tr w14:paraId="5B0DA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7F131AB5">
            <w:pPr>
              <w:pStyle w:val="17"/>
              <w:spacing w:before="192"/>
              <w:ind w:left="10"/>
              <w:rPr>
                <w:rFonts w:ascii="Times New Roman"/>
                <w:sz w:val="21"/>
              </w:rPr>
            </w:pPr>
            <w:r>
              <w:rPr>
                <w:rFonts w:ascii="Times New Roman"/>
                <w:w w:val="99"/>
                <w:sz w:val="21"/>
              </w:rPr>
              <w:t>4</w:t>
            </w:r>
          </w:p>
        </w:tc>
        <w:tc>
          <w:tcPr>
            <w:tcW w:w="1408" w:type="dxa"/>
          </w:tcPr>
          <w:p w14:paraId="2094A9C0">
            <w:pPr>
              <w:pStyle w:val="17"/>
              <w:spacing w:before="178"/>
              <w:ind w:left="132" w:right="124"/>
              <w:rPr>
                <w:sz w:val="21"/>
              </w:rPr>
            </w:pPr>
            <w:r>
              <w:rPr>
                <w:sz w:val="21"/>
              </w:rPr>
              <w:t>造粒杂质</w:t>
            </w:r>
          </w:p>
        </w:tc>
        <w:tc>
          <w:tcPr>
            <w:tcW w:w="891" w:type="dxa"/>
          </w:tcPr>
          <w:p w14:paraId="3457AEC9">
            <w:pPr>
              <w:pStyle w:val="17"/>
              <w:spacing w:before="192"/>
              <w:ind w:left="128" w:right="118"/>
              <w:rPr>
                <w:rFonts w:ascii="Times New Roman"/>
                <w:sz w:val="21"/>
              </w:rPr>
            </w:pPr>
            <w:r>
              <w:rPr>
                <w:rFonts w:ascii="Times New Roman"/>
                <w:sz w:val="21"/>
              </w:rPr>
              <w:t>1.919</w:t>
            </w:r>
          </w:p>
        </w:tc>
        <w:tc>
          <w:tcPr>
            <w:tcW w:w="1389" w:type="dxa"/>
          </w:tcPr>
          <w:p w14:paraId="1E6F36DE">
            <w:pPr>
              <w:pStyle w:val="17"/>
              <w:spacing w:before="178"/>
              <w:ind w:left="251" w:right="247"/>
              <w:rPr>
                <w:sz w:val="21"/>
              </w:rPr>
            </w:pPr>
            <w:r>
              <w:rPr>
                <w:sz w:val="21"/>
              </w:rPr>
              <w:t>一般固废</w:t>
            </w:r>
          </w:p>
        </w:tc>
        <w:tc>
          <w:tcPr>
            <w:tcW w:w="983" w:type="dxa"/>
          </w:tcPr>
          <w:p w14:paraId="4EE9C841">
            <w:pPr>
              <w:pStyle w:val="17"/>
              <w:spacing w:before="192"/>
              <w:ind w:left="6"/>
              <w:rPr>
                <w:rFonts w:ascii="Times New Roman"/>
                <w:sz w:val="21"/>
              </w:rPr>
            </w:pPr>
            <w:r>
              <w:rPr>
                <w:rFonts w:ascii="Times New Roman"/>
                <w:w w:val="99"/>
                <w:sz w:val="21"/>
              </w:rPr>
              <w:t>/</w:t>
            </w:r>
          </w:p>
        </w:tc>
        <w:tc>
          <w:tcPr>
            <w:tcW w:w="1322" w:type="dxa"/>
          </w:tcPr>
          <w:p w14:paraId="3C88061B">
            <w:pPr>
              <w:pStyle w:val="17"/>
              <w:spacing w:before="192"/>
              <w:ind w:left="150" w:right="142"/>
              <w:rPr>
                <w:rFonts w:ascii="Times New Roman"/>
                <w:sz w:val="21"/>
              </w:rPr>
            </w:pPr>
            <w:r>
              <w:rPr>
                <w:rFonts w:ascii="Times New Roman"/>
                <w:sz w:val="21"/>
              </w:rPr>
              <w:t>900-999-99</w:t>
            </w:r>
          </w:p>
        </w:tc>
        <w:tc>
          <w:tcPr>
            <w:tcW w:w="2098" w:type="dxa"/>
            <w:tcBorders>
              <w:right w:val="nil"/>
            </w:tcBorders>
          </w:tcPr>
          <w:p w14:paraId="57B1F42B">
            <w:pPr>
              <w:pStyle w:val="17"/>
              <w:spacing w:before="22"/>
              <w:ind w:left="186" w:right="186"/>
              <w:rPr>
                <w:sz w:val="21"/>
              </w:rPr>
            </w:pPr>
            <w:r>
              <w:rPr>
                <w:sz w:val="21"/>
              </w:rPr>
              <w:t>外售至物资回收公</w:t>
            </w:r>
          </w:p>
          <w:p w14:paraId="528CB1FC">
            <w:pPr>
              <w:pStyle w:val="17"/>
              <w:spacing w:before="43"/>
              <w:ind w:left="4"/>
              <w:rPr>
                <w:sz w:val="21"/>
              </w:rPr>
            </w:pPr>
            <w:r>
              <w:rPr>
                <w:w w:val="99"/>
                <w:sz w:val="21"/>
              </w:rPr>
              <w:t>司</w:t>
            </w:r>
          </w:p>
        </w:tc>
      </w:tr>
      <w:tr w14:paraId="1F3F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4CC06909">
            <w:pPr>
              <w:pStyle w:val="17"/>
              <w:spacing w:before="191"/>
              <w:ind w:left="10"/>
              <w:rPr>
                <w:rFonts w:ascii="Times New Roman"/>
                <w:sz w:val="21"/>
              </w:rPr>
            </w:pPr>
            <w:r>
              <w:rPr>
                <w:rFonts w:ascii="Times New Roman"/>
                <w:w w:val="99"/>
                <w:sz w:val="21"/>
              </w:rPr>
              <w:t>5</w:t>
            </w:r>
          </w:p>
        </w:tc>
        <w:tc>
          <w:tcPr>
            <w:tcW w:w="1408" w:type="dxa"/>
          </w:tcPr>
          <w:p w14:paraId="66FCDD80">
            <w:pPr>
              <w:pStyle w:val="17"/>
              <w:spacing w:before="177"/>
              <w:ind w:left="130" w:right="124"/>
              <w:rPr>
                <w:sz w:val="21"/>
              </w:rPr>
            </w:pPr>
            <w:r>
              <w:rPr>
                <w:sz w:val="21"/>
              </w:rPr>
              <w:t>废滤网</w:t>
            </w:r>
          </w:p>
        </w:tc>
        <w:tc>
          <w:tcPr>
            <w:tcW w:w="891" w:type="dxa"/>
          </w:tcPr>
          <w:p w14:paraId="6A6C21FF">
            <w:pPr>
              <w:pStyle w:val="17"/>
              <w:spacing w:before="191"/>
              <w:ind w:left="128" w:right="118"/>
              <w:rPr>
                <w:rFonts w:ascii="Times New Roman"/>
                <w:sz w:val="21"/>
              </w:rPr>
            </w:pPr>
            <w:r>
              <w:rPr>
                <w:rFonts w:ascii="Times New Roman"/>
                <w:sz w:val="21"/>
              </w:rPr>
              <w:t>0.2</w:t>
            </w:r>
          </w:p>
        </w:tc>
        <w:tc>
          <w:tcPr>
            <w:tcW w:w="1389" w:type="dxa"/>
          </w:tcPr>
          <w:p w14:paraId="302EF33A">
            <w:pPr>
              <w:pStyle w:val="17"/>
              <w:spacing w:before="177"/>
              <w:ind w:left="251" w:right="247"/>
              <w:rPr>
                <w:sz w:val="21"/>
              </w:rPr>
            </w:pPr>
            <w:r>
              <w:rPr>
                <w:sz w:val="21"/>
              </w:rPr>
              <w:t>一般固废</w:t>
            </w:r>
          </w:p>
        </w:tc>
        <w:tc>
          <w:tcPr>
            <w:tcW w:w="983" w:type="dxa"/>
          </w:tcPr>
          <w:p w14:paraId="48D27E3E">
            <w:pPr>
              <w:pStyle w:val="17"/>
              <w:spacing w:before="191"/>
              <w:ind w:left="6"/>
              <w:rPr>
                <w:rFonts w:ascii="Times New Roman"/>
                <w:sz w:val="21"/>
              </w:rPr>
            </w:pPr>
            <w:r>
              <w:rPr>
                <w:rFonts w:ascii="Times New Roman"/>
                <w:w w:val="99"/>
                <w:sz w:val="21"/>
              </w:rPr>
              <w:t>/</w:t>
            </w:r>
          </w:p>
        </w:tc>
        <w:tc>
          <w:tcPr>
            <w:tcW w:w="1322" w:type="dxa"/>
          </w:tcPr>
          <w:p w14:paraId="7AD26A37">
            <w:pPr>
              <w:pStyle w:val="17"/>
              <w:spacing w:before="191"/>
              <w:ind w:left="150" w:right="142"/>
              <w:rPr>
                <w:rFonts w:ascii="Times New Roman"/>
                <w:sz w:val="21"/>
              </w:rPr>
            </w:pPr>
            <w:r>
              <w:rPr>
                <w:rFonts w:ascii="Times New Roman"/>
                <w:sz w:val="21"/>
              </w:rPr>
              <w:t>292-002-09</w:t>
            </w:r>
          </w:p>
        </w:tc>
        <w:tc>
          <w:tcPr>
            <w:tcW w:w="2098" w:type="dxa"/>
            <w:tcBorders>
              <w:right w:val="nil"/>
            </w:tcBorders>
          </w:tcPr>
          <w:p w14:paraId="7A5695BF">
            <w:pPr>
              <w:pStyle w:val="17"/>
              <w:spacing w:before="21"/>
              <w:ind w:left="186" w:right="186"/>
              <w:rPr>
                <w:sz w:val="21"/>
              </w:rPr>
            </w:pPr>
            <w:r>
              <w:rPr>
                <w:sz w:val="21"/>
              </w:rPr>
              <w:t>外售至物资回收公</w:t>
            </w:r>
          </w:p>
          <w:p w14:paraId="237DA71B">
            <w:pPr>
              <w:pStyle w:val="17"/>
              <w:spacing w:before="43"/>
              <w:ind w:left="4"/>
              <w:rPr>
                <w:sz w:val="21"/>
              </w:rPr>
            </w:pPr>
            <w:r>
              <w:rPr>
                <w:w w:val="99"/>
                <w:sz w:val="21"/>
              </w:rPr>
              <w:t>司</w:t>
            </w:r>
          </w:p>
        </w:tc>
      </w:tr>
      <w:tr w14:paraId="6C20F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37E70EA3">
            <w:pPr>
              <w:pStyle w:val="17"/>
              <w:spacing w:before="76"/>
              <w:ind w:left="10"/>
              <w:rPr>
                <w:rFonts w:ascii="Times New Roman"/>
                <w:sz w:val="21"/>
              </w:rPr>
            </w:pPr>
            <w:r>
              <w:rPr>
                <w:rFonts w:ascii="Times New Roman"/>
                <w:w w:val="99"/>
                <w:sz w:val="21"/>
              </w:rPr>
              <w:t>6</w:t>
            </w:r>
          </w:p>
        </w:tc>
        <w:tc>
          <w:tcPr>
            <w:tcW w:w="1408" w:type="dxa"/>
          </w:tcPr>
          <w:p w14:paraId="159E279E">
            <w:pPr>
              <w:pStyle w:val="17"/>
              <w:spacing w:before="62"/>
              <w:ind w:left="130" w:right="124"/>
              <w:rPr>
                <w:sz w:val="21"/>
              </w:rPr>
            </w:pPr>
            <w:r>
              <w:rPr>
                <w:sz w:val="21"/>
              </w:rPr>
              <w:t>边角料</w:t>
            </w:r>
          </w:p>
        </w:tc>
        <w:tc>
          <w:tcPr>
            <w:tcW w:w="891" w:type="dxa"/>
          </w:tcPr>
          <w:p w14:paraId="7DDB6B39">
            <w:pPr>
              <w:pStyle w:val="17"/>
              <w:spacing w:before="76"/>
              <w:ind w:left="128" w:right="118"/>
              <w:rPr>
                <w:rFonts w:ascii="Times New Roman"/>
                <w:sz w:val="21"/>
              </w:rPr>
            </w:pPr>
            <w:r>
              <w:rPr>
                <w:rFonts w:ascii="Times New Roman"/>
                <w:sz w:val="21"/>
              </w:rPr>
              <w:t>100</w:t>
            </w:r>
          </w:p>
        </w:tc>
        <w:tc>
          <w:tcPr>
            <w:tcW w:w="1389" w:type="dxa"/>
          </w:tcPr>
          <w:p w14:paraId="2F371C12">
            <w:pPr>
              <w:pStyle w:val="17"/>
              <w:spacing w:before="62"/>
              <w:ind w:left="251" w:right="247"/>
              <w:rPr>
                <w:sz w:val="21"/>
              </w:rPr>
            </w:pPr>
            <w:r>
              <w:rPr>
                <w:sz w:val="21"/>
              </w:rPr>
              <w:t>一般固废</w:t>
            </w:r>
          </w:p>
        </w:tc>
        <w:tc>
          <w:tcPr>
            <w:tcW w:w="983" w:type="dxa"/>
          </w:tcPr>
          <w:p w14:paraId="5B721067">
            <w:pPr>
              <w:pStyle w:val="17"/>
              <w:spacing w:before="76"/>
              <w:ind w:left="6"/>
              <w:rPr>
                <w:rFonts w:ascii="Times New Roman"/>
                <w:sz w:val="21"/>
              </w:rPr>
            </w:pPr>
            <w:r>
              <w:rPr>
                <w:rFonts w:ascii="Times New Roman"/>
                <w:w w:val="99"/>
                <w:sz w:val="21"/>
              </w:rPr>
              <w:t>/</w:t>
            </w:r>
          </w:p>
        </w:tc>
        <w:tc>
          <w:tcPr>
            <w:tcW w:w="1322" w:type="dxa"/>
          </w:tcPr>
          <w:p w14:paraId="5E132B3A">
            <w:pPr>
              <w:pStyle w:val="17"/>
              <w:spacing w:before="76"/>
              <w:ind w:left="150" w:right="142"/>
              <w:rPr>
                <w:rFonts w:ascii="Times New Roman"/>
                <w:sz w:val="21"/>
              </w:rPr>
            </w:pPr>
            <w:r>
              <w:rPr>
                <w:rFonts w:ascii="Times New Roman"/>
                <w:sz w:val="21"/>
              </w:rPr>
              <w:t>292-002-06</w:t>
            </w:r>
          </w:p>
        </w:tc>
        <w:tc>
          <w:tcPr>
            <w:tcW w:w="2098" w:type="dxa"/>
            <w:vMerge w:val="restart"/>
            <w:tcBorders>
              <w:right w:val="nil"/>
            </w:tcBorders>
          </w:tcPr>
          <w:p w14:paraId="0300170C">
            <w:pPr>
              <w:pStyle w:val="17"/>
              <w:spacing w:before="110" w:line="278" w:lineRule="auto"/>
              <w:ind w:left="524" w:right="205" w:hanging="317"/>
              <w:jc w:val="left"/>
              <w:rPr>
                <w:sz w:val="21"/>
              </w:rPr>
            </w:pPr>
            <w:r>
              <w:rPr>
                <w:w w:val="95"/>
                <w:sz w:val="21"/>
              </w:rPr>
              <w:t>收集后经破碎工序</w:t>
            </w:r>
            <w:r>
              <w:rPr>
                <w:sz w:val="21"/>
              </w:rPr>
              <w:t>回用于生产</w:t>
            </w:r>
          </w:p>
        </w:tc>
      </w:tr>
      <w:tr w14:paraId="5A966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6" w:type="dxa"/>
            <w:tcBorders>
              <w:left w:val="nil"/>
            </w:tcBorders>
          </w:tcPr>
          <w:p w14:paraId="65D7C489">
            <w:pPr>
              <w:pStyle w:val="17"/>
              <w:spacing w:before="77"/>
              <w:ind w:left="10"/>
              <w:rPr>
                <w:rFonts w:ascii="Times New Roman"/>
                <w:sz w:val="21"/>
              </w:rPr>
            </w:pPr>
            <w:r>
              <w:rPr>
                <w:rFonts w:ascii="Times New Roman"/>
                <w:w w:val="99"/>
                <w:sz w:val="21"/>
              </w:rPr>
              <w:t>7</w:t>
            </w:r>
          </w:p>
        </w:tc>
        <w:tc>
          <w:tcPr>
            <w:tcW w:w="1408" w:type="dxa"/>
          </w:tcPr>
          <w:p w14:paraId="4247B77B">
            <w:pPr>
              <w:pStyle w:val="17"/>
              <w:spacing w:before="63"/>
              <w:ind w:left="132" w:right="124"/>
              <w:rPr>
                <w:sz w:val="21"/>
              </w:rPr>
            </w:pPr>
            <w:r>
              <w:rPr>
                <w:sz w:val="21"/>
              </w:rPr>
              <w:t>不合格品</w:t>
            </w:r>
          </w:p>
        </w:tc>
        <w:tc>
          <w:tcPr>
            <w:tcW w:w="891" w:type="dxa"/>
          </w:tcPr>
          <w:p w14:paraId="04B04B33">
            <w:pPr>
              <w:pStyle w:val="17"/>
              <w:spacing w:before="77"/>
              <w:ind w:left="125" w:right="118"/>
              <w:rPr>
                <w:rFonts w:ascii="Times New Roman"/>
                <w:sz w:val="21"/>
              </w:rPr>
            </w:pPr>
            <w:r>
              <w:rPr>
                <w:rFonts w:ascii="Times New Roman"/>
                <w:sz w:val="21"/>
              </w:rPr>
              <w:t>50</w:t>
            </w:r>
          </w:p>
        </w:tc>
        <w:tc>
          <w:tcPr>
            <w:tcW w:w="1389" w:type="dxa"/>
          </w:tcPr>
          <w:p w14:paraId="2AAAAED7">
            <w:pPr>
              <w:pStyle w:val="17"/>
              <w:spacing w:before="63"/>
              <w:ind w:left="251" w:right="247"/>
              <w:rPr>
                <w:sz w:val="21"/>
              </w:rPr>
            </w:pPr>
            <w:r>
              <w:rPr>
                <w:sz w:val="21"/>
              </w:rPr>
              <w:t>一般固废</w:t>
            </w:r>
          </w:p>
        </w:tc>
        <w:tc>
          <w:tcPr>
            <w:tcW w:w="983" w:type="dxa"/>
          </w:tcPr>
          <w:p w14:paraId="58972918">
            <w:pPr>
              <w:pStyle w:val="17"/>
              <w:spacing w:before="77"/>
              <w:ind w:left="6"/>
              <w:rPr>
                <w:rFonts w:ascii="Times New Roman"/>
                <w:sz w:val="21"/>
              </w:rPr>
            </w:pPr>
            <w:r>
              <w:rPr>
                <w:rFonts w:ascii="Times New Roman"/>
                <w:w w:val="99"/>
                <w:sz w:val="21"/>
              </w:rPr>
              <w:t>/</w:t>
            </w:r>
          </w:p>
        </w:tc>
        <w:tc>
          <w:tcPr>
            <w:tcW w:w="1322" w:type="dxa"/>
          </w:tcPr>
          <w:p w14:paraId="2C75502E">
            <w:pPr>
              <w:pStyle w:val="17"/>
              <w:spacing w:before="77"/>
              <w:ind w:left="150" w:right="142"/>
              <w:rPr>
                <w:rFonts w:ascii="Times New Roman"/>
                <w:sz w:val="21"/>
              </w:rPr>
            </w:pPr>
            <w:r>
              <w:rPr>
                <w:rFonts w:ascii="Times New Roman"/>
                <w:sz w:val="21"/>
              </w:rPr>
              <w:t>292-002-06</w:t>
            </w:r>
          </w:p>
        </w:tc>
        <w:tc>
          <w:tcPr>
            <w:tcW w:w="2098" w:type="dxa"/>
            <w:vMerge w:val="continue"/>
            <w:tcBorders>
              <w:top w:val="nil"/>
              <w:right w:val="nil"/>
            </w:tcBorders>
          </w:tcPr>
          <w:p w14:paraId="0265CE57">
            <w:pPr>
              <w:rPr>
                <w:sz w:val="2"/>
                <w:szCs w:val="2"/>
              </w:rPr>
            </w:pPr>
          </w:p>
        </w:tc>
      </w:tr>
      <w:tr w14:paraId="0352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4DA60739">
            <w:pPr>
              <w:pStyle w:val="17"/>
              <w:spacing w:before="78"/>
              <w:ind w:left="10"/>
              <w:rPr>
                <w:rFonts w:ascii="Times New Roman"/>
                <w:sz w:val="21"/>
              </w:rPr>
            </w:pPr>
            <w:r>
              <w:rPr>
                <w:rFonts w:ascii="Times New Roman"/>
                <w:w w:val="99"/>
                <w:sz w:val="21"/>
              </w:rPr>
              <w:t>8</w:t>
            </w:r>
          </w:p>
        </w:tc>
        <w:tc>
          <w:tcPr>
            <w:tcW w:w="1408" w:type="dxa"/>
          </w:tcPr>
          <w:p w14:paraId="567F152E">
            <w:pPr>
              <w:pStyle w:val="17"/>
              <w:spacing w:before="64"/>
              <w:ind w:left="132" w:right="124"/>
              <w:rPr>
                <w:sz w:val="21"/>
              </w:rPr>
            </w:pPr>
            <w:r>
              <w:rPr>
                <w:sz w:val="21"/>
              </w:rPr>
              <w:t>废润滑油</w:t>
            </w:r>
          </w:p>
        </w:tc>
        <w:tc>
          <w:tcPr>
            <w:tcW w:w="891" w:type="dxa"/>
          </w:tcPr>
          <w:p w14:paraId="0BF671D2">
            <w:pPr>
              <w:pStyle w:val="17"/>
              <w:spacing w:before="78"/>
              <w:ind w:left="128" w:right="118"/>
              <w:rPr>
                <w:rFonts w:ascii="Times New Roman"/>
                <w:sz w:val="21"/>
              </w:rPr>
            </w:pPr>
            <w:r>
              <w:rPr>
                <w:rFonts w:ascii="Times New Roman"/>
                <w:sz w:val="21"/>
              </w:rPr>
              <w:t>0.01</w:t>
            </w:r>
          </w:p>
        </w:tc>
        <w:tc>
          <w:tcPr>
            <w:tcW w:w="1389" w:type="dxa"/>
          </w:tcPr>
          <w:p w14:paraId="5A438823">
            <w:pPr>
              <w:pStyle w:val="17"/>
              <w:spacing w:before="64"/>
              <w:ind w:left="251" w:right="247"/>
              <w:rPr>
                <w:sz w:val="21"/>
              </w:rPr>
            </w:pPr>
            <w:r>
              <w:rPr>
                <w:sz w:val="21"/>
              </w:rPr>
              <w:t>危险废物</w:t>
            </w:r>
          </w:p>
        </w:tc>
        <w:tc>
          <w:tcPr>
            <w:tcW w:w="983" w:type="dxa"/>
          </w:tcPr>
          <w:p w14:paraId="456A1319">
            <w:pPr>
              <w:pStyle w:val="17"/>
              <w:spacing w:before="78"/>
              <w:ind w:left="51" w:right="44"/>
              <w:rPr>
                <w:rFonts w:ascii="Times New Roman"/>
                <w:sz w:val="21"/>
              </w:rPr>
            </w:pPr>
            <w:r>
              <w:rPr>
                <w:rFonts w:ascii="Times New Roman"/>
                <w:sz w:val="21"/>
              </w:rPr>
              <w:t>HW08</w:t>
            </w:r>
          </w:p>
        </w:tc>
        <w:tc>
          <w:tcPr>
            <w:tcW w:w="1322" w:type="dxa"/>
          </w:tcPr>
          <w:p w14:paraId="7278BF0A">
            <w:pPr>
              <w:pStyle w:val="17"/>
              <w:spacing w:before="78"/>
              <w:ind w:left="150" w:right="142"/>
              <w:rPr>
                <w:rFonts w:ascii="Times New Roman"/>
                <w:sz w:val="21"/>
              </w:rPr>
            </w:pPr>
            <w:r>
              <w:rPr>
                <w:rFonts w:ascii="Times New Roman"/>
                <w:sz w:val="21"/>
              </w:rPr>
              <w:t>900-249-08</w:t>
            </w:r>
          </w:p>
        </w:tc>
        <w:tc>
          <w:tcPr>
            <w:tcW w:w="2098" w:type="dxa"/>
            <w:vMerge w:val="restart"/>
            <w:tcBorders>
              <w:right w:val="nil"/>
            </w:tcBorders>
          </w:tcPr>
          <w:p w14:paraId="5C0A3BCF">
            <w:pPr>
              <w:pStyle w:val="17"/>
              <w:spacing w:before="10"/>
              <w:jc w:val="left"/>
              <w:rPr>
                <w:b/>
                <w:sz w:val="24"/>
              </w:rPr>
            </w:pPr>
          </w:p>
          <w:p w14:paraId="784A1259">
            <w:pPr>
              <w:pStyle w:val="17"/>
              <w:spacing w:before="1" w:line="278" w:lineRule="auto"/>
              <w:ind w:left="106" w:right="102" w:hanging="3"/>
              <w:rPr>
                <w:sz w:val="21"/>
              </w:rPr>
            </w:pPr>
            <w:r>
              <w:rPr>
                <w:sz w:val="21"/>
              </w:rPr>
              <w:t xml:space="preserve">收集后暂存于危废 </w:t>
            </w:r>
            <w:r>
              <w:rPr>
                <w:spacing w:val="-3"/>
                <w:w w:val="95"/>
                <w:sz w:val="21"/>
              </w:rPr>
              <w:t>间，定期交由有危废</w:t>
            </w:r>
            <w:r>
              <w:rPr>
                <w:spacing w:val="-3"/>
                <w:sz w:val="21"/>
              </w:rPr>
              <w:t>处理资质单位统一处理</w:t>
            </w:r>
          </w:p>
        </w:tc>
      </w:tr>
      <w:tr w14:paraId="47519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52986D00">
            <w:pPr>
              <w:pStyle w:val="17"/>
              <w:spacing w:before="191"/>
              <w:ind w:left="10"/>
              <w:rPr>
                <w:rFonts w:ascii="Times New Roman"/>
                <w:sz w:val="21"/>
              </w:rPr>
            </w:pPr>
            <w:r>
              <w:rPr>
                <w:rFonts w:ascii="Times New Roman"/>
                <w:w w:val="99"/>
                <w:sz w:val="21"/>
              </w:rPr>
              <w:t>9</w:t>
            </w:r>
          </w:p>
        </w:tc>
        <w:tc>
          <w:tcPr>
            <w:tcW w:w="1408" w:type="dxa"/>
          </w:tcPr>
          <w:p w14:paraId="0194957D">
            <w:pPr>
              <w:pStyle w:val="17"/>
              <w:spacing w:before="21"/>
              <w:ind w:left="132" w:right="124"/>
              <w:rPr>
                <w:sz w:val="21"/>
              </w:rPr>
            </w:pPr>
            <w:r>
              <w:rPr>
                <w:sz w:val="21"/>
              </w:rPr>
              <w:t>含油废抹布</w:t>
            </w:r>
          </w:p>
          <w:p w14:paraId="3B247847">
            <w:pPr>
              <w:pStyle w:val="17"/>
              <w:spacing w:before="43"/>
              <w:ind w:left="130" w:right="124"/>
              <w:rPr>
                <w:sz w:val="21"/>
              </w:rPr>
            </w:pPr>
            <w:r>
              <w:rPr>
                <w:sz w:val="21"/>
              </w:rPr>
              <w:t>手套</w:t>
            </w:r>
          </w:p>
        </w:tc>
        <w:tc>
          <w:tcPr>
            <w:tcW w:w="891" w:type="dxa"/>
          </w:tcPr>
          <w:p w14:paraId="112F984F">
            <w:pPr>
              <w:pStyle w:val="17"/>
              <w:spacing w:before="191"/>
              <w:ind w:left="128" w:right="118"/>
              <w:rPr>
                <w:rFonts w:ascii="Times New Roman"/>
                <w:sz w:val="21"/>
              </w:rPr>
            </w:pPr>
            <w:r>
              <w:rPr>
                <w:rFonts w:ascii="Times New Roman"/>
                <w:sz w:val="21"/>
              </w:rPr>
              <w:t>0.01</w:t>
            </w:r>
          </w:p>
        </w:tc>
        <w:tc>
          <w:tcPr>
            <w:tcW w:w="1389" w:type="dxa"/>
          </w:tcPr>
          <w:p w14:paraId="7C9A267F">
            <w:pPr>
              <w:pStyle w:val="17"/>
              <w:spacing w:before="177"/>
              <w:ind w:left="251" w:right="247"/>
              <w:rPr>
                <w:sz w:val="21"/>
              </w:rPr>
            </w:pPr>
            <w:r>
              <w:rPr>
                <w:sz w:val="21"/>
              </w:rPr>
              <w:t>危险废物</w:t>
            </w:r>
          </w:p>
        </w:tc>
        <w:tc>
          <w:tcPr>
            <w:tcW w:w="983" w:type="dxa"/>
          </w:tcPr>
          <w:p w14:paraId="08892164">
            <w:pPr>
              <w:pStyle w:val="17"/>
              <w:spacing w:before="191"/>
              <w:ind w:left="51" w:right="44"/>
              <w:rPr>
                <w:rFonts w:ascii="Times New Roman"/>
                <w:sz w:val="21"/>
              </w:rPr>
            </w:pPr>
            <w:r>
              <w:rPr>
                <w:rFonts w:ascii="Times New Roman"/>
                <w:sz w:val="21"/>
              </w:rPr>
              <w:t>HW49</w:t>
            </w:r>
          </w:p>
        </w:tc>
        <w:tc>
          <w:tcPr>
            <w:tcW w:w="1322" w:type="dxa"/>
          </w:tcPr>
          <w:p w14:paraId="41840F08">
            <w:pPr>
              <w:pStyle w:val="17"/>
              <w:spacing w:before="191"/>
              <w:ind w:left="150" w:right="142"/>
              <w:rPr>
                <w:rFonts w:ascii="Times New Roman"/>
                <w:sz w:val="21"/>
              </w:rPr>
            </w:pPr>
            <w:r>
              <w:rPr>
                <w:rFonts w:ascii="Times New Roman"/>
                <w:sz w:val="21"/>
              </w:rPr>
              <w:t>900-041-49</w:t>
            </w:r>
          </w:p>
        </w:tc>
        <w:tc>
          <w:tcPr>
            <w:tcW w:w="2098" w:type="dxa"/>
            <w:vMerge w:val="continue"/>
            <w:tcBorders>
              <w:top w:val="nil"/>
              <w:right w:val="nil"/>
            </w:tcBorders>
          </w:tcPr>
          <w:p w14:paraId="179CF150">
            <w:pPr>
              <w:rPr>
                <w:sz w:val="2"/>
                <w:szCs w:val="2"/>
              </w:rPr>
            </w:pPr>
          </w:p>
        </w:tc>
      </w:tr>
      <w:tr w14:paraId="59216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26" w:type="dxa"/>
            <w:tcBorders>
              <w:left w:val="nil"/>
            </w:tcBorders>
          </w:tcPr>
          <w:p w14:paraId="2E19ADC3">
            <w:pPr>
              <w:pStyle w:val="17"/>
              <w:spacing w:before="76"/>
              <w:ind w:left="33" w:right="18"/>
              <w:rPr>
                <w:rFonts w:ascii="Times New Roman"/>
                <w:sz w:val="21"/>
              </w:rPr>
            </w:pPr>
            <w:r>
              <w:rPr>
                <w:rFonts w:ascii="Times New Roman"/>
                <w:sz w:val="21"/>
              </w:rPr>
              <w:t>10</w:t>
            </w:r>
          </w:p>
        </w:tc>
        <w:tc>
          <w:tcPr>
            <w:tcW w:w="1408" w:type="dxa"/>
          </w:tcPr>
          <w:p w14:paraId="63CE733C">
            <w:pPr>
              <w:pStyle w:val="17"/>
              <w:spacing w:before="62"/>
              <w:ind w:left="132" w:right="124"/>
              <w:rPr>
                <w:sz w:val="21"/>
              </w:rPr>
            </w:pPr>
            <w:r>
              <w:rPr>
                <w:sz w:val="21"/>
              </w:rPr>
              <w:t>废活性炭</w:t>
            </w:r>
          </w:p>
        </w:tc>
        <w:tc>
          <w:tcPr>
            <w:tcW w:w="891" w:type="dxa"/>
          </w:tcPr>
          <w:p w14:paraId="3569D3B9">
            <w:pPr>
              <w:pStyle w:val="17"/>
              <w:spacing w:before="76"/>
              <w:ind w:left="125" w:right="118"/>
              <w:rPr>
                <w:rFonts w:ascii="Times New Roman"/>
                <w:sz w:val="21"/>
              </w:rPr>
            </w:pPr>
            <w:r>
              <w:rPr>
                <w:rFonts w:ascii="Times New Roman"/>
                <w:sz w:val="21"/>
              </w:rPr>
              <w:t>59.306</w:t>
            </w:r>
          </w:p>
        </w:tc>
        <w:tc>
          <w:tcPr>
            <w:tcW w:w="1389" w:type="dxa"/>
          </w:tcPr>
          <w:p w14:paraId="674955DF">
            <w:pPr>
              <w:pStyle w:val="17"/>
              <w:spacing w:before="62"/>
              <w:ind w:left="251" w:right="247"/>
              <w:rPr>
                <w:sz w:val="21"/>
              </w:rPr>
            </w:pPr>
            <w:r>
              <w:rPr>
                <w:sz w:val="21"/>
              </w:rPr>
              <w:t>危险废物</w:t>
            </w:r>
          </w:p>
        </w:tc>
        <w:tc>
          <w:tcPr>
            <w:tcW w:w="983" w:type="dxa"/>
          </w:tcPr>
          <w:p w14:paraId="66D5F41E">
            <w:pPr>
              <w:pStyle w:val="17"/>
              <w:spacing w:before="76"/>
              <w:ind w:left="51" w:right="44"/>
              <w:rPr>
                <w:rFonts w:ascii="Times New Roman"/>
                <w:sz w:val="21"/>
              </w:rPr>
            </w:pPr>
            <w:r>
              <w:rPr>
                <w:rFonts w:ascii="Times New Roman"/>
                <w:sz w:val="21"/>
              </w:rPr>
              <w:t>HW49</w:t>
            </w:r>
          </w:p>
        </w:tc>
        <w:tc>
          <w:tcPr>
            <w:tcW w:w="1322" w:type="dxa"/>
          </w:tcPr>
          <w:p w14:paraId="0FB32003">
            <w:pPr>
              <w:pStyle w:val="17"/>
              <w:spacing w:before="76"/>
              <w:ind w:left="150" w:right="142"/>
              <w:rPr>
                <w:rFonts w:ascii="Times New Roman"/>
                <w:sz w:val="21"/>
              </w:rPr>
            </w:pPr>
            <w:r>
              <w:rPr>
                <w:rFonts w:ascii="Times New Roman"/>
                <w:sz w:val="21"/>
              </w:rPr>
              <w:t>900-039-49</w:t>
            </w:r>
          </w:p>
        </w:tc>
        <w:tc>
          <w:tcPr>
            <w:tcW w:w="2098" w:type="dxa"/>
            <w:vMerge w:val="continue"/>
            <w:tcBorders>
              <w:top w:val="nil"/>
              <w:right w:val="nil"/>
            </w:tcBorders>
          </w:tcPr>
          <w:p w14:paraId="6AC30F86">
            <w:pPr>
              <w:rPr>
                <w:sz w:val="2"/>
                <w:szCs w:val="2"/>
              </w:rPr>
            </w:pPr>
          </w:p>
        </w:tc>
      </w:tr>
      <w:tr w14:paraId="24CCC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6" w:type="dxa"/>
            <w:tcBorders>
              <w:left w:val="nil"/>
            </w:tcBorders>
          </w:tcPr>
          <w:p w14:paraId="66C9FA23">
            <w:pPr>
              <w:pStyle w:val="17"/>
              <w:spacing w:before="77"/>
              <w:ind w:left="33" w:right="18"/>
              <w:rPr>
                <w:rFonts w:ascii="Times New Roman"/>
                <w:sz w:val="21"/>
              </w:rPr>
            </w:pPr>
            <w:r>
              <w:rPr>
                <w:rFonts w:ascii="Times New Roman"/>
                <w:sz w:val="21"/>
              </w:rPr>
              <w:t>11</w:t>
            </w:r>
          </w:p>
        </w:tc>
        <w:tc>
          <w:tcPr>
            <w:tcW w:w="1408" w:type="dxa"/>
          </w:tcPr>
          <w:p w14:paraId="442A0CA7">
            <w:pPr>
              <w:pStyle w:val="17"/>
              <w:spacing w:before="63"/>
              <w:ind w:left="132" w:right="124"/>
              <w:rPr>
                <w:sz w:val="21"/>
              </w:rPr>
            </w:pPr>
            <w:r>
              <w:rPr>
                <w:sz w:val="21"/>
              </w:rPr>
              <w:t>废过滤棉</w:t>
            </w:r>
          </w:p>
        </w:tc>
        <w:tc>
          <w:tcPr>
            <w:tcW w:w="891" w:type="dxa"/>
          </w:tcPr>
          <w:p w14:paraId="165F99E1">
            <w:pPr>
              <w:pStyle w:val="17"/>
              <w:spacing w:before="77"/>
              <w:ind w:left="128" w:right="118"/>
              <w:rPr>
                <w:rFonts w:ascii="Times New Roman"/>
                <w:sz w:val="21"/>
              </w:rPr>
            </w:pPr>
            <w:r>
              <w:rPr>
                <w:rFonts w:ascii="Times New Roman"/>
                <w:sz w:val="21"/>
              </w:rPr>
              <w:t>0.06</w:t>
            </w:r>
          </w:p>
        </w:tc>
        <w:tc>
          <w:tcPr>
            <w:tcW w:w="1389" w:type="dxa"/>
          </w:tcPr>
          <w:p w14:paraId="43FEE53C">
            <w:pPr>
              <w:pStyle w:val="17"/>
              <w:spacing w:before="63"/>
              <w:ind w:left="251" w:right="247"/>
              <w:rPr>
                <w:sz w:val="21"/>
              </w:rPr>
            </w:pPr>
            <w:r>
              <w:rPr>
                <w:sz w:val="21"/>
              </w:rPr>
              <w:t>危险废物</w:t>
            </w:r>
          </w:p>
        </w:tc>
        <w:tc>
          <w:tcPr>
            <w:tcW w:w="983" w:type="dxa"/>
          </w:tcPr>
          <w:p w14:paraId="7DC85532">
            <w:pPr>
              <w:pStyle w:val="17"/>
              <w:spacing w:before="77"/>
              <w:ind w:left="51" w:right="44"/>
              <w:rPr>
                <w:rFonts w:ascii="Times New Roman"/>
                <w:sz w:val="21"/>
              </w:rPr>
            </w:pPr>
            <w:r>
              <w:rPr>
                <w:rFonts w:ascii="Times New Roman"/>
                <w:sz w:val="21"/>
              </w:rPr>
              <w:t>HW49</w:t>
            </w:r>
          </w:p>
        </w:tc>
        <w:tc>
          <w:tcPr>
            <w:tcW w:w="1322" w:type="dxa"/>
          </w:tcPr>
          <w:p w14:paraId="37C22D90">
            <w:pPr>
              <w:pStyle w:val="17"/>
              <w:spacing w:before="77"/>
              <w:ind w:left="150" w:right="142"/>
              <w:rPr>
                <w:rFonts w:ascii="Times New Roman"/>
                <w:sz w:val="21"/>
              </w:rPr>
            </w:pPr>
            <w:r>
              <w:rPr>
                <w:rFonts w:ascii="Times New Roman"/>
                <w:sz w:val="21"/>
              </w:rPr>
              <w:t>900-041-49</w:t>
            </w:r>
          </w:p>
        </w:tc>
        <w:tc>
          <w:tcPr>
            <w:tcW w:w="2098" w:type="dxa"/>
            <w:vMerge w:val="continue"/>
            <w:tcBorders>
              <w:top w:val="nil"/>
              <w:right w:val="nil"/>
            </w:tcBorders>
          </w:tcPr>
          <w:p w14:paraId="3BD18272">
            <w:pPr>
              <w:rPr>
                <w:sz w:val="2"/>
                <w:szCs w:val="2"/>
              </w:rPr>
            </w:pPr>
          </w:p>
        </w:tc>
      </w:tr>
    </w:tbl>
    <w:p w14:paraId="2634C4AB">
      <w:pPr>
        <w:spacing w:after="0"/>
        <w:rPr>
          <w:sz w:val="2"/>
          <w:szCs w:val="2"/>
        </w:rPr>
        <w:sectPr>
          <w:pgSz w:w="11910" w:h="16840"/>
          <w:pgMar w:top="1360" w:right="1440" w:bottom="1220" w:left="1580" w:header="0" w:footer="1024" w:gutter="0"/>
          <w:cols w:space="720" w:num="1"/>
        </w:sectPr>
      </w:pPr>
    </w:p>
    <w:p w14:paraId="7091540F">
      <w:pPr>
        <w:pStyle w:val="10"/>
        <w:rPr>
          <w:b/>
          <w:sz w:val="20"/>
        </w:rPr>
      </w:pPr>
    </w:p>
    <w:p w14:paraId="11D5EA86">
      <w:pPr>
        <w:pStyle w:val="10"/>
        <w:rPr>
          <w:b/>
          <w:sz w:val="20"/>
        </w:rPr>
      </w:pPr>
    </w:p>
    <w:p w14:paraId="3A7B6E73">
      <w:pPr>
        <w:pStyle w:val="10"/>
        <w:spacing w:before="3"/>
        <w:rPr>
          <w:b/>
          <w:sz w:val="15"/>
        </w:rPr>
      </w:pPr>
    </w:p>
    <w:p w14:paraId="0848E308">
      <w:pPr>
        <w:spacing w:after="0"/>
        <w:rPr>
          <w:sz w:val="15"/>
        </w:rPr>
        <w:sectPr>
          <w:footerReference r:id="rId16" w:type="default"/>
          <w:pgSz w:w="16840" w:h="11910" w:orient="landscape"/>
          <w:pgMar w:top="1100" w:right="1220" w:bottom="280" w:left="1220" w:header="0" w:footer="0" w:gutter="0"/>
          <w:cols w:space="720" w:num="1"/>
        </w:sectPr>
      </w:pPr>
    </w:p>
    <w:p w14:paraId="75A2A075">
      <w:pPr>
        <w:pStyle w:val="10"/>
        <w:spacing w:before="66"/>
        <w:ind w:left="700"/>
      </w:pPr>
      <w:r>
        <w:t>项目危险废物基本情况见下表。</w:t>
      </w:r>
    </w:p>
    <w:p w14:paraId="75C45FE5">
      <w:pPr>
        <w:pStyle w:val="10"/>
        <w:spacing w:before="6"/>
        <w:rPr>
          <w:sz w:val="35"/>
        </w:rPr>
      </w:pPr>
      <w:r>
        <w:br w:type="column"/>
      </w:r>
    </w:p>
    <w:p w14:paraId="6E356C6B">
      <w:pPr>
        <w:pStyle w:val="9"/>
        <w:spacing w:before="1"/>
        <w:ind w:left="700"/>
      </w:pPr>
      <w:r>
        <w:t xml:space="preserve">表 </w:t>
      </w:r>
      <w:r>
        <w:rPr>
          <w:rFonts w:ascii="Times New Roman" w:eastAsia="Times New Roman"/>
        </w:rPr>
        <w:t xml:space="preserve">2.4-5 </w:t>
      </w:r>
      <w:r>
        <w:t>危险废物汇总表</w:t>
      </w:r>
    </w:p>
    <w:p w14:paraId="18B969F2">
      <w:pPr>
        <w:spacing w:after="0"/>
        <w:sectPr>
          <w:type w:val="continuous"/>
          <w:pgSz w:w="16840" w:h="11910" w:orient="landscape"/>
          <w:pgMar w:top="1600" w:right="1220" w:bottom="280" w:left="1220" w:header="720" w:footer="720" w:gutter="0"/>
          <w:cols w:equalWidth="0" w:num="2">
            <w:col w:w="4101" w:space="915"/>
            <w:col w:w="9384"/>
          </w:cols>
        </w:sectPr>
      </w:pPr>
    </w:p>
    <w:tbl>
      <w:tblPr>
        <w:tblStyle w:val="13"/>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9"/>
        <w:gridCol w:w="1556"/>
        <w:gridCol w:w="1454"/>
        <w:gridCol w:w="1582"/>
        <w:gridCol w:w="1006"/>
        <w:gridCol w:w="1488"/>
        <w:gridCol w:w="666"/>
        <w:gridCol w:w="1446"/>
        <w:gridCol w:w="1324"/>
        <w:gridCol w:w="1004"/>
        <w:gridCol w:w="746"/>
        <w:gridCol w:w="1386"/>
      </w:tblGrid>
      <w:tr w14:paraId="490CB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6704254F">
            <w:pPr>
              <w:pStyle w:val="17"/>
              <w:spacing w:before="22"/>
              <w:ind w:left="147"/>
              <w:jc w:val="left"/>
              <w:rPr>
                <w:sz w:val="21"/>
              </w:rPr>
            </w:pPr>
            <w:r>
              <w:rPr>
                <w:w w:val="99"/>
                <w:sz w:val="21"/>
              </w:rPr>
              <w:t>序</w:t>
            </w:r>
          </w:p>
          <w:p w14:paraId="643BFA35">
            <w:pPr>
              <w:pStyle w:val="17"/>
              <w:spacing w:before="43"/>
              <w:ind w:left="147"/>
              <w:jc w:val="left"/>
              <w:rPr>
                <w:sz w:val="21"/>
              </w:rPr>
            </w:pPr>
            <w:r>
              <w:rPr>
                <w:w w:val="99"/>
                <w:sz w:val="21"/>
              </w:rPr>
              <w:t>号</w:t>
            </w:r>
          </w:p>
        </w:tc>
        <w:tc>
          <w:tcPr>
            <w:tcW w:w="1556" w:type="dxa"/>
          </w:tcPr>
          <w:p w14:paraId="44F4D9E7">
            <w:pPr>
              <w:pStyle w:val="17"/>
              <w:spacing w:before="178"/>
              <w:ind w:left="7"/>
              <w:rPr>
                <w:sz w:val="21"/>
              </w:rPr>
            </w:pPr>
            <w:r>
              <w:rPr>
                <w:sz w:val="21"/>
              </w:rPr>
              <w:t>名称</w:t>
            </w:r>
          </w:p>
        </w:tc>
        <w:tc>
          <w:tcPr>
            <w:tcW w:w="1454" w:type="dxa"/>
          </w:tcPr>
          <w:p w14:paraId="0C937B42">
            <w:pPr>
              <w:pStyle w:val="17"/>
              <w:spacing w:before="178"/>
              <w:ind w:left="75" w:right="68"/>
              <w:rPr>
                <w:sz w:val="21"/>
              </w:rPr>
            </w:pPr>
            <w:r>
              <w:rPr>
                <w:sz w:val="21"/>
              </w:rPr>
              <w:t>危险废物类别</w:t>
            </w:r>
          </w:p>
        </w:tc>
        <w:tc>
          <w:tcPr>
            <w:tcW w:w="1582" w:type="dxa"/>
          </w:tcPr>
          <w:p w14:paraId="1505E866">
            <w:pPr>
              <w:pStyle w:val="17"/>
              <w:spacing w:before="178"/>
              <w:ind w:left="138" w:right="134"/>
              <w:rPr>
                <w:sz w:val="21"/>
              </w:rPr>
            </w:pPr>
            <w:r>
              <w:rPr>
                <w:sz w:val="21"/>
              </w:rPr>
              <w:t>危险废物代码</w:t>
            </w:r>
          </w:p>
        </w:tc>
        <w:tc>
          <w:tcPr>
            <w:tcW w:w="1006" w:type="dxa"/>
          </w:tcPr>
          <w:p w14:paraId="3BC90028">
            <w:pPr>
              <w:pStyle w:val="17"/>
              <w:spacing w:before="178"/>
              <w:ind w:left="8" w:right="3"/>
              <w:rPr>
                <w:rFonts w:ascii="Times New Roman" w:eastAsia="Times New Roman"/>
                <w:sz w:val="21"/>
              </w:rPr>
            </w:pPr>
            <w:r>
              <w:rPr>
                <w:sz w:val="21"/>
              </w:rPr>
              <w:t xml:space="preserve">产生量 </w:t>
            </w:r>
            <w:r>
              <w:rPr>
                <w:rFonts w:ascii="Times New Roman" w:eastAsia="Times New Roman"/>
                <w:sz w:val="21"/>
              </w:rPr>
              <w:t>t/a</w:t>
            </w:r>
          </w:p>
        </w:tc>
        <w:tc>
          <w:tcPr>
            <w:tcW w:w="1488" w:type="dxa"/>
          </w:tcPr>
          <w:p w14:paraId="1E2516E5">
            <w:pPr>
              <w:pStyle w:val="17"/>
              <w:spacing w:before="22"/>
              <w:ind w:left="92" w:right="86"/>
              <w:rPr>
                <w:sz w:val="21"/>
              </w:rPr>
            </w:pPr>
            <w:r>
              <w:rPr>
                <w:sz w:val="21"/>
              </w:rPr>
              <w:t>产生工序及装</w:t>
            </w:r>
          </w:p>
          <w:p w14:paraId="53F01CFF">
            <w:pPr>
              <w:pStyle w:val="17"/>
              <w:spacing w:before="43"/>
              <w:ind w:left="8"/>
              <w:rPr>
                <w:sz w:val="21"/>
              </w:rPr>
            </w:pPr>
            <w:r>
              <w:rPr>
                <w:w w:val="99"/>
                <w:sz w:val="21"/>
              </w:rPr>
              <w:t>置</w:t>
            </w:r>
          </w:p>
        </w:tc>
        <w:tc>
          <w:tcPr>
            <w:tcW w:w="666" w:type="dxa"/>
          </w:tcPr>
          <w:p w14:paraId="1DE9A76F">
            <w:pPr>
              <w:pStyle w:val="17"/>
              <w:spacing w:before="178"/>
              <w:ind w:left="122"/>
              <w:jc w:val="left"/>
              <w:rPr>
                <w:sz w:val="21"/>
              </w:rPr>
            </w:pPr>
            <w:r>
              <w:rPr>
                <w:sz w:val="21"/>
              </w:rPr>
              <w:t>形态</w:t>
            </w:r>
          </w:p>
        </w:tc>
        <w:tc>
          <w:tcPr>
            <w:tcW w:w="1446" w:type="dxa"/>
          </w:tcPr>
          <w:p w14:paraId="5A4EDA9E">
            <w:pPr>
              <w:pStyle w:val="17"/>
              <w:spacing w:before="178"/>
              <w:ind w:left="68" w:right="64"/>
              <w:rPr>
                <w:sz w:val="21"/>
              </w:rPr>
            </w:pPr>
            <w:r>
              <w:rPr>
                <w:sz w:val="21"/>
              </w:rPr>
              <w:t>主要成分</w:t>
            </w:r>
          </w:p>
        </w:tc>
        <w:tc>
          <w:tcPr>
            <w:tcW w:w="1324" w:type="dxa"/>
          </w:tcPr>
          <w:p w14:paraId="3AD1E90F">
            <w:pPr>
              <w:pStyle w:val="17"/>
              <w:spacing w:before="178"/>
              <w:ind w:left="116" w:right="107"/>
              <w:rPr>
                <w:sz w:val="21"/>
              </w:rPr>
            </w:pPr>
            <w:r>
              <w:rPr>
                <w:sz w:val="21"/>
              </w:rPr>
              <w:t>有害成分</w:t>
            </w:r>
          </w:p>
        </w:tc>
        <w:tc>
          <w:tcPr>
            <w:tcW w:w="1004" w:type="dxa"/>
          </w:tcPr>
          <w:p w14:paraId="21BD5304">
            <w:pPr>
              <w:pStyle w:val="17"/>
              <w:spacing w:before="178"/>
              <w:ind w:left="61" w:right="52"/>
              <w:rPr>
                <w:sz w:val="21"/>
              </w:rPr>
            </w:pPr>
            <w:r>
              <w:rPr>
                <w:sz w:val="21"/>
              </w:rPr>
              <w:t>产废周期</w:t>
            </w:r>
          </w:p>
        </w:tc>
        <w:tc>
          <w:tcPr>
            <w:tcW w:w="746" w:type="dxa"/>
          </w:tcPr>
          <w:p w14:paraId="32402FA5">
            <w:pPr>
              <w:pStyle w:val="17"/>
              <w:spacing w:before="22"/>
              <w:ind w:left="37" w:right="29"/>
              <w:rPr>
                <w:sz w:val="21"/>
              </w:rPr>
            </w:pPr>
            <w:r>
              <w:rPr>
                <w:sz w:val="21"/>
              </w:rPr>
              <w:t>危险特</w:t>
            </w:r>
          </w:p>
          <w:p w14:paraId="01B8018C">
            <w:pPr>
              <w:pStyle w:val="17"/>
              <w:spacing w:before="43"/>
              <w:ind w:left="6"/>
              <w:rPr>
                <w:sz w:val="21"/>
              </w:rPr>
            </w:pPr>
            <w:r>
              <w:rPr>
                <w:w w:val="99"/>
                <w:sz w:val="21"/>
              </w:rPr>
              <w:t>性</w:t>
            </w:r>
          </w:p>
        </w:tc>
        <w:tc>
          <w:tcPr>
            <w:tcW w:w="1386" w:type="dxa"/>
            <w:tcBorders>
              <w:right w:val="nil"/>
            </w:tcBorders>
          </w:tcPr>
          <w:p w14:paraId="037A3918">
            <w:pPr>
              <w:pStyle w:val="17"/>
              <w:spacing w:before="178"/>
              <w:ind w:left="63"/>
              <w:jc w:val="left"/>
              <w:rPr>
                <w:sz w:val="21"/>
              </w:rPr>
            </w:pPr>
            <w:r>
              <w:rPr>
                <w:sz w:val="21"/>
              </w:rPr>
              <w:t>污染防治措施</w:t>
            </w:r>
          </w:p>
        </w:tc>
      </w:tr>
      <w:tr w14:paraId="6C58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9" w:type="dxa"/>
            <w:tcBorders>
              <w:left w:val="nil"/>
            </w:tcBorders>
          </w:tcPr>
          <w:p w14:paraId="71DA615D">
            <w:pPr>
              <w:pStyle w:val="17"/>
              <w:spacing w:before="191"/>
              <w:ind w:left="12"/>
              <w:rPr>
                <w:rFonts w:ascii="Times New Roman"/>
                <w:sz w:val="21"/>
              </w:rPr>
            </w:pPr>
            <w:r>
              <w:rPr>
                <w:rFonts w:ascii="Times New Roman"/>
                <w:w w:val="99"/>
                <w:sz w:val="21"/>
              </w:rPr>
              <w:t>1</w:t>
            </w:r>
          </w:p>
        </w:tc>
        <w:tc>
          <w:tcPr>
            <w:tcW w:w="1556" w:type="dxa"/>
          </w:tcPr>
          <w:p w14:paraId="36825153">
            <w:pPr>
              <w:pStyle w:val="17"/>
              <w:spacing w:before="178"/>
              <w:ind w:left="5"/>
              <w:rPr>
                <w:sz w:val="21"/>
              </w:rPr>
            </w:pPr>
            <w:r>
              <w:rPr>
                <w:sz w:val="21"/>
              </w:rPr>
              <w:t>废润滑油</w:t>
            </w:r>
          </w:p>
        </w:tc>
        <w:tc>
          <w:tcPr>
            <w:tcW w:w="1454" w:type="dxa"/>
          </w:tcPr>
          <w:p w14:paraId="137CAF21">
            <w:pPr>
              <w:pStyle w:val="17"/>
              <w:spacing w:before="191"/>
              <w:ind w:left="75" w:right="67"/>
              <w:rPr>
                <w:rFonts w:ascii="Times New Roman"/>
                <w:sz w:val="21"/>
              </w:rPr>
            </w:pPr>
            <w:r>
              <w:rPr>
                <w:rFonts w:ascii="Times New Roman"/>
                <w:sz w:val="21"/>
              </w:rPr>
              <w:t>HW08</w:t>
            </w:r>
          </w:p>
        </w:tc>
        <w:tc>
          <w:tcPr>
            <w:tcW w:w="1582" w:type="dxa"/>
          </w:tcPr>
          <w:p w14:paraId="425A5C3B">
            <w:pPr>
              <w:pStyle w:val="17"/>
              <w:spacing w:before="191"/>
              <w:ind w:left="138" w:right="130"/>
              <w:rPr>
                <w:rFonts w:ascii="Times New Roman"/>
                <w:sz w:val="21"/>
              </w:rPr>
            </w:pPr>
            <w:r>
              <w:rPr>
                <w:rFonts w:ascii="Times New Roman"/>
                <w:sz w:val="21"/>
              </w:rPr>
              <w:t>900-249-08</w:t>
            </w:r>
          </w:p>
        </w:tc>
        <w:tc>
          <w:tcPr>
            <w:tcW w:w="1006" w:type="dxa"/>
          </w:tcPr>
          <w:p w14:paraId="5C780A68">
            <w:pPr>
              <w:pStyle w:val="17"/>
              <w:spacing w:before="191"/>
              <w:ind w:left="8" w:right="1"/>
              <w:rPr>
                <w:rFonts w:ascii="Times New Roman"/>
                <w:sz w:val="21"/>
              </w:rPr>
            </w:pPr>
            <w:r>
              <w:rPr>
                <w:rFonts w:ascii="Times New Roman"/>
                <w:sz w:val="21"/>
              </w:rPr>
              <w:t>0.01</w:t>
            </w:r>
          </w:p>
        </w:tc>
        <w:tc>
          <w:tcPr>
            <w:tcW w:w="1488" w:type="dxa"/>
          </w:tcPr>
          <w:p w14:paraId="0C804BB7">
            <w:pPr>
              <w:pStyle w:val="17"/>
              <w:spacing w:before="21"/>
              <w:ind w:left="92" w:right="86"/>
              <w:rPr>
                <w:sz w:val="21"/>
              </w:rPr>
            </w:pPr>
            <w:r>
              <w:rPr>
                <w:sz w:val="21"/>
              </w:rPr>
              <w:t>设备维修和保</w:t>
            </w:r>
          </w:p>
          <w:p w14:paraId="0077A01B">
            <w:pPr>
              <w:pStyle w:val="17"/>
              <w:spacing w:before="43"/>
              <w:ind w:left="8"/>
              <w:rPr>
                <w:sz w:val="21"/>
              </w:rPr>
            </w:pPr>
            <w:r>
              <w:rPr>
                <w:w w:val="99"/>
                <w:sz w:val="21"/>
              </w:rPr>
              <w:t>养</w:t>
            </w:r>
          </w:p>
        </w:tc>
        <w:tc>
          <w:tcPr>
            <w:tcW w:w="666" w:type="dxa"/>
          </w:tcPr>
          <w:p w14:paraId="6FA2EFC5">
            <w:pPr>
              <w:pStyle w:val="17"/>
              <w:spacing w:before="178"/>
              <w:ind w:left="122"/>
              <w:jc w:val="left"/>
              <w:rPr>
                <w:sz w:val="21"/>
              </w:rPr>
            </w:pPr>
            <w:r>
              <w:rPr>
                <w:sz w:val="21"/>
              </w:rPr>
              <w:t>液态</w:t>
            </w:r>
          </w:p>
        </w:tc>
        <w:tc>
          <w:tcPr>
            <w:tcW w:w="1446" w:type="dxa"/>
          </w:tcPr>
          <w:p w14:paraId="3C5D184D">
            <w:pPr>
              <w:pStyle w:val="17"/>
              <w:spacing w:before="178"/>
              <w:ind w:left="71" w:right="64"/>
              <w:rPr>
                <w:sz w:val="21"/>
              </w:rPr>
            </w:pPr>
            <w:r>
              <w:rPr>
                <w:sz w:val="21"/>
              </w:rPr>
              <w:t>机油、润滑油</w:t>
            </w:r>
          </w:p>
        </w:tc>
        <w:tc>
          <w:tcPr>
            <w:tcW w:w="1324" w:type="dxa"/>
          </w:tcPr>
          <w:p w14:paraId="52B7288B">
            <w:pPr>
              <w:pStyle w:val="17"/>
              <w:spacing w:before="178"/>
              <w:ind w:left="116" w:right="107"/>
              <w:rPr>
                <w:sz w:val="21"/>
              </w:rPr>
            </w:pPr>
            <w:r>
              <w:rPr>
                <w:sz w:val="21"/>
              </w:rPr>
              <w:t>碳氢化合物</w:t>
            </w:r>
          </w:p>
        </w:tc>
        <w:tc>
          <w:tcPr>
            <w:tcW w:w="1004" w:type="dxa"/>
          </w:tcPr>
          <w:p w14:paraId="212F6C55">
            <w:pPr>
              <w:pStyle w:val="17"/>
              <w:spacing w:before="178"/>
              <w:ind w:left="9"/>
              <w:rPr>
                <w:sz w:val="21"/>
              </w:rPr>
            </w:pPr>
            <w:r>
              <w:rPr>
                <w:w w:val="99"/>
                <w:sz w:val="21"/>
              </w:rPr>
              <w:t>年</w:t>
            </w:r>
          </w:p>
        </w:tc>
        <w:tc>
          <w:tcPr>
            <w:tcW w:w="746" w:type="dxa"/>
          </w:tcPr>
          <w:p w14:paraId="5029F99E">
            <w:pPr>
              <w:pStyle w:val="17"/>
              <w:spacing w:before="178"/>
              <w:ind w:left="37" w:right="29"/>
              <w:rPr>
                <w:rFonts w:ascii="Times New Roman" w:eastAsia="Times New Roman"/>
                <w:sz w:val="21"/>
              </w:rPr>
            </w:pPr>
            <w:r>
              <w:rPr>
                <w:rFonts w:ascii="Times New Roman" w:eastAsia="Times New Roman"/>
                <w:sz w:val="21"/>
              </w:rPr>
              <w:t>T</w:t>
            </w:r>
            <w:r>
              <w:rPr>
                <w:sz w:val="21"/>
              </w:rPr>
              <w:t>，</w:t>
            </w:r>
            <w:r>
              <w:rPr>
                <w:rFonts w:ascii="Times New Roman" w:eastAsia="Times New Roman"/>
                <w:sz w:val="21"/>
              </w:rPr>
              <w:t>I</w:t>
            </w:r>
          </w:p>
        </w:tc>
        <w:tc>
          <w:tcPr>
            <w:tcW w:w="1386" w:type="dxa"/>
            <w:vMerge w:val="restart"/>
            <w:tcBorders>
              <w:right w:val="nil"/>
            </w:tcBorders>
          </w:tcPr>
          <w:p w14:paraId="65D6EA78">
            <w:pPr>
              <w:pStyle w:val="17"/>
              <w:jc w:val="left"/>
              <w:rPr>
                <w:b/>
                <w:sz w:val="20"/>
              </w:rPr>
            </w:pPr>
          </w:p>
          <w:p w14:paraId="22F41962">
            <w:pPr>
              <w:pStyle w:val="17"/>
              <w:jc w:val="left"/>
              <w:rPr>
                <w:b/>
                <w:sz w:val="20"/>
              </w:rPr>
            </w:pPr>
          </w:p>
          <w:p w14:paraId="51414A06">
            <w:pPr>
              <w:pStyle w:val="17"/>
              <w:spacing w:before="147" w:line="278" w:lineRule="auto"/>
              <w:ind w:left="63" w:right="58"/>
              <w:jc w:val="both"/>
              <w:rPr>
                <w:sz w:val="21"/>
              </w:rPr>
            </w:pPr>
            <w:r>
              <w:rPr>
                <w:w w:val="95"/>
                <w:sz w:val="21"/>
              </w:rPr>
              <w:t>收集暂存在危废暂存间定期交由有资质单</w:t>
            </w:r>
            <w:r>
              <w:rPr>
                <w:sz w:val="21"/>
              </w:rPr>
              <w:t>位进行处置</w:t>
            </w:r>
          </w:p>
        </w:tc>
      </w:tr>
      <w:tr w14:paraId="1A2C9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4E908077">
            <w:pPr>
              <w:pStyle w:val="17"/>
              <w:spacing w:before="191"/>
              <w:ind w:left="12"/>
              <w:rPr>
                <w:rFonts w:ascii="Times New Roman"/>
                <w:sz w:val="21"/>
              </w:rPr>
            </w:pPr>
            <w:r>
              <w:rPr>
                <w:rFonts w:ascii="Times New Roman"/>
                <w:w w:val="99"/>
                <w:sz w:val="21"/>
              </w:rPr>
              <w:t>2</w:t>
            </w:r>
          </w:p>
        </w:tc>
        <w:tc>
          <w:tcPr>
            <w:tcW w:w="1556" w:type="dxa"/>
          </w:tcPr>
          <w:p w14:paraId="747BF1A7">
            <w:pPr>
              <w:pStyle w:val="17"/>
              <w:spacing w:before="21"/>
              <w:ind w:left="7"/>
              <w:rPr>
                <w:sz w:val="21"/>
              </w:rPr>
            </w:pPr>
            <w:r>
              <w:rPr>
                <w:sz w:val="21"/>
              </w:rPr>
              <w:t>含油废抹布手</w:t>
            </w:r>
          </w:p>
          <w:p w14:paraId="73736801">
            <w:pPr>
              <w:pStyle w:val="17"/>
              <w:spacing w:before="43"/>
              <w:ind w:left="10"/>
              <w:rPr>
                <w:sz w:val="21"/>
              </w:rPr>
            </w:pPr>
            <w:r>
              <w:rPr>
                <w:w w:val="99"/>
                <w:sz w:val="21"/>
              </w:rPr>
              <w:t>套</w:t>
            </w:r>
          </w:p>
        </w:tc>
        <w:tc>
          <w:tcPr>
            <w:tcW w:w="1454" w:type="dxa"/>
          </w:tcPr>
          <w:p w14:paraId="0D7D9700">
            <w:pPr>
              <w:pStyle w:val="17"/>
              <w:spacing w:before="191"/>
              <w:ind w:left="75" w:right="67"/>
              <w:rPr>
                <w:rFonts w:ascii="Times New Roman"/>
                <w:sz w:val="21"/>
              </w:rPr>
            </w:pPr>
            <w:r>
              <w:rPr>
                <w:rFonts w:ascii="Times New Roman"/>
                <w:sz w:val="21"/>
              </w:rPr>
              <w:t>HW49</w:t>
            </w:r>
          </w:p>
        </w:tc>
        <w:tc>
          <w:tcPr>
            <w:tcW w:w="1582" w:type="dxa"/>
          </w:tcPr>
          <w:p w14:paraId="050DFD57">
            <w:pPr>
              <w:pStyle w:val="17"/>
              <w:spacing w:before="191"/>
              <w:ind w:left="138" w:right="130"/>
              <w:rPr>
                <w:rFonts w:ascii="Times New Roman"/>
                <w:sz w:val="21"/>
              </w:rPr>
            </w:pPr>
            <w:r>
              <w:rPr>
                <w:rFonts w:ascii="Times New Roman"/>
                <w:sz w:val="21"/>
              </w:rPr>
              <w:t>900-041-49</w:t>
            </w:r>
          </w:p>
        </w:tc>
        <w:tc>
          <w:tcPr>
            <w:tcW w:w="1006" w:type="dxa"/>
          </w:tcPr>
          <w:p w14:paraId="50B6EDA5">
            <w:pPr>
              <w:pStyle w:val="17"/>
              <w:spacing w:before="191"/>
              <w:ind w:left="8" w:right="1"/>
              <w:rPr>
                <w:rFonts w:ascii="Times New Roman"/>
                <w:sz w:val="21"/>
              </w:rPr>
            </w:pPr>
            <w:r>
              <w:rPr>
                <w:rFonts w:ascii="Times New Roman"/>
                <w:sz w:val="21"/>
              </w:rPr>
              <w:t>0.01</w:t>
            </w:r>
          </w:p>
        </w:tc>
        <w:tc>
          <w:tcPr>
            <w:tcW w:w="1488" w:type="dxa"/>
          </w:tcPr>
          <w:p w14:paraId="7B4AA697">
            <w:pPr>
              <w:pStyle w:val="17"/>
              <w:spacing w:before="21"/>
              <w:ind w:left="92" w:right="86"/>
              <w:rPr>
                <w:sz w:val="21"/>
              </w:rPr>
            </w:pPr>
            <w:r>
              <w:rPr>
                <w:sz w:val="21"/>
              </w:rPr>
              <w:t>设备维修和保</w:t>
            </w:r>
          </w:p>
          <w:p w14:paraId="0375AEF6">
            <w:pPr>
              <w:pStyle w:val="17"/>
              <w:spacing w:before="43"/>
              <w:ind w:left="8"/>
              <w:rPr>
                <w:sz w:val="21"/>
              </w:rPr>
            </w:pPr>
            <w:r>
              <w:rPr>
                <w:w w:val="99"/>
                <w:sz w:val="21"/>
              </w:rPr>
              <w:t>养</w:t>
            </w:r>
          </w:p>
        </w:tc>
        <w:tc>
          <w:tcPr>
            <w:tcW w:w="666" w:type="dxa"/>
          </w:tcPr>
          <w:p w14:paraId="475FA2A7">
            <w:pPr>
              <w:pStyle w:val="17"/>
              <w:spacing w:before="177"/>
              <w:ind w:left="122"/>
              <w:jc w:val="left"/>
              <w:rPr>
                <w:sz w:val="21"/>
              </w:rPr>
            </w:pPr>
            <w:r>
              <w:rPr>
                <w:sz w:val="21"/>
              </w:rPr>
              <w:t>固态</w:t>
            </w:r>
          </w:p>
        </w:tc>
        <w:tc>
          <w:tcPr>
            <w:tcW w:w="1446" w:type="dxa"/>
          </w:tcPr>
          <w:p w14:paraId="4514333F">
            <w:pPr>
              <w:pStyle w:val="17"/>
              <w:spacing w:before="177"/>
              <w:ind w:left="71" w:right="64"/>
              <w:rPr>
                <w:sz w:val="21"/>
              </w:rPr>
            </w:pPr>
            <w:r>
              <w:rPr>
                <w:sz w:val="21"/>
              </w:rPr>
              <w:t>机油、润滑油</w:t>
            </w:r>
          </w:p>
        </w:tc>
        <w:tc>
          <w:tcPr>
            <w:tcW w:w="1324" w:type="dxa"/>
          </w:tcPr>
          <w:p w14:paraId="4F736E24">
            <w:pPr>
              <w:pStyle w:val="17"/>
              <w:spacing w:before="177"/>
              <w:ind w:left="116" w:right="107"/>
              <w:rPr>
                <w:sz w:val="21"/>
              </w:rPr>
            </w:pPr>
            <w:r>
              <w:rPr>
                <w:sz w:val="21"/>
              </w:rPr>
              <w:t>碳氢化合物</w:t>
            </w:r>
          </w:p>
        </w:tc>
        <w:tc>
          <w:tcPr>
            <w:tcW w:w="1004" w:type="dxa"/>
          </w:tcPr>
          <w:p w14:paraId="51BB80EA">
            <w:pPr>
              <w:pStyle w:val="17"/>
              <w:spacing w:before="177"/>
              <w:ind w:left="9"/>
              <w:rPr>
                <w:sz w:val="21"/>
              </w:rPr>
            </w:pPr>
            <w:r>
              <w:rPr>
                <w:w w:val="99"/>
                <w:sz w:val="21"/>
              </w:rPr>
              <w:t>年</w:t>
            </w:r>
          </w:p>
        </w:tc>
        <w:tc>
          <w:tcPr>
            <w:tcW w:w="746" w:type="dxa"/>
          </w:tcPr>
          <w:p w14:paraId="4A63F40B">
            <w:pPr>
              <w:pStyle w:val="17"/>
              <w:spacing w:before="191"/>
              <w:ind w:left="36" w:right="29"/>
              <w:rPr>
                <w:rFonts w:ascii="Times New Roman"/>
                <w:sz w:val="21"/>
              </w:rPr>
            </w:pPr>
            <w:r>
              <w:rPr>
                <w:rFonts w:ascii="Times New Roman"/>
                <w:sz w:val="21"/>
              </w:rPr>
              <w:t>T/In</w:t>
            </w:r>
          </w:p>
        </w:tc>
        <w:tc>
          <w:tcPr>
            <w:tcW w:w="1386" w:type="dxa"/>
            <w:vMerge w:val="continue"/>
            <w:tcBorders>
              <w:top w:val="nil"/>
              <w:right w:val="nil"/>
            </w:tcBorders>
          </w:tcPr>
          <w:p w14:paraId="0715E682">
            <w:pPr>
              <w:rPr>
                <w:sz w:val="2"/>
                <w:szCs w:val="2"/>
              </w:rPr>
            </w:pPr>
          </w:p>
        </w:tc>
      </w:tr>
      <w:tr w14:paraId="16A5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9" w:type="dxa"/>
            <w:tcBorders>
              <w:left w:val="nil"/>
            </w:tcBorders>
          </w:tcPr>
          <w:p w14:paraId="2BD019C6">
            <w:pPr>
              <w:pStyle w:val="17"/>
              <w:spacing w:before="191"/>
              <w:ind w:left="12"/>
              <w:rPr>
                <w:rFonts w:ascii="Times New Roman"/>
                <w:sz w:val="21"/>
              </w:rPr>
            </w:pPr>
            <w:r>
              <w:rPr>
                <w:rFonts w:ascii="Times New Roman"/>
                <w:w w:val="99"/>
                <w:sz w:val="21"/>
              </w:rPr>
              <w:t>3</w:t>
            </w:r>
          </w:p>
        </w:tc>
        <w:tc>
          <w:tcPr>
            <w:tcW w:w="1556" w:type="dxa"/>
          </w:tcPr>
          <w:p w14:paraId="6166BFA4">
            <w:pPr>
              <w:pStyle w:val="17"/>
              <w:spacing w:before="177"/>
              <w:ind w:left="5"/>
              <w:rPr>
                <w:sz w:val="21"/>
              </w:rPr>
            </w:pPr>
            <w:r>
              <w:rPr>
                <w:sz w:val="21"/>
              </w:rPr>
              <w:t>废活性炭</w:t>
            </w:r>
          </w:p>
        </w:tc>
        <w:tc>
          <w:tcPr>
            <w:tcW w:w="1454" w:type="dxa"/>
          </w:tcPr>
          <w:p w14:paraId="109D4DAA">
            <w:pPr>
              <w:pStyle w:val="17"/>
              <w:spacing w:before="191"/>
              <w:ind w:left="75" w:right="67"/>
              <w:rPr>
                <w:rFonts w:ascii="Times New Roman"/>
                <w:sz w:val="21"/>
              </w:rPr>
            </w:pPr>
            <w:r>
              <w:rPr>
                <w:rFonts w:ascii="Times New Roman"/>
                <w:sz w:val="21"/>
              </w:rPr>
              <w:t>HW49</w:t>
            </w:r>
          </w:p>
        </w:tc>
        <w:tc>
          <w:tcPr>
            <w:tcW w:w="1582" w:type="dxa"/>
          </w:tcPr>
          <w:p w14:paraId="08FC39F9">
            <w:pPr>
              <w:pStyle w:val="17"/>
              <w:spacing w:before="191"/>
              <w:ind w:left="138" w:right="130"/>
              <w:rPr>
                <w:rFonts w:ascii="Times New Roman"/>
                <w:sz w:val="21"/>
              </w:rPr>
            </w:pPr>
            <w:r>
              <w:rPr>
                <w:rFonts w:ascii="Times New Roman"/>
                <w:sz w:val="21"/>
              </w:rPr>
              <w:t>900-039-49</w:t>
            </w:r>
          </w:p>
        </w:tc>
        <w:tc>
          <w:tcPr>
            <w:tcW w:w="1006" w:type="dxa"/>
          </w:tcPr>
          <w:p w14:paraId="77AC393D">
            <w:pPr>
              <w:pStyle w:val="17"/>
              <w:spacing w:before="191"/>
              <w:ind w:left="13" w:right="3"/>
              <w:rPr>
                <w:rFonts w:ascii="Times New Roman"/>
                <w:sz w:val="21"/>
              </w:rPr>
            </w:pPr>
            <w:r>
              <w:rPr>
                <w:rFonts w:ascii="Times New Roman"/>
                <w:sz w:val="21"/>
              </w:rPr>
              <w:t>59.306</w:t>
            </w:r>
          </w:p>
        </w:tc>
        <w:tc>
          <w:tcPr>
            <w:tcW w:w="1488" w:type="dxa"/>
          </w:tcPr>
          <w:p w14:paraId="162D509C">
            <w:pPr>
              <w:pStyle w:val="17"/>
              <w:spacing w:before="177"/>
              <w:ind w:left="324"/>
              <w:jc w:val="left"/>
              <w:rPr>
                <w:sz w:val="21"/>
              </w:rPr>
            </w:pPr>
            <w:r>
              <w:rPr>
                <w:sz w:val="21"/>
              </w:rPr>
              <w:t>废气处理</w:t>
            </w:r>
          </w:p>
        </w:tc>
        <w:tc>
          <w:tcPr>
            <w:tcW w:w="666" w:type="dxa"/>
          </w:tcPr>
          <w:p w14:paraId="5928CDE8">
            <w:pPr>
              <w:pStyle w:val="17"/>
              <w:spacing w:before="177"/>
              <w:ind w:left="122"/>
              <w:jc w:val="left"/>
              <w:rPr>
                <w:sz w:val="21"/>
              </w:rPr>
            </w:pPr>
            <w:r>
              <w:rPr>
                <w:sz w:val="21"/>
              </w:rPr>
              <w:t>固态</w:t>
            </w:r>
          </w:p>
        </w:tc>
        <w:tc>
          <w:tcPr>
            <w:tcW w:w="1446" w:type="dxa"/>
          </w:tcPr>
          <w:p w14:paraId="4E3D640E">
            <w:pPr>
              <w:pStyle w:val="17"/>
              <w:spacing w:before="21"/>
              <w:ind w:left="71" w:right="64"/>
              <w:rPr>
                <w:sz w:val="21"/>
              </w:rPr>
            </w:pPr>
            <w:r>
              <w:rPr>
                <w:sz w:val="21"/>
              </w:rPr>
              <w:t>活性炭、有机</w:t>
            </w:r>
          </w:p>
          <w:p w14:paraId="66401E32">
            <w:pPr>
              <w:pStyle w:val="17"/>
              <w:spacing w:before="43"/>
              <w:ind w:left="71" w:right="64"/>
              <w:rPr>
                <w:sz w:val="21"/>
              </w:rPr>
            </w:pPr>
            <w:r>
              <w:rPr>
                <w:sz w:val="21"/>
              </w:rPr>
              <w:t>废气</w:t>
            </w:r>
          </w:p>
        </w:tc>
        <w:tc>
          <w:tcPr>
            <w:tcW w:w="1324" w:type="dxa"/>
          </w:tcPr>
          <w:p w14:paraId="68A749C8">
            <w:pPr>
              <w:pStyle w:val="17"/>
              <w:spacing w:before="177"/>
              <w:ind w:left="116" w:right="107"/>
              <w:rPr>
                <w:sz w:val="21"/>
              </w:rPr>
            </w:pPr>
            <w:r>
              <w:rPr>
                <w:sz w:val="21"/>
              </w:rPr>
              <w:t>有机废气</w:t>
            </w:r>
          </w:p>
        </w:tc>
        <w:tc>
          <w:tcPr>
            <w:tcW w:w="1004" w:type="dxa"/>
          </w:tcPr>
          <w:p w14:paraId="1B03AE7C">
            <w:pPr>
              <w:pStyle w:val="17"/>
              <w:spacing w:before="191"/>
              <w:ind w:left="61" w:right="51"/>
              <w:rPr>
                <w:rFonts w:ascii="Times New Roman"/>
                <w:sz w:val="21"/>
              </w:rPr>
            </w:pPr>
            <w:r>
              <w:rPr>
                <w:rFonts w:ascii="Times New Roman"/>
                <w:sz w:val="21"/>
              </w:rPr>
              <w:t>10d</w:t>
            </w:r>
          </w:p>
        </w:tc>
        <w:tc>
          <w:tcPr>
            <w:tcW w:w="746" w:type="dxa"/>
          </w:tcPr>
          <w:p w14:paraId="0519227D">
            <w:pPr>
              <w:pStyle w:val="17"/>
              <w:spacing w:before="191"/>
              <w:ind w:left="6"/>
              <w:rPr>
                <w:rFonts w:ascii="Times New Roman"/>
                <w:sz w:val="21"/>
              </w:rPr>
            </w:pPr>
            <w:r>
              <w:rPr>
                <w:rFonts w:ascii="Times New Roman"/>
                <w:w w:val="99"/>
                <w:sz w:val="21"/>
              </w:rPr>
              <w:t>T</w:t>
            </w:r>
          </w:p>
        </w:tc>
        <w:tc>
          <w:tcPr>
            <w:tcW w:w="1386" w:type="dxa"/>
            <w:vMerge w:val="continue"/>
            <w:tcBorders>
              <w:top w:val="nil"/>
              <w:right w:val="nil"/>
            </w:tcBorders>
          </w:tcPr>
          <w:p w14:paraId="6B596A28">
            <w:pPr>
              <w:rPr>
                <w:sz w:val="2"/>
                <w:szCs w:val="2"/>
              </w:rPr>
            </w:pPr>
          </w:p>
        </w:tc>
      </w:tr>
      <w:tr w14:paraId="540E8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9" w:type="dxa"/>
            <w:tcBorders>
              <w:left w:val="nil"/>
            </w:tcBorders>
          </w:tcPr>
          <w:p w14:paraId="15FAC97A">
            <w:pPr>
              <w:pStyle w:val="17"/>
              <w:spacing w:before="190"/>
              <w:ind w:left="12"/>
              <w:rPr>
                <w:rFonts w:ascii="Times New Roman"/>
                <w:sz w:val="21"/>
              </w:rPr>
            </w:pPr>
            <w:r>
              <w:rPr>
                <w:rFonts w:ascii="Times New Roman"/>
                <w:w w:val="99"/>
                <w:sz w:val="21"/>
              </w:rPr>
              <w:t>4</w:t>
            </w:r>
          </w:p>
        </w:tc>
        <w:tc>
          <w:tcPr>
            <w:tcW w:w="1556" w:type="dxa"/>
          </w:tcPr>
          <w:p w14:paraId="17A75210">
            <w:pPr>
              <w:pStyle w:val="17"/>
              <w:spacing w:before="176"/>
              <w:ind w:left="67"/>
              <w:rPr>
                <w:sz w:val="21"/>
              </w:rPr>
            </w:pPr>
            <w:r>
              <w:rPr>
                <w:sz w:val="21"/>
              </w:rPr>
              <w:t>废过滤棉</w:t>
            </w:r>
          </w:p>
        </w:tc>
        <w:tc>
          <w:tcPr>
            <w:tcW w:w="1454" w:type="dxa"/>
          </w:tcPr>
          <w:p w14:paraId="4F531054">
            <w:pPr>
              <w:pStyle w:val="17"/>
              <w:spacing w:before="190"/>
              <w:ind w:left="75" w:right="67"/>
              <w:rPr>
                <w:rFonts w:ascii="Times New Roman"/>
                <w:sz w:val="21"/>
              </w:rPr>
            </w:pPr>
            <w:r>
              <w:rPr>
                <w:rFonts w:ascii="Times New Roman"/>
                <w:sz w:val="21"/>
              </w:rPr>
              <w:t>HW49</w:t>
            </w:r>
          </w:p>
        </w:tc>
        <w:tc>
          <w:tcPr>
            <w:tcW w:w="1582" w:type="dxa"/>
          </w:tcPr>
          <w:p w14:paraId="3FEA0D05">
            <w:pPr>
              <w:pStyle w:val="17"/>
              <w:spacing w:before="190"/>
              <w:ind w:left="138" w:right="130"/>
              <w:rPr>
                <w:rFonts w:ascii="Times New Roman"/>
                <w:sz w:val="21"/>
              </w:rPr>
            </w:pPr>
            <w:r>
              <w:rPr>
                <w:rFonts w:ascii="Times New Roman"/>
                <w:sz w:val="21"/>
              </w:rPr>
              <w:t>900-041-49</w:t>
            </w:r>
          </w:p>
        </w:tc>
        <w:tc>
          <w:tcPr>
            <w:tcW w:w="1006" w:type="dxa"/>
          </w:tcPr>
          <w:p w14:paraId="7249D742">
            <w:pPr>
              <w:pStyle w:val="17"/>
              <w:spacing w:before="190"/>
              <w:ind w:left="8" w:right="1"/>
              <w:rPr>
                <w:rFonts w:ascii="Times New Roman"/>
                <w:sz w:val="21"/>
              </w:rPr>
            </w:pPr>
            <w:r>
              <w:rPr>
                <w:rFonts w:ascii="Times New Roman"/>
                <w:sz w:val="21"/>
              </w:rPr>
              <w:t>0.1</w:t>
            </w:r>
          </w:p>
        </w:tc>
        <w:tc>
          <w:tcPr>
            <w:tcW w:w="1488" w:type="dxa"/>
          </w:tcPr>
          <w:p w14:paraId="1D4DCDC4">
            <w:pPr>
              <w:pStyle w:val="17"/>
              <w:spacing w:before="176"/>
              <w:ind w:left="324"/>
              <w:jc w:val="left"/>
              <w:rPr>
                <w:sz w:val="21"/>
              </w:rPr>
            </w:pPr>
            <w:r>
              <w:rPr>
                <w:sz w:val="21"/>
              </w:rPr>
              <w:t>废气处理</w:t>
            </w:r>
          </w:p>
        </w:tc>
        <w:tc>
          <w:tcPr>
            <w:tcW w:w="666" w:type="dxa"/>
          </w:tcPr>
          <w:p w14:paraId="1598DC94">
            <w:pPr>
              <w:pStyle w:val="17"/>
              <w:spacing w:before="176"/>
              <w:ind w:left="122"/>
              <w:jc w:val="left"/>
              <w:rPr>
                <w:sz w:val="21"/>
              </w:rPr>
            </w:pPr>
            <w:r>
              <w:rPr>
                <w:sz w:val="21"/>
              </w:rPr>
              <w:t>固态</w:t>
            </w:r>
          </w:p>
        </w:tc>
        <w:tc>
          <w:tcPr>
            <w:tcW w:w="1446" w:type="dxa"/>
          </w:tcPr>
          <w:p w14:paraId="4B157C74">
            <w:pPr>
              <w:pStyle w:val="17"/>
              <w:spacing w:before="20"/>
              <w:ind w:left="71" w:right="64"/>
              <w:rPr>
                <w:sz w:val="21"/>
              </w:rPr>
            </w:pPr>
            <w:r>
              <w:rPr>
                <w:sz w:val="21"/>
              </w:rPr>
              <w:t>过滤棉、沾染</w:t>
            </w:r>
          </w:p>
          <w:p w14:paraId="38DD853D">
            <w:pPr>
              <w:pStyle w:val="17"/>
              <w:spacing w:before="43"/>
              <w:ind w:left="68" w:right="64"/>
              <w:rPr>
                <w:sz w:val="21"/>
              </w:rPr>
            </w:pPr>
            <w:r>
              <w:rPr>
                <w:sz w:val="21"/>
              </w:rPr>
              <w:t>有机废气</w:t>
            </w:r>
          </w:p>
        </w:tc>
        <w:tc>
          <w:tcPr>
            <w:tcW w:w="1324" w:type="dxa"/>
          </w:tcPr>
          <w:p w14:paraId="3A7CFC4D">
            <w:pPr>
              <w:pStyle w:val="17"/>
              <w:spacing w:before="176"/>
              <w:ind w:left="116" w:right="107"/>
              <w:rPr>
                <w:sz w:val="21"/>
              </w:rPr>
            </w:pPr>
            <w:r>
              <w:rPr>
                <w:sz w:val="21"/>
              </w:rPr>
              <w:t>有机废气</w:t>
            </w:r>
          </w:p>
        </w:tc>
        <w:tc>
          <w:tcPr>
            <w:tcW w:w="1004" w:type="dxa"/>
          </w:tcPr>
          <w:p w14:paraId="1A5C801D">
            <w:pPr>
              <w:pStyle w:val="17"/>
              <w:spacing w:before="176"/>
              <w:ind w:left="58" w:right="52"/>
              <w:rPr>
                <w:sz w:val="21"/>
              </w:rPr>
            </w:pPr>
            <w:r>
              <w:rPr>
                <w:rFonts w:ascii="Times New Roman" w:eastAsia="Times New Roman"/>
                <w:sz w:val="21"/>
              </w:rPr>
              <w:t xml:space="preserve">2 </w:t>
            </w:r>
            <w:r>
              <w:rPr>
                <w:sz w:val="21"/>
              </w:rPr>
              <w:t>个月</w:t>
            </w:r>
          </w:p>
        </w:tc>
        <w:tc>
          <w:tcPr>
            <w:tcW w:w="746" w:type="dxa"/>
          </w:tcPr>
          <w:p w14:paraId="03FEBEEF">
            <w:pPr>
              <w:pStyle w:val="17"/>
              <w:spacing w:before="190"/>
              <w:ind w:left="36" w:right="29"/>
              <w:rPr>
                <w:rFonts w:ascii="Times New Roman"/>
                <w:sz w:val="21"/>
              </w:rPr>
            </w:pPr>
            <w:r>
              <w:rPr>
                <w:rFonts w:ascii="Times New Roman"/>
                <w:sz w:val="21"/>
              </w:rPr>
              <w:t>T/In</w:t>
            </w:r>
          </w:p>
        </w:tc>
        <w:tc>
          <w:tcPr>
            <w:tcW w:w="1386" w:type="dxa"/>
            <w:vMerge w:val="continue"/>
            <w:tcBorders>
              <w:top w:val="nil"/>
              <w:right w:val="nil"/>
            </w:tcBorders>
          </w:tcPr>
          <w:p w14:paraId="652680D0">
            <w:pPr>
              <w:rPr>
                <w:sz w:val="2"/>
                <w:szCs w:val="2"/>
              </w:rPr>
            </w:pPr>
          </w:p>
        </w:tc>
      </w:tr>
    </w:tbl>
    <w:p w14:paraId="2E9E49D7">
      <w:pPr>
        <w:pStyle w:val="10"/>
        <w:rPr>
          <w:b/>
          <w:sz w:val="20"/>
        </w:rPr>
      </w:pPr>
    </w:p>
    <w:p w14:paraId="1A28AFDD">
      <w:pPr>
        <w:pStyle w:val="10"/>
        <w:rPr>
          <w:b/>
          <w:sz w:val="20"/>
        </w:rPr>
      </w:pPr>
    </w:p>
    <w:p w14:paraId="6B1F3218">
      <w:pPr>
        <w:pStyle w:val="10"/>
        <w:rPr>
          <w:b/>
          <w:sz w:val="20"/>
        </w:rPr>
      </w:pPr>
    </w:p>
    <w:p w14:paraId="1B68454F">
      <w:pPr>
        <w:pStyle w:val="10"/>
        <w:rPr>
          <w:b/>
          <w:sz w:val="20"/>
        </w:rPr>
      </w:pPr>
    </w:p>
    <w:p w14:paraId="2A3BD8E5">
      <w:pPr>
        <w:pStyle w:val="10"/>
        <w:rPr>
          <w:b/>
          <w:sz w:val="20"/>
        </w:rPr>
      </w:pPr>
    </w:p>
    <w:p w14:paraId="12AD1F2A">
      <w:pPr>
        <w:pStyle w:val="10"/>
        <w:rPr>
          <w:b/>
          <w:sz w:val="20"/>
        </w:rPr>
      </w:pPr>
    </w:p>
    <w:p w14:paraId="07B4BC16">
      <w:pPr>
        <w:pStyle w:val="10"/>
        <w:rPr>
          <w:b/>
          <w:sz w:val="20"/>
        </w:rPr>
      </w:pPr>
    </w:p>
    <w:p w14:paraId="7497ECD6">
      <w:pPr>
        <w:pStyle w:val="10"/>
        <w:rPr>
          <w:b/>
          <w:sz w:val="20"/>
        </w:rPr>
      </w:pPr>
    </w:p>
    <w:p w14:paraId="0D3EB7B8">
      <w:pPr>
        <w:pStyle w:val="10"/>
        <w:rPr>
          <w:b/>
          <w:sz w:val="20"/>
        </w:rPr>
      </w:pPr>
    </w:p>
    <w:p w14:paraId="1D95F757">
      <w:pPr>
        <w:pStyle w:val="10"/>
        <w:rPr>
          <w:b/>
          <w:sz w:val="20"/>
        </w:rPr>
      </w:pPr>
    </w:p>
    <w:p w14:paraId="4DEAE15B">
      <w:pPr>
        <w:pStyle w:val="10"/>
        <w:rPr>
          <w:b/>
          <w:sz w:val="20"/>
        </w:rPr>
      </w:pPr>
    </w:p>
    <w:p w14:paraId="3427EB93">
      <w:pPr>
        <w:pStyle w:val="10"/>
        <w:rPr>
          <w:b/>
          <w:sz w:val="20"/>
        </w:rPr>
      </w:pPr>
    </w:p>
    <w:p w14:paraId="48470D90">
      <w:pPr>
        <w:pStyle w:val="10"/>
        <w:rPr>
          <w:b/>
          <w:sz w:val="20"/>
        </w:rPr>
      </w:pPr>
    </w:p>
    <w:p w14:paraId="01E95510">
      <w:pPr>
        <w:pStyle w:val="10"/>
        <w:rPr>
          <w:b/>
          <w:sz w:val="20"/>
        </w:rPr>
      </w:pPr>
    </w:p>
    <w:p w14:paraId="1EB054B4">
      <w:pPr>
        <w:pStyle w:val="10"/>
        <w:rPr>
          <w:b/>
          <w:sz w:val="20"/>
        </w:rPr>
      </w:pPr>
    </w:p>
    <w:p w14:paraId="796F24F0">
      <w:pPr>
        <w:pStyle w:val="10"/>
        <w:rPr>
          <w:b/>
          <w:sz w:val="20"/>
        </w:rPr>
      </w:pPr>
    </w:p>
    <w:p w14:paraId="0259D286">
      <w:pPr>
        <w:pStyle w:val="10"/>
        <w:rPr>
          <w:b/>
          <w:sz w:val="20"/>
        </w:rPr>
      </w:pPr>
    </w:p>
    <w:p w14:paraId="30BB6801">
      <w:pPr>
        <w:pStyle w:val="10"/>
        <w:rPr>
          <w:b/>
          <w:sz w:val="20"/>
        </w:rPr>
      </w:pPr>
    </w:p>
    <w:p w14:paraId="603E84F1">
      <w:pPr>
        <w:pStyle w:val="10"/>
        <w:spacing w:before="8"/>
        <w:rPr>
          <w:b/>
          <w:sz w:val="16"/>
        </w:rPr>
      </w:pPr>
    </w:p>
    <w:p w14:paraId="05D9D590">
      <w:pPr>
        <w:spacing w:before="90"/>
        <w:ind w:left="4912" w:right="4912" w:firstLine="0"/>
        <w:jc w:val="center"/>
        <w:rPr>
          <w:rFonts w:ascii="Times New Roman"/>
          <w:sz w:val="21"/>
        </w:rPr>
      </w:pPr>
      <w:r>
        <w:rPr>
          <w:rFonts w:ascii="Times New Roman"/>
          <w:sz w:val="21"/>
        </w:rPr>
        <w:t>62</w:t>
      </w:r>
    </w:p>
    <w:p w14:paraId="6D2AB699">
      <w:pPr>
        <w:spacing w:after="0"/>
        <w:jc w:val="center"/>
        <w:rPr>
          <w:rFonts w:ascii="Times New Roman"/>
          <w:sz w:val="21"/>
        </w:rPr>
        <w:sectPr>
          <w:type w:val="continuous"/>
          <w:pgSz w:w="16840" w:h="11910" w:orient="landscape"/>
          <w:pgMar w:top="1600" w:right="1220" w:bottom="280" w:left="1220" w:header="720" w:footer="720" w:gutter="0"/>
          <w:cols w:space="720" w:num="1"/>
        </w:sectPr>
      </w:pPr>
    </w:p>
    <w:p w14:paraId="6772BE62">
      <w:pPr>
        <w:pStyle w:val="2"/>
        <w:numPr>
          <w:ilvl w:val="0"/>
          <w:numId w:val="9"/>
        </w:numPr>
        <w:tabs>
          <w:tab w:val="left" w:pos="480"/>
        </w:tabs>
        <w:spacing w:before="50" w:after="0" w:line="240" w:lineRule="auto"/>
        <w:ind w:left="480" w:right="0" w:hanging="240"/>
        <w:jc w:val="both"/>
        <w:rPr>
          <w:rFonts w:ascii="Times New Roman" w:eastAsia="Times New Roman"/>
        </w:rPr>
      </w:pPr>
      <w:bookmarkStart w:id="19" w:name="_TOC_250036"/>
      <w:bookmarkEnd w:id="19"/>
      <w:r>
        <w:t>环境现状调查与评价</w:t>
      </w:r>
    </w:p>
    <w:p w14:paraId="7755728D">
      <w:pPr>
        <w:pStyle w:val="3"/>
        <w:numPr>
          <w:ilvl w:val="1"/>
          <w:numId w:val="11"/>
        </w:numPr>
        <w:tabs>
          <w:tab w:val="left" w:pos="689"/>
        </w:tabs>
        <w:spacing w:before="227" w:after="0" w:line="240" w:lineRule="auto"/>
        <w:ind w:left="688" w:right="0" w:hanging="448"/>
        <w:jc w:val="both"/>
      </w:pPr>
      <w:bookmarkStart w:id="20" w:name="_TOC_250035"/>
      <w:bookmarkEnd w:id="20"/>
      <w:r>
        <w:t>自然环境概况</w:t>
      </w:r>
    </w:p>
    <w:p w14:paraId="35A48D89">
      <w:pPr>
        <w:pStyle w:val="16"/>
        <w:numPr>
          <w:ilvl w:val="2"/>
          <w:numId w:val="11"/>
        </w:numPr>
        <w:tabs>
          <w:tab w:val="left" w:pos="869"/>
        </w:tabs>
        <w:spacing w:before="252" w:after="0" w:line="240" w:lineRule="auto"/>
        <w:ind w:left="868" w:right="0" w:hanging="628"/>
        <w:jc w:val="both"/>
        <w:rPr>
          <w:b/>
          <w:sz w:val="28"/>
        </w:rPr>
      </w:pPr>
      <w:r>
        <w:rPr>
          <w:b/>
          <w:sz w:val="28"/>
        </w:rPr>
        <w:t>地理位置</w:t>
      </w:r>
    </w:p>
    <w:p w14:paraId="0B7F76B4">
      <w:pPr>
        <w:pStyle w:val="10"/>
        <w:spacing w:before="212"/>
        <w:ind w:left="720"/>
      </w:pPr>
      <w:r>
        <w:t>汨罗市处湖南省东北部， 紧靠南洞庭湖东畔、汨罗江下游， 位于东经</w:t>
      </w:r>
    </w:p>
    <w:p w14:paraId="7809F0D3">
      <w:pPr>
        <w:pStyle w:val="10"/>
        <w:spacing w:before="160" w:line="364" w:lineRule="auto"/>
        <w:ind w:left="240" w:right="237"/>
        <w:jc w:val="both"/>
      </w:pPr>
      <w:r>
        <w:rPr>
          <w:rFonts w:ascii="Times New Roman" w:hAnsi="Times New Roman" w:eastAsia="Times New Roman"/>
          <w:spacing w:val="-3"/>
        </w:rPr>
        <w:t>112°51′</w:t>
      </w:r>
      <w:r>
        <w:rPr>
          <w:spacing w:val="-3"/>
        </w:rPr>
        <w:t>～</w:t>
      </w:r>
      <w:r>
        <w:rPr>
          <w:rFonts w:ascii="Times New Roman" w:hAnsi="Times New Roman" w:eastAsia="Times New Roman"/>
          <w:spacing w:val="-3"/>
        </w:rPr>
        <w:t>113°27′</w:t>
      </w:r>
      <w:r>
        <w:rPr>
          <w:spacing w:val="-2"/>
        </w:rPr>
        <w:t xml:space="preserve">，北纬 </w:t>
      </w:r>
      <w:r>
        <w:rPr>
          <w:rFonts w:ascii="Times New Roman" w:hAnsi="Times New Roman" w:eastAsia="Times New Roman"/>
        </w:rPr>
        <w:t>28°28′</w:t>
      </w:r>
      <w:r>
        <w:t>～</w:t>
      </w:r>
      <w:r>
        <w:rPr>
          <w:rFonts w:ascii="Times New Roman" w:hAnsi="Times New Roman" w:eastAsia="Times New Roman"/>
        </w:rPr>
        <w:t>29°27′</w:t>
      </w:r>
      <w:r>
        <w:rPr>
          <w:spacing w:val="-7"/>
        </w:rPr>
        <w:t>。市境东部和东南部与长沙县毗连，南与</w:t>
      </w:r>
      <w:r>
        <w:rPr>
          <w:spacing w:val="-11"/>
        </w:rPr>
        <w:t>望城县接壤，西邻湘阴县和沅江县，北接岳阳县，东北与平江县交界。市境南北</w:t>
      </w:r>
      <w:r>
        <w:rPr>
          <w:spacing w:val="-25"/>
        </w:rPr>
        <w:t xml:space="preserve">相距 </w:t>
      </w:r>
      <w:r>
        <w:rPr>
          <w:rFonts w:ascii="Times New Roman" w:hAnsi="Times New Roman" w:eastAsia="Times New Roman"/>
        </w:rPr>
        <w:t>66.75km</w:t>
      </w:r>
      <w:r>
        <w:rPr>
          <w:spacing w:val="-9"/>
        </w:rPr>
        <w:t xml:space="preserve">，东西相距 </w:t>
      </w:r>
      <w:r>
        <w:rPr>
          <w:rFonts w:ascii="Times New Roman" w:hAnsi="Times New Roman" w:eastAsia="Times New Roman"/>
        </w:rPr>
        <w:t>62.5km</w:t>
      </w:r>
      <w:r>
        <w:rPr>
          <w:spacing w:val="-9"/>
        </w:rPr>
        <w:t xml:space="preserve">，全境周长 </w:t>
      </w:r>
      <w:r>
        <w:rPr>
          <w:rFonts w:ascii="Times New Roman" w:hAnsi="Times New Roman" w:eastAsia="Times New Roman"/>
        </w:rPr>
        <w:t>301.84km</w:t>
      </w:r>
      <w:r>
        <w:rPr>
          <w:spacing w:val="-11"/>
        </w:rPr>
        <w:t xml:space="preserve">，总面积 </w:t>
      </w:r>
      <w:r>
        <w:rPr>
          <w:rFonts w:ascii="Times New Roman" w:hAnsi="Times New Roman" w:eastAsia="Times New Roman"/>
        </w:rPr>
        <w:t>1561.95km</w:t>
      </w:r>
      <w:r>
        <w:rPr>
          <w:rFonts w:ascii="Times New Roman" w:hAnsi="Times New Roman" w:eastAsia="Times New Roman"/>
          <w:position w:val="8"/>
          <w:sz w:val="15"/>
        </w:rPr>
        <w:t>2</w:t>
      </w:r>
      <w:r>
        <w:t>，占</w:t>
      </w:r>
      <w:r>
        <w:rPr>
          <w:spacing w:val="-9"/>
        </w:rPr>
        <w:t xml:space="preserve">全省总面积的 </w:t>
      </w:r>
      <w:r>
        <w:rPr>
          <w:rFonts w:ascii="Times New Roman" w:hAnsi="Times New Roman" w:eastAsia="Times New Roman"/>
          <w:spacing w:val="-3"/>
        </w:rPr>
        <w:t>0.75%</w:t>
      </w:r>
      <w:r>
        <w:rPr>
          <w:spacing w:val="-9"/>
        </w:rPr>
        <w:t xml:space="preserve">，占岳阳市面积的 </w:t>
      </w:r>
      <w:r>
        <w:rPr>
          <w:rFonts w:ascii="Times New Roman" w:hAnsi="Times New Roman" w:eastAsia="Times New Roman"/>
          <w:spacing w:val="-3"/>
        </w:rPr>
        <w:t>10.4%</w:t>
      </w:r>
      <w:r>
        <w:rPr>
          <w:spacing w:val="-9"/>
        </w:rPr>
        <w:t xml:space="preserve">，汨罗市城区面积 </w:t>
      </w:r>
      <w:r>
        <w:rPr>
          <w:rFonts w:ascii="Times New Roman" w:hAnsi="Times New Roman" w:eastAsia="Times New Roman"/>
        </w:rPr>
        <w:t>12.37km</w:t>
      </w:r>
      <w:r>
        <w:rPr>
          <w:rFonts w:ascii="Times New Roman" w:hAnsi="Times New Roman" w:eastAsia="Times New Roman"/>
          <w:position w:val="8"/>
          <w:sz w:val="15"/>
        </w:rPr>
        <w:t>2</w:t>
      </w:r>
      <w:r>
        <w:rPr>
          <w:spacing w:val="-4"/>
        </w:rPr>
        <w:t>。因境内有汨水、罗水会合，其下游名汨罗江，因此而得市名。</w:t>
      </w:r>
    </w:p>
    <w:p w14:paraId="6CC985F0">
      <w:pPr>
        <w:pStyle w:val="10"/>
        <w:spacing w:before="3" w:line="364" w:lineRule="auto"/>
        <w:ind w:left="240" w:right="237" w:firstLine="480"/>
        <w:jc w:val="both"/>
      </w:pPr>
      <w:r>
        <w:rPr>
          <w:spacing w:val="-5"/>
        </w:rPr>
        <w:t>汨罗高新技术产业开发区位于汨罗市东部，新市镇团山村、新书村、合心村</w:t>
      </w:r>
      <w:r>
        <w:rPr>
          <w:spacing w:val="-12"/>
        </w:rPr>
        <w:t xml:space="preserve">及城郊上马村为中心的区域内，东临平江县伍市镇，规划占地面积 </w:t>
      </w:r>
      <w:r>
        <w:rPr>
          <w:rFonts w:ascii="Times New Roman" w:eastAsia="Times New Roman"/>
          <w:spacing w:val="-5"/>
        </w:rPr>
        <w:t>418.5hm</w:t>
      </w:r>
      <w:r>
        <w:rPr>
          <w:rFonts w:ascii="Times New Roman" w:eastAsia="Times New Roman"/>
          <w:spacing w:val="-5"/>
          <w:position w:val="8"/>
          <w:sz w:val="15"/>
        </w:rPr>
        <w:t>2</w:t>
      </w:r>
      <w:r>
        <w:rPr>
          <w:spacing w:val="-3"/>
        </w:rPr>
        <w:t>，距</w:t>
      </w:r>
      <w:r>
        <w:rPr>
          <w:spacing w:val="-12"/>
        </w:rPr>
        <w:t xml:space="preserve">汨罗市中心约 </w:t>
      </w:r>
      <w:r>
        <w:rPr>
          <w:rFonts w:ascii="Times New Roman" w:eastAsia="Times New Roman"/>
        </w:rPr>
        <w:t>4km</w:t>
      </w:r>
      <w:r>
        <w:t>。</w:t>
      </w:r>
    </w:p>
    <w:p w14:paraId="234E6327">
      <w:pPr>
        <w:pStyle w:val="10"/>
        <w:spacing w:before="2"/>
        <w:ind w:left="720"/>
      </w:pPr>
      <w:r>
        <w:t>本项目位于湖南省汨罗市高新技术产业开发区新市片区中塑新材料公司内</w:t>
      </w:r>
    </w:p>
    <w:p w14:paraId="453384E8">
      <w:pPr>
        <w:pStyle w:val="10"/>
        <w:spacing w:before="161"/>
        <w:ind w:left="240"/>
      </w:pPr>
      <w:r>
        <w:rPr>
          <w:rFonts w:ascii="Times New Roman" w:hAnsi="Times New Roman" w:eastAsia="Times New Roman"/>
        </w:rPr>
        <w:t xml:space="preserve">16 </w:t>
      </w:r>
      <w:r>
        <w:t xml:space="preserve">栋厂房，东经 </w:t>
      </w:r>
      <w:r>
        <w:rPr>
          <w:rFonts w:ascii="Times New Roman" w:hAnsi="Times New Roman" w:eastAsia="Times New Roman"/>
        </w:rPr>
        <w:t>113.177232</w:t>
      </w:r>
      <w:r>
        <w:t xml:space="preserve">°、北纬 </w:t>
      </w:r>
      <w:r>
        <w:rPr>
          <w:rFonts w:ascii="Times New Roman" w:hAnsi="Times New Roman" w:eastAsia="Times New Roman"/>
        </w:rPr>
        <w:t>28.762591</w:t>
      </w:r>
      <w:r>
        <w:t xml:space="preserve">°。其地理位置详见附图 </w:t>
      </w:r>
      <w:r>
        <w:rPr>
          <w:rFonts w:ascii="Times New Roman" w:hAnsi="Times New Roman" w:eastAsia="Times New Roman"/>
        </w:rPr>
        <w:t>1</w:t>
      </w:r>
      <w:r>
        <w:t>。</w:t>
      </w:r>
    </w:p>
    <w:p w14:paraId="4BFCA958">
      <w:pPr>
        <w:pStyle w:val="16"/>
        <w:numPr>
          <w:ilvl w:val="2"/>
          <w:numId w:val="11"/>
        </w:numPr>
        <w:tabs>
          <w:tab w:val="left" w:pos="869"/>
        </w:tabs>
        <w:spacing w:before="214" w:after="0" w:line="240" w:lineRule="auto"/>
        <w:ind w:left="868" w:right="0" w:hanging="628"/>
        <w:jc w:val="left"/>
        <w:rPr>
          <w:b/>
          <w:sz w:val="28"/>
        </w:rPr>
      </w:pPr>
      <w:r>
        <w:rPr>
          <w:b/>
          <w:sz w:val="28"/>
        </w:rPr>
        <w:t>地形、地质地貌</w:t>
      </w:r>
    </w:p>
    <w:p w14:paraId="08587F5A">
      <w:pPr>
        <w:pStyle w:val="10"/>
        <w:spacing w:before="211" w:line="364" w:lineRule="auto"/>
        <w:ind w:left="240" w:right="117" w:firstLine="480"/>
      </w:pPr>
      <w:r>
        <w:rPr>
          <w:spacing w:val="-5"/>
        </w:rPr>
        <w:t>汨罗市属幕阜山脉与洞庭湖之间的过渡地带，西临南洞庭湖。地势由东南向</w:t>
      </w:r>
      <w:r>
        <w:rPr>
          <w:spacing w:val="-14"/>
        </w:rPr>
        <w:t xml:space="preserve">西北倾斜。园区所在地地貌以丘岗平原为主，其中 </w:t>
      </w:r>
      <w:r>
        <w:rPr>
          <w:rFonts w:ascii="Times New Roman" w:eastAsia="Times New Roman"/>
        </w:rPr>
        <w:t xml:space="preserve">107 </w:t>
      </w:r>
      <w:r>
        <w:t>国道沿线和沿江大道沿线</w:t>
      </w:r>
      <w:r>
        <w:rPr>
          <w:spacing w:val="-13"/>
        </w:rPr>
        <w:t xml:space="preserve">为地形较平整的平原地带，其余部分分布大量小型丘陵。自然地形地势起伏不大， </w:t>
      </w:r>
      <w:r>
        <w:rPr>
          <w:spacing w:val="-23"/>
        </w:rPr>
        <w:t xml:space="preserve">地坪坡度 </w:t>
      </w:r>
      <w:r>
        <w:rPr>
          <w:rFonts w:ascii="Times New Roman" w:eastAsia="Times New Roman"/>
        </w:rPr>
        <w:t>15%</w:t>
      </w:r>
      <w:r>
        <w:t>以下。</w:t>
      </w:r>
    </w:p>
    <w:p w14:paraId="5FA788DD">
      <w:pPr>
        <w:pStyle w:val="10"/>
        <w:spacing w:before="3" w:line="364" w:lineRule="auto"/>
        <w:ind w:left="240" w:right="145" w:firstLine="480"/>
      </w:pPr>
      <w:r>
        <w:t xml:space="preserve">汨罗市位于杨子准地台雪峰地轴中段，东部为临湘穹的瓮江一幕阜山隆起， </w:t>
      </w:r>
      <w:r>
        <w:rPr>
          <w:spacing w:val="-7"/>
        </w:rPr>
        <w:t>西部为洞庭下沉的过渡性地带。由于长期的雨水淋溶、侵蚀，地壳抬升与沉降作</w:t>
      </w:r>
      <w:r>
        <w:rPr>
          <w:spacing w:val="-11"/>
        </w:rPr>
        <w:t>用的继续，使得山地切割加强，冲沟发育，水系密布，江湖沉积物深，在洞庭湖及汨罗江沿岸一带形成土质肥沃，土层深厚的河湖平原。</w:t>
      </w:r>
    </w:p>
    <w:p w14:paraId="04C1FFC8">
      <w:pPr>
        <w:pStyle w:val="10"/>
        <w:spacing w:before="2" w:line="364" w:lineRule="auto"/>
        <w:ind w:left="240" w:right="237" w:firstLine="480"/>
        <w:jc w:val="both"/>
      </w:pPr>
      <w:r>
        <w:rPr>
          <w:spacing w:val="-7"/>
        </w:rPr>
        <w:t>汨罗市境内地层简单，由老到新依次为元古界冷家溪、中生界白垩系和新生</w:t>
      </w:r>
      <w:r>
        <w:rPr>
          <w:spacing w:val="-12"/>
        </w:rPr>
        <w:t>界下第三系中村组、第四系。第四系更新统白水江组分布于新市镇一带，厚度为</w:t>
      </w:r>
      <w:r>
        <w:rPr>
          <w:rFonts w:ascii="Times New Roman" w:eastAsia="Times New Roman"/>
          <w:spacing w:val="-12"/>
        </w:rPr>
        <w:t>6.9-10m</w:t>
      </w:r>
      <w:r>
        <w:rPr>
          <w:spacing w:val="-12"/>
        </w:rPr>
        <w:t>，底部为黄褐色砾石层，中部为黄褐色砂砾层，上部为黄褐色含锰质结核砂质粘土。</w:t>
      </w:r>
    </w:p>
    <w:p w14:paraId="017309F4">
      <w:pPr>
        <w:pStyle w:val="10"/>
        <w:spacing w:before="3"/>
        <w:ind w:left="720"/>
      </w:pPr>
      <w:r>
        <w:t>场区地基主要为人工填土、耕作土、江南红壤和冲击沉积物堆积层组成，地</w:t>
      </w:r>
    </w:p>
    <w:p w14:paraId="461CDE4D">
      <w:pPr>
        <w:spacing w:after="0"/>
        <w:sectPr>
          <w:footerReference r:id="rId17" w:type="default"/>
          <w:pgSz w:w="11910" w:h="16840"/>
          <w:pgMar w:top="1480" w:right="1560" w:bottom="1220" w:left="1560" w:header="0" w:footer="1024" w:gutter="0"/>
          <w:pgNumType w:start="63"/>
          <w:cols w:space="720" w:num="1"/>
        </w:sectPr>
      </w:pPr>
    </w:p>
    <w:p w14:paraId="2A4FEE29">
      <w:pPr>
        <w:pStyle w:val="10"/>
        <w:spacing w:before="42"/>
        <w:ind w:left="240"/>
      </w:pPr>
      <w:r>
        <w:t>质物理力学性质较好，场地内无不良地质现象。</w:t>
      </w:r>
    </w:p>
    <w:p w14:paraId="269853A1">
      <w:pPr>
        <w:pStyle w:val="10"/>
        <w:spacing w:before="160"/>
        <w:ind w:left="720"/>
      </w:pPr>
      <w:r>
        <w:t>根据《中国地震动参数区划图》（</w:t>
      </w:r>
      <w:r>
        <w:rPr>
          <w:rFonts w:ascii="Times New Roman" w:eastAsia="Times New Roman"/>
        </w:rPr>
        <w:t>GB18306-2015</w:t>
      </w:r>
      <w:r>
        <w:t xml:space="preserve">），地震设防烈度为 </w:t>
      </w:r>
      <w:r>
        <w:rPr>
          <w:rFonts w:ascii="Times New Roman" w:eastAsia="Times New Roman"/>
        </w:rPr>
        <w:t xml:space="preserve">7 </w:t>
      </w:r>
      <w:r>
        <w:t>度。</w:t>
      </w:r>
    </w:p>
    <w:p w14:paraId="0DC87A7D">
      <w:pPr>
        <w:pStyle w:val="16"/>
        <w:numPr>
          <w:ilvl w:val="2"/>
          <w:numId w:val="11"/>
        </w:numPr>
        <w:tabs>
          <w:tab w:val="left" w:pos="869"/>
        </w:tabs>
        <w:spacing w:before="215" w:after="0" w:line="240" w:lineRule="auto"/>
        <w:ind w:left="868" w:right="0" w:hanging="628"/>
        <w:jc w:val="left"/>
        <w:rPr>
          <w:b/>
          <w:sz w:val="28"/>
        </w:rPr>
      </w:pPr>
      <w:r>
        <w:rPr>
          <w:b/>
          <w:sz w:val="28"/>
        </w:rPr>
        <w:t>气候、气象</w:t>
      </w:r>
    </w:p>
    <w:p w14:paraId="1ABD5518">
      <w:pPr>
        <w:pStyle w:val="10"/>
        <w:spacing w:before="211" w:line="364" w:lineRule="auto"/>
        <w:ind w:left="240" w:right="237" w:firstLine="480"/>
        <w:jc w:val="both"/>
      </w:pPr>
      <w:r>
        <w:rPr>
          <w:spacing w:val="-5"/>
        </w:rPr>
        <w:t>汨罗市处于中亚热带向北亚热带过渡地区，属大陆性湿润季风气候。气候温</w:t>
      </w:r>
      <w:r>
        <w:rPr>
          <w:spacing w:val="-11"/>
        </w:rPr>
        <w:t>暖，四季分明，热量充足，雨量集中，春温多变，夏秋多旱、严寒期短，暑热期长。具体参数如下：</w:t>
      </w:r>
    </w:p>
    <w:p w14:paraId="10E7536B">
      <w:pPr>
        <w:pStyle w:val="10"/>
        <w:spacing w:before="2"/>
        <w:ind w:left="720"/>
      </w:pPr>
      <w:r>
        <w:t xml:space="preserve">年均气温 </w:t>
      </w:r>
      <w:r>
        <w:rPr>
          <w:rFonts w:ascii="Times New Roman" w:hAnsi="Times New Roman" w:eastAsia="Times New Roman"/>
        </w:rPr>
        <w:t>16.9°C</w:t>
      </w:r>
      <w:r>
        <w:t xml:space="preserve">，极端最高气温 </w:t>
      </w:r>
      <w:r>
        <w:rPr>
          <w:rFonts w:ascii="Times New Roman" w:hAnsi="Times New Roman" w:eastAsia="Times New Roman"/>
        </w:rPr>
        <w:t>39.7°C</w:t>
      </w:r>
      <w:r>
        <w:t>，极端最低气温</w:t>
      </w:r>
      <w:r>
        <w:rPr>
          <w:rFonts w:ascii="Times New Roman" w:hAnsi="Times New Roman" w:eastAsia="Times New Roman"/>
        </w:rPr>
        <w:t>-14.3°C</w:t>
      </w:r>
      <w:r>
        <w:t>。</w:t>
      </w:r>
    </w:p>
    <w:p w14:paraId="0023AFB8">
      <w:pPr>
        <w:pStyle w:val="10"/>
        <w:spacing w:before="160" w:line="364" w:lineRule="auto"/>
        <w:ind w:left="240" w:right="117" w:firstLine="480"/>
      </w:pPr>
      <w:r>
        <w:rPr>
          <w:spacing w:val="-10"/>
        </w:rPr>
        <w:t xml:space="preserve">年均降水量 </w:t>
      </w:r>
      <w:r>
        <w:rPr>
          <w:rFonts w:ascii="Times New Roman" w:eastAsia="Times New Roman"/>
        </w:rPr>
        <w:t>1345.4mm,</w:t>
      </w:r>
      <w:r>
        <w:rPr>
          <w:spacing w:val="-10"/>
        </w:rPr>
        <w:t xml:space="preserve">相对集中在 </w:t>
      </w:r>
      <w:r>
        <w:rPr>
          <w:rFonts w:ascii="Times New Roman" w:eastAsia="Times New Roman"/>
        </w:rPr>
        <w:t xml:space="preserve">4-8 </w:t>
      </w:r>
      <w:r>
        <w:rPr>
          <w:spacing w:val="-6"/>
        </w:rPr>
        <w:t xml:space="preserve">月，占全年总降水量 </w:t>
      </w:r>
      <w:r>
        <w:rPr>
          <w:rFonts w:ascii="Times New Roman" w:eastAsia="Times New Roman"/>
        </w:rPr>
        <w:t>61.5%</w:t>
      </w:r>
      <w:r>
        <w:t>。日最多</w:t>
      </w:r>
      <w:r>
        <w:rPr>
          <w:spacing w:val="-15"/>
        </w:rPr>
        <w:t xml:space="preserve">降雨量 </w:t>
      </w:r>
      <w:r>
        <w:rPr>
          <w:rFonts w:ascii="Times New Roman" w:eastAsia="Times New Roman"/>
        </w:rPr>
        <w:t>159.9m</w:t>
      </w:r>
      <w:r>
        <w:rPr>
          <w:rFonts w:ascii="Times New Roman" w:eastAsia="Times New Roman"/>
          <w:spacing w:val="-2"/>
        </w:rPr>
        <w:t>m</w:t>
      </w:r>
      <w:r>
        <w:rPr>
          <w:spacing w:val="-19"/>
        </w:rPr>
        <w:t xml:space="preserve">，最长连续降雨日数为 </w:t>
      </w:r>
      <w:r>
        <w:rPr>
          <w:rFonts w:ascii="Times New Roman" w:eastAsia="Times New Roman"/>
        </w:rPr>
        <w:t xml:space="preserve">18 </w:t>
      </w:r>
      <w:r>
        <w:rPr>
          <w:spacing w:val="-36"/>
        </w:rPr>
        <w:t xml:space="preserve">天，连续 </w:t>
      </w:r>
      <w:r>
        <w:rPr>
          <w:rFonts w:ascii="Times New Roman" w:eastAsia="Times New Roman"/>
        </w:rPr>
        <w:t xml:space="preserve">10 </w:t>
      </w:r>
      <w:r>
        <w:rPr>
          <w:spacing w:val="-8"/>
        </w:rPr>
        <w:t xml:space="preserve">天降雨量最多为 </w:t>
      </w:r>
      <w:r>
        <w:rPr>
          <w:rFonts w:ascii="Times New Roman" w:eastAsia="Times New Roman"/>
        </w:rPr>
        <w:t>432.2mm</w:t>
      </w:r>
      <w:r>
        <w:t>。</w:t>
      </w:r>
    </w:p>
    <w:p w14:paraId="278E903D">
      <w:pPr>
        <w:pStyle w:val="10"/>
        <w:spacing w:before="2"/>
        <w:ind w:left="720"/>
      </w:pPr>
      <w:r>
        <w:t xml:space="preserve">年均降雪日数为 </w:t>
      </w:r>
      <w:r>
        <w:rPr>
          <w:rFonts w:ascii="Times New Roman" w:eastAsia="Times New Roman"/>
        </w:rPr>
        <w:t xml:space="preserve">10.5 </w:t>
      </w:r>
      <w:r>
        <w:t xml:space="preserve">天，积雪厚度最大为 </w:t>
      </w:r>
      <w:r>
        <w:rPr>
          <w:rFonts w:ascii="Times New Roman" w:eastAsia="Times New Roman"/>
        </w:rPr>
        <w:t>10cm</w:t>
      </w:r>
      <w:r>
        <w:t>。</w:t>
      </w:r>
    </w:p>
    <w:p w14:paraId="4208E4C0">
      <w:pPr>
        <w:pStyle w:val="10"/>
        <w:spacing w:before="160"/>
        <w:ind w:left="720"/>
      </w:pPr>
      <w:r>
        <w:t>风向，全年盛行风向为北风，以北风和西北风为最多，各占累计年风向的</w:t>
      </w:r>
    </w:p>
    <w:p w14:paraId="24B3AB55">
      <w:pPr>
        <w:pStyle w:val="10"/>
        <w:spacing w:before="161" w:line="364" w:lineRule="auto"/>
        <w:ind w:left="720" w:right="237" w:hanging="480"/>
      </w:pPr>
      <w:r>
        <w:rPr>
          <w:rFonts w:ascii="Times New Roman" w:eastAsia="Times New Roman"/>
        </w:rPr>
        <w:t>12%</w:t>
      </w:r>
      <w:r>
        <w:t>。其次是偏南风（</w:t>
      </w:r>
      <w:r>
        <w:rPr>
          <w:rFonts w:ascii="Times New Roman" w:eastAsia="Times New Roman"/>
        </w:rPr>
        <w:t>6.7</w:t>
      </w:r>
      <w:r>
        <w:rPr>
          <w:rFonts w:ascii="Times New Roman" w:eastAsia="Times New Roman"/>
          <w:spacing w:val="25"/>
        </w:rPr>
        <w:t xml:space="preserve"> </w:t>
      </w:r>
      <w:r>
        <w:t>月）</w:t>
      </w:r>
      <w:r>
        <w:rPr>
          <w:spacing w:val="-2"/>
        </w:rPr>
        <w:t xml:space="preserve">。静风多出现在夜间，占累计年风向的 </w:t>
      </w:r>
      <w:r>
        <w:rPr>
          <w:rFonts w:ascii="Times New Roman" w:eastAsia="Times New Roman"/>
        </w:rPr>
        <w:t>15%</w:t>
      </w:r>
      <w:r>
        <w:t xml:space="preserve">。 </w:t>
      </w:r>
      <w:r>
        <w:rPr>
          <w:spacing w:val="-11"/>
        </w:rPr>
        <w:t xml:space="preserve">风速，年均风速为 </w:t>
      </w:r>
      <w:r>
        <w:rPr>
          <w:rFonts w:ascii="Times New Roman" w:eastAsia="Times New Roman"/>
          <w:spacing w:val="-4"/>
        </w:rPr>
        <w:t>2.2m/s</w:t>
      </w:r>
      <w:r>
        <w:rPr>
          <w:spacing w:val="-10"/>
        </w:rPr>
        <w:t xml:space="preserve">，历年最大风速 </w:t>
      </w:r>
      <w:r>
        <w:rPr>
          <w:rFonts w:ascii="Times New Roman" w:eastAsia="Times New Roman"/>
        </w:rPr>
        <w:t>12m/s</w:t>
      </w:r>
      <w:r>
        <w:rPr>
          <w:rFonts w:ascii="Times New Roman" w:eastAsia="Times New Roman"/>
          <w:spacing w:val="0"/>
        </w:rPr>
        <w:t xml:space="preserve"> </w:t>
      </w:r>
      <w:r>
        <w:rPr>
          <w:spacing w:val="-3"/>
        </w:rPr>
        <w:t>以上多出现在偏北风。平时</w:t>
      </w:r>
    </w:p>
    <w:p w14:paraId="07A3FD39">
      <w:pPr>
        <w:pStyle w:val="10"/>
        <w:spacing w:before="1" w:line="364" w:lineRule="auto"/>
        <w:ind w:left="240" w:right="237"/>
      </w:pPr>
      <w:r>
        <w:rPr>
          <w:spacing w:val="-6"/>
        </w:rPr>
        <w:t xml:space="preserve">风速白天大于夜间，特别是 </w:t>
      </w:r>
      <w:r>
        <w:rPr>
          <w:rFonts w:ascii="Times New Roman" w:eastAsia="Times New Roman"/>
        </w:rPr>
        <w:t xml:space="preserve">5-7 </w:t>
      </w:r>
      <w:r>
        <w:rPr>
          <w:spacing w:val="-7"/>
        </w:rPr>
        <w:t xml:space="preserve">月的偏南风，白天常有 </w:t>
      </w:r>
      <w:r>
        <w:rPr>
          <w:rFonts w:ascii="Times New Roman" w:eastAsia="Times New Roman"/>
        </w:rPr>
        <w:t xml:space="preserve">4-5 </w:t>
      </w:r>
      <w:r>
        <w:rPr>
          <w:spacing w:val="-11"/>
        </w:rPr>
        <w:t xml:space="preserve">级，夜间只有 </w:t>
      </w:r>
      <w:r>
        <w:rPr>
          <w:rFonts w:ascii="Times New Roman" w:eastAsia="Times New Roman"/>
        </w:rPr>
        <w:t xml:space="preserve">1 </w:t>
      </w:r>
      <w:r>
        <w:t>级左右。</w:t>
      </w:r>
    </w:p>
    <w:p w14:paraId="43E7D28B">
      <w:pPr>
        <w:pStyle w:val="10"/>
        <w:spacing w:before="1" w:line="364" w:lineRule="auto"/>
        <w:ind w:left="240" w:right="240" w:firstLine="480"/>
      </w:pPr>
      <w:r>
        <w:rPr>
          <w:spacing w:val="-7"/>
        </w:rPr>
        <w:t xml:space="preserve">年平均地面温度 </w:t>
      </w:r>
      <w:r>
        <w:rPr>
          <w:rFonts w:ascii="Times New Roman" w:eastAsia="Times New Roman"/>
        </w:rPr>
        <w:t>19.3C,</w:t>
      </w:r>
      <w:r>
        <w:rPr>
          <w:spacing w:val="-8"/>
        </w:rPr>
        <w:t xml:space="preserve">年平均霜日数 </w:t>
      </w:r>
      <w:r>
        <w:rPr>
          <w:rFonts w:ascii="Times New Roman" w:eastAsia="Times New Roman"/>
        </w:rPr>
        <w:t xml:space="preserve">24.8 </w:t>
      </w:r>
      <w:r>
        <w:rPr>
          <w:spacing w:val="-6"/>
        </w:rPr>
        <w:t xml:space="preserve">天，年均湿度为 </w:t>
      </w:r>
      <w:r>
        <w:rPr>
          <w:rFonts w:ascii="Times New Roman" w:eastAsia="Times New Roman"/>
        </w:rPr>
        <w:t>81%</w:t>
      </w:r>
      <w:r>
        <w:t>，年均蒸发</w:t>
      </w:r>
      <w:r>
        <w:rPr>
          <w:spacing w:val="-21"/>
        </w:rPr>
        <w:t xml:space="preserve">量为 </w:t>
      </w:r>
      <w:r>
        <w:rPr>
          <w:rFonts w:ascii="Times New Roman" w:eastAsia="Times New Roman"/>
        </w:rPr>
        <w:t>1345.4mm</w:t>
      </w:r>
      <w:r>
        <w:t>。</w:t>
      </w:r>
    </w:p>
    <w:p w14:paraId="4343F7DA">
      <w:pPr>
        <w:pStyle w:val="16"/>
        <w:numPr>
          <w:ilvl w:val="2"/>
          <w:numId w:val="11"/>
        </w:numPr>
        <w:tabs>
          <w:tab w:val="left" w:pos="869"/>
        </w:tabs>
        <w:spacing w:before="55" w:after="0" w:line="240" w:lineRule="auto"/>
        <w:ind w:left="868" w:right="0" w:hanging="628"/>
        <w:jc w:val="left"/>
        <w:rPr>
          <w:b/>
          <w:sz w:val="28"/>
        </w:rPr>
      </w:pPr>
      <w:r>
        <w:rPr>
          <w:b/>
          <w:sz w:val="28"/>
        </w:rPr>
        <w:t>水文条件</w:t>
      </w:r>
    </w:p>
    <w:p w14:paraId="519D9688">
      <w:pPr>
        <w:pStyle w:val="10"/>
        <w:spacing w:before="211" w:line="364" w:lineRule="auto"/>
        <w:ind w:left="240" w:right="237" w:firstLine="480"/>
      </w:pPr>
      <w:r>
        <w:rPr>
          <w:spacing w:val="-5"/>
        </w:rPr>
        <w:t>汨罗江因主河道汨水与支流罗水相汇而得名。汨水源于江西省修水县黄龙山梨树埚，流经修水县、平江县、汨罗市，于汨罗市大洲湾与罗水汇合。</w:t>
      </w:r>
    </w:p>
    <w:p w14:paraId="7CA4A071">
      <w:pPr>
        <w:pStyle w:val="10"/>
        <w:spacing w:before="2" w:line="364" w:lineRule="auto"/>
        <w:ind w:left="240" w:right="169" w:firstLine="480"/>
        <w:jc w:val="both"/>
      </w:pPr>
      <w:r>
        <w:rPr>
          <w:spacing w:val="-5"/>
        </w:rPr>
        <w:t>汨罗江发源于江西省修水县的黄龙山脉，往西流经平江县、汨罗市于磊石山</w:t>
      </w:r>
      <w:r>
        <w:rPr>
          <w:spacing w:val="-7"/>
        </w:rPr>
        <w:t xml:space="preserve">注入东洞庭湖。干流长度 </w:t>
      </w:r>
      <w:r>
        <w:rPr>
          <w:rFonts w:ascii="Times New Roman" w:hAnsi="Times New Roman" w:eastAsia="Times New Roman"/>
        </w:rPr>
        <w:t xml:space="preserve">253.3 </w:t>
      </w:r>
      <w:r>
        <w:rPr>
          <w:spacing w:val="-7"/>
        </w:rPr>
        <w:t xml:space="preserve">公里，平均迫降 </w:t>
      </w:r>
      <w:r>
        <w:rPr>
          <w:rFonts w:ascii="Times New Roman" w:hAnsi="Times New Roman" w:eastAsia="Times New Roman"/>
        </w:rPr>
        <w:t>0.46‰</w:t>
      </w:r>
      <w:r>
        <w:rPr>
          <w:spacing w:val="-8"/>
        </w:rPr>
        <w:t xml:space="preserve">，流域面积达 </w:t>
      </w:r>
      <w:r>
        <w:rPr>
          <w:rFonts w:ascii="Times New Roman" w:hAnsi="Times New Roman" w:eastAsia="Times New Roman"/>
        </w:rPr>
        <w:t xml:space="preserve">5543 </w:t>
      </w:r>
      <w:r>
        <w:t>平方</w:t>
      </w:r>
      <w:r>
        <w:rPr>
          <w:spacing w:val="-7"/>
        </w:rPr>
        <w:t>公里。青冲口以下</w:t>
      </w:r>
      <w:r>
        <w:rPr>
          <w:spacing w:val="-3"/>
        </w:rPr>
        <w:t>（</w:t>
      </w:r>
      <w:r>
        <w:t>汨罗段</w:t>
      </w:r>
      <w:r>
        <w:rPr>
          <w:spacing w:val="-20"/>
        </w:rPr>
        <w:t>）</w:t>
      </w:r>
      <w:r>
        <w:rPr>
          <w:spacing w:val="-3"/>
        </w:rPr>
        <w:t>为洞庭湖冲击平原区，地形平坦开阔，地面高程在</w:t>
      </w:r>
      <w:r>
        <w:rPr>
          <w:rFonts w:ascii="Times New Roman" w:hAnsi="Times New Roman" w:eastAsia="Times New Roman"/>
          <w:spacing w:val="-3"/>
        </w:rPr>
        <w:t>22.1m-32.1m</w:t>
      </w:r>
      <w:r>
        <w:rPr>
          <w:spacing w:val="-3"/>
        </w:rPr>
        <w:t xml:space="preserve">，汨水入湖处磊石山基岩裸露，山顶高程 </w:t>
      </w:r>
      <w:r>
        <w:rPr>
          <w:rFonts w:ascii="Times New Roman" w:hAnsi="Times New Roman" w:eastAsia="Times New Roman"/>
        </w:rPr>
        <w:t>88.5m</w:t>
      </w:r>
      <w:r>
        <w:t>。流域总的地势为</w:t>
      </w:r>
      <w:r>
        <w:rPr>
          <w:spacing w:val="-5"/>
        </w:rPr>
        <w:t xml:space="preserve">东南高西北地。流域面积 </w:t>
      </w:r>
      <w:r>
        <w:rPr>
          <w:rFonts w:ascii="Times New Roman" w:hAnsi="Times New Roman" w:eastAsia="Times New Roman"/>
        </w:rPr>
        <w:t>5543km</w:t>
      </w:r>
      <w:r>
        <w:rPr>
          <w:rFonts w:ascii="Times New Roman" w:hAnsi="Times New Roman" w:eastAsia="Times New Roman"/>
          <w:position w:val="8"/>
          <w:sz w:val="15"/>
        </w:rPr>
        <w:t>2</w:t>
      </w:r>
      <w:r>
        <w:rPr>
          <w:spacing w:val="-15"/>
        </w:rPr>
        <w:t xml:space="preserve">，河长 </w:t>
      </w:r>
      <w:r>
        <w:rPr>
          <w:rFonts w:ascii="Times New Roman" w:hAnsi="Times New Roman" w:eastAsia="Times New Roman"/>
        </w:rPr>
        <w:t>253.2km</w:t>
      </w:r>
      <w:r>
        <w:rPr>
          <w:spacing w:val="-6"/>
        </w:rPr>
        <w:t xml:space="preserve">，其中汨罗市境内长 </w:t>
      </w:r>
      <w:r>
        <w:rPr>
          <w:rFonts w:ascii="Times New Roman" w:hAnsi="Times New Roman" w:eastAsia="Times New Roman"/>
        </w:rPr>
        <w:t>61.5km</w:t>
      </w:r>
      <w:r>
        <w:t xml:space="preserve">， </w:t>
      </w:r>
      <w:r>
        <w:rPr>
          <w:spacing w:val="-12"/>
        </w:rPr>
        <w:t xml:space="preserve">流域面积 </w:t>
      </w:r>
      <w:r>
        <w:rPr>
          <w:rFonts w:ascii="Times New Roman" w:hAnsi="Times New Roman" w:eastAsia="Times New Roman"/>
        </w:rPr>
        <w:t>965km</w:t>
      </w:r>
      <w:r>
        <w:rPr>
          <w:rFonts w:ascii="Times New Roman" w:hAnsi="Times New Roman" w:eastAsia="Times New Roman"/>
          <w:position w:val="8"/>
          <w:sz w:val="15"/>
        </w:rPr>
        <w:t>2</w:t>
      </w:r>
      <w:r>
        <w:rPr>
          <w:spacing w:val="-5"/>
        </w:rPr>
        <w:t xml:space="preserve">。干流多年平均径流量为 </w:t>
      </w:r>
      <w:r>
        <w:rPr>
          <w:rFonts w:ascii="Times New Roman" w:hAnsi="Times New Roman" w:eastAsia="Times New Roman"/>
        </w:rPr>
        <w:t xml:space="preserve">43.04 </w:t>
      </w:r>
      <w:r>
        <w:rPr>
          <w:spacing w:val="-29"/>
        </w:rPr>
        <w:t xml:space="preserve">亿 </w:t>
      </w:r>
      <w:r>
        <w:rPr>
          <w:rFonts w:ascii="Times New Roman" w:hAnsi="Times New Roman" w:eastAsia="Times New Roman"/>
        </w:rPr>
        <w:t>m</w:t>
      </w:r>
      <w:r>
        <w:rPr>
          <w:rFonts w:ascii="Times New Roman" w:hAnsi="Times New Roman" w:eastAsia="Times New Roman"/>
          <w:position w:val="8"/>
          <w:sz w:val="15"/>
        </w:rPr>
        <w:t>3</w:t>
      </w:r>
      <w:r>
        <w:rPr>
          <w:spacing w:val="-15"/>
        </w:rPr>
        <w:t xml:space="preserve">，汛期 </w:t>
      </w:r>
      <w:r>
        <w:rPr>
          <w:rFonts w:ascii="Times New Roman" w:hAnsi="Times New Roman" w:eastAsia="Times New Roman"/>
        </w:rPr>
        <w:t xml:space="preserve">5~8 </w:t>
      </w:r>
      <w:r>
        <w:t xml:space="preserve">月，径流量占全年总量 </w:t>
      </w:r>
      <w:r>
        <w:rPr>
          <w:rFonts w:ascii="Times New Roman" w:hAnsi="Times New Roman" w:eastAsia="Times New Roman"/>
          <w:spacing w:val="6"/>
        </w:rPr>
        <w:t>46.2</w:t>
      </w:r>
      <w:r>
        <w:rPr>
          <w:spacing w:val="-1"/>
        </w:rPr>
        <w:t xml:space="preserve">％，保证率 </w:t>
      </w:r>
      <w:r>
        <w:rPr>
          <w:rFonts w:ascii="Times New Roman" w:hAnsi="Times New Roman" w:eastAsia="Times New Roman"/>
          <w:spacing w:val="5"/>
        </w:rPr>
        <w:t>95%</w:t>
      </w:r>
      <w:r>
        <w:rPr>
          <w:spacing w:val="5"/>
        </w:rPr>
        <w:t xml:space="preserve">的枯水年径流量为 </w:t>
      </w:r>
      <w:r>
        <w:rPr>
          <w:rFonts w:ascii="Times New Roman" w:hAnsi="Times New Roman" w:eastAsia="Times New Roman"/>
        </w:rPr>
        <w:t xml:space="preserve">5.33 </w:t>
      </w:r>
      <w:r>
        <w:rPr>
          <w:spacing w:val="-20"/>
        </w:rPr>
        <w:t xml:space="preserve">亿 </w:t>
      </w:r>
      <w:r>
        <w:rPr>
          <w:rFonts w:ascii="Times New Roman" w:hAnsi="Times New Roman" w:eastAsia="Times New Roman"/>
        </w:rPr>
        <w:t>m</w:t>
      </w:r>
      <w:r>
        <w:rPr>
          <w:rFonts w:ascii="Times New Roman" w:hAnsi="Times New Roman" w:eastAsia="Times New Roman"/>
          <w:position w:val="8"/>
          <w:sz w:val="15"/>
        </w:rPr>
        <w:t xml:space="preserve">3 </w:t>
      </w:r>
      <w:r>
        <w:rPr>
          <w:spacing w:val="10"/>
        </w:rPr>
        <w:t>，多年平均流量</w:t>
      </w:r>
    </w:p>
    <w:p w14:paraId="6029A5CA">
      <w:pPr>
        <w:pStyle w:val="10"/>
        <w:spacing w:before="4"/>
        <w:ind w:left="240"/>
        <w:rPr>
          <w:rFonts w:ascii="Times New Roman" w:eastAsia="Times New Roman"/>
        </w:rPr>
      </w:pPr>
      <w:r>
        <w:rPr>
          <w:rFonts w:ascii="Times New Roman" w:eastAsia="Times New Roman"/>
        </w:rPr>
        <w:t>99.4m</w:t>
      </w:r>
      <w:r>
        <w:rPr>
          <w:rFonts w:ascii="Times New Roman" w:eastAsia="Times New Roman"/>
          <w:position w:val="8"/>
          <w:sz w:val="15"/>
        </w:rPr>
        <w:t>3</w:t>
      </w:r>
      <w:r>
        <w:rPr>
          <w:rFonts w:ascii="Times New Roman" w:eastAsia="Times New Roman"/>
        </w:rPr>
        <w:t>/s</w:t>
      </w:r>
      <w:r>
        <w:t xml:space="preserve">，多年最大月平均流量 </w:t>
      </w:r>
      <w:r>
        <w:rPr>
          <w:rFonts w:ascii="Times New Roman" w:eastAsia="Times New Roman"/>
        </w:rPr>
        <w:t>231m</w:t>
      </w:r>
      <w:r>
        <w:rPr>
          <w:rFonts w:ascii="Times New Roman" w:eastAsia="Times New Roman"/>
          <w:position w:val="8"/>
          <w:sz w:val="15"/>
        </w:rPr>
        <w:t>3</w:t>
      </w:r>
      <w:r>
        <w:rPr>
          <w:rFonts w:ascii="Times New Roman" w:eastAsia="Times New Roman"/>
        </w:rPr>
        <w:t>/s</w:t>
      </w:r>
      <w:r>
        <w:t>（</w:t>
      </w:r>
      <w:r>
        <w:rPr>
          <w:rFonts w:ascii="Times New Roman" w:eastAsia="Times New Roman"/>
        </w:rPr>
        <w:t xml:space="preserve">5 </w:t>
      </w:r>
      <w:r>
        <w:t xml:space="preserve">月），最小月平均流量 </w:t>
      </w:r>
      <w:r>
        <w:rPr>
          <w:rFonts w:ascii="Times New Roman" w:eastAsia="Times New Roman"/>
        </w:rPr>
        <w:t>26.2m</w:t>
      </w:r>
      <w:r>
        <w:rPr>
          <w:rFonts w:ascii="Times New Roman" w:eastAsia="Times New Roman"/>
          <w:position w:val="8"/>
          <w:sz w:val="15"/>
        </w:rPr>
        <w:t>3</w:t>
      </w:r>
      <w:r>
        <w:rPr>
          <w:rFonts w:ascii="Times New Roman" w:eastAsia="Times New Roman"/>
        </w:rPr>
        <w:t>/s</w:t>
      </w:r>
      <w:r>
        <w:t>（</w:t>
      </w:r>
      <w:r>
        <w:rPr>
          <w:rFonts w:ascii="Times New Roman" w:eastAsia="Times New Roman"/>
        </w:rPr>
        <w:t>1</w:t>
      </w:r>
    </w:p>
    <w:p w14:paraId="1AA4918A">
      <w:pPr>
        <w:pStyle w:val="10"/>
        <w:spacing w:before="160"/>
        <w:ind w:left="240"/>
      </w:pPr>
      <w:r>
        <w:t>月、</w:t>
      </w:r>
      <w:r>
        <w:rPr>
          <w:rFonts w:ascii="Times New Roman" w:eastAsia="Times New Roman"/>
        </w:rPr>
        <w:t xml:space="preserve">12 </w:t>
      </w:r>
      <w:r>
        <w:t>月）。</w:t>
      </w:r>
    </w:p>
    <w:p w14:paraId="5FACBE35">
      <w:pPr>
        <w:spacing w:after="0"/>
        <w:sectPr>
          <w:pgSz w:w="11910" w:h="16840"/>
          <w:pgMar w:top="1460" w:right="1560" w:bottom="1220" w:left="1560" w:header="0" w:footer="1024" w:gutter="0"/>
          <w:cols w:space="720" w:num="1"/>
        </w:sectPr>
      </w:pPr>
    </w:p>
    <w:p w14:paraId="6A452C24">
      <w:pPr>
        <w:pStyle w:val="10"/>
        <w:spacing w:before="42" w:line="364" w:lineRule="auto"/>
        <w:ind w:left="240" w:right="237" w:firstLine="480"/>
        <w:jc w:val="both"/>
      </w:pPr>
      <w:r>
        <w:rPr>
          <w:spacing w:val="-6"/>
        </w:rPr>
        <w:t>项目所在区域水文地质条件较为简单，地下水类型主要为第四系松散堆积层</w:t>
      </w:r>
      <w:r>
        <w:rPr>
          <w:spacing w:val="-12"/>
        </w:rPr>
        <w:t>中的孔隙潜水和孔隙承压水。前者存储和运移于第四系全新统冲击堆积中，径流条件差，水交替弱，主要受大气降水与地表水补给向河床排泄，枯水期地下水位</w:t>
      </w:r>
      <w:r>
        <w:rPr>
          <w:spacing w:val="-17"/>
        </w:rPr>
        <w:t xml:space="preserve">埋深 </w:t>
      </w:r>
      <w:r>
        <w:rPr>
          <w:rFonts w:ascii="Times New Roman" w:eastAsia="Times New Roman"/>
        </w:rPr>
        <w:t>1-3m</w:t>
      </w:r>
      <w:r>
        <w:t>。后者分布于粉质粘土及砂质粘质土下部的沙砾石中，分布广，补给源主要为河水，承压水头随外河水位的涨幅变动，顶板埋深</w:t>
      </w:r>
      <w:r>
        <w:rPr>
          <w:rFonts w:ascii="Times New Roman" w:eastAsia="Times New Roman"/>
          <w:spacing w:val="-3"/>
        </w:rPr>
        <w:t>&gt;11m</w:t>
      </w:r>
      <w:r>
        <w:t>。据黄金部队</w:t>
      </w:r>
      <w:r>
        <w:rPr>
          <w:spacing w:val="5"/>
        </w:rPr>
        <w:t xml:space="preserve">对汨罗江普查结果， 项目所在地地下水位高程为 </w:t>
      </w:r>
      <w:r>
        <w:rPr>
          <w:rFonts w:ascii="Times New Roman" w:eastAsia="Times New Roman"/>
        </w:rPr>
        <w:t xml:space="preserve">31.4~30.2m </w:t>
      </w:r>
      <w:r>
        <w:rPr>
          <w:spacing w:val="-3"/>
        </w:rPr>
        <w:t>， 地下水埋深</w:t>
      </w:r>
    </w:p>
    <w:p w14:paraId="7EFFD846">
      <w:pPr>
        <w:pStyle w:val="10"/>
        <w:spacing w:before="3" w:line="364" w:lineRule="auto"/>
        <w:ind w:left="720" w:right="2587" w:hanging="480"/>
      </w:pPr>
      <w:r>
        <w:rPr>
          <w:rFonts w:ascii="Times New Roman" w:eastAsia="Times New Roman"/>
        </w:rPr>
        <w:t>6.2~5.9m</w:t>
      </w:r>
      <w:r>
        <w:t>，地下水的化学类型对建筑砼和钢筋无腐蚀性。本项目周边居民饮用水水源主要为城市自来水。</w:t>
      </w:r>
    </w:p>
    <w:p w14:paraId="71263360">
      <w:pPr>
        <w:pStyle w:val="16"/>
        <w:numPr>
          <w:ilvl w:val="2"/>
          <w:numId w:val="12"/>
        </w:numPr>
        <w:tabs>
          <w:tab w:val="left" w:pos="869"/>
        </w:tabs>
        <w:spacing w:before="55" w:after="0" w:line="240" w:lineRule="auto"/>
        <w:ind w:left="868" w:right="0" w:hanging="628"/>
        <w:jc w:val="left"/>
        <w:rPr>
          <w:b/>
          <w:sz w:val="28"/>
        </w:rPr>
      </w:pPr>
      <w:r>
        <w:rPr>
          <w:b/>
          <w:sz w:val="28"/>
        </w:rPr>
        <w:t>生物资源</w:t>
      </w:r>
    </w:p>
    <w:p w14:paraId="3D7988D7">
      <w:pPr>
        <w:pStyle w:val="10"/>
        <w:spacing w:before="212"/>
        <w:ind w:left="720"/>
        <w:rPr>
          <w:rFonts w:ascii="Times New Roman" w:eastAsia="Times New Roman"/>
        </w:rPr>
      </w:pPr>
      <w:r>
        <w:t xml:space="preserve">汨罗市属亚热带常绿阔叶林区，植物资源十分丰富。境内共有蕨类植物 </w:t>
      </w:r>
      <w:r>
        <w:rPr>
          <w:rFonts w:ascii="Times New Roman" w:eastAsia="Times New Roman"/>
        </w:rPr>
        <w:t>15</w:t>
      </w:r>
    </w:p>
    <w:p w14:paraId="4CCE56E5">
      <w:pPr>
        <w:pStyle w:val="10"/>
        <w:spacing w:before="160" w:line="364" w:lineRule="auto"/>
        <w:ind w:left="240" w:right="237"/>
        <w:jc w:val="both"/>
      </w:pPr>
      <w:r>
        <w:rPr>
          <w:spacing w:val="0"/>
        </w:rPr>
        <w:t>科，</w:t>
      </w:r>
      <w:r>
        <w:rPr>
          <w:rFonts w:ascii="Times New Roman" w:eastAsia="Times New Roman"/>
        </w:rPr>
        <w:t xml:space="preserve">25 </w:t>
      </w:r>
      <w:r>
        <w:rPr>
          <w:spacing w:val="-7"/>
        </w:rPr>
        <w:t xml:space="preserve">种；裸子植物 </w:t>
      </w:r>
      <w:r>
        <w:rPr>
          <w:rFonts w:ascii="Times New Roman" w:eastAsia="Times New Roman"/>
        </w:rPr>
        <w:t xml:space="preserve">7 </w:t>
      </w:r>
      <w:r>
        <w:rPr>
          <w:spacing w:val="0"/>
        </w:rPr>
        <w:t>科，</w:t>
      </w:r>
      <w:r>
        <w:rPr>
          <w:rFonts w:ascii="Times New Roman" w:eastAsia="Times New Roman"/>
        </w:rPr>
        <w:t xml:space="preserve">13 </w:t>
      </w:r>
      <w:r>
        <w:rPr>
          <w:spacing w:val="-6"/>
        </w:rPr>
        <w:t xml:space="preserve">种；被子植物 </w:t>
      </w:r>
      <w:r>
        <w:rPr>
          <w:rFonts w:ascii="Times New Roman" w:eastAsia="Times New Roman"/>
        </w:rPr>
        <w:t xml:space="preserve">94 </w:t>
      </w:r>
      <w:r>
        <w:rPr>
          <w:spacing w:val="0"/>
        </w:rPr>
        <w:t>科，</w:t>
      </w:r>
      <w:r>
        <w:rPr>
          <w:rFonts w:ascii="Times New Roman" w:eastAsia="Times New Roman"/>
        </w:rPr>
        <w:t xml:space="preserve">383 </w:t>
      </w:r>
      <w:r>
        <w:rPr>
          <w:spacing w:val="-5"/>
        </w:rPr>
        <w:t xml:space="preserve">种。其中有培植的 </w:t>
      </w:r>
      <w:r>
        <w:rPr>
          <w:rFonts w:ascii="Times New Roman" w:eastAsia="Times New Roman"/>
        </w:rPr>
        <w:t xml:space="preserve">48 </w:t>
      </w:r>
      <w:r>
        <w:t>科，</w:t>
      </w:r>
      <w:r>
        <w:rPr>
          <w:rFonts w:ascii="Times New Roman" w:eastAsia="Times New Roman"/>
        </w:rPr>
        <w:t xml:space="preserve">253 </w:t>
      </w:r>
      <w:r>
        <w:rPr>
          <w:spacing w:val="-8"/>
        </w:rPr>
        <w:t xml:space="preserve">种，有实用推广价值的达 </w:t>
      </w:r>
      <w:r>
        <w:rPr>
          <w:rFonts w:ascii="Times New Roman" w:eastAsia="Times New Roman"/>
        </w:rPr>
        <w:t xml:space="preserve">180 </w:t>
      </w:r>
      <w:r>
        <w:rPr>
          <w:spacing w:val="-5"/>
        </w:rPr>
        <w:t>余种。属国家保护的有水杉、银杏、杜仲等，主要用材树种有松、杉、樟、檫、楠竹等。</w:t>
      </w:r>
    </w:p>
    <w:p w14:paraId="3EEEC3C0">
      <w:pPr>
        <w:pStyle w:val="10"/>
        <w:spacing w:before="2"/>
        <w:ind w:left="720"/>
      </w:pPr>
      <w:r>
        <w:t xml:space="preserve">汨罗市已查明的野生动物有昆虫 </w:t>
      </w:r>
      <w:r>
        <w:rPr>
          <w:rFonts w:ascii="Times New Roman" w:eastAsia="Times New Roman"/>
        </w:rPr>
        <w:t xml:space="preserve">65 </w:t>
      </w:r>
      <w:r>
        <w:t>科，</w:t>
      </w:r>
      <w:r>
        <w:rPr>
          <w:rFonts w:ascii="Times New Roman" w:eastAsia="Times New Roman"/>
        </w:rPr>
        <w:t xml:space="preserve">168 </w:t>
      </w:r>
      <w:r>
        <w:t xml:space="preserve">种；鱼类 </w:t>
      </w:r>
      <w:r>
        <w:rPr>
          <w:rFonts w:ascii="Times New Roman" w:eastAsia="Times New Roman"/>
        </w:rPr>
        <w:t xml:space="preserve">20 </w:t>
      </w:r>
      <w:r>
        <w:t>科，</w:t>
      </w:r>
      <w:r>
        <w:rPr>
          <w:rFonts w:ascii="Times New Roman" w:eastAsia="Times New Roman"/>
        </w:rPr>
        <w:t xml:space="preserve">90 </w:t>
      </w:r>
      <w:r>
        <w:t>种；鸟类</w:t>
      </w:r>
    </w:p>
    <w:p w14:paraId="71AE1740">
      <w:pPr>
        <w:pStyle w:val="10"/>
        <w:spacing w:before="161" w:line="364" w:lineRule="auto"/>
        <w:ind w:left="240" w:right="117"/>
      </w:pPr>
      <w:r>
        <w:rPr>
          <w:rFonts w:ascii="Times New Roman" w:eastAsia="Times New Roman"/>
        </w:rPr>
        <w:t xml:space="preserve">28 </w:t>
      </w:r>
      <w:r>
        <w:t>科，</w:t>
      </w:r>
      <w:r>
        <w:rPr>
          <w:rFonts w:ascii="Times New Roman" w:eastAsia="Times New Roman"/>
        </w:rPr>
        <w:t xml:space="preserve">50 </w:t>
      </w:r>
      <w:r>
        <w:rPr>
          <w:spacing w:val="-9"/>
        </w:rPr>
        <w:t xml:space="preserve">种；哺乳类 </w:t>
      </w:r>
      <w:r>
        <w:rPr>
          <w:rFonts w:ascii="Times New Roman" w:eastAsia="Times New Roman"/>
        </w:rPr>
        <w:t xml:space="preserve">16 </w:t>
      </w:r>
      <w:r>
        <w:t>科，</w:t>
      </w:r>
      <w:r>
        <w:rPr>
          <w:rFonts w:ascii="Times New Roman" w:eastAsia="Times New Roman"/>
        </w:rPr>
        <w:t xml:space="preserve">29 </w:t>
      </w:r>
      <w:r>
        <w:t>种。还有大量的两栖类、爬行类动物。属国家保护动物的有鲮鲤（穿山甲）、大鲵（娃娃鱼）、草（猴面鹰）、麂子、猪獾、</w:t>
      </w:r>
      <w:r>
        <w:rPr>
          <w:spacing w:val="-16"/>
        </w:rPr>
        <w:t>上树狸、大灵猫等。主要经济鱼类有草、青、鲢、鳙、鲤等；主要爬行动物有鳖、乌龟、蟹等；主要家畜有牛、猪、羊等；主要家禽有鸡、鸭、鹅等。</w:t>
      </w:r>
    </w:p>
    <w:p w14:paraId="4680EBA4">
      <w:pPr>
        <w:pStyle w:val="10"/>
        <w:spacing w:before="2" w:line="364" w:lineRule="auto"/>
        <w:ind w:left="240" w:right="145" w:firstLine="480"/>
      </w:pPr>
      <w:r>
        <w:rPr>
          <w:spacing w:val="-7"/>
        </w:rPr>
        <w:t>根据现场调查走访，本项目规划区域内，植被以人工作物为主，主要草本植</w:t>
      </w:r>
      <w:r>
        <w:rPr>
          <w:spacing w:val="-14"/>
        </w:rPr>
        <w:t>物以蔬菜水稻为主，主要树种有马尾松、杉木、湿地松、茶叶、油茶等，区内无</w:t>
      </w:r>
      <w:r>
        <w:rPr>
          <w:spacing w:val="-17"/>
        </w:rPr>
        <w:t>天然林和原生自然植物群落，田间及田埂地带生长着与农业生态系统相互依托的少量次生自然物种，常见的有马齿苋、爬地草等。动物资源主要以人工养殖的家</w:t>
      </w:r>
      <w:r>
        <w:rPr>
          <w:spacing w:val="-11"/>
        </w:rPr>
        <w:t>畜、家禽为主，主要家畜有牛、猪、羊、狗等，主要家禽有鸡、鸭、鹅等，主要</w:t>
      </w:r>
      <w:r>
        <w:rPr>
          <w:spacing w:val="-14"/>
        </w:rPr>
        <w:t>经济鱼类有草、青、鲢、鲤等，由于该区属于城郊，人为活动频繁，开发活动较</w:t>
      </w:r>
      <w:r>
        <w:rPr>
          <w:spacing w:val="-12"/>
        </w:rPr>
        <w:t>为强烈，野生动物尤其大型野生动物生存环境遭到破坏，因此野生动物的活动踪迹较少，主要野生动物都是一些常见的种类如：田鼠、竹鼠、蛇、蛙、黄鼠狼， 以及一些鸟类有燕、喜鹊、八哥、画眉、布谷、猫头鹰等。</w:t>
      </w:r>
    </w:p>
    <w:p w14:paraId="43566162">
      <w:pPr>
        <w:pStyle w:val="16"/>
        <w:numPr>
          <w:ilvl w:val="2"/>
          <w:numId w:val="12"/>
        </w:numPr>
        <w:tabs>
          <w:tab w:val="left" w:pos="869"/>
        </w:tabs>
        <w:spacing w:before="59" w:after="0" w:line="240" w:lineRule="auto"/>
        <w:ind w:left="868" w:right="0" w:hanging="628"/>
        <w:jc w:val="left"/>
        <w:rPr>
          <w:b/>
          <w:sz w:val="28"/>
        </w:rPr>
      </w:pPr>
      <w:r>
        <w:rPr>
          <w:b/>
          <w:sz w:val="28"/>
        </w:rPr>
        <w:t>土地资源</w:t>
      </w:r>
    </w:p>
    <w:p w14:paraId="7862003B">
      <w:pPr>
        <w:pStyle w:val="10"/>
        <w:spacing w:before="212"/>
        <w:ind w:left="720"/>
      </w:pPr>
      <w:r>
        <w:t xml:space="preserve">项目区的土壤以半页岩为主，占 </w:t>
      </w:r>
      <w:r>
        <w:rPr>
          <w:rFonts w:ascii="Times New Roman" w:eastAsia="Times New Roman"/>
        </w:rPr>
        <w:t>47.8%</w:t>
      </w:r>
      <w:r>
        <w:t>。主要为赤红壤、红壤、黄壤、第四</w:t>
      </w:r>
    </w:p>
    <w:p w14:paraId="3AA17E8B">
      <w:pPr>
        <w:spacing w:after="0"/>
        <w:sectPr>
          <w:pgSz w:w="11910" w:h="16840"/>
          <w:pgMar w:top="1460" w:right="1560" w:bottom="1220" w:left="1560" w:header="0" w:footer="1024" w:gutter="0"/>
          <w:cols w:space="720" w:num="1"/>
        </w:sectPr>
      </w:pPr>
    </w:p>
    <w:p w14:paraId="0C3D728F">
      <w:pPr>
        <w:pStyle w:val="10"/>
        <w:spacing w:before="42"/>
        <w:ind w:left="240"/>
      </w:pPr>
      <w:r>
        <w:t>纪松散堆积物以及红砂壤五个类型。</w:t>
      </w:r>
    </w:p>
    <w:p w14:paraId="68410724">
      <w:pPr>
        <w:pStyle w:val="10"/>
        <w:spacing w:before="160" w:line="364" w:lineRule="auto"/>
        <w:ind w:left="240" w:right="237" w:firstLine="480"/>
        <w:jc w:val="both"/>
      </w:pPr>
      <w:r>
        <w:rPr>
          <w:spacing w:val="-6"/>
        </w:rPr>
        <w:t>发育于花岗岩母质上的赤红壤、黄壤、红壤，由于在高强多雨条件下，物理</w:t>
      </w:r>
      <w:r>
        <w:rPr>
          <w:spacing w:val="-11"/>
        </w:rPr>
        <w:t>风化和化学风化都极其强烈，风化产物分解彻底，形成深厚的风化壳。土壤结构输送，植被破坏后，容易冲刷流失。</w:t>
      </w:r>
    </w:p>
    <w:p w14:paraId="3B66417D">
      <w:pPr>
        <w:pStyle w:val="10"/>
        <w:spacing w:before="2" w:line="364" w:lineRule="auto"/>
        <w:ind w:left="240" w:right="117" w:firstLine="480"/>
      </w:pPr>
      <w:r>
        <w:rPr>
          <w:spacing w:val="-12"/>
        </w:rPr>
        <w:t xml:space="preserve">发育于红砂岩母质上的红砂壤，矿质养分有效性较高，砂性较重，土质疏松， </w:t>
      </w:r>
      <w:r>
        <w:rPr>
          <w:spacing w:val="-19"/>
        </w:rPr>
        <w:t xml:space="preserve">土层薄，一般 </w:t>
      </w:r>
      <w:r>
        <w:rPr>
          <w:rFonts w:ascii="Times New Roman" w:eastAsia="Times New Roman"/>
        </w:rPr>
        <w:t>1~3m</w:t>
      </w:r>
      <w:r>
        <w:t>。</w:t>
      </w:r>
    </w:p>
    <w:p w14:paraId="4DE8FBBA">
      <w:pPr>
        <w:pStyle w:val="10"/>
        <w:spacing w:before="1" w:line="364" w:lineRule="auto"/>
        <w:ind w:left="240" w:right="237" w:firstLine="480"/>
        <w:jc w:val="both"/>
      </w:pPr>
      <w:r>
        <w:rPr>
          <w:spacing w:val="-6"/>
        </w:rPr>
        <w:t>发育于砂岩母质上的红砂壤，抗风化剥蚀能力较弱，地表水不易渗透，易形成散流，在一定地形条件下，而发生泥石流。</w:t>
      </w:r>
    </w:p>
    <w:p w14:paraId="376587F2">
      <w:pPr>
        <w:pStyle w:val="10"/>
        <w:spacing w:before="2" w:line="364" w:lineRule="auto"/>
        <w:ind w:left="240" w:right="237" w:firstLine="480"/>
        <w:jc w:val="both"/>
      </w:pPr>
      <w:r>
        <w:rPr>
          <w:spacing w:val="-6"/>
        </w:rPr>
        <w:t>发育于石灰页岩母质上的红壤，此种岩主要矿物为碳酸钙，由于淋溶和富集作用，风化物粘性重，透水性差，有机质含量较高，常表面冲刷产生面蚀。</w:t>
      </w:r>
    </w:p>
    <w:p w14:paraId="13AB9112">
      <w:pPr>
        <w:pStyle w:val="10"/>
        <w:spacing w:before="1"/>
        <w:ind w:left="720"/>
      </w:pPr>
      <w:r>
        <w:t>第四世纪松散堆积物上层深厚，质地粘重，透水性差，易发生轻度面蚀。</w:t>
      </w:r>
    </w:p>
    <w:p w14:paraId="57452CA5">
      <w:pPr>
        <w:pStyle w:val="16"/>
        <w:numPr>
          <w:ilvl w:val="2"/>
          <w:numId w:val="12"/>
        </w:numPr>
        <w:tabs>
          <w:tab w:val="left" w:pos="869"/>
        </w:tabs>
        <w:spacing w:before="214" w:after="0" w:line="240" w:lineRule="auto"/>
        <w:ind w:left="868" w:right="0" w:hanging="628"/>
        <w:jc w:val="left"/>
        <w:rPr>
          <w:b/>
          <w:sz w:val="28"/>
        </w:rPr>
      </w:pPr>
      <w:r>
        <w:rPr>
          <w:b/>
          <w:sz w:val="28"/>
        </w:rPr>
        <w:t>矿产资源</w:t>
      </w:r>
    </w:p>
    <w:p w14:paraId="488D4665">
      <w:pPr>
        <w:pStyle w:val="10"/>
        <w:spacing w:before="212" w:line="364" w:lineRule="auto"/>
        <w:ind w:left="240" w:right="237" w:firstLine="480"/>
        <w:jc w:val="both"/>
        <w:rPr>
          <w:rFonts w:ascii="Times New Roman" w:eastAsia="Times New Roman"/>
        </w:rPr>
      </w:pPr>
      <w:r>
        <w:rPr>
          <w:spacing w:val="-5"/>
        </w:rPr>
        <w:t>汨罗市境蕴藏砂金和非金属矿产资源比较丰富。已开发利用的有黄金、花岗</w:t>
      </w:r>
      <w:r>
        <w:rPr>
          <w:spacing w:val="-11"/>
        </w:rPr>
        <w:t>石、砂砾石、钾长石、石英和粘土等，尚待开发的是高岭土。其中汨罗江砂金矿</w:t>
      </w:r>
      <w:r>
        <w:rPr>
          <w:spacing w:val="-15"/>
        </w:rPr>
        <w:t xml:space="preserve">是已探明的长江以南最大的河流矿床，地质储量 </w:t>
      </w:r>
      <w:r>
        <w:rPr>
          <w:rFonts w:ascii="Times New Roman" w:eastAsia="Times New Roman"/>
        </w:rPr>
        <w:t xml:space="preserve">20 </w:t>
      </w:r>
      <w:r>
        <w:rPr>
          <w:spacing w:val="-10"/>
        </w:rPr>
        <w:t xml:space="preserve">吨左右；高岭土总储量 </w:t>
      </w:r>
      <w:r>
        <w:rPr>
          <w:rFonts w:ascii="Times New Roman" w:eastAsia="Times New Roman"/>
        </w:rPr>
        <w:t>5000</w:t>
      </w:r>
    </w:p>
    <w:p w14:paraId="3C60FE48">
      <w:pPr>
        <w:pStyle w:val="10"/>
        <w:spacing w:before="1"/>
        <w:ind w:left="240"/>
      </w:pPr>
      <w:r>
        <w:t xml:space="preserve">万吨以上，可淘洗精泥 </w:t>
      </w:r>
      <w:r>
        <w:rPr>
          <w:rFonts w:ascii="Times New Roman" w:hAnsi="Times New Roman" w:eastAsia="Times New Roman"/>
        </w:rPr>
        <w:t xml:space="preserve">1250 </w:t>
      </w:r>
      <w:r>
        <w:t xml:space="preserve">万吨以上；花岗石总储量在 </w:t>
      </w:r>
      <w:r>
        <w:rPr>
          <w:rFonts w:ascii="Times New Roman" w:hAnsi="Times New Roman" w:eastAsia="Times New Roman"/>
        </w:rPr>
        <w:t xml:space="preserve">5000 </w:t>
      </w:r>
      <w:r>
        <w:t xml:space="preserve">亿 </w:t>
      </w:r>
      <w:r>
        <w:rPr>
          <w:rFonts w:ascii="Times New Roman" w:hAnsi="Times New Roman" w:eastAsia="Times New Roman"/>
        </w:rPr>
        <w:t>m³</w:t>
      </w:r>
      <w:r>
        <w:t>以上，产品</w:t>
      </w:r>
    </w:p>
    <w:p w14:paraId="567ED117">
      <w:pPr>
        <w:pStyle w:val="10"/>
        <w:spacing w:before="161"/>
        <w:ind w:left="240"/>
      </w:pPr>
      <w:r>
        <w:t xml:space="preserve">已销往日本及国内的 </w:t>
      </w:r>
      <w:r>
        <w:rPr>
          <w:rFonts w:ascii="Times New Roman" w:eastAsia="Times New Roman"/>
        </w:rPr>
        <w:t xml:space="preserve">20 </w:t>
      </w:r>
      <w:r>
        <w:t xml:space="preserve">多个省、市、自治区。粘土总储量在 </w:t>
      </w:r>
      <w:r>
        <w:rPr>
          <w:rFonts w:ascii="Times New Roman" w:eastAsia="Times New Roman"/>
        </w:rPr>
        <w:t xml:space="preserve">10 </w:t>
      </w:r>
      <w:r>
        <w:t>亿吨以上；石英</w:t>
      </w:r>
    </w:p>
    <w:p w14:paraId="01BBCAB9">
      <w:pPr>
        <w:pStyle w:val="10"/>
        <w:spacing w:before="160" w:line="364" w:lineRule="auto"/>
        <w:ind w:left="240" w:right="117"/>
      </w:pPr>
      <w:r>
        <w:rPr>
          <w:spacing w:val="-16"/>
        </w:rPr>
        <w:t xml:space="preserve">总储量 </w:t>
      </w:r>
      <w:r>
        <w:rPr>
          <w:rFonts w:ascii="Times New Roman" w:eastAsia="Times New Roman"/>
        </w:rPr>
        <w:t xml:space="preserve">10 </w:t>
      </w:r>
      <w:r>
        <w:rPr>
          <w:spacing w:val="-15"/>
        </w:rPr>
        <w:t>万吨以上。在境内花岗岩体的晚期伟晶岩脉中，已探明有铍</w:t>
      </w:r>
      <w:r>
        <w:t>（绿桂石</w:t>
      </w:r>
      <w:r>
        <w:rPr>
          <w:spacing w:val="-120"/>
        </w:rPr>
        <w:t>）</w:t>
      </w:r>
      <w:r>
        <w:t>、</w:t>
      </w:r>
      <w:r>
        <w:rPr>
          <w:spacing w:val="-11"/>
        </w:rPr>
        <w:t>锂、铷、铯、铌、钽等稀有金属矿分布。石油、天然气具有一定的找矿前景，全</w:t>
      </w:r>
      <w:r>
        <w:rPr>
          <w:spacing w:val="-15"/>
        </w:rPr>
        <w:t xml:space="preserve">市发现矿床、矿点、矿化点 </w:t>
      </w:r>
      <w:r>
        <w:rPr>
          <w:rFonts w:ascii="Times New Roman" w:eastAsia="Times New Roman"/>
        </w:rPr>
        <w:t xml:space="preserve">40 </w:t>
      </w:r>
      <w:r>
        <w:rPr>
          <w:spacing w:val="-4"/>
        </w:rPr>
        <w:t xml:space="preserve">多处。矿产资源潜在总经济价值 </w:t>
      </w:r>
      <w:r>
        <w:rPr>
          <w:rFonts w:ascii="Times New Roman" w:eastAsia="Times New Roman"/>
        </w:rPr>
        <w:t xml:space="preserve">300 </w:t>
      </w:r>
      <w:r>
        <w:t>亿元以上。</w:t>
      </w:r>
    </w:p>
    <w:p w14:paraId="02C95EFE">
      <w:pPr>
        <w:pStyle w:val="16"/>
        <w:numPr>
          <w:ilvl w:val="2"/>
          <w:numId w:val="12"/>
        </w:numPr>
        <w:tabs>
          <w:tab w:val="left" w:pos="869"/>
        </w:tabs>
        <w:spacing w:before="56" w:after="0" w:line="240" w:lineRule="auto"/>
        <w:ind w:left="868" w:right="0" w:hanging="628"/>
        <w:jc w:val="left"/>
        <w:rPr>
          <w:b/>
          <w:sz w:val="28"/>
        </w:rPr>
      </w:pPr>
      <w:r>
        <w:rPr>
          <w:b/>
          <w:sz w:val="28"/>
        </w:rPr>
        <w:t>植被生态</w:t>
      </w:r>
    </w:p>
    <w:p w14:paraId="0456F8CB">
      <w:pPr>
        <w:pStyle w:val="10"/>
        <w:spacing w:before="211"/>
        <w:ind w:left="720"/>
      </w:pPr>
      <w:r>
        <w:rPr>
          <w:rFonts w:ascii="Times New Roman" w:eastAsia="Times New Roman"/>
        </w:rPr>
        <w:t>1</w:t>
      </w:r>
      <w:r>
        <w:t>、植物</w:t>
      </w:r>
    </w:p>
    <w:p w14:paraId="5F7D8F74">
      <w:pPr>
        <w:pStyle w:val="10"/>
        <w:spacing w:before="161" w:line="364" w:lineRule="auto"/>
        <w:ind w:left="240" w:right="237" w:firstLine="480"/>
        <w:jc w:val="both"/>
      </w:pPr>
      <w:r>
        <w:rPr>
          <w:spacing w:val="-11"/>
        </w:rPr>
        <w:t>按《湖南地理志》植被划分方案，汨罗属中亚热带北部常绿阔叶林亚地带的</w:t>
      </w:r>
      <w:r>
        <w:rPr>
          <w:spacing w:val="-15"/>
        </w:rPr>
        <w:t>湘东山地丘陵栎拷林、台湾松林、毛竹林植被区和湘北滨湘平源栎拷林、农田及防护林、堤垸沼泽湘泊植被区。</w:t>
      </w:r>
    </w:p>
    <w:p w14:paraId="49170D4F">
      <w:pPr>
        <w:pStyle w:val="10"/>
        <w:spacing w:before="2"/>
        <w:ind w:left="720"/>
        <w:rPr>
          <w:rFonts w:ascii="Times New Roman" w:eastAsia="Times New Roman"/>
        </w:rPr>
      </w:pPr>
      <w:r>
        <w:t xml:space="preserve">汨罗市内野生植物种类繁多，蕨菜植物共 </w:t>
      </w:r>
      <w:r>
        <w:rPr>
          <w:rFonts w:ascii="Times New Roman" w:eastAsia="Times New Roman"/>
        </w:rPr>
        <w:t xml:space="preserve">15 </w:t>
      </w:r>
      <w:r>
        <w:t xml:space="preserve">科 </w:t>
      </w:r>
      <w:r>
        <w:rPr>
          <w:rFonts w:ascii="Times New Roman" w:eastAsia="Times New Roman"/>
        </w:rPr>
        <w:t xml:space="preserve">25 </w:t>
      </w:r>
      <w:r>
        <w:t xml:space="preserve">种，裸子植物共 </w:t>
      </w:r>
      <w:r>
        <w:rPr>
          <w:rFonts w:ascii="Times New Roman" w:eastAsia="Times New Roman"/>
        </w:rPr>
        <w:t xml:space="preserve">7 </w:t>
      </w:r>
      <w:r>
        <w:t xml:space="preserve">科 </w:t>
      </w:r>
      <w:r>
        <w:rPr>
          <w:rFonts w:ascii="Times New Roman" w:eastAsia="Times New Roman"/>
        </w:rPr>
        <w:t>13</w:t>
      </w:r>
    </w:p>
    <w:p w14:paraId="1B7251FA">
      <w:pPr>
        <w:pStyle w:val="10"/>
        <w:spacing w:before="160"/>
        <w:ind w:left="240"/>
      </w:pPr>
      <w:r>
        <w:t xml:space="preserve">种，被子植物有 </w:t>
      </w:r>
      <w:r>
        <w:rPr>
          <w:rFonts w:ascii="Times New Roman" w:eastAsia="Times New Roman"/>
        </w:rPr>
        <w:t xml:space="preserve">94 </w:t>
      </w:r>
      <w:r>
        <w:t xml:space="preserve">科 </w:t>
      </w:r>
      <w:r>
        <w:rPr>
          <w:rFonts w:ascii="Times New Roman" w:eastAsia="Times New Roman"/>
        </w:rPr>
        <w:t xml:space="preserve">383 </w:t>
      </w:r>
      <w:r>
        <w:t>种。</w:t>
      </w:r>
    </w:p>
    <w:p w14:paraId="61F98161">
      <w:pPr>
        <w:pStyle w:val="10"/>
        <w:spacing w:before="161" w:line="364" w:lineRule="auto"/>
        <w:ind w:left="240" w:right="117" w:firstLine="480"/>
      </w:pPr>
      <w:r>
        <w:rPr>
          <w:spacing w:val="-10"/>
        </w:rPr>
        <w:t>工业园区内无天然林和原生自然植物群落，常见的野生草灌植物有：马齿苋、</w:t>
      </w:r>
      <w:r>
        <w:rPr>
          <w:spacing w:val="-11"/>
        </w:rPr>
        <w:t>艾蒿、爬地草、节节草及少量灌木等。主要树种有马尾松、灌林及人工防护林欧</w:t>
      </w:r>
    </w:p>
    <w:p w14:paraId="27B7E40C">
      <w:pPr>
        <w:spacing w:after="0" w:line="364" w:lineRule="auto"/>
        <w:sectPr>
          <w:pgSz w:w="11910" w:h="16840"/>
          <w:pgMar w:top="1460" w:right="1560" w:bottom="1220" w:left="1560" w:header="0" w:footer="1024" w:gutter="0"/>
          <w:cols w:space="720" w:num="1"/>
        </w:sectPr>
      </w:pPr>
    </w:p>
    <w:p w14:paraId="3C4FDFE2">
      <w:pPr>
        <w:pStyle w:val="10"/>
        <w:spacing w:before="42"/>
        <w:ind w:left="240"/>
      </w:pPr>
      <w:r>
        <w:t>美杨。园区内未发现珍稀需要保护的野生植物品种。</w:t>
      </w:r>
    </w:p>
    <w:p w14:paraId="2679F850">
      <w:pPr>
        <w:pStyle w:val="10"/>
        <w:spacing w:before="160"/>
        <w:ind w:left="720"/>
      </w:pPr>
      <w:r>
        <w:rPr>
          <w:rFonts w:ascii="Times New Roman" w:eastAsia="Times New Roman"/>
        </w:rPr>
        <w:t>2</w:t>
      </w:r>
      <w:r>
        <w:t>、动物</w:t>
      </w:r>
    </w:p>
    <w:p w14:paraId="562E98F9">
      <w:pPr>
        <w:pStyle w:val="10"/>
        <w:spacing w:before="161" w:line="364" w:lineRule="auto"/>
        <w:ind w:left="240" w:right="145" w:firstLine="480"/>
      </w:pPr>
      <w:r>
        <w:rPr>
          <w:spacing w:val="-7"/>
        </w:rPr>
        <w:t>汨罗属中亚热带地区，野生动物多为亚热带林灌动物类群，全市已查明的野</w:t>
      </w:r>
      <w:r>
        <w:rPr>
          <w:spacing w:val="-15"/>
        </w:rPr>
        <w:t xml:space="preserve">生动物有昆虫 </w:t>
      </w:r>
      <w:r>
        <w:rPr>
          <w:rFonts w:ascii="Times New Roman" w:eastAsia="Times New Roman"/>
        </w:rPr>
        <w:t xml:space="preserve">65 </w:t>
      </w:r>
      <w:r>
        <w:t>科，</w:t>
      </w:r>
      <w:r>
        <w:rPr>
          <w:rFonts w:ascii="Times New Roman" w:eastAsia="Times New Roman"/>
        </w:rPr>
        <w:t xml:space="preserve">168 </w:t>
      </w:r>
      <w:r>
        <w:rPr>
          <w:spacing w:val="-14"/>
        </w:rPr>
        <w:t xml:space="preserve">种；鸟类 </w:t>
      </w:r>
      <w:r>
        <w:rPr>
          <w:rFonts w:ascii="Times New Roman" w:eastAsia="Times New Roman"/>
        </w:rPr>
        <w:t xml:space="preserve">28 </w:t>
      </w:r>
      <w:r>
        <w:t>科，</w:t>
      </w:r>
      <w:r>
        <w:rPr>
          <w:rFonts w:ascii="Times New Roman" w:eastAsia="Times New Roman"/>
        </w:rPr>
        <w:t xml:space="preserve">50 </w:t>
      </w:r>
      <w:r>
        <w:rPr>
          <w:spacing w:val="-13"/>
        </w:rPr>
        <w:t xml:space="preserve">种；哺乳类 </w:t>
      </w:r>
      <w:r>
        <w:rPr>
          <w:rFonts w:ascii="Times New Roman" w:eastAsia="Times New Roman"/>
        </w:rPr>
        <w:t xml:space="preserve">16 </w:t>
      </w:r>
      <w:r>
        <w:t>科，</w:t>
      </w:r>
      <w:r>
        <w:rPr>
          <w:rFonts w:ascii="Times New Roman" w:eastAsia="Times New Roman"/>
        </w:rPr>
        <w:t xml:space="preserve">29 </w:t>
      </w:r>
      <w:r>
        <w:rPr>
          <w:spacing w:val="-2"/>
        </w:rPr>
        <w:t>种。主要有两栖类的蟾蜍，青蛙、泽蛙、虎斑蛙、泥蛙、古巴牛蛙等，爬行类主要有乌龟、鳖、壁虎、蜥蜴和各种蛇类，鸟类常见的有灰胸竹鸡、雉、雀鹰、白鹭、喜鹊、</w:t>
      </w:r>
      <w:r>
        <w:rPr>
          <w:spacing w:val="-11"/>
        </w:rPr>
        <w:t>八哥、杜鹃、白头翁、斑鸠等，哺乳类有野兔、田鼠、蝙蝠等。区内现存的野生动物资源受人类活动的长期影响，已大为减少。</w:t>
      </w:r>
    </w:p>
    <w:p w14:paraId="75EE431B">
      <w:pPr>
        <w:pStyle w:val="10"/>
        <w:spacing w:before="3" w:line="364" w:lineRule="auto"/>
        <w:ind w:left="240" w:right="145" w:firstLine="480"/>
        <w:jc w:val="both"/>
      </w:pPr>
      <w:r>
        <w:rPr>
          <w:spacing w:val="-10"/>
        </w:rPr>
        <w:t>据现场专访调查，项目区周围现存的动物主要是一些鸟类及其它小型动物如蛇、鼠、蛙等。未在项目区附近范围内发现珍稀保护动物及地方特有动物踪迹。</w:t>
      </w:r>
    </w:p>
    <w:p w14:paraId="78AE0361">
      <w:pPr>
        <w:pStyle w:val="10"/>
        <w:spacing w:before="2"/>
        <w:ind w:left="720"/>
      </w:pPr>
      <w:r>
        <w:rPr>
          <w:rFonts w:ascii="Times New Roman" w:eastAsia="Times New Roman"/>
        </w:rPr>
        <w:t>3</w:t>
      </w:r>
      <w:r>
        <w:t>、水生生物</w:t>
      </w:r>
    </w:p>
    <w:p w14:paraId="032C6A3A">
      <w:pPr>
        <w:pStyle w:val="10"/>
        <w:spacing w:before="160" w:line="364" w:lineRule="auto"/>
        <w:ind w:left="240" w:right="237" w:firstLine="480"/>
        <w:jc w:val="both"/>
      </w:pPr>
      <w:r>
        <w:rPr>
          <w:spacing w:val="-8"/>
        </w:rPr>
        <w:t>汨罗江汨罗段水域，由于水域狭窄、干枯时间过长，在平枯水期河道水深较</w:t>
      </w:r>
      <w:r>
        <w:rPr>
          <w:spacing w:val="-11"/>
        </w:rPr>
        <w:t>浅，不适合水生生物的生长与繁衍，水域中饵料生物及鱼类资源的生物量及生物种类较少。</w:t>
      </w:r>
    </w:p>
    <w:p w14:paraId="7484290D">
      <w:pPr>
        <w:pStyle w:val="10"/>
        <w:spacing w:before="2" w:line="364" w:lineRule="auto"/>
        <w:ind w:left="240" w:right="237" w:firstLine="480"/>
        <w:jc w:val="both"/>
      </w:pPr>
      <w:r>
        <w:rPr>
          <w:spacing w:val="-1"/>
        </w:rPr>
        <w:t xml:space="preserve">根据当地渔政部门介绍，汨罗市汨罗江河段渔业资源不太丰富，有鱼类 </w:t>
      </w:r>
      <w:r>
        <w:rPr>
          <w:rFonts w:ascii="Times New Roman" w:eastAsia="Times New Roman"/>
        </w:rPr>
        <w:t xml:space="preserve">20 </w:t>
      </w:r>
      <w:r>
        <w:t>科，</w:t>
      </w:r>
      <w:r>
        <w:rPr>
          <w:rFonts w:ascii="Times New Roman" w:eastAsia="Times New Roman"/>
        </w:rPr>
        <w:t xml:space="preserve">90 </w:t>
      </w:r>
      <w:r>
        <w:t>种，水生生物物种比较单一；鱼类主要为四大家鱼，无鱼类的产卵场、</w:t>
      </w:r>
      <w:r>
        <w:rPr>
          <w:spacing w:val="-10"/>
        </w:rPr>
        <w:t>索饵场、越冬场，近几年中没有发现过国家一、二级水生野生保护动物。区域无</w:t>
      </w:r>
      <w:r>
        <w:rPr>
          <w:spacing w:val="-13"/>
        </w:rPr>
        <w:t xml:space="preserve">专业渔民，只有极少数副业渔民，年捕捞总量不超过 </w:t>
      </w:r>
      <w:r>
        <w:rPr>
          <w:rFonts w:ascii="Times New Roman" w:eastAsia="Times New Roman"/>
        </w:rPr>
        <w:t xml:space="preserve">2 </w:t>
      </w:r>
      <w:r>
        <w:t>吨。</w:t>
      </w:r>
    </w:p>
    <w:p w14:paraId="5891090C">
      <w:pPr>
        <w:pStyle w:val="3"/>
        <w:numPr>
          <w:ilvl w:val="1"/>
          <w:numId w:val="13"/>
        </w:numPr>
        <w:tabs>
          <w:tab w:val="left" w:pos="689"/>
        </w:tabs>
        <w:spacing w:before="43" w:after="0" w:line="240" w:lineRule="auto"/>
        <w:ind w:left="688" w:right="0" w:hanging="448"/>
        <w:jc w:val="left"/>
      </w:pPr>
      <w:bookmarkStart w:id="21" w:name="_TOC_250034"/>
      <w:bookmarkEnd w:id="21"/>
      <w:r>
        <w:t>汨罗高新技术产业开发区概况</w:t>
      </w:r>
    </w:p>
    <w:p w14:paraId="0415484C">
      <w:pPr>
        <w:pStyle w:val="16"/>
        <w:numPr>
          <w:ilvl w:val="2"/>
          <w:numId w:val="13"/>
        </w:numPr>
        <w:tabs>
          <w:tab w:val="left" w:pos="869"/>
        </w:tabs>
        <w:spacing w:before="253" w:after="0" w:line="240" w:lineRule="auto"/>
        <w:ind w:left="868" w:right="0" w:hanging="628"/>
        <w:jc w:val="left"/>
        <w:rPr>
          <w:b/>
          <w:sz w:val="28"/>
        </w:rPr>
      </w:pPr>
      <w:r>
        <w:rPr>
          <w:b/>
          <w:sz w:val="28"/>
        </w:rPr>
        <w:t>园区发展背景</w:t>
      </w:r>
    </w:p>
    <w:p w14:paraId="2FFCB4C7">
      <w:pPr>
        <w:pStyle w:val="10"/>
        <w:spacing w:before="211" w:line="364" w:lineRule="auto"/>
        <w:ind w:left="240" w:right="237" w:firstLine="480"/>
        <w:jc w:val="both"/>
        <w:rPr>
          <w:rFonts w:ascii="Times New Roman" w:eastAsia="Times New Roman"/>
        </w:rPr>
      </w:pPr>
      <w:r>
        <w:rPr>
          <w:spacing w:val="-4"/>
        </w:rPr>
        <w:t xml:space="preserve">汨罗高新技术产业开发区前身为 </w:t>
      </w:r>
      <w:r>
        <w:rPr>
          <w:rFonts w:ascii="Times New Roman" w:eastAsia="Times New Roman"/>
        </w:rPr>
        <w:t xml:space="preserve">1992 </w:t>
      </w:r>
      <w:r>
        <w:t>年湖南省发改委批准成立的改革开放</w:t>
      </w:r>
      <w:r>
        <w:rPr>
          <w:spacing w:val="-1"/>
        </w:rPr>
        <w:t>经济试点小区，</w:t>
      </w:r>
      <w:r>
        <w:rPr>
          <w:rFonts w:ascii="Times New Roman" w:eastAsia="Times New Roman"/>
          <w:spacing w:val="-7"/>
        </w:rPr>
        <w:t xml:space="preserve">1994 </w:t>
      </w:r>
      <w:r>
        <w:rPr>
          <w:spacing w:val="-4"/>
        </w:rPr>
        <w:t>年湖南省人民政府以〔</w:t>
      </w:r>
      <w:r>
        <w:rPr>
          <w:rFonts w:ascii="Times New Roman" w:eastAsia="Times New Roman"/>
        </w:rPr>
        <w:t>1994</w:t>
      </w:r>
      <w:r>
        <w:rPr>
          <w:spacing w:val="-32"/>
        </w:rPr>
        <w:t>〕</w:t>
      </w:r>
      <w:r>
        <w:rPr>
          <w:rFonts w:ascii="Times New Roman" w:eastAsia="Times New Roman"/>
        </w:rPr>
        <w:t xml:space="preserve">5 </w:t>
      </w:r>
      <w:r>
        <w:t>号文件正式批准为省级经济</w:t>
      </w:r>
      <w:r>
        <w:rPr>
          <w:spacing w:val="-10"/>
        </w:rPr>
        <w:t xml:space="preserve">开发区，是 </w:t>
      </w:r>
      <w:r>
        <w:rPr>
          <w:rFonts w:ascii="Times New Roman" w:eastAsia="Times New Roman"/>
        </w:rPr>
        <w:t xml:space="preserve">2006 </w:t>
      </w:r>
      <w:r>
        <w:rPr>
          <w:spacing w:val="-8"/>
        </w:rPr>
        <w:t xml:space="preserve">年国家发改委第 </w:t>
      </w:r>
      <w:r>
        <w:rPr>
          <w:rFonts w:ascii="Times New Roman" w:eastAsia="Times New Roman"/>
        </w:rPr>
        <w:t xml:space="preserve">8 </w:t>
      </w:r>
      <w:r>
        <w:t>号公告通过审核的第十批省级开发区，</w:t>
      </w:r>
      <w:r>
        <w:rPr>
          <w:rFonts w:ascii="Times New Roman" w:eastAsia="Times New Roman"/>
        </w:rPr>
        <w:t>2006</w:t>
      </w:r>
    </w:p>
    <w:p w14:paraId="21B7AF66">
      <w:pPr>
        <w:pStyle w:val="10"/>
        <w:spacing w:before="2"/>
        <w:ind w:left="240"/>
      </w:pPr>
      <w:r>
        <w:t xml:space="preserve">年第 </w:t>
      </w:r>
      <w:r>
        <w:rPr>
          <w:rFonts w:ascii="Times New Roman" w:eastAsia="Times New Roman"/>
        </w:rPr>
        <w:t xml:space="preserve">19 </w:t>
      </w:r>
      <w:r>
        <w:t>号公告明确了湖南汨罗工业园区由城西片区（</w:t>
      </w:r>
      <w:r>
        <w:rPr>
          <w:rFonts w:ascii="Times New Roman" w:eastAsia="Times New Roman"/>
        </w:rPr>
        <w:t>1.5km</w:t>
      </w:r>
      <w:r>
        <w:rPr>
          <w:rFonts w:ascii="Times New Roman" w:eastAsia="Times New Roman"/>
          <w:position w:val="8"/>
          <w:sz w:val="15"/>
        </w:rPr>
        <w:t xml:space="preserve">2 </w:t>
      </w:r>
      <w:r>
        <w:t>）和新市片区</w:t>
      </w:r>
    </w:p>
    <w:p w14:paraId="7CD20CD3">
      <w:pPr>
        <w:pStyle w:val="10"/>
        <w:spacing w:before="161" w:line="364" w:lineRule="auto"/>
        <w:ind w:left="240" w:right="237"/>
        <w:jc w:val="both"/>
      </w:pPr>
      <w:r>
        <w:t>（</w:t>
      </w:r>
      <w:r>
        <w:rPr>
          <w:rFonts w:ascii="Times New Roman" w:eastAsia="Times New Roman"/>
        </w:rPr>
        <w:t>4.185km</w:t>
      </w:r>
      <w:r>
        <w:rPr>
          <w:rFonts w:ascii="Times New Roman" w:eastAsia="Times New Roman"/>
          <w:position w:val="8"/>
          <w:sz w:val="15"/>
        </w:rPr>
        <w:t>2</w:t>
      </w:r>
      <w:r>
        <w:t xml:space="preserve">）两部分组成，总面积为 </w:t>
      </w:r>
      <w:r>
        <w:rPr>
          <w:rFonts w:ascii="Times New Roman" w:eastAsia="Times New Roman"/>
        </w:rPr>
        <w:t>5.685km</w:t>
      </w:r>
      <w:r>
        <w:rPr>
          <w:rFonts w:ascii="Times New Roman" w:eastAsia="Times New Roman"/>
          <w:position w:val="8"/>
          <w:sz w:val="15"/>
        </w:rPr>
        <w:t>2</w:t>
      </w:r>
      <w:r>
        <w:t>；</w:t>
      </w:r>
      <w:r>
        <w:rPr>
          <w:rFonts w:ascii="Times New Roman" w:eastAsia="Times New Roman"/>
        </w:rPr>
        <w:t xml:space="preserve">2007 </w:t>
      </w:r>
      <w:r>
        <w:t>年，湖南汨罗工业园被确定为国家首批城市矿产示范基地；</w:t>
      </w:r>
      <w:r>
        <w:rPr>
          <w:rFonts w:ascii="Times New Roman" w:eastAsia="Times New Roman"/>
        </w:rPr>
        <w:t xml:space="preserve">2011 </w:t>
      </w:r>
      <w:r>
        <w:t xml:space="preserve">年 </w:t>
      </w:r>
      <w:r>
        <w:rPr>
          <w:rFonts w:ascii="Times New Roman" w:eastAsia="Times New Roman"/>
        </w:rPr>
        <w:t xml:space="preserve">3 </w:t>
      </w:r>
      <w:r>
        <w:t>月湖南汨罗循环经济产业园确定为国家循环经济标准化试点单位；</w:t>
      </w:r>
      <w:r>
        <w:rPr>
          <w:rFonts w:ascii="Times New Roman" w:eastAsia="Times New Roman"/>
        </w:rPr>
        <w:t xml:space="preserve">2012 </w:t>
      </w:r>
      <w:r>
        <w:t>年经湖南省人民政府批准更名为湖南汨罗循环经济产业园区。</w:t>
      </w:r>
    </w:p>
    <w:p w14:paraId="086F5D19">
      <w:pPr>
        <w:pStyle w:val="10"/>
        <w:spacing w:before="2"/>
        <w:ind w:left="720"/>
      </w:pPr>
      <w:r>
        <w:t xml:space="preserve">汨罗市委市政府于 </w:t>
      </w:r>
      <w:r>
        <w:rPr>
          <w:rFonts w:ascii="Times New Roman" w:eastAsia="Times New Roman"/>
        </w:rPr>
        <w:t xml:space="preserve">2014 </w:t>
      </w:r>
      <w:r>
        <w:t>年对湖南汨罗循环经济产业园区进行调扩区，调扩</w:t>
      </w:r>
    </w:p>
    <w:p w14:paraId="3C440CED">
      <w:pPr>
        <w:spacing w:after="0"/>
        <w:sectPr>
          <w:pgSz w:w="11910" w:h="16840"/>
          <w:pgMar w:top="1460" w:right="1560" w:bottom="1220" w:left="1560" w:header="0" w:footer="1024" w:gutter="0"/>
          <w:cols w:space="720" w:num="1"/>
        </w:sectPr>
      </w:pPr>
    </w:p>
    <w:p w14:paraId="5212C1B4">
      <w:pPr>
        <w:pStyle w:val="10"/>
        <w:spacing w:before="62" w:line="364" w:lineRule="auto"/>
        <w:ind w:left="240" w:right="117"/>
      </w:pPr>
      <w:r>
        <w:rPr>
          <w:spacing w:val="-3"/>
        </w:rPr>
        <w:t xml:space="preserve">区后园区由新市片区和弼时片区组成，并于 </w:t>
      </w:r>
      <w:r>
        <w:rPr>
          <w:rFonts w:ascii="Times New Roman" w:eastAsia="Times New Roman"/>
        </w:rPr>
        <w:t xml:space="preserve">2015 </w:t>
      </w:r>
      <w:r>
        <w:rPr>
          <w:spacing w:val="-29"/>
        </w:rPr>
        <w:t xml:space="preserve">年 </w:t>
      </w:r>
      <w:r>
        <w:rPr>
          <w:rFonts w:ascii="Times New Roman" w:eastAsia="Times New Roman"/>
        </w:rPr>
        <w:t xml:space="preserve">2 </w:t>
      </w:r>
      <w:r>
        <w:rPr>
          <w:spacing w:val="-29"/>
        </w:rPr>
        <w:t xml:space="preserve">月 </w:t>
      </w:r>
      <w:r>
        <w:rPr>
          <w:rFonts w:ascii="Times New Roman" w:eastAsia="Times New Roman"/>
        </w:rPr>
        <w:t xml:space="preserve">4 </w:t>
      </w:r>
      <w:r>
        <w:t>日取得了湖南省发展</w:t>
      </w:r>
      <w:r>
        <w:rPr>
          <w:spacing w:val="-12"/>
        </w:rPr>
        <w:t>和改革委员会《关于湖南汨罗循环经济产业园调区扩区的函》</w:t>
      </w:r>
      <w:r>
        <w:t>（</w:t>
      </w:r>
      <w:r>
        <w:rPr>
          <w:spacing w:val="-12"/>
        </w:rPr>
        <w:t>湘发改函〔</w:t>
      </w:r>
      <w:r>
        <w:rPr>
          <w:rFonts w:ascii="Times New Roman" w:eastAsia="Times New Roman"/>
        </w:rPr>
        <w:t>2015</w:t>
      </w:r>
      <w:r>
        <w:t>〕</w:t>
      </w:r>
    </w:p>
    <w:p w14:paraId="78F2D59B">
      <w:pPr>
        <w:pStyle w:val="10"/>
        <w:spacing w:before="1" w:line="364" w:lineRule="auto"/>
        <w:ind w:left="240" w:right="237"/>
        <w:jc w:val="both"/>
      </w:pPr>
      <w:r>
        <w:rPr>
          <w:rFonts w:ascii="Times New Roman" w:eastAsia="Times New Roman"/>
        </w:rPr>
        <w:t xml:space="preserve">45 </w:t>
      </w:r>
      <w:r>
        <w:t>号）。根据湖南省发展和改革委员会关于湖南汨罗循环经济产业园调区扩区</w:t>
      </w:r>
      <w:r>
        <w:rPr>
          <w:spacing w:val="-10"/>
        </w:rPr>
        <w:t xml:space="preserve">的函：到 </w:t>
      </w:r>
      <w:r>
        <w:rPr>
          <w:rFonts w:ascii="Times New Roman" w:eastAsia="Times New Roman"/>
        </w:rPr>
        <w:t xml:space="preserve">2020 </w:t>
      </w:r>
      <w:r>
        <w:rPr>
          <w:spacing w:val="-5"/>
        </w:rPr>
        <w:t xml:space="preserve">年，园区规划面积由原 </w:t>
      </w:r>
      <w:r>
        <w:rPr>
          <w:rFonts w:ascii="Times New Roman" w:eastAsia="Times New Roman"/>
        </w:rPr>
        <w:t>5.685km</w:t>
      </w:r>
      <w:r>
        <w:rPr>
          <w:rFonts w:ascii="Times New Roman" w:eastAsia="Times New Roman"/>
          <w:position w:val="8"/>
          <w:sz w:val="15"/>
        </w:rPr>
        <w:t xml:space="preserve">2 </w:t>
      </w:r>
      <w:r>
        <w:rPr>
          <w:spacing w:val="-13"/>
        </w:rPr>
        <w:t xml:space="preserve">调整至 </w:t>
      </w:r>
      <w:r>
        <w:rPr>
          <w:rFonts w:ascii="Times New Roman" w:eastAsia="Times New Roman"/>
        </w:rPr>
        <w:t>9.6291km</w:t>
      </w:r>
      <w:r>
        <w:rPr>
          <w:rFonts w:ascii="Times New Roman" w:eastAsia="Times New Roman"/>
          <w:position w:val="8"/>
          <w:sz w:val="15"/>
        </w:rPr>
        <w:t>2</w:t>
      </w:r>
      <w:r>
        <w:t>。根据《中国</w:t>
      </w:r>
      <w:r>
        <w:rPr>
          <w:spacing w:val="-3"/>
        </w:rPr>
        <w:t>开发区审核公告目录》</w:t>
      </w:r>
      <w:r>
        <w:t>（</w:t>
      </w:r>
      <w:r>
        <w:rPr>
          <w:rFonts w:ascii="Times New Roman" w:eastAsia="Times New Roman"/>
        </w:rPr>
        <w:t xml:space="preserve">2018 </w:t>
      </w:r>
      <w:r>
        <w:rPr>
          <w:spacing w:val="-21"/>
        </w:rPr>
        <w:t xml:space="preserve">年第 </w:t>
      </w:r>
      <w:r>
        <w:rPr>
          <w:rFonts w:ascii="Times New Roman" w:eastAsia="Times New Roman"/>
        </w:rPr>
        <w:t xml:space="preserve">4 </w:t>
      </w:r>
      <w:r>
        <w:t>号公告</w:t>
      </w:r>
      <w:r>
        <w:rPr>
          <w:spacing w:val="-12"/>
        </w:rPr>
        <w:t>）</w:t>
      </w:r>
      <w:r>
        <w:rPr>
          <w:spacing w:val="-10"/>
        </w:rPr>
        <w:t xml:space="preserve">，园区核准面积为 </w:t>
      </w:r>
      <w:r>
        <w:rPr>
          <w:rFonts w:ascii="Times New Roman" w:eastAsia="Times New Roman"/>
        </w:rPr>
        <w:t>9.1913km</w:t>
      </w:r>
      <w:r>
        <w:rPr>
          <w:rFonts w:ascii="Times New Roman" w:eastAsia="Times New Roman"/>
          <w:position w:val="8"/>
          <w:sz w:val="15"/>
        </w:rPr>
        <w:t>2</w:t>
      </w:r>
      <w:r>
        <w:t>（其</w:t>
      </w:r>
      <w:r>
        <w:rPr>
          <w:spacing w:val="-9"/>
        </w:rPr>
        <w:t xml:space="preserve">中新市片区为 </w:t>
      </w:r>
      <w:r>
        <w:rPr>
          <w:rFonts w:ascii="Times New Roman" w:eastAsia="Times New Roman"/>
        </w:rPr>
        <w:t>6.3738k</w:t>
      </w:r>
      <w:r>
        <w:rPr>
          <w:rFonts w:ascii="Times New Roman" w:eastAsia="Times New Roman"/>
          <w:spacing w:val="-2"/>
        </w:rPr>
        <w:t>m</w:t>
      </w:r>
      <w:r>
        <w:rPr>
          <w:rFonts w:ascii="Times New Roman" w:eastAsia="Times New Roman"/>
          <w:spacing w:val="0"/>
          <w:w w:val="104"/>
          <w:position w:val="8"/>
          <w:sz w:val="15"/>
        </w:rPr>
        <w:t>2</w:t>
      </w:r>
      <w:r>
        <w:rPr>
          <w:spacing w:val="-20"/>
        </w:rPr>
        <w:t xml:space="preserve">，弼时片区为 </w:t>
      </w:r>
      <w:r>
        <w:rPr>
          <w:rFonts w:ascii="Times New Roman" w:eastAsia="Times New Roman"/>
        </w:rPr>
        <w:t>2.8175km</w:t>
      </w:r>
      <w:r>
        <w:rPr>
          <w:rFonts w:ascii="Times New Roman" w:eastAsia="Times New Roman"/>
          <w:spacing w:val="-2"/>
          <w:w w:val="104"/>
          <w:position w:val="8"/>
          <w:sz w:val="15"/>
        </w:rPr>
        <w:t>2</w:t>
      </w:r>
      <w:r>
        <w:rPr>
          <w:spacing w:val="-68"/>
        </w:rPr>
        <w:t>）</w:t>
      </w:r>
      <w:r>
        <w:rPr>
          <w:spacing w:val="-14"/>
        </w:rPr>
        <w:t xml:space="preserve">。根据湖南省人民政府于 </w:t>
      </w:r>
      <w:r>
        <w:rPr>
          <w:rFonts w:ascii="Times New Roman" w:eastAsia="Times New Roman"/>
        </w:rPr>
        <w:t>2018</w:t>
      </w:r>
      <w:r>
        <w:rPr>
          <w:spacing w:val="-29"/>
        </w:rPr>
        <w:t xml:space="preserve">年 </w:t>
      </w:r>
      <w:r>
        <w:rPr>
          <w:rFonts w:ascii="Times New Roman" w:eastAsia="Times New Roman"/>
        </w:rPr>
        <w:t xml:space="preserve">1 </w:t>
      </w:r>
      <w:r>
        <w:rPr>
          <w:spacing w:val="-28"/>
        </w:rPr>
        <w:t xml:space="preserve">月 </w:t>
      </w:r>
      <w:r>
        <w:rPr>
          <w:rFonts w:ascii="Times New Roman" w:eastAsia="Times New Roman"/>
        </w:rPr>
        <w:t xml:space="preserve">23 </w:t>
      </w:r>
      <w:r>
        <w:rPr>
          <w:spacing w:val="-10"/>
        </w:rPr>
        <w:t xml:space="preserve">日关于设立 </w:t>
      </w:r>
      <w:r>
        <w:rPr>
          <w:rFonts w:ascii="Times New Roman" w:eastAsia="Times New Roman"/>
        </w:rPr>
        <w:t xml:space="preserve">9 </w:t>
      </w:r>
      <w:r>
        <w:t>个高新技术产业开发区的批复，湖南汨罗循环经济产业园区已更名为汨罗高新技术产业开发区，更名后园区的核准面积不变。</w:t>
      </w:r>
    </w:p>
    <w:p w14:paraId="6369F070">
      <w:pPr>
        <w:pStyle w:val="10"/>
        <w:spacing w:before="4" w:line="364" w:lineRule="auto"/>
        <w:ind w:left="240" w:right="237" w:firstLine="480"/>
        <w:jc w:val="both"/>
      </w:pPr>
      <w:r>
        <w:rPr>
          <w:spacing w:val="-6"/>
        </w:rPr>
        <w:t xml:space="preserve">汨罗市委市政府于 </w:t>
      </w:r>
      <w:r>
        <w:rPr>
          <w:rFonts w:ascii="Times New Roman" w:eastAsia="Times New Roman"/>
        </w:rPr>
        <w:t xml:space="preserve">2019 </w:t>
      </w:r>
      <w:r>
        <w:t>年对汨罗高新技术产业开发区进行调扩区，调扩区</w:t>
      </w:r>
      <w:r>
        <w:rPr>
          <w:spacing w:val="-5"/>
        </w:rPr>
        <w:t xml:space="preserve">后园区总规划面积为 </w:t>
      </w:r>
      <w:r>
        <w:rPr>
          <w:rFonts w:ascii="Times New Roman" w:eastAsia="Times New Roman"/>
        </w:rPr>
        <w:t>9.3913km</w:t>
      </w:r>
      <w:r>
        <w:rPr>
          <w:rFonts w:ascii="Times New Roman" w:eastAsia="Times New Roman"/>
          <w:position w:val="8"/>
          <w:sz w:val="15"/>
        </w:rPr>
        <w:t>2</w:t>
      </w:r>
      <w:r>
        <w:t>（</w:t>
      </w:r>
      <w:r>
        <w:rPr>
          <w:spacing w:val="-5"/>
        </w:rPr>
        <w:t xml:space="preserve">新市片区西片区调出 </w:t>
      </w:r>
      <w:r>
        <w:rPr>
          <w:rFonts w:ascii="Times New Roman" w:eastAsia="Times New Roman"/>
        </w:rPr>
        <w:t>0.42km</w:t>
      </w:r>
      <w:r>
        <w:rPr>
          <w:rFonts w:ascii="Times New Roman" w:eastAsia="Times New Roman"/>
          <w:position w:val="8"/>
          <w:sz w:val="15"/>
        </w:rPr>
        <w:t xml:space="preserve">2 </w:t>
      </w:r>
      <w:r>
        <w:t>至新市片区东片</w:t>
      </w:r>
      <w:r>
        <w:rPr>
          <w:spacing w:val="-12"/>
        </w:rPr>
        <w:t xml:space="preserve">区并新增 </w:t>
      </w:r>
      <w:r>
        <w:rPr>
          <w:rFonts w:ascii="Times New Roman" w:eastAsia="Times New Roman"/>
        </w:rPr>
        <w:t>0.2km</w:t>
      </w:r>
      <w:r>
        <w:rPr>
          <w:rFonts w:ascii="Times New Roman" w:eastAsia="Times New Roman"/>
          <w:position w:val="8"/>
          <w:sz w:val="15"/>
        </w:rPr>
        <w:t>2</w:t>
      </w:r>
      <w:r>
        <w:rPr>
          <w:spacing w:val="-9"/>
        </w:rPr>
        <w:t xml:space="preserve">，弼时片区与 </w:t>
      </w:r>
      <w:r>
        <w:rPr>
          <w:rFonts w:ascii="Times New Roman" w:eastAsia="Times New Roman"/>
        </w:rPr>
        <w:t xml:space="preserve">2018 </w:t>
      </w:r>
      <w:r>
        <w:t>年核准的范围保持一致）。</w:t>
      </w:r>
    </w:p>
    <w:p w14:paraId="1F8638F8">
      <w:pPr>
        <w:pStyle w:val="10"/>
        <w:spacing w:before="1" w:line="364" w:lineRule="auto"/>
        <w:ind w:left="240" w:right="183" w:firstLine="480"/>
      </w:pPr>
      <w:r>
        <w:rPr>
          <w:rFonts w:ascii="Times New Roman" w:eastAsia="Times New Roman"/>
        </w:rPr>
        <w:t xml:space="preserve">2022 </w:t>
      </w:r>
      <w:r>
        <w:t xml:space="preserve">年 </w:t>
      </w:r>
      <w:r>
        <w:rPr>
          <w:rFonts w:ascii="Times New Roman" w:eastAsia="Times New Roman"/>
        </w:rPr>
        <w:t xml:space="preserve">8 </w:t>
      </w:r>
      <w:r>
        <w:t xml:space="preserve">月 </w:t>
      </w:r>
      <w:r>
        <w:rPr>
          <w:rFonts w:ascii="Times New Roman" w:eastAsia="Times New Roman"/>
        </w:rPr>
        <w:t xml:space="preserve">2 </w:t>
      </w:r>
      <w:r>
        <w:t>日，《湖南省发展和改革委员会、湖南省自然资源厅关于发布湖南省省级及以上产业园区边界面积及四至范围目录的通知》（湘发改园区</w:t>
      </w:r>
    </w:p>
    <w:p w14:paraId="36246209">
      <w:pPr>
        <w:pStyle w:val="10"/>
        <w:spacing w:before="2"/>
        <w:ind w:left="240"/>
      </w:pPr>
      <w:r>
        <w:rPr>
          <w:rFonts w:ascii="Times New Roman" w:eastAsia="Times New Roman"/>
        </w:rPr>
        <w:t xml:space="preserve">[2022]601 </w:t>
      </w:r>
      <w:r>
        <w:t>号），对汩罗高新技术产业开发区边界面积及四至范围进行了确认：</w:t>
      </w:r>
    </w:p>
    <w:p w14:paraId="29CA9189">
      <w:pPr>
        <w:pStyle w:val="10"/>
        <w:spacing w:before="160" w:line="364" w:lineRule="auto"/>
        <w:ind w:left="240" w:right="237"/>
        <w:jc w:val="both"/>
      </w:pPr>
      <w:r>
        <w:rPr>
          <w:spacing w:val="-3"/>
        </w:rPr>
        <w:t xml:space="preserve">汩罗高新技术产业开发区边界范围总面积 </w:t>
      </w:r>
      <w:r>
        <w:rPr>
          <w:rFonts w:ascii="Times New Roman" w:eastAsia="Times New Roman"/>
        </w:rPr>
        <w:t xml:space="preserve">951.43 </w:t>
      </w:r>
      <w:r>
        <w:rPr>
          <w:spacing w:val="-10"/>
        </w:rPr>
        <w:t xml:space="preserve">公顷，由 </w:t>
      </w:r>
      <w:r>
        <w:rPr>
          <w:rFonts w:ascii="Times New Roman" w:eastAsia="Times New Roman"/>
        </w:rPr>
        <w:t xml:space="preserve">3 </w:t>
      </w:r>
      <w:r>
        <w:t>个区块组成，区块</w:t>
      </w:r>
      <w:r>
        <w:rPr>
          <w:spacing w:val="-20"/>
        </w:rPr>
        <w:t>一</w:t>
      </w:r>
      <w:r>
        <w:t>（新市片西片区</w:t>
      </w:r>
      <w:r>
        <w:rPr>
          <w:spacing w:val="-3"/>
        </w:rPr>
        <w:t>）</w:t>
      </w:r>
      <w:r>
        <w:rPr>
          <w:rFonts w:ascii="Times New Roman" w:eastAsia="Times New Roman"/>
          <w:spacing w:val="-3"/>
        </w:rPr>
        <w:t xml:space="preserve">453.58 </w:t>
      </w:r>
      <w:r>
        <w:rPr>
          <w:spacing w:val="-8"/>
        </w:rPr>
        <w:t>公顷，四至范围为东至新市街，南至金塘路，西至武</w:t>
      </w:r>
      <w:r>
        <w:rPr>
          <w:spacing w:val="-10"/>
        </w:rPr>
        <w:t>广东路，北至汩江大道；区块二</w:t>
      </w:r>
      <w:r>
        <w:rPr>
          <w:spacing w:val="-3"/>
        </w:rPr>
        <w:t>（</w:t>
      </w:r>
      <w:r>
        <w:t>新市片东片区</w:t>
      </w:r>
      <w:r>
        <w:rPr>
          <w:spacing w:val="-3"/>
        </w:rPr>
        <w:t>）</w:t>
      </w:r>
      <w:r>
        <w:rPr>
          <w:rFonts w:ascii="Times New Roman" w:eastAsia="Times New Roman"/>
          <w:spacing w:val="-3"/>
        </w:rPr>
        <w:t xml:space="preserve">216.09 </w:t>
      </w:r>
      <w:r>
        <w:rPr>
          <w:spacing w:val="-4"/>
        </w:rPr>
        <w:t>公顷，四至范围为东至</w:t>
      </w:r>
      <w:r>
        <w:rPr>
          <w:spacing w:val="-14"/>
        </w:rPr>
        <w:t xml:space="preserve">湄江路，南至金塘路，西至 </w:t>
      </w:r>
      <w:r>
        <w:rPr>
          <w:rFonts w:ascii="Times New Roman" w:eastAsia="Times New Roman"/>
        </w:rPr>
        <w:t xml:space="preserve">G107 </w:t>
      </w:r>
      <w:r>
        <w:rPr>
          <w:spacing w:val="-12"/>
        </w:rPr>
        <w:t>国道，北至汩新大道；区块三</w:t>
      </w:r>
      <w:r>
        <w:t>（弼时片</w:t>
      </w:r>
      <w:r>
        <w:rPr>
          <w:spacing w:val="-5"/>
        </w:rPr>
        <w:t>）</w:t>
      </w:r>
      <w:r>
        <w:rPr>
          <w:rFonts w:ascii="Times New Roman" w:eastAsia="Times New Roman"/>
          <w:spacing w:val="-5"/>
        </w:rPr>
        <w:t xml:space="preserve">281.76 </w:t>
      </w:r>
      <w:r>
        <w:t>公顷，四至范围为东至富强路，南至坪上南路，西至坪上路，北至王家园路。</w:t>
      </w:r>
    </w:p>
    <w:p w14:paraId="0AAA5D16">
      <w:pPr>
        <w:pStyle w:val="16"/>
        <w:numPr>
          <w:ilvl w:val="2"/>
          <w:numId w:val="13"/>
        </w:numPr>
        <w:tabs>
          <w:tab w:val="left" w:pos="869"/>
        </w:tabs>
        <w:spacing w:before="57" w:after="0" w:line="240" w:lineRule="auto"/>
        <w:ind w:left="868" w:right="0" w:hanging="628"/>
        <w:jc w:val="left"/>
        <w:rPr>
          <w:b/>
          <w:sz w:val="28"/>
        </w:rPr>
      </w:pPr>
      <w:r>
        <w:rPr>
          <w:b/>
          <w:sz w:val="28"/>
        </w:rPr>
        <w:t>园区规划概况</w:t>
      </w:r>
    </w:p>
    <w:p w14:paraId="3932AC18">
      <w:pPr>
        <w:pStyle w:val="9"/>
        <w:spacing w:before="211"/>
      </w:pPr>
      <w:r>
        <w:t>（</w:t>
      </w:r>
      <w:r>
        <w:rPr>
          <w:rFonts w:ascii="Times New Roman" w:eastAsia="Times New Roman"/>
        </w:rPr>
        <w:t>1</w:t>
      </w:r>
      <w:r>
        <w:t>）规划范围</w:t>
      </w:r>
    </w:p>
    <w:p w14:paraId="645ABEEC">
      <w:pPr>
        <w:pStyle w:val="10"/>
        <w:spacing w:before="226" w:line="374" w:lineRule="auto"/>
        <w:ind w:left="240" w:right="117" w:firstLine="480"/>
      </w:pPr>
      <w:r>
        <w:rPr>
          <w:spacing w:val="-11"/>
        </w:rPr>
        <w:t>根据《湖南省自然资源厅关于汩罗高新技术产业开发区扩区用地审核意见的</w:t>
      </w:r>
      <w:r>
        <w:rPr>
          <w:spacing w:val="-12"/>
        </w:rPr>
        <w:t>函》</w:t>
      </w:r>
      <w:r>
        <w:t>（</w:t>
      </w:r>
      <w:r>
        <w:rPr>
          <w:rFonts w:ascii="Times New Roman" w:eastAsia="Times New Roman"/>
        </w:rPr>
        <w:t>2023.11.21</w:t>
      </w:r>
      <w:r>
        <w:t>），</w:t>
      </w:r>
      <w:r>
        <w:rPr>
          <w:spacing w:val="-5"/>
        </w:rPr>
        <w:t xml:space="preserve">本次扩区新划定发展方向区合计 </w:t>
      </w:r>
      <w:r>
        <w:rPr>
          <w:rFonts w:ascii="Times New Roman" w:eastAsia="Times New Roman"/>
        </w:rPr>
        <w:t>592.24</w:t>
      </w:r>
      <w:r>
        <w:rPr>
          <w:rFonts w:ascii="Times New Roman" w:eastAsia="Times New Roman"/>
          <w:spacing w:val="-5"/>
        </w:rPr>
        <w:t xml:space="preserve"> </w:t>
      </w:r>
      <w:r>
        <w:rPr>
          <w:spacing w:val="-2"/>
        </w:rPr>
        <w:t>公顷，发展方向区</w:t>
      </w:r>
      <w:r>
        <w:rPr>
          <w:spacing w:val="-6"/>
        </w:rPr>
        <w:t>块一位于新市片</w:t>
      </w:r>
      <w:r>
        <w:t>（湖南汩罗循环经济产业园</w:t>
      </w:r>
      <w:r>
        <w:rPr>
          <w:spacing w:val="-24"/>
        </w:rPr>
        <w:t>）</w:t>
      </w:r>
      <w:r>
        <w:rPr>
          <w:spacing w:val="-7"/>
        </w:rPr>
        <w:t>西片区，其四至范围：东至规划莲</w:t>
      </w:r>
      <w:r>
        <w:rPr>
          <w:spacing w:val="-10"/>
        </w:rPr>
        <w:t xml:space="preserve">花路，南至规划车站大道，西至武广高铁，北至汩罗江大道，面积 </w:t>
      </w:r>
      <w:r>
        <w:rPr>
          <w:rFonts w:ascii="Times New Roman" w:eastAsia="Times New Roman"/>
        </w:rPr>
        <w:t>119.94</w:t>
      </w:r>
      <w:r>
        <w:rPr>
          <w:rFonts w:ascii="Times New Roman" w:eastAsia="Times New Roman"/>
          <w:spacing w:val="-1"/>
        </w:rPr>
        <w:t xml:space="preserve"> </w:t>
      </w:r>
      <w:r>
        <w:t xml:space="preserve">公顷； </w:t>
      </w:r>
      <w:r>
        <w:rPr>
          <w:spacing w:val="-3"/>
        </w:rPr>
        <w:t>区块二位于新市片</w:t>
      </w:r>
      <w:r>
        <w:t>（湖南汩罗循环经济产业园</w:t>
      </w:r>
      <w:r>
        <w:rPr>
          <w:spacing w:val="-24"/>
        </w:rPr>
        <w:t>）</w:t>
      </w:r>
      <w:r>
        <w:rPr>
          <w:spacing w:val="-7"/>
        </w:rPr>
        <w:t>东片区，其四至范围：东至湄江</w:t>
      </w:r>
      <w:r>
        <w:rPr>
          <w:spacing w:val="-9"/>
        </w:rPr>
        <w:t xml:space="preserve">河，南至规划车站大道以南 </w:t>
      </w:r>
      <w:r>
        <w:rPr>
          <w:rFonts w:ascii="Times New Roman" w:eastAsia="Times New Roman"/>
        </w:rPr>
        <w:t>600</w:t>
      </w:r>
      <w:r>
        <w:rPr>
          <w:rFonts w:ascii="Times New Roman" w:eastAsia="Times New Roman"/>
          <w:spacing w:val="-2"/>
        </w:rPr>
        <w:t xml:space="preserve"> </w:t>
      </w:r>
      <w:r>
        <w:rPr>
          <w:spacing w:val="-15"/>
        </w:rPr>
        <w:t xml:space="preserve">米，西至 </w:t>
      </w:r>
      <w:r>
        <w:rPr>
          <w:rFonts w:ascii="Times New Roman" w:eastAsia="Times New Roman"/>
        </w:rPr>
        <w:t>G107</w:t>
      </w:r>
      <w:r>
        <w:rPr>
          <w:spacing w:val="-7"/>
        </w:rPr>
        <w:t xml:space="preserve">，北至汩新大道，面积 </w:t>
      </w:r>
      <w:r>
        <w:rPr>
          <w:rFonts w:ascii="Times New Roman" w:eastAsia="Times New Roman"/>
        </w:rPr>
        <w:t>243.30</w:t>
      </w:r>
      <w:r>
        <w:rPr>
          <w:rFonts w:ascii="Times New Roman" w:eastAsia="Times New Roman"/>
          <w:spacing w:val="-3"/>
        </w:rPr>
        <w:t xml:space="preserve"> </w:t>
      </w:r>
      <w:r>
        <w:t>公</w:t>
      </w:r>
      <w:r>
        <w:rPr>
          <w:spacing w:val="-13"/>
        </w:rPr>
        <w:t>顷；区块三位于弼时片</w:t>
      </w:r>
      <w:r>
        <w:t>（湖南工程机械配套产业园</w:t>
      </w:r>
      <w:r>
        <w:rPr>
          <w:spacing w:val="-53"/>
        </w:rPr>
        <w:t>）</w:t>
      </w:r>
      <w:r>
        <w:rPr>
          <w:spacing w:val="-7"/>
        </w:rPr>
        <w:t xml:space="preserve">西北部和南部，其四至范围： </w:t>
      </w:r>
      <w:r>
        <w:rPr>
          <w:spacing w:val="-21"/>
        </w:rPr>
        <w:t xml:space="preserve">东至原 </w:t>
      </w:r>
      <w:r>
        <w:rPr>
          <w:rFonts w:ascii="Times New Roman" w:eastAsia="Times New Roman"/>
        </w:rPr>
        <w:t>G107</w:t>
      </w:r>
      <w:r>
        <w:rPr>
          <w:spacing w:val="-7"/>
        </w:rPr>
        <w:t xml:space="preserve">，南至三角塘路以南 </w:t>
      </w:r>
      <w:r>
        <w:rPr>
          <w:rFonts w:ascii="Times New Roman" w:eastAsia="Times New Roman"/>
        </w:rPr>
        <w:t>300</w:t>
      </w:r>
      <w:r>
        <w:rPr>
          <w:rFonts w:ascii="Times New Roman" w:eastAsia="Times New Roman"/>
          <w:spacing w:val="-1"/>
        </w:rPr>
        <w:t xml:space="preserve"> </w:t>
      </w:r>
      <w:r>
        <w:rPr>
          <w:spacing w:val="-4"/>
        </w:rPr>
        <w:t xml:space="preserve">米，西至规划万家丽北路，北至新 </w:t>
      </w:r>
      <w:r>
        <w:rPr>
          <w:rFonts w:ascii="Times New Roman" w:eastAsia="Times New Roman"/>
        </w:rPr>
        <w:t>G107</w:t>
      </w:r>
      <w:r>
        <w:t>，</w:t>
      </w:r>
    </w:p>
    <w:p w14:paraId="4F153205">
      <w:pPr>
        <w:spacing w:after="0" w:line="374" w:lineRule="auto"/>
        <w:sectPr>
          <w:pgSz w:w="11910" w:h="16840"/>
          <w:pgMar w:top="1440" w:right="1560" w:bottom="1220" w:left="1560" w:header="0" w:footer="1024" w:gutter="0"/>
          <w:cols w:space="720" w:num="1"/>
        </w:sectPr>
      </w:pPr>
    </w:p>
    <w:p w14:paraId="0F47BB46">
      <w:pPr>
        <w:pStyle w:val="10"/>
        <w:spacing w:before="47"/>
        <w:ind w:left="240"/>
      </w:pPr>
      <w:r>
        <w:t xml:space="preserve">面积 </w:t>
      </w:r>
      <w:r>
        <w:rPr>
          <w:rFonts w:ascii="Times New Roman" w:eastAsia="Times New Roman"/>
        </w:rPr>
        <w:t xml:space="preserve">229.00 </w:t>
      </w:r>
      <w:r>
        <w:t>公顷。</w:t>
      </w:r>
    </w:p>
    <w:p w14:paraId="0E7CA23E">
      <w:pPr>
        <w:pStyle w:val="10"/>
        <w:spacing w:before="172" w:line="374" w:lineRule="auto"/>
        <w:ind w:left="240" w:right="96" w:firstLine="480"/>
      </w:pPr>
      <w:r>
        <w:rPr>
          <w:spacing w:val="-10"/>
        </w:rPr>
        <w:t xml:space="preserve">本次扩区后，汩罗高新区规划总面积 </w:t>
      </w:r>
      <w:r>
        <w:rPr>
          <w:rFonts w:ascii="Times New Roman" w:eastAsia="Times New Roman"/>
        </w:rPr>
        <w:t xml:space="preserve">1543.67 </w:t>
      </w:r>
      <w:r>
        <w:t>公顷</w:t>
      </w:r>
      <w:r>
        <w:rPr>
          <w:rFonts w:ascii="Times New Roman" w:eastAsia="Times New Roman"/>
        </w:rPr>
        <w:t>=</w:t>
      </w:r>
      <w:r>
        <w:t>湘发改园区</w:t>
      </w:r>
      <w:r>
        <w:rPr>
          <w:rFonts w:ascii="Times New Roman" w:eastAsia="Times New Roman"/>
        </w:rPr>
        <w:t xml:space="preserve">[2022]601 </w:t>
      </w:r>
      <w:r>
        <w:t>号核实的边界面积（</w:t>
      </w:r>
      <w:r>
        <w:rPr>
          <w:rFonts w:ascii="Times New Roman" w:eastAsia="Times New Roman"/>
        </w:rPr>
        <w:t xml:space="preserve">951.43 </w:t>
      </w:r>
      <w:r>
        <w:t>公顷）</w:t>
      </w:r>
      <w:r>
        <w:rPr>
          <w:rFonts w:ascii="Times New Roman" w:eastAsia="Times New Roman"/>
        </w:rPr>
        <w:t>+</w:t>
      </w:r>
      <w:r>
        <w:t>《湖南省自然资源厅关于汩罗高新技术产业开</w:t>
      </w:r>
      <w:r>
        <w:rPr>
          <w:spacing w:val="-3"/>
        </w:rPr>
        <w:t>发区扩区用地审核意见的函》</w:t>
      </w:r>
      <w:r>
        <w:t>（</w:t>
      </w:r>
      <w:r>
        <w:rPr>
          <w:rFonts w:ascii="Times New Roman" w:eastAsia="Times New Roman"/>
        </w:rPr>
        <w:t>2023.11.21</w:t>
      </w:r>
      <w:r>
        <w:t>）</w:t>
      </w:r>
      <w:r>
        <w:rPr>
          <w:spacing w:val="-3"/>
        </w:rPr>
        <w:t>划定的发展方向区</w:t>
      </w:r>
      <w:r>
        <w:t>（</w:t>
      </w:r>
      <w:r>
        <w:rPr>
          <w:rFonts w:ascii="Times New Roman" w:eastAsia="Times New Roman"/>
        </w:rPr>
        <w:t xml:space="preserve">592.24 </w:t>
      </w:r>
      <w:r>
        <w:t>公顷</w:t>
      </w:r>
      <w:r>
        <w:rPr>
          <w:spacing w:val="-17"/>
        </w:rPr>
        <w:t>）</w:t>
      </w:r>
      <w:r>
        <w:t>。</w:t>
      </w:r>
      <w:r>
        <w:rPr>
          <w:spacing w:val="-5"/>
        </w:rPr>
        <w:t>规划总范围包括：湖南汩罗循环经济产业园</w:t>
      </w:r>
      <w:r>
        <w:t>（新市片</w:t>
      </w:r>
      <w:r>
        <w:rPr>
          <w:spacing w:val="-24"/>
        </w:rPr>
        <w:t>）</w:t>
      </w:r>
      <w:r>
        <w:rPr>
          <w:spacing w:val="-3"/>
        </w:rPr>
        <w:t>西片区东至莲花路</w:t>
      </w:r>
      <w:r>
        <w:t>（规划路</w:t>
      </w:r>
      <w:r>
        <w:rPr>
          <w:spacing w:val="-14"/>
        </w:rPr>
        <w:t>）</w:t>
      </w:r>
      <w:r>
        <w:rPr>
          <w:spacing w:val="-6"/>
        </w:rPr>
        <w:t>，南至车站大道</w:t>
      </w:r>
      <w:r>
        <w:t>（规划路</w:t>
      </w:r>
      <w:r>
        <w:rPr>
          <w:spacing w:val="-14"/>
        </w:rPr>
        <w:t>）</w:t>
      </w:r>
      <w:r>
        <w:rPr>
          <w:spacing w:val="-7"/>
        </w:rPr>
        <w:t>，西至武广高铁，北至汩罗江大道路，规划面积</w:t>
      </w:r>
      <w:r>
        <w:rPr>
          <w:spacing w:val="-27"/>
        </w:rPr>
        <w:t xml:space="preserve">为 </w:t>
      </w:r>
      <w:r>
        <w:rPr>
          <w:rFonts w:ascii="Times New Roman" w:eastAsia="Times New Roman"/>
        </w:rPr>
        <w:t xml:space="preserve">573.52 </w:t>
      </w:r>
      <w:r>
        <w:t>公顷；湖南汩罗循环经济产业园（新市片）东片区东至湄江河，南至</w:t>
      </w:r>
      <w:r>
        <w:rPr>
          <w:spacing w:val="-2"/>
        </w:rPr>
        <w:t>车站大道</w:t>
      </w:r>
      <w:r>
        <w:rPr>
          <w:spacing w:val="-3"/>
        </w:rPr>
        <w:t>（</w:t>
      </w:r>
      <w:r>
        <w:t>规划路</w:t>
      </w:r>
      <w:r>
        <w:rPr>
          <w:spacing w:val="-5"/>
        </w:rPr>
        <w:t>）</w:t>
      </w:r>
      <w:r>
        <w:rPr>
          <w:spacing w:val="-21"/>
        </w:rPr>
        <w:t xml:space="preserve">以南 </w:t>
      </w:r>
      <w:r>
        <w:rPr>
          <w:rFonts w:ascii="Times New Roman" w:eastAsia="Times New Roman"/>
        </w:rPr>
        <w:t xml:space="preserve">600 </w:t>
      </w:r>
      <w:r>
        <w:rPr>
          <w:spacing w:val="-14"/>
        </w:rPr>
        <w:t xml:space="preserve">米，西至 </w:t>
      </w:r>
      <w:r>
        <w:rPr>
          <w:rFonts w:ascii="Times New Roman" w:eastAsia="Times New Roman"/>
        </w:rPr>
        <w:t xml:space="preserve">G107 </w:t>
      </w:r>
      <w:r>
        <w:rPr>
          <w:spacing w:val="-3"/>
        </w:rPr>
        <w:t>国道，北至汩新大道，规划面积为</w:t>
      </w:r>
    </w:p>
    <w:p w14:paraId="4C9EA873">
      <w:pPr>
        <w:pStyle w:val="10"/>
        <w:spacing w:before="2" w:line="374" w:lineRule="auto"/>
        <w:ind w:left="240" w:right="237"/>
        <w:jc w:val="both"/>
      </w:pPr>
      <w:r>
        <w:rPr>
          <w:rFonts w:ascii="Times New Roman" w:eastAsia="Times New Roman"/>
        </w:rPr>
        <w:t xml:space="preserve">459.39 </w:t>
      </w:r>
      <w:r>
        <w:rPr>
          <w:spacing w:val="-4"/>
        </w:rPr>
        <w:t>公顷；湖南工程机械配套产业园</w:t>
      </w:r>
      <w:r>
        <w:rPr>
          <w:spacing w:val="-3"/>
        </w:rPr>
        <w:t>（</w:t>
      </w:r>
      <w:r>
        <w:t>弼时片</w:t>
      </w:r>
      <w:r>
        <w:rPr>
          <w:spacing w:val="-8"/>
        </w:rPr>
        <w:t>）</w:t>
      </w:r>
      <w:r>
        <w:rPr>
          <w:spacing w:val="-16"/>
        </w:rPr>
        <w:t xml:space="preserve">东至原 </w:t>
      </w:r>
      <w:r>
        <w:rPr>
          <w:rFonts w:ascii="Times New Roman" w:eastAsia="Times New Roman"/>
        </w:rPr>
        <w:t xml:space="preserve">G107 </w:t>
      </w:r>
      <w:r>
        <w:rPr>
          <w:spacing w:val="-2"/>
        </w:rPr>
        <w:t>国道，南至三角</w:t>
      </w:r>
      <w:r>
        <w:rPr>
          <w:spacing w:val="-14"/>
        </w:rPr>
        <w:t xml:space="preserve">塘路以南 </w:t>
      </w:r>
      <w:r>
        <w:rPr>
          <w:rFonts w:ascii="Times New Roman" w:eastAsia="Times New Roman"/>
        </w:rPr>
        <w:t xml:space="preserve">300 </w:t>
      </w:r>
      <w:r>
        <w:rPr>
          <w:spacing w:val="-24"/>
        </w:rPr>
        <w:t>米，西至万家丽北路</w:t>
      </w:r>
      <w:r>
        <w:rPr>
          <w:spacing w:val="-5"/>
        </w:rPr>
        <w:t>（</w:t>
      </w:r>
      <w:r>
        <w:t>规划路</w:t>
      </w:r>
      <w:r>
        <w:rPr>
          <w:spacing w:val="-101"/>
        </w:rPr>
        <w:t>），</w:t>
      </w:r>
      <w:r>
        <w:rPr>
          <w:spacing w:val="-16"/>
        </w:rPr>
        <w:t xml:space="preserve">北至新 </w:t>
      </w:r>
      <w:r>
        <w:rPr>
          <w:rFonts w:ascii="Times New Roman" w:eastAsia="Times New Roman"/>
        </w:rPr>
        <w:t xml:space="preserve">G107 </w:t>
      </w:r>
      <w:r>
        <w:rPr>
          <w:spacing w:val="-22"/>
        </w:rPr>
        <w:t xml:space="preserve">路，规划面积为 </w:t>
      </w:r>
      <w:r>
        <w:rPr>
          <w:rFonts w:ascii="Times New Roman" w:eastAsia="Times New Roman"/>
        </w:rPr>
        <w:t xml:space="preserve">510.76 </w:t>
      </w:r>
      <w:r>
        <w:t>公顷。</w:t>
      </w:r>
    </w:p>
    <w:p w14:paraId="54BC2594">
      <w:pPr>
        <w:pStyle w:val="10"/>
        <w:spacing w:before="1"/>
        <w:ind w:left="720"/>
      </w:pPr>
      <w:r>
        <w:t xml:space="preserve">扩区范围情况见表 </w:t>
      </w:r>
      <w:r>
        <w:rPr>
          <w:rFonts w:ascii="Times New Roman" w:eastAsia="Times New Roman"/>
        </w:rPr>
        <w:t>3.2-1</w:t>
      </w:r>
      <w:r>
        <w:t>。</w:t>
      </w:r>
    </w:p>
    <w:p w14:paraId="5D19FC69">
      <w:pPr>
        <w:pStyle w:val="10"/>
        <w:spacing w:before="29" w:after="2"/>
        <w:ind w:left="3064"/>
        <w:rPr>
          <w:rFonts w:hint="eastAsia" w:ascii="黑体" w:eastAsia="黑体"/>
        </w:rPr>
      </w:pPr>
      <w:r>
        <w:rPr>
          <w:rFonts w:hint="eastAsia" w:ascii="黑体" w:eastAsia="黑体"/>
          <w:spacing w:val="-31"/>
        </w:rPr>
        <w:t xml:space="preserve">表 </w:t>
      </w:r>
      <w:r>
        <w:rPr>
          <w:rFonts w:ascii="Times New Roman" w:eastAsia="Times New Roman"/>
        </w:rPr>
        <w:t>3.2-1</w:t>
      </w:r>
      <w:r>
        <w:rPr>
          <w:rFonts w:ascii="Times New Roman" w:eastAsia="Times New Roman"/>
          <w:spacing w:val="58"/>
        </w:rPr>
        <w:t xml:space="preserve"> </w:t>
      </w:r>
      <w:r>
        <w:rPr>
          <w:rFonts w:hint="eastAsia" w:ascii="黑体" w:eastAsia="黑体"/>
        </w:rPr>
        <w:t>用地规模情况一览表</w:t>
      </w:r>
    </w:p>
    <w:tbl>
      <w:tblPr>
        <w:tblStyle w:val="13"/>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
        <w:gridCol w:w="932"/>
        <w:gridCol w:w="936"/>
        <w:gridCol w:w="1281"/>
        <w:gridCol w:w="909"/>
        <w:gridCol w:w="3146"/>
        <w:gridCol w:w="878"/>
      </w:tblGrid>
      <w:tr w14:paraId="78863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440" w:type="dxa"/>
          </w:tcPr>
          <w:p w14:paraId="6DF133DA">
            <w:pPr>
              <w:pStyle w:val="17"/>
              <w:jc w:val="left"/>
              <w:rPr>
                <w:rFonts w:ascii="黑体"/>
                <w:sz w:val="20"/>
              </w:rPr>
            </w:pPr>
          </w:p>
          <w:p w14:paraId="79813E04">
            <w:pPr>
              <w:pStyle w:val="17"/>
              <w:jc w:val="left"/>
              <w:rPr>
                <w:rFonts w:ascii="黑体"/>
                <w:sz w:val="20"/>
              </w:rPr>
            </w:pPr>
          </w:p>
          <w:p w14:paraId="284DE26B">
            <w:pPr>
              <w:pStyle w:val="17"/>
              <w:spacing w:before="7"/>
              <w:jc w:val="left"/>
              <w:rPr>
                <w:rFonts w:ascii="黑体"/>
                <w:sz w:val="22"/>
              </w:rPr>
            </w:pPr>
          </w:p>
          <w:p w14:paraId="427E1716">
            <w:pPr>
              <w:pStyle w:val="17"/>
              <w:spacing w:before="1"/>
              <w:ind w:left="6"/>
              <w:rPr>
                <w:sz w:val="21"/>
              </w:rPr>
            </w:pPr>
            <w:r>
              <w:rPr>
                <w:w w:val="95"/>
                <w:sz w:val="21"/>
              </w:rPr>
              <w:t>类别</w:t>
            </w:r>
          </w:p>
        </w:tc>
        <w:tc>
          <w:tcPr>
            <w:tcW w:w="932" w:type="dxa"/>
          </w:tcPr>
          <w:p w14:paraId="68BBEF8D">
            <w:pPr>
              <w:pStyle w:val="17"/>
              <w:spacing w:before="178" w:line="278" w:lineRule="auto"/>
              <w:ind w:left="44" w:right="11" w:hanging="27"/>
              <w:jc w:val="both"/>
              <w:rPr>
                <w:sz w:val="21"/>
              </w:rPr>
            </w:pPr>
            <w:r>
              <w:rPr>
                <w:rFonts w:ascii="Times New Roman" w:eastAsia="Times New Roman"/>
                <w:sz w:val="21"/>
              </w:rPr>
              <w:t xml:space="preserve">2018 </w:t>
            </w:r>
            <w:r>
              <w:rPr>
                <w:sz w:val="21"/>
              </w:rPr>
              <w:t>年中国开发区审核公告</w:t>
            </w:r>
            <w:r>
              <w:rPr>
                <w:w w:val="95"/>
                <w:sz w:val="21"/>
              </w:rPr>
              <w:t>核准面积</w:t>
            </w:r>
          </w:p>
          <w:p w14:paraId="4AECA887">
            <w:pPr>
              <w:pStyle w:val="17"/>
              <w:spacing w:line="269" w:lineRule="exact"/>
              <w:ind w:left="44"/>
              <w:jc w:val="both"/>
              <w:rPr>
                <w:sz w:val="21"/>
              </w:rPr>
            </w:pPr>
            <w:r>
              <w:rPr>
                <w:w w:val="95"/>
                <w:sz w:val="21"/>
              </w:rPr>
              <w:t>（公顷）</w:t>
            </w:r>
          </w:p>
        </w:tc>
        <w:tc>
          <w:tcPr>
            <w:tcW w:w="936" w:type="dxa"/>
          </w:tcPr>
          <w:p w14:paraId="3F599ED6">
            <w:pPr>
              <w:pStyle w:val="17"/>
              <w:spacing w:before="1"/>
              <w:jc w:val="left"/>
              <w:rPr>
                <w:rFonts w:ascii="黑体"/>
                <w:sz w:val="26"/>
              </w:rPr>
            </w:pPr>
          </w:p>
          <w:p w14:paraId="1EA1A363">
            <w:pPr>
              <w:pStyle w:val="17"/>
              <w:spacing w:line="285" w:lineRule="auto"/>
              <w:ind w:left="29" w:right="19" w:firstLine="1"/>
              <w:rPr>
                <w:rFonts w:ascii="Times New Roman" w:eastAsia="Times New Roman"/>
                <w:sz w:val="21"/>
              </w:rPr>
            </w:pPr>
            <w:r>
              <w:rPr>
                <w:sz w:val="21"/>
              </w:rPr>
              <w:t xml:space="preserve">湘发改园区  </w:t>
            </w:r>
            <w:r>
              <w:rPr>
                <w:rFonts w:ascii="Times New Roman" w:eastAsia="Times New Roman"/>
                <w:w w:val="95"/>
                <w:sz w:val="21"/>
              </w:rPr>
              <w:t>[2022]601</w:t>
            </w:r>
          </w:p>
          <w:p w14:paraId="2ED0B6BE">
            <w:pPr>
              <w:pStyle w:val="17"/>
              <w:spacing w:before="8"/>
              <w:ind w:left="8"/>
              <w:rPr>
                <w:sz w:val="21"/>
              </w:rPr>
            </w:pPr>
            <w:r>
              <w:rPr>
                <w:w w:val="99"/>
                <w:sz w:val="21"/>
              </w:rPr>
              <w:t>号</w:t>
            </w:r>
          </w:p>
        </w:tc>
        <w:tc>
          <w:tcPr>
            <w:tcW w:w="1281" w:type="dxa"/>
          </w:tcPr>
          <w:p w14:paraId="6961AC51">
            <w:pPr>
              <w:pStyle w:val="17"/>
              <w:spacing w:before="22" w:line="278" w:lineRule="auto"/>
              <w:ind w:left="10" w:right="1"/>
              <w:jc w:val="both"/>
              <w:rPr>
                <w:sz w:val="21"/>
              </w:rPr>
            </w:pPr>
            <w:r>
              <w:rPr>
                <w:w w:val="95"/>
                <w:sz w:val="21"/>
              </w:rPr>
              <w:t>湖南省自然资源厅关于汩罗高新技术产业开发区扩区用地审核意见的</w:t>
            </w:r>
          </w:p>
          <w:p w14:paraId="790222D2">
            <w:pPr>
              <w:pStyle w:val="17"/>
              <w:spacing w:line="269" w:lineRule="exact"/>
              <w:ind w:left="9"/>
              <w:rPr>
                <w:sz w:val="21"/>
              </w:rPr>
            </w:pPr>
            <w:r>
              <w:rPr>
                <w:w w:val="99"/>
                <w:sz w:val="21"/>
              </w:rPr>
              <w:t>函</w:t>
            </w:r>
          </w:p>
        </w:tc>
        <w:tc>
          <w:tcPr>
            <w:tcW w:w="909" w:type="dxa"/>
          </w:tcPr>
          <w:p w14:paraId="585E7EB2">
            <w:pPr>
              <w:pStyle w:val="17"/>
              <w:jc w:val="left"/>
              <w:rPr>
                <w:rFonts w:ascii="黑体"/>
                <w:sz w:val="20"/>
              </w:rPr>
            </w:pPr>
          </w:p>
          <w:p w14:paraId="5F5AF45C">
            <w:pPr>
              <w:pStyle w:val="17"/>
              <w:spacing w:before="3"/>
              <w:jc w:val="left"/>
              <w:rPr>
                <w:rFonts w:ascii="黑体"/>
                <w:sz w:val="18"/>
              </w:rPr>
            </w:pPr>
          </w:p>
          <w:p w14:paraId="47DA0F38">
            <w:pPr>
              <w:pStyle w:val="17"/>
              <w:spacing w:line="278" w:lineRule="auto"/>
              <w:ind w:left="3" w:right="24" w:firstLine="31"/>
              <w:jc w:val="both"/>
              <w:rPr>
                <w:sz w:val="21"/>
              </w:rPr>
            </w:pPr>
            <w:r>
              <w:rPr>
                <w:w w:val="95"/>
                <w:sz w:val="21"/>
              </w:rPr>
              <w:t>调扩区后</w:t>
            </w:r>
            <w:r>
              <w:rPr>
                <w:sz w:val="21"/>
              </w:rPr>
              <w:t>总占地面积（公顷</w:t>
            </w:r>
          </w:p>
        </w:tc>
        <w:tc>
          <w:tcPr>
            <w:tcW w:w="3146" w:type="dxa"/>
          </w:tcPr>
          <w:p w14:paraId="33D240CB">
            <w:pPr>
              <w:pStyle w:val="17"/>
              <w:jc w:val="left"/>
              <w:rPr>
                <w:rFonts w:ascii="黑体"/>
                <w:sz w:val="20"/>
              </w:rPr>
            </w:pPr>
          </w:p>
          <w:p w14:paraId="0A719E95">
            <w:pPr>
              <w:pStyle w:val="17"/>
              <w:jc w:val="left"/>
              <w:rPr>
                <w:rFonts w:ascii="黑体"/>
                <w:sz w:val="20"/>
              </w:rPr>
            </w:pPr>
          </w:p>
          <w:p w14:paraId="29BE4897">
            <w:pPr>
              <w:pStyle w:val="17"/>
              <w:spacing w:before="7"/>
              <w:jc w:val="left"/>
              <w:rPr>
                <w:rFonts w:ascii="黑体"/>
                <w:sz w:val="22"/>
              </w:rPr>
            </w:pPr>
          </w:p>
          <w:p w14:paraId="19071727">
            <w:pPr>
              <w:pStyle w:val="17"/>
              <w:spacing w:before="1"/>
              <w:ind w:left="733"/>
              <w:jc w:val="left"/>
              <w:rPr>
                <w:sz w:val="21"/>
              </w:rPr>
            </w:pPr>
            <w:r>
              <w:rPr>
                <w:sz w:val="21"/>
              </w:rPr>
              <w:t>扩区后的四至范围</w:t>
            </w:r>
          </w:p>
          <w:p w14:paraId="5C3DDEF6">
            <w:pPr>
              <w:pStyle w:val="17"/>
              <w:spacing w:before="42"/>
              <w:ind w:left="-109"/>
              <w:jc w:val="left"/>
              <w:rPr>
                <w:sz w:val="21"/>
              </w:rPr>
            </w:pPr>
            <w:r>
              <w:rPr>
                <w:w w:val="99"/>
                <w:sz w:val="21"/>
              </w:rPr>
              <w:t>）</w:t>
            </w:r>
          </w:p>
        </w:tc>
        <w:tc>
          <w:tcPr>
            <w:tcW w:w="878" w:type="dxa"/>
          </w:tcPr>
          <w:p w14:paraId="6E046061">
            <w:pPr>
              <w:pStyle w:val="17"/>
              <w:spacing w:before="1"/>
              <w:jc w:val="left"/>
              <w:rPr>
                <w:rFonts w:ascii="黑体"/>
                <w:sz w:val="26"/>
              </w:rPr>
            </w:pPr>
          </w:p>
          <w:p w14:paraId="50AC7417">
            <w:pPr>
              <w:pStyle w:val="17"/>
              <w:spacing w:line="278" w:lineRule="auto"/>
              <w:ind w:left="18" w:right="9"/>
              <w:rPr>
                <w:sz w:val="21"/>
              </w:rPr>
            </w:pPr>
            <w:r>
              <w:rPr>
                <w:w w:val="95"/>
                <w:sz w:val="21"/>
              </w:rPr>
              <w:t>备注：规划环评已批复规划</w:t>
            </w:r>
            <w:r>
              <w:rPr>
                <w:sz w:val="21"/>
              </w:rPr>
              <w:t>面积</w:t>
            </w:r>
          </w:p>
        </w:tc>
      </w:tr>
      <w:tr w14:paraId="4F747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440" w:type="dxa"/>
            <w:tcBorders>
              <w:bottom w:val="nil"/>
            </w:tcBorders>
          </w:tcPr>
          <w:p w14:paraId="27970527">
            <w:pPr>
              <w:pStyle w:val="17"/>
              <w:jc w:val="left"/>
              <w:rPr>
                <w:rFonts w:ascii="Times New Roman"/>
                <w:sz w:val="22"/>
              </w:rPr>
            </w:pPr>
          </w:p>
        </w:tc>
        <w:tc>
          <w:tcPr>
            <w:tcW w:w="932" w:type="dxa"/>
            <w:tcBorders>
              <w:bottom w:val="nil"/>
            </w:tcBorders>
          </w:tcPr>
          <w:p w14:paraId="2CDC3CE7">
            <w:pPr>
              <w:pStyle w:val="17"/>
              <w:jc w:val="left"/>
              <w:rPr>
                <w:rFonts w:ascii="Times New Roman"/>
                <w:sz w:val="22"/>
              </w:rPr>
            </w:pPr>
          </w:p>
        </w:tc>
        <w:tc>
          <w:tcPr>
            <w:tcW w:w="936" w:type="dxa"/>
            <w:tcBorders>
              <w:bottom w:val="nil"/>
            </w:tcBorders>
          </w:tcPr>
          <w:p w14:paraId="56FB8F01">
            <w:pPr>
              <w:pStyle w:val="17"/>
              <w:jc w:val="left"/>
              <w:rPr>
                <w:rFonts w:ascii="Times New Roman"/>
                <w:sz w:val="22"/>
              </w:rPr>
            </w:pPr>
          </w:p>
        </w:tc>
        <w:tc>
          <w:tcPr>
            <w:tcW w:w="1281" w:type="dxa"/>
            <w:tcBorders>
              <w:bottom w:val="nil"/>
            </w:tcBorders>
          </w:tcPr>
          <w:p w14:paraId="661870C3">
            <w:pPr>
              <w:pStyle w:val="17"/>
              <w:jc w:val="left"/>
              <w:rPr>
                <w:rFonts w:ascii="Times New Roman"/>
                <w:sz w:val="22"/>
              </w:rPr>
            </w:pPr>
          </w:p>
        </w:tc>
        <w:tc>
          <w:tcPr>
            <w:tcW w:w="909" w:type="dxa"/>
            <w:vMerge w:val="restart"/>
          </w:tcPr>
          <w:p w14:paraId="7E8DFDC0">
            <w:pPr>
              <w:pStyle w:val="17"/>
              <w:jc w:val="left"/>
              <w:rPr>
                <w:rFonts w:ascii="黑体"/>
                <w:sz w:val="22"/>
              </w:rPr>
            </w:pPr>
          </w:p>
          <w:p w14:paraId="0D698DCF">
            <w:pPr>
              <w:pStyle w:val="17"/>
              <w:jc w:val="left"/>
              <w:rPr>
                <w:rFonts w:ascii="黑体"/>
                <w:sz w:val="22"/>
              </w:rPr>
            </w:pPr>
          </w:p>
          <w:p w14:paraId="69A7890F">
            <w:pPr>
              <w:pStyle w:val="17"/>
              <w:jc w:val="left"/>
              <w:rPr>
                <w:rFonts w:ascii="黑体"/>
                <w:sz w:val="22"/>
              </w:rPr>
            </w:pPr>
          </w:p>
          <w:p w14:paraId="7E5AAD1B">
            <w:pPr>
              <w:pStyle w:val="17"/>
              <w:jc w:val="left"/>
              <w:rPr>
                <w:rFonts w:ascii="黑体"/>
                <w:sz w:val="22"/>
              </w:rPr>
            </w:pPr>
          </w:p>
          <w:p w14:paraId="50560DAA">
            <w:pPr>
              <w:pStyle w:val="17"/>
              <w:spacing w:before="156"/>
              <w:ind w:left="111"/>
              <w:jc w:val="left"/>
              <w:rPr>
                <w:rFonts w:ascii="Times New Roman"/>
                <w:b/>
                <w:sz w:val="21"/>
              </w:rPr>
            </w:pPr>
            <w:r>
              <w:rPr>
                <w:rFonts w:ascii="Times New Roman"/>
                <w:b/>
                <w:sz w:val="21"/>
              </w:rPr>
              <w:t>1543.67</w:t>
            </w:r>
          </w:p>
          <w:p w14:paraId="3F52ADC9">
            <w:pPr>
              <w:pStyle w:val="17"/>
              <w:spacing w:before="57" w:line="278" w:lineRule="auto"/>
              <w:ind w:left="137" w:right="22" w:hanging="106"/>
              <w:jc w:val="left"/>
              <w:rPr>
                <w:b/>
                <w:sz w:val="21"/>
              </w:rPr>
            </w:pPr>
            <w:r>
              <w:rPr>
                <w:b/>
                <w:sz w:val="21"/>
              </w:rPr>
              <w:t>公顷，本次新增</w:t>
            </w:r>
          </w:p>
          <w:p w14:paraId="54144B7A">
            <w:pPr>
              <w:pStyle w:val="17"/>
              <w:spacing w:line="278" w:lineRule="auto"/>
              <w:ind w:left="349" w:right="24" w:hanging="315"/>
              <w:jc w:val="left"/>
              <w:rPr>
                <w:b/>
                <w:sz w:val="21"/>
              </w:rPr>
            </w:pPr>
            <w:r>
              <w:rPr>
                <w:rFonts w:ascii="Times New Roman" w:eastAsia="Times New Roman"/>
                <w:b/>
                <w:sz w:val="21"/>
              </w:rPr>
              <w:t xml:space="preserve">592.24 </w:t>
            </w:r>
            <w:r>
              <w:rPr>
                <w:b/>
                <w:sz w:val="21"/>
              </w:rPr>
              <w:t>公顷</w:t>
            </w:r>
          </w:p>
        </w:tc>
        <w:tc>
          <w:tcPr>
            <w:tcW w:w="3146" w:type="dxa"/>
            <w:vMerge w:val="restart"/>
          </w:tcPr>
          <w:p w14:paraId="7E988F75">
            <w:pPr>
              <w:pStyle w:val="17"/>
              <w:spacing w:before="21" w:line="278" w:lineRule="auto"/>
              <w:ind w:left="1" w:right="-29" w:hanging="10"/>
              <w:rPr>
                <w:sz w:val="21"/>
              </w:rPr>
            </w:pPr>
            <w:r>
              <w:rPr>
                <w:spacing w:val="-3"/>
                <w:sz w:val="21"/>
              </w:rPr>
              <w:t>新市片：西片区东至莲花路</w:t>
            </w:r>
            <w:r>
              <w:rPr>
                <w:sz w:val="21"/>
              </w:rPr>
              <w:t>（规划</w:t>
            </w:r>
            <w:r>
              <w:rPr>
                <w:w w:val="95"/>
                <w:sz w:val="21"/>
              </w:rPr>
              <w:t xml:space="preserve">路），南至车站大道（规划路）， </w:t>
            </w:r>
            <w:r>
              <w:rPr>
                <w:sz w:val="21"/>
              </w:rPr>
              <w:t xml:space="preserve">西至武广高铁，北至汩罗江大道 </w:t>
            </w:r>
            <w:r>
              <w:rPr>
                <w:spacing w:val="-13"/>
                <w:sz w:val="21"/>
              </w:rPr>
              <w:t xml:space="preserve">路，规划面积为 </w:t>
            </w:r>
            <w:r>
              <w:rPr>
                <w:rFonts w:ascii="Times New Roman" w:eastAsia="Times New Roman"/>
                <w:sz w:val="21"/>
              </w:rPr>
              <w:t>573.52</w:t>
            </w:r>
            <w:r>
              <w:rPr>
                <w:rFonts w:ascii="Times New Roman" w:eastAsia="Times New Roman"/>
                <w:spacing w:val="-6"/>
                <w:sz w:val="21"/>
              </w:rPr>
              <w:t xml:space="preserve"> </w:t>
            </w:r>
            <w:r>
              <w:rPr>
                <w:spacing w:val="-7"/>
                <w:sz w:val="21"/>
              </w:rPr>
              <w:t>公顷；东片</w:t>
            </w:r>
            <w:r>
              <w:rPr>
                <w:spacing w:val="-7"/>
                <w:w w:val="95"/>
                <w:sz w:val="21"/>
              </w:rPr>
              <w:t>区东至湄江河，南至车站大道</w:t>
            </w:r>
            <w:r>
              <w:rPr>
                <w:w w:val="95"/>
                <w:sz w:val="21"/>
              </w:rPr>
              <w:t>（规</w:t>
            </w:r>
            <w:r>
              <w:rPr>
                <w:sz w:val="21"/>
              </w:rPr>
              <w:t>划路）</w:t>
            </w:r>
            <w:r>
              <w:rPr>
                <w:spacing w:val="-18"/>
                <w:sz w:val="21"/>
              </w:rPr>
              <w:t xml:space="preserve">以南 </w:t>
            </w:r>
            <w:r>
              <w:rPr>
                <w:rFonts w:ascii="Times New Roman" w:eastAsia="Times New Roman"/>
                <w:sz w:val="21"/>
              </w:rPr>
              <w:t>600</w:t>
            </w:r>
            <w:r>
              <w:rPr>
                <w:rFonts w:ascii="Times New Roman" w:eastAsia="Times New Roman"/>
                <w:spacing w:val="-4"/>
                <w:sz w:val="21"/>
              </w:rPr>
              <w:t xml:space="preserve"> </w:t>
            </w:r>
            <w:r>
              <w:rPr>
                <w:spacing w:val="-11"/>
                <w:sz w:val="21"/>
              </w:rPr>
              <w:t xml:space="preserve">米，西至 </w:t>
            </w:r>
            <w:r>
              <w:rPr>
                <w:rFonts w:ascii="Times New Roman" w:eastAsia="Times New Roman"/>
                <w:sz w:val="21"/>
              </w:rPr>
              <w:t>G107</w:t>
            </w:r>
            <w:r>
              <w:rPr>
                <w:rFonts w:ascii="Times New Roman" w:eastAsia="Times New Roman"/>
                <w:spacing w:val="-3"/>
                <w:sz w:val="21"/>
              </w:rPr>
              <w:t xml:space="preserve"> </w:t>
            </w:r>
            <w:r>
              <w:rPr>
                <w:sz w:val="21"/>
              </w:rPr>
              <w:t>国道，北至汩新大道，规划面积为</w:t>
            </w:r>
          </w:p>
          <w:p w14:paraId="1CAEA8E3">
            <w:pPr>
              <w:pStyle w:val="17"/>
              <w:spacing w:line="268" w:lineRule="exact"/>
              <w:ind w:left="942"/>
              <w:jc w:val="left"/>
              <w:rPr>
                <w:sz w:val="21"/>
              </w:rPr>
            </w:pPr>
            <w:r>
              <w:rPr>
                <w:rFonts w:ascii="Times New Roman" w:eastAsia="Times New Roman"/>
                <w:sz w:val="21"/>
              </w:rPr>
              <w:t xml:space="preserve">459.39 </w:t>
            </w:r>
            <w:r>
              <w:rPr>
                <w:sz w:val="21"/>
              </w:rPr>
              <w:t>公顷；</w:t>
            </w:r>
          </w:p>
          <w:p w14:paraId="056A95B6">
            <w:pPr>
              <w:pStyle w:val="17"/>
              <w:spacing w:before="43" w:line="278" w:lineRule="auto"/>
              <w:ind w:left="1" w:right="-15" w:hanging="1"/>
              <w:rPr>
                <w:sz w:val="21"/>
              </w:rPr>
            </w:pPr>
            <w:r>
              <w:rPr>
                <w:spacing w:val="-7"/>
                <w:sz w:val="21"/>
              </w:rPr>
              <w:t xml:space="preserve">弼时片：东至原 </w:t>
            </w:r>
            <w:r>
              <w:rPr>
                <w:rFonts w:ascii="Times New Roman" w:eastAsia="Times New Roman"/>
                <w:sz w:val="21"/>
              </w:rPr>
              <w:t xml:space="preserve">G107 </w:t>
            </w:r>
            <w:r>
              <w:rPr>
                <w:sz w:val="21"/>
              </w:rPr>
              <w:t>国道，南至</w:t>
            </w:r>
            <w:r>
              <w:rPr>
                <w:spacing w:val="-8"/>
                <w:sz w:val="21"/>
              </w:rPr>
              <w:t xml:space="preserve">三角塘路以南 </w:t>
            </w:r>
            <w:r>
              <w:rPr>
                <w:rFonts w:ascii="Times New Roman" w:eastAsia="Times New Roman"/>
                <w:sz w:val="21"/>
              </w:rPr>
              <w:t xml:space="preserve">300 </w:t>
            </w:r>
            <w:r>
              <w:rPr>
                <w:spacing w:val="-3"/>
                <w:sz w:val="21"/>
              </w:rPr>
              <w:t>米，西至万家丽</w:t>
            </w:r>
            <w:r>
              <w:rPr>
                <w:spacing w:val="-9"/>
                <w:sz w:val="21"/>
              </w:rPr>
              <w:t>北路</w:t>
            </w:r>
            <w:r>
              <w:rPr>
                <w:sz w:val="21"/>
              </w:rPr>
              <w:t>（规划路</w:t>
            </w:r>
            <w:r>
              <w:rPr>
                <w:spacing w:val="-17"/>
                <w:sz w:val="21"/>
              </w:rPr>
              <w:t>），</w:t>
            </w:r>
            <w:r>
              <w:rPr>
                <w:spacing w:val="-15"/>
                <w:sz w:val="21"/>
              </w:rPr>
              <w:t xml:space="preserve">北至新 </w:t>
            </w:r>
            <w:r>
              <w:rPr>
                <w:rFonts w:ascii="Times New Roman" w:eastAsia="Times New Roman"/>
                <w:sz w:val="21"/>
              </w:rPr>
              <w:t xml:space="preserve">G107 </w:t>
            </w:r>
            <w:r>
              <w:rPr>
                <w:sz w:val="21"/>
              </w:rPr>
              <w:t>路</w:t>
            </w:r>
            <w:r>
              <w:rPr>
                <w:spacing w:val="-9"/>
                <w:sz w:val="21"/>
              </w:rPr>
              <w:t xml:space="preserve">规划面积为 </w:t>
            </w:r>
            <w:r>
              <w:rPr>
                <w:rFonts w:ascii="Times New Roman" w:eastAsia="Times New Roman"/>
                <w:sz w:val="21"/>
              </w:rPr>
              <w:t xml:space="preserve">510.76 </w:t>
            </w:r>
            <w:r>
              <w:rPr>
                <w:sz w:val="21"/>
              </w:rPr>
              <w:t>公顷；</w:t>
            </w:r>
          </w:p>
          <w:p w14:paraId="2EF1B340">
            <w:pPr>
              <w:pStyle w:val="17"/>
              <w:spacing w:line="269" w:lineRule="exact"/>
              <w:ind w:left="187" w:right="178"/>
              <w:rPr>
                <w:sz w:val="21"/>
              </w:rPr>
            </w:pPr>
            <w:r>
              <w:rPr>
                <w:sz w:val="21"/>
              </w:rPr>
              <w:t xml:space="preserve">总规划面积约 </w:t>
            </w:r>
            <w:r>
              <w:rPr>
                <w:rFonts w:ascii="Times New Roman" w:eastAsia="Times New Roman"/>
                <w:sz w:val="21"/>
              </w:rPr>
              <w:t xml:space="preserve">1543.67 </w:t>
            </w:r>
            <w:r>
              <w:rPr>
                <w:sz w:val="21"/>
              </w:rPr>
              <w:t>公顷。</w:t>
            </w:r>
          </w:p>
        </w:tc>
        <w:tc>
          <w:tcPr>
            <w:tcW w:w="878" w:type="dxa"/>
            <w:tcBorders>
              <w:bottom w:val="nil"/>
            </w:tcBorders>
          </w:tcPr>
          <w:p w14:paraId="09108625">
            <w:pPr>
              <w:pStyle w:val="17"/>
              <w:jc w:val="left"/>
              <w:rPr>
                <w:rFonts w:ascii="黑体"/>
                <w:sz w:val="22"/>
              </w:rPr>
            </w:pPr>
          </w:p>
          <w:p w14:paraId="60B23502">
            <w:pPr>
              <w:pStyle w:val="17"/>
              <w:jc w:val="left"/>
              <w:rPr>
                <w:rFonts w:ascii="黑体"/>
                <w:sz w:val="22"/>
              </w:rPr>
            </w:pPr>
          </w:p>
          <w:p w14:paraId="11ACC4C2">
            <w:pPr>
              <w:pStyle w:val="17"/>
              <w:spacing w:before="7"/>
              <w:jc w:val="left"/>
              <w:rPr>
                <w:rFonts w:ascii="黑体"/>
                <w:sz w:val="18"/>
              </w:rPr>
            </w:pPr>
          </w:p>
          <w:p w14:paraId="217D50E1">
            <w:pPr>
              <w:pStyle w:val="17"/>
              <w:ind w:right="9"/>
              <w:jc w:val="right"/>
              <w:rPr>
                <w:sz w:val="21"/>
              </w:rPr>
            </w:pPr>
            <w:r>
              <w:rPr>
                <w:rFonts w:ascii="Times New Roman" w:eastAsia="Times New Roman"/>
                <w:sz w:val="21"/>
              </w:rPr>
              <w:t xml:space="preserve">939.13 </w:t>
            </w:r>
            <w:r>
              <w:rPr>
                <w:sz w:val="21"/>
              </w:rPr>
              <w:t>公</w:t>
            </w:r>
          </w:p>
        </w:tc>
      </w:tr>
      <w:tr w14:paraId="0CBD0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40" w:type="dxa"/>
            <w:tcBorders>
              <w:top w:val="nil"/>
              <w:bottom w:val="nil"/>
            </w:tcBorders>
          </w:tcPr>
          <w:p w14:paraId="0C2F5778">
            <w:pPr>
              <w:pStyle w:val="17"/>
              <w:spacing w:before="8" w:line="263" w:lineRule="exact"/>
              <w:ind w:left="6"/>
              <w:rPr>
                <w:sz w:val="21"/>
              </w:rPr>
            </w:pPr>
            <w:r>
              <w:rPr>
                <w:w w:val="95"/>
                <w:sz w:val="21"/>
              </w:rPr>
              <w:t>汩罗</w:t>
            </w:r>
          </w:p>
        </w:tc>
        <w:tc>
          <w:tcPr>
            <w:tcW w:w="932" w:type="dxa"/>
            <w:tcBorders>
              <w:top w:val="nil"/>
              <w:bottom w:val="nil"/>
            </w:tcBorders>
          </w:tcPr>
          <w:p w14:paraId="08BFEEFE">
            <w:pPr>
              <w:pStyle w:val="17"/>
              <w:jc w:val="left"/>
              <w:rPr>
                <w:rFonts w:ascii="Times New Roman"/>
                <w:sz w:val="20"/>
              </w:rPr>
            </w:pPr>
          </w:p>
        </w:tc>
        <w:tc>
          <w:tcPr>
            <w:tcW w:w="936" w:type="dxa"/>
            <w:tcBorders>
              <w:top w:val="nil"/>
              <w:bottom w:val="nil"/>
            </w:tcBorders>
          </w:tcPr>
          <w:p w14:paraId="6F0CAD59">
            <w:pPr>
              <w:pStyle w:val="17"/>
              <w:jc w:val="left"/>
              <w:rPr>
                <w:rFonts w:ascii="Times New Roman"/>
                <w:sz w:val="20"/>
              </w:rPr>
            </w:pPr>
          </w:p>
        </w:tc>
        <w:tc>
          <w:tcPr>
            <w:tcW w:w="1281" w:type="dxa"/>
            <w:tcBorders>
              <w:top w:val="nil"/>
              <w:bottom w:val="nil"/>
            </w:tcBorders>
          </w:tcPr>
          <w:p w14:paraId="581F269A">
            <w:pPr>
              <w:pStyle w:val="17"/>
              <w:spacing w:before="8" w:line="263" w:lineRule="exact"/>
              <w:ind w:left="20" w:right="13"/>
              <w:rPr>
                <w:sz w:val="21"/>
              </w:rPr>
            </w:pPr>
            <w:r>
              <w:rPr>
                <w:w w:val="95"/>
                <w:sz w:val="21"/>
              </w:rPr>
              <w:t>新划定发展方</w:t>
            </w:r>
          </w:p>
        </w:tc>
        <w:tc>
          <w:tcPr>
            <w:tcW w:w="909" w:type="dxa"/>
            <w:vMerge w:val="continue"/>
            <w:tcBorders>
              <w:top w:val="nil"/>
            </w:tcBorders>
          </w:tcPr>
          <w:p w14:paraId="0B988E91">
            <w:pPr>
              <w:rPr>
                <w:sz w:val="2"/>
                <w:szCs w:val="2"/>
              </w:rPr>
            </w:pPr>
          </w:p>
        </w:tc>
        <w:tc>
          <w:tcPr>
            <w:tcW w:w="3146" w:type="dxa"/>
            <w:vMerge w:val="continue"/>
            <w:tcBorders>
              <w:top w:val="nil"/>
            </w:tcBorders>
          </w:tcPr>
          <w:p w14:paraId="6579288A">
            <w:pPr>
              <w:rPr>
                <w:sz w:val="2"/>
                <w:szCs w:val="2"/>
              </w:rPr>
            </w:pPr>
          </w:p>
        </w:tc>
        <w:tc>
          <w:tcPr>
            <w:tcW w:w="878" w:type="dxa"/>
            <w:tcBorders>
              <w:top w:val="nil"/>
              <w:bottom w:val="nil"/>
            </w:tcBorders>
          </w:tcPr>
          <w:p w14:paraId="43C377EE">
            <w:pPr>
              <w:pStyle w:val="17"/>
              <w:spacing w:before="8" w:line="263" w:lineRule="exact"/>
              <w:ind w:right="9"/>
              <w:jc w:val="right"/>
              <w:rPr>
                <w:sz w:val="21"/>
              </w:rPr>
            </w:pPr>
            <w:r>
              <w:rPr>
                <w:w w:val="95"/>
                <w:sz w:val="21"/>
              </w:rPr>
              <w:t>顷，其中</w:t>
            </w:r>
          </w:p>
        </w:tc>
      </w:tr>
      <w:tr w14:paraId="61169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40" w:type="dxa"/>
            <w:tcBorders>
              <w:top w:val="nil"/>
              <w:bottom w:val="nil"/>
            </w:tcBorders>
          </w:tcPr>
          <w:p w14:paraId="3DDB14A1">
            <w:pPr>
              <w:pStyle w:val="17"/>
              <w:spacing w:before="19"/>
              <w:ind w:left="6"/>
              <w:rPr>
                <w:sz w:val="21"/>
              </w:rPr>
            </w:pPr>
            <w:r>
              <w:rPr>
                <w:w w:val="95"/>
                <w:sz w:val="21"/>
              </w:rPr>
              <w:t>高新</w:t>
            </w:r>
          </w:p>
        </w:tc>
        <w:tc>
          <w:tcPr>
            <w:tcW w:w="932" w:type="dxa"/>
            <w:tcBorders>
              <w:top w:val="nil"/>
              <w:bottom w:val="nil"/>
            </w:tcBorders>
          </w:tcPr>
          <w:p w14:paraId="5B532FF7">
            <w:pPr>
              <w:pStyle w:val="17"/>
              <w:jc w:val="left"/>
              <w:rPr>
                <w:rFonts w:ascii="Times New Roman"/>
                <w:sz w:val="22"/>
              </w:rPr>
            </w:pPr>
          </w:p>
        </w:tc>
        <w:tc>
          <w:tcPr>
            <w:tcW w:w="936" w:type="dxa"/>
            <w:tcBorders>
              <w:top w:val="nil"/>
              <w:bottom w:val="nil"/>
            </w:tcBorders>
          </w:tcPr>
          <w:p w14:paraId="652545FE">
            <w:pPr>
              <w:pStyle w:val="17"/>
              <w:jc w:val="left"/>
              <w:rPr>
                <w:rFonts w:ascii="Times New Roman"/>
                <w:sz w:val="22"/>
              </w:rPr>
            </w:pPr>
          </w:p>
        </w:tc>
        <w:tc>
          <w:tcPr>
            <w:tcW w:w="1281" w:type="dxa"/>
            <w:tcBorders>
              <w:top w:val="nil"/>
              <w:bottom w:val="nil"/>
            </w:tcBorders>
          </w:tcPr>
          <w:p w14:paraId="7D4A8C69">
            <w:pPr>
              <w:pStyle w:val="17"/>
              <w:spacing w:before="19"/>
              <w:ind w:left="2" w:right="-15"/>
              <w:rPr>
                <w:sz w:val="21"/>
              </w:rPr>
            </w:pPr>
            <w:r>
              <w:rPr>
                <w:spacing w:val="16"/>
                <w:sz w:val="21"/>
              </w:rPr>
              <w:t>向区</w:t>
            </w:r>
            <w:r>
              <w:rPr>
                <w:rFonts w:ascii="Times New Roman" w:eastAsia="Times New Roman"/>
                <w:sz w:val="21"/>
              </w:rPr>
              <w:t>592.24</w:t>
            </w:r>
            <w:r>
              <w:rPr>
                <w:rFonts w:ascii="Times New Roman" w:eastAsia="Times New Roman"/>
                <w:spacing w:val="-23"/>
                <w:sz w:val="21"/>
              </w:rPr>
              <w:t xml:space="preserve"> </w:t>
            </w:r>
            <w:r>
              <w:rPr>
                <w:sz w:val="21"/>
              </w:rPr>
              <w:t>公</w:t>
            </w:r>
          </w:p>
        </w:tc>
        <w:tc>
          <w:tcPr>
            <w:tcW w:w="909" w:type="dxa"/>
            <w:vMerge w:val="continue"/>
            <w:tcBorders>
              <w:top w:val="nil"/>
            </w:tcBorders>
          </w:tcPr>
          <w:p w14:paraId="02D987F3">
            <w:pPr>
              <w:rPr>
                <w:sz w:val="2"/>
                <w:szCs w:val="2"/>
              </w:rPr>
            </w:pPr>
          </w:p>
        </w:tc>
        <w:tc>
          <w:tcPr>
            <w:tcW w:w="3146" w:type="dxa"/>
            <w:vMerge w:val="continue"/>
            <w:tcBorders>
              <w:top w:val="nil"/>
            </w:tcBorders>
          </w:tcPr>
          <w:p w14:paraId="6891A9AE">
            <w:pPr>
              <w:rPr>
                <w:sz w:val="2"/>
                <w:szCs w:val="2"/>
              </w:rPr>
            </w:pPr>
          </w:p>
        </w:tc>
        <w:tc>
          <w:tcPr>
            <w:tcW w:w="878" w:type="dxa"/>
            <w:tcBorders>
              <w:top w:val="nil"/>
              <w:bottom w:val="nil"/>
            </w:tcBorders>
          </w:tcPr>
          <w:p w14:paraId="7FB8C1DB">
            <w:pPr>
              <w:pStyle w:val="17"/>
              <w:spacing w:before="19"/>
              <w:ind w:right="9"/>
              <w:jc w:val="right"/>
              <w:rPr>
                <w:sz w:val="21"/>
              </w:rPr>
            </w:pPr>
            <w:r>
              <w:rPr>
                <w:w w:val="95"/>
                <w:sz w:val="21"/>
              </w:rPr>
              <w:t>新市片：</w:t>
            </w:r>
          </w:p>
        </w:tc>
      </w:tr>
      <w:tr w14:paraId="506C8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40" w:type="dxa"/>
            <w:tcBorders>
              <w:top w:val="nil"/>
              <w:bottom w:val="nil"/>
            </w:tcBorders>
          </w:tcPr>
          <w:p w14:paraId="1BC9ED84">
            <w:pPr>
              <w:pStyle w:val="17"/>
              <w:spacing w:before="11"/>
              <w:ind w:left="9"/>
              <w:jc w:val="left"/>
              <w:rPr>
                <w:sz w:val="21"/>
              </w:rPr>
            </w:pPr>
            <w:r>
              <w:rPr>
                <w:w w:val="95"/>
                <w:sz w:val="21"/>
              </w:rPr>
              <w:t>技术</w:t>
            </w:r>
          </w:p>
          <w:p w14:paraId="3140C9B1">
            <w:pPr>
              <w:pStyle w:val="17"/>
              <w:spacing w:before="43"/>
              <w:ind w:left="9"/>
              <w:jc w:val="left"/>
              <w:rPr>
                <w:sz w:val="21"/>
              </w:rPr>
            </w:pPr>
            <w:r>
              <w:rPr>
                <w:w w:val="95"/>
                <w:sz w:val="21"/>
              </w:rPr>
              <w:t>产业</w:t>
            </w:r>
          </w:p>
        </w:tc>
        <w:tc>
          <w:tcPr>
            <w:tcW w:w="932" w:type="dxa"/>
            <w:tcBorders>
              <w:top w:val="nil"/>
              <w:bottom w:val="nil"/>
            </w:tcBorders>
          </w:tcPr>
          <w:p w14:paraId="0E31A38F">
            <w:pPr>
              <w:pStyle w:val="17"/>
              <w:spacing w:before="181"/>
              <w:ind w:left="176"/>
              <w:jc w:val="left"/>
              <w:rPr>
                <w:rFonts w:ascii="Times New Roman"/>
                <w:sz w:val="21"/>
              </w:rPr>
            </w:pPr>
            <w:r>
              <w:rPr>
                <w:rFonts w:ascii="Times New Roman"/>
                <w:sz w:val="21"/>
              </w:rPr>
              <w:t>919.13</w:t>
            </w:r>
          </w:p>
        </w:tc>
        <w:tc>
          <w:tcPr>
            <w:tcW w:w="936" w:type="dxa"/>
            <w:tcBorders>
              <w:top w:val="nil"/>
              <w:bottom w:val="nil"/>
            </w:tcBorders>
          </w:tcPr>
          <w:p w14:paraId="254B8131">
            <w:pPr>
              <w:pStyle w:val="17"/>
              <w:spacing w:before="11"/>
              <w:ind w:left="48"/>
              <w:jc w:val="left"/>
              <w:rPr>
                <w:sz w:val="21"/>
              </w:rPr>
            </w:pPr>
            <w:r>
              <w:rPr>
                <w:rFonts w:ascii="Times New Roman" w:eastAsia="Times New Roman"/>
                <w:sz w:val="21"/>
              </w:rPr>
              <w:t xml:space="preserve">951.43 </w:t>
            </w:r>
            <w:r>
              <w:rPr>
                <w:sz w:val="21"/>
              </w:rPr>
              <w:t>公</w:t>
            </w:r>
          </w:p>
          <w:p w14:paraId="012AA6E5">
            <w:pPr>
              <w:pStyle w:val="17"/>
              <w:spacing w:before="43"/>
              <w:ind w:left="8"/>
              <w:rPr>
                <w:sz w:val="21"/>
              </w:rPr>
            </w:pPr>
            <w:r>
              <w:rPr>
                <w:w w:val="99"/>
                <w:sz w:val="21"/>
              </w:rPr>
              <w:t>顷</w:t>
            </w:r>
          </w:p>
        </w:tc>
        <w:tc>
          <w:tcPr>
            <w:tcW w:w="1281" w:type="dxa"/>
            <w:tcBorders>
              <w:top w:val="nil"/>
              <w:bottom w:val="nil"/>
            </w:tcBorders>
          </w:tcPr>
          <w:p w14:paraId="763A2389">
            <w:pPr>
              <w:pStyle w:val="17"/>
              <w:spacing w:before="11"/>
              <w:ind w:left="10"/>
              <w:jc w:val="left"/>
              <w:rPr>
                <w:sz w:val="21"/>
              </w:rPr>
            </w:pPr>
            <w:r>
              <w:rPr>
                <w:w w:val="95"/>
                <w:sz w:val="21"/>
              </w:rPr>
              <w:t>顷，其中新市</w:t>
            </w:r>
          </w:p>
          <w:p w14:paraId="2714FFCC">
            <w:pPr>
              <w:pStyle w:val="17"/>
              <w:spacing w:before="43"/>
              <w:ind w:left="89"/>
              <w:jc w:val="left"/>
              <w:rPr>
                <w:sz w:val="21"/>
              </w:rPr>
            </w:pPr>
            <w:r>
              <w:rPr>
                <w:sz w:val="21"/>
              </w:rPr>
              <w:t xml:space="preserve">片 </w:t>
            </w:r>
            <w:r>
              <w:rPr>
                <w:rFonts w:ascii="Times New Roman" w:eastAsia="Times New Roman"/>
                <w:sz w:val="21"/>
              </w:rPr>
              <w:t xml:space="preserve">363.24 </w:t>
            </w:r>
            <w:r>
              <w:rPr>
                <w:sz w:val="21"/>
              </w:rPr>
              <w:t>公</w:t>
            </w:r>
          </w:p>
        </w:tc>
        <w:tc>
          <w:tcPr>
            <w:tcW w:w="909" w:type="dxa"/>
            <w:vMerge w:val="continue"/>
            <w:tcBorders>
              <w:top w:val="nil"/>
            </w:tcBorders>
          </w:tcPr>
          <w:p w14:paraId="415E18A4">
            <w:pPr>
              <w:rPr>
                <w:sz w:val="2"/>
                <w:szCs w:val="2"/>
              </w:rPr>
            </w:pPr>
          </w:p>
        </w:tc>
        <w:tc>
          <w:tcPr>
            <w:tcW w:w="3146" w:type="dxa"/>
            <w:vMerge w:val="continue"/>
            <w:tcBorders>
              <w:top w:val="nil"/>
            </w:tcBorders>
          </w:tcPr>
          <w:p w14:paraId="68DDA820">
            <w:pPr>
              <w:rPr>
                <w:sz w:val="2"/>
                <w:szCs w:val="2"/>
              </w:rPr>
            </w:pPr>
          </w:p>
        </w:tc>
        <w:tc>
          <w:tcPr>
            <w:tcW w:w="878" w:type="dxa"/>
            <w:tcBorders>
              <w:top w:val="nil"/>
              <w:bottom w:val="nil"/>
            </w:tcBorders>
          </w:tcPr>
          <w:p w14:paraId="5FB8B1B9">
            <w:pPr>
              <w:pStyle w:val="17"/>
              <w:spacing w:before="11"/>
              <w:ind w:left="18"/>
              <w:jc w:val="left"/>
              <w:rPr>
                <w:sz w:val="21"/>
              </w:rPr>
            </w:pPr>
            <w:r>
              <w:rPr>
                <w:rFonts w:ascii="Times New Roman" w:eastAsia="Times New Roman"/>
                <w:sz w:val="21"/>
              </w:rPr>
              <w:t xml:space="preserve">657.38 </w:t>
            </w:r>
            <w:r>
              <w:rPr>
                <w:sz w:val="21"/>
              </w:rPr>
              <w:t>公</w:t>
            </w:r>
          </w:p>
          <w:p w14:paraId="48651A2F">
            <w:pPr>
              <w:pStyle w:val="17"/>
              <w:spacing w:before="43"/>
              <w:ind w:left="227"/>
              <w:jc w:val="left"/>
              <w:rPr>
                <w:sz w:val="21"/>
              </w:rPr>
            </w:pPr>
            <w:r>
              <w:rPr>
                <w:sz w:val="21"/>
              </w:rPr>
              <w:t>顷；</w:t>
            </w:r>
          </w:p>
        </w:tc>
      </w:tr>
      <w:tr w14:paraId="4F2B8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40" w:type="dxa"/>
            <w:tcBorders>
              <w:top w:val="nil"/>
              <w:bottom w:val="nil"/>
            </w:tcBorders>
          </w:tcPr>
          <w:p w14:paraId="567E0318">
            <w:pPr>
              <w:pStyle w:val="17"/>
              <w:spacing w:before="8" w:line="263" w:lineRule="exact"/>
              <w:ind w:left="6"/>
              <w:rPr>
                <w:sz w:val="21"/>
              </w:rPr>
            </w:pPr>
            <w:r>
              <w:rPr>
                <w:w w:val="95"/>
                <w:sz w:val="21"/>
              </w:rPr>
              <w:t>开发</w:t>
            </w:r>
          </w:p>
        </w:tc>
        <w:tc>
          <w:tcPr>
            <w:tcW w:w="932" w:type="dxa"/>
            <w:tcBorders>
              <w:top w:val="nil"/>
              <w:bottom w:val="nil"/>
            </w:tcBorders>
          </w:tcPr>
          <w:p w14:paraId="61DDA9C2">
            <w:pPr>
              <w:pStyle w:val="17"/>
              <w:jc w:val="left"/>
              <w:rPr>
                <w:rFonts w:ascii="Times New Roman"/>
                <w:sz w:val="20"/>
              </w:rPr>
            </w:pPr>
          </w:p>
        </w:tc>
        <w:tc>
          <w:tcPr>
            <w:tcW w:w="936" w:type="dxa"/>
            <w:tcBorders>
              <w:top w:val="nil"/>
              <w:bottom w:val="nil"/>
            </w:tcBorders>
          </w:tcPr>
          <w:p w14:paraId="01539ACC">
            <w:pPr>
              <w:pStyle w:val="17"/>
              <w:jc w:val="left"/>
              <w:rPr>
                <w:rFonts w:ascii="Times New Roman"/>
                <w:sz w:val="20"/>
              </w:rPr>
            </w:pPr>
          </w:p>
        </w:tc>
        <w:tc>
          <w:tcPr>
            <w:tcW w:w="1281" w:type="dxa"/>
            <w:tcBorders>
              <w:top w:val="nil"/>
              <w:bottom w:val="nil"/>
            </w:tcBorders>
          </w:tcPr>
          <w:p w14:paraId="2CAEA027">
            <w:pPr>
              <w:pStyle w:val="17"/>
              <w:spacing w:before="8" w:line="263" w:lineRule="exact"/>
              <w:ind w:left="20" w:right="11"/>
              <w:rPr>
                <w:sz w:val="21"/>
              </w:rPr>
            </w:pPr>
            <w:r>
              <w:rPr>
                <w:sz w:val="21"/>
              </w:rPr>
              <w:t>顷，弼时片</w:t>
            </w:r>
          </w:p>
        </w:tc>
        <w:tc>
          <w:tcPr>
            <w:tcW w:w="909" w:type="dxa"/>
            <w:vMerge w:val="continue"/>
            <w:tcBorders>
              <w:top w:val="nil"/>
            </w:tcBorders>
          </w:tcPr>
          <w:p w14:paraId="7359E8CF">
            <w:pPr>
              <w:rPr>
                <w:sz w:val="2"/>
                <w:szCs w:val="2"/>
              </w:rPr>
            </w:pPr>
          </w:p>
        </w:tc>
        <w:tc>
          <w:tcPr>
            <w:tcW w:w="3146" w:type="dxa"/>
            <w:vMerge w:val="continue"/>
            <w:tcBorders>
              <w:top w:val="nil"/>
            </w:tcBorders>
          </w:tcPr>
          <w:p w14:paraId="38ADC72B">
            <w:pPr>
              <w:rPr>
                <w:sz w:val="2"/>
                <w:szCs w:val="2"/>
              </w:rPr>
            </w:pPr>
          </w:p>
        </w:tc>
        <w:tc>
          <w:tcPr>
            <w:tcW w:w="878" w:type="dxa"/>
            <w:tcBorders>
              <w:top w:val="nil"/>
              <w:bottom w:val="nil"/>
            </w:tcBorders>
          </w:tcPr>
          <w:p w14:paraId="52970124">
            <w:pPr>
              <w:pStyle w:val="17"/>
              <w:spacing w:before="8" w:line="263" w:lineRule="exact"/>
              <w:ind w:left="124"/>
              <w:jc w:val="left"/>
              <w:rPr>
                <w:sz w:val="21"/>
              </w:rPr>
            </w:pPr>
            <w:r>
              <w:rPr>
                <w:sz w:val="21"/>
              </w:rPr>
              <w:t>弼时片</w:t>
            </w:r>
          </w:p>
        </w:tc>
      </w:tr>
      <w:tr w14:paraId="6DBA8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440" w:type="dxa"/>
            <w:tcBorders>
              <w:top w:val="nil"/>
              <w:bottom w:val="nil"/>
            </w:tcBorders>
          </w:tcPr>
          <w:p w14:paraId="30C85109">
            <w:pPr>
              <w:pStyle w:val="17"/>
              <w:spacing w:before="19"/>
              <w:ind w:left="8"/>
              <w:rPr>
                <w:sz w:val="21"/>
              </w:rPr>
            </w:pPr>
            <w:r>
              <w:rPr>
                <w:w w:val="99"/>
                <w:sz w:val="21"/>
              </w:rPr>
              <w:t>区</w:t>
            </w:r>
          </w:p>
        </w:tc>
        <w:tc>
          <w:tcPr>
            <w:tcW w:w="932" w:type="dxa"/>
            <w:tcBorders>
              <w:top w:val="nil"/>
              <w:bottom w:val="nil"/>
            </w:tcBorders>
          </w:tcPr>
          <w:p w14:paraId="4B3AC526">
            <w:pPr>
              <w:pStyle w:val="17"/>
              <w:jc w:val="left"/>
              <w:rPr>
                <w:rFonts w:ascii="Times New Roman"/>
                <w:sz w:val="22"/>
              </w:rPr>
            </w:pPr>
          </w:p>
        </w:tc>
        <w:tc>
          <w:tcPr>
            <w:tcW w:w="936" w:type="dxa"/>
            <w:tcBorders>
              <w:top w:val="nil"/>
              <w:bottom w:val="nil"/>
            </w:tcBorders>
          </w:tcPr>
          <w:p w14:paraId="6B4F200C">
            <w:pPr>
              <w:pStyle w:val="17"/>
              <w:jc w:val="left"/>
              <w:rPr>
                <w:rFonts w:ascii="Times New Roman"/>
                <w:sz w:val="22"/>
              </w:rPr>
            </w:pPr>
          </w:p>
        </w:tc>
        <w:tc>
          <w:tcPr>
            <w:tcW w:w="1281" w:type="dxa"/>
            <w:tcBorders>
              <w:top w:val="nil"/>
              <w:bottom w:val="nil"/>
            </w:tcBorders>
          </w:tcPr>
          <w:p w14:paraId="1E9775C4">
            <w:pPr>
              <w:pStyle w:val="17"/>
              <w:spacing w:before="19"/>
              <w:ind w:left="10"/>
              <w:jc w:val="left"/>
              <w:rPr>
                <w:sz w:val="21"/>
              </w:rPr>
            </w:pPr>
            <w:r>
              <w:rPr>
                <w:rFonts w:ascii="Times New Roman" w:eastAsia="Times New Roman"/>
                <w:sz w:val="21"/>
              </w:rPr>
              <w:t xml:space="preserve">229.00 </w:t>
            </w:r>
            <w:r>
              <w:rPr>
                <w:sz w:val="21"/>
              </w:rPr>
              <w:t>公顷。</w:t>
            </w:r>
          </w:p>
        </w:tc>
        <w:tc>
          <w:tcPr>
            <w:tcW w:w="909" w:type="dxa"/>
            <w:vMerge w:val="continue"/>
            <w:tcBorders>
              <w:top w:val="nil"/>
            </w:tcBorders>
          </w:tcPr>
          <w:p w14:paraId="6CB64635">
            <w:pPr>
              <w:rPr>
                <w:sz w:val="2"/>
                <w:szCs w:val="2"/>
              </w:rPr>
            </w:pPr>
          </w:p>
        </w:tc>
        <w:tc>
          <w:tcPr>
            <w:tcW w:w="3146" w:type="dxa"/>
            <w:vMerge w:val="continue"/>
            <w:tcBorders>
              <w:top w:val="nil"/>
            </w:tcBorders>
          </w:tcPr>
          <w:p w14:paraId="0B3C8C68">
            <w:pPr>
              <w:rPr>
                <w:sz w:val="2"/>
                <w:szCs w:val="2"/>
              </w:rPr>
            </w:pPr>
          </w:p>
        </w:tc>
        <w:tc>
          <w:tcPr>
            <w:tcW w:w="878" w:type="dxa"/>
            <w:tcBorders>
              <w:top w:val="nil"/>
              <w:bottom w:val="nil"/>
            </w:tcBorders>
          </w:tcPr>
          <w:p w14:paraId="2E0F341B">
            <w:pPr>
              <w:pStyle w:val="17"/>
              <w:spacing w:before="19"/>
              <w:ind w:right="9"/>
              <w:jc w:val="right"/>
              <w:rPr>
                <w:sz w:val="21"/>
              </w:rPr>
            </w:pPr>
            <w:r>
              <w:rPr>
                <w:rFonts w:ascii="Times New Roman" w:eastAsia="Times New Roman"/>
                <w:sz w:val="21"/>
              </w:rPr>
              <w:t xml:space="preserve">281.75 </w:t>
            </w:r>
            <w:r>
              <w:rPr>
                <w:sz w:val="21"/>
              </w:rPr>
              <w:t>公</w:t>
            </w:r>
          </w:p>
        </w:tc>
      </w:tr>
      <w:tr w14:paraId="1D6DA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440" w:type="dxa"/>
            <w:tcBorders>
              <w:top w:val="nil"/>
              <w:bottom w:val="nil"/>
            </w:tcBorders>
          </w:tcPr>
          <w:p w14:paraId="722A0943">
            <w:pPr>
              <w:pStyle w:val="17"/>
              <w:jc w:val="left"/>
              <w:rPr>
                <w:rFonts w:ascii="Times New Roman"/>
                <w:sz w:val="14"/>
              </w:rPr>
            </w:pPr>
          </w:p>
        </w:tc>
        <w:tc>
          <w:tcPr>
            <w:tcW w:w="932" w:type="dxa"/>
            <w:tcBorders>
              <w:top w:val="nil"/>
              <w:bottom w:val="nil"/>
            </w:tcBorders>
          </w:tcPr>
          <w:p w14:paraId="7C303874">
            <w:pPr>
              <w:pStyle w:val="17"/>
              <w:jc w:val="left"/>
              <w:rPr>
                <w:rFonts w:ascii="Times New Roman"/>
                <w:sz w:val="14"/>
              </w:rPr>
            </w:pPr>
          </w:p>
        </w:tc>
        <w:tc>
          <w:tcPr>
            <w:tcW w:w="936" w:type="dxa"/>
            <w:tcBorders>
              <w:top w:val="nil"/>
              <w:bottom w:val="nil"/>
            </w:tcBorders>
          </w:tcPr>
          <w:p w14:paraId="09482224">
            <w:pPr>
              <w:pStyle w:val="17"/>
              <w:jc w:val="left"/>
              <w:rPr>
                <w:rFonts w:ascii="Times New Roman"/>
                <w:sz w:val="14"/>
              </w:rPr>
            </w:pPr>
          </w:p>
        </w:tc>
        <w:tc>
          <w:tcPr>
            <w:tcW w:w="1281" w:type="dxa"/>
            <w:tcBorders>
              <w:top w:val="nil"/>
              <w:bottom w:val="nil"/>
            </w:tcBorders>
          </w:tcPr>
          <w:p w14:paraId="014508DC">
            <w:pPr>
              <w:pStyle w:val="17"/>
              <w:jc w:val="left"/>
              <w:rPr>
                <w:rFonts w:ascii="Times New Roman"/>
                <w:sz w:val="14"/>
              </w:rPr>
            </w:pPr>
          </w:p>
        </w:tc>
        <w:tc>
          <w:tcPr>
            <w:tcW w:w="909" w:type="dxa"/>
            <w:vMerge w:val="continue"/>
            <w:tcBorders>
              <w:top w:val="nil"/>
            </w:tcBorders>
          </w:tcPr>
          <w:p w14:paraId="00F3AAF1">
            <w:pPr>
              <w:rPr>
                <w:sz w:val="2"/>
                <w:szCs w:val="2"/>
              </w:rPr>
            </w:pPr>
          </w:p>
        </w:tc>
        <w:tc>
          <w:tcPr>
            <w:tcW w:w="3146" w:type="dxa"/>
            <w:vMerge w:val="continue"/>
            <w:tcBorders>
              <w:top w:val="nil"/>
            </w:tcBorders>
          </w:tcPr>
          <w:p w14:paraId="114868C7">
            <w:pPr>
              <w:rPr>
                <w:sz w:val="2"/>
                <w:szCs w:val="2"/>
              </w:rPr>
            </w:pPr>
          </w:p>
        </w:tc>
        <w:tc>
          <w:tcPr>
            <w:tcW w:w="878" w:type="dxa"/>
            <w:tcBorders>
              <w:top w:val="nil"/>
              <w:bottom w:val="nil"/>
            </w:tcBorders>
          </w:tcPr>
          <w:p w14:paraId="2E5C9E19">
            <w:pPr>
              <w:pStyle w:val="17"/>
              <w:spacing w:before="8" w:line="188" w:lineRule="exact"/>
              <w:ind w:left="7"/>
              <w:rPr>
                <w:sz w:val="21"/>
              </w:rPr>
            </w:pPr>
            <w:r>
              <w:rPr>
                <w:w w:val="99"/>
                <w:sz w:val="21"/>
              </w:rPr>
              <w:t>顷</w:t>
            </w:r>
          </w:p>
        </w:tc>
      </w:tr>
      <w:tr w14:paraId="4F54A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440" w:type="dxa"/>
            <w:tcBorders>
              <w:top w:val="nil"/>
            </w:tcBorders>
          </w:tcPr>
          <w:p w14:paraId="01F18884">
            <w:pPr>
              <w:pStyle w:val="17"/>
              <w:jc w:val="left"/>
              <w:rPr>
                <w:rFonts w:ascii="Times New Roman"/>
                <w:sz w:val="22"/>
              </w:rPr>
            </w:pPr>
          </w:p>
        </w:tc>
        <w:tc>
          <w:tcPr>
            <w:tcW w:w="932" w:type="dxa"/>
            <w:tcBorders>
              <w:top w:val="nil"/>
            </w:tcBorders>
          </w:tcPr>
          <w:p w14:paraId="2ED1DDE7">
            <w:pPr>
              <w:pStyle w:val="17"/>
              <w:jc w:val="left"/>
              <w:rPr>
                <w:rFonts w:ascii="Times New Roman"/>
                <w:sz w:val="22"/>
              </w:rPr>
            </w:pPr>
          </w:p>
        </w:tc>
        <w:tc>
          <w:tcPr>
            <w:tcW w:w="936" w:type="dxa"/>
            <w:tcBorders>
              <w:top w:val="nil"/>
            </w:tcBorders>
          </w:tcPr>
          <w:p w14:paraId="0C7E783A">
            <w:pPr>
              <w:pStyle w:val="17"/>
              <w:jc w:val="left"/>
              <w:rPr>
                <w:rFonts w:ascii="Times New Roman"/>
                <w:sz w:val="22"/>
              </w:rPr>
            </w:pPr>
          </w:p>
        </w:tc>
        <w:tc>
          <w:tcPr>
            <w:tcW w:w="1281" w:type="dxa"/>
            <w:tcBorders>
              <w:top w:val="nil"/>
            </w:tcBorders>
          </w:tcPr>
          <w:p w14:paraId="3D4F405B">
            <w:pPr>
              <w:pStyle w:val="17"/>
              <w:jc w:val="left"/>
              <w:rPr>
                <w:rFonts w:ascii="Times New Roman"/>
                <w:sz w:val="22"/>
              </w:rPr>
            </w:pPr>
          </w:p>
        </w:tc>
        <w:tc>
          <w:tcPr>
            <w:tcW w:w="909" w:type="dxa"/>
            <w:vMerge w:val="continue"/>
            <w:tcBorders>
              <w:top w:val="nil"/>
            </w:tcBorders>
          </w:tcPr>
          <w:p w14:paraId="48962799">
            <w:pPr>
              <w:rPr>
                <w:sz w:val="2"/>
                <w:szCs w:val="2"/>
              </w:rPr>
            </w:pPr>
          </w:p>
        </w:tc>
        <w:tc>
          <w:tcPr>
            <w:tcW w:w="3146" w:type="dxa"/>
            <w:vMerge w:val="continue"/>
            <w:tcBorders>
              <w:top w:val="nil"/>
            </w:tcBorders>
          </w:tcPr>
          <w:p w14:paraId="7571BA97">
            <w:pPr>
              <w:rPr>
                <w:sz w:val="2"/>
                <w:szCs w:val="2"/>
              </w:rPr>
            </w:pPr>
          </w:p>
        </w:tc>
        <w:tc>
          <w:tcPr>
            <w:tcW w:w="878" w:type="dxa"/>
            <w:tcBorders>
              <w:top w:val="nil"/>
            </w:tcBorders>
          </w:tcPr>
          <w:p w14:paraId="680A130B">
            <w:pPr>
              <w:pStyle w:val="17"/>
              <w:spacing w:line="207" w:lineRule="exact"/>
              <w:ind w:left="-109"/>
              <w:jc w:val="left"/>
              <w:rPr>
                <w:sz w:val="21"/>
              </w:rPr>
            </w:pPr>
            <w:r>
              <w:rPr>
                <w:w w:val="99"/>
                <w:sz w:val="21"/>
              </w:rPr>
              <w:t>，</w:t>
            </w:r>
          </w:p>
        </w:tc>
      </w:tr>
    </w:tbl>
    <w:p w14:paraId="0FBD489A">
      <w:pPr>
        <w:pStyle w:val="9"/>
        <w:spacing w:before="80"/>
      </w:pPr>
      <w:r>
        <w:t>（</w:t>
      </w:r>
      <w:r>
        <w:rPr>
          <w:rFonts w:ascii="Times New Roman" w:eastAsia="Times New Roman"/>
        </w:rPr>
        <w:t>2</w:t>
      </w:r>
      <w:r>
        <w:t>）产业定位</w:t>
      </w:r>
    </w:p>
    <w:p w14:paraId="335D3077">
      <w:pPr>
        <w:pStyle w:val="10"/>
        <w:spacing w:before="225" w:line="374" w:lineRule="auto"/>
        <w:ind w:left="240" w:right="237" w:firstLine="480"/>
        <w:jc w:val="both"/>
        <w:rPr>
          <w:rFonts w:ascii="Times New Roman" w:hAnsi="Times New Roman" w:eastAsia="Times New Roman"/>
        </w:rPr>
      </w:pPr>
      <w:r>
        <w:t>根据《湖南汩罗高新技术产业开发区产业发展规划（</w:t>
      </w:r>
      <w:r>
        <w:rPr>
          <w:rFonts w:ascii="Times New Roman" w:hAnsi="Times New Roman" w:eastAsia="Times New Roman"/>
        </w:rPr>
        <w:t>2022-2027</w:t>
      </w:r>
      <w:r>
        <w:t>）》及其批</w:t>
      </w:r>
      <w:r>
        <w:rPr>
          <w:spacing w:val="-15"/>
        </w:rPr>
        <w:t>复</w:t>
      </w:r>
      <w:r>
        <w:rPr>
          <w:spacing w:val="-3"/>
        </w:rPr>
        <w:t>（</w:t>
      </w:r>
      <w:r>
        <w:t>汩政函</w:t>
      </w:r>
      <w:r>
        <w:rPr>
          <w:rFonts w:ascii="Times New Roman" w:hAnsi="Times New Roman" w:eastAsia="Times New Roman"/>
        </w:rPr>
        <w:t xml:space="preserve">[2023]90 </w:t>
      </w:r>
      <w:r>
        <w:t>号</w:t>
      </w:r>
      <w:r>
        <w:rPr>
          <w:spacing w:val="-16"/>
        </w:rPr>
        <w:t>）</w:t>
      </w:r>
      <w:r>
        <w:rPr>
          <w:spacing w:val="-4"/>
        </w:rPr>
        <w:t>，汩罗高新技术产业开发区将通过打造</w:t>
      </w:r>
      <w:r>
        <w:rPr>
          <w:rFonts w:ascii="Times New Roman" w:hAnsi="Times New Roman" w:eastAsia="Times New Roman"/>
        </w:rPr>
        <w:t>“</w:t>
      </w:r>
      <w:r>
        <w:t>一园一主一特</w:t>
      </w:r>
      <w:r>
        <w:rPr>
          <w:rFonts w:ascii="Times New Roman" w:hAnsi="Times New Roman" w:eastAsia="Times New Roman"/>
        </w:rPr>
        <w:t xml:space="preserve">” </w:t>
      </w:r>
      <w:r>
        <w:rPr>
          <w:spacing w:val="-6"/>
        </w:rPr>
        <w:t>和新兴产业，即新市片</w:t>
      </w:r>
      <w:r>
        <w:t>（湖南汩罗循环经济产业园</w:t>
      </w:r>
      <w:r>
        <w:rPr>
          <w:spacing w:val="-22"/>
        </w:rPr>
        <w:t>）</w:t>
      </w:r>
      <w:r>
        <w:t>以</w:t>
      </w:r>
      <w:r>
        <w:rPr>
          <w:rFonts w:ascii="Times New Roman" w:hAnsi="Times New Roman" w:eastAsia="Times New Roman"/>
        </w:rPr>
        <w:t>“</w:t>
      </w:r>
      <w:r>
        <w:t>废弃资源综合利用产业</w:t>
      </w:r>
      <w:r>
        <w:rPr>
          <w:rFonts w:ascii="Times New Roman" w:hAnsi="Times New Roman" w:eastAsia="Times New Roman"/>
        </w:rPr>
        <w:t>”</w:t>
      </w:r>
    </w:p>
    <w:p w14:paraId="0479E70C">
      <w:pPr>
        <w:spacing w:after="0" w:line="374" w:lineRule="auto"/>
        <w:jc w:val="both"/>
        <w:rPr>
          <w:rFonts w:ascii="Times New Roman" w:hAnsi="Times New Roman" w:eastAsia="Times New Roman"/>
        </w:rPr>
        <w:sectPr>
          <w:pgSz w:w="11910" w:h="16840"/>
          <w:pgMar w:top="1520" w:right="1560" w:bottom="1220" w:left="1560" w:header="0" w:footer="1024" w:gutter="0"/>
          <w:cols w:space="720" w:num="1"/>
        </w:sectPr>
      </w:pPr>
    </w:p>
    <w:p w14:paraId="7310A759">
      <w:pPr>
        <w:pStyle w:val="10"/>
        <w:spacing w:before="47" w:line="374" w:lineRule="auto"/>
        <w:ind w:left="240" w:right="170"/>
        <w:jc w:val="both"/>
      </w:pPr>
      <w:r>
        <w:t>为主导产业、</w:t>
      </w:r>
      <w:r>
        <w:rPr>
          <w:rFonts w:ascii="Times New Roman" w:hAnsi="Times New Roman" w:eastAsia="Times New Roman"/>
        </w:rPr>
        <w:t>“</w:t>
      </w:r>
      <w:r>
        <w:t>电子信息产业</w:t>
      </w:r>
      <w:r>
        <w:rPr>
          <w:rFonts w:ascii="Times New Roman" w:hAnsi="Times New Roman" w:eastAsia="Times New Roman"/>
        </w:rPr>
        <w:t>”</w:t>
      </w:r>
      <w:r>
        <w:t>为特色产业；弼时片（湖南工程机械配套产业园） 以</w:t>
      </w:r>
      <w:r>
        <w:rPr>
          <w:rFonts w:ascii="Times New Roman" w:hAnsi="Times New Roman" w:eastAsia="Times New Roman"/>
        </w:rPr>
        <w:t>“</w:t>
      </w:r>
      <w:r>
        <w:t>先进装备制造产业</w:t>
      </w:r>
      <w:r>
        <w:rPr>
          <w:rFonts w:ascii="Times New Roman" w:hAnsi="Times New Roman" w:eastAsia="Times New Roman"/>
        </w:rPr>
        <w:t>”</w:t>
      </w:r>
      <w:r>
        <w:t>为主导产业、</w:t>
      </w:r>
      <w:r>
        <w:rPr>
          <w:rFonts w:ascii="Times New Roman" w:hAnsi="Times New Roman" w:eastAsia="Times New Roman"/>
        </w:rPr>
        <w:t>“</w:t>
      </w:r>
      <w:r>
        <w:t>汽车零部件及配件制造产业</w:t>
      </w:r>
      <w:r>
        <w:rPr>
          <w:rFonts w:ascii="Times New Roman" w:hAnsi="Times New Roman" w:eastAsia="Times New Roman"/>
        </w:rPr>
        <w:t>”</w:t>
      </w:r>
      <w:r>
        <w:t>为特色产业， 共同培育</w:t>
      </w:r>
      <w:r>
        <w:rPr>
          <w:rFonts w:ascii="Times New Roman" w:hAnsi="Times New Roman" w:eastAsia="Times New Roman"/>
        </w:rPr>
        <w:t>“</w:t>
      </w:r>
      <w:r>
        <w:t>先进储能材料产业</w:t>
      </w:r>
      <w:r>
        <w:rPr>
          <w:rFonts w:ascii="Times New Roman" w:hAnsi="Times New Roman" w:eastAsia="Times New Roman"/>
        </w:rPr>
        <w:t>”</w:t>
      </w:r>
      <w:r>
        <w:t>一大新兴产业，积极发展现代服务业，形成</w:t>
      </w:r>
      <w:r>
        <w:rPr>
          <w:rFonts w:ascii="Times New Roman" w:hAnsi="Times New Roman" w:eastAsia="Times New Roman"/>
        </w:rPr>
        <w:t>“</w:t>
      </w:r>
      <w:r>
        <w:t>一园一主导一特色</w:t>
      </w:r>
      <w:r>
        <w:rPr>
          <w:rFonts w:ascii="Times New Roman" w:hAnsi="Times New Roman" w:eastAsia="Times New Roman"/>
        </w:rPr>
        <w:t>”</w:t>
      </w:r>
      <w:r>
        <w:t>、层次分明、科学合理的产业定位组合，以绿色循环经济推动该</w:t>
      </w:r>
    </w:p>
    <w:p w14:paraId="4C8AD76F">
      <w:pPr>
        <w:pStyle w:val="10"/>
        <w:spacing w:before="1"/>
        <w:ind w:left="240"/>
      </w:pPr>
      <w:r>
        <w:t>地区的可持续高质量增长。</w:t>
      </w:r>
    </w:p>
    <w:p w14:paraId="019B101C">
      <w:pPr>
        <w:pStyle w:val="10"/>
        <w:spacing w:before="28"/>
        <w:ind w:left="2342"/>
        <w:rPr>
          <w:rFonts w:hint="eastAsia" w:ascii="黑体" w:eastAsia="黑体"/>
        </w:rPr>
      </w:pPr>
      <w:r>
        <w:rPr>
          <w:rFonts w:hint="eastAsia" w:ascii="黑体" w:eastAsia="黑体"/>
        </w:rPr>
        <w:t xml:space="preserve">表 </w:t>
      </w:r>
      <w:r>
        <w:rPr>
          <w:rFonts w:ascii="Times New Roman" w:eastAsia="Times New Roman"/>
        </w:rPr>
        <w:t xml:space="preserve">2.2- 2 </w:t>
      </w:r>
      <w:r>
        <w:rPr>
          <w:rFonts w:hint="eastAsia" w:ascii="黑体" w:eastAsia="黑体"/>
        </w:rPr>
        <w:t>汩罗高新区本次规划产业定位</w:t>
      </w:r>
    </w:p>
    <w:p w14:paraId="7B52CCC7">
      <w:pPr>
        <w:pStyle w:val="10"/>
        <w:spacing w:before="5"/>
        <w:rPr>
          <w:rFonts w:ascii="黑体"/>
          <w:sz w:val="12"/>
        </w:rPr>
      </w:pPr>
    </w:p>
    <w:tbl>
      <w:tblPr>
        <w:tblStyle w:val="13"/>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6"/>
        <w:gridCol w:w="2370"/>
        <w:gridCol w:w="2865"/>
        <w:gridCol w:w="2221"/>
      </w:tblGrid>
      <w:tr w14:paraId="3BFF3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6" w:type="dxa"/>
          </w:tcPr>
          <w:p w14:paraId="17A21EE0">
            <w:pPr>
              <w:pStyle w:val="17"/>
              <w:spacing w:before="19"/>
              <w:ind w:left="197" w:right="188"/>
              <w:rPr>
                <w:sz w:val="21"/>
              </w:rPr>
            </w:pPr>
            <w:r>
              <w:rPr>
                <w:sz w:val="21"/>
              </w:rPr>
              <w:t>片区</w:t>
            </w:r>
          </w:p>
        </w:tc>
        <w:tc>
          <w:tcPr>
            <w:tcW w:w="2370" w:type="dxa"/>
          </w:tcPr>
          <w:p w14:paraId="3648390D">
            <w:pPr>
              <w:pStyle w:val="17"/>
              <w:spacing w:before="19"/>
              <w:ind w:left="112" w:right="105"/>
              <w:rPr>
                <w:sz w:val="21"/>
              </w:rPr>
            </w:pPr>
            <w:r>
              <w:rPr>
                <w:sz w:val="21"/>
              </w:rPr>
              <w:t>主导产业</w:t>
            </w:r>
          </w:p>
        </w:tc>
        <w:tc>
          <w:tcPr>
            <w:tcW w:w="2865" w:type="dxa"/>
          </w:tcPr>
          <w:p w14:paraId="06D348B8">
            <w:pPr>
              <w:pStyle w:val="17"/>
              <w:spacing w:before="19"/>
              <w:ind w:left="149" w:right="145"/>
              <w:rPr>
                <w:sz w:val="21"/>
              </w:rPr>
            </w:pPr>
            <w:r>
              <w:rPr>
                <w:sz w:val="21"/>
              </w:rPr>
              <w:t>特色产业</w:t>
            </w:r>
          </w:p>
        </w:tc>
        <w:tc>
          <w:tcPr>
            <w:tcW w:w="2221" w:type="dxa"/>
          </w:tcPr>
          <w:p w14:paraId="25091A4A">
            <w:pPr>
              <w:pStyle w:val="17"/>
              <w:spacing w:before="19"/>
              <w:ind w:left="689"/>
              <w:jc w:val="left"/>
              <w:rPr>
                <w:sz w:val="21"/>
              </w:rPr>
            </w:pPr>
            <w:r>
              <w:rPr>
                <w:sz w:val="21"/>
              </w:rPr>
              <w:t>培育产业</w:t>
            </w:r>
          </w:p>
        </w:tc>
      </w:tr>
      <w:tr w14:paraId="3CD68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6" w:type="dxa"/>
          </w:tcPr>
          <w:p w14:paraId="62CFC690">
            <w:pPr>
              <w:pStyle w:val="17"/>
              <w:spacing w:before="19"/>
              <w:ind w:left="197" w:right="188"/>
              <w:rPr>
                <w:sz w:val="21"/>
              </w:rPr>
            </w:pPr>
            <w:r>
              <w:rPr>
                <w:sz w:val="21"/>
              </w:rPr>
              <w:t>新市片</w:t>
            </w:r>
          </w:p>
        </w:tc>
        <w:tc>
          <w:tcPr>
            <w:tcW w:w="2370" w:type="dxa"/>
          </w:tcPr>
          <w:p w14:paraId="4916CCE1">
            <w:pPr>
              <w:pStyle w:val="17"/>
              <w:spacing w:before="19"/>
              <w:ind w:left="112" w:right="107"/>
              <w:rPr>
                <w:sz w:val="21"/>
              </w:rPr>
            </w:pPr>
            <w:r>
              <w:rPr>
                <w:sz w:val="21"/>
              </w:rPr>
              <w:t>废弃资源综合利用产业</w:t>
            </w:r>
          </w:p>
        </w:tc>
        <w:tc>
          <w:tcPr>
            <w:tcW w:w="2865" w:type="dxa"/>
          </w:tcPr>
          <w:p w14:paraId="540813DC">
            <w:pPr>
              <w:pStyle w:val="17"/>
              <w:spacing w:before="19"/>
              <w:ind w:left="149" w:right="142"/>
              <w:rPr>
                <w:sz w:val="21"/>
              </w:rPr>
            </w:pPr>
            <w:r>
              <w:rPr>
                <w:sz w:val="21"/>
              </w:rPr>
              <w:t>电子信息产业</w:t>
            </w:r>
          </w:p>
        </w:tc>
        <w:tc>
          <w:tcPr>
            <w:tcW w:w="2221" w:type="dxa"/>
            <w:vMerge w:val="restart"/>
          </w:tcPr>
          <w:p w14:paraId="7A07929A">
            <w:pPr>
              <w:pStyle w:val="17"/>
              <w:spacing w:before="24"/>
              <w:ind w:left="38" w:right="32"/>
              <w:rPr>
                <w:sz w:val="21"/>
              </w:rPr>
            </w:pPr>
            <w:r>
              <w:rPr>
                <w:sz w:val="21"/>
              </w:rPr>
              <w:t>先进储能材料产业、现</w:t>
            </w:r>
          </w:p>
          <w:p w14:paraId="7E1BDE8D">
            <w:pPr>
              <w:pStyle w:val="17"/>
              <w:spacing w:before="43"/>
              <w:ind w:left="38" w:right="32"/>
              <w:rPr>
                <w:sz w:val="21"/>
              </w:rPr>
            </w:pPr>
            <w:r>
              <w:rPr>
                <w:sz w:val="21"/>
              </w:rPr>
              <w:t>代服务业</w:t>
            </w:r>
          </w:p>
        </w:tc>
      </w:tr>
      <w:tr w14:paraId="29947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6" w:type="dxa"/>
          </w:tcPr>
          <w:p w14:paraId="743509B6">
            <w:pPr>
              <w:pStyle w:val="17"/>
              <w:spacing w:before="19"/>
              <w:ind w:left="197" w:right="188"/>
              <w:rPr>
                <w:sz w:val="21"/>
              </w:rPr>
            </w:pPr>
            <w:r>
              <w:rPr>
                <w:sz w:val="21"/>
              </w:rPr>
              <w:t>弼时片</w:t>
            </w:r>
          </w:p>
        </w:tc>
        <w:tc>
          <w:tcPr>
            <w:tcW w:w="2370" w:type="dxa"/>
          </w:tcPr>
          <w:p w14:paraId="64A865F6">
            <w:pPr>
              <w:pStyle w:val="17"/>
              <w:spacing w:before="19"/>
              <w:ind w:left="112" w:right="105"/>
              <w:rPr>
                <w:sz w:val="21"/>
              </w:rPr>
            </w:pPr>
            <w:r>
              <w:rPr>
                <w:sz w:val="21"/>
              </w:rPr>
              <w:t>先进装备制造产业</w:t>
            </w:r>
          </w:p>
        </w:tc>
        <w:tc>
          <w:tcPr>
            <w:tcW w:w="2865" w:type="dxa"/>
          </w:tcPr>
          <w:p w14:paraId="33F20231">
            <w:pPr>
              <w:pStyle w:val="17"/>
              <w:spacing w:before="19"/>
              <w:ind w:left="149" w:right="145"/>
              <w:rPr>
                <w:sz w:val="21"/>
              </w:rPr>
            </w:pPr>
            <w:r>
              <w:rPr>
                <w:sz w:val="21"/>
              </w:rPr>
              <w:t>汽车零部件及配件制造产业</w:t>
            </w:r>
          </w:p>
        </w:tc>
        <w:tc>
          <w:tcPr>
            <w:tcW w:w="2221" w:type="dxa"/>
            <w:vMerge w:val="continue"/>
            <w:tcBorders>
              <w:top w:val="nil"/>
            </w:tcBorders>
          </w:tcPr>
          <w:p w14:paraId="32E6FB97">
            <w:pPr>
              <w:rPr>
                <w:sz w:val="2"/>
                <w:szCs w:val="2"/>
              </w:rPr>
            </w:pPr>
          </w:p>
        </w:tc>
      </w:tr>
    </w:tbl>
    <w:p w14:paraId="10C1D3A2">
      <w:pPr>
        <w:pStyle w:val="10"/>
        <w:spacing w:before="144"/>
        <w:ind w:left="720"/>
      </w:pPr>
      <w:r>
        <w:rPr>
          <w:rFonts w:ascii="Times New Roman" w:eastAsia="Times New Roman"/>
        </w:rPr>
        <w:t>1</w:t>
      </w:r>
      <w:r>
        <w:t>）新市片（湖南汩罗循环经济产业园）</w:t>
      </w:r>
    </w:p>
    <w:p w14:paraId="77E10C7E">
      <w:pPr>
        <w:pStyle w:val="10"/>
        <w:spacing w:before="173" w:line="374" w:lineRule="auto"/>
        <w:ind w:left="240" w:right="237" w:firstLine="480"/>
      </w:pPr>
      <w:r>
        <w:rPr>
          <w:spacing w:val="-5"/>
        </w:rPr>
        <w:t>规划新市片区分为先进装备制造业区、电子信息产业区、废弃资源综合利用产业区、高铁新城产城融合发展区、先进储能材料产业区。</w:t>
      </w:r>
    </w:p>
    <w:p w14:paraId="6ADD0EFD">
      <w:pPr>
        <w:pStyle w:val="10"/>
        <w:spacing w:before="1" w:line="374" w:lineRule="auto"/>
        <w:ind w:left="240" w:right="237" w:firstLine="480"/>
      </w:pPr>
      <w:r>
        <w:rPr>
          <w:spacing w:val="-8"/>
        </w:rPr>
        <w:t>先进装备制造业区：分布在新市片西片区北部，重点发展农业机械专用设备制造产业。</w:t>
      </w:r>
    </w:p>
    <w:p w14:paraId="4931D42A">
      <w:pPr>
        <w:pStyle w:val="10"/>
        <w:spacing w:line="374" w:lineRule="auto"/>
        <w:ind w:left="240" w:right="237" w:firstLine="480"/>
      </w:pPr>
      <w:r>
        <w:rPr>
          <w:spacing w:val="-7"/>
        </w:rPr>
        <w:t>电子信息产业区：分布在新市片西片区北部，汩新大道以北，重点发展手机</w:t>
      </w:r>
      <w:r>
        <w:rPr>
          <w:spacing w:val="-11"/>
        </w:rPr>
        <w:t xml:space="preserve">配件、智能安防及电子电路基材 </w:t>
      </w:r>
      <w:r>
        <w:rPr>
          <w:rFonts w:ascii="Times New Roman" w:eastAsia="Times New Roman"/>
        </w:rPr>
        <w:t xml:space="preserve">PCB </w:t>
      </w:r>
      <w:r>
        <w:t>产业、麻将机、智能安防领域。</w:t>
      </w:r>
    </w:p>
    <w:p w14:paraId="03E069E6">
      <w:pPr>
        <w:pStyle w:val="10"/>
        <w:spacing w:before="1" w:line="374" w:lineRule="auto"/>
        <w:ind w:left="240" w:right="145" w:firstLine="480"/>
      </w:pPr>
      <w:r>
        <w:t>废弃资源综合利用产业区：分布在新市片西片区中部、东片区北部和中部， 重点发展再生金属及稀贵金属冶炼和压延产业、再生塑料、碳基材料、先进储能材料回收及综合利用产业。</w:t>
      </w:r>
    </w:p>
    <w:p w14:paraId="270B20A1">
      <w:pPr>
        <w:pStyle w:val="10"/>
        <w:spacing w:before="1" w:line="374" w:lineRule="auto"/>
        <w:ind w:left="240" w:right="237" w:firstLine="480"/>
      </w:pPr>
      <w:r>
        <w:rPr>
          <w:spacing w:val="-6"/>
        </w:rPr>
        <w:t>高铁新城产城融合发展区：分布在新市片西片区南部，青春大道以南，重点发展电子信息、仓储物流、商贸居住、教育卫生、康养休闲等。</w:t>
      </w:r>
    </w:p>
    <w:p w14:paraId="3A906CFC">
      <w:pPr>
        <w:pStyle w:val="10"/>
        <w:spacing w:line="374" w:lineRule="auto"/>
        <w:ind w:left="240" w:right="237" w:firstLine="480"/>
      </w:pPr>
      <w:r>
        <w:rPr>
          <w:spacing w:val="-7"/>
        </w:rPr>
        <w:t>先进储能材料产业区：分布在新市片东片区南部，重点发展废旧电池等储能材料回收及综合利用产业。</w:t>
      </w:r>
    </w:p>
    <w:p w14:paraId="507154BB">
      <w:pPr>
        <w:pStyle w:val="10"/>
        <w:spacing w:before="1"/>
        <w:ind w:left="720"/>
      </w:pPr>
      <w:r>
        <w:rPr>
          <w:rFonts w:ascii="Times New Roman" w:eastAsia="Times New Roman"/>
        </w:rPr>
        <w:t>2</w:t>
      </w:r>
      <w:r>
        <w:t>）弼时片（湖南工程机械配套产业园）</w:t>
      </w:r>
    </w:p>
    <w:p w14:paraId="41D16151">
      <w:pPr>
        <w:pStyle w:val="10"/>
        <w:spacing w:before="172"/>
        <w:ind w:left="720"/>
      </w:pPr>
      <w:r>
        <w:t>规划弼时片区分为先进装备制造业区、汽车零部件及配件制造区。</w:t>
      </w:r>
    </w:p>
    <w:p w14:paraId="4D07F9DF">
      <w:pPr>
        <w:pStyle w:val="10"/>
        <w:spacing w:before="173" w:line="374" w:lineRule="auto"/>
        <w:ind w:left="240" w:right="117" w:firstLine="480"/>
      </w:pPr>
      <w:r>
        <w:rPr>
          <w:spacing w:val="-14"/>
        </w:rPr>
        <w:t>先进装备制造业区：分布在弼时片北部和中部。以发展专用车辆、道路机械、</w:t>
      </w:r>
      <w:r>
        <w:rPr>
          <w:spacing w:val="-13"/>
        </w:rPr>
        <w:t>起重机械、管网装备、垃圾焚烧装备、隧道温喷台车、混凝土干粉砂浆设备、高空作业平台和塔机等工程机械配套产业为核心。</w:t>
      </w:r>
    </w:p>
    <w:p w14:paraId="42CA156E">
      <w:pPr>
        <w:pStyle w:val="10"/>
        <w:spacing w:before="1" w:line="374" w:lineRule="auto"/>
        <w:ind w:left="240" w:right="237" w:firstLine="480"/>
      </w:pPr>
      <w:r>
        <w:rPr>
          <w:spacing w:val="-6"/>
        </w:rPr>
        <w:t>汽车零部件及配件制造业区：分布在弼时片南部，重点发展汽车注塑、汽车铝合金配件、铜金配件、橡胶配件、配件表面处理等产品。</w:t>
      </w:r>
    </w:p>
    <w:p w14:paraId="5620D93D">
      <w:pPr>
        <w:spacing w:after="0" w:line="374" w:lineRule="auto"/>
        <w:sectPr>
          <w:footerReference r:id="rId18" w:type="default"/>
          <w:pgSz w:w="11910" w:h="16840"/>
          <w:pgMar w:top="1520" w:right="1560" w:bottom="1220" w:left="1560" w:header="0" w:footer="1024" w:gutter="0"/>
          <w:pgNumType w:start="70"/>
          <w:cols w:space="720" w:num="1"/>
        </w:sectPr>
      </w:pPr>
    </w:p>
    <w:p w14:paraId="36779690">
      <w:pPr>
        <w:pStyle w:val="10"/>
        <w:spacing w:before="62" w:line="364" w:lineRule="auto"/>
        <w:ind w:left="240" w:right="237" w:firstLine="480"/>
        <w:jc w:val="both"/>
      </w:pPr>
      <w:r>
        <w:rPr>
          <w:spacing w:val="-5"/>
        </w:rPr>
        <w:t xml:space="preserve">本项目位于新市片区东片区，本项目使用已破碎清洗后的废 </w:t>
      </w:r>
      <w:r>
        <w:rPr>
          <w:rFonts w:ascii="Times New Roman" w:eastAsia="Times New Roman"/>
        </w:rPr>
        <w:t xml:space="preserve">PE </w:t>
      </w:r>
      <w:r>
        <w:t>塑料经熔融</w:t>
      </w:r>
      <w:r>
        <w:rPr>
          <w:spacing w:val="-10"/>
        </w:rPr>
        <w:t xml:space="preserve">造粒后的 </w:t>
      </w:r>
      <w:r>
        <w:rPr>
          <w:rFonts w:ascii="Times New Roman" w:eastAsia="Times New Roman"/>
        </w:rPr>
        <w:t xml:space="preserve">PE </w:t>
      </w:r>
      <w:r>
        <w:rPr>
          <w:spacing w:val="-5"/>
        </w:rPr>
        <w:t xml:space="preserve">再生塑料颗粒作为原料与 </w:t>
      </w:r>
      <w:r>
        <w:rPr>
          <w:rFonts w:ascii="Times New Roman" w:eastAsia="Times New Roman"/>
        </w:rPr>
        <w:t xml:space="preserve">PE </w:t>
      </w:r>
      <w:r>
        <w:t>新料等原辅料混合后生产排水板系列产品，属于废弃资源综合利用产业，符合产业园区定位。</w:t>
      </w:r>
    </w:p>
    <w:p w14:paraId="38130B2E">
      <w:pPr>
        <w:spacing w:before="55"/>
        <w:ind w:left="240" w:right="0" w:firstLine="0"/>
        <w:jc w:val="left"/>
        <w:rPr>
          <w:b/>
          <w:sz w:val="28"/>
        </w:rPr>
      </w:pPr>
      <w:r>
        <w:rPr>
          <w:rFonts w:ascii="Times New Roman" w:eastAsia="Times New Roman"/>
          <w:b/>
          <w:sz w:val="28"/>
        </w:rPr>
        <w:t xml:space="preserve">3.2.3 </w:t>
      </w:r>
      <w:r>
        <w:rPr>
          <w:b/>
          <w:sz w:val="28"/>
        </w:rPr>
        <w:t>园区总体规划</w:t>
      </w:r>
    </w:p>
    <w:p w14:paraId="35353B97">
      <w:pPr>
        <w:pStyle w:val="10"/>
        <w:spacing w:before="7"/>
        <w:rPr>
          <w:b/>
          <w:sz w:val="21"/>
        </w:rPr>
      </w:pPr>
    </w:p>
    <w:p w14:paraId="48E50A7F">
      <w:pPr>
        <w:pStyle w:val="10"/>
        <w:spacing w:before="1" w:line="374" w:lineRule="auto"/>
        <w:ind w:left="240" w:right="170" w:firstLine="480"/>
        <w:jc w:val="both"/>
      </w:pPr>
      <w:r>
        <w:t>汩罗高新技术产业开发区整体空间结构形成</w:t>
      </w:r>
      <w:r>
        <w:rPr>
          <w:rFonts w:ascii="Times New Roman" w:hAnsi="Times New Roman" w:eastAsia="Times New Roman"/>
        </w:rPr>
        <w:t>“</w:t>
      </w:r>
      <w:r>
        <w:t>一区两园</w:t>
      </w:r>
      <w:r>
        <w:rPr>
          <w:rFonts w:ascii="Times New Roman" w:hAnsi="Times New Roman" w:eastAsia="Times New Roman"/>
        </w:rPr>
        <w:t>”</w:t>
      </w:r>
      <w:r>
        <w:t>的规划结构，</w:t>
      </w:r>
      <w:r>
        <w:rPr>
          <w:rFonts w:ascii="Times New Roman" w:hAnsi="Times New Roman" w:eastAsia="Times New Roman"/>
        </w:rPr>
        <w:t>“</w:t>
      </w:r>
      <w:r>
        <w:t>一区</w:t>
      </w:r>
      <w:r>
        <w:rPr>
          <w:rFonts w:ascii="Times New Roman" w:hAnsi="Times New Roman" w:eastAsia="Times New Roman"/>
        </w:rPr>
        <w:t xml:space="preserve">” </w:t>
      </w:r>
      <w:r>
        <w:t>指汩罗高新技术产业开发区；</w:t>
      </w:r>
      <w:r>
        <w:rPr>
          <w:rFonts w:ascii="Times New Roman" w:hAnsi="Times New Roman" w:eastAsia="Times New Roman"/>
        </w:rPr>
        <w:t>“</w:t>
      </w:r>
      <w:r>
        <w:t>两园</w:t>
      </w:r>
      <w:r>
        <w:rPr>
          <w:rFonts w:ascii="Times New Roman" w:hAnsi="Times New Roman" w:eastAsia="Times New Roman"/>
        </w:rPr>
        <w:t>”</w:t>
      </w:r>
      <w:r>
        <w:t>指的湖南汩罗循环经济产业园（即新市片） 和湖南工程机械配套产业园（即弼时片）。</w:t>
      </w:r>
    </w:p>
    <w:p w14:paraId="38925082">
      <w:pPr>
        <w:pStyle w:val="10"/>
        <w:spacing w:before="1"/>
        <w:ind w:left="720"/>
      </w:pPr>
      <w:r>
        <w:rPr>
          <w:rFonts w:ascii="Times New Roman" w:eastAsia="Times New Roman"/>
        </w:rPr>
        <w:t>1</w:t>
      </w:r>
      <w:r>
        <w:t>）新市片</w:t>
      </w:r>
    </w:p>
    <w:p w14:paraId="70C7F789">
      <w:pPr>
        <w:pStyle w:val="10"/>
        <w:spacing w:before="172"/>
        <w:ind w:left="720"/>
      </w:pPr>
      <w:r>
        <w:t>新市片规划形成</w:t>
      </w:r>
      <w:r>
        <w:rPr>
          <w:rFonts w:ascii="Times New Roman" w:hAnsi="Times New Roman" w:eastAsia="Times New Roman"/>
        </w:rPr>
        <w:t>“</w:t>
      </w:r>
      <w:r>
        <w:t>两区、三轴</w:t>
      </w:r>
      <w:r>
        <w:rPr>
          <w:rFonts w:ascii="Times New Roman" w:hAnsi="Times New Roman" w:eastAsia="Times New Roman"/>
        </w:rPr>
        <w:t>”</w:t>
      </w:r>
      <w:r>
        <w:t>的空间结构。</w:t>
      </w:r>
    </w:p>
    <w:p w14:paraId="13D18C78">
      <w:pPr>
        <w:pStyle w:val="10"/>
        <w:spacing w:before="173" w:line="374" w:lineRule="auto"/>
        <w:ind w:left="240" w:right="170" w:firstLine="480"/>
        <w:jc w:val="both"/>
      </w:pPr>
      <w:r>
        <w:rPr>
          <w:rFonts w:ascii="Times New Roman" w:hAnsi="Times New Roman" w:eastAsia="Times New Roman"/>
        </w:rPr>
        <w:t>“</w:t>
      </w:r>
      <w:r>
        <w:t>两区</w:t>
      </w:r>
      <w:r>
        <w:rPr>
          <w:rFonts w:ascii="Times New Roman" w:hAnsi="Times New Roman" w:eastAsia="Times New Roman"/>
        </w:rPr>
        <w:t>”</w:t>
      </w:r>
      <w:r>
        <w:t xml:space="preserve">：一是产城融合片区（西片区），主要以产城融合、功能复合为主， </w:t>
      </w:r>
      <w:r>
        <w:rPr>
          <w:spacing w:val="-6"/>
        </w:rPr>
        <w:t>产城融合片区综合了企业厂区、高新区管委会、安置区、汩罗第二人民医院、汩</w:t>
      </w:r>
      <w:r>
        <w:rPr>
          <w:spacing w:val="-20"/>
        </w:rPr>
        <w:t>罗市职业中专等设施，通过功能复合体现产城融合新趋势。二是产业发展片区</w:t>
      </w:r>
      <w:r>
        <w:t>（东片区</w:t>
      </w:r>
      <w:r>
        <w:rPr>
          <w:spacing w:val="-24"/>
        </w:rPr>
        <w:t>），</w:t>
      </w:r>
      <w:r>
        <w:rPr>
          <w:spacing w:val="-5"/>
        </w:rPr>
        <w:t>布置大量企业，还有少量安置用地和市政基础设施用地，以产业发展为主导功能。</w:t>
      </w:r>
    </w:p>
    <w:p w14:paraId="1A865276">
      <w:pPr>
        <w:pStyle w:val="10"/>
        <w:spacing w:before="1" w:line="374" w:lineRule="auto"/>
        <w:ind w:left="240" w:right="237" w:firstLine="480"/>
        <w:jc w:val="both"/>
      </w:pPr>
      <w:r>
        <w:rPr>
          <w:rFonts w:ascii="Times New Roman" w:hAnsi="Times New Roman" w:eastAsia="Times New Roman"/>
        </w:rPr>
        <w:t>“</w:t>
      </w:r>
      <w:r>
        <w:t>三轴</w:t>
      </w:r>
      <w:r>
        <w:rPr>
          <w:rFonts w:ascii="Times New Roman" w:hAnsi="Times New Roman" w:eastAsia="Times New Roman"/>
          <w:spacing w:val="-12"/>
        </w:rPr>
        <w:t>”</w:t>
      </w:r>
      <w:r>
        <w:rPr>
          <w:spacing w:val="-7"/>
        </w:rPr>
        <w:t>：龙舟大道、创新大道和青春大道发展轴。龙舟大道发展轴南北贯穿</w:t>
      </w:r>
      <w:r>
        <w:rPr>
          <w:spacing w:val="-12"/>
        </w:rPr>
        <w:t>产城融合片区，是产城融合片区主要干道，两侧布局了比较多的公共服务设施和</w:t>
      </w:r>
      <w:r>
        <w:rPr>
          <w:spacing w:val="-11"/>
        </w:rPr>
        <w:t>企业。创新大道南北贯穿产业发展片区，两侧布满了片区重要企业，是片区主要干道。青春大道横向联系两个片区。</w:t>
      </w:r>
    </w:p>
    <w:p w14:paraId="5B61ED91">
      <w:pPr>
        <w:pStyle w:val="10"/>
        <w:spacing w:before="1"/>
        <w:ind w:left="720"/>
      </w:pPr>
      <w:r>
        <w:rPr>
          <w:rFonts w:ascii="Times New Roman" w:eastAsia="Times New Roman"/>
        </w:rPr>
        <w:t>2</w:t>
      </w:r>
      <w:r>
        <w:t>）弼时片</w:t>
      </w:r>
    </w:p>
    <w:p w14:paraId="233899A8">
      <w:pPr>
        <w:pStyle w:val="10"/>
        <w:spacing w:before="173" w:line="374" w:lineRule="auto"/>
        <w:ind w:left="240" w:right="237" w:firstLine="480"/>
        <w:jc w:val="both"/>
      </w:pPr>
      <w:r>
        <w:rPr>
          <w:spacing w:val="-6"/>
        </w:rPr>
        <w:t>弼时片规划在用地功能布局上，以工业生产为主导，结合主干路、高压线廊</w:t>
      </w:r>
      <w:r>
        <w:rPr>
          <w:spacing w:val="-12"/>
        </w:rPr>
        <w:t>道以及外围滨水生态走廊，打造园区景观轴带，合理利用空间提高产业园区整体的建设品质。规划形成</w:t>
      </w:r>
      <w:r>
        <w:rPr>
          <w:rFonts w:ascii="Times New Roman" w:hAnsi="Times New Roman" w:eastAsia="Times New Roman"/>
          <w:spacing w:val="-12"/>
        </w:rPr>
        <w:t>“</w:t>
      </w:r>
      <w:r>
        <w:rPr>
          <w:spacing w:val="-12"/>
        </w:rPr>
        <w:t>两轴、双廊、一组团</w:t>
      </w:r>
      <w:r>
        <w:rPr>
          <w:rFonts w:ascii="Times New Roman" w:hAnsi="Times New Roman" w:eastAsia="Times New Roman"/>
          <w:spacing w:val="-12"/>
        </w:rPr>
        <w:t>”</w:t>
      </w:r>
      <w:r>
        <w:rPr>
          <w:spacing w:val="-12"/>
        </w:rPr>
        <w:t>的空间发展结构。</w:t>
      </w:r>
    </w:p>
    <w:p w14:paraId="6A1BBEB5">
      <w:pPr>
        <w:pStyle w:val="10"/>
        <w:spacing w:before="1" w:line="374" w:lineRule="auto"/>
        <w:ind w:left="240" w:right="237" w:firstLine="480"/>
        <w:jc w:val="both"/>
      </w:pPr>
      <w:r>
        <w:rPr>
          <w:rFonts w:ascii="Times New Roman" w:hAnsi="Times New Roman" w:eastAsia="Times New Roman"/>
        </w:rPr>
        <w:t>“</w:t>
      </w:r>
      <w:r>
        <w:t>两轴</w:t>
      </w:r>
      <w:r>
        <w:rPr>
          <w:rFonts w:ascii="Times New Roman" w:hAnsi="Times New Roman" w:eastAsia="Times New Roman"/>
          <w:spacing w:val="-12"/>
        </w:rPr>
        <w:t>”</w:t>
      </w:r>
      <w:r>
        <w:rPr>
          <w:spacing w:val="-9"/>
        </w:rPr>
        <w:t xml:space="preserve">：南北向沿唐家桥路、东西向沿新 </w:t>
      </w:r>
      <w:r>
        <w:rPr>
          <w:rFonts w:ascii="Times New Roman" w:hAnsi="Times New Roman" w:eastAsia="Times New Roman"/>
        </w:rPr>
        <w:t xml:space="preserve">107 </w:t>
      </w:r>
      <w:r>
        <w:rPr>
          <w:spacing w:val="-5"/>
        </w:rPr>
        <w:t>国道展开，作为弼时片向外串联长沙与岳阳的协同发展，形成园区南北向与长岳城市联动轴。</w:t>
      </w:r>
    </w:p>
    <w:p w14:paraId="508C8856">
      <w:pPr>
        <w:pStyle w:val="10"/>
        <w:ind w:left="720"/>
      </w:pPr>
      <w:r>
        <w:rPr>
          <w:rFonts w:ascii="Times New Roman" w:hAnsi="Times New Roman" w:eastAsia="Times New Roman"/>
        </w:rPr>
        <w:t>“</w:t>
      </w:r>
      <w:r>
        <w:t>双廊</w:t>
      </w:r>
      <w:r>
        <w:rPr>
          <w:rFonts w:ascii="Times New Roman" w:hAnsi="Times New Roman" w:eastAsia="Times New Roman"/>
          <w:spacing w:val="-47"/>
        </w:rPr>
        <w:t>”</w:t>
      </w:r>
      <w:r>
        <w:rPr>
          <w:spacing w:val="-13"/>
        </w:rPr>
        <w:t>：园区发展尊重基础地貌，结合外围沿白沙河形成两条滨水生态走廊。</w:t>
      </w:r>
    </w:p>
    <w:p w14:paraId="12BC9B21">
      <w:pPr>
        <w:pStyle w:val="10"/>
        <w:spacing w:before="173" w:line="374" w:lineRule="auto"/>
        <w:ind w:left="240" w:right="237" w:firstLine="480"/>
        <w:jc w:val="both"/>
      </w:pPr>
      <w:r>
        <w:rPr>
          <w:rFonts w:ascii="Times New Roman" w:hAnsi="Times New Roman" w:eastAsia="Times New Roman"/>
        </w:rPr>
        <w:t>“</w:t>
      </w:r>
      <w:r>
        <w:t>一组团</w:t>
      </w:r>
      <w:r>
        <w:rPr>
          <w:rFonts w:ascii="Times New Roman" w:hAnsi="Times New Roman" w:eastAsia="Times New Roman"/>
          <w:spacing w:val="-12"/>
        </w:rPr>
        <w:t>”</w:t>
      </w:r>
      <w:r>
        <w:rPr>
          <w:spacing w:val="-6"/>
        </w:rPr>
        <w:t>：南部组团以现状产业园区为基础，向外延申发展产业板块，打造一个高品质、现代化、充满活力的工程机械配套产业区。</w:t>
      </w:r>
    </w:p>
    <w:p w14:paraId="2CDF5BDF">
      <w:pPr>
        <w:pStyle w:val="9"/>
        <w:spacing w:before="0" w:line="243" w:lineRule="exact"/>
      </w:pPr>
      <w:r>
        <w:t>（</w:t>
      </w:r>
      <w:r>
        <w:rPr>
          <w:rFonts w:ascii="Times New Roman" w:eastAsia="Times New Roman"/>
        </w:rPr>
        <w:t>2</w:t>
      </w:r>
      <w:r>
        <w:t>）土地利用规划</w:t>
      </w:r>
    </w:p>
    <w:p w14:paraId="6249CD26">
      <w:pPr>
        <w:spacing w:after="0" w:line="243" w:lineRule="exact"/>
        <w:sectPr>
          <w:pgSz w:w="11910" w:h="16840"/>
          <w:pgMar w:top="1440" w:right="1560" w:bottom="1220" w:left="1560" w:header="0" w:footer="1024" w:gutter="0"/>
          <w:cols w:space="720" w:num="1"/>
        </w:sectPr>
      </w:pPr>
    </w:p>
    <w:p w14:paraId="4BEB3563">
      <w:pPr>
        <w:pStyle w:val="10"/>
        <w:spacing w:before="47"/>
        <w:ind w:left="720"/>
      </w:pPr>
      <w:r>
        <w:t xml:space="preserve">汩罗高新技术产业开发区扩区后总用地面积为 </w:t>
      </w:r>
      <w:r>
        <w:rPr>
          <w:rFonts w:ascii="Times New Roman" w:eastAsia="Times New Roman"/>
        </w:rPr>
        <w:t xml:space="preserve">1543.67 </w:t>
      </w:r>
      <w:r>
        <w:t>公顷，其中居住用地</w:t>
      </w:r>
    </w:p>
    <w:p w14:paraId="1FD71EC7">
      <w:pPr>
        <w:pStyle w:val="10"/>
        <w:spacing w:before="172" w:line="374" w:lineRule="auto"/>
        <w:ind w:left="240" w:right="117"/>
        <w:jc w:val="both"/>
      </w:pPr>
      <w:r>
        <w:rPr>
          <w:rFonts w:ascii="Times New Roman" w:eastAsia="Times New Roman"/>
        </w:rPr>
        <w:t xml:space="preserve">73.33 </w:t>
      </w:r>
      <w:r>
        <w:rPr>
          <w:spacing w:val="-12"/>
        </w:rPr>
        <w:t xml:space="preserve">公顷，占总用地面积 </w:t>
      </w:r>
      <w:r>
        <w:rPr>
          <w:rFonts w:ascii="Times New Roman" w:eastAsia="Times New Roman"/>
          <w:spacing w:val="-7"/>
        </w:rPr>
        <w:t>4.75%</w:t>
      </w:r>
      <w:r>
        <w:rPr>
          <w:spacing w:val="-8"/>
        </w:rPr>
        <w:t xml:space="preserve">；公共管理与公共服务用地 </w:t>
      </w:r>
      <w:r>
        <w:rPr>
          <w:rFonts w:ascii="Times New Roman" w:eastAsia="Times New Roman"/>
        </w:rPr>
        <w:t xml:space="preserve">29.20 </w:t>
      </w:r>
      <w:r>
        <w:rPr>
          <w:spacing w:val="-7"/>
        </w:rPr>
        <w:t>公顷，占总用</w:t>
      </w:r>
      <w:r>
        <w:rPr>
          <w:spacing w:val="-24"/>
        </w:rPr>
        <w:t xml:space="preserve">地面积 </w:t>
      </w:r>
      <w:r>
        <w:rPr>
          <w:rFonts w:ascii="Times New Roman" w:eastAsia="Times New Roman"/>
        </w:rPr>
        <w:t>1.89</w:t>
      </w:r>
      <w:r>
        <w:rPr>
          <w:rFonts w:ascii="Times New Roman" w:eastAsia="Times New Roman"/>
          <w:spacing w:val="-1"/>
        </w:rPr>
        <w:t>%</w:t>
      </w:r>
      <w:r>
        <w:rPr>
          <w:spacing w:val="-23"/>
        </w:rPr>
        <w:t xml:space="preserve">；商业服务业用地 </w:t>
      </w:r>
      <w:r>
        <w:rPr>
          <w:rFonts w:ascii="Times New Roman" w:eastAsia="Times New Roman"/>
        </w:rPr>
        <w:t xml:space="preserve">3.50 </w:t>
      </w:r>
      <w:r>
        <w:rPr>
          <w:spacing w:val="-22"/>
        </w:rPr>
        <w:t xml:space="preserve">公顷，占总用地面积 </w:t>
      </w:r>
      <w:r>
        <w:rPr>
          <w:rFonts w:ascii="Times New Roman" w:eastAsia="Times New Roman"/>
        </w:rPr>
        <w:t>0.23</w:t>
      </w:r>
      <w:r>
        <w:rPr>
          <w:rFonts w:ascii="Times New Roman" w:eastAsia="Times New Roman"/>
          <w:spacing w:val="0"/>
        </w:rPr>
        <w:t>%</w:t>
      </w:r>
      <w:r>
        <w:rPr>
          <w:spacing w:val="-33"/>
        </w:rPr>
        <w:t xml:space="preserve">；工矿用地 </w:t>
      </w:r>
      <w:r>
        <w:rPr>
          <w:rFonts w:ascii="Times New Roman" w:eastAsia="Times New Roman"/>
        </w:rPr>
        <w:t>1156.71</w:t>
      </w:r>
      <w:r>
        <w:rPr>
          <w:spacing w:val="-11"/>
        </w:rPr>
        <w:t xml:space="preserve">公顷，占总用地面积 </w:t>
      </w:r>
      <w:r>
        <w:rPr>
          <w:rFonts w:ascii="Times New Roman" w:eastAsia="Times New Roman"/>
          <w:spacing w:val="-3"/>
        </w:rPr>
        <w:t>74.93%</w:t>
      </w:r>
      <w:r>
        <w:rPr>
          <w:spacing w:val="-12"/>
        </w:rPr>
        <w:t xml:space="preserve">；仓储用地 </w:t>
      </w:r>
      <w:r>
        <w:rPr>
          <w:rFonts w:ascii="Times New Roman" w:eastAsia="Times New Roman"/>
        </w:rPr>
        <w:t xml:space="preserve">14.13 </w:t>
      </w:r>
      <w:r>
        <w:rPr>
          <w:spacing w:val="-11"/>
        </w:rPr>
        <w:t xml:space="preserve">公顷，占总用地面积 </w:t>
      </w:r>
      <w:r>
        <w:rPr>
          <w:rFonts w:ascii="Times New Roman" w:eastAsia="Times New Roman"/>
          <w:spacing w:val="-3"/>
        </w:rPr>
        <w:t>0.92%</w:t>
      </w:r>
      <w:r>
        <w:rPr>
          <w:spacing w:val="-2"/>
        </w:rPr>
        <w:t>；交通</w:t>
      </w:r>
      <w:r>
        <w:rPr>
          <w:spacing w:val="-13"/>
        </w:rPr>
        <w:t xml:space="preserve">运输用地 </w:t>
      </w:r>
      <w:r>
        <w:rPr>
          <w:rFonts w:ascii="Times New Roman" w:eastAsia="Times New Roman"/>
        </w:rPr>
        <w:t xml:space="preserve">174.46 </w:t>
      </w:r>
      <w:r>
        <w:rPr>
          <w:spacing w:val="-6"/>
        </w:rPr>
        <w:t xml:space="preserve">公顷，占总用地面积 </w:t>
      </w:r>
      <w:r>
        <w:rPr>
          <w:rFonts w:ascii="Times New Roman" w:eastAsia="Times New Roman"/>
        </w:rPr>
        <w:t>11.30%</w:t>
      </w:r>
      <w:r>
        <w:rPr>
          <w:spacing w:val="-7"/>
        </w:rPr>
        <w:t xml:space="preserve">；公用设施用地 </w:t>
      </w:r>
      <w:r>
        <w:rPr>
          <w:rFonts w:ascii="Times New Roman" w:eastAsia="Times New Roman"/>
        </w:rPr>
        <w:t xml:space="preserve">10.59 </w:t>
      </w:r>
      <w:r>
        <w:t>公顷，占总</w:t>
      </w:r>
      <w:r>
        <w:rPr>
          <w:spacing w:val="-11"/>
        </w:rPr>
        <w:t xml:space="preserve">用地面积 </w:t>
      </w:r>
      <w:r>
        <w:rPr>
          <w:rFonts w:ascii="Times New Roman" w:eastAsia="Times New Roman"/>
        </w:rPr>
        <w:t>0.69%</w:t>
      </w:r>
      <w:r>
        <w:rPr>
          <w:spacing w:val="-5"/>
        </w:rPr>
        <w:t xml:space="preserve">；绿地与开敞空间用地 </w:t>
      </w:r>
      <w:r>
        <w:rPr>
          <w:rFonts w:ascii="Times New Roman" w:eastAsia="Times New Roman"/>
        </w:rPr>
        <w:t xml:space="preserve">73.78 </w:t>
      </w:r>
      <w:r>
        <w:rPr>
          <w:spacing w:val="-6"/>
        </w:rPr>
        <w:t xml:space="preserve">公顷，占总用地面积 </w:t>
      </w:r>
      <w:r>
        <w:rPr>
          <w:rFonts w:ascii="Times New Roman" w:eastAsia="Times New Roman"/>
        </w:rPr>
        <w:t>4.78%</w:t>
      </w:r>
      <w:r>
        <w:t>；特殊</w:t>
      </w:r>
      <w:r>
        <w:rPr>
          <w:spacing w:val="-20"/>
        </w:rPr>
        <w:t xml:space="preserve">用地 </w:t>
      </w:r>
      <w:r>
        <w:rPr>
          <w:rFonts w:ascii="Times New Roman" w:eastAsia="Times New Roman"/>
        </w:rPr>
        <w:t xml:space="preserve">3.03 </w:t>
      </w:r>
      <w:r>
        <w:rPr>
          <w:spacing w:val="-16"/>
        </w:rPr>
        <w:t xml:space="preserve">公顷，占总用地面积 </w:t>
      </w:r>
      <w:r>
        <w:rPr>
          <w:rFonts w:ascii="Times New Roman" w:eastAsia="Times New Roman"/>
          <w:spacing w:val="-15"/>
        </w:rPr>
        <w:t>0.20%</w:t>
      </w:r>
      <w:r>
        <w:rPr>
          <w:spacing w:val="-14"/>
        </w:rPr>
        <w:t xml:space="preserve">；陆地水域 </w:t>
      </w:r>
      <w:r>
        <w:rPr>
          <w:rFonts w:ascii="Times New Roman" w:eastAsia="Times New Roman"/>
        </w:rPr>
        <w:t xml:space="preserve">4.94 </w:t>
      </w:r>
      <w:r>
        <w:rPr>
          <w:spacing w:val="-16"/>
        </w:rPr>
        <w:t xml:space="preserve">公顷，占总用地面积 </w:t>
      </w:r>
      <w:r>
        <w:rPr>
          <w:rFonts w:ascii="Times New Roman" w:eastAsia="Times New Roman"/>
        </w:rPr>
        <w:t>0.32%</w:t>
      </w:r>
      <w:r>
        <w:t>。</w:t>
      </w:r>
    </w:p>
    <w:p w14:paraId="2743B4C3">
      <w:pPr>
        <w:spacing w:before="0" w:line="349" w:lineRule="exact"/>
        <w:ind w:left="240" w:right="0" w:firstLine="0"/>
        <w:jc w:val="left"/>
        <w:rPr>
          <w:b/>
          <w:sz w:val="28"/>
        </w:rPr>
      </w:pPr>
      <w:r>
        <w:rPr>
          <w:rFonts w:ascii="Times New Roman" w:eastAsia="Times New Roman"/>
          <w:b/>
          <w:sz w:val="28"/>
        </w:rPr>
        <w:t xml:space="preserve">3.2.4 </w:t>
      </w:r>
      <w:r>
        <w:rPr>
          <w:b/>
          <w:sz w:val="28"/>
        </w:rPr>
        <w:t>基础设施规划</w:t>
      </w:r>
    </w:p>
    <w:p w14:paraId="2D4D881B">
      <w:pPr>
        <w:pStyle w:val="9"/>
        <w:spacing w:before="212"/>
      </w:pPr>
      <w:r>
        <w:t>（</w:t>
      </w:r>
      <w:r>
        <w:rPr>
          <w:rFonts w:ascii="Times New Roman" w:eastAsia="Times New Roman"/>
        </w:rPr>
        <w:t>1</w:t>
      </w:r>
      <w:r>
        <w:t>）给水</w:t>
      </w:r>
    </w:p>
    <w:p w14:paraId="760E9B40">
      <w:pPr>
        <w:pStyle w:val="10"/>
        <w:spacing w:before="160" w:line="364" w:lineRule="auto"/>
        <w:ind w:left="240" w:right="237" w:firstLine="480"/>
        <w:jc w:val="both"/>
      </w:pPr>
      <w:r>
        <w:rPr>
          <w:spacing w:val="-4"/>
        </w:rPr>
        <w:t>新市片供水目前主要来自汩罗市新市供水有限公司管理运营的新市片区</w:t>
      </w:r>
      <w:r>
        <w:t>（新市片区</w:t>
      </w:r>
      <w:r>
        <w:rPr>
          <w:spacing w:val="-12"/>
        </w:rPr>
        <w:t>）</w:t>
      </w:r>
      <w:r>
        <w:rPr>
          <w:spacing w:val="-3"/>
        </w:rPr>
        <w:t>工业用水厂（</w:t>
      </w:r>
      <w:r>
        <w:t>新市二水厂</w:t>
      </w:r>
      <w:r>
        <w:rPr>
          <w:spacing w:val="-14"/>
        </w:rPr>
        <w:t>）（</w:t>
      </w:r>
      <w:r>
        <w:rPr>
          <w:spacing w:val="-9"/>
        </w:rPr>
        <w:t xml:space="preserve">设计供水规模 </w:t>
      </w:r>
      <w:r>
        <w:rPr>
          <w:rFonts w:ascii="Times New Roman" w:eastAsia="Times New Roman"/>
        </w:rPr>
        <w:t xml:space="preserve">6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10"/>
        </w:rPr>
        <w:t xml:space="preserve">，现状供水规模 </w:t>
      </w:r>
      <w:r>
        <w:rPr>
          <w:rFonts w:ascii="Times New Roman" w:eastAsia="Times New Roman"/>
        </w:rPr>
        <w:t xml:space="preserve">3 </w:t>
      </w:r>
      <w:r>
        <w:rPr>
          <w:spacing w:val="-24"/>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）、新市一水厂（</w:t>
      </w:r>
      <w:r>
        <w:rPr>
          <w:spacing w:val="-7"/>
        </w:rPr>
        <w:t xml:space="preserve">现状供水规模 </w:t>
      </w:r>
      <w:r>
        <w:rPr>
          <w:rFonts w:ascii="Times New Roman" w:eastAsia="Times New Roman"/>
        </w:rPr>
        <w:t xml:space="preserve">2 </w:t>
      </w:r>
      <w:r>
        <w:rPr>
          <w:spacing w:val="-24"/>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），供水水源以兰家洞水库为</w:t>
      </w:r>
      <w:r>
        <w:rPr>
          <w:spacing w:val="-3"/>
        </w:rPr>
        <w:t xml:space="preserve">主要水源，汩罗江水为备用水源，设计总规模为 </w:t>
      </w:r>
      <w:r>
        <w:rPr>
          <w:rFonts w:ascii="Times New Roman" w:eastAsia="Times New Roman"/>
        </w:rPr>
        <w:t xml:space="preserve">8 </w:t>
      </w:r>
      <w:r>
        <w:rPr>
          <w:spacing w:val="-23"/>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，供水能力满足园区扩区供水要求。</w:t>
      </w:r>
    </w:p>
    <w:p w14:paraId="4671EA8E">
      <w:pPr>
        <w:pStyle w:val="10"/>
        <w:spacing w:before="3" w:line="364" w:lineRule="auto"/>
        <w:ind w:left="240" w:right="117" w:firstLine="480"/>
      </w:pPr>
      <w:r>
        <w:rPr>
          <w:spacing w:val="-4"/>
        </w:rPr>
        <w:t>弼时片目前主要由长沙经开区汩罗产业园给水厂供水，供水水源为玉池乡鹤</w:t>
      </w:r>
      <w:r>
        <w:rPr>
          <w:spacing w:val="-11"/>
        </w:rPr>
        <w:t>龙村的白鹤洞水库，大理塘水库为水源调蓄水库，定里冲水库为备用水库，设计</w:t>
      </w:r>
      <w:r>
        <w:rPr>
          <w:spacing w:val="-24"/>
        </w:rPr>
        <w:t xml:space="preserve">规模为 </w:t>
      </w:r>
      <w:r>
        <w:rPr>
          <w:rFonts w:ascii="Times New Roman" w:eastAsia="Times New Roman"/>
        </w:rPr>
        <w:t xml:space="preserve">2.5 </w:t>
      </w:r>
      <w:r>
        <w:rPr>
          <w:spacing w:val="-30"/>
        </w:rPr>
        <w:t xml:space="preserve">万 </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d</w:t>
      </w:r>
      <w:r>
        <w:rPr>
          <w:spacing w:val="-20"/>
        </w:rPr>
        <w:t xml:space="preserve">，已建成供水规模 </w:t>
      </w:r>
      <w:r>
        <w:rPr>
          <w:rFonts w:ascii="Times New Roman" w:eastAsia="Times New Roman"/>
        </w:rPr>
        <w:t xml:space="preserve">1 </w:t>
      </w:r>
      <w:r>
        <w:rPr>
          <w:spacing w:val="-30"/>
        </w:rPr>
        <w:t xml:space="preserve">万 </w:t>
      </w:r>
      <w:r>
        <w:rPr>
          <w:rFonts w:ascii="Times New Roman" w:eastAsia="Times New Roman"/>
        </w:rPr>
        <w:t>m</w:t>
      </w:r>
      <w:r>
        <w:rPr>
          <w:rFonts w:ascii="Times New Roman" w:eastAsia="Times New Roman"/>
          <w:spacing w:val="-2"/>
          <w:w w:val="104"/>
          <w:position w:val="8"/>
          <w:sz w:val="15"/>
        </w:rPr>
        <w:t>3</w:t>
      </w:r>
      <w:r>
        <w:rPr>
          <w:rFonts w:ascii="Times New Roman" w:eastAsia="Times New Roman"/>
        </w:rPr>
        <w:t>/d</w:t>
      </w:r>
      <w:r>
        <w:rPr>
          <w:spacing w:val="-17"/>
        </w:rPr>
        <w:t xml:space="preserve">，现状实际供水量约为 </w:t>
      </w:r>
      <w:r>
        <w:rPr>
          <w:rFonts w:ascii="Times New Roman" w:eastAsia="Times New Roman"/>
        </w:rPr>
        <w:t xml:space="preserve">0.5 </w:t>
      </w:r>
      <w:r>
        <w:rPr>
          <w:spacing w:val="-30"/>
        </w:rPr>
        <w:t xml:space="preserve">万 </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/d</w:t>
      </w:r>
      <w:r>
        <w:t>，设计供水能力满足园区扩区供水要求。</w:t>
      </w:r>
    </w:p>
    <w:p w14:paraId="03A9535C">
      <w:pPr>
        <w:pStyle w:val="9"/>
        <w:spacing w:before="3"/>
      </w:pPr>
      <w:r>
        <w:t>（</w:t>
      </w:r>
      <w:r>
        <w:rPr>
          <w:rFonts w:ascii="Times New Roman" w:eastAsia="Times New Roman"/>
        </w:rPr>
        <w:t>2</w:t>
      </w:r>
      <w:r>
        <w:t>）排水</w:t>
      </w:r>
    </w:p>
    <w:p w14:paraId="7FE54206">
      <w:pPr>
        <w:pStyle w:val="10"/>
        <w:spacing w:before="160"/>
        <w:ind w:left="720"/>
      </w:pPr>
      <w:r>
        <w:t>采用雨污完全分流的排水体制。</w:t>
      </w:r>
    </w:p>
    <w:p w14:paraId="4C7AB65E">
      <w:pPr>
        <w:pStyle w:val="10"/>
        <w:spacing w:before="161"/>
        <w:ind w:left="720"/>
      </w:pPr>
      <w:r>
        <w:rPr>
          <w:rFonts w:ascii="Times New Roman" w:eastAsia="Times New Roman"/>
        </w:rPr>
        <w:t>1</w:t>
      </w:r>
      <w:r>
        <w:t>）雨水工程</w:t>
      </w:r>
    </w:p>
    <w:p w14:paraId="1EB3CDF1">
      <w:pPr>
        <w:pStyle w:val="10"/>
        <w:spacing w:before="160" w:line="364" w:lineRule="auto"/>
        <w:ind w:left="240" w:right="237" w:firstLine="480"/>
        <w:jc w:val="both"/>
        <w:rPr>
          <w:rFonts w:ascii="Times New Roman" w:eastAsia="Times New Roman"/>
        </w:rPr>
      </w:pPr>
      <w:r>
        <w:rPr>
          <w:spacing w:val="-10"/>
        </w:rPr>
        <w:t>新市片：共分为丛羊渠分区、新书渠分区、湄江分区和正威分区等四个雨水</w:t>
      </w:r>
      <w:r>
        <w:rPr>
          <w:spacing w:val="-12"/>
        </w:rPr>
        <w:t>汇流区域，分别汇入丛羊渠、新书渠、湄江、新书渠后最终汇入汩罗江。共设置</w:t>
      </w:r>
      <w:r>
        <w:rPr>
          <w:spacing w:val="-20"/>
        </w:rPr>
        <w:t xml:space="preserve">雨水排放口 </w:t>
      </w:r>
      <w:r>
        <w:rPr>
          <w:rFonts w:ascii="Times New Roman" w:eastAsia="Times New Roman"/>
        </w:rPr>
        <w:t xml:space="preserve">35 </w:t>
      </w:r>
      <w:r>
        <w:rPr>
          <w:spacing w:val="-8"/>
        </w:rPr>
        <w:t xml:space="preserve">个，其中湄江上设置雨水排放口 </w:t>
      </w:r>
      <w:r>
        <w:rPr>
          <w:rFonts w:ascii="Times New Roman" w:eastAsia="Times New Roman"/>
        </w:rPr>
        <w:t xml:space="preserve">13 </w:t>
      </w:r>
      <w:r>
        <w:rPr>
          <w:spacing w:val="-9"/>
        </w:rPr>
        <w:t xml:space="preserve">个，丛羊渠设置雨水排放口 </w:t>
      </w:r>
      <w:r>
        <w:rPr>
          <w:rFonts w:ascii="Times New Roman" w:eastAsia="Times New Roman"/>
        </w:rPr>
        <w:t>6</w:t>
      </w:r>
    </w:p>
    <w:p w14:paraId="3813492C">
      <w:pPr>
        <w:pStyle w:val="10"/>
        <w:spacing w:before="2"/>
        <w:ind w:left="240"/>
      </w:pPr>
      <w:r>
        <w:t xml:space="preserve">个，新书渠设置雨水排放口 </w:t>
      </w:r>
      <w:r>
        <w:rPr>
          <w:rFonts w:ascii="Times New Roman" w:eastAsia="Times New Roman"/>
        </w:rPr>
        <w:t xml:space="preserve">14 </w:t>
      </w:r>
      <w:r>
        <w:t xml:space="preserve">个，汩罗江设置雨水排放口 </w:t>
      </w:r>
      <w:r>
        <w:rPr>
          <w:rFonts w:ascii="Times New Roman" w:eastAsia="Times New Roman"/>
        </w:rPr>
        <w:t xml:space="preserve">2 </w:t>
      </w:r>
      <w:r>
        <w:t>个。</w:t>
      </w:r>
    </w:p>
    <w:p w14:paraId="7C9FCB9A">
      <w:pPr>
        <w:pStyle w:val="10"/>
        <w:spacing w:before="161" w:line="364" w:lineRule="auto"/>
        <w:ind w:left="240" w:right="145" w:firstLine="480"/>
      </w:pPr>
      <w:r>
        <w:rPr>
          <w:spacing w:val="-9"/>
        </w:rPr>
        <w:t>弼时片：共分为新塘路分区、陶家湾分区、唐家桥分区、殿堂路分区、塾塘路分区、万家丽北路分区等六个雨水汇流区域，分别汇入规划四河、规划四河、</w:t>
      </w:r>
      <w:r>
        <w:rPr>
          <w:spacing w:val="-13"/>
        </w:rPr>
        <w:t>规划二河、规划二河、规划三河、规划三河，最终汇入白沙河。共设置雨水排放</w:t>
      </w:r>
      <w:r>
        <w:rPr>
          <w:spacing w:val="-36"/>
        </w:rPr>
        <w:t xml:space="preserve">口 </w:t>
      </w:r>
      <w:r>
        <w:rPr>
          <w:rFonts w:ascii="Times New Roman" w:eastAsia="Times New Roman"/>
        </w:rPr>
        <w:t xml:space="preserve">12 </w:t>
      </w:r>
      <w:r>
        <w:rPr>
          <w:spacing w:val="-4"/>
        </w:rPr>
        <w:t xml:space="preserve">个，其中规划二河设置雨水排放口 </w:t>
      </w:r>
      <w:r>
        <w:rPr>
          <w:rFonts w:ascii="Times New Roman" w:eastAsia="Times New Roman"/>
        </w:rPr>
        <w:t xml:space="preserve">1 </w:t>
      </w:r>
      <w:r>
        <w:rPr>
          <w:spacing w:val="-5"/>
        </w:rPr>
        <w:t xml:space="preserve">个，规划三河设置雨水排放口 </w:t>
      </w:r>
      <w:r>
        <w:rPr>
          <w:rFonts w:ascii="Times New Roman" w:eastAsia="Times New Roman"/>
        </w:rPr>
        <w:t xml:space="preserve">7 </w:t>
      </w:r>
      <w:r>
        <w:t>个，</w:t>
      </w:r>
    </w:p>
    <w:p w14:paraId="3D365C79">
      <w:pPr>
        <w:spacing w:after="0" w:line="364" w:lineRule="auto"/>
        <w:sectPr>
          <w:pgSz w:w="11910" w:h="16840"/>
          <w:pgMar w:top="1520" w:right="1560" w:bottom="1220" w:left="1560" w:header="0" w:footer="1024" w:gutter="0"/>
          <w:cols w:space="720" w:num="1"/>
        </w:sectPr>
      </w:pPr>
    </w:p>
    <w:p w14:paraId="4509FB5B">
      <w:pPr>
        <w:pStyle w:val="10"/>
        <w:spacing w:before="62"/>
        <w:ind w:left="240"/>
      </w:pPr>
      <w:r>
        <w:t xml:space="preserve">规划四河设置雨水排放口 </w:t>
      </w:r>
      <w:r>
        <w:rPr>
          <w:rFonts w:ascii="Times New Roman" w:eastAsia="Times New Roman"/>
        </w:rPr>
        <w:t xml:space="preserve">4 </w:t>
      </w:r>
      <w:r>
        <w:t>个。</w:t>
      </w:r>
    </w:p>
    <w:p w14:paraId="402D6DDE">
      <w:pPr>
        <w:pStyle w:val="10"/>
        <w:spacing w:before="160"/>
        <w:ind w:left="720"/>
      </w:pPr>
      <w:r>
        <w:rPr>
          <w:rFonts w:ascii="Times New Roman" w:eastAsia="Times New Roman"/>
        </w:rPr>
        <w:t>2</w:t>
      </w:r>
      <w:r>
        <w:t>）污水工程</w:t>
      </w:r>
    </w:p>
    <w:p w14:paraId="630F7E3E">
      <w:pPr>
        <w:pStyle w:val="10"/>
        <w:spacing w:before="161"/>
        <w:ind w:left="720"/>
      </w:pPr>
      <w:r>
        <w:t>①新市片</w:t>
      </w:r>
    </w:p>
    <w:p w14:paraId="0E5A2716">
      <w:pPr>
        <w:pStyle w:val="10"/>
        <w:spacing w:before="160" w:line="364" w:lineRule="auto"/>
        <w:ind w:left="240" w:right="237" w:firstLine="482"/>
        <w:jc w:val="both"/>
      </w:pPr>
      <w:r>
        <w:rPr>
          <w:spacing w:val="-9"/>
        </w:rPr>
        <w:t>目前，新市片现有配套湖南汩罗工业园重金属污水处理厂、湖南汩罗循环经</w:t>
      </w:r>
      <w:r>
        <w:rPr>
          <w:spacing w:val="-14"/>
        </w:rPr>
        <w:t>济产业园污水处理及中水回用厂，配套的湖南汩罗高新技术产业开发区</w:t>
      </w:r>
      <w:r>
        <w:t>（循环园区</w:t>
      </w:r>
      <w:r>
        <w:rPr>
          <w:spacing w:val="-32"/>
        </w:rPr>
        <w:t>）</w:t>
      </w:r>
      <w:r>
        <w:rPr>
          <w:spacing w:val="-3"/>
        </w:rPr>
        <w:t>污水处理厂已完成所有主体工程以及设备安装，正在进行菌种培养。新市片</w:t>
      </w:r>
      <w:r>
        <w:rPr>
          <w:spacing w:val="-6"/>
        </w:rPr>
        <w:t>区涉重生产污水和涉重企业初期雨水</w:t>
      </w:r>
      <w:r>
        <w:t>（经企业内部预处理后的</w:t>
      </w:r>
      <w:r>
        <w:rPr>
          <w:spacing w:val="-46"/>
        </w:rPr>
        <w:t>）</w:t>
      </w:r>
      <w:r>
        <w:t>通过独立的重金属废水管网进入湖南汩罗工业园重金属污水处理厂处理后汇入汩罗市城市污水</w:t>
      </w:r>
      <w:r>
        <w:rPr>
          <w:spacing w:val="-6"/>
        </w:rPr>
        <w:t>处理厂后排入李家河最终排入汩罗江；再生塑料产业区企业产生的生产废水和生</w:t>
      </w:r>
      <w:r>
        <w:rPr>
          <w:spacing w:val="-9"/>
        </w:rPr>
        <w:t>活污水进入湖南汩罗循环经济产业园污水处理及中水回用厂处理后，回用于汩罗</w:t>
      </w:r>
      <w:r>
        <w:rPr>
          <w:spacing w:val="-13"/>
        </w:rPr>
        <w:t>循环经济产业园</w:t>
      </w:r>
      <w:r>
        <w:t>（再生材料产业园</w:t>
      </w:r>
      <w:r>
        <w:rPr>
          <w:spacing w:val="-32"/>
        </w:rPr>
        <w:t>）</w:t>
      </w:r>
      <w:r>
        <w:rPr>
          <w:spacing w:val="-6"/>
        </w:rPr>
        <w:t>生产用水；片区其他生活污水和非涉重工业废水经生活污水管网进入汩罗市城市污水处理厂后外排至汩罗江。</w:t>
      </w:r>
    </w:p>
    <w:p w14:paraId="7F561FDD">
      <w:pPr>
        <w:pStyle w:val="10"/>
        <w:spacing w:before="6" w:line="364" w:lineRule="auto"/>
        <w:ind w:left="240" w:right="237" w:firstLine="482"/>
        <w:jc w:val="both"/>
      </w:pPr>
      <w:r>
        <w:t>湖南汩罗工业园重金属污水处理厂主要处理产业园各涉重金属企业达标排</w:t>
      </w:r>
      <w:r>
        <w:rPr>
          <w:spacing w:val="-4"/>
        </w:rPr>
        <w:t>放的工业废水和经企业内部预处理后的含重金属初期雨水，废水和初期雨水经处</w:t>
      </w:r>
      <w:r>
        <w:rPr>
          <w:spacing w:val="-2"/>
        </w:rPr>
        <w:t xml:space="preserve">理后尾水排入汩罗城市污水处理厂进行处理，设计总处理规模 </w:t>
      </w:r>
      <w:r>
        <w:rPr>
          <w:rFonts w:ascii="Times New Roman" w:eastAsia="Times New Roman"/>
        </w:rPr>
        <w:t xml:space="preserve">1 </w:t>
      </w:r>
      <w:r>
        <w:rPr>
          <w:spacing w:val="-23"/>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，目前</w:t>
      </w:r>
      <w:r>
        <w:rPr>
          <w:spacing w:val="-9"/>
        </w:rPr>
        <w:t xml:space="preserve">实际建成规模 </w:t>
      </w:r>
      <w:r>
        <w:rPr>
          <w:rFonts w:ascii="Times New Roman" w:eastAsia="Times New Roman"/>
        </w:rPr>
        <w:t xml:space="preserve">0.5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15"/>
        </w:rPr>
        <w:t xml:space="preserve">，二期 </w:t>
      </w:r>
      <w:r>
        <w:rPr>
          <w:rFonts w:ascii="Times New Roman" w:eastAsia="Times New Roman"/>
        </w:rPr>
        <w:t xml:space="preserve">0.5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 xml:space="preserve">/d </w:t>
      </w:r>
      <w:r>
        <w:t>正在建设中。</w:t>
      </w:r>
    </w:p>
    <w:p w14:paraId="18D2DE64">
      <w:pPr>
        <w:pStyle w:val="10"/>
        <w:spacing w:before="2" w:line="364" w:lineRule="auto"/>
        <w:ind w:left="240" w:right="237" w:firstLine="482"/>
        <w:jc w:val="both"/>
      </w:pPr>
      <w:r>
        <w:rPr>
          <w:spacing w:val="-5"/>
        </w:rPr>
        <w:t>湖南汩罗循环经济产业园污水处理及中水回用厂，不包括再生有色金属产业</w:t>
      </w:r>
      <w:r>
        <w:rPr>
          <w:spacing w:val="-10"/>
        </w:rPr>
        <w:t>区和固废处理区企业产生的涉重废水，处理后的尾水达到《城镇污水处理厂污染物排放标准》（</w:t>
      </w:r>
      <w:r>
        <w:rPr>
          <w:rFonts w:ascii="Times New Roman" w:eastAsia="Times New Roman"/>
          <w:spacing w:val="-10"/>
        </w:rPr>
        <w:t>GB18918-2002</w:t>
      </w:r>
      <w:r>
        <w:rPr>
          <w:spacing w:val="-10"/>
        </w:rPr>
        <w:t>）</w:t>
      </w:r>
      <w:r>
        <w:rPr>
          <w:spacing w:val="-24"/>
        </w:rPr>
        <w:t xml:space="preserve">一级 </w:t>
      </w:r>
      <w:r>
        <w:rPr>
          <w:rFonts w:ascii="Times New Roman" w:eastAsia="Times New Roman"/>
        </w:rPr>
        <w:t xml:space="preserve">A </w:t>
      </w:r>
      <w:r>
        <w:t>标准要求后，回用于汩罗循环经济产业园</w:t>
      </w:r>
      <w:r>
        <w:rPr>
          <w:spacing w:val="2"/>
        </w:rPr>
        <w:t>（</w:t>
      </w:r>
      <w:r>
        <w:t>再生材料产业园</w:t>
      </w:r>
      <w:r>
        <w:rPr>
          <w:spacing w:val="2"/>
        </w:rPr>
        <w:t>）</w:t>
      </w:r>
      <w:r>
        <w:rPr>
          <w:spacing w:val="-4"/>
        </w:rPr>
        <w:t xml:space="preserve">生产用水，设计总处理规模 </w:t>
      </w:r>
      <w:r>
        <w:rPr>
          <w:rFonts w:ascii="Times New Roman" w:eastAsia="Times New Roman"/>
        </w:rPr>
        <w:t xml:space="preserve">1 </w:t>
      </w:r>
      <w:r>
        <w:rPr>
          <w:spacing w:val="-22"/>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，目前实际建成规</w:t>
      </w:r>
      <w:r>
        <w:rPr>
          <w:spacing w:val="-31"/>
        </w:rPr>
        <w:t xml:space="preserve">模 </w:t>
      </w:r>
      <w:r>
        <w:rPr>
          <w:rFonts w:ascii="Times New Roman" w:eastAsia="Times New Roman"/>
        </w:rPr>
        <w:t xml:space="preserve">0.5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w:t>
      </w:r>
    </w:p>
    <w:p w14:paraId="6188C21E">
      <w:pPr>
        <w:pStyle w:val="10"/>
        <w:spacing w:before="3" w:line="364" w:lineRule="auto"/>
        <w:ind w:left="240" w:right="237" w:firstLine="482"/>
        <w:jc w:val="both"/>
      </w:pPr>
      <w:r>
        <w:t>汩罗城市污水处理厂主要处理汩罗市城区及汩罗市循环经济产业园可生化</w:t>
      </w:r>
      <w:r>
        <w:rPr>
          <w:spacing w:val="-8"/>
        </w:rPr>
        <w:t xml:space="preserve">的污水，设计规模为近期 </w:t>
      </w:r>
      <w:r>
        <w:rPr>
          <w:rFonts w:ascii="Times New Roman" w:eastAsia="Times New Roman"/>
        </w:rPr>
        <w:t xml:space="preserve">5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17"/>
        </w:rPr>
        <w:t xml:space="preserve">，远期 </w:t>
      </w:r>
      <w:r>
        <w:rPr>
          <w:rFonts w:ascii="Times New Roman" w:eastAsia="Times New Roman"/>
        </w:rPr>
        <w:t xml:space="preserve">10 </w:t>
      </w:r>
      <w:r>
        <w:rPr>
          <w:spacing w:val="-30"/>
        </w:rPr>
        <w:t xml:space="preserve">万 </w:t>
      </w:r>
      <w:r>
        <w:rPr>
          <w:rFonts w:ascii="Times New Roman" w:eastAsia="Times New Roman"/>
          <w:spacing w:val="-3"/>
        </w:rPr>
        <w:t>m</w:t>
      </w:r>
      <w:r>
        <w:rPr>
          <w:rFonts w:ascii="Times New Roman" w:eastAsia="Times New Roman"/>
          <w:spacing w:val="-3"/>
          <w:position w:val="8"/>
          <w:sz w:val="15"/>
        </w:rPr>
        <w:t>3</w:t>
      </w:r>
      <w:r>
        <w:rPr>
          <w:rFonts w:ascii="Times New Roman" w:eastAsia="Times New Roman"/>
          <w:spacing w:val="-3"/>
        </w:rPr>
        <w:t>/d</w:t>
      </w:r>
      <w:r>
        <w:rPr>
          <w:spacing w:val="-8"/>
        </w:rPr>
        <w:t xml:space="preserve">，目前实际建成规模为 </w:t>
      </w:r>
      <w:r>
        <w:rPr>
          <w:rFonts w:ascii="Times New Roman" w:eastAsia="Times New Roman"/>
        </w:rPr>
        <w:t xml:space="preserve">5 </w:t>
      </w:r>
      <w:r>
        <w:t>万</w:t>
      </w:r>
    </w:p>
    <w:p w14:paraId="3D1778AA">
      <w:pPr>
        <w:pStyle w:val="10"/>
        <w:spacing w:before="1"/>
        <w:ind w:left="240"/>
        <w:rPr>
          <w:rFonts w:ascii="Times New Roman" w:eastAsia="Times New Roman"/>
        </w:rPr>
      </w:pPr>
      <w:r>
        <w:rPr>
          <w:rFonts w:ascii="Times New Roman" w:eastAsia="Times New Roman"/>
        </w:rPr>
        <w:t>m</w:t>
      </w:r>
      <w:r>
        <w:rPr>
          <w:rFonts w:ascii="Times New Roman" w:eastAsia="Times New Roman"/>
          <w:position w:val="8"/>
          <w:sz w:val="15"/>
        </w:rPr>
        <w:t>3</w:t>
      </w:r>
      <w:r>
        <w:rPr>
          <w:rFonts w:ascii="Times New Roman" w:eastAsia="Times New Roman"/>
        </w:rPr>
        <w:t>/d</w:t>
      </w:r>
      <w:r>
        <w:t>，出水达到《城镇污水处理厂污染物排放标准》（</w:t>
      </w:r>
      <w:r>
        <w:rPr>
          <w:rFonts w:ascii="Times New Roman" w:eastAsia="Times New Roman"/>
        </w:rPr>
        <w:t>GB18918-2002</w:t>
      </w:r>
      <w:r>
        <w:t xml:space="preserve">）一级 </w:t>
      </w:r>
      <w:r>
        <w:rPr>
          <w:rFonts w:ascii="Times New Roman" w:eastAsia="Times New Roman"/>
        </w:rPr>
        <w:t>A</w:t>
      </w:r>
    </w:p>
    <w:p w14:paraId="62A2F725">
      <w:pPr>
        <w:pStyle w:val="10"/>
        <w:spacing w:before="161"/>
        <w:ind w:left="240"/>
      </w:pPr>
      <w:r>
        <w:t>标准后排入李家河再汇入汩罗江。</w:t>
      </w:r>
    </w:p>
    <w:p w14:paraId="0A27E6EC">
      <w:pPr>
        <w:pStyle w:val="10"/>
        <w:spacing w:before="160" w:line="364" w:lineRule="auto"/>
        <w:ind w:left="240" w:right="237" w:firstLine="482"/>
        <w:jc w:val="both"/>
      </w:pPr>
      <w:r>
        <w:t>新市片配套的污水处理厂</w:t>
      </w:r>
      <w:r>
        <w:rPr>
          <w:rFonts w:ascii="Times New Roman" w:hAnsi="Times New Roman" w:eastAsia="Times New Roman"/>
        </w:rPr>
        <w:t>——</w:t>
      </w:r>
      <w:r>
        <w:rPr>
          <w:spacing w:val="-4"/>
        </w:rPr>
        <w:t>湖南汩罗高新技术产业开发区</w:t>
      </w:r>
      <w:r>
        <w:t>（循环园区</w:t>
      </w:r>
      <w:r>
        <w:rPr>
          <w:spacing w:val="-49"/>
        </w:rPr>
        <w:t>）</w:t>
      </w:r>
      <w:r>
        <w:t>污</w:t>
      </w:r>
      <w:r>
        <w:rPr>
          <w:spacing w:val="-9"/>
        </w:rPr>
        <w:t>水处理厂，已取得环评批复和入河排污口批复，已完成所有主体工程以及设备安</w:t>
      </w:r>
      <w:r>
        <w:rPr>
          <w:spacing w:val="-14"/>
        </w:rPr>
        <w:t xml:space="preserve">装，正在进行菌种培养，预计于 </w:t>
      </w:r>
      <w:r>
        <w:rPr>
          <w:rFonts w:ascii="Times New Roman" w:hAnsi="Times New Roman" w:eastAsia="Times New Roman"/>
        </w:rPr>
        <w:t xml:space="preserve">2024 </w:t>
      </w:r>
      <w:r>
        <w:rPr>
          <w:spacing w:val="-30"/>
        </w:rPr>
        <w:t xml:space="preserve">年 </w:t>
      </w:r>
      <w:r>
        <w:rPr>
          <w:rFonts w:ascii="Times New Roman" w:hAnsi="Times New Roman" w:eastAsia="Times New Roman"/>
        </w:rPr>
        <w:t xml:space="preserve">9 </w:t>
      </w:r>
      <w:r>
        <w:rPr>
          <w:spacing w:val="-30"/>
        </w:rPr>
        <w:t xml:space="preserve">月 </w:t>
      </w:r>
      <w:r>
        <w:rPr>
          <w:rFonts w:ascii="Times New Roman" w:hAnsi="Times New Roman" w:eastAsia="Times New Roman"/>
        </w:rPr>
        <w:t xml:space="preserve">30 </w:t>
      </w:r>
      <w:r>
        <w:rPr>
          <w:spacing w:val="-5"/>
        </w:rPr>
        <w:t>日通水试运行。湖南汩罗高新技</w:t>
      </w:r>
      <w:r>
        <w:rPr>
          <w:spacing w:val="-13"/>
        </w:rPr>
        <w:t>术产业开发区</w:t>
      </w:r>
      <w:r>
        <w:t>（循环园区</w:t>
      </w:r>
      <w:r>
        <w:rPr>
          <w:spacing w:val="-46"/>
        </w:rPr>
        <w:t>）</w:t>
      </w:r>
      <w:r>
        <w:t>污水处理厂位于湖南汩罗工业园重金属污水处理厂西</w:t>
      </w:r>
    </w:p>
    <w:p w14:paraId="3A4FA244">
      <w:pPr>
        <w:spacing w:after="0" w:line="364" w:lineRule="auto"/>
        <w:jc w:val="both"/>
        <w:sectPr>
          <w:pgSz w:w="11910" w:h="16840"/>
          <w:pgMar w:top="1440" w:right="1560" w:bottom="1220" w:left="1560" w:header="0" w:footer="1024" w:gutter="0"/>
          <w:cols w:space="720" w:num="1"/>
        </w:sectPr>
      </w:pPr>
    </w:p>
    <w:p w14:paraId="43471E60">
      <w:pPr>
        <w:pStyle w:val="10"/>
        <w:spacing w:before="42" w:line="364" w:lineRule="auto"/>
        <w:ind w:left="240" w:right="117"/>
      </w:pPr>
      <w:r>
        <w:rPr>
          <w:spacing w:val="-14"/>
        </w:rPr>
        <w:t xml:space="preserve">侧，拟接收处理新市片区规划范围北至汩罗江大道，南至水库路，东至湄江河路， </w:t>
      </w:r>
      <w:r>
        <w:rPr>
          <w:spacing w:val="-20"/>
        </w:rPr>
        <w:t xml:space="preserve">西至东风路、武广高铁，面积约 </w:t>
      </w:r>
      <w:r>
        <w:rPr>
          <w:rFonts w:ascii="Times New Roman" w:eastAsia="Times New Roman"/>
          <w:spacing w:val="-10"/>
        </w:rPr>
        <w:t>32km</w:t>
      </w:r>
      <w:r>
        <w:rPr>
          <w:rFonts w:ascii="Times New Roman" w:eastAsia="Times New Roman"/>
          <w:spacing w:val="-10"/>
          <w:position w:val="8"/>
          <w:sz w:val="15"/>
        </w:rPr>
        <w:t>2</w:t>
      </w:r>
      <w:r>
        <w:rPr>
          <w:spacing w:val="-3"/>
        </w:rPr>
        <w:t>，包含园区规划范围内企业一般工业废水、</w:t>
      </w:r>
      <w:r>
        <w:rPr>
          <w:spacing w:val="-6"/>
        </w:rPr>
        <w:t xml:space="preserve">生活污水、重金属污水处理厂尾水、园区 </w:t>
      </w:r>
      <w:r>
        <w:rPr>
          <w:rFonts w:ascii="Times New Roman" w:eastAsia="Times New Roman"/>
        </w:rPr>
        <w:t>PCB</w:t>
      </w:r>
      <w:r>
        <w:rPr>
          <w:rFonts w:ascii="Times New Roman" w:eastAsia="Times New Roman"/>
          <w:spacing w:val="8"/>
        </w:rPr>
        <w:t xml:space="preserve"> </w:t>
      </w:r>
      <w:r>
        <w:t>污水处理厂尾水，设计处理规模</w:t>
      </w:r>
      <w:r>
        <w:rPr>
          <w:spacing w:val="-30"/>
        </w:rPr>
        <w:t xml:space="preserve">为 </w:t>
      </w:r>
      <w:r>
        <w:rPr>
          <w:rFonts w:ascii="Times New Roman" w:eastAsia="Times New Roman"/>
        </w:rPr>
        <w:t xml:space="preserve">3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7"/>
        </w:rPr>
        <w:t xml:space="preserve">，近期设计规模为 </w:t>
      </w:r>
      <w:r>
        <w:rPr>
          <w:rFonts w:ascii="Times New Roman" w:eastAsia="Times New Roman"/>
        </w:rPr>
        <w:t xml:space="preserve">2 </w:t>
      </w:r>
      <w:r>
        <w:rPr>
          <w:spacing w:val="-30"/>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，处理后的尾水排放至汩罗江。</w:t>
      </w:r>
    </w:p>
    <w:p w14:paraId="29425FCC">
      <w:pPr>
        <w:pStyle w:val="10"/>
        <w:spacing w:before="2"/>
        <w:ind w:left="720"/>
      </w:pPr>
      <w:r>
        <w:t>②弼时片</w:t>
      </w:r>
    </w:p>
    <w:p w14:paraId="698336F0">
      <w:pPr>
        <w:pStyle w:val="10"/>
        <w:spacing w:before="161"/>
        <w:ind w:left="720"/>
      </w:pPr>
      <w:r>
        <w:t>弼时片目前建设有长沙经开区汩罗产业园污水厂，设计处理规模近期规模为</w:t>
      </w:r>
    </w:p>
    <w:p w14:paraId="6C771B5A">
      <w:pPr>
        <w:pStyle w:val="10"/>
        <w:spacing w:before="160"/>
        <w:ind w:left="240"/>
      </w:pPr>
      <w:r>
        <w:rPr>
          <w:rFonts w:ascii="Times New Roman" w:eastAsia="Times New Roman"/>
        </w:rPr>
        <w:t xml:space="preserve">2.5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9"/>
        </w:rPr>
        <w:t xml:space="preserve">，远期规模为 </w:t>
      </w:r>
      <w:r>
        <w:rPr>
          <w:rFonts w:ascii="Times New Roman" w:eastAsia="Times New Roman"/>
        </w:rPr>
        <w:t xml:space="preserve">5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rPr>
          <w:spacing w:val="-6"/>
        </w:rPr>
        <w:t xml:space="preserve">，目前实际建设规模为 </w:t>
      </w:r>
      <w:r>
        <w:rPr>
          <w:rFonts w:ascii="Times New Roman" w:eastAsia="Times New Roman"/>
        </w:rPr>
        <w:t xml:space="preserve">0.4 </w:t>
      </w:r>
      <w:r>
        <w:rPr>
          <w:spacing w:val="-31"/>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，尾水达到</w:t>
      </w:r>
    </w:p>
    <w:p w14:paraId="4FE92D2B">
      <w:pPr>
        <w:pStyle w:val="10"/>
        <w:spacing w:before="161" w:line="364" w:lineRule="auto"/>
        <w:ind w:left="240" w:right="191"/>
      </w:pPr>
      <w:r>
        <w:t>《城镇污水处理厂污染物排放标准》（</w:t>
      </w:r>
      <w:r>
        <w:rPr>
          <w:rFonts w:ascii="Times New Roman" w:eastAsia="Times New Roman"/>
        </w:rPr>
        <w:t>GB18918-2002</w:t>
      </w:r>
      <w:r>
        <w:t xml:space="preserve">）一级 </w:t>
      </w:r>
      <w:r>
        <w:rPr>
          <w:rFonts w:ascii="Times New Roman" w:eastAsia="Times New Roman"/>
        </w:rPr>
        <w:t xml:space="preserve">A </w:t>
      </w:r>
      <w:r>
        <w:t>标准后排入白沙河。</w:t>
      </w:r>
    </w:p>
    <w:p w14:paraId="54392C7F">
      <w:pPr>
        <w:pStyle w:val="9"/>
        <w:spacing w:before="1"/>
      </w:pPr>
      <w:r>
        <w:t>（</w:t>
      </w:r>
      <w:r>
        <w:rPr>
          <w:rFonts w:ascii="Times New Roman" w:eastAsia="Times New Roman"/>
        </w:rPr>
        <w:t>3</w:t>
      </w:r>
      <w:r>
        <w:t>）供电</w:t>
      </w:r>
    </w:p>
    <w:p w14:paraId="24B086BE">
      <w:pPr>
        <w:pStyle w:val="10"/>
        <w:spacing w:before="225" w:line="374" w:lineRule="auto"/>
        <w:ind w:left="240" w:right="237" w:firstLine="480"/>
      </w:pPr>
      <w:r>
        <w:rPr>
          <w:spacing w:val="-11"/>
        </w:rPr>
        <w:t xml:space="preserve">新市片：考虑循环园区内 </w:t>
      </w:r>
      <w:r>
        <w:rPr>
          <w:rFonts w:ascii="Times New Roman" w:hAnsi="Times New Roman" w:eastAsia="Times New Roman"/>
        </w:rPr>
        <w:t xml:space="preserve">220KV </w:t>
      </w:r>
      <w:r>
        <w:rPr>
          <w:spacing w:val="-9"/>
        </w:rPr>
        <w:t xml:space="preserve">新市变和已建 </w:t>
      </w:r>
      <w:r>
        <w:rPr>
          <w:rFonts w:ascii="Times New Roman" w:hAnsi="Times New Roman" w:eastAsia="Times New Roman"/>
        </w:rPr>
        <w:t xml:space="preserve">110KV </w:t>
      </w:r>
      <w:r>
        <w:rPr>
          <w:spacing w:val="-6"/>
        </w:rPr>
        <w:t>八里变，需要完善八</w:t>
      </w:r>
      <w:r>
        <w:rPr>
          <w:spacing w:val="-13"/>
        </w:rPr>
        <w:t xml:space="preserve">里变建设，将现有 </w:t>
      </w:r>
      <w:r>
        <w:rPr>
          <w:rFonts w:ascii="Times New Roman" w:hAnsi="Times New Roman" w:eastAsia="Times New Roman"/>
        </w:rPr>
        <w:t xml:space="preserve">50 </w:t>
      </w:r>
      <w:r>
        <w:rPr>
          <w:spacing w:val="-11"/>
        </w:rPr>
        <w:t xml:space="preserve">兆安扩容至 </w:t>
      </w:r>
      <w:r>
        <w:rPr>
          <w:rFonts w:ascii="Times New Roman" w:hAnsi="Times New Roman" w:eastAsia="Times New Roman"/>
        </w:rPr>
        <w:t>3</w:t>
      </w:r>
      <w:r>
        <w:rPr>
          <w:rFonts w:ascii="Arial" w:hAnsi="Arial" w:eastAsia="Arial"/>
        </w:rPr>
        <w:t>×</w:t>
      </w:r>
      <w:r>
        <w:rPr>
          <w:rFonts w:ascii="Times New Roman" w:hAnsi="Times New Roman" w:eastAsia="Times New Roman"/>
        </w:rPr>
        <w:t xml:space="preserve">50 </w:t>
      </w:r>
      <w:r>
        <w:t>兆安以应对未来符合发展。</w:t>
      </w:r>
    </w:p>
    <w:p w14:paraId="064A7C94">
      <w:pPr>
        <w:pStyle w:val="10"/>
        <w:spacing w:line="243" w:lineRule="exact"/>
        <w:ind w:left="720"/>
      </w:pPr>
      <w:r>
        <w:t xml:space="preserve">弼时片：主供电源点为 </w:t>
      </w:r>
      <w:r>
        <w:rPr>
          <w:rFonts w:ascii="Times New Roman" w:eastAsia="Times New Roman"/>
        </w:rPr>
        <w:t xml:space="preserve">220kV </w:t>
      </w:r>
      <w:r>
        <w:t>汩罗西变，</w:t>
      </w:r>
      <w:r>
        <w:rPr>
          <w:rFonts w:ascii="Times New Roman" w:eastAsia="Times New Roman"/>
        </w:rPr>
        <w:t xml:space="preserve">220kV </w:t>
      </w:r>
      <w:r>
        <w:t>新市变、</w:t>
      </w:r>
      <w:r>
        <w:rPr>
          <w:rFonts w:ascii="Times New Roman" w:eastAsia="Times New Roman"/>
        </w:rPr>
        <w:t xml:space="preserve">220kV </w:t>
      </w:r>
      <w:r>
        <w:t>袁家铺变</w:t>
      </w:r>
    </w:p>
    <w:p w14:paraId="31C5445A">
      <w:pPr>
        <w:pStyle w:val="10"/>
        <w:spacing w:before="161"/>
        <w:ind w:left="240"/>
        <w:rPr>
          <w:rFonts w:ascii="Times New Roman" w:eastAsia="Times New Roman"/>
        </w:rPr>
      </w:pPr>
      <w:r>
        <w:t xml:space="preserve">为支撑电源，长沙区域 </w:t>
      </w:r>
      <w:r>
        <w:rPr>
          <w:rFonts w:ascii="Times New Roman" w:eastAsia="Times New Roman"/>
        </w:rPr>
        <w:t xml:space="preserve">220kV </w:t>
      </w:r>
      <w:r>
        <w:t xml:space="preserve">电源为后备电源。在规划区范围外东侧保留 </w:t>
      </w:r>
      <w:r>
        <w:rPr>
          <w:rFonts w:ascii="Times New Roman" w:eastAsia="Times New Roman"/>
        </w:rPr>
        <w:t>110</w:t>
      </w:r>
    </w:p>
    <w:p w14:paraId="00F97643">
      <w:pPr>
        <w:pStyle w:val="10"/>
        <w:spacing w:before="160"/>
        <w:ind w:left="240"/>
      </w:pPr>
      <w:r>
        <w:t xml:space="preserve">千伏弼时变（远期 </w:t>
      </w:r>
      <w:r>
        <w:rPr>
          <w:rFonts w:ascii="Times New Roman" w:hAnsi="Times New Roman" w:eastAsia="Times New Roman"/>
        </w:rPr>
        <w:t>3</w:t>
      </w:r>
      <w:r>
        <w:t>×</w:t>
      </w:r>
      <w:r>
        <w:rPr>
          <w:rFonts w:ascii="Times New Roman" w:hAnsi="Times New Roman" w:eastAsia="Times New Roman"/>
        </w:rPr>
        <w:t xml:space="preserve">50 </w:t>
      </w:r>
      <w:r>
        <w:t>兆伏安）。</w:t>
      </w:r>
    </w:p>
    <w:p w14:paraId="1149B4EB">
      <w:pPr>
        <w:pStyle w:val="9"/>
        <w:spacing w:before="161"/>
      </w:pPr>
      <w:r>
        <w:t>（</w:t>
      </w:r>
      <w:r>
        <w:rPr>
          <w:rFonts w:ascii="Times New Roman" w:eastAsia="Times New Roman"/>
        </w:rPr>
        <w:t>4</w:t>
      </w:r>
      <w:r>
        <w:t>）道路交通</w:t>
      </w:r>
    </w:p>
    <w:p w14:paraId="01B3E3A0">
      <w:pPr>
        <w:pStyle w:val="10"/>
        <w:spacing w:before="160" w:line="364" w:lineRule="auto"/>
        <w:ind w:left="240" w:right="117" w:firstLine="480"/>
      </w:pPr>
      <w:r>
        <w:t>规划新市片区形成</w:t>
      </w:r>
      <w:r>
        <w:rPr>
          <w:rFonts w:ascii="Times New Roman" w:hAnsi="Times New Roman" w:eastAsia="Times New Roman"/>
        </w:rPr>
        <w:t>“</w:t>
      </w:r>
      <w:r>
        <w:t>三横四纵</w:t>
      </w:r>
      <w:r>
        <w:rPr>
          <w:rFonts w:ascii="Times New Roman" w:hAnsi="Times New Roman" w:eastAsia="Times New Roman"/>
        </w:rPr>
        <w:t>”</w:t>
      </w:r>
      <w:r>
        <w:rPr>
          <w:spacing w:val="-10"/>
        </w:rPr>
        <w:t>的主干道路网骨架。</w:t>
      </w:r>
      <w:r>
        <w:rPr>
          <w:rFonts w:ascii="Times New Roman" w:hAnsi="Times New Roman" w:eastAsia="Times New Roman"/>
        </w:rPr>
        <w:t>“</w:t>
      </w:r>
      <w:r>
        <w:t>三横</w:t>
      </w:r>
      <w:r>
        <w:rPr>
          <w:rFonts w:ascii="Times New Roman" w:hAnsi="Times New Roman" w:eastAsia="Times New Roman"/>
          <w:spacing w:val="-41"/>
        </w:rPr>
        <w:t>”</w:t>
      </w:r>
      <w:r>
        <w:rPr>
          <w:spacing w:val="-7"/>
        </w:rPr>
        <w:t>：是指汩罗江大道、</w:t>
      </w:r>
      <w:r>
        <w:rPr>
          <w:spacing w:val="-9"/>
        </w:rPr>
        <w:t>汩新大道、青春大道、车站大道。</w:t>
      </w:r>
      <w:r>
        <w:rPr>
          <w:rFonts w:ascii="Times New Roman" w:hAnsi="Times New Roman" w:eastAsia="Times New Roman"/>
        </w:rPr>
        <w:t>“</w:t>
      </w:r>
      <w:r>
        <w:t>四纵</w:t>
      </w:r>
      <w:r>
        <w:rPr>
          <w:rFonts w:ascii="Times New Roman" w:hAnsi="Times New Roman" w:eastAsia="Times New Roman"/>
          <w:spacing w:val="-9"/>
        </w:rPr>
        <w:t>”</w:t>
      </w:r>
      <w:r>
        <w:rPr>
          <w:spacing w:val="-7"/>
        </w:rPr>
        <w:t>：是指龙舟大道、新市大道、</w:t>
      </w:r>
      <w:r>
        <w:rPr>
          <w:rFonts w:ascii="Times New Roman" w:hAnsi="Times New Roman" w:eastAsia="Times New Roman"/>
        </w:rPr>
        <w:t>G107</w:t>
      </w:r>
      <w:r>
        <w:rPr>
          <w:spacing w:val="-9"/>
        </w:rPr>
        <w:t>、创新大道。</w:t>
      </w:r>
    </w:p>
    <w:p w14:paraId="22F6474D">
      <w:pPr>
        <w:pStyle w:val="10"/>
        <w:spacing w:before="2" w:line="364" w:lineRule="auto"/>
        <w:ind w:left="240" w:right="62" w:firstLine="480"/>
      </w:pPr>
      <w:r>
        <w:t>规划区内主干路形成“两横三纵”的结构，“两横”为汉山西路</w:t>
      </w:r>
      <w:r>
        <w:rPr>
          <w:rFonts w:ascii="Times New Roman" w:hAnsi="Times New Roman" w:eastAsia="Times New Roman"/>
        </w:rPr>
        <w:t>-</w:t>
      </w:r>
      <w:r>
        <w:t xml:space="preserve">大里塘路、新 </w:t>
      </w:r>
      <w:r>
        <w:rPr>
          <w:rFonts w:ascii="Times New Roman" w:hAnsi="Times New Roman" w:eastAsia="Times New Roman"/>
        </w:rPr>
        <w:t xml:space="preserve">107 </w:t>
      </w:r>
      <w:r>
        <w:t xml:space="preserve">国道，“三纵”为万家丽北路、唐家桥路、老 </w:t>
      </w:r>
      <w:r>
        <w:rPr>
          <w:rFonts w:ascii="Times New Roman" w:hAnsi="Times New Roman" w:eastAsia="Times New Roman"/>
        </w:rPr>
        <w:t xml:space="preserve">107 </w:t>
      </w:r>
      <w:r>
        <w:t>国道。</w:t>
      </w:r>
    </w:p>
    <w:p w14:paraId="16E84FB2">
      <w:pPr>
        <w:pStyle w:val="9"/>
        <w:spacing w:before="1"/>
      </w:pPr>
      <w:r>
        <w:t>（</w:t>
      </w:r>
      <w:r>
        <w:rPr>
          <w:rFonts w:ascii="Times New Roman" w:eastAsia="Times New Roman"/>
        </w:rPr>
        <w:t>5</w:t>
      </w:r>
      <w:r>
        <w:t>）能源</w:t>
      </w:r>
    </w:p>
    <w:p w14:paraId="552AA06E">
      <w:pPr>
        <w:pStyle w:val="10"/>
        <w:spacing w:before="161"/>
        <w:ind w:left="720"/>
      </w:pPr>
      <w:r>
        <w:t>汨罗高新技术产业开发区能源规划以电能和天然气为主。</w:t>
      </w:r>
    </w:p>
    <w:p w14:paraId="06946AB2">
      <w:pPr>
        <w:pStyle w:val="10"/>
        <w:spacing w:before="160" w:line="364" w:lineRule="auto"/>
        <w:ind w:left="240" w:right="237" w:firstLine="480"/>
        <w:jc w:val="both"/>
      </w:pPr>
      <w:r>
        <w:rPr>
          <w:spacing w:val="-6"/>
        </w:rPr>
        <w:t>汨罗管道天然气输气干管由岳阳引入。目前，汨罗城区已经建成了新市南天</w:t>
      </w:r>
      <w:r>
        <w:rPr>
          <w:spacing w:val="-11"/>
        </w:rPr>
        <w:t>然气接入站和新市片区红马天然气门站。新市片：规划保留现状天然气门站，并从城北作为第二气源供应循环园及中心城区用气。</w:t>
      </w:r>
    </w:p>
    <w:p w14:paraId="60F67BE6">
      <w:pPr>
        <w:pStyle w:val="10"/>
        <w:spacing w:before="2" w:line="364" w:lineRule="auto"/>
        <w:ind w:left="240" w:right="237" w:firstLine="480"/>
        <w:jc w:val="both"/>
      </w:pPr>
      <w:r>
        <w:rPr>
          <w:spacing w:val="-9"/>
        </w:rPr>
        <w:t>弼时片：气源考虑从中石油安沙站分输阀室接入。规划在规划区范围西南角</w:t>
      </w:r>
      <w:r>
        <w:rPr>
          <w:spacing w:val="-13"/>
        </w:rPr>
        <w:t xml:space="preserve">设置 </w:t>
      </w:r>
      <w:r>
        <w:rPr>
          <w:rFonts w:ascii="Times New Roman" w:eastAsia="Times New Roman"/>
        </w:rPr>
        <w:t xml:space="preserve">LNG </w:t>
      </w:r>
      <w:r>
        <w:t>燃气储配站</w:t>
      </w:r>
      <w:r>
        <w:rPr>
          <w:rFonts w:ascii="Times New Roman" w:eastAsia="Times New Roman"/>
          <w:spacing w:val="5"/>
        </w:rPr>
        <w:t>/</w:t>
      </w:r>
      <w:r>
        <w:t>天然气门站</w:t>
      </w:r>
      <w:r>
        <w:rPr>
          <w:rFonts w:ascii="Times New Roman" w:eastAsia="Times New Roman"/>
        </w:rPr>
        <w:t>/</w:t>
      </w:r>
      <w:r>
        <w:t>调压站，并从坪上路、唐家桥路等道路引入规划区内供气。</w:t>
      </w:r>
    </w:p>
    <w:p w14:paraId="7B37ED46">
      <w:pPr>
        <w:spacing w:after="0" w:line="364" w:lineRule="auto"/>
        <w:jc w:val="both"/>
        <w:sectPr>
          <w:pgSz w:w="11910" w:h="16840"/>
          <w:pgMar w:top="1460" w:right="1560" w:bottom="1220" w:left="1560" w:header="0" w:footer="1024" w:gutter="0"/>
          <w:cols w:space="720" w:num="1"/>
        </w:sectPr>
      </w:pPr>
    </w:p>
    <w:p w14:paraId="25EEC42F">
      <w:pPr>
        <w:pStyle w:val="16"/>
        <w:numPr>
          <w:ilvl w:val="2"/>
          <w:numId w:val="14"/>
        </w:numPr>
        <w:tabs>
          <w:tab w:val="left" w:pos="869"/>
        </w:tabs>
        <w:spacing w:before="55" w:after="0" w:line="240" w:lineRule="auto"/>
        <w:ind w:left="868" w:right="0" w:hanging="628"/>
        <w:jc w:val="left"/>
        <w:rPr>
          <w:b/>
          <w:sz w:val="28"/>
        </w:rPr>
      </w:pPr>
      <w:r>
        <w:rPr>
          <w:b/>
          <w:sz w:val="28"/>
        </w:rPr>
        <w:t>环境保护规划</w:t>
      </w:r>
    </w:p>
    <w:p w14:paraId="675AE485">
      <w:pPr>
        <w:pStyle w:val="9"/>
        <w:spacing w:before="212"/>
      </w:pPr>
      <w:r>
        <w:t>（</w:t>
      </w:r>
      <w:r>
        <w:rPr>
          <w:rFonts w:ascii="Times New Roman" w:eastAsia="Times New Roman"/>
        </w:rPr>
        <w:t>1</w:t>
      </w:r>
      <w:r>
        <w:t>）环卫设施布局</w:t>
      </w:r>
    </w:p>
    <w:p w14:paraId="6FC7DCB1">
      <w:pPr>
        <w:pStyle w:val="10"/>
        <w:spacing w:before="161"/>
        <w:ind w:left="720"/>
      </w:pPr>
      <w:r>
        <w:t xml:space="preserve">现有新桥生活垃圾填埋场，位于新市片区东部，设计垃圾填埋量为 </w:t>
      </w:r>
      <w:r>
        <w:rPr>
          <w:rFonts w:ascii="Times New Roman" w:eastAsia="Times New Roman"/>
        </w:rPr>
        <w:t xml:space="preserve">65 </w:t>
      </w:r>
      <w:r>
        <w:t>万立</w:t>
      </w:r>
    </w:p>
    <w:p w14:paraId="0BDBDF89">
      <w:pPr>
        <w:pStyle w:val="10"/>
        <w:spacing w:before="160"/>
        <w:ind w:left="240"/>
      </w:pPr>
      <w:r>
        <w:t xml:space="preserve">方米，日处理垃圾量 </w:t>
      </w:r>
      <w:r>
        <w:rPr>
          <w:rFonts w:ascii="Times New Roman" w:eastAsia="Times New Roman"/>
        </w:rPr>
        <w:t xml:space="preserve">250 </w:t>
      </w:r>
      <w:r>
        <w:t>吨，目前新桥生活垃圾填埋场已经封场处理。</w:t>
      </w:r>
    </w:p>
    <w:p w14:paraId="6E819FC9">
      <w:pPr>
        <w:pStyle w:val="10"/>
        <w:spacing w:before="161"/>
        <w:ind w:left="720"/>
        <w:rPr>
          <w:rFonts w:ascii="Times New Roman" w:eastAsia="Times New Roman"/>
        </w:rPr>
      </w:pPr>
      <w:r>
        <w:t xml:space="preserve">设有垃圾焚烧发电厂 </w:t>
      </w:r>
      <w:r>
        <w:rPr>
          <w:rFonts w:ascii="Times New Roman" w:eastAsia="Times New Roman"/>
        </w:rPr>
        <w:t xml:space="preserve">1 </w:t>
      </w:r>
      <w:r>
        <w:t xml:space="preserve">处，位于新桥村垃圾填埋场西侧，日处理垃圾 </w:t>
      </w:r>
      <w:r>
        <w:rPr>
          <w:rFonts w:ascii="Times New Roman" w:eastAsia="Times New Roman"/>
        </w:rPr>
        <w:t>500</w:t>
      </w:r>
    </w:p>
    <w:p w14:paraId="7EA69655">
      <w:pPr>
        <w:pStyle w:val="10"/>
        <w:spacing w:before="160"/>
        <w:ind w:left="240"/>
      </w:pPr>
      <w:r>
        <w:t>吨，服务范围为整个汨罗市，目前已投入运营。</w:t>
      </w:r>
    </w:p>
    <w:p w14:paraId="101146B7">
      <w:pPr>
        <w:pStyle w:val="9"/>
        <w:spacing w:before="161"/>
      </w:pPr>
      <w:r>
        <w:t>（</w:t>
      </w:r>
      <w:r>
        <w:rPr>
          <w:rFonts w:ascii="Times New Roman" w:eastAsia="Times New Roman"/>
        </w:rPr>
        <w:t>2</w:t>
      </w:r>
      <w:r>
        <w:t>）工业垃圾处理</w:t>
      </w:r>
    </w:p>
    <w:p w14:paraId="0379D877">
      <w:pPr>
        <w:pStyle w:val="10"/>
        <w:spacing w:before="160" w:line="364" w:lineRule="auto"/>
        <w:ind w:left="240" w:right="237" w:firstLine="480"/>
        <w:jc w:val="both"/>
      </w:pPr>
      <w:r>
        <w:rPr>
          <w:spacing w:val="-6"/>
        </w:rPr>
        <w:t>工业垃圾根据需要进行预处理分类收集，采用带有封闭式容器的垃圾清运车</w:t>
      </w:r>
      <w:r>
        <w:rPr>
          <w:spacing w:val="-11"/>
        </w:rPr>
        <w:t>辆运输，经减量化及资源化循环利用后，固废最终运输至工业固废处理场，进行无害化处理。</w:t>
      </w:r>
    </w:p>
    <w:p w14:paraId="07841AB0">
      <w:pPr>
        <w:pStyle w:val="9"/>
      </w:pPr>
      <w:r>
        <w:t>（</w:t>
      </w:r>
      <w:r>
        <w:rPr>
          <w:rFonts w:ascii="Times New Roman" w:eastAsia="Times New Roman"/>
        </w:rPr>
        <w:t>3</w:t>
      </w:r>
      <w:r>
        <w:t>）生活垃圾处理</w:t>
      </w:r>
    </w:p>
    <w:p w14:paraId="076B51B0">
      <w:pPr>
        <w:pStyle w:val="10"/>
        <w:spacing w:before="160" w:line="364" w:lineRule="auto"/>
        <w:ind w:left="240" w:right="237" w:firstLine="480"/>
      </w:pPr>
      <w:r>
        <w:rPr>
          <w:spacing w:val="-8"/>
        </w:rPr>
        <w:t>垃圾实行分类收集，不可燃烧垃圾运至生活垃圾填埋厂卫生填埋，可燃烧垃圾统一运至垃圾发电厂焚烧发电。</w:t>
      </w:r>
    </w:p>
    <w:p w14:paraId="53F650D7">
      <w:pPr>
        <w:pStyle w:val="9"/>
      </w:pPr>
      <w:r>
        <w:t>（</w:t>
      </w:r>
      <w:r>
        <w:rPr>
          <w:rFonts w:ascii="Times New Roman" w:eastAsia="Times New Roman"/>
        </w:rPr>
        <w:t>4</w:t>
      </w:r>
      <w:r>
        <w:t>）危险废物处置</w:t>
      </w:r>
    </w:p>
    <w:p w14:paraId="5DF1F8A3">
      <w:pPr>
        <w:pStyle w:val="10"/>
        <w:spacing w:before="160"/>
        <w:ind w:left="720"/>
      </w:pPr>
      <w:r>
        <w:t>园区设置配套服务于园区的危废综合利用处置中心。</w:t>
      </w:r>
    </w:p>
    <w:p w14:paraId="1FC7F02E">
      <w:pPr>
        <w:pStyle w:val="16"/>
        <w:numPr>
          <w:ilvl w:val="2"/>
          <w:numId w:val="14"/>
        </w:numPr>
        <w:tabs>
          <w:tab w:val="left" w:pos="869"/>
        </w:tabs>
        <w:spacing w:before="214" w:after="0" w:line="240" w:lineRule="auto"/>
        <w:ind w:left="868" w:right="0" w:hanging="628"/>
        <w:jc w:val="left"/>
        <w:rPr>
          <w:b/>
          <w:sz w:val="28"/>
        </w:rPr>
      </w:pPr>
      <w:r>
        <w:rPr>
          <w:b/>
          <w:sz w:val="28"/>
        </w:rPr>
        <w:t>项目与园区的依托关系</w:t>
      </w:r>
    </w:p>
    <w:p w14:paraId="6229ED44">
      <w:pPr>
        <w:pStyle w:val="10"/>
        <w:spacing w:before="212" w:line="364" w:lineRule="auto"/>
        <w:ind w:left="720" w:right="625"/>
      </w:pPr>
      <w:r>
        <w:t>给水：项目生产、生活用水均由园区管网供给，可满足项目用水要求。排水：项目可充分利用园区雨水管网和污水管网。</w:t>
      </w:r>
    </w:p>
    <w:p w14:paraId="2EAE4011">
      <w:pPr>
        <w:pStyle w:val="10"/>
        <w:spacing w:before="1"/>
        <w:ind w:left="720"/>
      </w:pPr>
      <w:r>
        <w:t>供电：项目可充分利用园区已有电网。</w:t>
      </w:r>
    </w:p>
    <w:p w14:paraId="78F95226">
      <w:pPr>
        <w:pStyle w:val="10"/>
        <w:spacing w:before="161"/>
        <w:ind w:left="720"/>
      </w:pPr>
      <w:r>
        <w:t>园区给水、排水、电力等配套设施可满足本项目施工建设和生产运营。</w:t>
      </w:r>
    </w:p>
    <w:p w14:paraId="5F6F1792">
      <w:pPr>
        <w:pStyle w:val="3"/>
        <w:numPr>
          <w:ilvl w:val="1"/>
          <w:numId w:val="15"/>
        </w:numPr>
        <w:tabs>
          <w:tab w:val="left" w:pos="689"/>
        </w:tabs>
        <w:spacing w:before="201" w:after="0" w:line="240" w:lineRule="auto"/>
        <w:ind w:left="688" w:right="0" w:hanging="448"/>
        <w:jc w:val="left"/>
      </w:pPr>
      <w:bookmarkStart w:id="22" w:name="_TOC_250033"/>
      <w:bookmarkEnd w:id="22"/>
      <w:r>
        <w:t>区域环境质量现状评价</w:t>
      </w:r>
    </w:p>
    <w:p w14:paraId="1071DAFB">
      <w:pPr>
        <w:pStyle w:val="16"/>
        <w:numPr>
          <w:ilvl w:val="2"/>
          <w:numId w:val="15"/>
        </w:numPr>
        <w:tabs>
          <w:tab w:val="left" w:pos="869"/>
        </w:tabs>
        <w:spacing w:before="252" w:after="0" w:line="240" w:lineRule="auto"/>
        <w:ind w:left="868" w:right="0" w:hanging="628"/>
        <w:jc w:val="left"/>
        <w:rPr>
          <w:b/>
          <w:sz w:val="28"/>
        </w:rPr>
      </w:pPr>
      <w:r>
        <w:rPr>
          <w:b/>
          <w:sz w:val="28"/>
        </w:rPr>
        <w:t>环境空气现状调查与评价</w:t>
      </w:r>
    </w:p>
    <w:p w14:paraId="207FDFFB">
      <w:pPr>
        <w:pStyle w:val="9"/>
        <w:spacing w:before="133"/>
      </w:pPr>
      <w:r>
        <w:rPr>
          <w:rFonts w:ascii="Times New Roman" w:eastAsia="Times New Roman"/>
        </w:rPr>
        <w:t>1</w:t>
      </w:r>
      <w:r>
        <w:t>、空气质量达标区判定及基本污染物环境质量现状</w:t>
      </w:r>
    </w:p>
    <w:p w14:paraId="0D594883">
      <w:pPr>
        <w:pStyle w:val="10"/>
        <w:spacing w:before="160" w:line="364" w:lineRule="auto"/>
        <w:ind w:left="240" w:right="237" w:firstLine="480"/>
        <w:jc w:val="both"/>
      </w:pPr>
      <w:r>
        <w:t>根据《环境影响评价技术导则</w:t>
      </w:r>
      <w:r>
        <w:rPr>
          <w:rFonts w:ascii="Times New Roman" w:hAnsi="Times New Roman" w:eastAsia="Times New Roman"/>
        </w:rPr>
        <w:t>—</w:t>
      </w:r>
      <w:r>
        <w:t>大气环境》（</w:t>
      </w:r>
      <w:r>
        <w:rPr>
          <w:rFonts w:ascii="Times New Roman" w:hAnsi="Times New Roman" w:eastAsia="Times New Roman"/>
        </w:rPr>
        <w:t>HJ2.2—2018</w:t>
      </w:r>
      <w:r>
        <w:t>）中</w:t>
      </w:r>
      <w:r>
        <w:rPr>
          <w:rFonts w:ascii="Times New Roman" w:hAnsi="Times New Roman" w:eastAsia="Times New Roman"/>
        </w:rPr>
        <w:t>“6</w:t>
      </w:r>
      <w:r>
        <w:t>环境空气质量现状调查与评价</w:t>
      </w:r>
      <w:r>
        <w:rPr>
          <w:rFonts w:ascii="Times New Roman" w:hAnsi="Times New Roman" w:eastAsia="Times New Roman"/>
        </w:rPr>
        <w:t>”</w:t>
      </w:r>
      <w:r>
        <w:t>内容，首先需要调查项目所在区域环境质量达标情况，作</w:t>
      </w:r>
      <w:r>
        <w:rPr>
          <w:spacing w:val="-2"/>
        </w:rPr>
        <w:t>为项目所在区域是否为达标区的判断依据。并且根据导则</w:t>
      </w:r>
      <w:r>
        <w:rPr>
          <w:rFonts w:ascii="Times New Roman" w:hAnsi="Times New Roman" w:eastAsia="Times New Roman"/>
        </w:rPr>
        <w:t>“5.5</w:t>
      </w:r>
      <w:r>
        <w:t>依据评价所需环境</w:t>
      </w:r>
      <w:r>
        <w:rPr>
          <w:spacing w:val="-7"/>
        </w:rPr>
        <w:t>空气质量现状、气象资料等数据的可获得性、数量质量、代表性等因素，选择近</w:t>
      </w:r>
    </w:p>
    <w:p w14:paraId="03B630B1">
      <w:pPr>
        <w:pStyle w:val="10"/>
        <w:spacing w:line="305" w:lineRule="exact"/>
        <w:ind w:left="240"/>
      </w:pPr>
      <w:r>
        <w:rPr>
          <w:rFonts w:ascii="Times New Roman" w:hAnsi="Times New Roman" w:eastAsia="Times New Roman"/>
        </w:rPr>
        <w:t>3</w:t>
      </w:r>
      <w:r>
        <w:t>年中数据相对完整的</w:t>
      </w:r>
      <w:r>
        <w:rPr>
          <w:rFonts w:ascii="Times New Roman" w:hAnsi="Times New Roman" w:eastAsia="Times New Roman"/>
        </w:rPr>
        <w:t>1</w:t>
      </w:r>
      <w:r>
        <w:t>个日历年作为评价基准年</w:t>
      </w:r>
      <w:r>
        <w:rPr>
          <w:rFonts w:ascii="Times New Roman" w:hAnsi="Times New Roman" w:eastAsia="Times New Roman"/>
        </w:rPr>
        <w:t>”</w:t>
      </w:r>
      <w:r>
        <w:t>的内容，本项目筛选的评价基</w:t>
      </w:r>
    </w:p>
    <w:p w14:paraId="7ECE9AE2">
      <w:pPr>
        <w:spacing w:after="0" w:line="305" w:lineRule="exact"/>
        <w:sectPr>
          <w:pgSz w:w="11910" w:h="16840"/>
          <w:pgMar w:top="1500" w:right="1560" w:bottom="1220" w:left="1560" w:header="0" w:footer="1024" w:gutter="0"/>
          <w:cols w:space="720" w:num="1"/>
        </w:sectPr>
      </w:pPr>
    </w:p>
    <w:p w14:paraId="4BBFEC5E">
      <w:pPr>
        <w:pStyle w:val="10"/>
        <w:spacing w:before="63"/>
        <w:ind w:left="240"/>
      </w:pPr>
      <w:r>
        <w:t>准年为</w:t>
      </w:r>
      <w:r>
        <w:rPr>
          <w:rFonts w:ascii="Times New Roman" w:eastAsia="Times New Roman"/>
        </w:rPr>
        <w:t>2023</w:t>
      </w:r>
      <w:r>
        <w:t>年。</w:t>
      </w:r>
    </w:p>
    <w:p w14:paraId="758A8A15">
      <w:pPr>
        <w:pStyle w:val="10"/>
        <w:spacing w:before="160" w:line="362" w:lineRule="auto"/>
        <w:ind w:left="240" w:right="237" w:firstLine="480"/>
      </w:pPr>
      <w:r>
        <w:t>本项目收集汨罗市环境保护监测站</w:t>
      </w:r>
      <w:r>
        <w:rPr>
          <w:rFonts w:ascii="Times New Roman" w:eastAsia="Times New Roman"/>
        </w:rPr>
        <w:t>2023</w:t>
      </w:r>
      <w:r>
        <w:rPr>
          <w:spacing w:val="-8"/>
        </w:rPr>
        <w:t>年空气质量现状公报的数据，测点位置为汨罗市环保局环境空气自动监测站，数据统计如下表。</w:t>
      </w:r>
    </w:p>
    <w:p w14:paraId="3211C37D">
      <w:pPr>
        <w:pStyle w:val="9"/>
        <w:tabs>
          <w:tab w:val="left" w:pos="3196"/>
        </w:tabs>
        <w:spacing w:before="84"/>
        <w:ind w:left="2157"/>
      </w:pPr>
      <w:r>
        <w:t>表</w:t>
      </w:r>
      <w:r>
        <w:rPr>
          <w:spacing w:val="-62"/>
        </w:rPr>
        <w:t xml:space="preserve"> </w:t>
      </w:r>
      <w:r>
        <w:rPr>
          <w:rFonts w:ascii="Times New Roman" w:eastAsia="Times New Roman"/>
        </w:rPr>
        <w:t>3.3-1</w:t>
      </w:r>
      <w:r>
        <w:rPr>
          <w:rFonts w:ascii="Times New Roman" w:eastAsia="Times New Roman"/>
        </w:rPr>
        <w:tab/>
      </w:r>
      <w:r>
        <w:rPr>
          <w:rFonts w:ascii="Times New Roman" w:eastAsia="Times New Roman"/>
        </w:rPr>
        <w:t>2023</w:t>
      </w:r>
      <w:r>
        <w:rPr>
          <w:rFonts w:ascii="Times New Roman" w:eastAsia="Times New Roman"/>
          <w:spacing w:val="-1"/>
        </w:rPr>
        <w:t xml:space="preserve"> </w:t>
      </w:r>
      <w:r>
        <w:t>年区域空气质量现状评价表</w:t>
      </w:r>
    </w:p>
    <w:p w14:paraId="75F95D25">
      <w:pPr>
        <w:pStyle w:val="10"/>
        <w:spacing w:before="3"/>
        <w:rPr>
          <w:b/>
          <w:sz w:val="6"/>
        </w:rPr>
      </w:pPr>
    </w:p>
    <w:tbl>
      <w:tblPr>
        <w:tblStyle w:val="13"/>
        <w:tblW w:w="0" w:type="auto"/>
        <w:tblInd w:w="2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722"/>
        <w:gridCol w:w="720"/>
        <w:gridCol w:w="1245"/>
        <w:gridCol w:w="1110"/>
        <w:gridCol w:w="990"/>
        <w:gridCol w:w="1005"/>
        <w:gridCol w:w="721"/>
      </w:tblGrid>
      <w:tr w14:paraId="04F8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2" w:type="dxa"/>
            <w:tcBorders>
              <w:left w:val="nil"/>
            </w:tcBorders>
          </w:tcPr>
          <w:p w14:paraId="6F542070">
            <w:pPr>
              <w:pStyle w:val="17"/>
              <w:spacing w:before="19"/>
              <w:ind w:left="139"/>
              <w:jc w:val="left"/>
              <w:rPr>
                <w:sz w:val="21"/>
              </w:rPr>
            </w:pPr>
            <w:r>
              <w:rPr>
                <w:w w:val="95"/>
                <w:sz w:val="21"/>
              </w:rPr>
              <w:t>评价</w:t>
            </w:r>
          </w:p>
          <w:p w14:paraId="4E1F182D">
            <w:pPr>
              <w:pStyle w:val="17"/>
              <w:spacing w:before="43"/>
              <w:ind w:left="139"/>
              <w:jc w:val="left"/>
              <w:rPr>
                <w:sz w:val="21"/>
              </w:rPr>
            </w:pPr>
            <w:r>
              <w:rPr>
                <w:w w:val="95"/>
                <w:sz w:val="21"/>
              </w:rPr>
              <w:t>因子</w:t>
            </w:r>
          </w:p>
        </w:tc>
        <w:tc>
          <w:tcPr>
            <w:tcW w:w="1722" w:type="dxa"/>
          </w:tcPr>
          <w:p w14:paraId="379D9AB0">
            <w:pPr>
              <w:pStyle w:val="17"/>
              <w:spacing w:before="175"/>
              <w:ind w:left="103" w:right="96"/>
              <w:rPr>
                <w:sz w:val="21"/>
              </w:rPr>
            </w:pPr>
            <w:r>
              <w:rPr>
                <w:sz w:val="21"/>
              </w:rPr>
              <w:t>评价时段</w:t>
            </w:r>
          </w:p>
        </w:tc>
        <w:tc>
          <w:tcPr>
            <w:tcW w:w="720" w:type="dxa"/>
          </w:tcPr>
          <w:p w14:paraId="6CA276C8">
            <w:pPr>
              <w:pStyle w:val="17"/>
              <w:spacing w:before="19"/>
              <w:ind w:left="128" w:right="122"/>
              <w:rPr>
                <w:sz w:val="21"/>
              </w:rPr>
            </w:pPr>
            <w:r>
              <w:rPr>
                <w:sz w:val="21"/>
              </w:rPr>
              <w:t>百分</w:t>
            </w:r>
          </w:p>
          <w:p w14:paraId="768F7518">
            <w:pPr>
              <w:pStyle w:val="17"/>
              <w:spacing w:before="43"/>
              <w:ind w:left="8"/>
              <w:rPr>
                <w:sz w:val="21"/>
              </w:rPr>
            </w:pPr>
            <w:r>
              <w:rPr>
                <w:w w:val="99"/>
                <w:sz w:val="21"/>
              </w:rPr>
              <w:t>位</w:t>
            </w:r>
          </w:p>
        </w:tc>
        <w:tc>
          <w:tcPr>
            <w:tcW w:w="1245" w:type="dxa"/>
          </w:tcPr>
          <w:p w14:paraId="03A529F8">
            <w:pPr>
              <w:pStyle w:val="17"/>
              <w:spacing w:before="19"/>
              <w:ind w:left="202"/>
              <w:jc w:val="left"/>
              <w:rPr>
                <w:sz w:val="21"/>
              </w:rPr>
            </w:pPr>
            <w:r>
              <w:rPr>
                <w:sz w:val="21"/>
              </w:rPr>
              <w:t>现状浓度</w:t>
            </w:r>
          </w:p>
          <w:p w14:paraId="4FAF7F6F">
            <w:pPr>
              <w:pStyle w:val="17"/>
              <w:spacing w:before="43"/>
              <w:ind w:left="158"/>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110" w:type="dxa"/>
          </w:tcPr>
          <w:p w14:paraId="6E3E597E">
            <w:pPr>
              <w:pStyle w:val="17"/>
              <w:spacing w:before="19"/>
              <w:ind w:left="53" w:right="47"/>
              <w:rPr>
                <w:sz w:val="21"/>
              </w:rPr>
            </w:pPr>
            <w:r>
              <w:rPr>
                <w:sz w:val="21"/>
              </w:rPr>
              <w:t>标准值</w:t>
            </w:r>
          </w:p>
          <w:p w14:paraId="7632EE20">
            <w:pPr>
              <w:pStyle w:val="17"/>
              <w:spacing w:before="43"/>
              <w:ind w:left="87" w:right="47"/>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990" w:type="dxa"/>
          </w:tcPr>
          <w:p w14:paraId="4C49D90D">
            <w:pPr>
              <w:pStyle w:val="17"/>
              <w:spacing w:before="19"/>
              <w:ind w:left="179"/>
              <w:jc w:val="left"/>
              <w:rPr>
                <w:sz w:val="21"/>
              </w:rPr>
            </w:pPr>
            <w:r>
              <w:rPr>
                <w:w w:val="95"/>
                <w:sz w:val="21"/>
              </w:rPr>
              <w:t>占标率</w:t>
            </w:r>
          </w:p>
          <w:p w14:paraId="5369FEE3">
            <w:pPr>
              <w:pStyle w:val="17"/>
              <w:spacing w:before="43"/>
              <w:ind w:left="196"/>
              <w:jc w:val="left"/>
              <w:rPr>
                <w:sz w:val="21"/>
              </w:rPr>
            </w:pPr>
            <w:r>
              <w:rPr>
                <w:sz w:val="21"/>
              </w:rPr>
              <w:t>（</w:t>
            </w:r>
            <w:r>
              <w:rPr>
                <w:rFonts w:ascii="Times New Roman" w:eastAsia="Times New Roman"/>
                <w:sz w:val="21"/>
              </w:rPr>
              <w:t>%</w:t>
            </w:r>
            <w:r>
              <w:rPr>
                <w:sz w:val="21"/>
              </w:rPr>
              <w:t>）</w:t>
            </w:r>
          </w:p>
        </w:tc>
        <w:tc>
          <w:tcPr>
            <w:tcW w:w="1005" w:type="dxa"/>
          </w:tcPr>
          <w:p w14:paraId="55F64437">
            <w:pPr>
              <w:pStyle w:val="17"/>
              <w:spacing w:before="19"/>
              <w:ind w:left="291"/>
              <w:jc w:val="left"/>
              <w:rPr>
                <w:sz w:val="21"/>
              </w:rPr>
            </w:pPr>
            <w:r>
              <w:rPr>
                <w:w w:val="95"/>
                <w:sz w:val="21"/>
              </w:rPr>
              <w:t>达标</w:t>
            </w:r>
          </w:p>
          <w:p w14:paraId="7D10E038">
            <w:pPr>
              <w:pStyle w:val="17"/>
              <w:spacing w:before="43"/>
              <w:ind w:left="291"/>
              <w:jc w:val="left"/>
              <w:rPr>
                <w:sz w:val="21"/>
              </w:rPr>
            </w:pPr>
            <w:r>
              <w:rPr>
                <w:w w:val="95"/>
                <w:sz w:val="21"/>
              </w:rPr>
              <w:t>情况</w:t>
            </w:r>
          </w:p>
        </w:tc>
        <w:tc>
          <w:tcPr>
            <w:tcW w:w="721" w:type="dxa"/>
            <w:tcBorders>
              <w:right w:val="nil"/>
            </w:tcBorders>
          </w:tcPr>
          <w:p w14:paraId="47DA3E2D">
            <w:pPr>
              <w:pStyle w:val="17"/>
              <w:spacing w:before="19"/>
              <w:ind w:left="150"/>
              <w:jc w:val="left"/>
              <w:rPr>
                <w:sz w:val="21"/>
              </w:rPr>
            </w:pPr>
            <w:r>
              <w:rPr>
                <w:w w:val="95"/>
                <w:sz w:val="21"/>
              </w:rPr>
              <w:t>超标</w:t>
            </w:r>
          </w:p>
          <w:p w14:paraId="59A4FAE3">
            <w:pPr>
              <w:pStyle w:val="17"/>
              <w:spacing w:before="43"/>
              <w:ind w:left="150"/>
              <w:jc w:val="left"/>
              <w:rPr>
                <w:sz w:val="21"/>
              </w:rPr>
            </w:pPr>
            <w:r>
              <w:rPr>
                <w:w w:val="95"/>
                <w:sz w:val="21"/>
              </w:rPr>
              <w:t>倍数</w:t>
            </w:r>
          </w:p>
        </w:tc>
      </w:tr>
      <w:tr w14:paraId="08EC5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restart"/>
            <w:tcBorders>
              <w:left w:val="nil"/>
            </w:tcBorders>
          </w:tcPr>
          <w:p w14:paraId="7956C024">
            <w:pPr>
              <w:pStyle w:val="17"/>
              <w:spacing w:before="1"/>
              <w:jc w:val="left"/>
              <w:rPr>
                <w:b/>
                <w:sz w:val="17"/>
              </w:rPr>
            </w:pPr>
          </w:p>
          <w:p w14:paraId="0E7C2704">
            <w:pPr>
              <w:pStyle w:val="17"/>
              <w:ind w:left="182"/>
              <w:jc w:val="left"/>
              <w:rPr>
                <w:rFonts w:ascii="Times New Roman"/>
                <w:sz w:val="21"/>
              </w:rPr>
            </w:pPr>
            <w:r>
              <w:rPr>
                <w:rFonts w:ascii="Times New Roman"/>
                <w:position w:val="2"/>
                <w:sz w:val="21"/>
              </w:rPr>
              <w:t>SO</w:t>
            </w:r>
            <w:r>
              <w:rPr>
                <w:rFonts w:ascii="Times New Roman"/>
                <w:position w:val="2"/>
                <w:sz w:val="21"/>
                <w:vertAlign w:val="subscript"/>
              </w:rPr>
              <w:t>2</w:t>
            </w:r>
          </w:p>
        </w:tc>
        <w:tc>
          <w:tcPr>
            <w:tcW w:w="1722" w:type="dxa"/>
          </w:tcPr>
          <w:p w14:paraId="6C3011B3">
            <w:pPr>
              <w:pStyle w:val="17"/>
              <w:spacing w:before="33"/>
              <w:ind w:left="103" w:right="96"/>
              <w:rPr>
                <w:sz w:val="21"/>
              </w:rPr>
            </w:pPr>
            <w:r>
              <w:rPr>
                <w:sz w:val="21"/>
              </w:rPr>
              <w:t>年平均浓度</w:t>
            </w:r>
          </w:p>
        </w:tc>
        <w:tc>
          <w:tcPr>
            <w:tcW w:w="720" w:type="dxa"/>
          </w:tcPr>
          <w:p w14:paraId="5E67439F">
            <w:pPr>
              <w:pStyle w:val="17"/>
              <w:spacing w:before="47"/>
              <w:ind w:left="11"/>
              <w:rPr>
                <w:rFonts w:ascii="Times New Roman"/>
                <w:sz w:val="21"/>
              </w:rPr>
            </w:pPr>
            <w:r>
              <w:rPr>
                <w:rFonts w:ascii="Times New Roman"/>
                <w:w w:val="99"/>
                <w:sz w:val="21"/>
              </w:rPr>
              <w:t>/</w:t>
            </w:r>
          </w:p>
        </w:tc>
        <w:tc>
          <w:tcPr>
            <w:tcW w:w="1245" w:type="dxa"/>
          </w:tcPr>
          <w:p w14:paraId="1E08DEC1">
            <w:pPr>
              <w:pStyle w:val="17"/>
              <w:spacing w:before="47"/>
              <w:ind w:left="8"/>
              <w:rPr>
                <w:rFonts w:ascii="Times New Roman"/>
                <w:sz w:val="21"/>
              </w:rPr>
            </w:pPr>
            <w:r>
              <w:rPr>
                <w:rFonts w:ascii="Times New Roman"/>
                <w:w w:val="99"/>
                <w:sz w:val="21"/>
              </w:rPr>
              <w:t>5</w:t>
            </w:r>
          </w:p>
        </w:tc>
        <w:tc>
          <w:tcPr>
            <w:tcW w:w="1110" w:type="dxa"/>
          </w:tcPr>
          <w:p w14:paraId="738F9D35">
            <w:pPr>
              <w:pStyle w:val="17"/>
              <w:spacing w:before="47"/>
              <w:ind w:left="57" w:right="47"/>
              <w:rPr>
                <w:rFonts w:ascii="Times New Roman"/>
                <w:sz w:val="21"/>
              </w:rPr>
            </w:pPr>
            <w:r>
              <w:rPr>
                <w:rFonts w:ascii="Times New Roman"/>
                <w:sz w:val="21"/>
              </w:rPr>
              <w:t>60</w:t>
            </w:r>
          </w:p>
        </w:tc>
        <w:tc>
          <w:tcPr>
            <w:tcW w:w="990" w:type="dxa"/>
          </w:tcPr>
          <w:p w14:paraId="00F76E39">
            <w:pPr>
              <w:pStyle w:val="17"/>
              <w:spacing w:before="49"/>
              <w:ind w:right="299"/>
              <w:jc w:val="right"/>
              <w:rPr>
                <w:rFonts w:ascii="Times New Roman"/>
                <w:sz w:val="21"/>
              </w:rPr>
            </w:pPr>
            <w:r>
              <w:rPr>
                <w:rFonts w:ascii="Times New Roman"/>
                <w:sz w:val="21"/>
              </w:rPr>
              <w:t>8.33</w:t>
            </w:r>
          </w:p>
        </w:tc>
        <w:tc>
          <w:tcPr>
            <w:tcW w:w="1005" w:type="dxa"/>
          </w:tcPr>
          <w:p w14:paraId="73663C8D">
            <w:pPr>
              <w:pStyle w:val="17"/>
              <w:spacing w:before="33"/>
              <w:ind w:left="270" w:right="265"/>
              <w:rPr>
                <w:sz w:val="21"/>
              </w:rPr>
            </w:pPr>
            <w:r>
              <w:rPr>
                <w:sz w:val="21"/>
              </w:rPr>
              <w:t>达标</w:t>
            </w:r>
          </w:p>
        </w:tc>
        <w:tc>
          <w:tcPr>
            <w:tcW w:w="721" w:type="dxa"/>
            <w:tcBorders>
              <w:right w:val="nil"/>
            </w:tcBorders>
          </w:tcPr>
          <w:p w14:paraId="054C0FE3">
            <w:pPr>
              <w:pStyle w:val="17"/>
              <w:spacing w:before="47"/>
              <w:ind w:left="3"/>
              <w:rPr>
                <w:rFonts w:ascii="Times New Roman"/>
                <w:sz w:val="21"/>
              </w:rPr>
            </w:pPr>
            <w:r>
              <w:rPr>
                <w:rFonts w:ascii="Times New Roman"/>
                <w:w w:val="99"/>
                <w:sz w:val="21"/>
              </w:rPr>
              <w:t>/</w:t>
            </w:r>
          </w:p>
        </w:tc>
      </w:tr>
      <w:tr w14:paraId="576F1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continue"/>
            <w:tcBorders>
              <w:top w:val="nil"/>
              <w:left w:val="nil"/>
            </w:tcBorders>
          </w:tcPr>
          <w:p w14:paraId="691E1CDF">
            <w:pPr>
              <w:rPr>
                <w:sz w:val="2"/>
                <w:szCs w:val="2"/>
              </w:rPr>
            </w:pPr>
          </w:p>
        </w:tc>
        <w:tc>
          <w:tcPr>
            <w:tcW w:w="1722" w:type="dxa"/>
          </w:tcPr>
          <w:p w14:paraId="45B30C94">
            <w:pPr>
              <w:pStyle w:val="17"/>
              <w:spacing w:before="33"/>
              <w:ind w:left="106" w:right="96"/>
              <w:rPr>
                <w:sz w:val="21"/>
              </w:rPr>
            </w:pPr>
            <w:r>
              <w:rPr>
                <w:sz w:val="21"/>
              </w:rPr>
              <w:t>百分位上日平均</w:t>
            </w:r>
          </w:p>
        </w:tc>
        <w:tc>
          <w:tcPr>
            <w:tcW w:w="720" w:type="dxa"/>
          </w:tcPr>
          <w:p w14:paraId="77C089E3">
            <w:pPr>
              <w:pStyle w:val="17"/>
              <w:spacing w:before="47"/>
              <w:ind w:left="128" w:right="118"/>
              <w:rPr>
                <w:rFonts w:ascii="Times New Roman"/>
                <w:sz w:val="21"/>
              </w:rPr>
            </w:pPr>
            <w:r>
              <w:rPr>
                <w:rFonts w:ascii="Times New Roman"/>
                <w:sz w:val="21"/>
              </w:rPr>
              <w:t>98</w:t>
            </w:r>
          </w:p>
        </w:tc>
        <w:tc>
          <w:tcPr>
            <w:tcW w:w="1245" w:type="dxa"/>
          </w:tcPr>
          <w:p w14:paraId="64F5ED27">
            <w:pPr>
              <w:pStyle w:val="17"/>
              <w:spacing w:before="47"/>
              <w:ind w:left="75" w:right="67"/>
              <w:rPr>
                <w:rFonts w:ascii="Times New Roman"/>
                <w:sz w:val="21"/>
              </w:rPr>
            </w:pPr>
            <w:r>
              <w:rPr>
                <w:rFonts w:ascii="Times New Roman"/>
                <w:sz w:val="21"/>
              </w:rPr>
              <w:t>11</w:t>
            </w:r>
          </w:p>
        </w:tc>
        <w:tc>
          <w:tcPr>
            <w:tcW w:w="1110" w:type="dxa"/>
          </w:tcPr>
          <w:p w14:paraId="1205CA86">
            <w:pPr>
              <w:pStyle w:val="17"/>
              <w:spacing w:before="47"/>
              <w:ind w:left="57" w:right="47"/>
              <w:rPr>
                <w:rFonts w:ascii="Times New Roman"/>
                <w:sz w:val="21"/>
              </w:rPr>
            </w:pPr>
            <w:r>
              <w:rPr>
                <w:rFonts w:ascii="Times New Roman"/>
                <w:sz w:val="21"/>
              </w:rPr>
              <w:t>150</w:t>
            </w:r>
          </w:p>
        </w:tc>
        <w:tc>
          <w:tcPr>
            <w:tcW w:w="990" w:type="dxa"/>
          </w:tcPr>
          <w:p w14:paraId="59A74ADF">
            <w:pPr>
              <w:pStyle w:val="17"/>
              <w:spacing w:before="50"/>
              <w:ind w:right="299"/>
              <w:jc w:val="right"/>
              <w:rPr>
                <w:rFonts w:ascii="Times New Roman"/>
                <w:sz w:val="21"/>
              </w:rPr>
            </w:pPr>
            <w:r>
              <w:rPr>
                <w:rFonts w:ascii="Times New Roman"/>
                <w:sz w:val="21"/>
              </w:rPr>
              <w:t>7.33</w:t>
            </w:r>
          </w:p>
        </w:tc>
        <w:tc>
          <w:tcPr>
            <w:tcW w:w="1005" w:type="dxa"/>
          </w:tcPr>
          <w:p w14:paraId="4E652D4A">
            <w:pPr>
              <w:pStyle w:val="17"/>
              <w:spacing w:before="33"/>
              <w:ind w:left="270" w:right="265"/>
              <w:rPr>
                <w:sz w:val="21"/>
              </w:rPr>
            </w:pPr>
            <w:r>
              <w:rPr>
                <w:sz w:val="21"/>
              </w:rPr>
              <w:t>达标</w:t>
            </w:r>
          </w:p>
        </w:tc>
        <w:tc>
          <w:tcPr>
            <w:tcW w:w="721" w:type="dxa"/>
            <w:tcBorders>
              <w:right w:val="nil"/>
            </w:tcBorders>
          </w:tcPr>
          <w:p w14:paraId="0AD15E56">
            <w:pPr>
              <w:pStyle w:val="17"/>
              <w:spacing w:before="47"/>
              <w:ind w:left="3"/>
              <w:rPr>
                <w:rFonts w:ascii="Times New Roman"/>
                <w:sz w:val="21"/>
              </w:rPr>
            </w:pPr>
            <w:r>
              <w:rPr>
                <w:rFonts w:ascii="Times New Roman"/>
                <w:w w:val="99"/>
                <w:sz w:val="21"/>
              </w:rPr>
              <w:t>/</w:t>
            </w:r>
          </w:p>
        </w:tc>
      </w:tr>
      <w:tr w14:paraId="04382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restart"/>
            <w:tcBorders>
              <w:left w:val="nil"/>
            </w:tcBorders>
          </w:tcPr>
          <w:p w14:paraId="1403A6DF">
            <w:pPr>
              <w:pStyle w:val="17"/>
              <w:spacing w:before="2"/>
              <w:jc w:val="left"/>
              <w:rPr>
                <w:b/>
                <w:sz w:val="17"/>
              </w:rPr>
            </w:pPr>
          </w:p>
          <w:p w14:paraId="27D8826F">
            <w:pPr>
              <w:pStyle w:val="17"/>
              <w:ind w:left="163"/>
              <w:jc w:val="left"/>
              <w:rPr>
                <w:rFonts w:ascii="Times New Roman"/>
                <w:sz w:val="21"/>
              </w:rPr>
            </w:pPr>
            <w:r>
              <w:rPr>
                <w:rFonts w:ascii="Times New Roman"/>
                <w:position w:val="2"/>
                <w:sz w:val="21"/>
              </w:rPr>
              <w:t>NO</w:t>
            </w:r>
            <w:r>
              <w:rPr>
                <w:rFonts w:ascii="Times New Roman"/>
                <w:position w:val="2"/>
                <w:sz w:val="21"/>
                <w:vertAlign w:val="subscript"/>
              </w:rPr>
              <w:t>2</w:t>
            </w:r>
          </w:p>
        </w:tc>
        <w:tc>
          <w:tcPr>
            <w:tcW w:w="1722" w:type="dxa"/>
          </w:tcPr>
          <w:p w14:paraId="12F5C86E">
            <w:pPr>
              <w:pStyle w:val="17"/>
              <w:spacing w:before="34"/>
              <w:ind w:left="103" w:right="96"/>
              <w:rPr>
                <w:sz w:val="21"/>
              </w:rPr>
            </w:pPr>
            <w:r>
              <w:rPr>
                <w:sz w:val="21"/>
              </w:rPr>
              <w:t>年平均浓度</w:t>
            </w:r>
          </w:p>
        </w:tc>
        <w:tc>
          <w:tcPr>
            <w:tcW w:w="720" w:type="dxa"/>
          </w:tcPr>
          <w:p w14:paraId="75884A6C">
            <w:pPr>
              <w:pStyle w:val="17"/>
              <w:spacing w:before="48"/>
              <w:ind w:left="11"/>
              <w:rPr>
                <w:rFonts w:ascii="Times New Roman"/>
                <w:sz w:val="21"/>
              </w:rPr>
            </w:pPr>
            <w:r>
              <w:rPr>
                <w:rFonts w:ascii="Times New Roman"/>
                <w:w w:val="99"/>
                <w:sz w:val="21"/>
              </w:rPr>
              <w:t>/</w:t>
            </w:r>
          </w:p>
        </w:tc>
        <w:tc>
          <w:tcPr>
            <w:tcW w:w="1245" w:type="dxa"/>
          </w:tcPr>
          <w:p w14:paraId="447B650B">
            <w:pPr>
              <w:pStyle w:val="17"/>
              <w:spacing w:before="48"/>
              <w:ind w:left="75" w:right="67"/>
              <w:rPr>
                <w:rFonts w:ascii="Times New Roman"/>
                <w:sz w:val="21"/>
              </w:rPr>
            </w:pPr>
            <w:r>
              <w:rPr>
                <w:rFonts w:ascii="Times New Roman"/>
                <w:sz w:val="21"/>
              </w:rPr>
              <w:t>14</w:t>
            </w:r>
          </w:p>
        </w:tc>
        <w:tc>
          <w:tcPr>
            <w:tcW w:w="1110" w:type="dxa"/>
          </w:tcPr>
          <w:p w14:paraId="32F2C1A9">
            <w:pPr>
              <w:pStyle w:val="17"/>
              <w:spacing w:before="48"/>
              <w:ind w:left="57" w:right="47"/>
              <w:rPr>
                <w:rFonts w:ascii="Times New Roman"/>
                <w:sz w:val="21"/>
              </w:rPr>
            </w:pPr>
            <w:r>
              <w:rPr>
                <w:rFonts w:ascii="Times New Roman"/>
                <w:sz w:val="21"/>
              </w:rPr>
              <w:t>40</w:t>
            </w:r>
          </w:p>
        </w:tc>
        <w:tc>
          <w:tcPr>
            <w:tcW w:w="990" w:type="dxa"/>
          </w:tcPr>
          <w:p w14:paraId="16BEC85F">
            <w:pPr>
              <w:pStyle w:val="17"/>
              <w:spacing w:before="48"/>
              <w:ind w:right="247"/>
              <w:jc w:val="right"/>
              <w:rPr>
                <w:rFonts w:ascii="Times New Roman"/>
                <w:sz w:val="21"/>
              </w:rPr>
            </w:pPr>
            <w:r>
              <w:rPr>
                <w:rFonts w:ascii="Times New Roman"/>
                <w:sz w:val="21"/>
              </w:rPr>
              <w:t>35.00</w:t>
            </w:r>
          </w:p>
        </w:tc>
        <w:tc>
          <w:tcPr>
            <w:tcW w:w="1005" w:type="dxa"/>
          </w:tcPr>
          <w:p w14:paraId="05D0275C">
            <w:pPr>
              <w:pStyle w:val="17"/>
              <w:spacing w:before="34"/>
              <w:ind w:left="270" w:right="265"/>
              <w:rPr>
                <w:sz w:val="21"/>
              </w:rPr>
            </w:pPr>
            <w:r>
              <w:rPr>
                <w:sz w:val="21"/>
              </w:rPr>
              <w:t>达标</w:t>
            </w:r>
          </w:p>
        </w:tc>
        <w:tc>
          <w:tcPr>
            <w:tcW w:w="721" w:type="dxa"/>
            <w:tcBorders>
              <w:right w:val="nil"/>
            </w:tcBorders>
          </w:tcPr>
          <w:p w14:paraId="69A5DD3A">
            <w:pPr>
              <w:pStyle w:val="17"/>
              <w:spacing w:before="48"/>
              <w:ind w:left="3"/>
              <w:rPr>
                <w:rFonts w:ascii="Times New Roman"/>
                <w:sz w:val="21"/>
              </w:rPr>
            </w:pPr>
            <w:r>
              <w:rPr>
                <w:rFonts w:ascii="Times New Roman"/>
                <w:w w:val="99"/>
                <w:sz w:val="21"/>
              </w:rPr>
              <w:t>/</w:t>
            </w:r>
          </w:p>
        </w:tc>
      </w:tr>
      <w:tr w14:paraId="37B68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vMerge w:val="continue"/>
            <w:tcBorders>
              <w:top w:val="nil"/>
              <w:left w:val="nil"/>
            </w:tcBorders>
          </w:tcPr>
          <w:p w14:paraId="432B12E6">
            <w:pPr>
              <w:rPr>
                <w:sz w:val="2"/>
                <w:szCs w:val="2"/>
              </w:rPr>
            </w:pPr>
          </w:p>
        </w:tc>
        <w:tc>
          <w:tcPr>
            <w:tcW w:w="1722" w:type="dxa"/>
          </w:tcPr>
          <w:p w14:paraId="5E3F1486">
            <w:pPr>
              <w:pStyle w:val="17"/>
              <w:spacing w:before="34"/>
              <w:ind w:left="106" w:right="96"/>
              <w:rPr>
                <w:sz w:val="21"/>
              </w:rPr>
            </w:pPr>
            <w:r>
              <w:rPr>
                <w:sz w:val="21"/>
              </w:rPr>
              <w:t>百分位上日平均</w:t>
            </w:r>
          </w:p>
        </w:tc>
        <w:tc>
          <w:tcPr>
            <w:tcW w:w="720" w:type="dxa"/>
          </w:tcPr>
          <w:p w14:paraId="12033CBC">
            <w:pPr>
              <w:pStyle w:val="17"/>
              <w:spacing w:before="48"/>
              <w:ind w:left="128" w:right="118"/>
              <w:rPr>
                <w:rFonts w:ascii="Times New Roman"/>
                <w:sz w:val="21"/>
              </w:rPr>
            </w:pPr>
            <w:r>
              <w:rPr>
                <w:rFonts w:ascii="Times New Roman"/>
                <w:sz w:val="21"/>
              </w:rPr>
              <w:t>98</w:t>
            </w:r>
          </w:p>
        </w:tc>
        <w:tc>
          <w:tcPr>
            <w:tcW w:w="1245" w:type="dxa"/>
          </w:tcPr>
          <w:p w14:paraId="43FAC6C4">
            <w:pPr>
              <w:pStyle w:val="17"/>
              <w:spacing w:before="48"/>
              <w:ind w:left="75" w:right="67"/>
              <w:rPr>
                <w:rFonts w:ascii="Times New Roman"/>
                <w:sz w:val="21"/>
              </w:rPr>
            </w:pPr>
            <w:r>
              <w:rPr>
                <w:rFonts w:ascii="Times New Roman"/>
                <w:sz w:val="21"/>
              </w:rPr>
              <w:t>36</w:t>
            </w:r>
          </w:p>
        </w:tc>
        <w:tc>
          <w:tcPr>
            <w:tcW w:w="1110" w:type="dxa"/>
          </w:tcPr>
          <w:p w14:paraId="2A0D36E0">
            <w:pPr>
              <w:pStyle w:val="17"/>
              <w:spacing w:before="48"/>
              <w:ind w:left="57" w:right="47"/>
              <w:rPr>
                <w:rFonts w:ascii="Times New Roman"/>
                <w:sz w:val="21"/>
              </w:rPr>
            </w:pPr>
            <w:r>
              <w:rPr>
                <w:rFonts w:ascii="Times New Roman"/>
                <w:sz w:val="21"/>
              </w:rPr>
              <w:t>80</w:t>
            </w:r>
          </w:p>
        </w:tc>
        <w:tc>
          <w:tcPr>
            <w:tcW w:w="990" w:type="dxa"/>
          </w:tcPr>
          <w:p w14:paraId="421A0A62">
            <w:pPr>
              <w:pStyle w:val="17"/>
              <w:spacing w:before="48"/>
              <w:ind w:right="247"/>
              <w:jc w:val="right"/>
              <w:rPr>
                <w:rFonts w:ascii="Times New Roman"/>
                <w:sz w:val="21"/>
              </w:rPr>
            </w:pPr>
            <w:r>
              <w:rPr>
                <w:rFonts w:ascii="Times New Roman"/>
                <w:sz w:val="21"/>
              </w:rPr>
              <w:t>45.00</w:t>
            </w:r>
          </w:p>
        </w:tc>
        <w:tc>
          <w:tcPr>
            <w:tcW w:w="1005" w:type="dxa"/>
          </w:tcPr>
          <w:p w14:paraId="3486D6A1">
            <w:pPr>
              <w:pStyle w:val="17"/>
              <w:spacing w:before="34"/>
              <w:ind w:left="270" w:right="265"/>
              <w:rPr>
                <w:sz w:val="21"/>
              </w:rPr>
            </w:pPr>
            <w:r>
              <w:rPr>
                <w:sz w:val="21"/>
              </w:rPr>
              <w:t>达标</w:t>
            </w:r>
          </w:p>
        </w:tc>
        <w:tc>
          <w:tcPr>
            <w:tcW w:w="721" w:type="dxa"/>
            <w:tcBorders>
              <w:right w:val="nil"/>
            </w:tcBorders>
          </w:tcPr>
          <w:p w14:paraId="4D9E91F8">
            <w:pPr>
              <w:pStyle w:val="17"/>
              <w:spacing w:before="48"/>
              <w:ind w:left="3"/>
              <w:rPr>
                <w:rFonts w:ascii="Times New Roman"/>
                <w:sz w:val="21"/>
              </w:rPr>
            </w:pPr>
            <w:r>
              <w:rPr>
                <w:rFonts w:ascii="Times New Roman"/>
                <w:w w:val="99"/>
                <w:sz w:val="21"/>
              </w:rPr>
              <w:t>/</w:t>
            </w:r>
          </w:p>
        </w:tc>
      </w:tr>
      <w:tr w14:paraId="1F553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401DC3D8">
            <w:pPr>
              <w:pStyle w:val="17"/>
              <w:spacing w:before="45"/>
              <w:ind w:left="85" w:right="72"/>
              <w:rPr>
                <w:rFonts w:ascii="Times New Roman"/>
                <w:sz w:val="21"/>
              </w:rPr>
            </w:pPr>
            <w:r>
              <w:rPr>
                <w:rFonts w:ascii="Times New Roman"/>
                <w:position w:val="2"/>
                <w:sz w:val="21"/>
              </w:rPr>
              <w:t>PM</w:t>
            </w:r>
            <w:r>
              <w:rPr>
                <w:rFonts w:ascii="Times New Roman"/>
                <w:position w:val="2"/>
                <w:sz w:val="21"/>
                <w:vertAlign w:val="subscript"/>
              </w:rPr>
              <w:t>10</w:t>
            </w:r>
          </w:p>
        </w:tc>
        <w:tc>
          <w:tcPr>
            <w:tcW w:w="1722" w:type="dxa"/>
          </w:tcPr>
          <w:p w14:paraId="1E68A51D">
            <w:pPr>
              <w:pStyle w:val="17"/>
              <w:spacing w:before="35"/>
              <w:ind w:left="103" w:right="96"/>
              <w:rPr>
                <w:sz w:val="21"/>
              </w:rPr>
            </w:pPr>
            <w:r>
              <w:rPr>
                <w:sz w:val="21"/>
              </w:rPr>
              <w:t>年平均浓度</w:t>
            </w:r>
          </w:p>
        </w:tc>
        <w:tc>
          <w:tcPr>
            <w:tcW w:w="720" w:type="dxa"/>
          </w:tcPr>
          <w:p w14:paraId="337DC5E8">
            <w:pPr>
              <w:pStyle w:val="17"/>
              <w:spacing w:before="49"/>
              <w:ind w:left="11"/>
              <w:rPr>
                <w:rFonts w:ascii="Times New Roman"/>
                <w:sz w:val="21"/>
              </w:rPr>
            </w:pPr>
            <w:r>
              <w:rPr>
                <w:rFonts w:ascii="Times New Roman"/>
                <w:w w:val="99"/>
                <w:sz w:val="21"/>
              </w:rPr>
              <w:t>/</w:t>
            </w:r>
          </w:p>
        </w:tc>
        <w:tc>
          <w:tcPr>
            <w:tcW w:w="1245" w:type="dxa"/>
          </w:tcPr>
          <w:p w14:paraId="479975CC">
            <w:pPr>
              <w:pStyle w:val="17"/>
              <w:spacing w:before="49"/>
              <w:ind w:left="75" w:right="67"/>
              <w:rPr>
                <w:rFonts w:ascii="Times New Roman"/>
                <w:sz w:val="21"/>
              </w:rPr>
            </w:pPr>
            <w:r>
              <w:rPr>
                <w:rFonts w:ascii="Times New Roman"/>
                <w:sz w:val="21"/>
              </w:rPr>
              <w:t>49</w:t>
            </w:r>
          </w:p>
        </w:tc>
        <w:tc>
          <w:tcPr>
            <w:tcW w:w="1110" w:type="dxa"/>
          </w:tcPr>
          <w:p w14:paraId="20C27595">
            <w:pPr>
              <w:pStyle w:val="17"/>
              <w:spacing w:before="49"/>
              <w:ind w:left="57" w:right="47"/>
              <w:rPr>
                <w:rFonts w:ascii="Times New Roman"/>
                <w:sz w:val="21"/>
              </w:rPr>
            </w:pPr>
            <w:r>
              <w:rPr>
                <w:rFonts w:ascii="Times New Roman"/>
                <w:sz w:val="21"/>
              </w:rPr>
              <w:t>70</w:t>
            </w:r>
          </w:p>
        </w:tc>
        <w:tc>
          <w:tcPr>
            <w:tcW w:w="990" w:type="dxa"/>
          </w:tcPr>
          <w:p w14:paraId="6FFD04F3">
            <w:pPr>
              <w:pStyle w:val="17"/>
              <w:spacing w:before="49"/>
              <w:ind w:right="247"/>
              <w:jc w:val="right"/>
              <w:rPr>
                <w:rFonts w:ascii="Times New Roman"/>
                <w:sz w:val="21"/>
              </w:rPr>
            </w:pPr>
            <w:r>
              <w:rPr>
                <w:rFonts w:ascii="Times New Roman"/>
                <w:sz w:val="21"/>
              </w:rPr>
              <w:t>70.00</w:t>
            </w:r>
          </w:p>
        </w:tc>
        <w:tc>
          <w:tcPr>
            <w:tcW w:w="1005" w:type="dxa"/>
          </w:tcPr>
          <w:p w14:paraId="0A257260">
            <w:pPr>
              <w:pStyle w:val="17"/>
              <w:spacing w:before="35"/>
              <w:ind w:left="270" w:right="265"/>
              <w:rPr>
                <w:sz w:val="21"/>
              </w:rPr>
            </w:pPr>
            <w:r>
              <w:rPr>
                <w:sz w:val="21"/>
              </w:rPr>
              <w:t>达标</w:t>
            </w:r>
          </w:p>
        </w:tc>
        <w:tc>
          <w:tcPr>
            <w:tcW w:w="721" w:type="dxa"/>
            <w:tcBorders>
              <w:right w:val="nil"/>
            </w:tcBorders>
          </w:tcPr>
          <w:p w14:paraId="771801A1">
            <w:pPr>
              <w:pStyle w:val="17"/>
              <w:spacing w:before="49"/>
              <w:ind w:left="3"/>
              <w:rPr>
                <w:rFonts w:ascii="Times New Roman"/>
                <w:sz w:val="21"/>
              </w:rPr>
            </w:pPr>
            <w:r>
              <w:rPr>
                <w:rFonts w:ascii="Times New Roman"/>
                <w:w w:val="99"/>
                <w:sz w:val="21"/>
              </w:rPr>
              <w:t>/</w:t>
            </w:r>
          </w:p>
        </w:tc>
      </w:tr>
      <w:tr w14:paraId="45FD5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59EC529D">
            <w:pPr>
              <w:pStyle w:val="17"/>
              <w:spacing w:before="46"/>
              <w:ind w:left="85" w:right="72"/>
              <w:rPr>
                <w:rFonts w:ascii="Times New Roman"/>
                <w:sz w:val="13"/>
              </w:rPr>
            </w:pPr>
            <w:r>
              <w:rPr>
                <w:rFonts w:ascii="Times New Roman"/>
                <w:w w:val="105"/>
                <w:position w:val="2"/>
                <w:sz w:val="21"/>
              </w:rPr>
              <w:t>PM</w:t>
            </w:r>
            <w:r>
              <w:rPr>
                <w:rFonts w:ascii="Times New Roman"/>
                <w:w w:val="105"/>
                <w:sz w:val="13"/>
              </w:rPr>
              <w:t>2.5</w:t>
            </w:r>
          </w:p>
        </w:tc>
        <w:tc>
          <w:tcPr>
            <w:tcW w:w="1722" w:type="dxa"/>
          </w:tcPr>
          <w:p w14:paraId="5DD907BF">
            <w:pPr>
              <w:pStyle w:val="17"/>
              <w:spacing w:before="33"/>
              <w:ind w:left="103" w:right="96"/>
              <w:rPr>
                <w:sz w:val="21"/>
              </w:rPr>
            </w:pPr>
            <w:r>
              <w:rPr>
                <w:sz w:val="21"/>
              </w:rPr>
              <w:t>年平均浓度</w:t>
            </w:r>
          </w:p>
        </w:tc>
        <w:tc>
          <w:tcPr>
            <w:tcW w:w="720" w:type="dxa"/>
          </w:tcPr>
          <w:p w14:paraId="25B6BED7">
            <w:pPr>
              <w:pStyle w:val="17"/>
              <w:spacing w:before="47"/>
              <w:ind w:left="11"/>
              <w:rPr>
                <w:rFonts w:ascii="Times New Roman"/>
                <w:sz w:val="21"/>
              </w:rPr>
            </w:pPr>
            <w:r>
              <w:rPr>
                <w:rFonts w:ascii="Times New Roman"/>
                <w:w w:val="99"/>
                <w:sz w:val="21"/>
              </w:rPr>
              <w:t>/</w:t>
            </w:r>
          </w:p>
        </w:tc>
        <w:tc>
          <w:tcPr>
            <w:tcW w:w="1245" w:type="dxa"/>
          </w:tcPr>
          <w:p w14:paraId="0DD7184A">
            <w:pPr>
              <w:pStyle w:val="17"/>
              <w:spacing w:before="47"/>
              <w:ind w:left="75" w:right="67"/>
              <w:rPr>
                <w:rFonts w:ascii="Times New Roman"/>
                <w:sz w:val="21"/>
              </w:rPr>
            </w:pPr>
            <w:r>
              <w:rPr>
                <w:rFonts w:ascii="Times New Roman"/>
                <w:sz w:val="21"/>
              </w:rPr>
              <w:t>33</w:t>
            </w:r>
          </w:p>
        </w:tc>
        <w:tc>
          <w:tcPr>
            <w:tcW w:w="1110" w:type="dxa"/>
          </w:tcPr>
          <w:p w14:paraId="649671BB">
            <w:pPr>
              <w:pStyle w:val="17"/>
              <w:spacing w:before="47"/>
              <w:ind w:left="57" w:right="47"/>
              <w:rPr>
                <w:rFonts w:ascii="Times New Roman"/>
                <w:sz w:val="21"/>
              </w:rPr>
            </w:pPr>
            <w:r>
              <w:rPr>
                <w:rFonts w:ascii="Times New Roman"/>
                <w:sz w:val="21"/>
              </w:rPr>
              <w:t>35</w:t>
            </w:r>
          </w:p>
        </w:tc>
        <w:tc>
          <w:tcPr>
            <w:tcW w:w="990" w:type="dxa"/>
          </w:tcPr>
          <w:p w14:paraId="23169DE5">
            <w:pPr>
              <w:pStyle w:val="17"/>
              <w:spacing w:before="49"/>
              <w:ind w:right="247"/>
              <w:jc w:val="right"/>
              <w:rPr>
                <w:rFonts w:ascii="Times New Roman"/>
                <w:sz w:val="21"/>
              </w:rPr>
            </w:pPr>
            <w:r>
              <w:rPr>
                <w:rFonts w:ascii="Times New Roman"/>
                <w:sz w:val="21"/>
              </w:rPr>
              <w:t>94.29</w:t>
            </w:r>
          </w:p>
        </w:tc>
        <w:tc>
          <w:tcPr>
            <w:tcW w:w="1005" w:type="dxa"/>
          </w:tcPr>
          <w:p w14:paraId="0A046344">
            <w:pPr>
              <w:pStyle w:val="17"/>
              <w:spacing w:before="33"/>
              <w:ind w:left="270" w:right="265"/>
              <w:rPr>
                <w:sz w:val="21"/>
              </w:rPr>
            </w:pPr>
            <w:r>
              <w:rPr>
                <w:sz w:val="21"/>
              </w:rPr>
              <w:t>达标</w:t>
            </w:r>
          </w:p>
        </w:tc>
        <w:tc>
          <w:tcPr>
            <w:tcW w:w="721" w:type="dxa"/>
            <w:tcBorders>
              <w:right w:val="nil"/>
            </w:tcBorders>
          </w:tcPr>
          <w:p w14:paraId="6FD189BC">
            <w:pPr>
              <w:pStyle w:val="17"/>
              <w:spacing w:before="47"/>
              <w:ind w:left="3"/>
              <w:rPr>
                <w:rFonts w:ascii="Times New Roman"/>
                <w:sz w:val="21"/>
              </w:rPr>
            </w:pPr>
            <w:r>
              <w:rPr>
                <w:rFonts w:ascii="Times New Roman"/>
                <w:w w:val="99"/>
                <w:sz w:val="21"/>
              </w:rPr>
              <w:t>/</w:t>
            </w:r>
          </w:p>
        </w:tc>
      </w:tr>
      <w:tr w14:paraId="3D9F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2" w:type="dxa"/>
            <w:tcBorders>
              <w:left w:val="nil"/>
            </w:tcBorders>
          </w:tcPr>
          <w:p w14:paraId="31F29344">
            <w:pPr>
              <w:pStyle w:val="17"/>
              <w:spacing w:before="47"/>
              <w:ind w:left="83" w:right="72"/>
              <w:rPr>
                <w:rFonts w:ascii="Times New Roman"/>
                <w:sz w:val="21"/>
              </w:rPr>
            </w:pPr>
            <w:r>
              <w:rPr>
                <w:rFonts w:ascii="Times New Roman"/>
                <w:sz w:val="21"/>
              </w:rPr>
              <w:t>CO</w:t>
            </w:r>
          </w:p>
        </w:tc>
        <w:tc>
          <w:tcPr>
            <w:tcW w:w="1722" w:type="dxa"/>
          </w:tcPr>
          <w:p w14:paraId="604D60B6">
            <w:pPr>
              <w:pStyle w:val="17"/>
              <w:spacing w:before="33"/>
              <w:ind w:left="106" w:right="96"/>
              <w:rPr>
                <w:sz w:val="21"/>
              </w:rPr>
            </w:pPr>
            <w:r>
              <w:rPr>
                <w:sz w:val="21"/>
              </w:rPr>
              <w:t>百分位上日平均</w:t>
            </w:r>
          </w:p>
        </w:tc>
        <w:tc>
          <w:tcPr>
            <w:tcW w:w="720" w:type="dxa"/>
          </w:tcPr>
          <w:p w14:paraId="76D0970B">
            <w:pPr>
              <w:pStyle w:val="17"/>
              <w:spacing w:before="47"/>
              <w:ind w:left="128" w:right="118"/>
              <w:rPr>
                <w:rFonts w:ascii="Times New Roman"/>
                <w:sz w:val="21"/>
              </w:rPr>
            </w:pPr>
            <w:r>
              <w:rPr>
                <w:rFonts w:ascii="Times New Roman"/>
                <w:sz w:val="21"/>
              </w:rPr>
              <w:t>95</w:t>
            </w:r>
          </w:p>
        </w:tc>
        <w:tc>
          <w:tcPr>
            <w:tcW w:w="1245" w:type="dxa"/>
          </w:tcPr>
          <w:p w14:paraId="76D6C83D">
            <w:pPr>
              <w:pStyle w:val="17"/>
              <w:spacing w:before="47"/>
              <w:ind w:left="75" w:right="67"/>
              <w:rPr>
                <w:rFonts w:ascii="Times New Roman"/>
                <w:sz w:val="21"/>
              </w:rPr>
            </w:pPr>
            <w:r>
              <w:rPr>
                <w:rFonts w:ascii="Times New Roman"/>
                <w:sz w:val="21"/>
              </w:rPr>
              <w:t>900</w:t>
            </w:r>
          </w:p>
        </w:tc>
        <w:tc>
          <w:tcPr>
            <w:tcW w:w="1110" w:type="dxa"/>
          </w:tcPr>
          <w:p w14:paraId="1F5D9FA1">
            <w:pPr>
              <w:pStyle w:val="17"/>
              <w:spacing w:before="47"/>
              <w:ind w:left="57" w:right="47"/>
              <w:rPr>
                <w:rFonts w:ascii="Times New Roman"/>
                <w:sz w:val="21"/>
              </w:rPr>
            </w:pPr>
            <w:r>
              <w:rPr>
                <w:rFonts w:ascii="Times New Roman"/>
                <w:sz w:val="21"/>
              </w:rPr>
              <w:t>4000</w:t>
            </w:r>
          </w:p>
        </w:tc>
        <w:tc>
          <w:tcPr>
            <w:tcW w:w="990" w:type="dxa"/>
          </w:tcPr>
          <w:p w14:paraId="489F8940">
            <w:pPr>
              <w:pStyle w:val="17"/>
              <w:spacing w:before="49"/>
              <w:ind w:right="247"/>
              <w:jc w:val="right"/>
              <w:rPr>
                <w:rFonts w:ascii="Times New Roman"/>
                <w:sz w:val="21"/>
              </w:rPr>
            </w:pPr>
            <w:r>
              <w:rPr>
                <w:rFonts w:ascii="Times New Roman"/>
                <w:sz w:val="21"/>
              </w:rPr>
              <w:t>22.50</w:t>
            </w:r>
          </w:p>
        </w:tc>
        <w:tc>
          <w:tcPr>
            <w:tcW w:w="1005" w:type="dxa"/>
          </w:tcPr>
          <w:p w14:paraId="22E764AD">
            <w:pPr>
              <w:pStyle w:val="17"/>
              <w:spacing w:before="33"/>
              <w:ind w:left="270" w:right="265"/>
              <w:rPr>
                <w:sz w:val="21"/>
              </w:rPr>
            </w:pPr>
            <w:r>
              <w:rPr>
                <w:sz w:val="21"/>
              </w:rPr>
              <w:t>达标</w:t>
            </w:r>
          </w:p>
        </w:tc>
        <w:tc>
          <w:tcPr>
            <w:tcW w:w="721" w:type="dxa"/>
            <w:tcBorders>
              <w:right w:val="nil"/>
            </w:tcBorders>
          </w:tcPr>
          <w:p w14:paraId="2F958CAF">
            <w:pPr>
              <w:pStyle w:val="17"/>
              <w:spacing w:before="47"/>
              <w:ind w:left="3"/>
              <w:rPr>
                <w:rFonts w:ascii="Times New Roman"/>
                <w:sz w:val="21"/>
              </w:rPr>
            </w:pPr>
            <w:r>
              <w:rPr>
                <w:rFonts w:ascii="Times New Roman"/>
                <w:w w:val="99"/>
                <w:sz w:val="21"/>
              </w:rPr>
              <w:t>/</w:t>
            </w:r>
          </w:p>
        </w:tc>
      </w:tr>
      <w:tr w14:paraId="2639B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2" w:type="dxa"/>
            <w:tcBorders>
              <w:left w:val="nil"/>
            </w:tcBorders>
          </w:tcPr>
          <w:p w14:paraId="66861640">
            <w:pPr>
              <w:pStyle w:val="17"/>
              <w:spacing w:before="186"/>
              <w:ind w:left="85" w:right="72"/>
              <w:rPr>
                <w:rFonts w:ascii="Times New Roman"/>
                <w:sz w:val="21"/>
              </w:rPr>
            </w:pPr>
            <w:r>
              <w:rPr>
                <w:rFonts w:ascii="Times New Roman"/>
                <w:position w:val="2"/>
                <w:sz w:val="21"/>
              </w:rPr>
              <w:t>O</w:t>
            </w:r>
            <w:r>
              <w:rPr>
                <w:rFonts w:ascii="Times New Roman"/>
                <w:position w:val="2"/>
                <w:sz w:val="21"/>
                <w:vertAlign w:val="subscript"/>
              </w:rPr>
              <w:t>3</w:t>
            </w:r>
          </w:p>
        </w:tc>
        <w:tc>
          <w:tcPr>
            <w:tcW w:w="1722" w:type="dxa"/>
          </w:tcPr>
          <w:p w14:paraId="05038C70">
            <w:pPr>
              <w:pStyle w:val="17"/>
              <w:spacing w:before="19"/>
              <w:ind w:left="103" w:right="96"/>
              <w:rPr>
                <w:sz w:val="21"/>
              </w:rPr>
            </w:pPr>
            <w:r>
              <w:rPr>
                <w:sz w:val="21"/>
              </w:rPr>
              <w:t xml:space="preserve">百分位上 </w:t>
            </w:r>
            <w:r>
              <w:rPr>
                <w:rFonts w:ascii="Times New Roman" w:eastAsia="Times New Roman"/>
                <w:sz w:val="21"/>
              </w:rPr>
              <w:t xml:space="preserve">8h </w:t>
            </w:r>
            <w:r>
              <w:rPr>
                <w:sz w:val="21"/>
              </w:rPr>
              <w:t>平</w:t>
            </w:r>
          </w:p>
          <w:p w14:paraId="79331438">
            <w:pPr>
              <w:pStyle w:val="17"/>
              <w:spacing w:before="43"/>
              <w:ind w:left="103" w:right="96"/>
              <w:rPr>
                <w:sz w:val="21"/>
              </w:rPr>
            </w:pPr>
            <w:r>
              <w:rPr>
                <w:sz w:val="21"/>
              </w:rPr>
              <w:t>均质量浓度</w:t>
            </w:r>
          </w:p>
        </w:tc>
        <w:tc>
          <w:tcPr>
            <w:tcW w:w="720" w:type="dxa"/>
          </w:tcPr>
          <w:p w14:paraId="7F94E821">
            <w:pPr>
              <w:pStyle w:val="17"/>
              <w:spacing w:before="189"/>
              <w:ind w:left="128" w:right="118"/>
              <w:rPr>
                <w:rFonts w:ascii="Times New Roman"/>
                <w:sz w:val="21"/>
              </w:rPr>
            </w:pPr>
            <w:r>
              <w:rPr>
                <w:rFonts w:ascii="Times New Roman"/>
                <w:sz w:val="21"/>
              </w:rPr>
              <w:t>90</w:t>
            </w:r>
          </w:p>
        </w:tc>
        <w:tc>
          <w:tcPr>
            <w:tcW w:w="1245" w:type="dxa"/>
          </w:tcPr>
          <w:p w14:paraId="16411CF4">
            <w:pPr>
              <w:pStyle w:val="17"/>
              <w:spacing w:before="189"/>
              <w:ind w:left="75" w:right="67"/>
              <w:rPr>
                <w:rFonts w:ascii="Times New Roman"/>
                <w:sz w:val="21"/>
              </w:rPr>
            </w:pPr>
            <w:r>
              <w:rPr>
                <w:rFonts w:ascii="Times New Roman"/>
                <w:sz w:val="21"/>
              </w:rPr>
              <w:t>136</w:t>
            </w:r>
          </w:p>
        </w:tc>
        <w:tc>
          <w:tcPr>
            <w:tcW w:w="1110" w:type="dxa"/>
          </w:tcPr>
          <w:p w14:paraId="4D9F987D">
            <w:pPr>
              <w:pStyle w:val="17"/>
              <w:spacing w:before="189"/>
              <w:ind w:left="57" w:right="47"/>
              <w:rPr>
                <w:rFonts w:ascii="Times New Roman"/>
                <w:sz w:val="21"/>
              </w:rPr>
            </w:pPr>
            <w:r>
              <w:rPr>
                <w:rFonts w:ascii="Times New Roman"/>
                <w:sz w:val="21"/>
              </w:rPr>
              <w:t>160</w:t>
            </w:r>
          </w:p>
        </w:tc>
        <w:tc>
          <w:tcPr>
            <w:tcW w:w="990" w:type="dxa"/>
          </w:tcPr>
          <w:p w14:paraId="68A55E43">
            <w:pPr>
              <w:pStyle w:val="17"/>
              <w:spacing w:before="191"/>
              <w:ind w:right="247"/>
              <w:jc w:val="right"/>
              <w:rPr>
                <w:rFonts w:ascii="Times New Roman"/>
                <w:sz w:val="21"/>
              </w:rPr>
            </w:pPr>
            <w:r>
              <w:rPr>
                <w:rFonts w:ascii="Times New Roman"/>
                <w:sz w:val="21"/>
              </w:rPr>
              <w:t>85.00</w:t>
            </w:r>
          </w:p>
        </w:tc>
        <w:tc>
          <w:tcPr>
            <w:tcW w:w="1005" w:type="dxa"/>
          </w:tcPr>
          <w:p w14:paraId="16AF6FC1">
            <w:pPr>
              <w:pStyle w:val="17"/>
              <w:spacing w:before="175"/>
              <w:ind w:left="270" w:right="265"/>
              <w:rPr>
                <w:sz w:val="21"/>
              </w:rPr>
            </w:pPr>
            <w:r>
              <w:rPr>
                <w:sz w:val="21"/>
              </w:rPr>
              <w:t>达标</w:t>
            </w:r>
          </w:p>
        </w:tc>
        <w:tc>
          <w:tcPr>
            <w:tcW w:w="721" w:type="dxa"/>
            <w:tcBorders>
              <w:right w:val="nil"/>
            </w:tcBorders>
          </w:tcPr>
          <w:p w14:paraId="2305D798">
            <w:pPr>
              <w:pStyle w:val="17"/>
              <w:spacing w:before="189"/>
              <w:ind w:left="3"/>
              <w:rPr>
                <w:rFonts w:ascii="Times New Roman"/>
                <w:sz w:val="21"/>
              </w:rPr>
            </w:pPr>
            <w:r>
              <w:rPr>
                <w:rFonts w:ascii="Times New Roman"/>
                <w:w w:val="99"/>
                <w:sz w:val="21"/>
              </w:rPr>
              <w:t>/</w:t>
            </w:r>
          </w:p>
        </w:tc>
      </w:tr>
    </w:tbl>
    <w:p w14:paraId="6EA7307E">
      <w:pPr>
        <w:pStyle w:val="10"/>
        <w:spacing w:before="1"/>
        <w:ind w:left="720"/>
      </w:pPr>
      <w:r>
        <w:t xml:space="preserve">根据上表可知，2023 年汨罗市环境空气质量六项基本污染物 </w:t>
      </w:r>
      <w:r>
        <w:rPr>
          <w:rFonts w:ascii="Times New Roman" w:eastAsia="Times New Roman"/>
        </w:rPr>
        <w:t>PM</w:t>
      </w:r>
      <w:r>
        <w:rPr>
          <w:rFonts w:ascii="Times New Roman" w:eastAsia="Times New Roman"/>
          <w:vertAlign w:val="subscript"/>
        </w:rPr>
        <w:t>10</w:t>
      </w:r>
      <w:r>
        <w:rPr>
          <w:vertAlign w:val="baseline"/>
        </w:rPr>
        <w:t>、</w:t>
      </w:r>
      <w:r>
        <w:rPr>
          <w:rFonts w:ascii="Times New Roman" w:eastAsia="Times New Roman"/>
          <w:vertAlign w:val="baseline"/>
        </w:rPr>
        <w:t>PM</w:t>
      </w:r>
      <w:r>
        <w:rPr>
          <w:rFonts w:ascii="Times New Roman" w:eastAsia="Times New Roman"/>
          <w:vertAlign w:val="subscript"/>
        </w:rPr>
        <w:t>2.5</w:t>
      </w:r>
      <w:r>
        <w:rPr>
          <w:vertAlign w:val="baseline"/>
        </w:rPr>
        <w:t>、</w:t>
      </w:r>
    </w:p>
    <w:p w14:paraId="2554580C">
      <w:pPr>
        <w:pStyle w:val="10"/>
        <w:spacing w:before="161" w:line="362" w:lineRule="auto"/>
        <w:ind w:left="240" w:right="194"/>
      </w:pPr>
      <w:r>
        <w:rPr>
          <w:rFonts w:ascii="Times New Roman" w:eastAsia="Times New Roman"/>
        </w:rPr>
        <w:t>SO</w:t>
      </w:r>
      <w:r>
        <w:rPr>
          <w:rFonts w:ascii="Times New Roman" w:eastAsia="Times New Roman"/>
          <w:sz w:val="15"/>
        </w:rPr>
        <w:t>2</w:t>
      </w:r>
      <w:r>
        <w:t>、</w:t>
      </w:r>
      <w:r>
        <w:rPr>
          <w:rFonts w:ascii="Times New Roman" w:eastAsia="Times New Roman"/>
        </w:rPr>
        <w:t>NO</w:t>
      </w:r>
      <w:r>
        <w:rPr>
          <w:rFonts w:ascii="Times New Roman" w:eastAsia="Times New Roman"/>
          <w:sz w:val="15"/>
        </w:rPr>
        <w:t>2</w:t>
      </w:r>
      <w:r>
        <w:t>、</w:t>
      </w:r>
      <w:r>
        <w:rPr>
          <w:rFonts w:ascii="Times New Roman" w:eastAsia="Times New Roman"/>
        </w:rPr>
        <w:t>CO</w:t>
      </w:r>
      <w:r>
        <w:t>、</w:t>
      </w:r>
      <w:r>
        <w:rPr>
          <w:rFonts w:ascii="Times New Roman" w:eastAsia="Times New Roman"/>
        </w:rPr>
        <w:t>O</w:t>
      </w:r>
      <w:r>
        <w:rPr>
          <w:rFonts w:ascii="Times New Roman" w:eastAsia="Times New Roman"/>
          <w:sz w:val="15"/>
        </w:rPr>
        <w:t xml:space="preserve">3 </w:t>
      </w:r>
      <w:r>
        <w:t>能满足《环境空气质量标准》（</w:t>
      </w:r>
      <w:r>
        <w:rPr>
          <w:rFonts w:ascii="Times New Roman" w:eastAsia="Times New Roman"/>
        </w:rPr>
        <w:t>GB3095-2012</w:t>
      </w:r>
      <w:r>
        <w:t>）及其修改单中的二级标准。项目区域大气环境质量为达标区。</w:t>
      </w:r>
    </w:p>
    <w:p w14:paraId="0A6D1852">
      <w:pPr>
        <w:pStyle w:val="9"/>
        <w:spacing w:before="5"/>
      </w:pPr>
      <w:r>
        <w:rPr>
          <w:rFonts w:ascii="Times New Roman" w:eastAsia="Times New Roman"/>
        </w:rPr>
        <w:t>2</w:t>
      </w:r>
      <w:r>
        <w:t>、其他污染物环境质量现状评价</w:t>
      </w:r>
    </w:p>
    <w:p w14:paraId="1CF87204">
      <w:pPr>
        <w:pStyle w:val="10"/>
        <w:spacing w:before="158" w:line="364" w:lineRule="auto"/>
        <w:ind w:left="240" w:right="237" w:firstLine="480"/>
        <w:jc w:val="both"/>
      </w:pPr>
      <w:r>
        <w:rPr>
          <w:spacing w:val="-2"/>
        </w:rPr>
        <w:t>本项目排放的特征污染物为非甲烷总烃、</w:t>
      </w:r>
      <w:r>
        <w:rPr>
          <w:rFonts w:ascii="Times New Roman" w:eastAsia="Times New Roman"/>
        </w:rPr>
        <w:t xml:space="preserve">TSP </w:t>
      </w:r>
      <w:r>
        <w:rPr>
          <w:spacing w:val="-8"/>
        </w:rPr>
        <w:t>和臭气浓度。根据《环境影响</w:t>
      </w:r>
      <w:r>
        <w:rPr>
          <w:spacing w:val="-9"/>
        </w:rPr>
        <w:t>评价技术导则大气环境》</w:t>
      </w:r>
      <w:r>
        <w:t>（</w:t>
      </w:r>
      <w:r>
        <w:rPr>
          <w:rFonts w:ascii="Times New Roman" w:eastAsia="Times New Roman"/>
        </w:rPr>
        <w:t>HJ2.2-2018</w:t>
      </w:r>
      <w:r>
        <w:t>）</w:t>
      </w:r>
      <w:r>
        <w:rPr>
          <w:spacing w:val="-1"/>
        </w:rPr>
        <w:t>相关规定；若评价范围内己有例行监测</w:t>
      </w:r>
      <w:r>
        <w:rPr>
          <w:spacing w:val="-13"/>
        </w:rPr>
        <w:t xml:space="preserve">点位，或评价范围内有近 </w:t>
      </w:r>
      <w:r>
        <w:rPr>
          <w:rFonts w:ascii="Times New Roman" w:eastAsia="Times New Roman"/>
        </w:rPr>
        <w:t xml:space="preserve">3 </w:t>
      </w:r>
      <w:r>
        <w:rPr>
          <w:spacing w:val="-7"/>
        </w:rPr>
        <w:t>年的监测资料，且其监测数据有效性符合本导则有关</w:t>
      </w:r>
      <w:r>
        <w:rPr>
          <w:spacing w:val="-10"/>
        </w:rPr>
        <w:t>规定，并能满足项目评价要求的，可不再进行现状监测。本项目非甲烷总烃引用</w:t>
      </w:r>
    </w:p>
    <w:p w14:paraId="72C84D53">
      <w:pPr>
        <w:pStyle w:val="10"/>
        <w:spacing w:line="305" w:lineRule="exact"/>
        <w:ind w:left="240"/>
      </w:pPr>
      <w:r>
        <w:t xml:space="preserve">《湖南新禹时代防水材料有限公司年产 </w:t>
      </w:r>
      <w:r>
        <w:rPr>
          <w:rFonts w:ascii="Times New Roman" w:eastAsia="Times New Roman"/>
        </w:rPr>
        <w:t xml:space="preserve">5 </w:t>
      </w:r>
      <w:r>
        <w:t>千万平方米防水材料建设项目环境影</w:t>
      </w:r>
    </w:p>
    <w:p w14:paraId="0579EC8D">
      <w:pPr>
        <w:pStyle w:val="10"/>
        <w:spacing w:before="160" w:line="362" w:lineRule="auto"/>
        <w:ind w:left="240" w:right="237"/>
      </w:pPr>
      <w:r>
        <w:rPr>
          <w:spacing w:val="-9"/>
        </w:rPr>
        <w:t xml:space="preserve">响报告表》中委托湖南汨江检测有限公司于 </w:t>
      </w:r>
      <w:r>
        <w:rPr>
          <w:rFonts w:ascii="Times New Roman" w:eastAsia="Times New Roman"/>
        </w:rPr>
        <w:t xml:space="preserve">2022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rPr>
        <w:t xml:space="preserve">5 </w:t>
      </w:r>
      <w:r>
        <w:t>日</w:t>
      </w:r>
      <w:r>
        <w:rPr>
          <w:rFonts w:ascii="Times New Roman" w:eastAsia="Times New Roman"/>
        </w:rPr>
        <w:t xml:space="preserve">~2022 </w:t>
      </w:r>
      <w:r>
        <w:rPr>
          <w:spacing w:val="-30"/>
        </w:rPr>
        <w:t xml:space="preserve">年 </w:t>
      </w:r>
      <w:r>
        <w:rPr>
          <w:rFonts w:ascii="Times New Roman" w:eastAsia="Times New Roman"/>
        </w:rPr>
        <w:t xml:space="preserve">8 </w:t>
      </w:r>
      <w:r>
        <w:rPr>
          <w:spacing w:val="-30"/>
        </w:rPr>
        <w:t xml:space="preserve">月 </w:t>
      </w:r>
      <w:r>
        <w:rPr>
          <w:rFonts w:ascii="Times New Roman" w:eastAsia="Times New Roman"/>
          <w:spacing w:val="-3"/>
        </w:rPr>
        <w:t xml:space="preserve">11 </w:t>
      </w:r>
      <w:r>
        <w:t>日对新禹时代项目所在地下风向的环境空气质量监测数据，该点位位于项目西侧</w:t>
      </w:r>
    </w:p>
    <w:p w14:paraId="67784FE3">
      <w:pPr>
        <w:pStyle w:val="10"/>
        <w:spacing w:before="5" w:line="364" w:lineRule="auto"/>
        <w:ind w:left="240" w:right="237"/>
      </w:pPr>
      <w:r>
        <w:rPr>
          <w:rFonts w:ascii="Times New Roman" w:eastAsia="Times New Roman"/>
        </w:rPr>
        <w:t>295m</w:t>
      </w:r>
      <w:r>
        <w:t xml:space="preserve">。本项目 </w:t>
      </w:r>
      <w:r>
        <w:rPr>
          <w:rFonts w:ascii="Times New Roman" w:eastAsia="Times New Roman"/>
        </w:rPr>
        <w:t>TSP</w:t>
      </w:r>
      <w:r>
        <w:t>、</w:t>
      </w:r>
      <w:r>
        <w:rPr>
          <w:rFonts w:ascii="Times New Roman" w:eastAsia="Times New Roman"/>
        </w:rPr>
        <w:t xml:space="preserve">TVOC </w:t>
      </w:r>
      <w:r>
        <w:t xml:space="preserve">引用《湖南锂汇通新能源科技有限责任公司汨罗分公司年处理 </w:t>
      </w:r>
      <w:r>
        <w:rPr>
          <w:rFonts w:ascii="Times New Roman" w:eastAsia="Times New Roman"/>
        </w:rPr>
        <w:t xml:space="preserve">1.5  </w:t>
      </w:r>
      <w:r>
        <w:t>万吨废旧动力蓄电池回收拆解破碎项目环境影响报告书》中委</w:t>
      </w:r>
    </w:p>
    <w:p w14:paraId="51F6258D">
      <w:pPr>
        <w:pStyle w:val="10"/>
        <w:spacing w:line="364" w:lineRule="auto"/>
        <w:ind w:left="240" w:right="117"/>
      </w:pPr>
      <w:r>
        <w:rPr>
          <w:spacing w:val="-5"/>
        </w:rPr>
        <w:t xml:space="preserve">托湖南谱实检测技术有限公司于 </w:t>
      </w:r>
      <w:r>
        <w:rPr>
          <w:rFonts w:ascii="Times New Roman" w:eastAsia="Times New Roman"/>
        </w:rPr>
        <w:t>2023</w:t>
      </w:r>
      <w:r>
        <w:rPr>
          <w:rFonts w:ascii="Times New Roman" w:eastAsia="Times New Roman"/>
          <w:spacing w:val="-4"/>
        </w:rPr>
        <w:t xml:space="preserve"> </w:t>
      </w:r>
      <w:r>
        <w:rPr>
          <w:spacing w:val="-33"/>
        </w:rPr>
        <w:t xml:space="preserve">年 </w:t>
      </w:r>
      <w:r>
        <w:rPr>
          <w:rFonts w:ascii="Times New Roman" w:eastAsia="Times New Roman"/>
        </w:rPr>
        <w:t>1</w:t>
      </w:r>
      <w:r>
        <w:rPr>
          <w:rFonts w:ascii="Times New Roman" w:eastAsia="Times New Roman"/>
          <w:spacing w:val="-6"/>
        </w:rPr>
        <w:t xml:space="preserve"> </w:t>
      </w:r>
      <w:r>
        <w:rPr>
          <w:spacing w:val="-32"/>
        </w:rPr>
        <w:t xml:space="preserve">月 </w:t>
      </w:r>
      <w:r>
        <w:rPr>
          <w:rFonts w:ascii="Times New Roman" w:eastAsia="Times New Roman"/>
        </w:rPr>
        <w:t>7</w:t>
      </w:r>
      <w:r>
        <w:rPr>
          <w:rFonts w:ascii="Times New Roman" w:eastAsia="Times New Roman"/>
          <w:spacing w:val="-6"/>
        </w:rPr>
        <w:t xml:space="preserve"> </w:t>
      </w:r>
      <w:r>
        <w:t>日</w:t>
      </w:r>
      <w:r>
        <w:rPr>
          <w:rFonts w:ascii="Times New Roman" w:eastAsia="Times New Roman"/>
        </w:rPr>
        <w:t>~2023</w:t>
      </w:r>
      <w:r>
        <w:rPr>
          <w:rFonts w:ascii="Times New Roman" w:eastAsia="Times New Roman"/>
          <w:spacing w:val="-6"/>
        </w:rPr>
        <w:t xml:space="preserve"> </w:t>
      </w:r>
      <w:r>
        <w:rPr>
          <w:spacing w:val="-33"/>
        </w:rPr>
        <w:t xml:space="preserve">年 </w:t>
      </w:r>
      <w:r>
        <w:rPr>
          <w:rFonts w:ascii="Times New Roman" w:eastAsia="Times New Roman"/>
        </w:rPr>
        <w:t>1</w:t>
      </w:r>
      <w:r>
        <w:rPr>
          <w:rFonts w:ascii="Times New Roman" w:eastAsia="Times New Roman"/>
          <w:spacing w:val="-4"/>
        </w:rPr>
        <w:t xml:space="preserve"> </w:t>
      </w:r>
      <w:r>
        <w:rPr>
          <w:spacing w:val="-33"/>
        </w:rPr>
        <w:t xml:space="preserve">月 </w:t>
      </w:r>
      <w:r>
        <w:rPr>
          <w:rFonts w:ascii="Times New Roman" w:eastAsia="Times New Roman"/>
        </w:rPr>
        <w:t>13</w:t>
      </w:r>
      <w:r>
        <w:rPr>
          <w:rFonts w:ascii="Times New Roman" w:eastAsia="Times New Roman"/>
          <w:spacing w:val="-4"/>
        </w:rPr>
        <w:t xml:space="preserve"> </w:t>
      </w:r>
      <w:r>
        <w:t>日对锂汇通厂</w:t>
      </w:r>
      <w:r>
        <w:rPr>
          <w:spacing w:val="8"/>
        </w:rPr>
        <w:t>界北侧外</w:t>
      </w:r>
      <w:r>
        <w:rPr>
          <w:rFonts w:ascii="Times New Roman" w:eastAsia="Times New Roman"/>
        </w:rPr>
        <w:t>5m</w:t>
      </w:r>
      <w:r>
        <w:rPr>
          <w:rFonts w:ascii="Times New Roman" w:eastAsia="Times New Roman"/>
          <w:spacing w:val="-19"/>
        </w:rPr>
        <w:t xml:space="preserve"> </w:t>
      </w:r>
      <w:r>
        <w:rPr>
          <w:spacing w:val="-12"/>
        </w:rPr>
        <w:t xml:space="preserve">处、塘家铺西南侧居民点的区域环境空气质量进行的质量监测数据， </w:t>
      </w:r>
      <w:r>
        <w:rPr>
          <w:spacing w:val="-16"/>
        </w:rPr>
        <w:t xml:space="preserve">该监测点位分别位于本项目西南侧 </w:t>
      </w:r>
      <w:r>
        <w:rPr>
          <w:rFonts w:ascii="Times New Roman" w:eastAsia="Times New Roman"/>
        </w:rPr>
        <w:t>1085m</w:t>
      </w:r>
      <w:r>
        <w:rPr>
          <w:spacing w:val="-82"/>
        </w:rPr>
        <w:t>、</w:t>
      </w:r>
      <w:r>
        <w:rPr>
          <w:rFonts w:ascii="Times New Roman" w:eastAsia="Times New Roman"/>
        </w:rPr>
        <w:t>2610m</w:t>
      </w:r>
      <w:r>
        <w:rPr>
          <w:spacing w:val="-10"/>
        </w:rPr>
        <w:t xml:space="preserve">。根据引用点位基本信息可知， </w:t>
      </w:r>
      <w:r>
        <w:rPr>
          <w:spacing w:val="-14"/>
        </w:rPr>
        <w:t>本次评价引用的数据在近三年内，且均在本项目的大气环境影响评价范围内，符</w:t>
      </w:r>
      <w:r>
        <w:rPr>
          <w:spacing w:val="-3"/>
        </w:rPr>
        <w:t>合《环境影响评价技术导则大气环境》</w:t>
      </w:r>
      <w:r>
        <w:t>（</w:t>
      </w:r>
      <w:r>
        <w:rPr>
          <w:rFonts w:ascii="Times New Roman" w:eastAsia="Times New Roman"/>
        </w:rPr>
        <w:t>HJ2.2-2018</w:t>
      </w:r>
      <w:r>
        <w:t>）</w:t>
      </w:r>
      <w:r>
        <w:rPr>
          <w:spacing w:val="-1"/>
        </w:rPr>
        <w:t>的相关要求，故引用的数</w:t>
      </w:r>
    </w:p>
    <w:p w14:paraId="2A065B35">
      <w:pPr>
        <w:spacing w:after="0" w:line="364" w:lineRule="auto"/>
        <w:sectPr>
          <w:pgSz w:w="11910" w:h="16840"/>
          <w:pgMar w:top="1360" w:right="1560" w:bottom="1220" w:left="1560" w:header="0" w:footer="1024" w:gutter="0"/>
          <w:cols w:space="720" w:num="1"/>
        </w:sectPr>
      </w:pPr>
    </w:p>
    <w:p w14:paraId="7D056C25">
      <w:pPr>
        <w:pStyle w:val="10"/>
        <w:spacing w:before="43"/>
        <w:ind w:left="240"/>
      </w:pPr>
      <w:r>
        <w:t>据有效。</w:t>
      </w:r>
    </w:p>
    <w:p w14:paraId="37E5BF96">
      <w:pPr>
        <w:pStyle w:val="10"/>
        <w:spacing w:before="160"/>
        <w:ind w:left="478"/>
        <w:jc w:val="center"/>
      </w:pPr>
      <w:r>
        <w:t>本项目臭气浓度委托湖南中额环保科技有限公司于</w:t>
      </w:r>
      <w:r>
        <w:rPr>
          <w:rFonts w:ascii="Times New Roman" w:eastAsia="Times New Roman"/>
        </w:rPr>
        <w:t>2024</w:t>
      </w:r>
      <w:r>
        <w:t>年</w:t>
      </w:r>
      <w:r>
        <w:rPr>
          <w:rFonts w:ascii="Times New Roman" w:eastAsia="Times New Roman"/>
        </w:rPr>
        <w:t>07</w:t>
      </w:r>
      <w:r>
        <w:t>月</w:t>
      </w:r>
      <w:r>
        <w:rPr>
          <w:rFonts w:ascii="Times New Roman" w:eastAsia="Times New Roman"/>
        </w:rPr>
        <w:t>14</w:t>
      </w:r>
      <w:r>
        <w:t>日</w:t>
      </w:r>
      <w:r>
        <w:rPr>
          <w:rFonts w:ascii="Times New Roman" w:eastAsia="Times New Roman"/>
        </w:rPr>
        <w:t>~2024</w:t>
      </w:r>
      <w:r>
        <w:t>年</w:t>
      </w:r>
    </w:p>
    <w:p w14:paraId="052EB775">
      <w:pPr>
        <w:pStyle w:val="10"/>
        <w:spacing w:before="158"/>
        <w:ind w:left="240"/>
      </w:pPr>
      <w:r>
        <w:rPr>
          <w:rFonts w:ascii="Times New Roman" w:eastAsia="Times New Roman"/>
        </w:rPr>
        <w:t>07</w:t>
      </w:r>
      <w:r>
        <w:t>月</w:t>
      </w:r>
      <w:r>
        <w:rPr>
          <w:rFonts w:ascii="Times New Roman" w:eastAsia="Times New Roman"/>
        </w:rPr>
        <w:t>20</w:t>
      </w:r>
      <w:r>
        <w:t>日对项目南侧厂界外</w:t>
      </w:r>
      <w:r>
        <w:rPr>
          <w:rFonts w:ascii="Times New Roman" w:eastAsia="Times New Roman"/>
        </w:rPr>
        <w:t>5m</w:t>
      </w:r>
      <w:r>
        <w:t>进行现场采样监测。</w:t>
      </w:r>
    </w:p>
    <w:p w14:paraId="2E317F54">
      <w:pPr>
        <w:pStyle w:val="10"/>
        <w:spacing w:before="161"/>
        <w:ind w:left="720"/>
      </w:pPr>
      <w:r>
        <w:t>监测点位信息和监测结果具体如表</w:t>
      </w:r>
      <w:r>
        <w:rPr>
          <w:rFonts w:ascii="Times New Roman" w:eastAsia="Times New Roman"/>
        </w:rPr>
        <w:t>3-2</w:t>
      </w:r>
      <w:r>
        <w:t>和表</w:t>
      </w:r>
      <w:r>
        <w:rPr>
          <w:rFonts w:ascii="Times New Roman" w:eastAsia="Times New Roman"/>
        </w:rPr>
        <w:t>3-3</w:t>
      </w:r>
      <w:r>
        <w:t>所示。</w:t>
      </w:r>
    </w:p>
    <w:p w14:paraId="1ABB5A3D">
      <w:pPr>
        <w:pStyle w:val="9"/>
        <w:tabs>
          <w:tab w:val="left" w:pos="1519"/>
        </w:tabs>
        <w:spacing w:before="158" w:after="4"/>
        <w:ind w:left="480"/>
        <w:jc w:val="center"/>
      </w:pPr>
      <w:r>
        <w:t>表</w:t>
      </w:r>
      <w:r>
        <w:rPr>
          <w:spacing w:val="-62"/>
        </w:rPr>
        <w:t xml:space="preserve"> </w:t>
      </w:r>
      <w:r>
        <w:rPr>
          <w:rFonts w:ascii="Times New Roman" w:eastAsia="Times New Roman"/>
        </w:rPr>
        <w:t>3.3-2</w:t>
      </w:r>
      <w:r>
        <w:rPr>
          <w:rFonts w:ascii="Times New Roman" w:eastAsia="Times New Roman"/>
        </w:rPr>
        <w:tab/>
      </w:r>
      <w:r>
        <w:t>其它污染物引用监测点位基本信息</w:t>
      </w:r>
    </w:p>
    <w:tbl>
      <w:tblPr>
        <w:tblStyle w:val="13"/>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48"/>
        <w:gridCol w:w="1754"/>
        <w:gridCol w:w="1035"/>
        <w:gridCol w:w="1455"/>
        <w:gridCol w:w="1579"/>
        <w:gridCol w:w="948"/>
      </w:tblGrid>
      <w:tr w14:paraId="5F352B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748" w:type="dxa"/>
            <w:tcBorders>
              <w:left w:val="nil"/>
              <w:bottom w:val="single" w:color="000000" w:sz="4" w:space="0"/>
              <w:right w:val="single" w:color="000000" w:sz="4" w:space="0"/>
            </w:tcBorders>
          </w:tcPr>
          <w:p w14:paraId="24DA550D">
            <w:pPr>
              <w:pStyle w:val="17"/>
              <w:spacing w:before="11"/>
              <w:jc w:val="left"/>
              <w:rPr>
                <w:b/>
                <w:sz w:val="15"/>
              </w:rPr>
            </w:pPr>
          </w:p>
          <w:p w14:paraId="698BB306">
            <w:pPr>
              <w:pStyle w:val="17"/>
              <w:ind w:left="469"/>
              <w:jc w:val="left"/>
              <w:rPr>
                <w:sz w:val="21"/>
              </w:rPr>
            </w:pPr>
            <w:r>
              <w:rPr>
                <w:sz w:val="21"/>
              </w:rPr>
              <w:t>监测点位</w:t>
            </w:r>
          </w:p>
        </w:tc>
        <w:tc>
          <w:tcPr>
            <w:tcW w:w="1754" w:type="dxa"/>
            <w:tcBorders>
              <w:left w:val="single" w:color="000000" w:sz="4" w:space="0"/>
              <w:bottom w:val="single" w:color="000000" w:sz="4" w:space="0"/>
              <w:right w:val="single" w:color="000000" w:sz="4" w:space="0"/>
            </w:tcBorders>
          </w:tcPr>
          <w:p w14:paraId="223C675A">
            <w:pPr>
              <w:pStyle w:val="17"/>
              <w:spacing w:before="6" w:line="310" w:lineRule="atLeast"/>
              <w:ind w:left="780" w:right="121" w:hanging="629"/>
              <w:jc w:val="left"/>
              <w:rPr>
                <w:sz w:val="21"/>
              </w:rPr>
            </w:pPr>
            <w:r>
              <w:rPr>
                <w:w w:val="95"/>
                <w:sz w:val="21"/>
              </w:rPr>
              <w:t>监测点经纬度坐</w:t>
            </w:r>
            <w:r>
              <w:rPr>
                <w:sz w:val="21"/>
              </w:rPr>
              <w:t>标</w:t>
            </w:r>
          </w:p>
        </w:tc>
        <w:tc>
          <w:tcPr>
            <w:tcW w:w="1035" w:type="dxa"/>
            <w:tcBorders>
              <w:left w:val="single" w:color="000000" w:sz="4" w:space="0"/>
              <w:bottom w:val="single" w:color="000000" w:sz="4" w:space="0"/>
              <w:right w:val="single" w:color="000000" w:sz="4" w:space="0"/>
            </w:tcBorders>
          </w:tcPr>
          <w:p w14:paraId="1C198C38">
            <w:pPr>
              <w:pStyle w:val="17"/>
              <w:spacing w:before="6" w:line="310" w:lineRule="atLeast"/>
              <w:ind w:left="420" w:right="183" w:hanging="209"/>
              <w:jc w:val="left"/>
              <w:rPr>
                <w:sz w:val="21"/>
              </w:rPr>
            </w:pPr>
            <w:r>
              <w:rPr>
                <w:w w:val="95"/>
                <w:sz w:val="21"/>
              </w:rPr>
              <w:t>监测因</w:t>
            </w:r>
            <w:r>
              <w:rPr>
                <w:sz w:val="21"/>
              </w:rPr>
              <w:t>子</w:t>
            </w:r>
          </w:p>
        </w:tc>
        <w:tc>
          <w:tcPr>
            <w:tcW w:w="1455" w:type="dxa"/>
            <w:tcBorders>
              <w:left w:val="single" w:color="000000" w:sz="4" w:space="0"/>
              <w:bottom w:val="single" w:color="000000" w:sz="4" w:space="0"/>
              <w:right w:val="single" w:color="000000" w:sz="4" w:space="0"/>
            </w:tcBorders>
          </w:tcPr>
          <w:p w14:paraId="12FF2E31">
            <w:pPr>
              <w:pStyle w:val="17"/>
              <w:spacing w:before="11"/>
              <w:jc w:val="left"/>
              <w:rPr>
                <w:b/>
                <w:sz w:val="15"/>
              </w:rPr>
            </w:pPr>
          </w:p>
          <w:p w14:paraId="2D471FF5">
            <w:pPr>
              <w:pStyle w:val="17"/>
              <w:ind w:left="317"/>
              <w:jc w:val="left"/>
              <w:rPr>
                <w:sz w:val="21"/>
              </w:rPr>
            </w:pPr>
            <w:r>
              <w:rPr>
                <w:sz w:val="21"/>
              </w:rPr>
              <w:t>监测时段</w:t>
            </w:r>
          </w:p>
        </w:tc>
        <w:tc>
          <w:tcPr>
            <w:tcW w:w="1579" w:type="dxa"/>
            <w:tcBorders>
              <w:left w:val="single" w:color="000000" w:sz="4" w:space="0"/>
              <w:bottom w:val="single" w:color="000000" w:sz="4" w:space="0"/>
              <w:right w:val="single" w:color="000000" w:sz="4" w:space="0"/>
            </w:tcBorders>
          </w:tcPr>
          <w:p w14:paraId="15130A20">
            <w:pPr>
              <w:pStyle w:val="17"/>
              <w:spacing w:before="6" w:line="310" w:lineRule="atLeast"/>
              <w:ind w:left="167" w:right="139"/>
              <w:jc w:val="left"/>
              <w:rPr>
                <w:sz w:val="21"/>
              </w:rPr>
            </w:pPr>
            <w:r>
              <w:rPr>
                <w:sz w:val="21"/>
              </w:rPr>
              <w:t>相对本项目厂址方位及距离</w:t>
            </w:r>
          </w:p>
        </w:tc>
        <w:tc>
          <w:tcPr>
            <w:tcW w:w="948" w:type="dxa"/>
            <w:tcBorders>
              <w:left w:val="single" w:color="000000" w:sz="4" w:space="0"/>
              <w:bottom w:val="single" w:color="000000" w:sz="4" w:space="0"/>
              <w:right w:val="nil"/>
            </w:tcBorders>
          </w:tcPr>
          <w:p w14:paraId="5A8322D2">
            <w:pPr>
              <w:pStyle w:val="17"/>
              <w:spacing w:before="11"/>
              <w:jc w:val="left"/>
              <w:rPr>
                <w:b/>
                <w:sz w:val="15"/>
              </w:rPr>
            </w:pPr>
          </w:p>
          <w:p w14:paraId="2692B293">
            <w:pPr>
              <w:pStyle w:val="17"/>
              <w:ind w:left="273"/>
              <w:jc w:val="left"/>
              <w:rPr>
                <w:sz w:val="21"/>
              </w:rPr>
            </w:pPr>
            <w:r>
              <w:rPr>
                <w:sz w:val="21"/>
              </w:rPr>
              <w:t>备注</w:t>
            </w:r>
          </w:p>
        </w:tc>
      </w:tr>
      <w:tr w14:paraId="4D994F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1748" w:type="dxa"/>
            <w:tcBorders>
              <w:top w:val="single" w:color="000000" w:sz="4" w:space="0"/>
              <w:left w:val="nil"/>
              <w:bottom w:val="single" w:color="000000" w:sz="4" w:space="0"/>
              <w:right w:val="single" w:color="000000" w:sz="4" w:space="0"/>
            </w:tcBorders>
          </w:tcPr>
          <w:p w14:paraId="7BCBCC03">
            <w:pPr>
              <w:pStyle w:val="17"/>
              <w:spacing w:before="176" w:line="278" w:lineRule="auto"/>
              <w:ind w:left="152" w:right="119" w:firstLine="55"/>
              <w:jc w:val="left"/>
              <w:rPr>
                <w:sz w:val="21"/>
              </w:rPr>
            </w:pPr>
            <w:r>
              <w:rPr>
                <w:rFonts w:ascii="Times New Roman" w:eastAsia="Times New Roman"/>
                <w:sz w:val="21"/>
              </w:rPr>
              <w:t xml:space="preserve">G1 </w:t>
            </w:r>
            <w:r>
              <w:rPr>
                <w:sz w:val="21"/>
              </w:rPr>
              <w:t>新禹时代项</w:t>
            </w:r>
            <w:r>
              <w:rPr>
                <w:w w:val="95"/>
                <w:sz w:val="21"/>
              </w:rPr>
              <w:t>目所在地下风向</w:t>
            </w:r>
          </w:p>
        </w:tc>
        <w:tc>
          <w:tcPr>
            <w:tcW w:w="1754" w:type="dxa"/>
            <w:tcBorders>
              <w:top w:val="single" w:color="000000" w:sz="4" w:space="0"/>
              <w:left w:val="single" w:color="000000" w:sz="4" w:space="0"/>
              <w:bottom w:val="single" w:color="000000" w:sz="4" w:space="0"/>
              <w:right w:val="single" w:color="000000" w:sz="4" w:space="0"/>
            </w:tcBorders>
          </w:tcPr>
          <w:p w14:paraId="619021CC">
            <w:pPr>
              <w:pStyle w:val="17"/>
              <w:spacing w:before="176" w:line="278" w:lineRule="auto"/>
              <w:ind w:left="259" w:right="121" w:hanging="39"/>
              <w:jc w:val="left"/>
              <w:rPr>
                <w:sz w:val="21"/>
              </w:rPr>
            </w:pPr>
            <w:r>
              <w:rPr>
                <w:rFonts w:ascii="Times New Roman" w:hAnsi="Times New Roman"/>
                <w:sz w:val="21"/>
              </w:rPr>
              <w:t>E113.173775</w:t>
            </w:r>
            <w:r>
              <w:rPr>
                <w:sz w:val="21"/>
              </w:rPr>
              <w:t xml:space="preserve">° </w:t>
            </w:r>
            <w:r>
              <w:rPr>
                <w:rFonts w:ascii="Times New Roman" w:hAnsi="Times New Roman"/>
                <w:sz w:val="21"/>
              </w:rPr>
              <w:t>N28.762908</w:t>
            </w:r>
            <w:r>
              <w:rPr>
                <w:sz w:val="21"/>
              </w:rPr>
              <w:t>°</w:t>
            </w:r>
          </w:p>
        </w:tc>
        <w:tc>
          <w:tcPr>
            <w:tcW w:w="1035" w:type="dxa"/>
            <w:tcBorders>
              <w:top w:val="single" w:color="000000" w:sz="4" w:space="0"/>
              <w:left w:val="single" w:color="000000" w:sz="4" w:space="0"/>
              <w:bottom w:val="single" w:color="000000" w:sz="4" w:space="0"/>
              <w:right w:val="single" w:color="000000" w:sz="4" w:space="0"/>
            </w:tcBorders>
          </w:tcPr>
          <w:p w14:paraId="2DD980AF">
            <w:pPr>
              <w:pStyle w:val="17"/>
              <w:spacing w:before="34"/>
              <w:ind w:left="212"/>
              <w:jc w:val="left"/>
              <w:rPr>
                <w:rFonts w:ascii="Times New Roman"/>
                <w:sz w:val="21"/>
              </w:rPr>
            </w:pPr>
            <w:r>
              <w:rPr>
                <w:rFonts w:ascii="Times New Roman"/>
                <w:sz w:val="21"/>
              </w:rPr>
              <w:t>NMHC</w:t>
            </w:r>
          </w:p>
          <w:p w14:paraId="47B4ECC5">
            <w:pPr>
              <w:pStyle w:val="17"/>
              <w:spacing w:before="16" w:line="310" w:lineRule="atLeast"/>
              <w:ind w:left="315" w:right="155" w:hanging="130"/>
              <w:jc w:val="left"/>
              <w:rPr>
                <w:sz w:val="21"/>
              </w:rPr>
            </w:pPr>
            <w:r>
              <w:rPr>
                <w:sz w:val="21"/>
              </w:rPr>
              <w:t>（</w:t>
            </w:r>
            <w:r>
              <w:rPr>
                <w:rFonts w:ascii="Times New Roman" w:eastAsia="Times New Roman"/>
                <w:sz w:val="21"/>
              </w:rPr>
              <w:t xml:space="preserve">1h </w:t>
            </w:r>
            <w:r>
              <w:rPr>
                <w:sz w:val="21"/>
              </w:rPr>
              <w:t>均值）</w:t>
            </w:r>
          </w:p>
        </w:tc>
        <w:tc>
          <w:tcPr>
            <w:tcW w:w="1455" w:type="dxa"/>
            <w:tcBorders>
              <w:top w:val="single" w:color="000000" w:sz="4" w:space="0"/>
              <w:left w:val="single" w:color="000000" w:sz="4" w:space="0"/>
              <w:bottom w:val="single" w:color="000000" w:sz="4" w:space="0"/>
              <w:right w:val="single" w:color="000000" w:sz="4" w:space="0"/>
            </w:tcBorders>
          </w:tcPr>
          <w:p w14:paraId="000E612D">
            <w:pPr>
              <w:pStyle w:val="17"/>
              <w:spacing w:before="190"/>
              <w:ind w:left="206"/>
              <w:jc w:val="left"/>
              <w:rPr>
                <w:rFonts w:ascii="Times New Roman"/>
                <w:sz w:val="21"/>
              </w:rPr>
            </w:pPr>
            <w:r>
              <w:rPr>
                <w:rFonts w:ascii="Times New Roman"/>
                <w:sz w:val="21"/>
              </w:rPr>
              <w:t>2022.08.05~</w:t>
            </w:r>
          </w:p>
          <w:p w14:paraId="44B7F070">
            <w:pPr>
              <w:pStyle w:val="17"/>
              <w:spacing w:before="71"/>
              <w:ind w:left="269"/>
              <w:jc w:val="left"/>
              <w:rPr>
                <w:rFonts w:ascii="Times New Roman"/>
                <w:sz w:val="21"/>
              </w:rPr>
            </w:pPr>
            <w:r>
              <w:rPr>
                <w:rFonts w:ascii="Times New Roman"/>
                <w:sz w:val="21"/>
              </w:rPr>
              <w:t>2022.08.11</w:t>
            </w:r>
          </w:p>
        </w:tc>
        <w:tc>
          <w:tcPr>
            <w:tcW w:w="1579" w:type="dxa"/>
            <w:tcBorders>
              <w:top w:val="single" w:color="000000" w:sz="4" w:space="0"/>
              <w:left w:val="single" w:color="000000" w:sz="4" w:space="0"/>
              <w:bottom w:val="single" w:color="000000" w:sz="4" w:space="0"/>
              <w:right w:val="single" w:color="000000" w:sz="4" w:space="0"/>
            </w:tcBorders>
          </w:tcPr>
          <w:p w14:paraId="19C7C85A">
            <w:pPr>
              <w:pStyle w:val="17"/>
              <w:spacing w:before="12"/>
              <w:jc w:val="left"/>
              <w:rPr>
                <w:b/>
                <w:sz w:val="25"/>
              </w:rPr>
            </w:pPr>
          </w:p>
          <w:p w14:paraId="110D6D41">
            <w:pPr>
              <w:pStyle w:val="17"/>
              <w:ind w:left="78" w:right="51"/>
              <w:rPr>
                <w:rFonts w:ascii="Times New Roman" w:eastAsia="Times New Roman"/>
                <w:sz w:val="21"/>
              </w:rPr>
            </w:pPr>
            <w:r>
              <w:rPr>
                <w:sz w:val="21"/>
              </w:rPr>
              <w:t>西，</w:t>
            </w:r>
            <w:r>
              <w:rPr>
                <w:rFonts w:ascii="Times New Roman" w:eastAsia="Times New Roman"/>
                <w:sz w:val="21"/>
              </w:rPr>
              <w:t>295m</w:t>
            </w:r>
          </w:p>
        </w:tc>
        <w:tc>
          <w:tcPr>
            <w:tcW w:w="948" w:type="dxa"/>
            <w:vMerge w:val="restart"/>
            <w:tcBorders>
              <w:top w:val="single" w:color="000000" w:sz="4" w:space="0"/>
              <w:left w:val="single" w:color="000000" w:sz="4" w:space="0"/>
              <w:bottom w:val="single" w:color="000000" w:sz="4" w:space="0"/>
              <w:right w:val="nil"/>
            </w:tcBorders>
          </w:tcPr>
          <w:p w14:paraId="2B537289">
            <w:pPr>
              <w:pStyle w:val="17"/>
              <w:jc w:val="left"/>
              <w:rPr>
                <w:b/>
                <w:sz w:val="20"/>
              </w:rPr>
            </w:pPr>
          </w:p>
          <w:p w14:paraId="253DE0CF">
            <w:pPr>
              <w:pStyle w:val="17"/>
              <w:spacing w:before="6"/>
              <w:jc w:val="left"/>
              <w:rPr>
                <w:b/>
                <w:sz w:val="18"/>
              </w:rPr>
            </w:pPr>
          </w:p>
          <w:p w14:paraId="466B45F9">
            <w:pPr>
              <w:pStyle w:val="17"/>
              <w:spacing w:line="278" w:lineRule="auto"/>
              <w:ind w:left="167" w:right="144"/>
              <w:rPr>
                <w:sz w:val="21"/>
              </w:rPr>
            </w:pPr>
            <w:r>
              <w:rPr>
                <w:w w:val="95"/>
                <w:sz w:val="21"/>
              </w:rPr>
              <w:t>符合引</w:t>
            </w:r>
            <w:r>
              <w:rPr>
                <w:sz w:val="21"/>
              </w:rPr>
              <w:t xml:space="preserve">用要 </w:t>
            </w:r>
            <w:r>
              <w:rPr>
                <w:w w:val="95"/>
                <w:sz w:val="21"/>
              </w:rPr>
              <w:t>求，引用的数据有效</w:t>
            </w:r>
          </w:p>
        </w:tc>
      </w:tr>
      <w:tr w14:paraId="7205FE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748" w:type="dxa"/>
            <w:tcBorders>
              <w:top w:val="single" w:color="000000" w:sz="4" w:space="0"/>
              <w:left w:val="nil"/>
              <w:bottom w:val="single" w:color="000000" w:sz="4" w:space="0"/>
              <w:right w:val="single" w:color="000000" w:sz="4" w:space="0"/>
            </w:tcBorders>
          </w:tcPr>
          <w:p w14:paraId="3862F946">
            <w:pPr>
              <w:pStyle w:val="17"/>
              <w:spacing w:before="20"/>
              <w:ind w:left="207"/>
              <w:jc w:val="left"/>
              <w:rPr>
                <w:sz w:val="21"/>
              </w:rPr>
            </w:pPr>
            <w:r>
              <w:rPr>
                <w:rFonts w:ascii="Times New Roman" w:eastAsia="Times New Roman"/>
                <w:sz w:val="21"/>
              </w:rPr>
              <w:t xml:space="preserve">G2 </w:t>
            </w:r>
            <w:r>
              <w:rPr>
                <w:sz w:val="21"/>
              </w:rPr>
              <w:t>锂汇通厂界</w:t>
            </w:r>
          </w:p>
          <w:p w14:paraId="5CFB92D6">
            <w:pPr>
              <w:pStyle w:val="17"/>
              <w:spacing w:before="43"/>
              <w:ind w:left="282"/>
              <w:jc w:val="left"/>
              <w:rPr>
                <w:sz w:val="21"/>
              </w:rPr>
            </w:pPr>
            <w:r>
              <w:rPr>
                <w:sz w:val="21"/>
              </w:rPr>
              <w:t xml:space="preserve">北侧外 </w:t>
            </w:r>
            <w:r>
              <w:rPr>
                <w:rFonts w:ascii="Times New Roman" w:eastAsia="Times New Roman"/>
                <w:sz w:val="21"/>
              </w:rPr>
              <w:t xml:space="preserve">5m </w:t>
            </w:r>
            <w:r>
              <w:rPr>
                <w:sz w:val="21"/>
              </w:rPr>
              <w:t>处</w:t>
            </w:r>
          </w:p>
        </w:tc>
        <w:tc>
          <w:tcPr>
            <w:tcW w:w="1754" w:type="dxa"/>
            <w:tcBorders>
              <w:top w:val="single" w:color="000000" w:sz="4" w:space="0"/>
              <w:left w:val="single" w:color="000000" w:sz="4" w:space="0"/>
              <w:bottom w:val="single" w:color="000000" w:sz="4" w:space="0"/>
              <w:right w:val="single" w:color="000000" w:sz="4" w:space="0"/>
            </w:tcBorders>
          </w:tcPr>
          <w:p w14:paraId="001DB9D9">
            <w:pPr>
              <w:pStyle w:val="17"/>
              <w:spacing w:before="20"/>
              <w:ind w:left="221"/>
              <w:jc w:val="left"/>
              <w:rPr>
                <w:sz w:val="21"/>
              </w:rPr>
            </w:pPr>
            <w:r>
              <w:rPr>
                <w:rFonts w:ascii="Times New Roman" w:hAnsi="Times New Roman"/>
                <w:sz w:val="21"/>
              </w:rPr>
              <w:t>E113.168808</w:t>
            </w:r>
            <w:r>
              <w:rPr>
                <w:sz w:val="21"/>
              </w:rPr>
              <w:t>°</w:t>
            </w:r>
          </w:p>
          <w:p w14:paraId="4CF3F0E0">
            <w:pPr>
              <w:pStyle w:val="17"/>
              <w:spacing w:before="43"/>
              <w:ind w:left="259"/>
              <w:jc w:val="left"/>
              <w:rPr>
                <w:sz w:val="21"/>
              </w:rPr>
            </w:pPr>
            <w:r>
              <w:rPr>
                <w:rFonts w:ascii="Times New Roman" w:hAnsi="Times New Roman"/>
                <w:sz w:val="21"/>
              </w:rPr>
              <w:t>N28.755575</w:t>
            </w:r>
            <w:r>
              <w:rPr>
                <w:sz w:val="21"/>
              </w:rPr>
              <w:t>°</w:t>
            </w:r>
          </w:p>
        </w:tc>
        <w:tc>
          <w:tcPr>
            <w:tcW w:w="1035" w:type="dxa"/>
            <w:vMerge w:val="restart"/>
            <w:tcBorders>
              <w:top w:val="single" w:color="000000" w:sz="4" w:space="0"/>
              <w:left w:val="single" w:color="000000" w:sz="4" w:space="0"/>
              <w:bottom w:val="single" w:color="000000" w:sz="4" w:space="0"/>
              <w:right w:val="single" w:color="000000" w:sz="4" w:space="0"/>
            </w:tcBorders>
          </w:tcPr>
          <w:p w14:paraId="04C342A4">
            <w:pPr>
              <w:pStyle w:val="17"/>
              <w:spacing w:before="20"/>
              <w:ind w:left="118"/>
              <w:jc w:val="left"/>
              <w:rPr>
                <w:rFonts w:ascii="Times New Roman" w:eastAsia="Times New Roman"/>
                <w:sz w:val="21"/>
              </w:rPr>
            </w:pPr>
            <w:r>
              <w:rPr>
                <w:rFonts w:ascii="Times New Roman" w:eastAsia="Times New Roman"/>
                <w:sz w:val="21"/>
              </w:rPr>
              <w:t>TSP</w:t>
            </w:r>
            <w:r>
              <w:rPr>
                <w:sz w:val="21"/>
              </w:rPr>
              <w:t>（</w:t>
            </w:r>
            <w:r>
              <w:rPr>
                <w:rFonts w:ascii="Times New Roman" w:eastAsia="Times New Roman"/>
                <w:sz w:val="21"/>
              </w:rPr>
              <w:t>24h</w:t>
            </w:r>
          </w:p>
          <w:p w14:paraId="25C29F06">
            <w:pPr>
              <w:pStyle w:val="17"/>
              <w:spacing w:before="43"/>
              <w:ind w:left="118"/>
              <w:jc w:val="left"/>
              <w:rPr>
                <w:sz w:val="21"/>
              </w:rPr>
            </w:pPr>
            <w:r>
              <w:rPr>
                <w:w w:val="95"/>
                <w:sz w:val="21"/>
              </w:rPr>
              <w:t>均值）、</w:t>
            </w:r>
          </w:p>
          <w:p w14:paraId="1552EC91">
            <w:pPr>
              <w:pStyle w:val="17"/>
              <w:spacing w:before="57"/>
              <w:ind w:left="240"/>
              <w:jc w:val="left"/>
              <w:rPr>
                <w:rFonts w:ascii="Times New Roman"/>
                <w:sz w:val="21"/>
              </w:rPr>
            </w:pPr>
            <w:r>
              <w:rPr>
                <w:rFonts w:ascii="Times New Roman"/>
                <w:sz w:val="21"/>
              </w:rPr>
              <w:t>TVOC</w:t>
            </w:r>
          </w:p>
          <w:p w14:paraId="57A36AA5">
            <w:pPr>
              <w:pStyle w:val="17"/>
              <w:spacing w:before="15" w:line="310" w:lineRule="atLeast"/>
              <w:ind w:left="315" w:right="155" w:hanging="130"/>
              <w:jc w:val="left"/>
              <w:rPr>
                <w:sz w:val="21"/>
              </w:rPr>
            </w:pPr>
            <w:r>
              <w:rPr>
                <w:sz w:val="21"/>
              </w:rPr>
              <w:t>（</w:t>
            </w:r>
            <w:r>
              <w:rPr>
                <w:rFonts w:ascii="Times New Roman" w:eastAsia="Times New Roman"/>
                <w:sz w:val="21"/>
              </w:rPr>
              <w:t xml:space="preserve">8h </w:t>
            </w:r>
            <w:r>
              <w:rPr>
                <w:sz w:val="21"/>
              </w:rPr>
              <w:t>均值）</w:t>
            </w:r>
          </w:p>
        </w:tc>
        <w:tc>
          <w:tcPr>
            <w:tcW w:w="1455" w:type="dxa"/>
            <w:vMerge w:val="restart"/>
            <w:tcBorders>
              <w:top w:val="single" w:color="000000" w:sz="4" w:space="0"/>
              <w:left w:val="single" w:color="000000" w:sz="4" w:space="0"/>
              <w:bottom w:val="single" w:color="000000" w:sz="4" w:space="0"/>
              <w:right w:val="single" w:color="000000" w:sz="4" w:space="0"/>
            </w:tcBorders>
          </w:tcPr>
          <w:p w14:paraId="633CCA74">
            <w:pPr>
              <w:pStyle w:val="17"/>
              <w:jc w:val="left"/>
              <w:rPr>
                <w:b/>
                <w:sz w:val="22"/>
              </w:rPr>
            </w:pPr>
          </w:p>
          <w:p w14:paraId="5A848793">
            <w:pPr>
              <w:pStyle w:val="17"/>
              <w:spacing w:before="2"/>
              <w:jc w:val="left"/>
              <w:rPr>
                <w:b/>
                <w:sz w:val="17"/>
              </w:rPr>
            </w:pPr>
          </w:p>
          <w:p w14:paraId="262BE60A">
            <w:pPr>
              <w:pStyle w:val="17"/>
              <w:ind w:left="206"/>
              <w:jc w:val="left"/>
              <w:rPr>
                <w:rFonts w:ascii="Times New Roman"/>
                <w:sz w:val="21"/>
              </w:rPr>
            </w:pPr>
            <w:r>
              <w:rPr>
                <w:rFonts w:ascii="Times New Roman"/>
                <w:sz w:val="21"/>
              </w:rPr>
              <w:t>2023.01.07~</w:t>
            </w:r>
          </w:p>
          <w:p w14:paraId="59E89D7B">
            <w:pPr>
              <w:pStyle w:val="17"/>
              <w:spacing w:before="70"/>
              <w:ind w:left="264"/>
              <w:jc w:val="left"/>
              <w:rPr>
                <w:rFonts w:ascii="Times New Roman"/>
                <w:sz w:val="21"/>
              </w:rPr>
            </w:pPr>
            <w:r>
              <w:rPr>
                <w:rFonts w:ascii="Times New Roman"/>
                <w:sz w:val="21"/>
              </w:rPr>
              <w:t>2023.01.13</w:t>
            </w:r>
          </w:p>
        </w:tc>
        <w:tc>
          <w:tcPr>
            <w:tcW w:w="1579" w:type="dxa"/>
            <w:tcBorders>
              <w:top w:val="single" w:color="000000" w:sz="4" w:space="0"/>
              <w:left w:val="single" w:color="000000" w:sz="4" w:space="0"/>
              <w:bottom w:val="single" w:color="000000" w:sz="4" w:space="0"/>
              <w:right w:val="single" w:color="000000" w:sz="4" w:space="0"/>
            </w:tcBorders>
          </w:tcPr>
          <w:p w14:paraId="6DE01A89">
            <w:pPr>
              <w:pStyle w:val="17"/>
              <w:spacing w:before="176"/>
              <w:ind w:left="78" w:right="51"/>
              <w:rPr>
                <w:rFonts w:ascii="Times New Roman" w:eastAsia="Times New Roman"/>
                <w:sz w:val="21"/>
              </w:rPr>
            </w:pPr>
            <w:r>
              <w:rPr>
                <w:sz w:val="21"/>
              </w:rPr>
              <w:t>西南，</w:t>
            </w:r>
            <w:r>
              <w:rPr>
                <w:rFonts w:ascii="Times New Roman" w:eastAsia="Times New Roman"/>
                <w:sz w:val="21"/>
              </w:rPr>
              <w:t>1085m</w:t>
            </w:r>
          </w:p>
        </w:tc>
        <w:tc>
          <w:tcPr>
            <w:tcW w:w="948" w:type="dxa"/>
            <w:vMerge w:val="continue"/>
            <w:tcBorders>
              <w:top w:val="nil"/>
              <w:left w:val="single" w:color="000000" w:sz="4" w:space="0"/>
              <w:bottom w:val="single" w:color="000000" w:sz="4" w:space="0"/>
              <w:right w:val="nil"/>
            </w:tcBorders>
          </w:tcPr>
          <w:p w14:paraId="6812F9BC">
            <w:pPr>
              <w:rPr>
                <w:sz w:val="2"/>
                <w:szCs w:val="2"/>
              </w:rPr>
            </w:pPr>
          </w:p>
        </w:tc>
      </w:tr>
      <w:tr w14:paraId="5D16ED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6" w:hRule="atLeast"/>
        </w:trPr>
        <w:tc>
          <w:tcPr>
            <w:tcW w:w="1748" w:type="dxa"/>
            <w:tcBorders>
              <w:top w:val="single" w:color="000000" w:sz="4" w:space="0"/>
              <w:left w:val="nil"/>
              <w:bottom w:val="single" w:color="000000" w:sz="4" w:space="0"/>
              <w:right w:val="single" w:color="000000" w:sz="4" w:space="0"/>
            </w:tcBorders>
          </w:tcPr>
          <w:p w14:paraId="0A8096B6">
            <w:pPr>
              <w:pStyle w:val="17"/>
              <w:spacing w:before="171" w:line="278" w:lineRule="auto"/>
              <w:ind w:left="469" w:right="174" w:hanging="262"/>
              <w:jc w:val="left"/>
              <w:rPr>
                <w:sz w:val="21"/>
              </w:rPr>
            </w:pPr>
            <w:r>
              <w:rPr>
                <w:rFonts w:ascii="Times New Roman" w:eastAsia="Times New Roman"/>
                <w:sz w:val="21"/>
              </w:rPr>
              <w:t xml:space="preserve">G3 </w:t>
            </w:r>
            <w:r>
              <w:rPr>
                <w:sz w:val="21"/>
              </w:rPr>
              <w:t>塘家铺西南侧居民点</w:t>
            </w:r>
          </w:p>
        </w:tc>
        <w:tc>
          <w:tcPr>
            <w:tcW w:w="1754" w:type="dxa"/>
            <w:tcBorders>
              <w:top w:val="single" w:color="000000" w:sz="4" w:space="0"/>
              <w:left w:val="single" w:color="000000" w:sz="4" w:space="0"/>
              <w:bottom w:val="single" w:color="000000" w:sz="4" w:space="0"/>
              <w:right w:val="single" w:color="000000" w:sz="4" w:space="0"/>
            </w:tcBorders>
          </w:tcPr>
          <w:p w14:paraId="4A1A8B34">
            <w:pPr>
              <w:pStyle w:val="17"/>
              <w:spacing w:before="171" w:line="278" w:lineRule="auto"/>
              <w:ind w:left="259" w:right="121" w:hanging="39"/>
              <w:jc w:val="left"/>
              <w:rPr>
                <w:sz w:val="21"/>
              </w:rPr>
            </w:pPr>
            <w:r>
              <w:rPr>
                <w:rFonts w:ascii="Times New Roman" w:hAnsi="Times New Roman"/>
                <w:sz w:val="21"/>
              </w:rPr>
              <w:t>E113.162370</w:t>
            </w:r>
            <w:r>
              <w:rPr>
                <w:sz w:val="21"/>
              </w:rPr>
              <w:t xml:space="preserve">° </w:t>
            </w:r>
            <w:r>
              <w:rPr>
                <w:rFonts w:ascii="Times New Roman" w:hAnsi="Times New Roman"/>
                <w:sz w:val="21"/>
              </w:rPr>
              <w:t>N28.742486</w:t>
            </w:r>
            <w:r>
              <w:rPr>
                <w:sz w:val="21"/>
              </w:rPr>
              <w:t>°</w:t>
            </w:r>
          </w:p>
        </w:tc>
        <w:tc>
          <w:tcPr>
            <w:tcW w:w="1035" w:type="dxa"/>
            <w:vMerge w:val="continue"/>
            <w:tcBorders>
              <w:top w:val="nil"/>
              <w:left w:val="single" w:color="000000" w:sz="4" w:space="0"/>
              <w:bottom w:val="single" w:color="000000" w:sz="4" w:space="0"/>
              <w:right w:val="single" w:color="000000" w:sz="4" w:space="0"/>
            </w:tcBorders>
          </w:tcPr>
          <w:p w14:paraId="360DB770">
            <w:pPr>
              <w:rPr>
                <w:sz w:val="2"/>
                <w:szCs w:val="2"/>
              </w:rPr>
            </w:pPr>
          </w:p>
        </w:tc>
        <w:tc>
          <w:tcPr>
            <w:tcW w:w="1455" w:type="dxa"/>
            <w:vMerge w:val="continue"/>
            <w:tcBorders>
              <w:top w:val="nil"/>
              <w:left w:val="single" w:color="000000" w:sz="4" w:space="0"/>
              <w:bottom w:val="single" w:color="000000" w:sz="4" w:space="0"/>
              <w:right w:val="single" w:color="000000" w:sz="4" w:space="0"/>
            </w:tcBorders>
          </w:tcPr>
          <w:p w14:paraId="19BF5C92">
            <w:pPr>
              <w:rPr>
                <w:sz w:val="2"/>
                <w:szCs w:val="2"/>
              </w:rPr>
            </w:pPr>
          </w:p>
        </w:tc>
        <w:tc>
          <w:tcPr>
            <w:tcW w:w="1579" w:type="dxa"/>
            <w:tcBorders>
              <w:top w:val="single" w:color="000000" w:sz="4" w:space="0"/>
              <w:left w:val="single" w:color="000000" w:sz="4" w:space="0"/>
              <w:bottom w:val="single" w:color="000000" w:sz="4" w:space="0"/>
              <w:right w:val="single" w:color="000000" w:sz="4" w:space="0"/>
            </w:tcBorders>
          </w:tcPr>
          <w:p w14:paraId="299A0832">
            <w:pPr>
              <w:pStyle w:val="17"/>
              <w:spacing w:before="6"/>
              <w:jc w:val="left"/>
              <w:rPr>
                <w:b/>
                <w:sz w:val="25"/>
              </w:rPr>
            </w:pPr>
          </w:p>
          <w:p w14:paraId="3B445232">
            <w:pPr>
              <w:pStyle w:val="17"/>
              <w:ind w:left="78" w:right="51"/>
              <w:rPr>
                <w:rFonts w:ascii="Times New Roman" w:eastAsia="Times New Roman"/>
                <w:sz w:val="21"/>
              </w:rPr>
            </w:pPr>
            <w:r>
              <w:rPr>
                <w:sz w:val="21"/>
              </w:rPr>
              <w:t>西南，</w:t>
            </w:r>
            <w:r>
              <w:rPr>
                <w:rFonts w:ascii="Times New Roman" w:eastAsia="Times New Roman"/>
                <w:sz w:val="21"/>
              </w:rPr>
              <w:t>2610m</w:t>
            </w:r>
          </w:p>
        </w:tc>
        <w:tc>
          <w:tcPr>
            <w:tcW w:w="948" w:type="dxa"/>
            <w:vMerge w:val="continue"/>
            <w:tcBorders>
              <w:top w:val="nil"/>
              <w:left w:val="single" w:color="000000" w:sz="4" w:space="0"/>
              <w:bottom w:val="single" w:color="000000" w:sz="4" w:space="0"/>
              <w:right w:val="nil"/>
            </w:tcBorders>
          </w:tcPr>
          <w:p w14:paraId="756AEC99">
            <w:pPr>
              <w:rPr>
                <w:sz w:val="2"/>
                <w:szCs w:val="2"/>
              </w:rPr>
            </w:pPr>
          </w:p>
        </w:tc>
      </w:tr>
      <w:tr w14:paraId="6B67A3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748" w:type="dxa"/>
            <w:tcBorders>
              <w:top w:val="single" w:color="000000" w:sz="4" w:space="0"/>
              <w:left w:val="nil"/>
              <w:right w:val="single" w:color="000000" w:sz="4" w:space="0"/>
            </w:tcBorders>
          </w:tcPr>
          <w:p w14:paraId="6907532B">
            <w:pPr>
              <w:pStyle w:val="17"/>
              <w:spacing w:before="19"/>
              <w:ind w:left="187" w:right="156"/>
              <w:rPr>
                <w:sz w:val="21"/>
              </w:rPr>
            </w:pPr>
            <w:r>
              <w:rPr>
                <w:rFonts w:ascii="Times New Roman" w:eastAsia="Times New Roman"/>
                <w:sz w:val="21"/>
              </w:rPr>
              <w:t xml:space="preserve">G4 </w:t>
            </w:r>
            <w:r>
              <w:rPr>
                <w:sz w:val="21"/>
              </w:rPr>
              <w:t>项目南侧厂</w:t>
            </w:r>
          </w:p>
          <w:p w14:paraId="13AFEC67">
            <w:pPr>
              <w:pStyle w:val="17"/>
              <w:spacing w:before="43"/>
              <w:ind w:left="187" w:right="155"/>
              <w:rPr>
                <w:rFonts w:ascii="Times New Roman" w:eastAsia="Times New Roman"/>
                <w:sz w:val="21"/>
              </w:rPr>
            </w:pPr>
            <w:r>
              <w:rPr>
                <w:sz w:val="21"/>
              </w:rPr>
              <w:t xml:space="preserve">界外 </w:t>
            </w:r>
            <w:r>
              <w:rPr>
                <w:rFonts w:ascii="Times New Roman" w:eastAsia="Times New Roman"/>
                <w:sz w:val="21"/>
              </w:rPr>
              <w:t>5m</w:t>
            </w:r>
          </w:p>
        </w:tc>
        <w:tc>
          <w:tcPr>
            <w:tcW w:w="1754" w:type="dxa"/>
            <w:tcBorders>
              <w:top w:val="single" w:color="000000" w:sz="4" w:space="0"/>
              <w:left w:val="single" w:color="000000" w:sz="4" w:space="0"/>
              <w:right w:val="single" w:color="000000" w:sz="4" w:space="0"/>
            </w:tcBorders>
          </w:tcPr>
          <w:p w14:paraId="79EDC188">
            <w:pPr>
              <w:pStyle w:val="17"/>
              <w:spacing w:before="19"/>
              <w:ind w:left="93" w:right="65"/>
              <w:rPr>
                <w:sz w:val="21"/>
              </w:rPr>
            </w:pPr>
            <w:r>
              <w:rPr>
                <w:rFonts w:ascii="Times New Roman" w:hAnsi="Times New Roman" w:eastAsia="Times New Roman"/>
                <w:sz w:val="21"/>
              </w:rPr>
              <w:t>E113.177190</w:t>
            </w:r>
            <w:r>
              <w:rPr>
                <w:sz w:val="21"/>
              </w:rPr>
              <w:t>°，</w:t>
            </w:r>
          </w:p>
          <w:p w14:paraId="1EFC0348">
            <w:pPr>
              <w:pStyle w:val="17"/>
              <w:spacing w:before="43"/>
              <w:ind w:left="93" w:right="65"/>
              <w:rPr>
                <w:sz w:val="21"/>
              </w:rPr>
            </w:pPr>
            <w:r>
              <w:rPr>
                <w:rFonts w:ascii="Times New Roman" w:hAnsi="Times New Roman"/>
                <w:sz w:val="21"/>
              </w:rPr>
              <w:t>N28.762323</w:t>
            </w:r>
            <w:r>
              <w:rPr>
                <w:sz w:val="21"/>
              </w:rPr>
              <w:t>°</w:t>
            </w:r>
          </w:p>
        </w:tc>
        <w:tc>
          <w:tcPr>
            <w:tcW w:w="1035" w:type="dxa"/>
            <w:tcBorders>
              <w:top w:val="single" w:color="000000" w:sz="4" w:space="0"/>
              <w:left w:val="single" w:color="000000" w:sz="4" w:space="0"/>
              <w:right w:val="single" w:color="000000" w:sz="4" w:space="0"/>
            </w:tcBorders>
          </w:tcPr>
          <w:p w14:paraId="35579319">
            <w:pPr>
              <w:pStyle w:val="17"/>
              <w:spacing w:before="19"/>
              <w:ind w:left="191" w:right="164"/>
              <w:rPr>
                <w:sz w:val="21"/>
              </w:rPr>
            </w:pPr>
            <w:r>
              <w:rPr>
                <w:sz w:val="21"/>
              </w:rPr>
              <w:t>臭气浓</w:t>
            </w:r>
          </w:p>
          <w:p w14:paraId="03DCE195">
            <w:pPr>
              <w:pStyle w:val="17"/>
              <w:spacing w:before="43"/>
              <w:ind w:left="25"/>
              <w:rPr>
                <w:sz w:val="21"/>
              </w:rPr>
            </w:pPr>
            <w:r>
              <w:rPr>
                <w:w w:val="99"/>
                <w:sz w:val="21"/>
              </w:rPr>
              <w:t>度</w:t>
            </w:r>
          </w:p>
        </w:tc>
        <w:tc>
          <w:tcPr>
            <w:tcW w:w="1455" w:type="dxa"/>
            <w:tcBorders>
              <w:top w:val="single" w:color="000000" w:sz="4" w:space="0"/>
              <w:left w:val="single" w:color="000000" w:sz="4" w:space="0"/>
              <w:right w:val="single" w:color="000000" w:sz="4" w:space="0"/>
            </w:tcBorders>
          </w:tcPr>
          <w:p w14:paraId="32B66F43">
            <w:pPr>
              <w:pStyle w:val="17"/>
              <w:spacing w:before="33"/>
              <w:ind w:left="206"/>
              <w:jc w:val="left"/>
              <w:rPr>
                <w:rFonts w:ascii="Times New Roman"/>
                <w:sz w:val="21"/>
              </w:rPr>
            </w:pPr>
            <w:r>
              <w:rPr>
                <w:rFonts w:ascii="Times New Roman"/>
                <w:sz w:val="21"/>
              </w:rPr>
              <w:t>2024.07.14~</w:t>
            </w:r>
          </w:p>
          <w:p w14:paraId="69EBB8C5">
            <w:pPr>
              <w:pStyle w:val="17"/>
              <w:spacing w:before="71"/>
              <w:ind w:left="264"/>
              <w:jc w:val="left"/>
              <w:rPr>
                <w:rFonts w:ascii="Times New Roman"/>
                <w:sz w:val="21"/>
              </w:rPr>
            </w:pPr>
            <w:r>
              <w:rPr>
                <w:rFonts w:ascii="Times New Roman"/>
                <w:sz w:val="21"/>
              </w:rPr>
              <w:t>2024.07.20</w:t>
            </w:r>
          </w:p>
        </w:tc>
        <w:tc>
          <w:tcPr>
            <w:tcW w:w="1579" w:type="dxa"/>
            <w:tcBorders>
              <w:top w:val="single" w:color="000000" w:sz="4" w:space="0"/>
              <w:left w:val="single" w:color="000000" w:sz="4" w:space="0"/>
              <w:right w:val="single" w:color="000000" w:sz="4" w:space="0"/>
            </w:tcBorders>
          </w:tcPr>
          <w:p w14:paraId="067D2C1C">
            <w:pPr>
              <w:pStyle w:val="17"/>
              <w:spacing w:before="175"/>
              <w:ind w:left="76" w:right="51"/>
              <w:rPr>
                <w:rFonts w:ascii="Times New Roman" w:eastAsia="Times New Roman"/>
                <w:sz w:val="21"/>
              </w:rPr>
            </w:pPr>
            <w:r>
              <w:rPr>
                <w:sz w:val="21"/>
              </w:rPr>
              <w:t>南，</w:t>
            </w:r>
            <w:r>
              <w:rPr>
                <w:rFonts w:ascii="Times New Roman" w:eastAsia="Times New Roman"/>
                <w:sz w:val="21"/>
              </w:rPr>
              <w:t>5m</w:t>
            </w:r>
          </w:p>
        </w:tc>
        <w:tc>
          <w:tcPr>
            <w:tcW w:w="948" w:type="dxa"/>
            <w:tcBorders>
              <w:top w:val="single" w:color="000000" w:sz="4" w:space="0"/>
              <w:left w:val="single" w:color="000000" w:sz="4" w:space="0"/>
              <w:right w:val="nil"/>
            </w:tcBorders>
          </w:tcPr>
          <w:p w14:paraId="5BCFBED3">
            <w:pPr>
              <w:pStyle w:val="17"/>
              <w:spacing w:before="19"/>
              <w:ind w:left="147" w:right="126"/>
              <w:rPr>
                <w:sz w:val="21"/>
              </w:rPr>
            </w:pPr>
            <w:r>
              <w:rPr>
                <w:sz w:val="21"/>
              </w:rPr>
              <w:t>补充监</w:t>
            </w:r>
          </w:p>
          <w:p w14:paraId="1E19A5C5">
            <w:pPr>
              <w:pStyle w:val="17"/>
              <w:spacing w:before="43"/>
              <w:ind w:left="24"/>
              <w:rPr>
                <w:sz w:val="21"/>
              </w:rPr>
            </w:pPr>
            <w:r>
              <w:rPr>
                <w:w w:val="99"/>
                <w:sz w:val="21"/>
              </w:rPr>
              <w:t>测</w:t>
            </w:r>
          </w:p>
        </w:tc>
      </w:tr>
    </w:tbl>
    <w:p w14:paraId="5FB66360">
      <w:pPr>
        <w:pStyle w:val="9"/>
        <w:tabs>
          <w:tab w:val="left" w:pos="1566"/>
          <w:tab w:val="left" w:pos="5178"/>
        </w:tabs>
        <w:spacing w:before="4"/>
        <w:ind w:left="524"/>
        <w:jc w:val="center"/>
        <w:rPr>
          <w:rFonts w:ascii="Times New Roman" w:eastAsia="Times New Roman"/>
          <w:sz w:val="15"/>
        </w:rPr>
      </w:pPr>
      <w:r>
        <w:t>表</w:t>
      </w:r>
      <w:r>
        <w:rPr>
          <w:spacing w:val="-62"/>
        </w:rPr>
        <w:t xml:space="preserve"> </w:t>
      </w:r>
      <w:r>
        <w:rPr>
          <w:rFonts w:ascii="Times New Roman" w:eastAsia="Times New Roman"/>
        </w:rPr>
        <w:t>3.3-3</w:t>
      </w:r>
      <w:r>
        <w:rPr>
          <w:rFonts w:ascii="Times New Roman" w:eastAsia="Times New Roman"/>
        </w:rPr>
        <w:tab/>
      </w:r>
      <w:r>
        <w:t>其他污染物现状监测结果一览表</w:t>
      </w:r>
      <w:r>
        <w:tab/>
      </w:r>
      <w:r>
        <w:t>单位</w:t>
      </w:r>
      <w:r>
        <w:rPr>
          <w:rFonts w:ascii="Times New Roman" w:eastAsia="Times New Roman"/>
        </w:rPr>
        <w:t>:</w:t>
      </w:r>
      <w:r>
        <w:rPr>
          <w:rFonts w:ascii="Times New Roman" w:eastAsia="Times New Roman"/>
          <w:spacing w:val="-1"/>
        </w:rPr>
        <w:t xml:space="preserve"> </w:t>
      </w:r>
      <w:r>
        <w:rPr>
          <w:rFonts w:ascii="Times New Roman" w:eastAsia="Times New Roman"/>
        </w:rPr>
        <w:t>mg/m</w:t>
      </w:r>
      <w:r>
        <w:rPr>
          <w:rFonts w:ascii="Times New Roman" w:eastAsia="Times New Roman"/>
          <w:position w:val="8"/>
          <w:sz w:val="15"/>
        </w:rPr>
        <w:t>3</w:t>
      </w:r>
    </w:p>
    <w:tbl>
      <w:tblPr>
        <w:tblStyle w:val="13"/>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1450"/>
        <w:gridCol w:w="1317"/>
        <w:gridCol w:w="967"/>
        <w:gridCol w:w="1016"/>
        <w:gridCol w:w="834"/>
        <w:gridCol w:w="816"/>
        <w:gridCol w:w="833"/>
      </w:tblGrid>
      <w:tr w14:paraId="7E8DA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284" w:type="dxa"/>
            <w:tcBorders>
              <w:left w:val="nil"/>
            </w:tcBorders>
          </w:tcPr>
          <w:p w14:paraId="32A4D1E7">
            <w:pPr>
              <w:pStyle w:val="17"/>
              <w:spacing w:before="7"/>
              <w:jc w:val="left"/>
              <w:rPr>
                <w:rFonts w:ascii="Times New Roman"/>
                <w:b/>
                <w:sz w:val="23"/>
              </w:rPr>
            </w:pPr>
          </w:p>
          <w:p w14:paraId="177424C8">
            <w:pPr>
              <w:pStyle w:val="17"/>
              <w:spacing w:before="1"/>
              <w:ind w:left="437"/>
              <w:jc w:val="left"/>
              <w:rPr>
                <w:sz w:val="21"/>
              </w:rPr>
            </w:pPr>
            <w:r>
              <w:rPr>
                <w:sz w:val="21"/>
              </w:rPr>
              <w:t>点位</w:t>
            </w:r>
          </w:p>
        </w:tc>
        <w:tc>
          <w:tcPr>
            <w:tcW w:w="1450" w:type="dxa"/>
          </w:tcPr>
          <w:p w14:paraId="6500E257">
            <w:pPr>
              <w:pStyle w:val="17"/>
              <w:spacing w:before="7"/>
              <w:jc w:val="left"/>
              <w:rPr>
                <w:rFonts w:ascii="Times New Roman"/>
                <w:b/>
                <w:sz w:val="23"/>
              </w:rPr>
            </w:pPr>
          </w:p>
          <w:p w14:paraId="16A0B085">
            <w:pPr>
              <w:pStyle w:val="17"/>
              <w:spacing w:before="1"/>
              <w:ind w:left="304"/>
              <w:jc w:val="left"/>
              <w:rPr>
                <w:sz w:val="21"/>
              </w:rPr>
            </w:pPr>
            <w:r>
              <w:rPr>
                <w:sz w:val="21"/>
              </w:rPr>
              <w:t>监测项目</w:t>
            </w:r>
          </w:p>
        </w:tc>
        <w:tc>
          <w:tcPr>
            <w:tcW w:w="1317" w:type="dxa"/>
          </w:tcPr>
          <w:p w14:paraId="5351946B">
            <w:pPr>
              <w:pStyle w:val="17"/>
              <w:spacing w:before="135" w:line="244" w:lineRule="auto"/>
              <w:ind w:left="448" w:right="438"/>
              <w:rPr>
                <w:sz w:val="21"/>
              </w:rPr>
            </w:pPr>
            <w:r>
              <w:rPr>
                <w:w w:val="95"/>
                <w:sz w:val="21"/>
              </w:rPr>
              <w:t>监测结果</w:t>
            </w:r>
          </w:p>
        </w:tc>
        <w:tc>
          <w:tcPr>
            <w:tcW w:w="967" w:type="dxa"/>
          </w:tcPr>
          <w:p w14:paraId="4E4308B7">
            <w:pPr>
              <w:pStyle w:val="17"/>
              <w:spacing w:before="7"/>
              <w:jc w:val="left"/>
              <w:rPr>
                <w:rFonts w:ascii="Times New Roman"/>
                <w:b/>
                <w:sz w:val="23"/>
              </w:rPr>
            </w:pPr>
          </w:p>
          <w:p w14:paraId="1231B85B">
            <w:pPr>
              <w:pStyle w:val="17"/>
              <w:spacing w:before="1"/>
              <w:ind w:left="147" w:right="139"/>
              <w:rPr>
                <w:sz w:val="21"/>
              </w:rPr>
            </w:pPr>
            <w:r>
              <w:rPr>
                <w:sz w:val="21"/>
              </w:rPr>
              <w:t>标准值</w:t>
            </w:r>
          </w:p>
        </w:tc>
        <w:tc>
          <w:tcPr>
            <w:tcW w:w="1016" w:type="dxa"/>
          </w:tcPr>
          <w:p w14:paraId="493A0FCA">
            <w:pPr>
              <w:pStyle w:val="17"/>
              <w:spacing w:before="1" w:line="242" w:lineRule="auto"/>
              <w:ind w:left="192" w:right="182"/>
              <w:rPr>
                <w:sz w:val="21"/>
              </w:rPr>
            </w:pPr>
            <w:r>
              <w:rPr>
                <w:w w:val="95"/>
                <w:sz w:val="21"/>
              </w:rPr>
              <w:t>最大浓度占标</w:t>
            </w:r>
          </w:p>
          <w:p w14:paraId="2F9E5389">
            <w:pPr>
              <w:pStyle w:val="17"/>
              <w:spacing w:line="252" w:lineRule="exact"/>
              <w:ind w:left="10"/>
              <w:rPr>
                <w:sz w:val="21"/>
              </w:rPr>
            </w:pPr>
            <w:r>
              <w:rPr>
                <w:w w:val="99"/>
                <w:sz w:val="21"/>
              </w:rPr>
              <w:t>率</w:t>
            </w:r>
          </w:p>
        </w:tc>
        <w:tc>
          <w:tcPr>
            <w:tcW w:w="834" w:type="dxa"/>
          </w:tcPr>
          <w:p w14:paraId="1A9AE601">
            <w:pPr>
              <w:pStyle w:val="17"/>
              <w:spacing w:before="135" w:line="244" w:lineRule="auto"/>
              <w:ind w:left="311" w:right="198" w:hanging="106"/>
              <w:jc w:val="left"/>
              <w:rPr>
                <w:sz w:val="21"/>
              </w:rPr>
            </w:pPr>
            <w:r>
              <w:rPr>
                <w:w w:val="95"/>
                <w:sz w:val="21"/>
              </w:rPr>
              <w:t>超标</w:t>
            </w:r>
            <w:r>
              <w:rPr>
                <w:sz w:val="21"/>
              </w:rPr>
              <w:t>率</w:t>
            </w:r>
          </w:p>
        </w:tc>
        <w:tc>
          <w:tcPr>
            <w:tcW w:w="816" w:type="dxa"/>
          </w:tcPr>
          <w:p w14:paraId="41BCF304">
            <w:pPr>
              <w:pStyle w:val="17"/>
              <w:spacing w:before="135" w:line="244" w:lineRule="auto"/>
              <w:ind w:left="197" w:right="188"/>
              <w:jc w:val="left"/>
              <w:rPr>
                <w:sz w:val="21"/>
              </w:rPr>
            </w:pPr>
            <w:r>
              <w:rPr>
                <w:w w:val="95"/>
                <w:sz w:val="21"/>
              </w:rPr>
              <w:t>超标倍数</w:t>
            </w:r>
          </w:p>
        </w:tc>
        <w:tc>
          <w:tcPr>
            <w:tcW w:w="833" w:type="dxa"/>
            <w:tcBorders>
              <w:right w:val="nil"/>
            </w:tcBorders>
          </w:tcPr>
          <w:p w14:paraId="644FD387">
            <w:pPr>
              <w:pStyle w:val="17"/>
              <w:spacing w:before="135" w:line="244" w:lineRule="auto"/>
              <w:ind w:left="204" w:right="203"/>
              <w:jc w:val="left"/>
              <w:rPr>
                <w:sz w:val="21"/>
              </w:rPr>
            </w:pPr>
            <w:r>
              <w:rPr>
                <w:w w:val="95"/>
                <w:sz w:val="21"/>
              </w:rPr>
              <w:t>是否达标</w:t>
            </w:r>
          </w:p>
        </w:tc>
      </w:tr>
      <w:tr w14:paraId="2B121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84" w:type="dxa"/>
            <w:tcBorders>
              <w:left w:val="nil"/>
            </w:tcBorders>
          </w:tcPr>
          <w:p w14:paraId="5794063E">
            <w:pPr>
              <w:pStyle w:val="17"/>
              <w:spacing w:before="19" w:line="278" w:lineRule="auto"/>
              <w:ind w:left="122" w:right="105" w:firstLine="52"/>
              <w:jc w:val="left"/>
              <w:rPr>
                <w:sz w:val="21"/>
              </w:rPr>
            </w:pPr>
            <w:r>
              <w:rPr>
                <w:rFonts w:ascii="Times New Roman" w:eastAsia="Times New Roman"/>
                <w:sz w:val="21"/>
              </w:rPr>
              <w:t xml:space="preserve">G1 </w:t>
            </w:r>
            <w:r>
              <w:rPr>
                <w:sz w:val="21"/>
              </w:rPr>
              <w:t>新禹时代项目所在</w:t>
            </w:r>
          </w:p>
          <w:p w14:paraId="7F44B365">
            <w:pPr>
              <w:pStyle w:val="17"/>
              <w:spacing w:line="269" w:lineRule="exact"/>
              <w:ind w:left="225"/>
              <w:jc w:val="left"/>
              <w:rPr>
                <w:sz w:val="21"/>
              </w:rPr>
            </w:pPr>
            <w:r>
              <w:rPr>
                <w:sz w:val="21"/>
              </w:rPr>
              <w:t>地下风向</w:t>
            </w:r>
          </w:p>
        </w:tc>
        <w:tc>
          <w:tcPr>
            <w:tcW w:w="1450" w:type="dxa"/>
          </w:tcPr>
          <w:p w14:paraId="6EFB0DBF">
            <w:pPr>
              <w:pStyle w:val="17"/>
              <w:spacing w:before="189"/>
              <w:ind w:left="99" w:right="92"/>
              <w:rPr>
                <w:rFonts w:ascii="Times New Roman"/>
                <w:sz w:val="21"/>
              </w:rPr>
            </w:pPr>
            <w:r>
              <w:rPr>
                <w:rFonts w:ascii="Times New Roman"/>
                <w:sz w:val="21"/>
              </w:rPr>
              <w:t>NMHC</w:t>
            </w:r>
          </w:p>
          <w:p w14:paraId="6B490971">
            <w:pPr>
              <w:pStyle w:val="17"/>
              <w:spacing w:before="56"/>
              <w:ind w:left="99" w:right="92"/>
              <w:rPr>
                <w:sz w:val="21"/>
              </w:rPr>
            </w:pPr>
            <w:r>
              <w:rPr>
                <w:sz w:val="21"/>
              </w:rPr>
              <w:t>（</w:t>
            </w:r>
            <w:r>
              <w:rPr>
                <w:rFonts w:ascii="Times New Roman" w:eastAsia="Times New Roman"/>
                <w:sz w:val="21"/>
              </w:rPr>
              <w:t xml:space="preserve">1h </w:t>
            </w:r>
            <w:r>
              <w:rPr>
                <w:sz w:val="21"/>
              </w:rPr>
              <w:t>均值）</w:t>
            </w:r>
          </w:p>
        </w:tc>
        <w:tc>
          <w:tcPr>
            <w:tcW w:w="1317" w:type="dxa"/>
          </w:tcPr>
          <w:p w14:paraId="64836DDA">
            <w:pPr>
              <w:pStyle w:val="17"/>
              <w:spacing w:before="11"/>
              <w:jc w:val="left"/>
              <w:rPr>
                <w:rFonts w:ascii="Times New Roman"/>
                <w:b/>
                <w:sz w:val="29"/>
              </w:rPr>
            </w:pPr>
          </w:p>
          <w:p w14:paraId="1ED05409">
            <w:pPr>
              <w:pStyle w:val="17"/>
              <w:ind w:left="104" w:right="98"/>
              <w:rPr>
                <w:rFonts w:ascii="Times New Roman"/>
                <w:sz w:val="21"/>
              </w:rPr>
            </w:pPr>
            <w:r>
              <w:rPr>
                <w:rFonts w:ascii="Times New Roman"/>
                <w:sz w:val="21"/>
              </w:rPr>
              <w:t>1.08~1.72</w:t>
            </w:r>
          </w:p>
        </w:tc>
        <w:tc>
          <w:tcPr>
            <w:tcW w:w="967" w:type="dxa"/>
          </w:tcPr>
          <w:p w14:paraId="54E933F0">
            <w:pPr>
              <w:pStyle w:val="17"/>
              <w:spacing w:before="11"/>
              <w:jc w:val="left"/>
              <w:rPr>
                <w:rFonts w:ascii="Times New Roman"/>
                <w:b/>
                <w:sz w:val="29"/>
              </w:rPr>
            </w:pPr>
          </w:p>
          <w:p w14:paraId="2D8A7C7E">
            <w:pPr>
              <w:pStyle w:val="17"/>
              <w:ind w:left="146" w:right="139"/>
              <w:rPr>
                <w:rFonts w:ascii="Times New Roman"/>
                <w:sz w:val="21"/>
              </w:rPr>
            </w:pPr>
            <w:r>
              <w:rPr>
                <w:rFonts w:ascii="Times New Roman"/>
                <w:sz w:val="21"/>
              </w:rPr>
              <w:t>2.0</w:t>
            </w:r>
          </w:p>
        </w:tc>
        <w:tc>
          <w:tcPr>
            <w:tcW w:w="1016" w:type="dxa"/>
          </w:tcPr>
          <w:p w14:paraId="415F821B">
            <w:pPr>
              <w:pStyle w:val="17"/>
              <w:spacing w:before="11"/>
              <w:jc w:val="left"/>
              <w:rPr>
                <w:rFonts w:ascii="Times New Roman"/>
                <w:b/>
                <w:sz w:val="29"/>
              </w:rPr>
            </w:pPr>
          </w:p>
          <w:p w14:paraId="3188E909">
            <w:pPr>
              <w:pStyle w:val="17"/>
              <w:ind w:left="188" w:right="182"/>
              <w:rPr>
                <w:rFonts w:ascii="Times New Roman"/>
                <w:sz w:val="21"/>
              </w:rPr>
            </w:pPr>
            <w:r>
              <w:rPr>
                <w:rFonts w:ascii="Times New Roman"/>
                <w:sz w:val="21"/>
              </w:rPr>
              <w:t>86.0%</w:t>
            </w:r>
          </w:p>
        </w:tc>
        <w:tc>
          <w:tcPr>
            <w:tcW w:w="834" w:type="dxa"/>
          </w:tcPr>
          <w:p w14:paraId="004C159D">
            <w:pPr>
              <w:pStyle w:val="17"/>
              <w:spacing w:before="11"/>
              <w:jc w:val="left"/>
              <w:rPr>
                <w:rFonts w:ascii="Times New Roman"/>
                <w:b/>
                <w:sz w:val="29"/>
              </w:rPr>
            </w:pPr>
          </w:p>
          <w:p w14:paraId="7C855CDC">
            <w:pPr>
              <w:pStyle w:val="17"/>
              <w:ind w:left="364"/>
              <w:jc w:val="left"/>
              <w:rPr>
                <w:rFonts w:ascii="Times New Roman"/>
                <w:sz w:val="21"/>
              </w:rPr>
            </w:pPr>
            <w:r>
              <w:rPr>
                <w:rFonts w:ascii="Times New Roman"/>
                <w:w w:val="99"/>
                <w:sz w:val="21"/>
              </w:rPr>
              <w:t>0</w:t>
            </w:r>
          </w:p>
        </w:tc>
        <w:tc>
          <w:tcPr>
            <w:tcW w:w="816" w:type="dxa"/>
          </w:tcPr>
          <w:p w14:paraId="2EFC75B2">
            <w:pPr>
              <w:pStyle w:val="17"/>
              <w:spacing w:before="11"/>
              <w:jc w:val="left"/>
              <w:rPr>
                <w:rFonts w:ascii="Times New Roman"/>
                <w:b/>
                <w:sz w:val="29"/>
              </w:rPr>
            </w:pPr>
          </w:p>
          <w:p w14:paraId="6A4AEF02">
            <w:pPr>
              <w:pStyle w:val="17"/>
              <w:ind w:left="6"/>
              <w:rPr>
                <w:rFonts w:ascii="Times New Roman"/>
                <w:sz w:val="21"/>
              </w:rPr>
            </w:pPr>
            <w:r>
              <w:rPr>
                <w:rFonts w:ascii="Times New Roman"/>
                <w:w w:val="99"/>
                <w:sz w:val="21"/>
              </w:rPr>
              <w:t>0</w:t>
            </w:r>
          </w:p>
        </w:tc>
        <w:tc>
          <w:tcPr>
            <w:tcW w:w="833" w:type="dxa"/>
            <w:tcBorders>
              <w:right w:val="nil"/>
            </w:tcBorders>
          </w:tcPr>
          <w:p w14:paraId="3E1BA5D5">
            <w:pPr>
              <w:pStyle w:val="17"/>
              <w:spacing w:before="9"/>
              <w:jc w:val="left"/>
              <w:rPr>
                <w:rFonts w:ascii="Times New Roman"/>
                <w:b/>
                <w:sz w:val="28"/>
              </w:rPr>
            </w:pPr>
          </w:p>
          <w:p w14:paraId="7BEBBA21">
            <w:pPr>
              <w:pStyle w:val="17"/>
              <w:ind w:left="184" w:right="184"/>
              <w:rPr>
                <w:sz w:val="21"/>
              </w:rPr>
            </w:pPr>
            <w:r>
              <w:rPr>
                <w:sz w:val="21"/>
              </w:rPr>
              <w:t>达标</w:t>
            </w:r>
          </w:p>
        </w:tc>
      </w:tr>
      <w:tr w14:paraId="3D008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4" w:type="dxa"/>
            <w:vMerge w:val="restart"/>
            <w:tcBorders>
              <w:left w:val="nil"/>
            </w:tcBorders>
          </w:tcPr>
          <w:p w14:paraId="06E57D2D">
            <w:pPr>
              <w:pStyle w:val="17"/>
              <w:spacing w:before="9"/>
              <w:jc w:val="left"/>
              <w:rPr>
                <w:rFonts w:ascii="Times New Roman"/>
                <w:b/>
                <w:sz w:val="15"/>
              </w:rPr>
            </w:pPr>
          </w:p>
          <w:p w14:paraId="305D650F">
            <w:pPr>
              <w:pStyle w:val="17"/>
              <w:spacing w:line="278" w:lineRule="auto"/>
              <w:ind w:left="113" w:right="114" w:firstLine="14"/>
              <w:rPr>
                <w:sz w:val="21"/>
              </w:rPr>
            </w:pPr>
            <w:r>
              <w:rPr>
                <w:rFonts w:ascii="Times New Roman" w:eastAsia="Times New Roman"/>
                <w:sz w:val="21"/>
              </w:rPr>
              <w:t xml:space="preserve">G2 </w:t>
            </w:r>
            <w:r>
              <w:rPr>
                <w:sz w:val="21"/>
              </w:rPr>
              <w:t>锂汇通</w:t>
            </w:r>
            <w:r>
              <w:rPr>
                <w:w w:val="95"/>
                <w:sz w:val="21"/>
              </w:rPr>
              <w:t>厂界北侧外</w:t>
            </w:r>
          </w:p>
          <w:p w14:paraId="4EF30F30">
            <w:pPr>
              <w:pStyle w:val="17"/>
              <w:spacing w:line="269" w:lineRule="exact"/>
              <w:ind w:left="172" w:right="162"/>
              <w:rPr>
                <w:sz w:val="21"/>
              </w:rPr>
            </w:pPr>
            <w:r>
              <w:rPr>
                <w:rFonts w:ascii="Times New Roman" w:eastAsia="Times New Roman"/>
                <w:sz w:val="21"/>
              </w:rPr>
              <w:t xml:space="preserve">5m </w:t>
            </w:r>
            <w:r>
              <w:rPr>
                <w:sz w:val="21"/>
              </w:rPr>
              <w:t>处</w:t>
            </w:r>
          </w:p>
        </w:tc>
        <w:tc>
          <w:tcPr>
            <w:tcW w:w="1450" w:type="dxa"/>
          </w:tcPr>
          <w:p w14:paraId="3DF038B5">
            <w:pPr>
              <w:pStyle w:val="17"/>
              <w:spacing w:before="35"/>
              <w:ind w:left="98" w:right="92"/>
              <w:rPr>
                <w:rFonts w:ascii="Times New Roman"/>
                <w:sz w:val="21"/>
              </w:rPr>
            </w:pPr>
            <w:r>
              <w:rPr>
                <w:rFonts w:ascii="Times New Roman"/>
                <w:sz w:val="21"/>
              </w:rPr>
              <w:t>TSP</w:t>
            </w:r>
          </w:p>
          <w:p w14:paraId="71EFF59D">
            <w:pPr>
              <w:pStyle w:val="17"/>
              <w:spacing w:before="56"/>
              <w:ind w:left="99" w:right="92"/>
              <w:rPr>
                <w:sz w:val="21"/>
              </w:rPr>
            </w:pPr>
            <w:r>
              <w:rPr>
                <w:sz w:val="21"/>
              </w:rPr>
              <w:t>（</w:t>
            </w:r>
            <w:r>
              <w:rPr>
                <w:rFonts w:ascii="Times New Roman" w:eastAsia="Times New Roman"/>
                <w:sz w:val="21"/>
              </w:rPr>
              <w:t xml:space="preserve">24h </w:t>
            </w:r>
            <w:r>
              <w:rPr>
                <w:sz w:val="21"/>
              </w:rPr>
              <w:t>均值）</w:t>
            </w:r>
          </w:p>
        </w:tc>
        <w:tc>
          <w:tcPr>
            <w:tcW w:w="1317" w:type="dxa"/>
          </w:tcPr>
          <w:p w14:paraId="1BFDEDF8">
            <w:pPr>
              <w:pStyle w:val="17"/>
              <w:spacing w:before="191"/>
              <w:ind w:left="107" w:right="98"/>
              <w:rPr>
                <w:rFonts w:ascii="Times New Roman"/>
                <w:sz w:val="21"/>
              </w:rPr>
            </w:pPr>
            <w:r>
              <w:rPr>
                <w:rFonts w:ascii="Times New Roman"/>
                <w:sz w:val="21"/>
              </w:rPr>
              <w:t>0.117~0.122</w:t>
            </w:r>
          </w:p>
        </w:tc>
        <w:tc>
          <w:tcPr>
            <w:tcW w:w="967" w:type="dxa"/>
          </w:tcPr>
          <w:p w14:paraId="1CF9B33E">
            <w:pPr>
              <w:pStyle w:val="17"/>
              <w:spacing w:before="191"/>
              <w:ind w:left="146" w:right="139"/>
              <w:rPr>
                <w:rFonts w:ascii="Times New Roman"/>
                <w:sz w:val="21"/>
              </w:rPr>
            </w:pPr>
            <w:r>
              <w:rPr>
                <w:rFonts w:ascii="Times New Roman"/>
                <w:sz w:val="21"/>
              </w:rPr>
              <w:t>0.3</w:t>
            </w:r>
          </w:p>
        </w:tc>
        <w:tc>
          <w:tcPr>
            <w:tcW w:w="1016" w:type="dxa"/>
          </w:tcPr>
          <w:p w14:paraId="4FBFBF1F">
            <w:pPr>
              <w:pStyle w:val="17"/>
              <w:spacing w:before="191"/>
              <w:ind w:left="162" w:right="156"/>
              <w:rPr>
                <w:rFonts w:ascii="Times New Roman"/>
                <w:sz w:val="21"/>
              </w:rPr>
            </w:pPr>
            <w:r>
              <w:rPr>
                <w:rFonts w:ascii="Times New Roman"/>
                <w:sz w:val="21"/>
              </w:rPr>
              <w:t>40.67%</w:t>
            </w:r>
          </w:p>
        </w:tc>
        <w:tc>
          <w:tcPr>
            <w:tcW w:w="834" w:type="dxa"/>
          </w:tcPr>
          <w:p w14:paraId="4A9B870F">
            <w:pPr>
              <w:pStyle w:val="17"/>
              <w:spacing w:before="191"/>
              <w:ind w:left="364"/>
              <w:jc w:val="left"/>
              <w:rPr>
                <w:rFonts w:ascii="Times New Roman"/>
                <w:sz w:val="21"/>
              </w:rPr>
            </w:pPr>
            <w:r>
              <w:rPr>
                <w:rFonts w:ascii="Times New Roman"/>
                <w:w w:val="99"/>
                <w:sz w:val="21"/>
              </w:rPr>
              <w:t>0</w:t>
            </w:r>
          </w:p>
        </w:tc>
        <w:tc>
          <w:tcPr>
            <w:tcW w:w="816" w:type="dxa"/>
          </w:tcPr>
          <w:p w14:paraId="36F02FC9">
            <w:pPr>
              <w:pStyle w:val="17"/>
              <w:spacing w:before="191"/>
              <w:ind w:left="6"/>
              <w:rPr>
                <w:rFonts w:ascii="Times New Roman"/>
                <w:sz w:val="21"/>
              </w:rPr>
            </w:pPr>
            <w:r>
              <w:rPr>
                <w:rFonts w:ascii="Times New Roman"/>
                <w:w w:val="99"/>
                <w:sz w:val="21"/>
              </w:rPr>
              <w:t>0</w:t>
            </w:r>
          </w:p>
        </w:tc>
        <w:tc>
          <w:tcPr>
            <w:tcW w:w="833" w:type="dxa"/>
            <w:tcBorders>
              <w:right w:val="nil"/>
            </w:tcBorders>
          </w:tcPr>
          <w:p w14:paraId="4C61663D">
            <w:pPr>
              <w:pStyle w:val="17"/>
              <w:spacing w:before="177"/>
              <w:ind w:left="184" w:right="184"/>
              <w:rPr>
                <w:sz w:val="21"/>
              </w:rPr>
            </w:pPr>
            <w:r>
              <w:rPr>
                <w:sz w:val="21"/>
              </w:rPr>
              <w:t>达标</w:t>
            </w:r>
          </w:p>
        </w:tc>
      </w:tr>
      <w:tr w14:paraId="24634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4" w:type="dxa"/>
            <w:vMerge w:val="continue"/>
            <w:tcBorders>
              <w:top w:val="nil"/>
              <w:left w:val="nil"/>
            </w:tcBorders>
          </w:tcPr>
          <w:p w14:paraId="7CB5D4FE">
            <w:pPr>
              <w:rPr>
                <w:sz w:val="2"/>
                <w:szCs w:val="2"/>
              </w:rPr>
            </w:pPr>
          </w:p>
        </w:tc>
        <w:tc>
          <w:tcPr>
            <w:tcW w:w="1450" w:type="dxa"/>
          </w:tcPr>
          <w:p w14:paraId="781DFBFD">
            <w:pPr>
              <w:pStyle w:val="17"/>
              <w:spacing w:before="34"/>
              <w:ind w:left="99" w:right="92"/>
              <w:rPr>
                <w:rFonts w:ascii="Times New Roman"/>
                <w:sz w:val="21"/>
              </w:rPr>
            </w:pPr>
            <w:r>
              <w:rPr>
                <w:rFonts w:ascii="Times New Roman"/>
                <w:sz w:val="21"/>
              </w:rPr>
              <w:t>TVOC</w:t>
            </w:r>
          </w:p>
          <w:p w14:paraId="39BAAF84">
            <w:pPr>
              <w:pStyle w:val="17"/>
              <w:spacing w:before="57"/>
              <w:ind w:left="99" w:right="92"/>
              <w:rPr>
                <w:sz w:val="21"/>
              </w:rPr>
            </w:pPr>
            <w:r>
              <w:rPr>
                <w:sz w:val="21"/>
              </w:rPr>
              <w:t>（</w:t>
            </w:r>
            <w:r>
              <w:rPr>
                <w:rFonts w:ascii="Times New Roman" w:eastAsia="Times New Roman"/>
                <w:sz w:val="21"/>
              </w:rPr>
              <w:t xml:space="preserve">8h </w:t>
            </w:r>
            <w:r>
              <w:rPr>
                <w:sz w:val="21"/>
              </w:rPr>
              <w:t>均值）</w:t>
            </w:r>
          </w:p>
        </w:tc>
        <w:tc>
          <w:tcPr>
            <w:tcW w:w="1317" w:type="dxa"/>
          </w:tcPr>
          <w:p w14:paraId="760F60E4">
            <w:pPr>
              <w:pStyle w:val="17"/>
              <w:spacing w:before="68"/>
              <w:ind w:left="108" w:right="97"/>
              <w:rPr>
                <w:rFonts w:ascii="Times New Roman"/>
                <w:sz w:val="21"/>
              </w:rPr>
            </w:pPr>
            <w:r>
              <w:rPr>
                <w:rFonts w:ascii="Times New Roman"/>
                <w:sz w:val="21"/>
              </w:rPr>
              <w:t>0.0617~0.13</w:t>
            </w:r>
          </w:p>
          <w:p w14:paraId="4A569F94">
            <w:pPr>
              <w:pStyle w:val="17"/>
              <w:spacing w:before="1"/>
              <w:ind w:left="6"/>
              <w:rPr>
                <w:rFonts w:ascii="Times New Roman"/>
                <w:sz w:val="21"/>
              </w:rPr>
            </w:pPr>
            <w:r>
              <w:rPr>
                <w:rFonts w:ascii="Times New Roman"/>
                <w:w w:val="99"/>
                <w:sz w:val="21"/>
              </w:rPr>
              <w:t>7</w:t>
            </w:r>
          </w:p>
        </w:tc>
        <w:tc>
          <w:tcPr>
            <w:tcW w:w="967" w:type="dxa"/>
          </w:tcPr>
          <w:p w14:paraId="1965F149">
            <w:pPr>
              <w:pStyle w:val="17"/>
              <w:spacing w:before="190"/>
              <w:ind w:left="146" w:right="139"/>
              <w:rPr>
                <w:rFonts w:ascii="Times New Roman"/>
                <w:sz w:val="21"/>
              </w:rPr>
            </w:pPr>
            <w:r>
              <w:rPr>
                <w:rFonts w:ascii="Times New Roman"/>
                <w:sz w:val="21"/>
              </w:rPr>
              <w:t>0.6</w:t>
            </w:r>
          </w:p>
        </w:tc>
        <w:tc>
          <w:tcPr>
            <w:tcW w:w="1016" w:type="dxa"/>
          </w:tcPr>
          <w:p w14:paraId="5BE86018">
            <w:pPr>
              <w:pStyle w:val="17"/>
              <w:spacing w:before="190"/>
              <w:ind w:left="162" w:right="156"/>
              <w:rPr>
                <w:rFonts w:ascii="Times New Roman"/>
                <w:sz w:val="21"/>
              </w:rPr>
            </w:pPr>
            <w:r>
              <w:rPr>
                <w:rFonts w:ascii="Times New Roman"/>
                <w:sz w:val="21"/>
              </w:rPr>
              <w:t>22.83%</w:t>
            </w:r>
          </w:p>
        </w:tc>
        <w:tc>
          <w:tcPr>
            <w:tcW w:w="834" w:type="dxa"/>
          </w:tcPr>
          <w:p w14:paraId="4CA17D75">
            <w:pPr>
              <w:pStyle w:val="17"/>
              <w:spacing w:before="190"/>
              <w:ind w:left="364"/>
              <w:jc w:val="left"/>
              <w:rPr>
                <w:rFonts w:ascii="Times New Roman"/>
                <w:sz w:val="21"/>
              </w:rPr>
            </w:pPr>
            <w:r>
              <w:rPr>
                <w:rFonts w:ascii="Times New Roman"/>
                <w:w w:val="99"/>
                <w:sz w:val="21"/>
              </w:rPr>
              <w:t>0</w:t>
            </w:r>
          </w:p>
        </w:tc>
        <w:tc>
          <w:tcPr>
            <w:tcW w:w="816" w:type="dxa"/>
          </w:tcPr>
          <w:p w14:paraId="50FC521C">
            <w:pPr>
              <w:pStyle w:val="17"/>
              <w:spacing w:before="190"/>
              <w:ind w:left="6"/>
              <w:rPr>
                <w:rFonts w:ascii="Times New Roman"/>
                <w:sz w:val="21"/>
              </w:rPr>
            </w:pPr>
            <w:r>
              <w:rPr>
                <w:rFonts w:ascii="Times New Roman"/>
                <w:w w:val="99"/>
                <w:sz w:val="21"/>
              </w:rPr>
              <w:t>0</w:t>
            </w:r>
          </w:p>
        </w:tc>
        <w:tc>
          <w:tcPr>
            <w:tcW w:w="833" w:type="dxa"/>
            <w:tcBorders>
              <w:right w:val="nil"/>
            </w:tcBorders>
          </w:tcPr>
          <w:p w14:paraId="3A28BA97">
            <w:pPr>
              <w:pStyle w:val="17"/>
              <w:spacing w:before="176"/>
              <w:ind w:left="184" w:right="184"/>
              <w:rPr>
                <w:sz w:val="21"/>
              </w:rPr>
            </w:pPr>
            <w:r>
              <w:rPr>
                <w:sz w:val="21"/>
              </w:rPr>
              <w:t>达标</w:t>
            </w:r>
          </w:p>
        </w:tc>
      </w:tr>
      <w:tr w14:paraId="022D7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284" w:type="dxa"/>
            <w:vMerge w:val="restart"/>
            <w:tcBorders>
              <w:left w:val="nil"/>
            </w:tcBorders>
          </w:tcPr>
          <w:p w14:paraId="6966CBD7">
            <w:pPr>
              <w:pStyle w:val="17"/>
              <w:spacing w:before="7"/>
              <w:jc w:val="left"/>
              <w:rPr>
                <w:rFonts w:ascii="Times New Roman"/>
                <w:b/>
                <w:sz w:val="17"/>
              </w:rPr>
            </w:pPr>
          </w:p>
          <w:p w14:paraId="068E1A6A">
            <w:pPr>
              <w:pStyle w:val="17"/>
              <w:spacing w:line="278" w:lineRule="auto"/>
              <w:ind w:left="122" w:right="105" w:hanging="5"/>
              <w:rPr>
                <w:sz w:val="21"/>
              </w:rPr>
            </w:pPr>
            <w:r>
              <w:rPr>
                <w:rFonts w:ascii="Times New Roman" w:eastAsia="Times New Roman"/>
                <w:sz w:val="21"/>
              </w:rPr>
              <w:t xml:space="preserve">G3 </w:t>
            </w:r>
            <w:r>
              <w:rPr>
                <w:sz w:val="21"/>
              </w:rPr>
              <w:t>塘家铺</w:t>
            </w:r>
            <w:r>
              <w:rPr>
                <w:w w:val="95"/>
                <w:sz w:val="21"/>
              </w:rPr>
              <w:t>西南侧居民</w:t>
            </w:r>
            <w:r>
              <w:rPr>
                <w:sz w:val="21"/>
              </w:rPr>
              <w:t>点</w:t>
            </w:r>
          </w:p>
        </w:tc>
        <w:tc>
          <w:tcPr>
            <w:tcW w:w="1450" w:type="dxa"/>
          </w:tcPr>
          <w:p w14:paraId="2280D3F5">
            <w:pPr>
              <w:pStyle w:val="17"/>
              <w:spacing w:line="240" w:lineRule="exact"/>
              <w:ind w:left="98" w:right="92"/>
              <w:rPr>
                <w:rFonts w:ascii="Times New Roman"/>
                <w:sz w:val="21"/>
              </w:rPr>
            </w:pPr>
            <w:r>
              <w:rPr>
                <w:rFonts w:ascii="Times New Roman"/>
                <w:sz w:val="21"/>
              </w:rPr>
              <w:t>TSP</w:t>
            </w:r>
          </w:p>
          <w:p w14:paraId="4979C3E4">
            <w:pPr>
              <w:pStyle w:val="17"/>
              <w:spacing w:before="1" w:line="253" w:lineRule="exact"/>
              <w:ind w:left="99" w:right="92"/>
              <w:rPr>
                <w:sz w:val="21"/>
              </w:rPr>
            </w:pPr>
            <w:r>
              <w:rPr>
                <w:sz w:val="21"/>
              </w:rPr>
              <w:t>（</w:t>
            </w:r>
            <w:r>
              <w:rPr>
                <w:rFonts w:ascii="Times New Roman" w:eastAsia="Times New Roman"/>
                <w:sz w:val="21"/>
              </w:rPr>
              <w:t xml:space="preserve">24h </w:t>
            </w:r>
            <w:r>
              <w:rPr>
                <w:sz w:val="21"/>
              </w:rPr>
              <w:t>均值）</w:t>
            </w:r>
          </w:p>
        </w:tc>
        <w:tc>
          <w:tcPr>
            <w:tcW w:w="1317" w:type="dxa"/>
          </w:tcPr>
          <w:p w14:paraId="3462A145">
            <w:pPr>
              <w:pStyle w:val="17"/>
              <w:spacing w:before="135"/>
              <w:ind w:left="108" w:right="97"/>
              <w:rPr>
                <w:rFonts w:ascii="Times New Roman"/>
                <w:sz w:val="21"/>
              </w:rPr>
            </w:pPr>
            <w:r>
              <w:rPr>
                <w:rFonts w:ascii="Times New Roman"/>
                <w:sz w:val="21"/>
              </w:rPr>
              <w:t>0.114~0.117</w:t>
            </w:r>
          </w:p>
        </w:tc>
        <w:tc>
          <w:tcPr>
            <w:tcW w:w="967" w:type="dxa"/>
          </w:tcPr>
          <w:p w14:paraId="6D24338C">
            <w:pPr>
              <w:pStyle w:val="17"/>
              <w:spacing w:before="135"/>
              <w:ind w:left="146" w:right="139"/>
              <w:rPr>
                <w:rFonts w:ascii="Times New Roman"/>
                <w:sz w:val="21"/>
              </w:rPr>
            </w:pPr>
            <w:r>
              <w:rPr>
                <w:rFonts w:ascii="Times New Roman"/>
                <w:sz w:val="21"/>
              </w:rPr>
              <w:t>0.3</w:t>
            </w:r>
          </w:p>
        </w:tc>
        <w:tc>
          <w:tcPr>
            <w:tcW w:w="1016" w:type="dxa"/>
          </w:tcPr>
          <w:p w14:paraId="5534770B">
            <w:pPr>
              <w:pStyle w:val="17"/>
              <w:spacing w:before="135"/>
              <w:ind w:left="188" w:right="182"/>
              <w:rPr>
                <w:rFonts w:ascii="Times New Roman"/>
                <w:sz w:val="21"/>
              </w:rPr>
            </w:pPr>
            <w:r>
              <w:rPr>
                <w:rFonts w:ascii="Times New Roman"/>
                <w:sz w:val="21"/>
              </w:rPr>
              <w:t>58.5%</w:t>
            </w:r>
          </w:p>
        </w:tc>
        <w:tc>
          <w:tcPr>
            <w:tcW w:w="834" w:type="dxa"/>
          </w:tcPr>
          <w:p w14:paraId="47F2B0E2">
            <w:pPr>
              <w:pStyle w:val="17"/>
              <w:spacing w:before="135"/>
              <w:ind w:left="364"/>
              <w:jc w:val="left"/>
              <w:rPr>
                <w:rFonts w:ascii="Times New Roman"/>
                <w:sz w:val="21"/>
              </w:rPr>
            </w:pPr>
            <w:r>
              <w:rPr>
                <w:rFonts w:ascii="Times New Roman"/>
                <w:w w:val="99"/>
                <w:sz w:val="21"/>
              </w:rPr>
              <w:t>0</w:t>
            </w:r>
          </w:p>
        </w:tc>
        <w:tc>
          <w:tcPr>
            <w:tcW w:w="816" w:type="dxa"/>
          </w:tcPr>
          <w:p w14:paraId="2B0F4240">
            <w:pPr>
              <w:pStyle w:val="17"/>
              <w:spacing w:before="135"/>
              <w:ind w:left="6"/>
              <w:rPr>
                <w:rFonts w:ascii="Times New Roman"/>
                <w:sz w:val="21"/>
              </w:rPr>
            </w:pPr>
            <w:r>
              <w:rPr>
                <w:rFonts w:ascii="Times New Roman"/>
                <w:w w:val="99"/>
                <w:sz w:val="21"/>
              </w:rPr>
              <w:t>0</w:t>
            </w:r>
          </w:p>
        </w:tc>
        <w:tc>
          <w:tcPr>
            <w:tcW w:w="833" w:type="dxa"/>
            <w:tcBorders>
              <w:right w:val="nil"/>
            </w:tcBorders>
          </w:tcPr>
          <w:p w14:paraId="35CD61B7">
            <w:pPr>
              <w:pStyle w:val="17"/>
              <w:spacing w:before="121"/>
              <w:ind w:left="184" w:right="184"/>
              <w:rPr>
                <w:sz w:val="21"/>
              </w:rPr>
            </w:pPr>
            <w:r>
              <w:rPr>
                <w:sz w:val="21"/>
              </w:rPr>
              <w:t>达标</w:t>
            </w:r>
          </w:p>
        </w:tc>
      </w:tr>
      <w:tr w14:paraId="36794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284" w:type="dxa"/>
            <w:vMerge w:val="continue"/>
            <w:tcBorders>
              <w:top w:val="nil"/>
              <w:left w:val="nil"/>
            </w:tcBorders>
          </w:tcPr>
          <w:p w14:paraId="56173049">
            <w:pPr>
              <w:rPr>
                <w:sz w:val="2"/>
                <w:szCs w:val="2"/>
              </w:rPr>
            </w:pPr>
          </w:p>
        </w:tc>
        <w:tc>
          <w:tcPr>
            <w:tcW w:w="1450" w:type="dxa"/>
          </w:tcPr>
          <w:p w14:paraId="030CA392">
            <w:pPr>
              <w:pStyle w:val="17"/>
              <w:spacing w:before="131"/>
              <w:ind w:left="99" w:right="92"/>
              <w:rPr>
                <w:rFonts w:ascii="Times New Roman"/>
                <w:sz w:val="21"/>
              </w:rPr>
            </w:pPr>
            <w:r>
              <w:rPr>
                <w:rFonts w:ascii="Times New Roman"/>
                <w:sz w:val="21"/>
              </w:rPr>
              <w:t>TVOC</w:t>
            </w:r>
          </w:p>
          <w:p w14:paraId="5C03133A">
            <w:pPr>
              <w:pStyle w:val="17"/>
              <w:spacing w:before="35"/>
              <w:ind w:left="99" w:right="92"/>
              <w:rPr>
                <w:sz w:val="21"/>
              </w:rPr>
            </w:pPr>
            <w:r>
              <w:rPr>
                <w:sz w:val="21"/>
              </w:rPr>
              <w:t>（</w:t>
            </w:r>
            <w:r>
              <w:rPr>
                <w:rFonts w:ascii="Times New Roman" w:eastAsia="Times New Roman"/>
                <w:sz w:val="21"/>
              </w:rPr>
              <w:t xml:space="preserve">8h </w:t>
            </w:r>
            <w:r>
              <w:rPr>
                <w:sz w:val="21"/>
              </w:rPr>
              <w:t>均值）</w:t>
            </w:r>
          </w:p>
        </w:tc>
        <w:tc>
          <w:tcPr>
            <w:tcW w:w="1317" w:type="dxa"/>
          </w:tcPr>
          <w:p w14:paraId="32776D31">
            <w:pPr>
              <w:pStyle w:val="17"/>
              <w:spacing w:before="146"/>
              <w:ind w:left="108" w:right="97"/>
              <w:rPr>
                <w:rFonts w:ascii="Times New Roman"/>
                <w:sz w:val="21"/>
              </w:rPr>
            </w:pPr>
            <w:r>
              <w:rPr>
                <w:rFonts w:ascii="Times New Roman"/>
                <w:sz w:val="21"/>
              </w:rPr>
              <w:t>0.0561~0.11</w:t>
            </w:r>
          </w:p>
          <w:p w14:paraId="56E657BD">
            <w:pPr>
              <w:pStyle w:val="17"/>
              <w:spacing w:before="1"/>
              <w:ind w:left="6"/>
              <w:rPr>
                <w:rFonts w:ascii="Times New Roman"/>
                <w:sz w:val="21"/>
              </w:rPr>
            </w:pPr>
            <w:r>
              <w:rPr>
                <w:rFonts w:ascii="Times New Roman"/>
                <w:w w:val="99"/>
                <w:sz w:val="21"/>
              </w:rPr>
              <w:t>2</w:t>
            </w:r>
          </w:p>
        </w:tc>
        <w:tc>
          <w:tcPr>
            <w:tcW w:w="967" w:type="dxa"/>
          </w:tcPr>
          <w:p w14:paraId="7215EC98">
            <w:pPr>
              <w:pStyle w:val="17"/>
              <w:spacing w:before="4"/>
              <w:jc w:val="left"/>
              <w:rPr>
                <w:rFonts w:ascii="Times New Roman"/>
                <w:b/>
                <w:sz w:val="23"/>
              </w:rPr>
            </w:pPr>
          </w:p>
          <w:p w14:paraId="0523D6F2">
            <w:pPr>
              <w:pStyle w:val="17"/>
              <w:ind w:left="146" w:right="139"/>
              <w:rPr>
                <w:rFonts w:ascii="Times New Roman"/>
                <w:sz w:val="21"/>
              </w:rPr>
            </w:pPr>
            <w:r>
              <w:rPr>
                <w:rFonts w:ascii="Times New Roman"/>
                <w:sz w:val="21"/>
              </w:rPr>
              <w:t>0.6</w:t>
            </w:r>
          </w:p>
        </w:tc>
        <w:tc>
          <w:tcPr>
            <w:tcW w:w="1016" w:type="dxa"/>
          </w:tcPr>
          <w:p w14:paraId="498D31EE">
            <w:pPr>
              <w:pStyle w:val="17"/>
              <w:spacing w:before="4"/>
              <w:jc w:val="left"/>
              <w:rPr>
                <w:rFonts w:ascii="Times New Roman"/>
                <w:b/>
                <w:sz w:val="23"/>
              </w:rPr>
            </w:pPr>
          </w:p>
          <w:p w14:paraId="31C0B107">
            <w:pPr>
              <w:pStyle w:val="17"/>
              <w:ind w:left="162" w:right="156"/>
              <w:rPr>
                <w:rFonts w:ascii="Times New Roman"/>
                <w:sz w:val="21"/>
              </w:rPr>
            </w:pPr>
            <w:r>
              <w:rPr>
                <w:rFonts w:ascii="Times New Roman"/>
                <w:sz w:val="21"/>
              </w:rPr>
              <w:t>18.67%</w:t>
            </w:r>
          </w:p>
        </w:tc>
        <w:tc>
          <w:tcPr>
            <w:tcW w:w="834" w:type="dxa"/>
          </w:tcPr>
          <w:p w14:paraId="632CD594">
            <w:pPr>
              <w:pStyle w:val="17"/>
              <w:spacing w:before="4"/>
              <w:jc w:val="left"/>
              <w:rPr>
                <w:rFonts w:ascii="Times New Roman"/>
                <w:b/>
                <w:sz w:val="23"/>
              </w:rPr>
            </w:pPr>
          </w:p>
          <w:p w14:paraId="7EDDE739">
            <w:pPr>
              <w:pStyle w:val="17"/>
              <w:ind w:left="364"/>
              <w:jc w:val="left"/>
              <w:rPr>
                <w:rFonts w:ascii="Times New Roman"/>
                <w:sz w:val="21"/>
              </w:rPr>
            </w:pPr>
            <w:r>
              <w:rPr>
                <w:rFonts w:ascii="Times New Roman"/>
                <w:w w:val="99"/>
                <w:sz w:val="21"/>
              </w:rPr>
              <w:t>0</w:t>
            </w:r>
          </w:p>
        </w:tc>
        <w:tc>
          <w:tcPr>
            <w:tcW w:w="816" w:type="dxa"/>
          </w:tcPr>
          <w:p w14:paraId="51AF8BA1">
            <w:pPr>
              <w:pStyle w:val="17"/>
              <w:spacing w:before="4"/>
              <w:jc w:val="left"/>
              <w:rPr>
                <w:rFonts w:ascii="Times New Roman"/>
                <w:b/>
                <w:sz w:val="23"/>
              </w:rPr>
            </w:pPr>
          </w:p>
          <w:p w14:paraId="6F43BB83">
            <w:pPr>
              <w:pStyle w:val="17"/>
              <w:ind w:left="6"/>
              <w:rPr>
                <w:rFonts w:ascii="Times New Roman"/>
                <w:sz w:val="21"/>
              </w:rPr>
            </w:pPr>
            <w:r>
              <w:rPr>
                <w:rFonts w:ascii="Times New Roman"/>
                <w:w w:val="99"/>
                <w:sz w:val="21"/>
              </w:rPr>
              <w:t>0</w:t>
            </w:r>
          </w:p>
        </w:tc>
        <w:tc>
          <w:tcPr>
            <w:tcW w:w="833" w:type="dxa"/>
            <w:tcBorders>
              <w:right w:val="nil"/>
            </w:tcBorders>
          </w:tcPr>
          <w:p w14:paraId="69D5D9FA">
            <w:pPr>
              <w:pStyle w:val="17"/>
              <w:spacing w:before="1"/>
              <w:jc w:val="left"/>
              <w:rPr>
                <w:rFonts w:ascii="Times New Roman"/>
                <w:b/>
                <w:sz w:val="22"/>
              </w:rPr>
            </w:pPr>
          </w:p>
          <w:p w14:paraId="1A8D3758">
            <w:pPr>
              <w:pStyle w:val="17"/>
              <w:ind w:left="184" w:right="184"/>
              <w:rPr>
                <w:sz w:val="21"/>
              </w:rPr>
            </w:pPr>
            <w:r>
              <w:rPr>
                <w:sz w:val="21"/>
              </w:rPr>
              <w:t>达标</w:t>
            </w:r>
          </w:p>
        </w:tc>
      </w:tr>
      <w:tr w14:paraId="5E1C4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84" w:type="dxa"/>
            <w:tcBorders>
              <w:left w:val="nil"/>
            </w:tcBorders>
          </w:tcPr>
          <w:p w14:paraId="0DC46D37">
            <w:pPr>
              <w:pStyle w:val="17"/>
              <w:spacing w:before="19" w:line="278" w:lineRule="auto"/>
              <w:ind w:left="175" w:right="162"/>
              <w:rPr>
                <w:sz w:val="21"/>
              </w:rPr>
            </w:pPr>
            <w:r>
              <w:rPr>
                <w:rFonts w:ascii="Times New Roman" w:eastAsia="Times New Roman"/>
                <w:sz w:val="21"/>
              </w:rPr>
              <w:t xml:space="preserve">G4 </w:t>
            </w:r>
            <w:r>
              <w:rPr>
                <w:sz w:val="21"/>
              </w:rPr>
              <w:t>项目南侧厂界外</w:t>
            </w:r>
          </w:p>
          <w:p w14:paraId="6C4A1449">
            <w:pPr>
              <w:pStyle w:val="17"/>
              <w:spacing w:before="13"/>
              <w:ind w:left="174" w:right="162"/>
              <w:rPr>
                <w:rFonts w:ascii="Times New Roman"/>
                <w:sz w:val="21"/>
              </w:rPr>
            </w:pPr>
            <w:r>
              <w:rPr>
                <w:rFonts w:ascii="Times New Roman"/>
                <w:sz w:val="21"/>
              </w:rPr>
              <w:t>5m</w:t>
            </w:r>
          </w:p>
        </w:tc>
        <w:tc>
          <w:tcPr>
            <w:tcW w:w="1450" w:type="dxa"/>
          </w:tcPr>
          <w:p w14:paraId="122D3398">
            <w:pPr>
              <w:pStyle w:val="17"/>
              <w:spacing w:before="10"/>
              <w:jc w:val="left"/>
              <w:rPr>
                <w:rFonts w:ascii="Times New Roman"/>
                <w:b/>
                <w:sz w:val="16"/>
              </w:rPr>
            </w:pPr>
          </w:p>
          <w:p w14:paraId="7A22B1F3">
            <w:pPr>
              <w:pStyle w:val="17"/>
              <w:ind w:left="99" w:right="92"/>
              <w:rPr>
                <w:sz w:val="21"/>
              </w:rPr>
            </w:pPr>
            <w:r>
              <w:rPr>
                <w:sz w:val="21"/>
              </w:rPr>
              <w:t>臭气浓度</w:t>
            </w:r>
          </w:p>
          <w:p w14:paraId="33682626">
            <w:pPr>
              <w:pStyle w:val="17"/>
              <w:spacing w:before="4"/>
              <w:ind w:left="99" w:right="92"/>
              <w:rPr>
                <w:sz w:val="21"/>
              </w:rPr>
            </w:pPr>
            <w:r>
              <w:rPr>
                <w:sz w:val="21"/>
              </w:rPr>
              <w:t>（无量纲）</w:t>
            </w:r>
          </w:p>
        </w:tc>
        <w:tc>
          <w:tcPr>
            <w:tcW w:w="1317" w:type="dxa"/>
          </w:tcPr>
          <w:p w14:paraId="0EE0D6A0">
            <w:pPr>
              <w:pStyle w:val="17"/>
              <w:spacing w:before="11"/>
              <w:jc w:val="left"/>
              <w:rPr>
                <w:rFonts w:ascii="Times New Roman"/>
                <w:b/>
                <w:sz w:val="29"/>
              </w:rPr>
            </w:pPr>
          </w:p>
          <w:p w14:paraId="54FAA062">
            <w:pPr>
              <w:pStyle w:val="17"/>
              <w:ind w:left="107" w:right="98"/>
              <w:rPr>
                <w:rFonts w:ascii="Times New Roman"/>
                <w:sz w:val="21"/>
              </w:rPr>
            </w:pPr>
            <w:r>
              <w:rPr>
                <w:rFonts w:ascii="Times New Roman"/>
                <w:sz w:val="21"/>
              </w:rPr>
              <w:t>ND~15</w:t>
            </w:r>
          </w:p>
        </w:tc>
        <w:tc>
          <w:tcPr>
            <w:tcW w:w="967" w:type="dxa"/>
          </w:tcPr>
          <w:p w14:paraId="37273FA5">
            <w:pPr>
              <w:pStyle w:val="17"/>
              <w:spacing w:before="11"/>
              <w:jc w:val="left"/>
              <w:rPr>
                <w:rFonts w:ascii="Times New Roman"/>
                <w:b/>
                <w:sz w:val="29"/>
              </w:rPr>
            </w:pPr>
          </w:p>
          <w:p w14:paraId="329864B0">
            <w:pPr>
              <w:pStyle w:val="17"/>
              <w:ind w:left="146" w:right="139"/>
              <w:rPr>
                <w:rFonts w:ascii="Times New Roman"/>
                <w:sz w:val="21"/>
              </w:rPr>
            </w:pPr>
            <w:r>
              <w:rPr>
                <w:rFonts w:ascii="Times New Roman"/>
                <w:sz w:val="21"/>
              </w:rPr>
              <w:t>20</w:t>
            </w:r>
          </w:p>
        </w:tc>
        <w:tc>
          <w:tcPr>
            <w:tcW w:w="1016" w:type="dxa"/>
          </w:tcPr>
          <w:p w14:paraId="5984A88A">
            <w:pPr>
              <w:pStyle w:val="17"/>
              <w:spacing w:before="11"/>
              <w:jc w:val="left"/>
              <w:rPr>
                <w:rFonts w:ascii="Times New Roman"/>
                <w:b/>
                <w:sz w:val="29"/>
              </w:rPr>
            </w:pPr>
          </w:p>
          <w:p w14:paraId="734DACD5">
            <w:pPr>
              <w:pStyle w:val="17"/>
              <w:ind w:left="191" w:right="182"/>
              <w:rPr>
                <w:rFonts w:ascii="Times New Roman"/>
                <w:sz w:val="21"/>
              </w:rPr>
            </w:pPr>
            <w:r>
              <w:rPr>
                <w:rFonts w:ascii="Times New Roman"/>
                <w:sz w:val="21"/>
              </w:rPr>
              <w:t>75%</w:t>
            </w:r>
          </w:p>
        </w:tc>
        <w:tc>
          <w:tcPr>
            <w:tcW w:w="834" w:type="dxa"/>
          </w:tcPr>
          <w:p w14:paraId="43B98907">
            <w:pPr>
              <w:pStyle w:val="17"/>
              <w:spacing w:before="11"/>
              <w:jc w:val="left"/>
              <w:rPr>
                <w:rFonts w:ascii="Times New Roman"/>
                <w:b/>
                <w:sz w:val="29"/>
              </w:rPr>
            </w:pPr>
          </w:p>
          <w:p w14:paraId="1B5F804A">
            <w:pPr>
              <w:pStyle w:val="17"/>
              <w:ind w:left="364"/>
              <w:jc w:val="left"/>
              <w:rPr>
                <w:rFonts w:ascii="Times New Roman"/>
                <w:sz w:val="21"/>
              </w:rPr>
            </w:pPr>
            <w:r>
              <w:rPr>
                <w:rFonts w:ascii="Times New Roman"/>
                <w:w w:val="99"/>
                <w:sz w:val="21"/>
              </w:rPr>
              <w:t>0</w:t>
            </w:r>
          </w:p>
        </w:tc>
        <w:tc>
          <w:tcPr>
            <w:tcW w:w="816" w:type="dxa"/>
          </w:tcPr>
          <w:p w14:paraId="37FA7018">
            <w:pPr>
              <w:pStyle w:val="17"/>
              <w:spacing w:before="11"/>
              <w:jc w:val="left"/>
              <w:rPr>
                <w:rFonts w:ascii="Times New Roman"/>
                <w:b/>
                <w:sz w:val="29"/>
              </w:rPr>
            </w:pPr>
          </w:p>
          <w:p w14:paraId="3EBE008B">
            <w:pPr>
              <w:pStyle w:val="17"/>
              <w:ind w:left="6"/>
              <w:rPr>
                <w:rFonts w:ascii="Times New Roman"/>
                <w:sz w:val="21"/>
              </w:rPr>
            </w:pPr>
            <w:r>
              <w:rPr>
                <w:rFonts w:ascii="Times New Roman"/>
                <w:w w:val="99"/>
                <w:sz w:val="21"/>
              </w:rPr>
              <w:t>0</w:t>
            </w:r>
          </w:p>
        </w:tc>
        <w:tc>
          <w:tcPr>
            <w:tcW w:w="833" w:type="dxa"/>
            <w:tcBorders>
              <w:right w:val="nil"/>
            </w:tcBorders>
          </w:tcPr>
          <w:p w14:paraId="2F3245C2">
            <w:pPr>
              <w:pStyle w:val="17"/>
              <w:spacing w:before="9"/>
              <w:jc w:val="left"/>
              <w:rPr>
                <w:rFonts w:ascii="Times New Roman"/>
                <w:b/>
                <w:sz w:val="28"/>
              </w:rPr>
            </w:pPr>
          </w:p>
          <w:p w14:paraId="2C4AF8F8">
            <w:pPr>
              <w:pStyle w:val="17"/>
              <w:ind w:left="184" w:right="184"/>
              <w:rPr>
                <w:sz w:val="21"/>
              </w:rPr>
            </w:pPr>
            <w:r>
              <w:rPr>
                <w:sz w:val="21"/>
              </w:rPr>
              <w:t>达标</w:t>
            </w:r>
          </w:p>
        </w:tc>
      </w:tr>
    </w:tbl>
    <w:p w14:paraId="5C805A83">
      <w:pPr>
        <w:spacing w:before="39"/>
        <w:ind w:left="600" w:right="0" w:firstLine="0"/>
        <w:jc w:val="left"/>
        <w:rPr>
          <w:sz w:val="18"/>
        </w:rPr>
      </w:pPr>
      <w:r>
        <w:rPr>
          <w:sz w:val="18"/>
        </w:rPr>
        <w:t>注：臭气浓度参照《恶臭污染物排放标准》</w:t>
      </w:r>
      <w:r>
        <w:rPr>
          <w:rFonts w:ascii="Times New Roman" w:eastAsia="Times New Roman"/>
          <w:sz w:val="18"/>
        </w:rPr>
        <w:t>(GB 14554-93)</w:t>
      </w:r>
      <w:r>
        <w:rPr>
          <w:sz w:val="18"/>
        </w:rPr>
        <w:t xml:space="preserve">表 </w:t>
      </w:r>
      <w:r>
        <w:rPr>
          <w:rFonts w:ascii="Times New Roman" w:eastAsia="Times New Roman"/>
          <w:sz w:val="18"/>
        </w:rPr>
        <w:t xml:space="preserve">1 </w:t>
      </w:r>
      <w:r>
        <w:rPr>
          <w:sz w:val="18"/>
        </w:rPr>
        <w:t>中二级新改扩建标准限值执行。</w:t>
      </w:r>
    </w:p>
    <w:p w14:paraId="11E0893B">
      <w:pPr>
        <w:pStyle w:val="10"/>
        <w:spacing w:before="122" w:line="364" w:lineRule="auto"/>
        <w:ind w:left="240" w:right="117" w:firstLine="480"/>
        <w:jc w:val="both"/>
        <w:rPr>
          <w:rFonts w:ascii="Times New Roman" w:eastAsia="Times New Roman"/>
        </w:rPr>
      </w:pPr>
      <w:r>
        <w:rPr>
          <w:spacing w:val="-12"/>
        </w:rPr>
        <w:t xml:space="preserve">根据上表可知，非甲烷总烃 </w:t>
      </w:r>
      <w:r>
        <w:rPr>
          <w:rFonts w:ascii="Times New Roman" w:eastAsia="Times New Roman"/>
        </w:rPr>
        <w:t xml:space="preserve">1h </w:t>
      </w:r>
      <w:r>
        <w:rPr>
          <w:spacing w:val="-7"/>
        </w:rPr>
        <w:t>均值能满足《大气污染物综合排放标准详解》</w:t>
      </w:r>
      <w:r>
        <w:rPr>
          <w:spacing w:val="-15"/>
        </w:rPr>
        <w:t xml:space="preserve">中的标准限值 </w:t>
      </w:r>
      <w:r>
        <w:rPr>
          <w:rFonts w:ascii="Times New Roman" w:eastAsia="Times New Roman"/>
        </w:rPr>
        <w:t>2m</w:t>
      </w:r>
      <w:r>
        <w:rPr>
          <w:rFonts w:ascii="Times New Roman" w:eastAsia="Times New Roman"/>
          <w:spacing w:val="-3"/>
        </w:rPr>
        <w:t>g</w:t>
      </w:r>
      <w:r>
        <w:rPr>
          <w:rFonts w:ascii="Times New Roman" w:eastAsia="Times New Roman"/>
        </w:rPr>
        <w:t>/m</w:t>
      </w:r>
      <w:r>
        <w:rPr>
          <w:rFonts w:ascii="Times New Roman" w:eastAsia="Times New Roman"/>
          <w:spacing w:val="-2"/>
          <w:w w:val="104"/>
          <w:position w:val="8"/>
          <w:sz w:val="15"/>
        </w:rPr>
        <w:t>3</w:t>
      </w:r>
      <w:r>
        <w:rPr>
          <w:spacing w:val="-89"/>
        </w:rPr>
        <w:t>，</w:t>
      </w:r>
      <w:r>
        <w:rPr>
          <w:rFonts w:ascii="Times New Roman" w:eastAsia="Times New Roman"/>
          <w:spacing w:val="-1"/>
        </w:rPr>
        <w:t>T</w:t>
      </w:r>
      <w:r>
        <w:rPr>
          <w:rFonts w:ascii="Times New Roman" w:eastAsia="Times New Roman"/>
        </w:rPr>
        <w:t>S</w:t>
      </w:r>
      <w:r>
        <w:rPr>
          <w:rFonts w:ascii="Times New Roman" w:eastAsia="Times New Roman"/>
          <w:spacing w:val="-2"/>
        </w:rPr>
        <w:t>P</w:t>
      </w:r>
      <w:r>
        <w:rPr>
          <w:rFonts w:ascii="Times New Roman" w:eastAsia="Times New Roman"/>
        </w:rPr>
        <w:t xml:space="preserve">24h </w:t>
      </w:r>
      <w:r>
        <w:rPr>
          <w:spacing w:val="-10"/>
        </w:rPr>
        <w:t>均值能满足《环境空气质量标准</w:t>
      </w:r>
      <w:r>
        <w:rPr>
          <w:spacing w:val="-178"/>
        </w:rPr>
        <w:t>》</w:t>
      </w:r>
      <w:r>
        <w:rPr>
          <w:spacing w:val="-3"/>
        </w:rPr>
        <w:t>（</w:t>
      </w:r>
      <w:r>
        <w:rPr>
          <w:rFonts w:ascii="Times New Roman" w:eastAsia="Times New Roman"/>
          <w:spacing w:val="-1"/>
        </w:rPr>
        <w:t>G</w:t>
      </w:r>
      <w:r>
        <w:rPr>
          <w:rFonts w:ascii="Times New Roman" w:eastAsia="Times New Roman"/>
          <w:spacing w:val="-2"/>
        </w:rPr>
        <w:t>B</w:t>
      </w:r>
      <w:r>
        <w:rPr>
          <w:rFonts w:ascii="Times New Roman" w:eastAsia="Times New Roman"/>
        </w:rPr>
        <w:t>3095</w:t>
      </w:r>
      <w:r>
        <w:rPr>
          <w:rFonts w:ascii="Times New Roman" w:eastAsia="Times New Roman"/>
          <w:spacing w:val="0"/>
        </w:rPr>
        <w:t>-</w:t>
      </w:r>
      <w:r>
        <w:rPr>
          <w:rFonts w:ascii="Times New Roman" w:eastAsia="Times New Roman"/>
        </w:rPr>
        <w:t>201</w:t>
      </w:r>
      <w:r>
        <w:rPr>
          <w:rFonts w:ascii="Times New Roman" w:eastAsia="Times New Roman"/>
          <w:spacing w:val="1"/>
        </w:rPr>
        <w:t>2</w:t>
      </w:r>
      <w:r>
        <w:t>）</w:t>
      </w:r>
      <w:r>
        <w:rPr>
          <w:spacing w:val="-3"/>
        </w:rPr>
        <w:t>二级标准，</w:t>
      </w:r>
      <w:r>
        <w:rPr>
          <w:rFonts w:ascii="Times New Roman" w:eastAsia="Times New Roman"/>
          <w:spacing w:val="-14"/>
        </w:rPr>
        <w:t xml:space="preserve">TVOC8h </w:t>
      </w:r>
      <w:r>
        <w:rPr>
          <w:spacing w:val="-10"/>
        </w:rPr>
        <w:t>均值能满足《环境影响评价技术导则大气环境</w:t>
      </w:r>
      <w:r>
        <w:rPr>
          <w:spacing w:val="-188"/>
        </w:rPr>
        <w:t>》</w:t>
      </w:r>
      <w:r>
        <w:t>（</w:t>
      </w:r>
      <w:r>
        <w:rPr>
          <w:rFonts w:ascii="Times New Roman" w:eastAsia="Times New Roman"/>
        </w:rPr>
        <w:t>HJ2.2-2018</w:t>
      </w:r>
      <w:r>
        <w:t xml:space="preserve">） </w:t>
      </w:r>
      <w:r>
        <w:rPr>
          <w:spacing w:val="-17"/>
        </w:rPr>
        <w:t xml:space="preserve">附录 </w:t>
      </w:r>
      <w:r>
        <w:rPr>
          <w:rFonts w:ascii="Times New Roman" w:eastAsia="Times New Roman"/>
        </w:rPr>
        <w:t xml:space="preserve">D </w:t>
      </w:r>
      <w:r>
        <w:t>中相关标准要求；臭气浓度满足《恶臭污染物排放标准》</w:t>
      </w:r>
      <w:r>
        <w:rPr>
          <w:rFonts w:ascii="Times New Roman" w:eastAsia="Times New Roman"/>
        </w:rPr>
        <w:t>(GB 14554-93)</w:t>
      </w:r>
    </w:p>
    <w:p w14:paraId="54B44A43">
      <w:pPr>
        <w:spacing w:after="0" w:line="364" w:lineRule="auto"/>
        <w:jc w:val="both"/>
        <w:rPr>
          <w:rFonts w:ascii="Times New Roman" w:eastAsia="Times New Roman"/>
        </w:rPr>
        <w:sectPr>
          <w:pgSz w:w="11910" w:h="16840"/>
          <w:pgMar w:top="1380" w:right="1560" w:bottom="1220" w:left="1560" w:header="0" w:footer="1024" w:gutter="0"/>
          <w:cols w:space="720" w:num="1"/>
        </w:sectPr>
      </w:pPr>
    </w:p>
    <w:p w14:paraId="7F9D30A2">
      <w:pPr>
        <w:pStyle w:val="10"/>
        <w:spacing w:before="62"/>
        <w:ind w:left="240"/>
      </w:pPr>
      <w:r>
        <w:t xml:space="preserve">表 </w:t>
      </w:r>
      <w:r>
        <w:rPr>
          <w:rFonts w:ascii="Times New Roman" w:eastAsia="Times New Roman"/>
        </w:rPr>
        <w:t xml:space="preserve">1 </w:t>
      </w:r>
      <w:r>
        <w:t>中二级新改扩建标准限值要求；故项目所在地的区域大气环境质量良好。</w:t>
      </w:r>
    </w:p>
    <w:p w14:paraId="399FB429">
      <w:pPr>
        <w:pStyle w:val="16"/>
        <w:numPr>
          <w:ilvl w:val="2"/>
          <w:numId w:val="15"/>
        </w:numPr>
        <w:tabs>
          <w:tab w:val="left" w:pos="869"/>
        </w:tabs>
        <w:spacing w:before="214" w:after="0" w:line="240" w:lineRule="auto"/>
        <w:ind w:left="868" w:right="0" w:hanging="628"/>
        <w:jc w:val="left"/>
        <w:rPr>
          <w:b/>
          <w:sz w:val="28"/>
        </w:rPr>
      </w:pPr>
      <w:r>
        <w:rPr>
          <w:b/>
          <w:sz w:val="28"/>
        </w:rPr>
        <w:t>地表水环境现状监测与评价</w:t>
      </w:r>
    </w:p>
    <w:p w14:paraId="21F5C9EC">
      <w:pPr>
        <w:pStyle w:val="10"/>
        <w:spacing w:before="212" w:line="364" w:lineRule="auto"/>
        <w:ind w:left="240" w:right="237" w:firstLine="480"/>
      </w:pPr>
      <w:r>
        <w:rPr>
          <w:spacing w:val="-5"/>
        </w:rPr>
        <w:t>本项目所在区域的主要地表水体为汨罗江。本次评价引用汨罗市环境保护监测站对汨罗江的常规监测断面监测数据进行分析。</w:t>
      </w:r>
    </w:p>
    <w:p w14:paraId="44B47A76">
      <w:pPr>
        <w:pStyle w:val="10"/>
        <w:spacing w:before="1" w:line="364" w:lineRule="auto"/>
        <w:ind w:left="240" w:right="237" w:firstLine="480"/>
      </w:pPr>
      <w:r>
        <w:rPr>
          <w:spacing w:val="-10"/>
        </w:rPr>
        <w:t>本评价采用超标率、最大超标倍数及水质指数法对地表水环境质量现状进行评价。</w:t>
      </w:r>
    </w:p>
    <w:p w14:paraId="24566D2B">
      <w:pPr>
        <w:pStyle w:val="10"/>
        <w:spacing w:before="1" w:line="364" w:lineRule="auto"/>
        <w:ind w:left="720" w:right="4857"/>
      </w:pPr>
      <w:r>
        <w:t xml:space="preserve">水质指数 </w:t>
      </w:r>
      <w:r>
        <w:rPr>
          <w:rFonts w:ascii="Times New Roman" w:eastAsia="Times New Roman"/>
        </w:rPr>
        <w:t>Si,j</w:t>
      </w:r>
      <w:r>
        <w:rPr>
          <w:rFonts w:ascii="Times New Roman" w:eastAsia="Times New Roman"/>
          <w:spacing w:val="57"/>
        </w:rPr>
        <w:t xml:space="preserve"> </w:t>
      </w:r>
      <w:r>
        <w:t>的计算公式为： 一般性水质因子：</w:t>
      </w:r>
    </w:p>
    <w:p w14:paraId="3D8CE14D">
      <w:pPr>
        <w:spacing w:before="17"/>
        <w:ind w:left="720" w:right="0" w:firstLine="0"/>
        <w:jc w:val="left"/>
        <w:rPr>
          <w:rFonts w:ascii="Times New Roman"/>
          <w:i/>
          <w:sz w:val="15"/>
        </w:rPr>
      </w:pPr>
      <w:r>
        <w:rPr>
          <w:rFonts w:ascii="Times New Roman"/>
          <w:sz w:val="24"/>
        </w:rPr>
        <w:t>S</w:t>
      </w:r>
      <w:r>
        <w:rPr>
          <w:rFonts w:ascii="Times New Roman"/>
          <w:i/>
          <w:sz w:val="15"/>
        </w:rPr>
        <w:t>i,j</w:t>
      </w:r>
      <w:r>
        <w:rPr>
          <w:rFonts w:ascii="Times New Roman"/>
          <w:sz w:val="24"/>
        </w:rPr>
        <w:t>=c</w:t>
      </w:r>
      <w:r>
        <w:rPr>
          <w:rFonts w:ascii="Times New Roman"/>
          <w:i/>
          <w:sz w:val="15"/>
        </w:rPr>
        <w:t>i,j</w:t>
      </w:r>
      <w:r>
        <w:rPr>
          <w:rFonts w:ascii="Times New Roman"/>
          <w:sz w:val="24"/>
        </w:rPr>
        <w:t>/c</w:t>
      </w:r>
      <w:r>
        <w:rPr>
          <w:rFonts w:ascii="Times New Roman"/>
          <w:i/>
          <w:sz w:val="15"/>
        </w:rPr>
        <w:t>si</w:t>
      </w:r>
    </w:p>
    <w:p w14:paraId="306EEA99">
      <w:pPr>
        <w:pStyle w:val="10"/>
        <w:spacing w:before="176"/>
        <w:ind w:left="720"/>
      </w:pPr>
      <w:r>
        <w:t>溶解氧（</w:t>
      </w:r>
      <w:r>
        <w:rPr>
          <w:rFonts w:ascii="Times New Roman" w:eastAsia="Times New Roman"/>
        </w:rPr>
        <w:t>DO</w:t>
      </w:r>
      <w:r>
        <w:t>）的标准指数计算公式：</w:t>
      </w:r>
    </w:p>
    <w:p w14:paraId="5C87B329">
      <w:pPr>
        <w:pStyle w:val="10"/>
        <w:rPr>
          <w:sz w:val="15"/>
        </w:rPr>
      </w:pPr>
      <w:r>
        <w:drawing>
          <wp:anchor distT="0" distB="0" distL="0" distR="0" simplePos="0" relativeHeight="251659264" behindDoc="0" locked="0" layoutInCell="1" allowOverlap="1">
            <wp:simplePos x="0" y="0"/>
            <wp:positionH relativeFrom="page">
              <wp:posOffset>1511935</wp:posOffset>
            </wp:positionH>
            <wp:positionV relativeFrom="paragraph">
              <wp:posOffset>147320</wp:posOffset>
            </wp:positionV>
            <wp:extent cx="2277745" cy="789940"/>
            <wp:effectExtent l="0" t="0" r="0" b="0"/>
            <wp:wrapTopAndBottom/>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7.jpeg"/>
                    <pic:cNvPicPr>
                      <a:picLocks noChangeAspect="1"/>
                    </pic:cNvPicPr>
                  </pic:nvPicPr>
                  <pic:blipFill>
                    <a:blip r:embed="rId59" cstate="print"/>
                    <a:stretch>
                      <a:fillRect/>
                    </a:stretch>
                  </pic:blipFill>
                  <pic:spPr>
                    <a:xfrm>
                      <a:off x="0" y="0"/>
                      <a:ext cx="2277908" cy="790194"/>
                    </a:xfrm>
                    <a:prstGeom prst="rect">
                      <a:avLst/>
                    </a:prstGeom>
                  </pic:spPr>
                </pic:pic>
              </a:graphicData>
            </a:graphic>
          </wp:anchor>
        </w:drawing>
      </w:r>
    </w:p>
    <w:p w14:paraId="6A201661">
      <w:pPr>
        <w:pStyle w:val="10"/>
        <w:spacing w:before="212"/>
        <w:ind w:left="720"/>
      </w:pPr>
      <w:r>
        <w:rPr>
          <w:position w:val="2"/>
        </w:rPr>
        <w:t xml:space="preserve">式中： </w:t>
      </w:r>
      <w:r>
        <w:rPr>
          <w:rFonts w:ascii="Times New Roman" w:hAnsi="Times New Roman" w:eastAsia="Times New Roman"/>
          <w:position w:val="2"/>
        </w:rPr>
        <w:t>S</w:t>
      </w:r>
      <w:r>
        <w:rPr>
          <w:rFonts w:ascii="Times New Roman" w:hAnsi="Times New Roman" w:eastAsia="Times New Roman"/>
          <w:position w:val="2"/>
          <w:vertAlign w:val="subscript"/>
        </w:rPr>
        <w:t>DO, j</w:t>
      </w:r>
      <w:r>
        <w:rPr>
          <w:rFonts w:ascii="Times New Roman" w:hAnsi="Times New Roman" w:eastAsia="Times New Roman"/>
          <w:position w:val="2"/>
          <w:vertAlign w:val="baseline"/>
        </w:rPr>
        <w:t xml:space="preserve"> ——</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14:paraId="466E8E28">
      <w:pPr>
        <w:pStyle w:val="10"/>
        <w:spacing w:before="156"/>
        <w:ind w:left="720"/>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spacing w:val="-1"/>
          <w:position w:val="2"/>
          <w:vertAlign w:val="baseline"/>
        </w:rPr>
        <w:t xml:space="preserve"> ——</w:t>
      </w:r>
      <w:r>
        <w:rPr>
          <w:spacing w:val="-1"/>
          <w:position w:val="2"/>
          <w:vertAlign w:val="baseline"/>
        </w:rPr>
        <w:t xml:space="preserve">溶解氧在 </w:t>
      </w:r>
      <w:r>
        <w:rPr>
          <w:rFonts w:ascii="Times New Roman" w:hAnsi="Times New Roman" w:eastAsia="Times New Roman"/>
          <w:position w:val="2"/>
          <w:vertAlign w:val="baseline"/>
        </w:rPr>
        <w:t>j</w:t>
      </w:r>
      <w:r>
        <w:rPr>
          <w:rFonts w:ascii="Times New Roman" w:hAnsi="Times New Roman" w:eastAsia="Times New Roman"/>
          <w:spacing w:val="58"/>
          <w:position w:val="2"/>
          <w:vertAlign w:val="baseline"/>
        </w:rPr>
        <w:t xml:space="preserve">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353551D8">
      <w:pPr>
        <w:pStyle w:val="10"/>
        <w:spacing w:before="156"/>
        <w:ind w:left="720"/>
      </w:pPr>
      <w:r>
        <w:rPr>
          <w:rFonts w:ascii="Times New Roman" w:hAnsi="Times New Roman" w:eastAsia="Times New Roman"/>
          <w:position w:val="2"/>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 xml:space="preserve"> ——</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w:t>
      </w:r>
    </w:p>
    <w:p w14:paraId="1AD76A05">
      <w:pPr>
        <w:pStyle w:val="10"/>
        <w:spacing w:before="156" w:line="362" w:lineRule="auto"/>
        <w:ind w:left="240" w:right="265" w:firstLine="480"/>
        <w:rPr>
          <w:rFonts w:ascii="Times New Roman" w:hAnsi="Times New Roman" w:eastAsia="Times New Roman"/>
        </w:rPr>
      </w:pPr>
      <w:r>
        <w:rPr>
          <w:rFonts w:ascii="Times New Roman" w:hAnsi="Times New Roman" w:eastAsia="Times New Roman"/>
          <w:position w:val="2"/>
        </w:rPr>
        <w:t>DO</w:t>
      </w:r>
      <w:r>
        <w:rPr>
          <w:rFonts w:ascii="Times New Roman" w:hAnsi="Times New Roman" w:eastAsia="Times New Roman"/>
          <w:position w:val="2"/>
          <w:vertAlign w:val="subscript"/>
        </w:rPr>
        <w:t>f</w:t>
      </w:r>
      <w:r>
        <w:rPr>
          <w:rFonts w:ascii="Times New Roman" w:hAnsi="Times New Roman" w:eastAsia="Times New Roman"/>
          <w:spacing w:val="-1"/>
          <w:position w:val="2"/>
          <w:vertAlign w:val="baseline"/>
        </w:rPr>
        <w:t xml:space="preserve"> ——</w:t>
      </w:r>
      <w:r>
        <w:rPr>
          <w:position w:val="2"/>
          <w:vertAlign w:val="baseline"/>
        </w:rPr>
        <w:t>饱和溶解氧浓度，</w:t>
      </w:r>
      <w:r>
        <w:rPr>
          <w:rFonts w:ascii="Times New Roman" w:hAnsi="Times New Roman" w:eastAsia="Times New Roman"/>
          <w:position w:val="2"/>
          <w:vertAlign w:val="baseline"/>
        </w:rPr>
        <w:t>mg/L</w:t>
      </w:r>
      <w:r>
        <w:rPr>
          <w:spacing w:val="-1"/>
          <w:position w:val="2"/>
          <w:vertAlign w:val="baseline"/>
        </w:rPr>
        <w:t xml:space="preserve">，对于河流，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spacing w:val="-2"/>
          <w:position w:val="2"/>
          <w:vertAlign w:val="baseline"/>
        </w:rPr>
        <w:t xml:space="preserve"> = </w:t>
      </w:r>
      <w:r>
        <w:rPr>
          <w:rFonts w:ascii="Times New Roman" w:hAnsi="Times New Roman" w:eastAsia="Times New Roman"/>
          <w:position w:val="2"/>
          <w:vertAlign w:val="baseline"/>
        </w:rPr>
        <w:t>468 /</w:t>
      </w:r>
      <w:r>
        <w:rPr>
          <w:rFonts w:ascii="Times New Roman" w:hAnsi="Times New Roman" w:eastAsia="Times New Roman"/>
          <w:spacing w:val="56"/>
          <w:position w:val="2"/>
          <w:vertAlign w:val="baseline"/>
        </w:rPr>
        <w:t xml:space="preserve"> </w:t>
      </w:r>
      <w:r>
        <w:rPr>
          <w:position w:val="2"/>
          <w:vertAlign w:val="baseline"/>
        </w:rPr>
        <w:t>（</w:t>
      </w:r>
      <w:r>
        <w:rPr>
          <w:rFonts w:ascii="Times New Roman" w:hAnsi="Times New Roman" w:eastAsia="Times New Roman"/>
          <w:position w:val="2"/>
          <w:vertAlign w:val="baseline"/>
        </w:rPr>
        <w:t>31.6+ T</w:t>
      </w:r>
      <w:r>
        <w:rPr>
          <w:position w:val="2"/>
          <w:vertAlign w:val="baseline"/>
        </w:rPr>
        <w:t>）</w:t>
      </w:r>
      <w:r>
        <w:rPr>
          <w:spacing w:val="-1"/>
          <w:position w:val="2"/>
          <w:vertAlign w:val="baseline"/>
        </w:rPr>
        <w:t xml:space="preserve"> ， 对于盐度比较高的湖泊、水库及入海河口、近岸海域，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spacing w:val="11"/>
          <w:position w:val="2"/>
          <w:vertAlign w:val="baseline"/>
        </w:rPr>
        <w:t xml:space="preserve"> = </w:t>
      </w:r>
      <w:r>
        <w:rPr>
          <w:position w:val="2"/>
          <w:vertAlign w:val="baseline"/>
        </w:rPr>
        <w:t>（</w:t>
      </w:r>
      <w:r>
        <w:rPr>
          <w:rFonts w:ascii="Times New Roman" w:hAnsi="Times New Roman" w:eastAsia="Times New Roman"/>
          <w:position w:val="2"/>
          <w:vertAlign w:val="baseline"/>
        </w:rPr>
        <w:t>491- 2.65S</w:t>
      </w:r>
      <w:r>
        <w:rPr>
          <w:position w:val="2"/>
          <w:vertAlign w:val="baseline"/>
        </w:rPr>
        <w:t>）</w:t>
      </w:r>
      <w:r>
        <w:rPr>
          <w:rFonts w:ascii="Times New Roman" w:hAnsi="Times New Roman" w:eastAsia="Times New Roman"/>
          <w:position w:val="2"/>
          <w:vertAlign w:val="baseline"/>
        </w:rPr>
        <w:t>/</w:t>
      </w:r>
    </w:p>
    <w:p w14:paraId="1D0B0F95">
      <w:pPr>
        <w:pStyle w:val="10"/>
        <w:spacing w:before="2"/>
        <w:ind w:left="240"/>
      </w:pPr>
      <w:r>
        <w:t>（</w:t>
      </w:r>
      <w:r>
        <w:rPr>
          <w:rFonts w:ascii="Times New Roman" w:eastAsia="Times New Roman"/>
        </w:rPr>
        <w:t>33.5+T</w:t>
      </w:r>
      <w:r>
        <w:t>）；</w:t>
      </w:r>
    </w:p>
    <w:p w14:paraId="1A0E563C">
      <w:pPr>
        <w:pStyle w:val="10"/>
        <w:spacing w:before="161" w:line="364" w:lineRule="auto"/>
        <w:ind w:left="720" w:right="4753"/>
      </w:pPr>
      <w:r>
        <w:rPr>
          <w:rFonts w:ascii="Times New Roman" w:hAnsi="Times New Roman" w:eastAsia="Times New Roman"/>
        </w:rPr>
        <w:t>S ——</w:t>
      </w:r>
      <w:r>
        <w:t xml:space="preserve">实用盐度符号，量纲一； </w:t>
      </w:r>
      <w:r>
        <w:rPr>
          <w:rFonts w:ascii="Times New Roman" w:hAnsi="Times New Roman" w:eastAsia="Times New Roman"/>
        </w:rPr>
        <w:t>T ——</w:t>
      </w:r>
      <w:r>
        <w:t>水温，</w:t>
      </w:r>
      <w:r>
        <w:rPr>
          <w:rFonts w:ascii="Times New Roman" w:hAnsi="Times New Roman" w:eastAsia="Times New Roman"/>
        </w:rPr>
        <w:t>℃</w:t>
      </w:r>
      <w:r>
        <w:t>。</w:t>
      </w:r>
    </w:p>
    <w:p w14:paraId="30451A43">
      <w:pPr>
        <w:pStyle w:val="10"/>
        <w:spacing w:before="1"/>
        <w:ind w:left="720"/>
      </w:pPr>
      <w:r>
        <w:rPr>
          <w:rFonts w:ascii="Times New Roman" w:eastAsia="Times New Roman"/>
        </w:rPr>
        <w:t>pH</w:t>
      </w:r>
      <w:r>
        <w:rPr>
          <w:rFonts w:ascii="Times New Roman" w:eastAsia="Times New Roman"/>
          <w:spacing w:val="58"/>
        </w:rPr>
        <w:t xml:space="preserve"> </w:t>
      </w:r>
      <w:r>
        <w:t>的指数为：</w:t>
      </w:r>
    </w:p>
    <w:p w14:paraId="580B9921">
      <w:pPr>
        <w:pStyle w:val="10"/>
        <w:spacing w:before="8"/>
        <w:rPr>
          <w:sz w:val="11"/>
        </w:rPr>
      </w:pPr>
      <w:r>
        <w:drawing>
          <wp:anchor distT="0" distB="0" distL="0" distR="0" simplePos="0" relativeHeight="251659264" behindDoc="0" locked="0" layoutInCell="1" allowOverlap="1">
            <wp:simplePos x="0" y="0"/>
            <wp:positionH relativeFrom="page">
              <wp:posOffset>1409700</wp:posOffset>
            </wp:positionH>
            <wp:positionV relativeFrom="paragraph">
              <wp:posOffset>119380</wp:posOffset>
            </wp:positionV>
            <wp:extent cx="1934210" cy="457200"/>
            <wp:effectExtent l="0" t="0" r="0" b="0"/>
            <wp:wrapTopAndBottom/>
            <wp:docPr id="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8.png"/>
                    <pic:cNvPicPr>
                      <a:picLocks noChangeAspect="1"/>
                    </pic:cNvPicPr>
                  </pic:nvPicPr>
                  <pic:blipFill>
                    <a:blip r:embed="rId60" cstate="print"/>
                    <a:stretch>
                      <a:fillRect/>
                    </a:stretch>
                  </pic:blipFill>
                  <pic:spPr>
                    <a:xfrm>
                      <a:off x="0" y="0"/>
                      <a:ext cx="1933955" cy="4572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1409700</wp:posOffset>
            </wp:positionH>
            <wp:positionV relativeFrom="paragraph">
              <wp:posOffset>713740</wp:posOffset>
            </wp:positionV>
            <wp:extent cx="1934210" cy="457200"/>
            <wp:effectExtent l="0" t="0" r="0" b="0"/>
            <wp:wrapTopAndBottom/>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9.png"/>
                    <pic:cNvPicPr>
                      <a:picLocks noChangeAspect="1"/>
                    </pic:cNvPicPr>
                  </pic:nvPicPr>
                  <pic:blipFill>
                    <a:blip r:embed="rId61" cstate="print"/>
                    <a:stretch>
                      <a:fillRect/>
                    </a:stretch>
                  </pic:blipFill>
                  <pic:spPr>
                    <a:xfrm>
                      <a:off x="0" y="0"/>
                      <a:ext cx="1933955" cy="457200"/>
                    </a:xfrm>
                    <a:prstGeom prst="rect">
                      <a:avLst/>
                    </a:prstGeom>
                  </pic:spPr>
                </pic:pic>
              </a:graphicData>
            </a:graphic>
          </wp:anchor>
        </w:drawing>
      </w:r>
    </w:p>
    <w:p w14:paraId="6C4836ED">
      <w:pPr>
        <w:pStyle w:val="10"/>
        <w:spacing w:before="7"/>
        <w:rPr>
          <w:sz w:val="11"/>
        </w:rPr>
      </w:pPr>
    </w:p>
    <w:p w14:paraId="2C4CFF72">
      <w:pPr>
        <w:pStyle w:val="10"/>
        <w:spacing w:before="159"/>
        <w:ind w:left="720"/>
      </w:pPr>
      <w:r>
        <w:t>式中：</w:t>
      </w:r>
      <w:r>
        <w:rPr>
          <w:rFonts w:ascii="Times New Roman" w:hAnsi="Times New Roman" w:eastAsia="Times New Roman"/>
          <w:i/>
        </w:rPr>
        <w:t>S</w:t>
      </w:r>
      <w:r>
        <w:rPr>
          <w:rFonts w:ascii="Times New Roman" w:hAnsi="Times New Roman" w:eastAsia="Times New Roman"/>
          <w:i/>
          <w:vertAlign w:val="subscript"/>
        </w:rPr>
        <w:t>i,j——</w:t>
      </w:r>
      <w:r>
        <w:rPr>
          <w:vertAlign w:val="baseline"/>
        </w:rPr>
        <w:t xml:space="preserve">评价因子ｉ的水质指数，大于 </w:t>
      </w:r>
      <w:r>
        <w:rPr>
          <w:rFonts w:ascii="Times New Roman" w:hAnsi="Times New Roman" w:eastAsia="Times New Roman"/>
          <w:vertAlign w:val="baseline"/>
        </w:rPr>
        <w:t xml:space="preserve">1 </w:t>
      </w:r>
      <w:r>
        <w:rPr>
          <w:vertAlign w:val="baseline"/>
        </w:rPr>
        <w:t>表明该水质因子超标；</w:t>
      </w:r>
    </w:p>
    <w:p w14:paraId="7B0F43B7">
      <w:pPr>
        <w:pStyle w:val="10"/>
        <w:spacing w:before="160"/>
        <w:ind w:left="720"/>
      </w:pPr>
      <w:r>
        <w:rPr>
          <w:rFonts w:ascii="Times New Roman" w:hAnsi="Times New Roman" w:eastAsia="Times New Roman"/>
          <w:i/>
        </w:rPr>
        <w:t>c</w:t>
      </w:r>
      <w:r>
        <w:rPr>
          <w:rFonts w:ascii="Times New Roman" w:hAnsi="Times New Roman" w:eastAsia="Times New Roman"/>
          <w:i/>
          <w:vertAlign w:val="subscript"/>
        </w:rPr>
        <w:t>i,j</w:t>
      </w:r>
      <w:r>
        <w:rPr>
          <w:rFonts w:ascii="Times New Roman" w:hAnsi="Times New Roman" w:eastAsia="Times New Roman"/>
          <w:vertAlign w:val="baseline"/>
        </w:rPr>
        <w:t>——</w:t>
      </w:r>
      <w:r>
        <w:rPr>
          <w:vertAlign w:val="baseline"/>
        </w:rPr>
        <w:t>评价因子ｉ在ｊ点的实测统计代表值，</w:t>
      </w:r>
      <w:r>
        <w:rPr>
          <w:rFonts w:ascii="Times New Roman" w:hAnsi="Times New Roman" w:eastAsia="Times New Roman"/>
          <w:vertAlign w:val="baseline"/>
        </w:rPr>
        <w:t>mg/L</w:t>
      </w:r>
      <w:r>
        <w:rPr>
          <w:vertAlign w:val="baseline"/>
        </w:rPr>
        <w:t>；</w:t>
      </w:r>
    </w:p>
    <w:p w14:paraId="5342BA50">
      <w:pPr>
        <w:pStyle w:val="10"/>
        <w:spacing w:before="161"/>
        <w:ind w:left="720"/>
      </w:pPr>
      <w:r>
        <w:rPr>
          <w:rFonts w:ascii="Times New Roman" w:hAnsi="Times New Roman" w:eastAsia="Times New Roman"/>
          <w:i/>
        </w:rPr>
        <w:t>c</w:t>
      </w:r>
      <w:r>
        <w:rPr>
          <w:rFonts w:ascii="Times New Roman" w:hAnsi="Times New Roman" w:eastAsia="Times New Roman"/>
          <w:i/>
          <w:vertAlign w:val="subscript"/>
        </w:rPr>
        <w:t>si</w:t>
      </w:r>
      <w:r>
        <w:rPr>
          <w:rFonts w:ascii="Times New Roman" w:hAnsi="Times New Roman" w:eastAsia="Times New Roman"/>
          <w:vertAlign w:val="baseline"/>
        </w:rPr>
        <w:t>——</w:t>
      </w:r>
      <w:r>
        <w:rPr>
          <w:vertAlign w:val="baseline"/>
        </w:rPr>
        <w:t>评价因子ｉ的水质评价标准限值，</w:t>
      </w:r>
      <w:r>
        <w:rPr>
          <w:rFonts w:ascii="Times New Roman" w:hAnsi="Times New Roman" w:eastAsia="Times New Roman"/>
          <w:vertAlign w:val="baseline"/>
        </w:rPr>
        <w:t>mg/L</w:t>
      </w:r>
      <w:r>
        <w:rPr>
          <w:vertAlign w:val="baseline"/>
        </w:rPr>
        <w:t>；</w:t>
      </w:r>
    </w:p>
    <w:p w14:paraId="082556D0">
      <w:pPr>
        <w:spacing w:after="0"/>
        <w:sectPr>
          <w:pgSz w:w="11910" w:h="16840"/>
          <w:pgMar w:top="1440" w:right="1560" w:bottom="1220" w:left="1560" w:header="0" w:footer="1024" w:gutter="0"/>
          <w:cols w:space="720" w:num="1"/>
        </w:sectPr>
      </w:pPr>
    </w:p>
    <w:p w14:paraId="407A3979">
      <w:pPr>
        <w:pStyle w:val="10"/>
        <w:spacing w:before="62"/>
        <w:ind w:left="720"/>
      </w:pPr>
      <w:r>
        <w:rPr>
          <w:rFonts w:ascii="Times New Roman" w:hAnsi="Times New Roman" w:eastAsia="Times New Roman"/>
          <w:i/>
        </w:rPr>
        <w:t>S</w:t>
      </w:r>
      <w:r>
        <w:rPr>
          <w:rFonts w:ascii="Times New Roman" w:hAnsi="Times New Roman" w:eastAsia="Times New Roman"/>
          <w:i/>
          <w:vertAlign w:val="subscript"/>
        </w:rPr>
        <w:t>pH</w:t>
      </w:r>
      <w:r>
        <w:rPr>
          <w:i/>
          <w:sz w:val="12"/>
          <w:vertAlign w:val="baseline"/>
        </w:rPr>
        <w:t>，</w:t>
      </w:r>
      <w:r>
        <w:rPr>
          <w:rFonts w:ascii="Times New Roman" w:hAnsi="Times New Roman" w:eastAsia="Times New Roman"/>
          <w:i/>
          <w:sz w:val="15"/>
          <w:vertAlign w:val="baseline"/>
        </w:rPr>
        <w:t>j</w:t>
      </w:r>
      <w:r>
        <w:rPr>
          <w:rFonts w:ascii="Times New Roman" w:hAnsi="Times New Roman" w:eastAsia="Times New Roman"/>
          <w:vertAlign w:val="baseline"/>
        </w:rPr>
        <w:t xml:space="preserve">——pH </w:t>
      </w:r>
      <w:r>
        <w:rPr>
          <w:vertAlign w:val="baseline"/>
        </w:rPr>
        <w:t xml:space="preserve">值的指数，大于 </w:t>
      </w:r>
      <w:r>
        <w:rPr>
          <w:rFonts w:ascii="Times New Roman" w:hAnsi="Times New Roman" w:eastAsia="Times New Roman"/>
          <w:vertAlign w:val="baseline"/>
        </w:rPr>
        <w:t xml:space="preserve">1 </w:t>
      </w:r>
      <w:r>
        <w:rPr>
          <w:vertAlign w:val="baseline"/>
        </w:rPr>
        <w:t>表明该水质因子超标；</w:t>
      </w:r>
    </w:p>
    <w:p w14:paraId="5557ECC5">
      <w:pPr>
        <w:pStyle w:val="10"/>
        <w:spacing w:before="160"/>
        <w:ind w:left="720"/>
      </w:pPr>
      <w:r>
        <w:rPr>
          <w:rFonts w:ascii="Times New Roman" w:hAnsi="Times New Roman" w:eastAsia="Times New Roman"/>
          <w:i/>
        </w:rPr>
        <w:t>pH</w:t>
      </w:r>
      <w:r>
        <w:rPr>
          <w:rFonts w:ascii="Times New Roman" w:hAnsi="Times New Roman" w:eastAsia="Times New Roman"/>
          <w:i/>
          <w:vertAlign w:val="subscript"/>
        </w:rPr>
        <w:t>j</w:t>
      </w:r>
      <w:r>
        <w:rPr>
          <w:rFonts w:ascii="Times New Roman" w:hAnsi="Times New Roman" w:eastAsia="Times New Roman"/>
          <w:vertAlign w:val="baseline"/>
        </w:rPr>
        <w:t xml:space="preserve">——pH </w:t>
      </w:r>
      <w:r>
        <w:rPr>
          <w:vertAlign w:val="baseline"/>
        </w:rPr>
        <w:t>实测统计代表值；</w:t>
      </w:r>
    </w:p>
    <w:p w14:paraId="25A8E9FA">
      <w:pPr>
        <w:pStyle w:val="10"/>
        <w:spacing w:before="161"/>
        <w:ind w:left="720"/>
      </w:pPr>
      <w:r>
        <w:rPr>
          <w:rFonts w:ascii="Times New Roman" w:hAnsi="Times New Roman" w:eastAsia="Times New Roman"/>
          <w:i/>
        </w:rPr>
        <w:t>pH</w:t>
      </w:r>
      <w:r>
        <w:rPr>
          <w:rFonts w:ascii="Times New Roman" w:hAnsi="Times New Roman" w:eastAsia="Times New Roman"/>
          <w:i/>
          <w:vertAlign w:val="subscript"/>
        </w:rPr>
        <w:t>sd</w:t>
      </w:r>
      <w:r>
        <w:rPr>
          <w:rFonts w:ascii="Times New Roman" w:hAnsi="Times New Roman" w:eastAsia="Times New Roman"/>
          <w:vertAlign w:val="baseline"/>
        </w:rPr>
        <w:t>——</w:t>
      </w:r>
      <w:r>
        <w:rPr>
          <w:vertAlign w:val="baseline"/>
        </w:rPr>
        <w:t xml:space="preserve">评价标准中 </w:t>
      </w:r>
      <w:r>
        <w:rPr>
          <w:rFonts w:ascii="Times New Roman" w:hAnsi="Times New Roman" w:eastAsia="Times New Roman"/>
          <w:vertAlign w:val="baseline"/>
        </w:rPr>
        <w:t xml:space="preserve">pH </w:t>
      </w:r>
      <w:r>
        <w:rPr>
          <w:vertAlign w:val="baseline"/>
        </w:rPr>
        <w:t>值的下限值；</w:t>
      </w:r>
    </w:p>
    <w:p w14:paraId="1E108889">
      <w:pPr>
        <w:pStyle w:val="10"/>
        <w:spacing w:before="160"/>
        <w:ind w:left="720"/>
      </w:pPr>
      <w:r>
        <w:rPr>
          <w:rFonts w:ascii="Times New Roman" w:hAnsi="Times New Roman" w:eastAsia="Times New Roman"/>
          <w:i/>
        </w:rPr>
        <w:t>pH</w:t>
      </w:r>
      <w:r>
        <w:rPr>
          <w:rFonts w:ascii="Times New Roman" w:hAnsi="Times New Roman" w:eastAsia="Times New Roman"/>
          <w:i/>
          <w:vertAlign w:val="subscript"/>
        </w:rPr>
        <w:t>su</w:t>
      </w:r>
      <w:r>
        <w:rPr>
          <w:rFonts w:ascii="Times New Roman" w:hAnsi="Times New Roman" w:eastAsia="Times New Roman"/>
          <w:vertAlign w:val="baseline"/>
        </w:rPr>
        <w:t>——</w:t>
      </w:r>
      <w:r>
        <w:rPr>
          <w:vertAlign w:val="baseline"/>
        </w:rPr>
        <w:t xml:space="preserve">评价标准中 </w:t>
      </w:r>
      <w:r>
        <w:rPr>
          <w:rFonts w:ascii="Times New Roman" w:hAnsi="Times New Roman" w:eastAsia="Times New Roman"/>
          <w:vertAlign w:val="baseline"/>
        </w:rPr>
        <w:t xml:space="preserve">pH </w:t>
      </w:r>
      <w:r>
        <w:rPr>
          <w:vertAlign w:val="baseline"/>
        </w:rPr>
        <w:t>值的上限值</w:t>
      </w:r>
    </w:p>
    <w:p w14:paraId="57BE4032">
      <w:pPr>
        <w:pStyle w:val="10"/>
        <w:spacing w:before="161" w:line="364" w:lineRule="auto"/>
        <w:ind w:left="240" w:right="237" w:firstLine="480"/>
        <w:jc w:val="both"/>
      </w:pPr>
      <w:r>
        <w:rPr>
          <w:spacing w:val="-3"/>
        </w:rPr>
        <w:t>项目所在地区地方主要地表水体为汨罗江、湄江河</w:t>
      </w:r>
      <w:r>
        <w:t>（车对河</w:t>
      </w:r>
      <w:r>
        <w:rPr>
          <w:spacing w:val="-23"/>
        </w:rPr>
        <w:t>）</w:t>
      </w:r>
      <w:r>
        <w:rPr>
          <w:spacing w:val="-5"/>
        </w:rPr>
        <w:t>，距离本项目</w:t>
      </w:r>
      <w:r>
        <w:rPr>
          <w:spacing w:val="-10"/>
        </w:rPr>
        <w:t>最近的汨罗江下游控制断面为南渡断面。本报告收集了岳阳市汨罗生态环境监测</w:t>
      </w:r>
      <w:r>
        <w:rPr>
          <w:spacing w:val="-9"/>
        </w:rPr>
        <w:t>站发布的《汨罗市环境质量月报》</w:t>
      </w:r>
      <w:r>
        <w:t>（</w:t>
      </w:r>
      <w:r>
        <w:rPr>
          <w:rFonts w:ascii="Times New Roman" w:eastAsia="Times New Roman"/>
        </w:rPr>
        <w:t xml:space="preserve">2023 </w:t>
      </w:r>
      <w:r>
        <w:rPr>
          <w:spacing w:val="-31"/>
        </w:rPr>
        <w:t xml:space="preserve">年 </w:t>
      </w:r>
      <w:r>
        <w:rPr>
          <w:rFonts w:ascii="Times New Roman" w:eastAsia="Times New Roman"/>
        </w:rPr>
        <w:t xml:space="preserve">1 </w:t>
      </w:r>
      <w:r>
        <w:t>月</w:t>
      </w:r>
      <w:r>
        <w:rPr>
          <w:rFonts w:ascii="Times New Roman" w:eastAsia="Times New Roman"/>
        </w:rPr>
        <w:t xml:space="preserve">-12 </w:t>
      </w:r>
      <w:r>
        <w:t>月</w:t>
      </w:r>
      <w:r>
        <w:rPr>
          <w:spacing w:val="-12"/>
        </w:rPr>
        <w:t>）</w:t>
      </w:r>
      <w:r>
        <w:t>中地表水水质监测分析结论。</w:t>
      </w:r>
    </w:p>
    <w:p w14:paraId="6FC7743A">
      <w:pPr>
        <w:pStyle w:val="9"/>
        <w:tabs>
          <w:tab w:val="left" w:pos="1039"/>
        </w:tabs>
        <w:spacing w:before="81"/>
        <w:ind w:left="0"/>
        <w:jc w:val="center"/>
      </w:pPr>
      <w:r>
        <w:t>表</w:t>
      </w:r>
      <w:r>
        <w:rPr>
          <w:spacing w:val="-62"/>
        </w:rPr>
        <w:t xml:space="preserve"> </w:t>
      </w:r>
      <w:r>
        <w:rPr>
          <w:rFonts w:ascii="Times New Roman" w:eastAsia="Times New Roman"/>
        </w:rPr>
        <w:t>3.3-4</w:t>
      </w:r>
      <w:r>
        <w:rPr>
          <w:rFonts w:ascii="Times New Roman" w:eastAsia="Times New Roman"/>
        </w:rPr>
        <w:tab/>
      </w:r>
      <w:r>
        <w:rPr>
          <w:rFonts w:ascii="Times New Roman" w:eastAsia="Times New Roman"/>
        </w:rPr>
        <w:t>2023</w:t>
      </w:r>
      <w:r>
        <w:rPr>
          <w:rFonts w:ascii="Times New Roman" w:eastAsia="Times New Roman"/>
          <w:spacing w:val="-1"/>
        </w:rPr>
        <w:t xml:space="preserve"> </w:t>
      </w:r>
      <w:r>
        <w:t>年汨罗市地表水水质概况表</w:t>
      </w:r>
    </w:p>
    <w:tbl>
      <w:tblPr>
        <w:tblStyle w:val="13"/>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7"/>
        <w:gridCol w:w="577"/>
        <w:gridCol w:w="596"/>
        <w:gridCol w:w="915"/>
        <w:gridCol w:w="1252"/>
        <w:gridCol w:w="1040"/>
        <w:gridCol w:w="421"/>
        <w:gridCol w:w="421"/>
        <w:gridCol w:w="421"/>
        <w:gridCol w:w="421"/>
        <w:gridCol w:w="421"/>
        <w:gridCol w:w="421"/>
        <w:gridCol w:w="421"/>
        <w:gridCol w:w="422"/>
      </w:tblGrid>
      <w:tr w14:paraId="51F455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767" w:type="dxa"/>
            <w:tcBorders>
              <w:left w:val="nil"/>
              <w:bottom w:val="single" w:color="000000" w:sz="4" w:space="0"/>
              <w:right w:val="single" w:color="000000" w:sz="4" w:space="0"/>
            </w:tcBorders>
          </w:tcPr>
          <w:p w14:paraId="5C0ACC74">
            <w:pPr>
              <w:pStyle w:val="17"/>
              <w:spacing w:before="12"/>
              <w:jc w:val="left"/>
              <w:rPr>
                <w:b/>
                <w:sz w:val="25"/>
              </w:rPr>
            </w:pPr>
          </w:p>
          <w:p w14:paraId="12734D4E">
            <w:pPr>
              <w:pStyle w:val="17"/>
              <w:ind w:left="187"/>
              <w:jc w:val="left"/>
              <w:rPr>
                <w:b/>
                <w:sz w:val="21"/>
              </w:rPr>
            </w:pPr>
            <w:r>
              <w:rPr>
                <w:b/>
                <w:sz w:val="21"/>
              </w:rPr>
              <w:t>断面</w:t>
            </w:r>
          </w:p>
        </w:tc>
        <w:tc>
          <w:tcPr>
            <w:tcW w:w="577" w:type="dxa"/>
            <w:tcBorders>
              <w:left w:val="single" w:color="000000" w:sz="4" w:space="0"/>
              <w:bottom w:val="single" w:color="000000" w:sz="4" w:space="0"/>
              <w:right w:val="single" w:color="000000" w:sz="4" w:space="0"/>
            </w:tcBorders>
          </w:tcPr>
          <w:p w14:paraId="3F505B6D">
            <w:pPr>
              <w:pStyle w:val="17"/>
              <w:spacing w:before="12"/>
              <w:jc w:val="left"/>
              <w:rPr>
                <w:b/>
                <w:sz w:val="25"/>
              </w:rPr>
            </w:pPr>
          </w:p>
          <w:p w14:paraId="6C65B4FE">
            <w:pPr>
              <w:pStyle w:val="17"/>
              <w:ind w:left="92" w:right="65"/>
              <w:rPr>
                <w:b/>
                <w:sz w:val="21"/>
              </w:rPr>
            </w:pPr>
            <w:r>
              <w:rPr>
                <w:rFonts w:ascii="Times New Roman" w:eastAsia="Times New Roman"/>
                <w:b/>
                <w:sz w:val="21"/>
              </w:rPr>
              <w:t xml:space="preserve">1 </w:t>
            </w:r>
            <w:r>
              <w:rPr>
                <w:b/>
                <w:sz w:val="21"/>
              </w:rPr>
              <w:t>月</w:t>
            </w:r>
          </w:p>
        </w:tc>
        <w:tc>
          <w:tcPr>
            <w:tcW w:w="596" w:type="dxa"/>
            <w:tcBorders>
              <w:left w:val="single" w:color="000000" w:sz="4" w:space="0"/>
              <w:bottom w:val="single" w:color="000000" w:sz="4" w:space="0"/>
              <w:right w:val="single" w:color="000000" w:sz="4" w:space="0"/>
            </w:tcBorders>
          </w:tcPr>
          <w:p w14:paraId="4465EACC">
            <w:pPr>
              <w:pStyle w:val="17"/>
              <w:spacing w:before="12"/>
              <w:jc w:val="left"/>
              <w:rPr>
                <w:b/>
                <w:sz w:val="25"/>
              </w:rPr>
            </w:pPr>
          </w:p>
          <w:p w14:paraId="3FFB48AC">
            <w:pPr>
              <w:pStyle w:val="17"/>
              <w:ind w:left="99" w:right="74"/>
              <w:rPr>
                <w:b/>
                <w:sz w:val="21"/>
              </w:rPr>
            </w:pPr>
            <w:r>
              <w:rPr>
                <w:rFonts w:ascii="Times New Roman" w:eastAsia="Times New Roman"/>
                <w:b/>
                <w:sz w:val="21"/>
              </w:rPr>
              <w:t xml:space="preserve">2 </w:t>
            </w:r>
            <w:r>
              <w:rPr>
                <w:b/>
                <w:sz w:val="21"/>
              </w:rPr>
              <w:t>月</w:t>
            </w:r>
          </w:p>
        </w:tc>
        <w:tc>
          <w:tcPr>
            <w:tcW w:w="915" w:type="dxa"/>
            <w:tcBorders>
              <w:left w:val="single" w:color="000000" w:sz="4" w:space="0"/>
              <w:bottom w:val="single" w:color="000000" w:sz="4" w:space="0"/>
              <w:right w:val="single" w:color="000000" w:sz="4" w:space="0"/>
            </w:tcBorders>
          </w:tcPr>
          <w:p w14:paraId="0B79E5D6">
            <w:pPr>
              <w:pStyle w:val="17"/>
              <w:spacing w:before="12"/>
              <w:jc w:val="left"/>
              <w:rPr>
                <w:b/>
                <w:sz w:val="25"/>
              </w:rPr>
            </w:pPr>
          </w:p>
          <w:p w14:paraId="381DFE3E">
            <w:pPr>
              <w:pStyle w:val="17"/>
              <w:ind w:left="260" w:right="236"/>
              <w:rPr>
                <w:b/>
                <w:sz w:val="21"/>
              </w:rPr>
            </w:pPr>
            <w:r>
              <w:rPr>
                <w:rFonts w:ascii="Times New Roman" w:eastAsia="Times New Roman"/>
                <w:b/>
                <w:sz w:val="21"/>
              </w:rPr>
              <w:t xml:space="preserve">3 </w:t>
            </w:r>
            <w:r>
              <w:rPr>
                <w:b/>
                <w:sz w:val="21"/>
              </w:rPr>
              <w:t>月</w:t>
            </w:r>
          </w:p>
        </w:tc>
        <w:tc>
          <w:tcPr>
            <w:tcW w:w="1252" w:type="dxa"/>
            <w:tcBorders>
              <w:left w:val="single" w:color="000000" w:sz="4" w:space="0"/>
              <w:bottom w:val="single" w:color="000000" w:sz="4" w:space="0"/>
              <w:right w:val="single" w:color="000000" w:sz="4" w:space="0"/>
            </w:tcBorders>
          </w:tcPr>
          <w:p w14:paraId="624A1838">
            <w:pPr>
              <w:pStyle w:val="17"/>
              <w:spacing w:before="12"/>
              <w:jc w:val="left"/>
              <w:rPr>
                <w:b/>
                <w:sz w:val="25"/>
              </w:rPr>
            </w:pPr>
          </w:p>
          <w:p w14:paraId="0A6CA509">
            <w:pPr>
              <w:pStyle w:val="17"/>
              <w:ind w:left="149" w:right="122"/>
              <w:rPr>
                <w:b/>
                <w:sz w:val="21"/>
              </w:rPr>
            </w:pPr>
            <w:r>
              <w:rPr>
                <w:rFonts w:ascii="Times New Roman" w:eastAsia="Times New Roman"/>
                <w:b/>
                <w:sz w:val="21"/>
              </w:rPr>
              <w:t xml:space="preserve">4 </w:t>
            </w:r>
            <w:r>
              <w:rPr>
                <w:b/>
                <w:sz w:val="21"/>
              </w:rPr>
              <w:t>月</w:t>
            </w:r>
          </w:p>
        </w:tc>
        <w:tc>
          <w:tcPr>
            <w:tcW w:w="1040" w:type="dxa"/>
            <w:tcBorders>
              <w:left w:val="single" w:color="000000" w:sz="4" w:space="0"/>
              <w:bottom w:val="single" w:color="000000" w:sz="4" w:space="0"/>
              <w:right w:val="single" w:color="000000" w:sz="4" w:space="0"/>
            </w:tcBorders>
          </w:tcPr>
          <w:p w14:paraId="63AFD32E">
            <w:pPr>
              <w:pStyle w:val="17"/>
              <w:spacing w:before="12"/>
              <w:jc w:val="left"/>
              <w:rPr>
                <w:b/>
                <w:sz w:val="25"/>
              </w:rPr>
            </w:pPr>
          </w:p>
          <w:p w14:paraId="7F7EC51F">
            <w:pPr>
              <w:pStyle w:val="17"/>
              <w:ind w:left="344"/>
              <w:jc w:val="left"/>
              <w:rPr>
                <w:b/>
                <w:sz w:val="21"/>
              </w:rPr>
            </w:pPr>
            <w:r>
              <w:rPr>
                <w:rFonts w:ascii="Times New Roman" w:eastAsia="Times New Roman"/>
                <w:b/>
                <w:sz w:val="21"/>
              </w:rPr>
              <w:t xml:space="preserve">5 </w:t>
            </w:r>
            <w:r>
              <w:rPr>
                <w:b/>
                <w:sz w:val="21"/>
              </w:rPr>
              <w:t>月</w:t>
            </w:r>
          </w:p>
        </w:tc>
        <w:tc>
          <w:tcPr>
            <w:tcW w:w="421" w:type="dxa"/>
            <w:tcBorders>
              <w:left w:val="single" w:color="000000" w:sz="4" w:space="0"/>
              <w:bottom w:val="single" w:color="000000" w:sz="4" w:space="0"/>
              <w:right w:val="single" w:color="000000" w:sz="4" w:space="0"/>
            </w:tcBorders>
          </w:tcPr>
          <w:p w14:paraId="61FFB94E">
            <w:pPr>
              <w:pStyle w:val="17"/>
              <w:spacing w:before="190"/>
              <w:ind w:left="192"/>
              <w:jc w:val="left"/>
              <w:rPr>
                <w:rFonts w:ascii="Times New Roman"/>
                <w:b/>
                <w:sz w:val="21"/>
              </w:rPr>
            </w:pPr>
            <w:r>
              <w:rPr>
                <w:rFonts w:ascii="Times New Roman"/>
                <w:b/>
                <w:w w:val="99"/>
                <w:sz w:val="21"/>
              </w:rPr>
              <w:t>6</w:t>
            </w:r>
          </w:p>
          <w:p w14:paraId="5377646B">
            <w:pPr>
              <w:pStyle w:val="17"/>
              <w:spacing w:before="57"/>
              <w:ind w:left="118"/>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5165B20F">
            <w:pPr>
              <w:pStyle w:val="17"/>
              <w:spacing w:before="190"/>
              <w:ind w:left="194"/>
              <w:jc w:val="left"/>
              <w:rPr>
                <w:rFonts w:ascii="Times New Roman"/>
                <w:b/>
                <w:sz w:val="21"/>
              </w:rPr>
            </w:pPr>
            <w:r>
              <w:rPr>
                <w:rFonts w:ascii="Times New Roman"/>
                <w:b/>
                <w:w w:val="99"/>
                <w:sz w:val="21"/>
              </w:rPr>
              <w:t>7</w:t>
            </w:r>
          </w:p>
          <w:p w14:paraId="317A3817">
            <w:pPr>
              <w:pStyle w:val="17"/>
              <w:spacing w:before="57"/>
              <w:ind w:left="117"/>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676B52ED">
            <w:pPr>
              <w:pStyle w:val="17"/>
              <w:spacing w:before="190"/>
              <w:ind w:left="193"/>
              <w:jc w:val="left"/>
              <w:rPr>
                <w:rFonts w:ascii="Times New Roman"/>
                <w:b/>
                <w:sz w:val="21"/>
              </w:rPr>
            </w:pPr>
            <w:r>
              <w:rPr>
                <w:rFonts w:ascii="Times New Roman"/>
                <w:b/>
                <w:w w:val="99"/>
                <w:sz w:val="21"/>
              </w:rPr>
              <w:t>8</w:t>
            </w:r>
          </w:p>
          <w:p w14:paraId="7CDB72E0">
            <w:pPr>
              <w:pStyle w:val="17"/>
              <w:spacing w:before="57"/>
              <w:ind w:left="116"/>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32FD22FA">
            <w:pPr>
              <w:pStyle w:val="17"/>
              <w:spacing w:before="190"/>
              <w:ind w:left="192"/>
              <w:jc w:val="left"/>
              <w:rPr>
                <w:rFonts w:ascii="Times New Roman"/>
                <w:b/>
                <w:sz w:val="21"/>
              </w:rPr>
            </w:pPr>
            <w:r>
              <w:rPr>
                <w:rFonts w:ascii="Times New Roman"/>
                <w:b/>
                <w:w w:val="99"/>
                <w:sz w:val="21"/>
              </w:rPr>
              <w:t>9</w:t>
            </w:r>
          </w:p>
          <w:p w14:paraId="52610BB2">
            <w:pPr>
              <w:pStyle w:val="17"/>
              <w:spacing w:before="57"/>
              <w:ind w:left="117"/>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06A889F4">
            <w:pPr>
              <w:pStyle w:val="17"/>
              <w:spacing w:before="34"/>
              <w:ind w:left="27"/>
              <w:rPr>
                <w:rFonts w:ascii="Times New Roman"/>
                <w:b/>
                <w:sz w:val="21"/>
              </w:rPr>
            </w:pPr>
            <w:r>
              <w:rPr>
                <w:rFonts w:ascii="Times New Roman"/>
                <w:b/>
                <w:w w:val="99"/>
                <w:sz w:val="21"/>
              </w:rPr>
              <w:t>1</w:t>
            </w:r>
          </w:p>
          <w:p w14:paraId="6004BA0F">
            <w:pPr>
              <w:pStyle w:val="17"/>
              <w:spacing w:before="71"/>
              <w:ind w:left="80"/>
              <w:rPr>
                <w:rFonts w:ascii="Times New Roman"/>
                <w:b/>
                <w:sz w:val="21"/>
              </w:rPr>
            </w:pPr>
            <w:r>
              <w:rPr>
                <w:rFonts w:ascii="Times New Roman"/>
                <w:b/>
                <w:w w:val="99"/>
                <w:sz w:val="21"/>
              </w:rPr>
              <w:t>0</w:t>
            </w:r>
          </w:p>
          <w:p w14:paraId="72F01CEA">
            <w:pPr>
              <w:pStyle w:val="17"/>
              <w:spacing w:before="57"/>
              <w:ind w:left="31"/>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0844B898">
            <w:pPr>
              <w:pStyle w:val="17"/>
              <w:spacing w:before="190"/>
              <w:ind w:left="118"/>
              <w:jc w:val="left"/>
              <w:rPr>
                <w:rFonts w:ascii="Times New Roman"/>
                <w:b/>
                <w:sz w:val="21"/>
              </w:rPr>
            </w:pPr>
            <w:r>
              <w:rPr>
                <w:rFonts w:ascii="Times New Roman"/>
                <w:b/>
                <w:sz w:val="21"/>
              </w:rPr>
              <w:t>11</w:t>
            </w:r>
          </w:p>
          <w:p w14:paraId="0F97F290">
            <w:pPr>
              <w:pStyle w:val="17"/>
              <w:spacing w:before="57"/>
              <w:ind w:left="118"/>
              <w:jc w:val="left"/>
              <w:rPr>
                <w:b/>
                <w:sz w:val="21"/>
              </w:rPr>
            </w:pPr>
            <w:r>
              <w:rPr>
                <w:b/>
                <w:w w:val="99"/>
                <w:sz w:val="21"/>
              </w:rPr>
              <w:t>月</w:t>
            </w:r>
          </w:p>
        </w:tc>
        <w:tc>
          <w:tcPr>
            <w:tcW w:w="421" w:type="dxa"/>
            <w:tcBorders>
              <w:left w:val="single" w:color="000000" w:sz="4" w:space="0"/>
              <w:bottom w:val="single" w:color="000000" w:sz="4" w:space="0"/>
              <w:right w:val="single" w:color="000000" w:sz="4" w:space="0"/>
            </w:tcBorders>
          </w:tcPr>
          <w:p w14:paraId="5F08E7E1">
            <w:pPr>
              <w:pStyle w:val="17"/>
              <w:spacing w:before="34"/>
              <w:ind w:left="28"/>
              <w:rPr>
                <w:rFonts w:ascii="Times New Roman"/>
                <w:b/>
                <w:sz w:val="21"/>
              </w:rPr>
            </w:pPr>
            <w:r>
              <w:rPr>
                <w:rFonts w:ascii="Times New Roman"/>
                <w:b/>
                <w:w w:val="99"/>
                <w:sz w:val="21"/>
              </w:rPr>
              <w:t>1</w:t>
            </w:r>
          </w:p>
          <w:p w14:paraId="79B4C07F">
            <w:pPr>
              <w:pStyle w:val="17"/>
              <w:spacing w:before="71"/>
              <w:ind w:left="81"/>
              <w:rPr>
                <w:rFonts w:ascii="Times New Roman"/>
                <w:b/>
                <w:sz w:val="21"/>
              </w:rPr>
            </w:pPr>
            <w:r>
              <w:rPr>
                <w:rFonts w:ascii="Times New Roman"/>
                <w:b/>
                <w:w w:val="99"/>
                <w:sz w:val="21"/>
              </w:rPr>
              <w:t>2</w:t>
            </w:r>
          </w:p>
          <w:p w14:paraId="3A71641B">
            <w:pPr>
              <w:pStyle w:val="17"/>
              <w:spacing w:before="57"/>
              <w:ind w:left="32"/>
              <w:rPr>
                <w:b/>
                <w:sz w:val="21"/>
              </w:rPr>
            </w:pPr>
            <w:r>
              <w:rPr>
                <w:b/>
                <w:w w:val="99"/>
                <w:sz w:val="21"/>
              </w:rPr>
              <w:t>月</w:t>
            </w:r>
          </w:p>
        </w:tc>
        <w:tc>
          <w:tcPr>
            <w:tcW w:w="422" w:type="dxa"/>
            <w:tcBorders>
              <w:left w:val="single" w:color="000000" w:sz="4" w:space="0"/>
              <w:bottom w:val="single" w:color="000000" w:sz="4" w:space="0"/>
              <w:right w:val="nil"/>
            </w:tcBorders>
          </w:tcPr>
          <w:p w14:paraId="1B725C24">
            <w:pPr>
              <w:pStyle w:val="17"/>
              <w:spacing w:before="176" w:line="278" w:lineRule="auto"/>
              <w:ind w:left="116" w:right="89"/>
              <w:jc w:val="left"/>
              <w:rPr>
                <w:b/>
                <w:sz w:val="21"/>
              </w:rPr>
            </w:pPr>
            <w:r>
              <w:rPr>
                <w:b/>
                <w:sz w:val="21"/>
              </w:rPr>
              <w:t>标准</w:t>
            </w:r>
          </w:p>
        </w:tc>
      </w:tr>
      <w:tr w14:paraId="7E13F0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767" w:type="dxa"/>
            <w:tcBorders>
              <w:top w:val="single" w:color="000000" w:sz="4" w:space="0"/>
              <w:left w:val="nil"/>
              <w:right w:val="single" w:color="000000" w:sz="4" w:space="0"/>
            </w:tcBorders>
          </w:tcPr>
          <w:p w14:paraId="50F5A958">
            <w:pPr>
              <w:pStyle w:val="17"/>
              <w:spacing w:before="176" w:line="278" w:lineRule="auto"/>
              <w:ind w:left="187" w:right="155"/>
              <w:jc w:val="left"/>
              <w:rPr>
                <w:sz w:val="21"/>
              </w:rPr>
            </w:pPr>
            <w:r>
              <w:rPr>
                <w:w w:val="95"/>
                <w:sz w:val="21"/>
              </w:rPr>
              <w:t>南渡断面</w:t>
            </w:r>
          </w:p>
        </w:tc>
        <w:tc>
          <w:tcPr>
            <w:tcW w:w="577" w:type="dxa"/>
            <w:tcBorders>
              <w:top w:val="single" w:color="000000" w:sz="4" w:space="0"/>
              <w:left w:val="single" w:color="000000" w:sz="4" w:space="0"/>
              <w:right w:val="single" w:color="000000" w:sz="4" w:space="0"/>
            </w:tcBorders>
          </w:tcPr>
          <w:p w14:paraId="42241B24">
            <w:pPr>
              <w:pStyle w:val="17"/>
              <w:jc w:val="left"/>
              <w:rPr>
                <w:b/>
                <w:sz w:val="27"/>
              </w:rPr>
            </w:pPr>
          </w:p>
          <w:p w14:paraId="1B3C46FA">
            <w:pPr>
              <w:pStyle w:val="17"/>
              <w:ind w:left="89" w:right="65"/>
              <w:rPr>
                <w:rFonts w:ascii="Times New Roman"/>
                <w:sz w:val="21"/>
              </w:rPr>
            </w:pPr>
            <w:r>
              <w:rPr>
                <w:rFonts w:ascii="Times New Roman"/>
                <w:sz w:val="21"/>
              </w:rPr>
              <w:t>II</w:t>
            </w:r>
          </w:p>
        </w:tc>
        <w:tc>
          <w:tcPr>
            <w:tcW w:w="596" w:type="dxa"/>
            <w:tcBorders>
              <w:top w:val="single" w:color="000000" w:sz="4" w:space="0"/>
              <w:left w:val="single" w:color="000000" w:sz="4" w:space="0"/>
              <w:right w:val="single" w:color="000000" w:sz="4" w:space="0"/>
            </w:tcBorders>
          </w:tcPr>
          <w:p w14:paraId="2AB01345">
            <w:pPr>
              <w:pStyle w:val="17"/>
              <w:jc w:val="left"/>
              <w:rPr>
                <w:b/>
                <w:sz w:val="27"/>
              </w:rPr>
            </w:pPr>
          </w:p>
          <w:p w14:paraId="5839DA31">
            <w:pPr>
              <w:pStyle w:val="17"/>
              <w:ind w:left="99" w:right="74"/>
              <w:rPr>
                <w:rFonts w:ascii="Times New Roman"/>
                <w:sz w:val="21"/>
              </w:rPr>
            </w:pPr>
            <w:r>
              <w:rPr>
                <w:rFonts w:ascii="Times New Roman"/>
                <w:sz w:val="21"/>
              </w:rPr>
              <w:t>III</w:t>
            </w:r>
          </w:p>
        </w:tc>
        <w:tc>
          <w:tcPr>
            <w:tcW w:w="915" w:type="dxa"/>
            <w:tcBorders>
              <w:top w:val="single" w:color="000000" w:sz="4" w:space="0"/>
              <w:left w:val="single" w:color="000000" w:sz="4" w:space="0"/>
              <w:right w:val="single" w:color="000000" w:sz="4" w:space="0"/>
            </w:tcBorders>
          </w:tcPr>
          <w:p w14:paraId="6E380578">
            <w:pPr>
              <w:pStyle w:val="17"/>
              <w:jc w:val="left"/>
              <w:rPr>
                <w:b/>
                <w:sz w:val="27"/>
              </w:rPr>
            </w:pPr>
          </w:p>
          <w:p w14:paraId="4997A084">
            <w:pPr>
              <w:pStyle w:val="17"/>
              <w:ind w:left="260" w:right="234"/>
              <w:rPr>
                <w:rFonts w:ascii="Times New Roman"/>
                <w:sz w:val="21"/>
              </w:rPr>
            </w:pPr>
            <w:r>
              <w:rPr>
                <w:rFonts w:ascii="Times New Roman"/>
                <w:sz w:val="21"/>
              </w:rPr>
              <w:t>II</w:t>
            </w:r>
          </w:p>
        </w:tc>
        <w:tc>
          <w:tcPr>
            <w:tcW w:w="1252" w:type="dxa"/>
            <w:tcBorders>
              <w:top w:val="single" w:color="000000" w:sz="4" w:space="0"/>
              <w:left w:val="single" w:color="000000" w:sz="4" w:space="0"/>
              <w:right w:val="single" w:color="000000" w:sz="4" w:space="0"/>
            </w:tcBorders>
          </w:tcPr>
          <w:p w14:paraId="03FD1389">
            <w:pPr>
              <w:pStyle w:val="17"/>
              <w:spacing w:before="34"/>
              <w:ind w:left="148" w:right="122"/>
              <w:rPr>
                <w:rFonts w:ascii="Times New Roman"/>
                <w:sz w:val="21"/>
              </w:rPr>
            </w:pPr>
            <w:r>
              <w:rPr>
                <w:rFonts w:ascii="Times New Roman"/>
                <w:sz w:val="21"/>
              </w:rPr>
              <w:t>III</w:t>
            </w:r>
          </w:p>
          <w:p w14:paraId="1B14A4CA">
            <w:pPr>
              <w:pStyle w:val="17"/>
              <w:spacing w:before="56"/>
              <w:ind w:left="152" w:right="122"/>
              <w:rPr>
                <w:rFonts w:ascii="Times New Roman" w:eastAsia="Times New Roman"/>
                <w:sz w:val="21"/>
              </w:rPr>
            </w:pPr>
            <w:r>
              <w:rPr>
                <w:sz w:val="21"/>
              </w:rPr>
              <w:t>（</w:t>
            </w:r>
            <w:r>
              <w:rPr>
                <w:rFonts w:ascii="Times New Roman" w:eastAsia="Times New Roman"/>
                <w:sz w:val="21"/>
              </w:rPr>
              <w:t>TP0.116</w:t>
            </w:r>
          </w:p>
          <w:p w14:paraId="3389E5FB">
            <w:pPr>
              <w:pStyle w:val="17"/>
              <w:spacing w:before="43"/>
              <w:ind w:left="149" w:right="122"/>
              <w:rPr>
                <w:sz w:val="21"/>
              </w:rPr>
            </w:pPr>
            <w:r>
              <w:rPr>
                <w:rFonts w:ascii="Times New Roman" w:eastAsia="Times New Roman"/>
                <w:sz w:val="21"/>
              </w:rPr>
              <w:t>mg/L</w:t>
            </w:r>
            <w:r>
              <w:rPr>
                <w:sz w:val="21"/>
              </w:rPr>
              <w:t>）</w:t>
            </w:r>
          </w:p>
        </w:tc>
        <w:tc>
          <w:tcPr>
            <w:tcW w:w="1040" w:type="dxa"/>
            <w:tcBorders>
              <w:top w:val="single" w:color="000000" w:sz="4" w:space="0"/>
              <w:left w:val="single" w:color="000000" w:sz="4" w:space="0"/>
              <w:right w:val="single" w:color="000000" w:sz="4" w:space="0"/>
            </w:tcBorders>
          </w:tcPr>
          <w:p w14:paraId="6006C53D">
            <w:pPr>
              <w:pStyle w:val="17"/>
              <w:spacing w:before="34"/>
              <w:ind w:left="96" w:right="70"/>
              <w:rPr>
                <w:rFonts w:ascii="Times New Roman"/>
                <w:sz w:val="21"/>
              </w:rPr>
            </w:pPr>
            <w:r>
              <w:rPr>
                <w:rFonts w:ascii="Times New Roman"/>
                <w:sz w:val="21"/>
              </w:rPr>
              <w:t>III</w:t>
            </w:r>
          </w:p>
          <w:p w14:paraId="313A1E93">
            <w:pPr>
              <w:pStyle w:val="17"/>
              <w:spacing w:before="56"/>
              <w:ind w:left="96" w:right="71"/>
              <w:rPr>
                <w:rFonts w:ascii="Times New Roman" w:eastAsia="Times New Roman"/>
                <w:sz w:val="21"/>
              </w:rPr>
            </w:pPr>
            <w:r>
              <w:rPr>
                <w:sz w:val="21"/>
              </w:rPr>
              <w:t>（</w:t>
            </w:r>
            <w:r>
              <w:rPr>
                <w:rFonts w:ascii="Times New Roman" w:eastAsia="Times New Roman"/>
                <w:sz w:val="21"/>
              </w:rPr>
              <w:t>TP0.12</w:t>
            </w:r>
          </w:p>
          <w:p w14:paraId="17D895D5">
            <w:pPr>
              <w:pStyle w:val="17"/>
              <w:spacing w:before="43"/>
              <w:ind w:left="95" w:right="71"/>
              <w:rPr>
                <w:sz w:val="21"/>
              </w:rPr>
            </w:pPr>
            <w:r>
              <w:rPr>
                <w:rFonts w:ascii="Times New Roman" w:eastAsia="Times New Roman"/>
                <w:sz w:val="21"/>
              </w:rPr>
              <w:t>1mg/L</w:t>
            </w:r>
            <w:r>
              <w:rPr>
                <w:sz w:val="21"/>
              </w:rPr>
              <w:t>）</w:t>
            </w:r>
          </w:p>
        </w:tc>
        <w:tc>
          <w:tcPr>
            <w:tcW w:w="421" w:type="dxa"/>
            <w:tcBorders>
              <w:top w:val="single" w:color="000000" w:sz="4" w:space="0"/>
              <w:left w:val="single" w:color="000000" w:sz="4" w:space="0"/>
              <w:right w:val="single" w:color="000000" w:sz="4" w:space="0"/>
            </w:tcBorders>
          </w:tcPr>
          <w:p w14:paraId="1526181F">
            <w:pPr>
              <w:pStyle w:val="17"/>
              <w:jc w:val="left"/>
              <w:rPr>
                <w:b/>
                <w:sz w:val="27"/>
              </w:rPr>
            </w:pPr>
          </w:p>
          <w:p w14:paraId="0D0FC0AC">
            <w:pPr>
              <w:pStyle w:val="17"/>
              <w:ind w:left="149"/>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3B974A17">
            <w:pPr>
              <w:pStyle w:val="17"/>
              <w:jc w:val="left"/>
              <w:rPr>
                <w:b/>
                <w:sz w:val="27"/>
              </w:rPr>
            </w:pPr>
          </w:p>
          <w:p w14:paraId="6F7B1D55">
            <w:pPr>
              <w:pStyle w:val="17"/>
              <w:ind w:left="148"/>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36160A40">
            <w:pPr>
              <w:pStyle w:val="17"/>
              <w:jc w:val="left"/>
              <w:rPr>
                <w:b/>
                <w:sz w:val="27"/>
              </w:rPr>
            </w:pPr>
          </w:p>
          <w:p w14:paraId="562449C4">
            <w:pPr>
              <w:pStyle w:val="17"/>
              <w:ind w:left="150"/>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63DA5007">
            <w:pPr>
              <w:pStyle w:val="17"/>
              <w:jc w:val="left"/>
              <w:rPr>
                <w:b/>
                <w:sz w:val="27"/>
              </w:rPr>
            </w:pPr>
          </w:p>
          <w:p w14:paraId="39B3FF24">
            <w:pPr>
              <w:pStyle w:val="17"/>
              <w:ind w:left="148"/>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77D79E90">
            <w:pPr>
              <w:pStyle w:val="17"/>
              <w:jc w:val="left"/>
              <w:rPr>
                <w:b/>
                <w:sz w:val="27"/>
              </w:rPr>
            </w:pPr>
          </w:p>
          <w:p w14:paraId="30754C4B">
            <w:pPr>
              <w:pStyle w:val="17"/>
              <w:ind w:left="150"/>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71C60B5D">
            <w:pPr>
              <w:pStyle w:val="17"/>
              <w:jc w:val="left"/>
              <w:rPr>
                <w:b/>
                <w:sz w:val="27"/>
              </w:rPr>
            </w:pPr>
          </w:p>
          <w:p w14:paraId="35EBA3C3">
            <w:pPr>
              <w:pStyle w:val="17"/>
              <w:ind w:left="149"/>
              <w:jc w:val="left"/>
              <w:rPr>
                <w:rFonts w:ascii="Times New Roman"/>
                <w:sz w:val="21"/>
              </w:rPr>
            </w:pPr>
            <w:r>
              <w:rPr>
                <w:rFonts w:ascii="Times New Roman"/>
                <w:sz w:val="21"/>
              </w:rPr>
              <w:t>II</w:t>
            </w:r>
          </w:p>
        </w:tc>
        <w:tc>
          <w:tcPr>
            <w:tcW w:w="421" w:type="dxa"/>
            <w:tcBorders>
              <w:top w:val="single" w:color="000000" w:sz="4" w:space="0"/>
              <w:left w:val="single" w:color="000000" w:sz="4" w:space="0"/>
              <w:right w:val="single" w:color="000000" w:sz="4" w:space="0"/>
            </w:tcBorders>
          </w:tcPr>
          <w:p w14:paraId="40858568">
            <w:pPr>
              <w:pStyle w:val="17"/>
              <w:jc w:val="left"/>
              <w:rPr>
                <w:b/>
                <w:sz w:val="27"/>
              </w:rPr>
            </w:pPr>
          </w:p>
          <w:p w14:paraId="29929C0C">
            <w:pPr>
              <w:pStyle w:val="17"/>
              <w:ind w:left="148"/>
              <w:jc w:val="left"/>
              <w:rPr>
                <w:rFonts w:ascii="Times New Roman"/>
                <w:sz w:val="21"/>
              </w:rPr>
            </w:pPr>
            <w:r>
              <w:rPr>
                <w:rFonts w:ascii="Times New Roman"/>
                <w:sz w:val="21"/>
              </w:rPr>
              <w:t>II</w:t>
            </w:r>
          </w:p>
        </w:tc>
        <w:tc>
          <w:tcPr>
            <w:tcW w:w="422" w:type="dxa"/>
            <w:tcBorders>
              <w:top w:val="single" w:color="000000" w:sz="4" w:space="0"/>
              <w:left w:val="single" w:color="000000" w:sz="4" w:space="0"/>
              <w:right w:val="nil"/>
            </w:tcBorders>
          </w:tcPr>
          <w:p w14:paraId="25E72CF3">
            <w:pPr>
              <w:pStyle w:val="17"/>
              <w:spacing w:before="190" w:line="309" w:lineRule="auto"/>
              <w:ind w:left="185" w:right="109" w:hanging="37"/>
              <w:jc w:val="left"/>
              <w:rPr>
                <w:rFonts w:ascii="Times New Roman"/>
                <w:sz w:val="21"/>
              </w:rPr>
            </w:pPr>
            <w:r>
              <w:rPr>
                <w:rFonts w:ascii="Times New Roman"/>
                <w:sz w:val="21"/>
              </w:rPr>
              <w:t>II I</w:t>
            </w:r>
          </w:p>
        </w:tc>
      </w:tr>
    </w:tbl>
    <w:p w14:paraId="3D6E9CA1">
      <w:pPr>
        <w:pStyle w:val="9"/>
        <w:tabs>
          <w:tab w:val="left" w:pos="4293"/>
        </w:tabs>
        <w:spacing w:before="4"/>
        <w:ind w:left="0" w:right="1"/>
        <w:jc w:val="center"/>
      </w:pPr>
      <w:r>
        <w:t>表</w:t>
      </w:r>
      <w:r>
        <w:rPr>
          <w:spacing w:val="-62"/>
        </w:rPr>
        <w:t xml:space="preserve"> </w:t>
      </w:r>
      <w:r>
        <w:rPr>
          <w:rFonts w:ascii="Times New Roman" w:eastAsia="Times New Roman"/>
        </w:rPr>
        <w:t>3.3-5</w:t>
      </w:r>
      <w:r>
        <w:rPr>
          <w:rFonts w:ascii="Times New Roman" w:eastAsia="Times New Roman"/>
          <w:spacing w:val="57"/>
        </w:rPr>
        <w:t xml:space="preserve"> </w:t>
      </w:r>
      <w:r>
        <w:t>汨罗江南渡断面引用数据统计</w:t>
      </w:r>
      <w:r>
        <w:tab/>
      </w:r>
      <w:r>
        <w:t>单位</w:t>
      </w:r>
      <w:r>
        <w:rPr>
          <w:spacing w:val="-62"/>
        </w:rPr>
        <w:t xml:space="preserve"> </w:t>
      </w:r>
      <w:r>
        <w:rPr>
          <w:rFonts w:ascii="Times New Roman" w:eastAsia="Times New Roman"/>
        </w:rPr>
        <w:t>mg/L</w:t>
      </w:r>
      <w:r>
        <w:t>（</w:t>
      </w:r>
      <w:r>
        <w:rPr>
          <w:rFonts w:ascii="Times New Roman" w:eastAsia="Times New Roman"/>
        </w:rPr>
        <w:t>pH</w:t>
      </w:r>
      <w:r>
        <w:rPr>
          <w:rFonts w:ascii="Times New Roman" w:eastAsia="Times New Roman"/>
          <w:spacing w:val="-3"/>
        </w:rPr>
        <w:t xml:space="preserve"> </w:t>
      </w:r>
      <w:r>
        <w:t>无量纲）</w:t>
      </w:r>
    </w:p>
    <w:tbl>
      <w:tblPr>
        <w:tblStyle w:val="13"/>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56"/>
        <w:gridCol w:w="1472"/>
        <w:gridCol w:w="1757"/>
        <w:gridCol w:w="1382"/>
        <w:gridCol w:w="699"/>
        <w:gridCol w:w="820"/>
        <w:gridCol w:w="1059"/>
        <w:gridCol w:w="774"/>
      </w:tblGrid>
      <w:tr w14:paraId="7F9AC5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56" w:type="dxa"/>
            <w:tcBorders>
              <w:left w:val="nil"/>
              <w:bottom w:val="single" w:color="000000" w:sz="4" w:space="0"/>
              <w:right w:val="single" w:color="000000" w:sz="4" w:space="0"/>
            </w:tcBorders>
          </w:tcPr>
          <w:p w14:paraId="02724C64">
            <w:pPr>
              <w:pStyle w:val="17"/>
              <w:spacing w:before="20" w:line="278" w:lineRule="auto"/>
              <w:ind w:left="186" w:right="153"/>
              <w:jc w:val="both"/>
              <w:rPr>
                <w:sz w:val="21"/>
              </w:rPr>
            </w:pPr>
            <w:r>
              <w:rPr>
                <w:sz w:val="21"/>
              </w:rPr>
              <w:t>采样地</w:t>
            </w:r>
          </w:p>
          <w:p w14:paraId="78EA9B14">
            <w:pPr>
              <w:pStyle w:val="17"/>
              <w:spacing w:line="269" w:lineRule="exact"/>
              <w:ind w:left="186"/>
              <w:jc w:val="both"/>
              <w:rPr>
                <w:sz w:val="21"/>
              </w:rPr>
            </w:pPr>
            <w:r>
              <w:rPr>
                <w:w w:val="99"/>
                <w:sz w:val="21"/>
              </w:rPr>
              <w:t>点</w:t>
            </w:r>
          </w:p>
        </w:tc>
        <w:tc>
          <w:tcPr>
            <w:tcW w:w="1472" w:type="dxa"/>
            <w:tcBorders>
              <w:left w:val="single" w:color="000000" w:sz="4" w:space="0"/>
              <w:bottom w:val="single" w:color="000000" w:sz="4" w:space="0"/>
              <w:right w:val="single" w:color="000000" w:sz="4" w:space="0"/>
            </w:tcBorders>
          </w:tcPr>
          <w:p w14:paraId="14552CD3">
            <w:pPr>
              <w:pStyle w:val="17"/>
              <w:jc w:val="left"/>
              <w:rPr>
                <w:b/>
                <w:sz w:val="20"/>
              </w:rPr>
            </w:pPr>
          </w:p>
          <w:p w14:paraId="7508FBA4">
            <w:pPr>
              <w:pStyle w:val="17"/>
              <w:spacing w:before="1"/>
              <w:jc w:val="left"/>
              <w:rPr>
                <w:b/>
                <w:sz w:val="18"/>
              </w:rPr>
            </w:pPr>
          </w:p>
          <w:p w14:paraId="2B970C76">
            <w:pPr>
              <w:pStyle w:val="17"/>
              <w:ind w:left="45" w:right="18"/>
              <w:rPr>
                <w:sz w:val="21"/>
              </w:rPr>
            </w:pPr>
            <w:r>
              <w:rPr>
                <w:sz w:val="21"/>
              </w:rPr>
              <w:t>检测项目</w:t>
            </w:r>
          </w:p>
        </w:tc>
        <w:tc>
          <w:tcPr>
            <w:tcW w:w="1757" w:type="dxa"/>
            <w:tcBorders>
              <w:left w:val="single" w:color="000000" w:sz="4" w:space="0"/>
              <w:bottom w:val="single" w:color="000000" w:sz="4" w:space="0"/>
              <w:right w:val="single" w:color="000000" w:sz="4" w:space="0"/>
            </w:tcBorders>
          </w:tcPr>
          <w:p w14:paraId="78F673E1">
            <w:pPr>
              <w:pStyle w:val="17"/>
              <w:jc w:val="left"/>
              <w:rPr>
                <w:b/>
                <w:sz w:val="20"/>
              </w:rPr>
            </w:pPr>
          </w:p>
          <w:p w14:paraId="44363207">
            <w:pPr>
              <w:pStyle w:val="17"/>
              <w:spacing w:before="1"/>
              <w:jc w:val="left"/>
              <w:rPr>
                <w:b/>
                <w:sz w:val="18"/>
              </w:rPr>
            </w:pPr>
          </w:p>
          <w:p w14:paraId="64CBA7B7">
            <w:pPr>
              <w:pStyle w:val="17"/>
              <w:ind w:left="95" w:right="71"/>
              <w:rPr>
                <w:sz w:val="21"/>
              </w:rPr>
            </w:pPr>
            <w:r>
              <w:rPr>
                <w:sz w:val="21"/>
              </w:rPr>
              <w:t>浓度范围</w:t>
            </w:r>
          </w:p>
        </w:tc>
        <w:tc>
          <w:tcPr>
            <w:tcW w:w="1382" w:type="dxa"/>
            <w:tcBorders>
              <w:left w:val="single" w:color="000000" w:sz="4" w:space="0"/>
              <w:bottom w:val="single" w:color="000000" w:sz="4" w:space="0"/>
              <w:right w:val="single" w:color="000000" w:sz="4" w:space="0"/>
            </w:tcBorders>
          </w:tcPr>
          <w:p w14:paraId="2BBCF3D0">
            <w:pPr>
              <w:pStyle w:val="17"/>
              <w:spacing w:before="12"/>
              <w:jc w:val="left"/>
              <w:rPr>
                <w:b/>
                <w:sz w:val="25"/>
              </w:rPr>
            </w:pPr>
          </w:p>
          <w:p w14:paraId="117C3E71">
            <w:pPr>
              <w:pStyle w:val="17"/>
              <w:spacing w:line="278" w:lineRule="auto"/>
              <w:ind w:left="596" w:right="144" w:hanging="420"/>
              <w:jc w:val="left"/>
              <w:rPr>
                <w:sz w:val="21"/>
              </w:rPr>
            </w:pPr>
            <w:r>
              <w:rPr>
                <w:sz w:val="21"/>
              </w:rPr>
              <w:t>水质评价指数</w:t>
            </w:r>
          </w:p>
        </w:tc>
        <w:tc>
          <w:tcPr>
            <w:tcW w:w="699" w:type="dxa"/>
            <w:tcBorders>
              <w:left w:val="single" w:color="000000" w:sz="4" w:space="0"/>
              <w:bottom w:val="single" w:color="000000" w:sz="4" w:space="0"/>
              <w:right w:val="single" w:color="000000" w:sz="4" w:space="0"/>
            </w:tcBorders>
          </w:tcPr>
          <w:p w14:paraId="49234FFC">
            <w:pPr>
              <w:pStyle w:val="17"/>
              <w:spacing w:before="12"/>
              <w:jc w:val="left"/>
              <w:rPr>
                <w:b/>
                <w:sz w:val="25"/>
              </w:rPr>
            </w:pPr>
          </w:p>
          <w:p w14:paraId="5D302F27">
            <w:pPr>
              <w:pStyle w:val="17"/>
              <w:spacing w:line="278" w:lineRule="auto"/>
              <w:ind w:left="253" w:right="121" w:hanging="106"/>
              <w:jc w:val="left"/>
              <w:rPr>
                <w:sz w:val="21"/>
              </w:rPr>
            </w:pPr>
            <w:r>
              <w:rPr>
                <w:w w:val="95"/>
                <w:sz w:val="21"/>
              </w:rPr>
              <w:t>超标</w:t>
            </w:r>
            <w:r>
              <w:rPr>
                <w:sz w:val="21"/>
              </w:rPr>
              <w:t>率</w:t>
            </w:r>
          </w:p>
        </w:tc>
        <w:tc>
          <w:tcPr>
            <w:tcW w:w="820" w:type="dxa"/>
            <w:tcBorders>
              <w:left w:val="single" w:color="000000" w:sz="4" w:space="0"/>
              <w:bottom w:val="single" w:color="000000" w:sz="4" w:space="0"/>
              <w:right w:val="single" w:color="000000" w:sz="4" w:space="0"/>
            </w:tcBorders>
          </w:tcPr>
          <w:p w14:paraId="0C44858A">
            <w:pPr>
              <w:pStyle w:val="17"/>
              <w:spacing w:before="176" w:line="278" w:lineRule="auto"/>
              <w:ind w:left="209" w:right="180"/>
              <w:jc w:val="both"/>
              <w:rPr>
                <w:sz w:val="21"/>
              </w:rPr>
            </w:pPr>
            <w:r>
              <w:rPr>
                <w:w w:val="95"/>
                <w:sz w:val="21"/>
              </w:rPr>
              <w:t>最大超标倍数</w:t>
            </w:r>
          </w:p>
        </w:tc>
        <w:tc>
          <w:tcPr>
            <w:tcW w:w="1059" w:type="dxa"/>
            <w:tcBorders>
              <w:left w:val="single" w:color="000000" w:sz="4" w:space="0"/>
              <w:bottom w:val="single" w:color="000000" w:sz="4" w:space="0"/>
              <w:right w:val="single" w:color="000000" w:sz="4" w:space="0"/>
            </w:tcBorders>
          </w:tcPr>
          <w:p w14:paraId="30CFC131">
            <w:pPr>
              <w:pStyle w:val="17"/>
              <w:jc w:val="left"/>
              <w:rPr>
                <w:b/>
                <w:sz w:val="20"/>
              </w:rPr>
            </w:pPr>
          </w:p>
          <w:p w14:paraId="2C93528B">
            <w:pPr>
              <w:pStyle w:val="17"/>
              <w:spacing w:before="1"/>
              <w:jc w:val="left"/>
              <w:rPr>
                <w:b/>
                <w:sz w:val="18"/>
              </w:rPr>
            </w:pPr>
          </w:p>
          <w:p w14:paraId="1E60B076">
            <w:pPr>
              <w:pStyle w:val="17"/>
              <w:ind w:right="195"/>
              <w:jc w:val="right"/>
              <w:rPr>
                <w:sz w:val="21"/>
              </w:rPr>
            </w:pPr>
            <w:r>
              <w:rPr>
                <w:w w:val="95"/>
                <w:sz w:val="21"/>
              </w:rPr>
              <w:t>标准值</w:t>
            </w:r>
          </w:p>
        </w:tc>
        <w:tc>
          <w:tcPr>
            <w:tcW w:w="774" w:type="dxa"/>
            <w:tcBorders>
              <w:left w:val="single" w:color="000000" w:sz="4" w:space="0"/>
              <w:bottom w:val="single" w:color="000000" w:sz="4" w:space="0"/>
              <w:right w:val="nil"/>
            </w:tcBorders>
          </w:tcPr>
          <w:p w14:paraId="1BF1B39A">
            <w:pPr>
              <w:pStyle w:val="17"/>
              <w:spacing w:before="12"/>
              <w:jc w:val="left"/>
              <w:rPr>
                <w:b/>
                <w:sz w:val="25"/>
              </w:rPr>
            </w:pPr>
          </w:p>
          <w:p w14:paraId="42810C40">
            <w:pPr>
              <w:pStyle w:val="17"/>
              <w:spacing w:line="278" w:lineRule="auto"/>
              <w:ind w:left="185" w:right="163"/>
              <w:jc w:val="left"/>
              <w:rPr>
                <w:sz w:val="21"/>
              </w:rPr>
            </w:pPr>
            <w:r>
              <w:rPr>
                <w:w w:val="95"/>
                <w:sz w:val="21"/>
              </w:rPr>
              <w:t>是否达标</w:t>
            </w:r>
          </w:p>
        </w:tc>
      </w:tr>
      <w:tr w14:paraId="74EF9D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556" w:type="dxa"/>
            <w:vMerge w:val="restart"/>
            <w:tcBorders>
              <w:top w:val="single" w:color="000000" w:sz="4" w:space="0"/>
              <w:left w:val="nil"/>
              <w:right w:val="single" w:color="000000" w:sz="4" w:space="0"/>
            </w:tcBorders>
          </w:tcPr>
          <w:p w14:paraId="62BC0684">
            <w:pPr>
              <w:pStyle w:val="17"/>
              <w:jc w:val="left"/>
              <w:rPr>
                <w:b/>
                <w:sz w:val="20"/>
              </w:rPr>
            </w:pPr>
          </w:p>
          <w:p w14:paraId="5D8960D6">
            <w:pPr>
              <w:pStyle w:val="17"/>
              <w:jc w:val="left"/>
              <w:rPr>
                <w:b/>
                <w:sz w:val="20"/>
              </w:rPr>
            </w:pPr>
          </w:p>
          <w:p w14:paraId="11A50D07">
            <w:pPr>
              <w:pStyle w:val="17"/>
              <w:jc w:val="left"/>
              <w:rPr>
                <w:b/>
                <w:sz w:val="20"/>
              </w:rPr>
            </w:pPr>
          </w:p>
          <w:p w14:paraId="48652471">
            <w:pPr>
              <w:pStyle w:val="17"/>
              <w:jc w:val="left"/>
              <w:rPr>
                <w:b/>
                <w:sz w:val="20"/>
              </w:rPr>
            </w:pPr>
          </w:p>
          <w:p w14:paraId="6E2A1EBF">
            <w:pPr>
              <w:pStyle w:val="17"/>
              <w:jc w:val="left"/>
              <w:rPr>
                <w:b/>
                <w:sz w:val="20"/>
              </w:rPr>
            </w:pPr>
          </w:p>
          <w:p w14:paraId="7A146B8D">
            <w:pPr>
              <w:pStyle w:val="17"/>
              <w:jc w:val="left"/>
              <w:rPr>
                <w:b/>
                <w:sz w:val="20"/>
              </w:rPr>
            </w:pPr>
          </w:p>
          <w:p w14:paraId="6E7A9FC8">
            <w:pPr>
              <w:pStyle w:val="17"/>
              <w:jc w:val="left"/>
              <w:rPr>
                <w:b/>
                <w:sz w:val="20"/>
              </w:rPr>
            </w:pPr>
          </w:p>
          <w:p w14:paraId="3F1F8299">
            <w:pPr>
              <w:pStyle w:val="17"/>
              <w:jc w:val="left"/>
              <w:rPr>
                <w:b/>
                <w:sz w:val="20"/>
              </w:rPr>
            </w:pPr>
          </w:p>
          <w:p w14:paraId="77373E38">
            <w:pPr>
              <w:pStyle w:val="17"/>
              <w:jc w:val="left"/>
              <w:rPr>
                <w:b/>
                <w:sz w:val="20"/>
              </w:rPr>
            </w:pPr>
          </w:p>
          <w:p w14:paraId="5CA479FD">
            <w:pPr>
              <w:pStyle w:val="17"/>
              <w:spacing w:before="137" w:line="278" w:lineRule="auto"/>
              <w:ind w:left="186" w:right="153"/>
              <w:jc w:val="both"/>
              <w:rPr>
                <w:sz w:val="21"/>
              </w:rPr>
            </w:pPr>
            <w:r>
              <w:rPr>
                <w:sz w:val="21"/>
              </w:rPr>
              <w:t>南渡断面</w:t>
            </w:r>
          </w:p>
        </w:tc>
        <w:tc>
          <w:tcPr>
            <w:tcW w:w="1472" w:type="dxa"/>
            <w:tcBorders>
              <w:top w:val="single" w:color="000000" w:sz="4" w:space="0"/>
              <w:left w:val="single" w:color="000000" w:sz="4" w:space="0"/>
              <w:bottom w:val="single" w:color="000000" w:sz="4" w:space="0"/>
              <w:right w:val="single" w:color="000000" w:sz="4" w:space="0"/>
            </w:tcBorders>
          </w:tcPr>
          <w:p w14:paraId="1BC3BD0F">
            <w:pPr>
              <w:pStyle w:val="17"/>
              <w:spacing w:before="34"/>
              <w:ind w:left="96" w:right="18"/>
              <w:rPr>
                <w:sz w:val="21"/>
              </w:rPr>
            </w:pPr>
            <w:r>
              <w:rPr>
                <w:rFonts w:ascii="Times New Roman" w:eastAsia="Times New Roman"/>
                <w:sz w:val="21"/>
              </w:rPr>
              <w:t>pH</w:t>
            </w:r>
            <w:r>
              <w:rPr>
                <w:sz w:val="21"/>
              </w:rPr>
              <w:t>（无量纲）</w:t>
            </w:r>
          </w:p>
        </w:tc>
        <w:tc>
          <w:tcPr>
            <w:tcW w:w="1757" w:type="dxa"/>
            <w:tcBorders>
              <w:top w:val="single" w:color="000000" w:sz="4" w:space="0"/>
              <w:left w:val="single" w:color="000000" w:sz="4" w:space="0"/>
              <w:bottom w:val="single" w:color="000000" w:sz="4" w:space="0"/>
              <w:right w:val="single" w:color="000000" w:sz="4" w:space="0"/>
            </w:tcBorders>
          </w:tcPr>
          <w:p w14:paraId="35E4E674">
            <w:pPr>
              <w:pStyle w:val="17"/>
              <w:spacing w:before="48"/>
              <w:ind w:left="96" w:right="69"/>
              <w:rPr>
                <w:rFonts w:ascii="Times New Roman"/>
                <w:sz w:val="21"/>
              </w:rPr>
            </w:pPr>
            <w:r>
              <w:rPr>
                <w:rFonts w:ascii="Times New Roman"/>
                <w:sz w:val="21"/>
              </w:rPr>
              <w:t>7~7</w:t>
            </w:r>
          </w:p>
        </w:tc>
        <w:tc>
          <w:tcPr>
            <w:tcW w:w="1382" w:type="dxa"/>
            <w:tcBorders>
              <w:top w:val="single" w:color="000000" w:sz="4" w:space="0"/>
              <w:left w:val="single" w:color="000000" w:sz="4" w:space="0"/>
              <w:bottom w:val="single" w:color="000000" w:sz="4" w:space="0"/>
              <w:right w:val="single" w:color="000000" w:sz="4" w:space="0"/>
            </w:tcBorders>
          </w:tcPr>
          <w:p w14:paraId="4E5D1BD4">
            <w:pPr>
              <w:pStyle w:val="17"/>
              <w:spacing w:before="48"/>
              <w:ind w:left="25"/>
              <w:rPr>
                <w:rFonts w:ascii="Times New Roman"/>
                <w:sz w:val="21"/>
              </w:rPr>
            </w:pPr>
            <w:r>
              <w:rPr>
                <w:rFonts w:ascii="Times New Roman"/>
                <w:w w:val="99"/>
                <w:sz w:val="21"/>
              </w:rPr>
              <w:t>0</w:t>
            </w:r>
          </w:p>
        </w:tc>
        <w:tc>
          <w:tcPr>
            <w:tcW w:w="699" w:type="dxa"/>
            <w:tcBorders>
              <w:top w:val="single" w:color="000000" w:sz="4" w:space="0"/>
              <w:left w:val="single" w:color="000000" w:sz="4" w:space="0"/>
              <w:bottom w:val="single" w:color="000000" w:sz="4" w:space="0"/>
              <w:right w:val="single" w:color="000000" w:sz="4" w:space="0"/>
            </w:tcBorders>
          </w:tcPr>
          <w:p w14:paraId="7AF0BB03">
            <w:pPr>
              <w:pStyle w:val="17"/>
              <w:spacing w:before="4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65872ED8">
            <w:pPr>
              <w:pStyle w:val="17"/>
              <w:spacing w:before="4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79A4BC8F">
            <w:pPr>
              <w:pStyle w:val="17"/>
              <w:spacing w:before="34"/>
              <w:ind w:left="328"/>
              <w:jc w:val="left"/>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c>
          <w:tcPr>
            <w:tcW w:w="774" w:type="dxa"/>
            <w:tcBorders>
              <w:top w:val="single" w:color="000000" w:sz="4" w:space="0"/>
              <w:left w:val="single" w:color="000000" w:sz="4" w:space="0"/>
              <w:bottom w:val="single" w:color="000000" w:sz="4" w:space="0"/>
              <w:right w:val="nil"/>
            </w:tcBorders>
          </w:tcPr>
          <w:p w14:paraId="7584EC11">
            <w:pPr>
              <w:pStyle w:val="17"/>
              <w:spacing w:before="34"/>
              <w:ind w:left="22"/>
              <w:rPr>
                <w:sz w:val="21"/>
              </w:rPr>
            </w:pPr>
            <w:r>
              <w:rPr>
                <w:w w:val="99"/>
                <w:sz w:val="21"/>
              </w:rPr>
              <w:t>是</w:t>
            </w:r>
          </w:p>
        </w:tc>
      </w:tr>
      <w:tr w14:paraId="2ADC40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25B8E016">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4332016F">
            <w:pPr>
              <w:pStyle w:val="17"/>
              <w:spacing w:before="24"/>
              <w:ind w:left="45" w:right="18"/>
              <w:rPr>
                <w:sz w:val="21"/>
              </w:rPr>
            </w:pPr>
            <w:r>
              <w:rPr>
                <w:sz w:val="21"/>
              </w:rPr>
              <w:t>水温（℃）</w:t>
            </w:r>
          </w:p>
        </w:tc>
        <w:tc>
          <w:tcPr>
            <w:tcW w:w="1757" w:type="dxa"/>
            <w:tcBorders>
              <w:top w:val="single" w:color="000000" w:sz="4" w:space="0"/>
              <w:left w:val="single" w:color="000000" w:sz="4" w:space="0"/>
              <w:bottom w:val="single" w:color="000000" w:sz="4" w:space="0"/>
              <w:right w:val="single" w:color="000000" w:sz="4" w:space="0"/>
            </w:tcBorders>
          </w:tcPr>
          <w:p w14:paraId="160DA09A">
            <w:pPr>
              <w:pStyle w:val="17"/>
              <w:spacing w:before="38"/>
              <w:ind w:left="96" w:right="66"/>
              <w:rPr>
                <w:rFonts w:ascii="Times New Roman"/>
                <w:sz w:val="21"/>
              </w:rPr>
            </w:pPr>
            <w:r>
              <w:rPr>
                <w:rFonts w:ascii="Times New Roman"/>
                <w:sz w:val="21"/>
              </w:rPr>
              <w:t>10.0~31.9</w:t>
            </w:r>
          </w:p>
        </w:tc>
        <w:tc>
          <w:tcPr>
            <w:tcW w:w="1382" w:type="dxa"/>
            <w:tcBorders>
              <w:top w:val="single" w:color="000000" w:sz="4" w:space="0"/>
              <w:left w:val="single" w:color="000000" w:sz="4" w:space="0"/>
              <w:bottom w:val="single" w:color="000000" w:sz="4" w:space="0"/>
              <w:right w:val="single" w:color="000000" w:sz="4" w:space="0"/>
            </w:tcBorders>
          </w:tcPr>
          <w:p w14:paraId="4C1C46FE">
            <w:pPr>
              <w:pStyle w:val="17"/>
              <w:spacing w:before="38"/>
              <w:ind w:left="27"/>
              <w:rPr>
                <w:rFonts w:ascii="Times New Roman"/>
                <w:sz w:val="21"/>
              </w:rPr>
            </w:pPr>
            <w:r>
              <w:rPr>
                <w:rFonts w:ascii="Times New Roman"/>
                <w:w w:val="99"/>
                <w:sz w:val="21"/>
              </w:rPr>
              <w:t>/</w:t>
            </w:r>
          </w:p>
        </w:tc>
        <w:tc>
          <w:tcPr>
            <w:tcW w:w="699" w:type="dxa"/>
            <w:tcBorders>
              <w:top w:val="single" w:color="000000" w:sz="4" w:space="0"/>
              <w:left w:val="single" w:color="000000" w:sz="4" w:space="0"/>
              <w:bottom w:val="single" w:color="000000" w:sz="4" w:space="0"/>
              <w:right w:val="single" w:color="000000" w:sz="4" w:space="0"/>
            </w:tcBorders>
          </w:tcPr>
          <w:p w14:paraId="63C3587A">
            <w:pPr>
              <w:pStyle w:val="17"/>
              <w:spacing w:before="38"/>
              <w:ind w:left="330"/>
              <w:jc w:val="left"/>
              <w:rPr>
                <w:rFonts w:ascii="Times New Roman"/>
                <w:sz w:val="21"/>
              </w:rPr>
            </w:pPr>
            <w:r>
              <w:rPr>
                <w:rFonts w:ascii="Times New Roman"/>
                <w:w w:val="99"/>
                <w:sz w:val="21"/>
              </w:rPr>
              <w:t>/</w:t>
            </w:r>
          </w:p>
        </w:tc>
        <w:tc>
          <w:tcPr>
            <w:tcW w:w="820" w:type="dxa"/>
            <w:tcBorders>
              <w:top w:val="single" w:color="000000" w:sz="4" w:space="0"/>
              <w:left w:val="single" w:color="000000" w:sz="4" w:space="0"/>
              <w:bottom w:val="single" w:color="000000" w:sz="4" w:space="0"/>
              <w:right w:val="single" w:color="000000" w:sz="4" w:space="0"/>
            </w:tcBorders>
          </w:tcPr>
          <w:p w14:paraId="49576FB7">
            <w:pPr>
              <w:pStyle w:val="17"/>
              <w:spacing w:before="38"/>
              <w:ind w:left="27"/>
              <w:rPr>
                <w:rFonts w:ascii="Times New Roman"/>
                <w:sz w:val="21"/>
              </w:rPr>
            </w:pPr>
            <w:r>
              <w:rPr>
                <w:rFonts w:ascii="Times New Roman"/>
                <w:w w:val="99"/>
                <w:sz w:val="21"/>
              </w:rPr>
              <w:t>/</w:t>
            </w:r>
          </w:p>
        </w:tc>
        <w:tc>
          <w:tcPr>
            <w:tcW w:w="1059" w:type="dxa"/>
            <w:tcBorders>
              <w:top w:val="single" w:color="000000" w:sz="4" w:space="0"/>
              <w:left w:val="single" w:color="000000" w:sz="4" w:space="0"/>
              <w:bottom w:val="single" w:color="000000" w:sz="4" w:space="0"/>
              <w:right w:val="single" w:color="000000" w:sz="4" w:space="0"/>
            </w:tcBorders>
          </w:tcPr>
          <w:p w14:paraId="42F244F4">
            <w:pPr>
              <w:pStyle w:val="17"/>
              <w:spacing w:before="38"/>
              <w:ind w:left="29"/>
              <w:rPr>
                <w:rFonts w:ascii="Times New Roman"/>
                <w:sz w:val="21"/>
              </w:rPr>
            </w:pPr>
            <w:r>
              <w:rPr>
                <w:rFonts w:ascii="Times New Roman"/>
                <w:w w:val="99"/>
                <w:sz w:val="21"/>
              </w:rPr>
              <w:t>/</w:t>
            </w:r>
          </w:p>
        </w:tc>
        <w:tc>
          <w:tcPr>
            <w:tcW w:w="774" w:type="dxa"/>
            <w:tcBorders>
              <w:top w:val="single" w:color="000000" w:sz="4" w:space="0"/>
              <w:left w:val="single" w:color="000000" w:sz="4" w:space="0"/>
              <w:bottom w:val="single" w:color="000000" w:sz="4" w:space="0"/>
              <w:right w:val="nil"/>
            </w:tcBorders>
          </w:tcPr>
          <w:p w14:paraId="4ABEA191">
            <w:pPr>
              <w:pStyle w:val="17"/>
              <w:spacing w:before="38"/>
              <w:ind w:left="25"/>
              <w:rPr>
                <w:rFonts w:ascii="Times New Roman"/>
                <w:sz w:val="21"/>
              </w:rPr>
            </w:pPr>
            <w:r>
              <w:rPr>
                <w:rFonts w:ascii="Times New Roman"/>
                <w:w w:val="99"/>
                <w:sz w:val="21"/>
              </w:rPr>
              <w:t>/</w:t>
            </w:r>
          </w:p>
        </w:tc>
      </w:tr>
      <w:tr w14:paraId="3F928E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1878FA08">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09E015E8">
            <w:pPr>
              <w:pStyle w:val="17"/>
              <w:spacing w:before="24"/>
              <w:ind w:left="43" w:right="18"/>
              <w:rPr>
                <w:sz w:val="21"/>
              </w:rPr>
            </w:pPr>
            <w:r>
              <w:rPr>
                <w:sz w:val="21"/>
              </w:rPr>
              <w:t>溶解氧</w:t>
            </w:r>
          </w:p>
        </w:tc>
        <w:tc>
          <w:tcPr>
            <w:tcW w:w="1757" w:type="dxa"/>
            <w:tcBorders>
              <w:top w:val="single" w:color="000000" w:sz="4" w:space="0"/>
              <w:left w:val="single" w:color="000000" w:sz="4" w:space="0"/>
              <w:bottom w:val="single" w:color="000000" w:sz="4" w:space="0"/>
              <w:right w:val="single" w:color="000000" w:sz="4" w:space="0"/>
            </w:tcBorders>
          </w:tcPr>
          <w:p w14:paraId="789395EF">
            <w:pPr>
              <w:pStyle w:val="17"/>
              <w:spacing w:before="38"/>
              <w:ind w:left="96" w:right="69"/>
              <w:rPr>
                <w:rFonts w:ascii="Times New Roman"/>
                <w:sz w:val="21"/>
              </w:rPr>
            </w:pPr>
            <w:r>
              <w:rPr>
                <w:rFonts w:ascii="Times New Roman"/>
                <w:sz w:val="21"/>
              </w:rPr>
              <w:t>7.0~11.1</w:t>
            </w:r>
          </w:p>
        </w:tc>
        <w:tc>
          <w:tcPr>
            <w:tcW w:w="1382" w:type="dxa"/>
            <w:tcBorders>
              <w:top w:val="single" w:color="000000" w:sz="4" w:space="0"/>
              <w:left w:val="single" w:color="000000" w:sz="4" w:space="0"/>
              <w:bottom w:val="single" w:color="000000" w:sz="4" w:space="0"/>
              <w:right w:val="single" w:color="000000" w:sz="4" w:space="0"/>
            </w:tcBorders>
          </w:tcPr>
          <w:p w14:paraId="06815BB7">
            <w:pPr>
              <w:pStyle w:val="17"/>
              <w:spacing w:before="38"/>
              <w:ind w:left="97" w:right="69"/>
              <w:rPr>
                <w:rFonts w:ascii="Times New Roman"/>
                <w:sz w:val="21"/>
              </w:rPr>
            </w:pPr>
            <w:r>
              <w:rPr>
                <w:rFonts w:ascii="Times New Roman"/>
                <w:sz w:val="21"/>
              </w:rPr>
              <w:t>0.010~0.641</w:t>
            </w:r>
          </w:p>
        </w:tc>
        <w:tc>
          <w:tcPr>
            <w:tcW w:w="699" w:type="dxa"/>
            <w:tcBorders>
              <w:top w:val="single" w:color="000000" w:sz="4" w:space="0"/>
              <w:left w:val="single" w:color="000000" w:sz="4" w:space="0"/>
              <w:bottom w:val="single" w:color="000000" w:sz="4" w:space="0"/>
              <w:right w:val="single" w:color="000000" w:sz="4" w:space="0"/>
            </w:tcBorders>
          </w:tcPr>
          <w:p w14:paraId="1945DF1D">
            <w:pPr>
              <w:pStyle w:val="17"/>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05D449A5">
            <w:pPr>
              <w:pStyle w:val="17"/>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5C7F3BC6">
            <w:pPr>
              <w:pStyle w:val="17"/>
              <w:spacing w:before="24"/>
              <w:ind w:left="334" w:right="306"/>
              <w:rPr>
                <w:rFonts w:ascii="Times New Roman" w:hAnsi="Times New Roman"/>
                <w:sz w:val="21"/>
              </w:rPr>
            </w:pPr>
            <w:r>
              <w:rPr>
                <w:sz w:val="21"/>
              </w:rPr>
              <w:t>≥</w:t>
            </w:r>
            <w:r>
              <w:rPr>
                <w:rFonts w:ascii="Times New Roman" w:hAnsi="Times New Roman"/>
                <w:sz w:val="21"/>
              </w:rPr>
              <w:t>5</w:t>
            </w:r>
          </w:p>
        </w:tc>
        <w:tc>
          <w:tcPr>
            <w:tcW w:w="774" w:type="dxa"/>
            <w:tcBorders>
              <w:top w:val="single" w:color="000000" w:sz="4" w:space="0"/>
              <w:left w:val="single" w:color="000000" w:sz="4" w:space="0"/>
              <w:bottom w:val="single" w:color="000000" w:sz="4" w:space="0"/>
              <w:right w:val="nil"/>
            </w:tcBorders>
          </w:tcPr>
          <w:p w14:paraId="5B2179C0">
            <w:pPr>
              <w:pStyle w:val="17"/>
              <w:spacing w:before="24"/>
              <w:ind w:left="22"/>
              <w:rPr>
                <w:sz w:val="21"/>
              </w:rPr>
            </w:pPr>
            <w:r>
              <w:rPr>
                <w:w w:val="99"/>
                <w:sz w:val="21"/>
              </w:rPr>
              <w:t>是</w:t>
            </w:r>
          </w:p>
        </w:tc>
      </w:tr>
      <w:tr w14:paraId="173066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7A4587EF">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65022C88">
            <w:pPr>
              <w:pStyle w:val="17"/>
              <w:spacing w:before="25"/>
              <w:ind w:left="45" w:right="18"/>
              <w:rPr>
                <w:sz w:val="21"/>
              </w:rPr>
            </w:pPr>
            <w:r>
              <w:rPr>
                <w:sz w:val="21"/>
              </w:rPr>
              <w:t>化学需氧量</w:t>
            </w:r>
          </w:p>
        </w:tc>
        <w:tc>
          <w:tcPr>
            <w:tcW w:w="1757" w:type="dxa"/>
            <w:tcBorders>
              <w:top w:val="single" w:color="000000" w:sz="4" w:space="0"/>
              <w:left w:val="single" w:color="000000" w:sz="4" w:space="0"/>
              <w:bottom w:val="single" w:color="000000" w:sz="4" w:space="0"/>
              <w:right w:val="single" w:color="000000" w:sz="4" w:space="0"/>
            </w:tcBorders>
          </w:tcPr>
          <w:p w14:paraId="7F51D7E9">
            <w:pPr>
              <w:pStyle w:val="17"/>
              <w:spacing w:before="39"/>
              <w:ind w:left="96" w:right="71"/>
              <w:rPr>
                <w:rFonts w:ascii="Times New Roman"/>
                <w:sz w:val="21"/>
              </w:rPr>
            </w:pPr>
            <w:r>
              <w:rPr>
                <w:rFonts w:ascii="Times New Roman"/>
                <w:sz w:val="21"/>
              </w:rPr>
              <w:t>8.4-19.0</w:t>
            </w:r>
          </w:p>
        </w:tc>
        <w:tc>
          <w:tcPr>
            <w:tcW w:w="1382" w:type="dxa"/>
            <w:tcBorders>
              <w:top w:val="single" w:color="000000" w:sz="4" w:space="0"/>
              <w:left w:val="single" w:color="000000" w:sz="4" w:space="0"/>
              <w:bottom w:val="single" w:color="000000" w:sz="4" w:space="0"/>
              <w:right w:val="single" w:color="000000" w:sz="4" w:space="0"/>
            </w:tcBorders>
          </w:tcPr>
          <w:p w14:paraId="245A4828">
            <w:pPr>
              <w:pStyle w:val="17"/>
              <w:spacing w:before="39"/>
              <w:ind w:left="94" w:right="69"/>
              <w:rPr>
                <w:rFonts w:ascii="Times New Roman"/>
                <w:sz w:val="21"/>
              </w:rPr>
            </w:pPr>
            <w:r>
              <w:rPr>
                <w:rFonts w:ascii="Times New Roman"/>
                <w:sz w:val="21"/>
              </w:rPr>
              <w:t>0.42~0.95</w:t>
            </w:r>
          </w:p>
        </w:tc>
        <w:tc>
          <w:tcPr>
            <w:tcW w:w="699" w:type="dxa"/>
            <w:tcBorders>
              <w:top w:val="single" w:color="000000" w:sz="4" w:space="0"/>
              <w:left w:val="single" w:color="000000" w:sz="4" w:space="0"/>
              <w:bottom w:val="single" w:color="000000" w:sz="4" w:space="0"/>
              <w:right w:val="single" w:color="000000" w:sz="4" w:space="0"/>
            </w:tcBorders>
          </w:tcPr>
          <w:p w14:paraId="19F6C646">
            <w:pPr>
              <w:pStyle w:val="17"/>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1246F3AB">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1D4BC800">
            <w:pPr>
              <w:pStyle w:val="17"/>
              <w:spacing w:before="39"/>
              <w:ind w:left="334" w:right="306"/>
              <w:rPr>
                <w:rFonts w:ascii="Times New Roman"/>
                <w:sz w:val="21"/>
              </w:rPr>
            </w:pPr>
            <w:r>
              <w:rPr>
                <w:rFonts w:ascii="Times New Roman"/>
                <w:sz w:val="21"/>
              </w:rPr>
              <w:t>20</w:t>
            </w:r>
          </w:p>
        </w:tc>
        <w:tc>
          <w:tcPr>
            <w:tcW w:w="774" w:type="dxa"/>
            <w:tcBorders>
              <w:top w:val="single" w:color="000000" w:sz="4" w:space="0"/>
              <w:left w:val="single" w:color="000000" w:sz="4" w:space="0"/>
              <w:bottom w:val="single" w:color="000000" w:sz="4" w:space="0"/>
              <w:right w:val="nil"/>
            </w:tcBorders>
          </w:tcPr>
          <w:p w14:paraId="60B2F9BD">
            <w:pPr>
              <w:pStyle w:val="17"/>
              <w:spacing w:before="25"/>
              <w:ind w:left="22"/>
              <w:rPr>
                <w:sz w:val="21"/>
              </w:rPr>
            </w:pPr>
            <w:r>
              <w:rPr>
                <w:w w:val="99"/>
                <w:sz w:val="21"/>
              </w:rPr>
              <w:t>是</w:t>
            </w:r>
          </w:p>
        </w:tc>
      </w:tr>
      <w:tr w14:paraId="11BE14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556" w:type="dxa"/>
            <w:vMerge w:val="continue"/>
            <w:tcBorders>
              <w:top w:val="nil"/>
              <w:left w:val="nil"/>
              <w:right w:val="single" w:color="000000" w:sz="4" w:space="0"/>
            </w:tcBorders>
          </w:tcPr>
          <w:p w14:paraId="4CA19800">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3E7E9F9B">
            <w:pPr>
              <w:pStyle w:val="17"/>
              <w:spacing w:before="11"/>
              <w:ind w:left="45" w:right="18"/>
              <w:rPr>
                <w:sz w:val="21"/>
              </w:rPr>
            </w:pPr>
            <w:r>
              <w:rPr>
                <w:sz w:val="21"/>
              </w:rPr>
              <w:t>五日生化需</w:t>
            </w:r>
          </w:p>
          <w:p w14:paraId="021444E0">
            <w:pPr>
              <w:pStyle w:val="17"/>
              <w:spacing w:before="43" w:line="261" w:lineRule="exact"/>
              <w:ind w:left="43" w:right="18"/>
              <w:rPr>
                <w:sz w:val="21"/>
              </w:rPr>
            </w:pPr>
            <w:r>
              <w:rPr>
                <w:sz w:val="21"/>
              </w:rPr>
              <w:t>氧量</w:t>
            </w:r>
          </w:p>
        </w:tc>
        <w:tc>
          <w:tcPr>
            <w:tcW w:w="1757" w:type="dxa"/>
            <w:tcBorders>
              <w:top w:val="single" w:color="000000" w:sz="4" w:space="0"/>
              <w:left w:val="single" w:color="000000" w:sz="4" w:space="0"/>
              <w:bottom w:val="single" w:color="000000" w:sz="4" w:space="0"/>
              <w:right w:val="single" w:color="000000" w:sz="4" w:space="0"/>
            </w:tcBorders>
          </w:tcPr>
          <w:p w14:paraId="3846A5EF">
            <w:pPr>
              <w:pStyle w:val="17"/>
              <w:spacing w:before="181"/>
              <w:ind w:left="96" w:right="71"/>
              <w:rPr>
                <w:rFonts w:ascii="Times New Roman"/>
                <w:sz w:val="21"/>
              </w:rPr>
            </w:pPr>
            <w:r>
              <w:rPr>
                <w:rFonts w:ascii="Times New Roman"/>
                <w:sz w:val="21"/>
              </w:rPr>
              <w:t>1.2-2.0</w:t>
            </w:r>
          </w:p>
        </w:tc>
        <w:tc>
          <w:tcPr>
            <w:tcW w:w="1382" w:type="dxa"/>
            <w:tcBorders>
              <w:top w:val="single" w:color="000000" w:sz="4" w:space="0"/>
              <w:left w:val="single" w:color="000000" w:sz="4" w:space="0"/>
              <w:bottom w:val="single" w:color="000000" w:sz="4" w:space="0"/>
              <w:right w:val="single" w:color="000000" w:sz="4" w:space="0"/>
            </w:tcBorders>
          </w:tcPr>
          <w:p w14:paraId="469262C7">
            <w:pPr>
              <w:pStyle w:val="17"/>
              <w:spacing w:before="181"/>
              <w:ind w:left="97" w:right="69"/>
              <w:rPr>
                <w:rFonts w:ascii="Times New Roman"/>
                <w:sz w:val="21"/>
              </w:rPr>
            </w:pPr>
            <w:r>
              <w:rPr>
                <w:rFonts w:ascii="Times New Roman"/>
                <w:sz w:val="21"/>
              </w:rPr>
              <w:t>0.3~0.5</w:t>
            </w:r>
          </w:p>
        </w:tc>
        <w:tc>
          <w:tcPr>
            <w:tcW w:w="699" w:type="dxa"/>
            <w:tcBorders>
              <w:top w:val="single" w:color="000000" w:sz="4" w:space="0"/>
              <w:left w:val="single" w:color="000000" w:sz="4" w:space="0"/>
              <w:bottom w:val="single" w:color="000000" w:sz="4" w:space="0"/>
              <w:right w:val="single" w:color="000000" w:sz="4" w:space="0"/>
            </w:tcBorders>
          </w:tcPr>
          <w:p w14:paraId="03773AED">
            <w:pPr>
              <w:pStyle w:val="17"/>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231D7D56">
            <w:pPr>
              <w:pStyle w:val="17"/>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5B0DB0BE">
            <w:pPr>
              <w:pStyle w:val="17"/>
              <w:spacing w:before="181"/>
              <w:ind w:left="28"/>
              <w:rPr>
                <w:rFonts w:ascii="Times New Roman"/>
                <w:sz w:val="21"/>
              </w:rPr>
            </w:pPr>
            <w:r>
              <w:rPr>
                <w:rFonts w:ascii="Times New Roman"/>
                <w:w w:val="99"/>
                <w:sz w:val="21"/>
              </w:rPr>
              <w:t>4</w:t>
            </w:r>
          </w:p>
        </w:tc>
        <w:tc>
          <w:tcPr>
            <w:tcW w:w="774" w:type="dxa"/>
            <w:tcBorders>
              <w:top w:val="single" w:color="000000" w:sz="4" w:space="0"/>
              <w:left w:val="single" w:color="000000" w:sz="4" w:space="0"/>
              <w:bottom w:val="single" w:color="000000" w:sz="4" w:space="0"/>
              <w:right w:val="nil"/>
            </w:tcBorders>
          </w:tcPr>
          <w:p w14:paraId="596ECDF5">
            <w:pPr>
              <w:pStyle w:val="17"/>
              <w:spacing w:before="167"/>
              <w:ind w:left="22"/>
              <w:rPr>
                <w:sz w:val="21"/>
              </w:rPr>
            </w:pPr>
            <w:r>
              <w:rPr>
                <w:w w:val="99"/>
                <w:sz w:val="21"/>
              </w:rPr>
              <w:t>是</w:t>
            </w:r>
          </w:p>
        </w:tc>
      </w:tr>
      <w:tr w14:paraId="709CC1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1C1A35D4">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45A7E83C">
            <w:pPr>
              <w:pStyle w:val="17"/>
              <w:spacing w:before="25"/>
              <w:ind w:left="43" w:right="18"/>
              <w:rPr>
                <w:sz w:val="21"/>
              </w:rPr>
            </w:pPr>
            <w:r>
              <w:rPr>
                <w:sz w:val="21"/>
              </w:rPr>
              <w:t>氨氮</w:t>
            </w:r>
          </w:p>
        </w:tc>
        <w:tc>
          <w:tcPr>
            <w:tcW w:w="1757" w:type="dxa"/>
            <w:tcBorders>
              <w:top w:val="single" w:color="000000" w:sz="4" w:space="0"/>
              <w:left w:val="single" w:color="000000" w:sz="4" w:space="0"/>
              <w:bottom w:val="single" w:color="000000" w:sz="4" w:space="0"/>
              <w:right w:val="single" w:color="000000" w:sz="4" w:space="0"/>
            </w:tcBorders>
          </w:tcPr>
          <w:p w14:paraId="3BD44456">
            <w:pPr>
              <w:pStyle w:val="17"/>
              <w:spacing w:before="39"/>
              <w:ind w:left="96" w:right="66"/>
              <w:rPr>
                <w:rFonts w:ascii="Times New Roman"/>
                <w:sz w:val="21"/>
              </w:rPr>
            </w:pPr>
            <w:r>
              <w:rPr>
                <w:rFonts w:ascii="Times New Roman"/>
                <w:sz w:val="21"/>
              </w:rPr>
              <w:t>0.05-0.56</w:t>
            </w:r>
          </w:p>
        </w:tc>
        <w:tc>
          <w:tcPr>
            <w:tcW w:w="1382" w:type="dxa"/>
            <w:tcBorders>
              <w:top w:val="single" w:color="000000" w:sz="4" w:space="0"/>
              <w:left w:val="single" w:color="000000" w:sz="4" w:space="0"/>
              <w:bottom w:val="single" w:color="000000" w:sz="4" w:space="0"/>
              <w:right w:val="single" w:color="000000" w:sz="4" w:space="0"/>
            </w:tcBorders>
          </w:tcPr>
          <w:p w14:paraId="321C723C">
            <w:pPr>
              <w:pStyle w:val="17"/>
              <w:spacing w:before="39"/>
              <w:ind w:left="94" w:right="69"/>
              <w:rPr>
                <w:rFonts w:ascii="Times New Roman"/>
                <w:sz w:val="21"/>
              </w:rPr>
            </w:pPr>
            <w:r>
              <w:rPr>
                <w:rFonts w:ascii="Times New Roman"/>
                <w:sz w:val="21"/>
              </w:rPr>
              <w:t>0.05~0.56</w:t>
            </w:r>
          </w:p>
        </w:tc>
        <w:tc>
          <w:tcPr>
            <w:tcW w:w="699" w:type="dxa"/>
            <w:tcBorders>
              <w:top w:val="single" w:color="000000" w:sz="4" w:space="0"/>
              <w:left w:val="single" w:color="000000" w:sz="4" w:space="0"/>
              <w:bottom w:val="single" w:color="000000" w:sz="4" w:space="0"/>
              <w:right w:val="single" w:color="000000" w:sz="4" w:space="0"/>
            </w:tcBorders>
          </w:tcPr>
          <w:p w14:paraId="44BB59A0">
            <w:pPr>
              <w:pStyle w:val="17"/>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800EF30">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4488D02">
            <w:pPr>
              <w:pStyle w:val="17"/>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70E99DCD">
            <w:pPr>
              <w:pStyle w:val="17"/>
              <w:spacing w:before="25"/>
              <w:ind w:left="22"/>
              <w:rPr>
                <w:sz w:val="21"/>
              </w:rPr>
            </w:pPr>
            <w:r>
              <w:rPr>
                <w:w w:val="99"/>
                <w:sz w:val="21"/>
              </w:rPr>
              <w:t>是</w:t>
            </w:r>
          </w:p>
        </w:tc>
      </w:tr>
      <w:tr w14:paraId="1FB18C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6EE1B8EE">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508F3402">
            <w:pPr>
              <w:pStyle w:val="17"/>
              <w:spacing w:before="25"/>
              <w:ind w:left="43" w:right="18"/>
              <w:rPr>
                <w:sz w:val="21"/>
              </w:rPr>
            </w:pPr>
            <w:r>
              <w:rPr>
                <w:sz w:val="21"/>
              </w:rPr>
              <w:t>石油类</w:t>
            </w:r>
          </w:p>
        </w:tc>
        <w:tc>
          <w:tcPr>
            <w:tcW w:w="1757" w:type="dxa"/>
            <w:tcBorders>
              <w:top w:val="single" w:color="000000" w:sz="4" w:space="0"/>
              <w:left w:val="single" w:color="000000" w:sz="4" w:space="0"/>
              <w:bottom w:val="single" w:color="000000" w:sz="4" w:space="0"/>
              <w:right w:val="single" w:color="000000" w:sz="4" w:space="0"/>
            </w:tcBorders>
          </w:tcPr>
          <w:p w14:paraId="2A0E1CFA">
            <w:pPr>
              <w:pStyle w:val="17"/>
              <w:spacing w:before="39"/>
              <w:ind w:left="96" w:right="69"/>
              <w:rPr>
                <w:rFonts w:ascii="Times New Roman"/>
                <w:sz w:val="21"/>
              </w:rPr>
            </w:pPr>
            <w:r>
              <w:rPr>
                <w:rFonts w:ascii="Times New Roman"/>
                <w:sz w:val="21"/>
              </w:rPr>
              <w:t>0.005-0.01</w:t>
            </w:r>
          </w:p>
        </w:tc>
        <w:tc>
          <w:tcPr>
            <w:tcW w:w="1382" w:type="dxa"/>
            <w:tcBorders>
              <w:top w:val="single" w:color="000000" w:sz="4" w:space="0"/>
              <w:left w:val="single" w:color="000000" w:sz="4" w:space="0"/>
              <w:bottom w:val="single" w:color="000000" w:sz="4" w:space="0"/>
              <w:right w:val="single" w:color="000000" w:sz="4" w:space="0"/>
            </w:tcBorders>
          </w:tcPr>
          <w:p w14:paraId="062973C6">
            <w:pPr>
              <w:pStyle w:val="17"/>
              <w:spacing w:before="39"/>
              <w:ind w:left="97" w:right="69"/>
              <w:rPr>
                <w:rFonts w:ascii="Times New Roman"/>
                <w:sz w:val="21"/>
              </w:rPr>
            </w:pPr>
            <w:r>
              <w:rPr>
                <w:rFonts w:ascii="Times New Roman"/>
                <w:sz w:val="21"/>
              </w:rPr>
              <w:t>0.1~0.2</w:t>
            </w:r>
          </w:p>
        </w:tc>
        <w:tc>
          <w:tcPr>
            <w:tcW w:w="699" w:type="dxa"/>
            <w:tcBorders>
              <w:top w:val="single" w:color="000000" w:sz="4" w:space="0"/>
              <w:left w:val="single" w:color="000000" w:sz="4" w:space="0"/>
              <w:bottom w:val="single" w:color="000000" w:sz="4" w:space="0"/>
              <w:right w:val="single" w:color="000000" w:sz="4" w:space="0"/>
            </w:tcBorders>
          </w:tcPr>
          <w:p w14:paraId="6CCCB6AE">
            <w:pPr>
              <w:pStyle w:val="17"/>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0CDC5C7">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5FAFCA3E">
            <w:pPr>
              <w:pStyle w:val="17"/>
              <w:spacing w:before="39"/>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5CB7E0F8">
            <w:pPr>
              <w:pStyle w:val="17"/>
              <w:spacing w:before="25"/>
              <w:ind w:left="22"/>
              <w:rPr>
                <w:sz w:val="21"/>
              </w:rPr>
            </w:pPr>
            <w:r>
              <w:rPr>
                <w:w w:val="99"/>
                <w:sz w:val="21"/>
              </w:rPr>
              <w:t>是</w:t>
            </w:r>
          </w:p>
        </w:tc>
      </w:tr>
      <w:tr w14:paraId="6473BC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4" w:hRule="atLeast"/>
        </w:trPr>
        <w:tc>
          <w:tcPr>
            <w:tcW w:w="556" w:type="dxa"/>
            <w:vMerge w:val="continue"/>
            <w:tcBorders>
              <w:top w:val="nil"/>
              <w:left w:val="nil"/>
              <w:right w:val="single" w:color="000000" w:sz="4" w:space="0"/>
            </w:tcBorders>
          </w:tcPr>
          <w:p w14:paraId="3DA7835A">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33F41B09">
            <w:pPr>
              <w:pStyle w:val="17"/>
              <w:spacing w:before="167"/>
              <w:ind w:left="43" w:right="18"/>
              <w:rPr>
                <w:sz w:val="21"/>
              </w:rPr>
            </w:pPr>
            <w:r>
              <w:rPr>
                <w:sz w:val="21"/>
              </w:rPr>
              <w:t>总磷</w:t>
            </w:r>
          </w:p>
        </w:tc>
        <w:tc>
          <w:tcPr>
            <w:tcW w:w="1757" w:type="dxa"/>
            <w:tcBorders>
              <w:top w:val="single" w:color="000000" w:sz="4" w:space="0"/>
              <w:left w:val="single" w:color="000000" w:sz="4" w:space="0"/>
              <w:bottom w:val="single" w:color="000000" w:sz="4" w:space="0"/>
              <w:right w:val="single" w:color="000000" w:sz="4" w:space="0"/>
            </w:tcBorders>
          </w:tcPr>
          <w:p w14:paraId="041B6019">
            <w:pPr>
              <w:pStyle w:val="17"/>
              <w:spacing w:before="181"/>
              <w:ind w:left="96" w:right="66"/>
              <w:rPr>
                <w:rFonts w:ascii="Times New Roman"/>
                <w:sz w:val="21"/>
              </w:rPr>
            </w:pPr>
            <w:r>
              <w:rPr>
                <w:rFonts w:ascii="Times New Roman"/>
                <w:sz w:val="21"/>
              </w:rPr>
              <w:t>0.063-0.121</w:t>
            </w:r>
          </w:p>
        </w:tc>
        <w:tc>
          <w:tcPr>
            <w:tcW w:w="1382" w:type="dxa"/>
            <w:tcBorders>
              <w:top w:val="single" w:color="000000" w:sz="4" w:space="0"/>
              <w:left w:val="single" w:color="000000" w:sz="4" w:space="0"/>
              <w:bottom w:val="single" w:color="000000" w:sz="4" w:space="0"/>
              <w:right w:val="single" w:color="000000" w:sz="4" w:space="0"/>
            </w:tcBorders>
          </w:tcPr>
          <w:p w14:paraId="6088466A">
            <w:pPr>
              <w:pStyle w:val="17"/>
              <w:spacing w:before="181"/>
              <w:ind w:left="97" w:right="69"/>
              <w:rPr>
                <w:rFonts w:ascii="Times New Roman"/>
                <w:sz w:val="21"/>
              </w:rPr>
            </w:pPr>
            <w:r>
              <w:rPr>
                <w:rFonts w:ascii="Times New Roman"/>
                <w:sz w:val="21"/>
              </w:rPr>
              <w:t>0.315~0.605</w:t>
            </w:r>
          </w:p>
        </w:tc>
        <w:tc>
          <w:tcPr>
            <w:tcW w:w="699" w:type="dxa"/>
            <w:tcBorders>
              <w:top w:val="single" w:color="000000" w:sz="4" w:space="0"/>
              <w:left w:val="single" w:color="000000" w:sz="4" w:space="0"/>
              <w:bottom w:val="single" w:color="000000" w:sz="4" w:space="0"/>
              <w:right w:val="single" w:color="000000" w:sz="4" w:space="0"/>
            </w:tcBorders>
          </w:tcPr>
          <w:p w14:paraId="2D495460">
            <w:pPr>
              <w:pStyle w:val="17"/>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0B0CA316">
            <w:pPr>
              <w:pStyle w:val="17"/>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486524E5">
            <w:pPr>
              <w:pStyle w:val="17"/>
              <w:spacing w:before="11"/>
              <w:ind w:left="116"/>
              <w:jc w:val="left"/>
              <w:rPr>
                <w:sz w:val="21"/>
              </w:rPr>
            </w:pPr>
            <w:r>
              <w:rPr>
                <w:rFonts w:ascii="Times New Roman" w:eastAsia="Times New Roman"/>
                <w:sz w:val="21"/>
              </w:rPr>
              <w:t>0.2</w:t>
            </w:r>
            <w:r>
              <w:rPr>
                <w:sz w:val="21"/>
              </w:rPr>
              <w:t>（湖、</w:t>
            </w:r>
          </w:p>
          <w:p w14:paraId="36ACE439">
            <w:pPr>
              <w:pStyle w:val="17"/>
              <w:spacing w:before="43" w:line="260" w:lineRule="exact"/>
              <w:ind w:left="119"/>
              <w:jc w:val="left"/>
              <w:rPr>
                <w:sz w:val="21"/>
              </w:rPr>
            </w:pPr>
            <w:r>
              <w:rPr>
                <w:sz w:val="21"/>
              </w:rPr>
              <w:t xml:space="preserve">库 </w:t>
            </w:r>
            <w:r>
              <w:rPr>
                <w:rFonts w:ascii="Times New Roman" w:eastAsia="Times New Roman"/>
                <w:sz w:val="21"/>
              </w:rPr>
              <w:t>0.05</w:t>
            </w:r>
            <w:r>
              <w:rPr>
                <w:sz w:val="21"/>
              </w:rPr>
              <w:t>）</w:t>
            </w:r>
          </w:p>
        </w:tc>
        <w:tc>
          <w:tcPr>
            <w:tcW w:w="774" w:type="dxa"/>
            <w:tcBorders>
              <w:top w:val="single" w:color="000000" w:sz="4" w:space="0"/>
              <w:left w:val="single" w:color="000000" w:sz="4" w:space="0"/>
              <w:bottom w:val="single" w:color="000000" w:sz="4" w:space="0"/>
              <w:right w:val="nil"/>
            </w:tcBorders>
          </w:tcPr>
          <w:p w14:paraId="74C3709F">
            <w:pPr>
              <w:pStyle w:val="17"/>
              <w:spacing w:before="167"/>
              <w:ind w:left="22"/>
              <w:rPr>
                <w:sz w:val="21"/>
              </w:rPr>
            </w:pPr>
            <w:r>
              <w:rPr>
                <w:w w:val="99"/>
                <w:sz w:val="21"/>
              </w:rPr>
              <w:t>是</w:t>
            </w:r>
          </w:p>
        </w:tc>
      </w:tr>
      <w:tr w14:paraId="237587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9D4C92A">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195E7BC1">
            <w:pPr>
              <w:pStyle w:val="17"/>
              <w:spacing w:before="25"/>
              <w:ind w:left="27"/>
              <w:rPr>
                <w:sz w:val="21"/>
              </w:rPr>
            </w:pPr>
            <w:r>
              <w:rPr>
                <w:w w:val="99"/>
                <w:sz w:val="21"/>
              </w:rPr>
              <w:t>铜</w:t>
            </w:r>
          </w:p>
        </w:tc>
        <w:tc>
          <w:tcPr>
            <w:tcW w:w="1757" w:type="dxa"/>
            <w:tcBorders>
              <w:top w:val="single" w:color="000000" w:sz="4" w:space="0"/>
              <w:left w:val="single" w:color="000000" w:sz="4" w:space="0"/>
              <w:bottom w:val="single" w:color="000000" w:sz="4" w:space="0"/>
              <w:right w:val="single" w:color="000000" w:sz="4" w:space="0"/>
            </w:tcBorders>
          </w:tcPr>
          <w:p w14:paraId="2FE93C47">
            <w:pPr>
              <w:pStyle w:val="17"/>
              <w:spacing w:before="39"/>
              <w:ind w:left="96" w:right="69"/>
              <w:rPr>
                <w:rFonts w:ascii="Times New Roman"/>
                <w:sz w:val="21"/>
              </w:rPr>
            </w:pPr>
            <w:r>
              <w:rPr>
                <w:rFonts w:ascii="Times New Roman"/>
                <w:sz w:val="21"/>
              </w:rPr>
              <w:t>0.0005-0.004</w:t>
            </w:r>
          </w:p>
        </w:tc>
        <w:tc>
          <w:tcPr>
            <w:tcW w:w="1382" w:type="dxa"/>
            <w:tcBorders>
              <w:top w:val="single" w:color="000000" w:sz="4" w:space="0"/>
              <w:left w:val="single" w:color="000000" w:sz="4" w:space="0"/>
              <w:bottom w:val="single" w:color="000000" w:sz="4" w:space="0"/>
              <w:right w:val="single" w:color="000000" w:sz="4" w:space="0"/>
            </w:tcBorders>
          </w:tcPr>
          <w:p w14:paraId="73D49A8A">
            <w:pPr>
              <w:pStyle w:val="17"/>
              <w:spacing w:before="39"/>
              <w:ind w:left="99" w:right="69"/>
              <w:rPr>
                <w:rFonts w:ascii="Times New Roman"/>
                <w:sz w:val="21"/>
              </w:rPr>
            </w:pPr>
            <w:r>
              <w:rPr>
                <w:rFonts w:ascii="Times New Roman"/>
                <w:sz w:val="21"/>
              </w:rPr>
              <w:t>0.0005~0.004</w:t>
            </w:r>
          </w:p>
        </w:tc>
        <w:tc>
          <w:tcPr>
            <w:tcW w:w="699" w:type="dxa"/>
            <w:tcBorders>
              <w:top w:val="single" w:color="000000" w:sz="4" w:space="0"/>
              <w:left w:val="single" w:color="000000" w:sz="4" w:space="0"/>
              <w:bottom w:val="single" w:color="000000" w:sz="4" w:space="0"/>
              <w:right w:val="single" w:color="000000" w:sz="4" w:space="0"/>
            </w:tcBorders>
          </w:tcPr>
          <w:p w14:paraId="02929EA3">
            <w:pPr>
              <w:pStyle w:val="17"/>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5274442C">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482B1986">
            <w:pPr>
              <w:pStyle w:val="17"/>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44274F23">
            <w:pPr>
              <w:pStyle w:val="17"/>
              <w:spacing w:before="25"/>
              <w:ind w:left="22"/>
              <w:rPr>
                <w:sz w:val="21"/>
              </w:rPr>
            </w:pPr>
            <w:r>
              <w:rPr>
                <w:w w:val="99"/>
                <w:sz w:val="21"/>
              </w:rPr>
              <w:t>是</w:t>
            </w:r>
          </w:p>
        </w:tc>
      </w:tr>
      <w:tr w14:paraId="5535C0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4B7A625A">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1170FA8B">
            <w:pPr>
              <w:pStyle w:val="17"/>
              <w:spacing w:before="26"/>
              <w:ind w:left="27"/>
              <w:rPr>
                <w:sz w:val="21"/>
              </w:rPr>
            </w:pPr>
            <w:r>
              <w:rPr>
                <w:w w:val="99"/>
                <w:sz w:val="21"/>
              </w:rPr>
              <w:t>铅</w:t>
            </w:r>
          </w:p>
        </w:tc>
        <w:tc>
          <w:tcPr>
            <w:tcW w:w="1757" w:type="dxa"/>
            <w:tcBorders>
              <w:top w:val="single" w:color="000000" w:sz="4" w:space="0"/>
              <w:left w:val="single" w:color="000000" w:sz="4" w:space="0"/>
              <w:bottom w:val="single" w:color="000000" w:sz="4" w:space="0"/>
              <w:right w:val="single" w:color="000000" w:sz="4" w:space="0"/>
            </w:tcBorders>
          </w:tcPr>
          <w:p w14:paraId="04F583AA">
            <w:pPr>
              <w:pStyle w:val="17"/>
              <w:spacing w:before="40"/>
              <w:ind w:left="96" w:right="69"/>
              <w:rPr>
                <w:rFonts w:ascii="Times New Roman"/>
                <w:sz w:val="21"/>
              </w:rPr>
            </w:pPr>
            <w:r>
              <w:rPr>
                <w:rFonts w:ascii="Times New Roman"/>
                <w:sz w:val="21"/>
              </w:rPr>
              <w:t>0.00004-0.001</w:t>
            </w:r>
          </w:p>
        </w:tc>
        <w:tc>
          <w:tcPr>
            <w:tcW w:w="1382" w:type="dxa"/>
            <w:tcBorders>
              <w:top w:val="single" w:color="000000" w:sz="4" w:space="0"/>
              <w:left w:val="single" w:color="000000" w:sz="4" w:space="0"/>
              <w:bottom w:val="single" w:color="000000" w:sz="4" w:space="0"/>
              <w:right w:val="single" w:color="000000" w:sz="4" w:space="0"/>
            </w:tcBorders>
          </w:tcPr>
          <w:p w14:paraId="62A33976">
            <w:pPr>
              <w:pStyle w:val="17"/>
              <w:spacing w:before="40"/>
              <w:ind w:left="99" w:right="69"/>
              <w:rPr>
                <w:rFonts w:ascii="Times New Roman"/>
                <w:sz w:val="21"/>
              </w:rPr>
            </w:pPr>
            <w:r>
              <w:rPr>
                <w:rFonts w:ascii="Times New Roman"/>
                <w:sz w:val="21"/>
              </w:rPr>
              <w:t>0.0008~0.2</w:t>
            </w:r>
          </w:p>
        </w:tc>
        <w:tc>
          <w:tcPr>
            <w:tcW w:w="699" w:type="dxa"/>
            <w:tcBorders>
              <w:top w:val="single" w:color="000000" w:sz="4" w:space="0"/>
              <w:left w:val="single" w:color="000000" w:sz="4" w:space="0"/>
              <w:bottom w:val="single" w:color="000000" w:sz="4" w:space="0"/>
              <w:right w:val="single" w:color="000000" w:sz="4" w:space="0"/>
            </w:tcBorders>
          </w:tcPr>
          <w:p w14:paraId="2E600B9B">
            <w:pPr>
              <w:pStyle w:val="17"/>
              <w:spacing w:before="40"/>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1CC88DD">
            <w:pPr>
              <w:pStyle w:val="17"/>
              <w:spacing w:before="40"/>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2D470D97">
            <w:pPr>
              <w:pStyle w:val="17"/>
              <w:spacing w:before="40"/>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776D66ED">
            <w:pPr>
              <w:pStyle w:val="17"/>
              <w:spacing w:before="26"/>
              <w:ind w:left="22"/>
              <w:rPr>
                <w:sz w:val="21"/>
              </w:rPr>
            </w:pPr>
            <w:r>
              <w:rPr>
                <w:w w:val="99"/>
                <w:sz w:val="21"/>
              </w:rPr>
              <w:t>是</w:t>
            </w:r>
          </w:p>
        </w:tc>
      </w:tr>
      <w:tr w14:paraId="2066D5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2829EC75">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54C9280E">
            <w:pPr>
              <w:pStyle w:val="17"/>
              <w:spacing w:before="24"/>
              <w:ind w:left="27"/>
              <w:rPr>
                <w:sz w:val="21"/>
              </w:rPr>
            </w:pPr>
            <w:r>
              <w:rPr>
                <w:w w:val="99"/>
                <w:sz w:val="21"/>
              </w:rPr>
              <w:t>镉</w:t>
            </w:r>
          </w:p>
        </w:tc>
        <w:tc>
          <w:tcPr>
            <w:tcW w:w="1757" w:type="dxa"/>
            <w:tcBorders>
              <w:top w:val="single" w:color="000000" w:sz="4" w:space="0"/>
              <w:left w:val="single" w:color="000000" w:sz="4" w:space="0"/>
              <w:bottom w:val="single" w:color="000000" w:sz="4" w:space="0"/>
              <w:right w:val="single" w:color="000000" w:sz="4" w:space="0"/>
            </w:tcBorders>
          </w:tcPr>
          <w:p w14:paraId="6E556273">
            <w:pPr>
              <w:pStyle w:val="17"/>
              <w:spacing w:before="38"/>
              <w:ind w:left="96" w:right="69"/>
              <w:rPr>
                <w:rFonts w:ascii="Times New Roman"/>
                <w:sz w:val="21"/>
              </w:rPr>
            </w:pPr>
            <w:r>
              <w:rPr>
                <w:rFonts w:ascii="Times New Roman"/>
                <w:sz w:val="21"/>
              </w:rPr>
              <w:t>0.00002-0.00005</w:t>
            </w:r>
          </w:p>
        </w:tc>
        <w:tc>
          <w:tcPr>
            <w:tcW w:w="1382" w:type="dxa"/>
            <w:tcBorders>
              <w:top w:val="single" w:color="000000" w:sz="4" w:space="0"/>
              <w:left w:val="single" w:color="000000" w:sz="4" w:space="0"/>
              <w:bottom w:val="single" w:color="000000" w:sz="4" w:space="0"/>
              <w:right w:val="single" w:color="000000" w:sz="4" w:space="0"/>
            </w:tcBorders>
          </w:tcPr>
          <w:p w14:paraId="389B4D99">
            <w:pPr>
              <w:pStyle w:val="17"/>
              <w:spacing w:before="38"/>
              <w:ind w:left="97" w:right="69"/>
              <w:rPr>
                <w:rFonts w:ascii="Times New Roman"/>
                <w:sz w:val="21"/>
              </w:rPr>
            </w:pPr>
            <w:r>
              <w:rPr>
                <w:rFonts w:ascii="Times New Roman"/>
                <w:sz w:val="21"/>
              </w:rPr>
              <w:t>0.004~0.010</w:t>
            </w:r>
          </w:p>
        </w:tc>
        <w:tc>
          <w:tcPr>
            <w:tcW w:w="699" w:type="dxa"/>
            <w:tcBorders>
              <w:top w:val="single" w:color="000000" w:sz="4" w:space="0"/>
              <w:left w:val="single" w:color="000000" w:sz="4" w:space="0"/>
              <w:bottom w:val="single" w:color="000000" w:sz="4" w:space="0"/>
              <w:right w:val="single" w:color="000000" w:sz="4" w:space="0"/>
            </w:tcBorders>
          </w:tcPr>
          <w:p w14:paraId="4590B4B1">
            <w:pPr>
              <w:pStyle w:val="17"/>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7C8FB26F">
            <w:pPr>
              <w:pStyle w:val="17"/>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02AC41AA">
            <w:pPr>
              <w:pStyle w:val="17"/>
              <w:spacing w:before="38"/>
              <w:ind w:left="301"/>
              <w:jc w:val="left"/>
              <w:rPr>
                <w:rFonts w:ascii="Times New Roman"/>
                <w:sz w:val="21"/>
              </w:rPr>
            </w:pPr>
            <w:r>
              <w:rPr>
                <w:rFonts w:ascii="Times New Roman"/>
                <w:sz w:val="21"/>
              </w:rPr>
              <w:t>0.005</w:t>
            </w:r>
          </w:p>
        </w:tc>
        <w:tc>
          <w:tcPr>
            <w:tcW w:w="774" w:type="dxa"/>
            <w:tcBorders>
              <w:top w:val="single" w:color="000000" w:sz="4" w:space="0"/>
              <w:left w:val="single" w:color="000000" w:sz="4" w:space="0"/>
              <w:bottom w:val="single" w:color="000000" w:sz="4" w:space="0"/>
              <w:right w:val="nil"/>
            </w:tcBorders>
          </w:tcPr>
          <w:p w14:paraId="74701528">
            <w:pPr>
              <w:pStyle w:val="17"/>
              <w:spacing w:before="24"/>
              <w:ind w:left="22"/>
              <w:rPr>
                <w:sz w:val="21"/>
              </w:rPr>
            </w:pPr>
            <w:r>
              <w:rPr>
                <w:w w:val="99"/>
                <w:sz w:val="21"/>
              </w:rPr>
              <w:t>是</w:t>
            </w:r>
          </w:p>
        </w:tc>
      </w:tr>
      <w:tr w14:paraId="2F4FC0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2FD964FF">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3E048E3D">
            <w:pPr>
              <w:pStyle w:val="17"/>
              <w:spacing w:before="24"/>
              <w:ind w:left="27"/>
              <w:rPr>
                <w:sz w:val="21"/>
              </w:rPr>
            </w:pPr>
            <w:r>
              <w:rPr>
                <w:w w:val="99"/>
                <w:sz w:val="21"/>
              </w:rPr>
              <w:t>砷</w:t>
            </w:r>
          </w:p>
        </w:tc>
        <w:tc>
          <w:tcPr>
            <w:tcW w:w="1757" w:type="dxa"/>
            <w:tcBorders>
              <w:top w:val="single" w:color="000000" w:sz="4" w:space="0"/>
              <w:left w:val="single" w:color="000000" w:sz="4" w:space="0"/>
              <w:bottom w:val="single" w:color="000000" w:sz="4" w:space="0"/>
              <w:right w:val="single" w:color="000000" w:sz="4" w:space="0"/>
            </w:tcBorders>
          </w:tcPr>
          <w:p w14:paraId="4C18B373">
            <w:pPr>
              <w:pStyle w:val="17"/>
              <w:spacing w:before="38"/>
              <w:ind w:left="96" w:right="69"/>
              <w:rPr>
                <w:rFonts w:ascii="Times New Roman"/>
                <w:sz w:val="21"/>
              </w:rPr>
            </w:pPr>
            <w:r>
              <w:rPr>
                <w:rFonts w:ascii="Times New Roman"/>
                <w:sz w:val="21"/>
              </w:rPr>
              <w:t>0.0019-0.0038</w:t>
            </w:r>
          </w:p>
        </w:tc>
        <w:tc>
          <w:tcPr>
            <w:tcW w:w="1382" w:type="dxa"/>
            <w:tcBorders>
              <w:top w:val="single" w:color="000000" w:sz="4" w:space="0"/>
              <w:left w:val="single" w:color="000000" w:sz="4" w:space="0"/>
              <w:bottom w:val="single" w:color="000000" w:sz="4" w:space="0"/>
              <w:right w:val="single" w:color="000000" w:sz="4" w:space="0"/>
            </w:tcBorders>
          </w:tcPr>
          <w:p w14:paraId="14DE139A">
            <w:pPr>
              <w:pStyle w:val="17"/>
              <w:spacing w:before="38"/>
              <w:ind w:left="97" w:right="69"/>
              <w:rPr>
                <w:rFonts w:ascii="Times New Roman"/>
                <w:sz w:val="21"/>
              </w:rPr>
            </w:pPr>
            <w:r>
              <w:rPr>
                <w:rFonts w:ascii="Times New Roman"/>
                <w:sz w:val="21"/>
              </w:rPr>
              <w:t>0.038~0.076</w:t>
            </w:r>
          </w:p>
        </w:tc>
        <w:tc>
          <w:tcPr>
            <w:tcW w:w="699" w:type="dxa"/>
            <w:tcBorders>
              <w:top w:val="single" w:color="000000" w:sz="4" w:space="0"/>
              <w:left w:val="single" w:color="000000" w:sz="4" w:space="0"/>
              <w:bottom w:val="single" w:color="000000" w:sz="4" w:space="0"/>
              <w:right w:val="single" w:color="000000" w:sz="4" w:space="0"/>
            </w:tcBorders>
          </w:tcPr>
          <w:p w14:paraId="5C5E08F8">
            <w:pPr>
              <w:pStyle w:val="17"/>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25FE7FF">
            <w:pPr>
              <w:pStyle w:val="17"/>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1F113F62">
            <w:pPr>
              <w:pStyle w:val="17"/>
              <w:spacing w:before="38"/>
              <w:ind w:left="354"/>
              <w:jc w:val="left"/>
              <w:rPr>
                <w:rFonts w:ascii="Times New Roman"/>
                <w:sz w:val="21"/>
              </w:rPr>
            </w:pPr>
            <w:r>
              <w:rPr>
                <w:rFonts w:ascii="Times New Roman"/>
                <w:sz w:val="21"/>
              </w:rPr>
              <w:t>0.05</w:t>
            </w:r>
          </w:p>
        </w:tc>
        <w:tc>
          <w:tcPr>
            <w:tcW w:w="774" w:type="dxa"/>
            <w:tcBorders>
              <w:top w:val="single" w:color="000000" w:sz="4" w:space="0"/>
              <w:left w:val="single" w:color="000000" w:sz="4" w:space="0"/>
              <w:bottom w:val="single" w:color="000000" w:sz="4" w:space="0"/>
              <w:right w:val="nil"/>
            </w:tcBorders>
          </w:tcPr>
          <w:p w14:paraId="7E15FCF2">
            <w:pPr>
              <w:pStyle w:val="17"/>
              <w:spacing w:before="24"/>
              <w:ind w:left="22"/>
              <w:rPr>
                <w:sz w:val="21"/>
              </w:rPr>
            </w:pPr>
            <w:r>
              <w:rPr>
                <w:w w:val="99"/>
                <w:sz w:val="21"/>
              </w:rPr>
              <w:t>是</w:t>
            </w:r>
          </w:p>
        </w:tc>
      </w:tr>
      <w:tr w14:paraId="22F543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E183FEB">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15176BB">
            <w:pPr>
              <w:pStyle w:val="17"/>
              <w:spacing w:before="24"/>
              <w:ind w:left="27"/>
              <w:rPr>
                <w:sz w:val="21"/>
              </w:rPr>
            </w:pPr>
            <w:r>
              <w:rPr>
                <w:w w:val="99"/>
                <w:sz w:val="21"/>
              </w:rPr>
              <w:t>汞</w:t>
            </w:r>
          </w:p>
        </w:tc>
        <w:tc>
          <w:tcPr>
            <w:tcW w:w="1757" w:type="dxa"/>
            <w:tcBorders>
              <w:top w:val="single" w:color="000000" w:sz="4" w:space="0"/>
              <w:left w:val="single" w:color="000000" w:sz="4" w:space="0"/>
              <w:bottom w:val="single" w:color="000000" w:sz="4" w:space="0"/>
              <w:right w:val="single" w:color="000000" w:sz="4" w:space="0"/>
            </w:tcBorders>
          </w:tcPr>
          <w:p w14:paraId="74F93CA0">
            <w:pPr>
              <w:pStyle w:val="17"/>
              <w:spacing w:before="38"/>
              <w:ind w:left="96" w:right="71"/>
              <w:rPr>
                <w:rFonts w:ascii="Times New Roman"/>
                <w:sz w:val="21"/>
              </w:rPr>
            </w:pPr>
            <w:r>
              <w:rPr>
                <w:rFonts w:ascii="Times New Roman"/>
                <w:sz w:val="21"/>
              </w:rPr>
              <w:t>0.000005-0.00002</w:t>
            </w:r>
          </w:p>
        </w:tc>
        <w:tc>
          <w:tcPr>
            <w:tcW w:w="1382" w:type="dxa"/>
            <w:tcBorders>
              <w:top w:val="single" w:color="000000" w:sz="4" w:space="0"/>
              <w:left w:val="single" w:color="000000" w:sz="4" w:space="0"/>
              <w:bottom w:val="single" w:color="000000" w:sz="4" w:space="0"/>
              <w:right w:val="single" w:color="000000" w:sz="4" w:space="0"/>
            </w:tcBorders>
          </w:tcPr>
          <w:p w14:paraId="36778311">
            <w:pPr>
              <w:pStyle w:val="17"/>
              <w:spacing w:before="38"/>
              <w:ind w:left="97" w:right="69"/>
              <w:rPr>
                <w:rFonts w:ascii="Times New Roman"/>
                <w:sz w:val="21"/>
              </w:rPr>
            </w:pPr>
            <w:r>
              <w:rPr>
                <w:rFonts w:ascii="Times New Roman"/>
                <w:sz w:val="21"/>
              </w:rPr>
              <w:t>0.05~0.2</w:t>
            </w:r>
          </w:p>
        </w:tc>
        <w:tc>
          <w:tcPr>
            <w:tcW w:w="699" w:type="dxa"/>
            <w:tcBorders>
              <w:top w:val="single" w:color="000000" w:sz="4" w:space="0"/>
              <w:left w:val="single" w:color="000000" w:sz="4" w:space="0"/>
              <w:bottom w:val="single" w:color="000000" w:sz="4" w:space="0"/>
              <w:right w:val="single" w:color="000000" w:sz="4" w:space="0"/>
            </w:tcBorders>
          </w:tcPr>
          <w:p w14:paraId="1B634018">
            <w:pPr>
              <w:pStyle w:val="17"/>
              <w:spacing w:before="38"/>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1DBDD1AD">
            <w:pPr>
              <w:pStyle w:val="17"/>
              <w:spacing w:before="38"/>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50A65B22">
            <w:pPr>
              <w:pStyle w:val="17"/>
              <w:spacing w:before="38"/>
              <w:ind w:right="220"/>
              <w:jc w:val="right"/>
              <w:rPr>
                <w:rFonts w:ascii="Times New Roman"/>
                <w:sz w:val="21"/>
              </w:rPr>
            </w:pPr>
            <w:r>
              <w:rPr>
                <w:rFonts w:ascii="Times New Roman"/>
                <w:w w:val="95"/>
                <w:sz w:val="21"/>
              </w:rPr>
              <w:t>0.0001</w:t>
            </w:r>
          </w:p>
        </w:tc>
        <w:tc>
          <w:tcPr>
            <w:tcW w:w="774" w:type="dxa"/>
            <w:tcBorders>
              <w:top w:val="single" w:color="000000" w:sz="4" w:space="0"/>
              <w:left w:val="single" w:color="000000" w:sz="4" w:space="0"/>
              <w:bottom w:val="single" w:color="000000" w:sz="4" w:space="0"/>
              <w:right w:val="nil"/>
            </w:tcBorders>
          </w:tcPr>
          <w:p w14:paraId="74E802E7">
            <w:pPr>
              <w:pStyle w:val="17"/>
              <w:spacing w:before="24"/>
              <w:ind w:left="22"/>
              <w:rPr>
                <w:sz w:val="21"/>
              </w:rPr>
            </w:pPr>
            <w:r>
              <w:rPr>
                <w:w w:val="99"/>
                <w:sz w:val="21"/>
              </w:rPr>
              <w:t>是</w:t>
            </w:r>
          </w:p>
        </w:tc>
      </w:tr>
      <w:tr w14:paraId="2B88F3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7EEF5E2">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973BD65">
            <w:pPr>
              <w:pStyle w:val="17"/>
              <w:spacing w:before="25"/>
              <w:ind w:left="43" w:right="18"/>
              <w:rPr>
                <w:sz w:val="21"/>
              </w:rPr>
            </w:pPr>
            <w:r>
              <w:rPr>
                <w:sz w:val="21"/>
              </w:rPr>
              <w:t>氟化物</w:t>
            </w:r>
          </w:p>
        </w:tc>
        <w:tc>
          <w:tcPr>
            <w:tcW w:w="1757" w:type="dxa"/>
            <w:tcBorders>
              <w:top w:val="single" w:color="000000" w:sz="4" w:space="0"/>
              <w:left w:val="single" w:color="000000" w:sz="4" w:space="0"/>
              <w:bottom w:val="single" w:color="000000" w:sz="4" w:space="0"/>
              <w:right w:val="single" w:color="000000" w:sz="4" w:space="0"/>
            </w:tcBorders>
          </w:tcPr>
          <w:p w14:paraId="7489C77B">
            <w:pPr>
              <w:pStyle w:val="17"/>
              <w:spacing w:before="39"/>
              <w:ind w:left="96" w:right="66"/>
              <w:rPr>
                <w:rFonts w:ascii="Times New Roman"/>
                <w:sz w:val="21"/>
              </w:rPr>
            </w:pPr>
            <w:r>
              <w:rPr>
                <w:rFonts w:ascii="Times New Roman"/>
                <w:sz w:val="21"/>
              </w:rPr>
              <w:t>0.133-0.212</w:t>
            </w:r>
          </w:p>
        </w:tc>
        <w:tc>
          <w:tcPr>
            <w:tcW w:w="1382" w:type="dxa"/>
            <w:tcBorders>
              <w:top w:val="single" w:color="000000" w:sz="4" w:space="0"/>
              <w:left w:val="single" w:color="000000" w:sz="4" w:space="0"/>
              <w:bottom w:val="single" w:color="000000" w:sz="4" w:space="0"/>
              <w:right w:val="single" w:color="000000" w:sz="4" w:space="0"/>
            </w:tcBorders>
          </w:tcPr>
          <w:p w14:paraId="2FEFC437">
            <w:pPr>
              <w:pStyle w:val="17"/>
              <w:spacing w:before="39"/>
              <w:ind w:left="97" w:right="69"/>
              <w:rPr>
                <w:rFonts w:ascii="Times New Roman"/>
                <w:sz w:val="21"/>
              </w:rPr>
            </w:pPr>
            <w:r>
              <w:rPr>
                <w:rFonts w:ascii="Times New Roman"/>
                <w:sz w:val="21"/>
              </w:rPr>
              <w:t>0.133~0.212</w:t>
            </w:r>
          </w:p>
        </w:tc>
        <w:tc>
          <w:tcPr>
            <w:tcW w:w="699" w:type="dxa"/>
            <w:tcBorders>
              <w:top w:val="single" w:color="000000" w:sz="4" w:space="0"/>
              <w:left w:val="single" w:color="000000" w:sz="4" w:space="0"/>
              <w:bottom w:val="single" w:color="000000" w:sz="4" w:space="0"/>
              <w:right w:val="single" w:color="000000" w:sz="4" w:space="0"/>
            </w:tcBorders>
          </w:tcPr>
          <w:p w14:paraId="4B808D93">
            <w:pPr>
              <w:pStyle w:val="17"/>
              <w:spacing w:before="39"/>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9E93ED8">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0BF1EF6A">
            <w:pPr>
              <w:pStyle w:val="17"/>
              <w:spacing w:before="39"/>
              <w:ind w:left="334" w:right="306"/>
              <w:rPr>
                <w:rFonts w:ascii="Times New Roman"/>
                <w:sz w:val="21"/>
              </w:rPr>
            </w:pPr>
            <w:r>
              <w:rPr>
                <w:rFonts w:ascii="Times New Roman"/>
                <w:sz w:val="21"/>
              </w:rPr>
              <w:t>1.0</w:t>
            </w:r>
          </w:p>
        </w:tc>
        <w:tc>
          <w:tcPr>
            <w:tcW w:w="774" w:type="dxa"/>
            <w:tcBorders>
              <w:top w:val="single" w:color="000000" w:sz="4" w:space="0"/>
              <w:left w:val="single" w:color="000000" w:sz="4" w:space="0"/>
              <w:bottom w:val="single" w:color="000000" w:sz="4" w:space="0"/>
              <w:right w:val="nil"/>
            </w:tcBorders>
          </w:tcPr>
          <w:p w14:paraId="056C1FCD">
            <w:pPr>
              <w:pStyle w:val="17"/>
              <w:spacing w:before="25"/>
              <w:ind w:left="22"/>
              <w:rPr>
                <w:sz w:val="21"/>
              </w:rPr>
            </w:pPr>
            <w:r>
              <w:rPr>
                <w:w w:val="99"/>
                <w:sz w:val="21"/>
              </w:rPr>
              <w:t>是</w:t>
            </w:r>
          </w:p>
        </w:tc>
      </w:tr>
      <w:tr w14:paraId="5C014B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trPr>
        <w:tc>
          <w:tcPr>
            <w:tcW w:w="556" w:type="dxa"/>
            <w:vMerge w:val="continue"/>
            <w:tcBorders>
              <w:top w:val="nil"/>
              <w:left w:val="nil"/>
              <w:right w:val="single" w:color="000000" w:sz="4" w:space="0"/>
            </w:tcBorders>
          </w:tcPr>
          <w:p w14:paraId="10150D79">
            <w:pPr>
              <w:rPr>
                <w:sz w:val="2"/>
                <w:szCs w:val="2"/>
              </w:rPr>
            </w:pPr>
          </w:p>
        </w:tc>
        <w:tc>
          <w:tcPr>
            <w:tcW w:w="1472" w:type="dxa"/>
            <w:tcBorders>
              <w:top w:val="single" w:color="000000" w:sz="4" w:space="0"/>
              <w:left w:val="single" w:color="000000" w:sz="4" w:space="0"/>
              <w:right w:val="single" w:color="000000" w:sz="4" w:space="0"/>
            </w:tcBorders>
          </w:tcPr>
          <w:p w14:paraId="2B42BE2B">
            <w:pPr>
              <w:pStyle w:val="17"/>
              <w:spacing w:before="11"/>
              <w:ind w:left="45" w:right="18"/>
              <w:rPr>
                <w:sz w:val="21"/>
              </w:rPr>
            </w:pPr>
            <w:r>
              <w:rPr>
                <w:sz w:val="21"/>
              </w:rPr>
              <w:t>阴离子表面</w:t>
            </w:r>
          </w:p>
          <w:p w14:paraId="49568EE6">
            <w:pPr>
              <w:pStyle w:val="17"/>
              <w:spacing w:before="43" w:line="268" w:lineRule="exact"/>
              <w:ind w:left="43" w:right="18"/>
              <w:rPr>
                <w:sz w:val="21"/>
              </w:rPr>
            </w:pPr>
            <w:r>
              <w:rPr>
                <w:sz w:val="21"/>
              </w:rPr>
              <w:t>活性剂</w:t>
            </w:r>
          </w:p>
        </w:tc>
        <w:tc>
          <w:tcPr>
            <w:tcW w:w="1757" w:type="dxa"/>
            <w:tcBorders>
              <w:top w:val="single" w:color="000000" w:sz="4" w:space="0"/>
              <w:left w:val="single" w:color="000000" w:sz="4" w:space="0"/>
              <w:right w:val="single" w:color="000000" w:sz="4" w:space="0"/>
            </w:tcBorders>
          </w:tcPr>
          <w:p w14:paraId="7B1E5CC7">
            <w:pPr>
              <w:pStyle w:val="17"/>
              <w:spacing w:before="181"/>
              <w:ind w:left="96" w:right="66"/>
              <w:rPr>
                <w:rFonts w:ascii="Times New Roman"/>
                <w:sz w:val="21"/>
              </w:rPr>
            </w:pPr>
            <w:r>
              <w:rPr>
                <w:rFonts w:ascii="Times New Roman"/>
                <w:sz w:val="21"/>
              </w:rPr>
              <w:t>0.02-0.02</w:t>
            </w:r>
          </w:p>
        </w:tc>
        <w:tc>
          <w:tcPr>
            <w:tcW w:w="1382" w:type="dxa"/>
            <w:tcBorders>
              <w:top w:val="single" w:color="000000" w:sz="4" w:space="0"/>
              <w:left w:val="single" w:color="000000" w:sz="4" w:space="0"/>
              <w:right w:val="single" w:color="000000" w:sz="4" w:space="0"/>
            </w:tcBorders>
          </w:tcPr>
          <w:p w14:paraId="4D13C9CD">
            <w:pPr>
              <w:pStyle w:val="17"/>
              <w:spacing w:before="181"/>
              <w:ind w:left="97" w:right="69"/>
              <w:rPr>
                <w:rFonts w:ascii="Times New Roman"/>
                <w:sz w:val="21"/>
              </w:rPr>
            </w:pPr>
            <w:r>
              <w:rPr>
                <w:rFonts w:ascii="Times New Roman"/>
                <w:sz w:val="21"/>
              </w:rPr>
              <w:t>0.1~0.1</w:t>
            </w:r>
          </w:p>
        </w:tc>
        <w:tc>
          <w:tcPr>
            <w:tcW w:w="699" w:type="dxa"/>
            <w:tcBorders>
              <w:top w:val="single" w:color="000000" w:sz="4" w:space="0"/>
              <w:left w:val="single" w:color="000000" w:sz="4" w:space="0"/>
              <w:right w:val="single" w:color="000000" w:sz="4" w:space="0"/>
            </w:tcBorders>
          </w:tcPr>
          <w:p w14:paraId="224E7290">
            <w:pPr>
              <w:pStyle w:val="17"/>
              <w:spacing w:before="181"/>
              <w:ind w:left="306"/>
              <w:jc w:val="left"/>
              <w:rPr>
                <w:rFonts w:ascii="Times New Roman"/>
                <w:sz w:val="21"/>
              </w:rPr>
            </w:pPr>
            <w:r>
              <w:rPr>
                <w:rFonts w:ascii="Times New Roman"/>
                <w:w w:val="99"/>
                <w:sz w:val="21"/>
              </w:rPr>
              <w:t>0</w:t>
            </w:r>
          </w:p>
        </w:tc>
        <w:tc>
          <w:tcPr>
            <w:tcW w:w="820" w:type="dxa"/>
            <w:tcBorders>
              <w:top w:val="single" w:color="000000" w:sz="4" w:space="0"/>
              <w:left w:val="single" w:color="000000" w:sz="4" w:space="0"/>
              <w:right w:val="single" w:color="000000" w:sz="4" w:space="0"/>
            </w:tcBorders>
          </w:tcPr>
          <w:p w14:paraId="4942694F">
            <w:pPr>
              <w:pStyle w:val="17"/>
              <w:spacing w:before="181"/>
              <w:ind w:left="25"/>
              <w:rPr>
                <w:rFonts w:ascii="Times New Roman"/>
                <w:sz w:val="21"/>
              </w:rPr>
            </w:pPr>
            <w:r>
              <w:rPr>
                <w:rFonts w:ascii="Times New Roman"/>
                <w:w w:val="99"/>
                <w:sz w:val="21"/>
              </w:rPr>
              <w:t>0</w:t>
            </w:r>
          </w:p>
        </w:tc>
        <w:tc>
          <w:tcPr>
            <w:tcW w:w="1059" w:type="dxa"/>
            <w:tcBorders>
              <w:top w:val="single" w:color="000000" w:sz="4" w:space="0"/>
              <w:left w:val="single" w:color="000000" w:sz="4" w:space="0"/>
              <w:right w:val="single" w:color="000000" w:sz="4" w:space="0"/>
            </w:tcBorders>
          </w:tcPr>
          <w:p w14:paraId="37AF014B">
            <w:pPr>
              <w:pStyle w:val="17"/>
              <w:spacing w:before="181"/>
              <w:ind w:left="334" w:right="306"/>
              <w:rPr>
                <w:rFonts w:ascii="Times New Roman"/>
                <w:sz w:val="21"/>
              </w:rPr>
            </w:pPr>
            <w:r>
              <w:rPr>
                <w:rFonts w:ascii="Times New Roman"/>
                <w:sz w:val="21"/>
              </w:rPr>
              <w:t>0.2</w:t>
            </w:r>
          </w:p>
        </w:tc>
        <w:tc>
          <w:tcPr>
            <w:tcW w:w="774" w:type="dxa"/>
            <w:tcBorders>
              <w:top w:val="single" w:color="000000" w:sz="4" w:space="0"/>
              <w:left w:val="single" w:color="000000" w:sz="4" w:space="0"/>
              <w:right w:val="nil"/>
            </w:tcBorders>
          </w:tcPr>
          <w:p w14:paraId="4B68F01E">
            <w:pPr>
              <w:pStyle w:val="17"/>
              <w:spacing w:before="167"/>
              <w:ind w:left="22"/>
              <w:rPr>
                <w:sz w:val="21"/>
              </w:rPr>
            </w:pPr>
            <w:r>
              <w:rPr>
                <w:w w:val="99"/>
                <w:sz w:val="21"/>
              </w:rPr>
              <w:t>是</w:t>
            </w:r>
          </w:p>
        </w:tc>
      </w:tr>
    </w:tbl>
    <w:p w14:paraId="08FB1BB0">
      <w:pPr>
        <w:spacing w:after="0"/>
        <w:rPr>
          <w:sz w:val="21"/>
        </w:rPr>
        <w:sectPr>
          <w:pgSz w:w="11910" w:h="16840"/>
          <w:pgMar w:top="1440" w:right="1560" w:bottom="1220" w:left="1560" w:header="0" w:footer="1024" w:gutter="0"/>
          <w:cols w:space="720" w:num="1"/>
        </w:sectPr>
      </w:pPr>
    </w:p>
    <w:tbl>
      <w:tblPr>
        <w:tblStyle w:val="13"/>
        <w:tblW w:w="0" w:type="auto"/>
        <w:tblInd w:w="11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56"/>
        <w:gridCol w:w="1472"/>
        <w:gridCol w:w="1757"/>
        <w:gridCol w:w="1382"/>
        <w:gridCol w:w="699"/>
        <w:gridCol w:w="820"/>
        <w:gridCol w:w="1059"/>
        <w:gridCol w:w="774"/>
      </w:tblGrid>
      <w:tr w14:paraId="05FD50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556" w:type="dxa"/>
            <w:vMerge w:val="restart"/>
            <w:tcBorders>
              <w:left w:val="nil"/>
              <w:right w:val="single" w:color="000000" w:sz="4" w:space="0"/>
            </w:tcBorders>
          </w:tcPr>
          <w:p w14:paraId="4B26E490">
            <w:pPr>
              <w:pStyle w:val="17"/>
              <w:jc w:val="left"/>
              <w:rPr>
                <w:rFonts w:ascii="Times New Roman"/>
                <w:sz w:val="20"/>
              </w:rPr>
            </w:pPr>
          </w:p>
        </w:tc>
        <w:tc>
          <w:tcPr>
            <w:tcW w:w="1472" w:type="dxa"/>
            <w:tcBorders>
              <w:left w:val="single" w:color="000000" w:sz="4" w:space="0"/>
              <w:bottom w:val="single" w:color="000000" w:sz="4" w:space="0"/>
              <w:right w:val="single" w:color="000000" w:sz="4" w:space="0"/>
            </w:tcBorders>
          </w:tcPr>
          <w:p w14:paraId="48D26AA5">
            <w:pPr>
              <w:pStyle w:val="17"/>
              <w:spacing w:before="35"/>
              <w:ind w:left="43" w:right="18"/>
              <w:rPr>
                <w:sz w:val="21"/>
              </w:rPr>
            </w:pPr>
            <w:r>
              <w:rPr>
                <w:sz w:val="21"/>
              </w:rPr>
              <w:t>硫化物</w:t>
            </w:r>
          </w:p>
        </w:tc>
        <w:tc>
          <w:tcPr>
            <w:tcW w:w="1757" w:type="dxa"/>
            <w:tcBorders>
              <w:left w:val="single" w:color="000000" w:sz="4" w:space="0"/>
              <w:bottom w:val="single" w:color="000000" w:sz="4" w:space="0"/>
              <w:right w:val="single" w:color="000000" w:sz="4" w:space="0"/>
            </w:tcBorders>
          </w:tcPr>
          <w:p w14:paraId="2BD16309">
            <w:pPr>
              <w:pStyle w:val="17"/>
              <w:spacing w:before="49"/>
              <w:ind w:left="96" w:right="66"/>
              <w:rPr>
                <w:rFonts w:ascii="Times New Roman"/>
                <w:sz w:val="21"/>
              </w:rPr>
            </w:pPr>
            <w:r>
              <w:rPr>
                <w:rFonts w:ascii="Times New Roman"/>
                <w:sz w:val="21"/>
              </w:rPr>
              <w:t>0.005-0.005</w:t>
            </w:r>
          </w:p>
        </w:tc>
        <w:tc>
          <w:tcPr>
            <w:tcW w:w="1382" w:type="dxa"/>
            <w:tcBorders>
              <w:left w:val="single" w:color="000000" w:sz="4" w:space="0"/>
              <w:bottom w:val="single" w:color="000000" w:sz="4" w:space="0"/>
              <w:right w:val="single" w:color="000000" w:sz="4" w:space="0"/>
            </w:tcBorders>
          </w:tcPr>
          <w:p w14:paraId="7DA46F5A">
            <w:pPr>
              <w:pStyle w:val="17"/>
              <w:spacing w:before="49"/>
              <w:ind w:left="97" w:right="69"/>
              <w:rPr>
                <w:rFonts w:ascii="Times New Roman"/>
                <w:sz w:val="21"/>
              </w:rPr>
            </w:pPr>
            <w:r>
              <w:rPr>
                <w:rFonts w:ascii="Times New Roman"/>
                <w:sz w:val="21"/>
              </w:rPr>
              <w:t>0.025~0.025</w:t>
            </w:r>
          </w:p>
        </w:tc>
        <w:tc>
          <w:tcPr>
            <w:tcW w:w="699" w:type="dxa"/>
            <w:tcBorders>
              <w:left w:val="single" w:color="000000" w:sz="4" w:space="0"/>
              <w:bottom w:val="single" w:color="000000" w:sz="4" w:space="0"/>
              <w:right w:val="single" w:color="000000" w:sz="4" w:space="0"/>
            </w:tcBorders>
          </w:tcPr>
          <w:p w14:paraId="2ACDB545">
            <w:pPr>
              <w:pStyle w:val="17"/>
              <w:spacing w:before="49"/>
              <w:ind w:left="27"/>
              <w:rPr>
                <w:rFonts w:ascii="Times New Roman"/>
                <w:sz w:val="21"/>
              </w:rPr>
            </w:pPr>
            <w:r>
              <w:rPr>
                <w:rFonts w:ascii="Times New Roman"/>
                <w:w w:val="99"/>
                <w:sz w:val="21"/>
              </w:rPr>
              <w:t>0</w:t>
            </w:r>
          </w:p>
        </w:tc>
        <w:tc>
          <w:tcPr>
            <w:tcW w:w="820" w:type="dxa"/>
            <w:tcBorders>
              <w:left w:val="single" w:color="000000" w:sz="4" w:space="0"/>
              <w:bottom w:val="single" w:color="000000" w:sz="4" w:space="0"/>
              <w:right w:val="single" w:color="000000" w:sz="4" w:space="0"/>
            </w:tcBorders>
          </w:tcPr>
          <w:p w14:paraId="1DC29CF9">
            <w:pPr>
              <w:pStyle w:val="17"/>
              <w:spacing w:before="49"/>
              <w:ind w:left="25"/>
              <w:rPr>
                <w:rFonts w:ascii="Times New Roman"/>
                <w:sz w:val="21"/>
              </w:rPr>
            </w:pPr>
            <w:r>
              <w:rPr>
                <w:rFonts w:ascii="Times New Roman"/>
                <w:w w:val="99"/>
                <w:sz w:val="21"/>
              </w:rPr>
              <w:t>0</w:t>
            </w:r>
          </w:p>
        </w:tc>
        <w:tc>
          <w:tcPr>
            <w:tcW w:w="1059" w:type="dxa"/>
            <w:tcBorders>
              <w:left w:val="single" w:color="000000" w:sz="4" w:space="0"/>
              <w:bottom w:val="single" w:color="000000" w:sz="4" w:space="0"/>
              <w:right w:val="single" w:color="000000" w:sz="4" w:space="0"/>
            </w:tcBorders>
          </w:tcPr>
          <w:p w14:paraId="76D2794F">
            <w:pPr>
              <w:pStyle w:val="17"/>
              <w:spacing w:before="49"/>
              <w:ind w:left="334" w:right="306"/>
              <w:rPr>
                <w:rFonts w:ascii="Times New Roman"/>
                <w:sz w:val="21"/>
              </w:rPr>
            </w:pPr>
            <w:r>
              <w:rPr>
                <w:rFonts w:ascii="Times New Roman"/>
                <w:sz w:val="21"/>
              </w:rPr>
              <w:t>0.2</w:t>
            </w:r>
          </w:p>
        </w:tc>
        <w:tc>
          <w:tcPr>
            <w:tcW w:w="774" w:type="dxa"/>
            <w:tcBorders>
              <w:left w:val="single" w:color="000000" w:sz="4" w:space="0"/>
              <w:bottom w:val="single" w:color="000000" w:sz="4" w:space="0"/>
              <w:right w:val="nil"/>
            </w:tcBorders>
          </w:tcPr>
          <w:p w14:paraId="2B4295E1">
            <w:pPr>
              <w:pStyle w:val="17"/>
              <w:spacing w:before="35"/>
              <w:ind w:left="22"/>
              <w:rPr>
                <w:sz w:val="21"/>
              </w:rPr>
            </w:pPr>
            <w:r>
              <w:rPr>
                <w:w w:val="99"/>
                <w:sz w:val="21"/>
              </w:rPr>
              <w:t>是</w:t>
            </w:r>
          </w:p>
        </w:tc>
      </w:tr>
      <w:tr w14:paraId="4C2120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556" w:type="dxa"/>
            <w:vMerge w:val="continue"/>
            <w:tcBorders>
              <w:top w:val="nil"/>
              <w:left w:val="nil"/>
              <w:right w:val="single" w:color="000000" w:sz="4" w:space="0"/>
            </w:tcBorders>
          </w:tcPr>
          <w:p w14:paraId="30A21691">
            <w:pPr>
              <w:rPr>
                <w:sz w:val="2"/>
                <w:szCs w:val="2"/>
              </w:rPr>
            </w:pPr>
          </w:p>
        </w:tc>
        <w:tc>
          <w:tcPr>
            <w:tcW w:w="1472" w:type="dxa"/>
            <w:tcBorders>
              <w:top w:val="single" w:color="000000" w:sz="4" w:space="0"/>
              <w:left w:val="single" w:color="000000" w:sz="4" w:space="0"/>
              <w:bottom w:val="single" w:color="000000" w:sz="4" w:space="0"/>
              <w:right w:val="single" w:color="000000" w:sz="4" w:space="0"/>
            </w:tcBorders>
          </w:tcPr>
          <w:p w14:paraId="25A537E5">
            <w:pPr>
              <w:pStyle w:val="17"/>
              <w:spacing w:before="25"/>
              <w:ind w:left="43" w:right="18"/>
              <w:rPr>
                <w:sz w:val="21"/>
              </w:rPr>
            </w:pPr>
            <w:r>
              <w:rPr>
                <w:sz w:val="21"/>
              </w:rPr>
              <w:t>氰化物</w:t>
            </w:r>
          </w:p>
        </w:tc>
        <w:tc>
          <w:tcPr>
            <w:tcW w:w="1757" w:type="dxa"/>
            <w:tcBorders>
              <w:top w:val="single" w:color="000000" w:sz="4" w:space="0"/>
              <w:left w:val="single" w:color="000000" w:sz="4" w:space="0"/>
              <w:bottom w:val="single" w:color="000000" w:sz="4" w:space="0"/>
              <w:right w:val="single" w:color="000000" w:sz="4" w:space="0"/>
            </w:tcBorders>
          </w:tcPr>
          <w:p w14:paraId="01AD465C">
            <w:pPr>
              <w:pStyle w:val="17"/>
              <w:spacing w:before="39"/>
              <w:ind w:left="96" w:right="69"/>
              <w:rPr>
                <w:rFonts w:ascii="Times New Roman"/>
                <w:sz w:val="21"/>
              </w:rPr>
            </w:pPr>
            <w:r>
              <w:rPr>
                <w:rFonts w:ascii="Times New Roman"/>
                <w:sz w:val="21"/>
              </w:rPr>
              <w:t>0.0005~0.002</w:t>
            </w:r>
          </w:p>
        </w:tc>
        <w:tc>
          <w:tcPr>
            <w:tcW w:w="1382" w:type="dxa"/>
            <w:tcBorders>
              <w:top w:val="single" w:color="000000" w:sz="4" w:space="0"/>
              <w:left w:val="single" w:color="000000" w:sz="4" w:space="0"/>
              <w:bottom w:val="single" w:color="000000" w:sz="4" w:space="0"/>
              <w:right w:val="single" w:color="000000" w:sz="4" w:space="0"/>
            </w:tcBorders>
          </w:tcPr>
          <w:p w14:paraId="5633E17B">
            <w:pPr>
              <w:pStyle w:val="17"/>
              <w:spacing w:before="39"/>
              <w:ind w:left="97" w:right="69"/>
              <w:rPr>
                <w:rFonts w:ascii="Times New Roman"/>
                <w:sz w:val="21"/>
              </w:rPr>
            </w:pPr>
            <w:r>
              <w:rPr>
                <w:rFonts w:ascii="Times New Roman"/>
                <w:sz w:val="21"/>
              </w:rPr>
              <w:t>0.0025~0.01</w:t>
            </w:r>
          </w:p>
        </w:tc>
        <w:tc>
          <w:tcPr>
            <w:tcW w:w="699" w:type="dxa"/>
            <w:tcBorders>
              <w:top w:val="single" w:color="000000" w:sz="4" w:space="0"/>
              <w:left w:val="single" w:color="000000" w:sz="4" w:space="0"/>
              <w:bottom w:val="single" w:color="000000" w:sz="4" w:space="0"/>
              <w:right w:val="single" w:color="000000" w:sz="4" w:space="0"/>
            </w:tcBorders>
          </w:tcPr>
          <w:p w14:paraId="4ACB2B78">
            <w:pPr>
              <w:pStyle w:val="17"/>
              <w:spacing w:before="39"/>
              <w:ind w:left="27"/>
              <w:rPr>
                <w:rFonts w:ascii="Times New Roman"/>
                <w:sz w:val="21"/>
              </w:rPr>
            </w:pPr>
            <w:r>
              <w:rPr>
                <w:rFonts w:ascii="Times New Roman"/>
                <w:w w:val="99"/>
                <w:sz w:val="21"/>
              </w:rPr>
              <w:t>0</w:t>
            </w:r>
          </w:p>
        </w:tc>
        <w:tc>
          <w:tcPr>
            <w:tcW w:w="820" w:type="dxa"/>
            <w:tcBorders>
              <w:top w:val="single" w:color="000000" w:sz="4" w:space="0"/>
              <w:left w:val="single" w:color="000000" w:sz="4" w:space="0"/>
              <w:bottom w:val="single" w:color="000000" w:sz="4" w:space="0"/>
              <w:right w:val="single" w:color="000000" w:sz="4" w:space="0"/>
            </w:tcBorders>
          </w:tcPr>
          <w:p w14:paraId="44748C7B">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bottom w:val="single" w:color="000000" w:sz="4" w:space="0"/>
              <w:right w:val="single" w:color="000000" w:sz="4" w:space="0"/>
            </w:tcBorders>
          </w:tcPr>
          <w:p w14:paraId="38F5A224">
            <w:pPr>
              <w:pStyle w:val="17"/>
              <w:spacing w:before="39"/>
              <w:ind w:left="334" w:right="306"/>
              <w:rPr>
                <w:rFonts w:ascii="Times New Roman"/>
                <w:sz w:val="21"/>
              </w:rPr>
            </w:pPr>
            <w:r>
              <w:rPr>
                <w:rFonts w:ascii="Times New Roman"/>
                <w:sz w:val="21"/>
              </w:rPr>
              <w:t>0.2</w:t>
            </w:r>
          </w:p>
        </w:tc>
        <w:tc>
          <w:tcPr>
            <w:tcW w:w="774" w:type="dxa"/>
            <w:tcBorders>
              <w:top w:val="single" w:color="000000" w:sz="4" w:space="0"/>
              <w:left w:val="single" w:color="000000" w:sz="4" w:space="0"/>
              <w:bottom w:val="single" w:color="000000" w:sz="4" w:space="0"/>
              <w:right w:val="nil"/>
            </w:tcBorders>
          </w:tcPr>
          <w:p w14:paraId="7963F81B">
            <w:pPr>
              <w:pStyle w:val="17"/>
              <w:spacing w:before="25"/>
              <w:ind w:left="22"/>
              <w:rPr>
                <w:sz w:val="21"/>
              </w:rPr>
            </w:pPr>
            <w:r>
              <w:rPr>
                <w:w w:val="99"/>
                <w:sz w:val="21"/>
              </w:rPr>
              <w:t>是</w:t>
            </w:r>
          </w:p>
        </w:tc>
      </w:tr>
      <w:tr w14:paraId="4AC1FF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556" w:type="dxa"/>
            <w:vMerge w:val="continue"/>
            <w:tcBorders>
              <w:top w:val="nil"/>
              <w:left w:val="nil"/>
              <w:right w:val="single" w:color="000000" w:sz="4" w:space="0"/>
            </w:tcBorders>
          </w:tcPr>
          <w:p w14:paraId="5F6053D1">
            <w:pPr>
              <w:rPr>
                <w:sz w:val="2"/>
                <w:szCs w:val="2"/>
              </w:rPr>
            </w:pPr>
          </w:p>
        </w:tc>
        <w:tc>
          <w:tcPr>
            <w:tcW w:w="1472" w:type="dxa"/>
            <w:tcBorders>
              <w:top w:val="single" w:color="000000" w:sz="4" w:space="0"/>
              <w:left w:val="single" w:color="000000" w:sz="4" w:space="0"/>
              <w:right w:val="single" w:color="000000" w:sz="4" w:space="0"/>
            </w:tcBorders>
          </w:tcPr>
          <w:p w14:paraId="6DED415B">
            <w:pPr>
              <w:pStyle w:val="17"/>
              <w:spacing w:before="25"/>
              <w:ind w:left="27"/>
              <w:rPr>
                <w:sz w:val="21"/>
              </w:rPr>
            </w:pPr>
            <w:r>
              <w:rPr>
                <w:w w:val="99"/>
                <w:sz w:val="21"/>
              </w:rPr>
              <w:t>硒</w:t>
            </w:r>
          </w:p>
        </w:tc>
        <w:tc>
          <w:tcPr>
            <w:tcW w:w="1757" w:type="dxa"/>
            <w:tcBorders>
              <w:top w:val="single" w:color="000000" w:sz="4" w:space="0"/>
              <w:left w:val="single" w:color="000000" w:sz="4" w:space="0"/>
              <w:right w:val="single" w:color="000000" w:sz="4" w:space="0"/>
            </w:tcBorders>
          </w:tcPr>
          <w:p w14:paraId="7080EB85">
            <w:pPr>
              <w:pStyle w:val="17"/>
              <w:spacing w:before="39"/>
              <w:ind w:left="96" w:right="69"/>
              <w:rPr>
                <w:rFonts w:ascii="Times New Roman"/>
                <w:sz w:val="21"/>
              </w:rPr>
            </w:pPr>
            <w:r>
              <w:rPr>
                <w:rFonts w:ascii="Times New Roman"/>
                <w:sz w:val="21"/>
              </w:rPr>
              <w:t>0.0002</w:t>
            </w:r>
          </w:p>
        </w:tc>
        <w:tc>
          <w:tcPr>
            <w:tcW w:w="1382" w:type="dxa"/>
            <w:tcBorders>
              <w:top w:val="single" w:color="000000" w:sz="4" w:space="0"/>
              <w:left w:val="single" w:color="000000" w:sz="4" w:space="0"/>
              <w:right w:val="single" w:color="000000" w:sz="4" w:space="0"/>
            </w:tcBorders>
          </w:tcPr>
          <w:p w14:paraId="20B5A0F2">
            <w:pPr>
              <w:pStyle w:val="17"/>
              <w:spacing w:before="39"/>
              <w:ind w:left="99" w:right="69"/>
              <w:rPr>
                <w:rFonts w:ascii="Times New Roman"/>
                <w:sz w:val="21"/>
              </w:rPr>
            </w:pPr>
            <w:r>
              <w:rPr>
                <w:rFonts w:ascii="Times New Roman"/>
                <w:sz w:val="21"/>
              </w:rPr>
              <w:t>0.02</w:t>
            </w:r>
          </w:p>
        </w:tc>
        <w:tc>
          <w:tcPr>
            <w:tcW w:w="699" w:type="dxa"/>
            <w:tcBorders>
              <w:top w:val="single" w:color="000000" w:sz="4" w:space="0"/>
              <w:left w:val="single" w:color="000000" w:sz="4" w:space="0"/>
              <w:right w:val="single" w:color="000000" w:sz="4" w:space="0"/>
            </w:tcBorders>
          </w:tcPr>
          <w:p w14:paraId="5BBA62DC">
            <w:pPr>
              <w:pStyle w:val="17"/>
              <w:spacing w:before="39"/>
              <w:ind w:left="27"/>
              <w:rPr>
                <w:rFonts w:ascii="Times New Roman"/>
                <w:sz w:val="21"/>
              </w:rPr>
            </w:pPr>
            <w:r>
              <w:rPr>
                <w:rFonts w:ascii="Times New Roman"/>
                <w:w w:val="99"/>
                <w:sz w:val="21"/>
              </w:rPr>
              <w:t>0</w:t>
            </w:r>
          </w:p>
        </w:tc>
        <w:tc>
          <w:tcPr>
            <w:tcW w:w="820" w:type="dxa"/>
            <w:tcBorders>
              <w:top w:val="single" w:color="000000" w:sz="4" w:space="0"/>
              <w:left w:val="single" w:color="000000" w:sz="4" w:space="0"/>
              <w:right w:val="single" w:color="000000" w:sz="4" w:space="0"/>
            </w:tcBorders>
          </w:tcPr>
          <w:p w14:paraId="1E3AED1A">
            <w:pPr>
              <w:pStyle w:val="17"/>
              <w:spacing w:before="39"/>
              <w:ind w:left="25"/>
              <w:rPr>
                <w:rFonts w:ascii="Times New Roman"/>
                <w:sz w:val="21"/>
              </w:rPr>
            </w:pPr>
            <w:r>
              <w:rPr>
                <w:rFonts w:ascii="Times New Roman"/>
                <w:w w:val="99"/>
                <w:sz w:val="21"/>
              </w:rPr>
              <w:t>0</w:t>
            </w:r>
          </w:p>
        </w:tc>
        <w:tc>
          <w:tcPr>
            <w:tcW w:w="1059" w:type="dxa"/>
            <w:tcBorders>
              <w:top w:val="single" w:color="000000" w:sz="4" w:space="0"/>
              <w:left w:val="single" w:color="000000" w:sz="4" w:space="0"/>
              <w:right w:val="single" w:color="000000" w:sz="4" w:space="0"/>
            </w:tcBorders>
          </w:tcPr>
          <w:p w14:paraId="3EAF5589">
            <w:pPr>
              <w:pStyle w:val="17"/>
              <w:spacing w:before="39"/>
              <w:ind w:left="334" w:right="306"/>
              <w:rPr>
                <w:rFonts w:ascii="Times New Roman"/>
                <w:sz w:val="21"/>
              </w:rPr>
            </w:pPr>
            <w:r>
              <w:rPr>
                <w:rFonts w:ascii="Times New Roman"/>
                <w:sz w:val="21"/>
              </w:rPr>
              <w:t>0.01</w:t>
            </w:r>
          </w:p>
        </w:tc>
        <w:tc>
          <w:tcPr>
            <w:tcW w:w="774" w:type="dxa"/>
            <w:tcBorders>
              <w:top w:val="single" w:color="000000" w:sz="4" w:space="0"/>
              <w:left w:val="single" w:color="000000" w:sz="4" w:space="0"/>
              <w:right w:val="nil"/>
            </w:tcBorders>
          </w:tcPr>
          <w:p w14:paraId="73BC5805">
            <w:pPr>
              <w:pStyle w:val="17"/>
              <w:spacing w:before="25"/>
              <w:ind w:left="22"/>
              <w:rPr>
                <w:sz w:val="21"/>
              </w:rPr>
            </w:pPr>
            <w:r>
              <w:rPr>
                <w:w w:val="99"/>
                <w:sz w:val="21"/>
              </w:rPr>
              <w:t>是</w:t>
            </w:r>
          </w:p>
        </w:tc>
      </w:tr>
    </w:tbl>
    <w:p w14:paraId="7B4D5017">
      <w:pPr>
        <w:pStyle w:val="10"/>
        <w:spacing w:before="3" w:line="362" w:lineRule="auto"/>
        <w:ind w:left="240" w:right="237" w:firstLine="480"/>
      </w:pPr>
      <w:r>
        <w:t>统计数据表明，</w:t>
      </w:r>
      <w:r>
        <w:rPr>
          <w:rFonts w:ascii="Times New Roman" w:eastAsia="Times New Roman"/>
        </w:rPr>
        <w:t xml:space="preserve">2023 </w:t>
      </w:r>
      <w:r>
        <w:t>年汨罗江南渡断面地表水水质符合《地表水环境质量标准》（</w:t>
      </w:r>
      <w:r>
        <w:rPr>
          <w:rFonts w:ascii="Times New Roman" w:eastAsia="Times New Roman"/>
        </w:rPr>
        <w:t>GB3838-2002</w:t>
      </w:r>
      <w:r>
        <w:t xml:space="preserve">）表 </w:t>
      </w:r>
      <w:r>
        <w:rPr>
          <w:rFonts w:ascii="Times New Roman" w:eastAsia="Times New Roman"/>
        </w:rPr>
        <w:t xml:space="preserve">1 </w:t>
      </w:r>
      <w:r>
        <w:t xml:space="preserve">中 </w:t>
      </w:r>
      <w:r>
        <w:rPr>
          <w:rFonts w:ascii="Times New Roman" w:eastAsia="Times New Roman"/>
        </w:rPr>
        <w:t xml:space="preserve">III </w:t>
      </w:r>
      <w:r>
        <w:t>类水质标准要求。</w:t>
      </w:r>
    </w:p>
    <w:p w14:paraId="764C4663">
      <w:pPr>
        <w:pStyle w:val="10"/>
        <w:spacing w:before="3" w:line="364" w:lineRule="auto"/>
        <w:ind w:left="240" w:right="237" w:firstLine="480"/>
      </w:pPr>
      <w:r>
        <w:t>根据《</w:t>
      </w:r>
      <w:r>
        <w:rPr>
          <w:rFonts w:ascii="Times New Roman" w:eastAsia="Times New Roman"/>
        </w:rPr>
        <w:t xml:space="preserve">2023 </w:t>
      </w:r>
      <w:r>
        <w:t>年湖南汨罗高新技术产业开发区生态环境保护信息公示》中园区地表水自行监测结果的监测数据，检测结果如下：</w:t>
      </w:r>
    </w:p>
    <w:p w14:paraId="6EBA818B">
      <w:pPr>
        <w:pStyle w:val="9"/>
        <w:tabs>
          <w:tab w:val="left" w:pos="2380"/>
        </w:tabs>
        <w:spacing w:before="1" w:after="3"/>
        <w:ind w:left="1341"/>
      </w:pPr>
      <w:r>
        <w:t>表</w:t>
      </w:r>
      <w:r>
        <w:rPr>
          <w:spacing w:val="-62"/>
        </w:rPr>
        <w:t xml:space="preserve"> </w:t>
      </w:r>
      <w:r>
        <w:rPr>
          <w:rFonts w:ascii="Times New Roman" w:eastAsia="Times New Roman"/>
        </w:rPr>
        <w:t>3.3-6</w:t>
      </w:r>
      <w:r>
        <w:rPr>
          <w:rFonts w:ascii="Times New Roman" w:eastAsia="Times New Roman"/>
        </w:rPr>
        <w:tab/>
      </w:r>
      <w:r>
        <w:t>园区地表水环境质量现状监测结果（单位：</w:t>
      </w:r>
      <w:r>
        <w:rPr>
          <w:rFonts w:ascii="Times New Roman" w:eastAsia="Times New Roman"/>
        </w:rPr>
        <w:t>mg/m</w:t>
      </w:r>
      <w:r>
        <w:rPr>
          <w:rFonts w:ascii="Times New Roman" w:eastAsia="Times New Roman"/>
          <w:position w:val="8"/>
          <w:sz w:val="15"/>
        </w:rPr>
        <w:t>3</w:t>
      </w:r>
      <w:r>
        <w:t>）</w:t>
      </w:r>
    </w:p>
    <w:tbl>
      <w:tblPr>
        <w:tblStyle w:val="13"/>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1028"/>
        <w:gridCol w:w="1001"/>
        <w:gridCol w:w="1001"/>
        <w:gridCol w:w="1115"/>
        <w:gridCol w:w="744"/>
        <w:gridCol w:w="788"/>
        <w:gridCol w:w="788"/>
        <w:gridCol w:w="763"/>
      </w:tblGrid>
      <w:tr w14:paraId="12276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02A4C8E5">
            <w:pPr>
              <w:pStyle w:val="17"/>
              <w:spacing w:before="1"/>
              <w:jc w:val="left"/>
              <w:rPr>
                <w:b/>
                <w:sz w:val="14"/>
              </w:rPr>
            </w:pPr>
          </w:p>
          <w:p w14:paraId="15DDBF41">
            <w:pPr>
              <w:pStyle w:val="17"/>
              <w:ind w:left="147"/>
              <w:jc w:val="left"/>
              <w:rPr>
                <w:sz w:val="21"/>
              </w:rPr>
            </w:pPr>
            <w:r>
              <w:rPr>
                <w:sz w:val="21"/>
              </w:rPr>
              <w:t>监测点位</w:t>
            </w:r>
          </w:p>
        </w:tc>
        <w:tc>
          <w:tcPr>
            <w:tcW w:w="1028" w:type="dxa"/>
            <w:vMerge w:val="restart"/>
          </w:tcPr>
          <w:p w14:paraId="63E0B794">
            <w:pPr>
              <w:pStyle w:val="17"/>
              <w:spacing w:before="1"/>
              <w:jc w:val="left"/>
              <w:rPr>
                <w:b/>
                <w:sz w:val="14"/>
              </w:rPr>
            </w:pPr>
          </w:p>
          <w:p w14:paraId="22F9EC70">
            <w:pPr>
              <w:pStyle w:val="17"/>
              <w:ind w:left="93"/>
              <w:jc w:val="left"/>
              <w:rPr>
                <w:sz w:val="21"/>
              </w:rPr>
            </w:pPr>
            <w:r>
              <w:rPr>
                <w:sz w:val="21"/>
              </w:rPr>
              <w:t>监测项目</w:t>
            </w:r>
          </w:p>
        </w:tc>
        <w:tc>
          <w:tcPr>
            <w:tcW w:w="2002" w:type="dxa"/>
            <w:gridSpan w:val="2"/>
          </w:tcPr>
          <w:p w14:paraId="36B4061B">
            <w:pPr>
              <w:pStyle w:val="17"/>
              <w:spacing w:before="19"/>
              <w:ind w:left="580"/>
              <w:jc w:val="left"/>
              <w:rPr>
                <w:sz w:val="21"/>
              </w:rPr>
            </w:pPr>
            <w:r>
              <w:rPr>
                <w:sz w:val="21"/>
              </w:rPr>
              <w:t>监测结果</w:t>
            </w:r>
          </w:p>
        </w:tc>
        <w:tc>
          <w:tcPr>
            <w:tcW w:w="1115" w:type="dxa"/>
            <w:vMerge w:val="restart"/>
          </w:tcPr>
          <w:p w14:paraId="728E3717">
            <w:pPr>
              <w:pStyle w:val="17"/>
              <w:spacing w:before="24"/>
              <w:ind w:left="12" w:right="3"/>
              <w:rPr>
                <w:sz w:val="21"/>
              </w:rPr>
            </w:pPr>
            <w:r>
              <w:rPr>
                <w:sz w:val="21"/>
              </w:rPr>
              <w:t>水质评价指</w:t>
            </w:r>
          </w:p>
          <w:p w14:paraId="19F1E0A4">
            <w:pPr>
              <w:pStyle w:val="17"/>
              <w:spacing w:before="43"/>
              <w:ind w:left="9"/>
              <w:rPr>
                <w:sz w:val="21"/>
              </w:rPr>
            </w:pPr>
            <w:r>
              <w:rPr>
                <w:w w:val="99"/>
                <w:sz w:val="21"/>
              </w:rPr>
              <w:t>数</w:t>
            </w:r>
          </w:p>
        </w:tc>
        <w:tc>
          <w:tcPr>
            <w:tcW w:w="744" w:type="dxa"/>
            <w:vMerge w:val="restart"/>
          </w:tcPr>
          <w:p w14:paraId="18D53FDC">
            <w:pPr>
              <w:pStyle w:val="17"/>
              <w:spacing w:before="1"/>
              <w:jc w:val="left"/>
              <w:rPr>
                <w:b/>
                <w:sz w:val="14"/>
              </w:rPr>
            </w:pPr>
          </w:p>
          <w:p w14:paraId="4EBC5929">
            <w:pPr>
              <w:pStyle w:val="17"/>
              <w:ind w:left="57"/>
              <w:jc w:val="left"/>
              <w:rPr>
                <w:sz w:val="21"/>
              </w:rPr>
            </w:pPr>
            <w:r>
              <w:rPr>
                <w:sz w:val="21"/>
              </w:rPr>
              <w:t>超标率</w:t>
            </w:r>
          </w:p>
        </w:tc>
        <w:tc>
          <w:tcPr>
            <w:tcW w:w="788" w:type="dxa"/>
            <w:vMerge w:val="restart"/>
          </w:tcPr>
          <w:p w14:paraId="6DA3471C">
            <w:pPr>
              <w:pStyle w:val="17"/>
              <w:spacing w:before="24"/>
              <w:ind w:left="79"/>
              <w:jc w:val="left"/>
              <w:rPr>
                <w:sz w:val="21"/>
              </w:rPr>
            </w:pPr>
            <w:r>
              <w:rPr>
                <w:w w:val="95"/>
                <w:sz w:val="21"/>
              </w:rPr>
              <w:t>最大超</w:t>
            </w:r>
          </w:p>
          <w:p w14:paraId="1F134675">
            <w:pPr>
              <w:pStyle w:val="17"/>
              <w:spacing w:before="43"/>
              <w:ind w:left="79"/>
              <w:jc w:val="left"/>
              <w:rPr>
                <w:sz w:val="21"/>
              </w:rPr>
            </w:pPr>
            <w:r>
              <w:rPr>
                <w:w w:val="95"/>
                <w:sz w:val="21"/>
              </w:rPr>
              <w:t>标倍数</w:t>
            </w:r>
          </w:p>
        </w:tc>
        <w:tc>
          <w:tcPr>
            <w:tcW w:w="788" w:type="dxa"/>
            <w:vMerge w:val="restart"/>
          </w:tcPr>
          <w:p w14:paraId="4413E669">
            <w:pPr>
              <w:pStyle w:val="17"/>
              <w:spacing w:before="24"/>
              <w:ind w:left="58" w:right="50"/>
              <w:rPr>
                <w:sz w:val="21"/>
              </w:rPr>
            </w:pPr>
            <w:r>
              <w:rPr>
                <w:sz w:val="21"/>
              </w:rPr>
              <w:t>标准限</w:t>
            </w:r>
          </w:p>
          <w:p w14:paraId="23D53247">
            <w:pPr>
              <w:pStyle w:val="17"/>
              <w:spacing w:before="43"/>
              <w:ind w:left="10"/>
              <w:rPr>
                <w:sz w:val="21"/>
              </w:rPr>
            </w:pPr>
            <w:r>
              <w:rPr>
                <w:w w:val="99"/>
                <w:sz w:val="21"/>
              </w:rPr>
              <w:t>值</w:t>
            </w:r>
          </w:p>
        </w:tc>
        <w:tc>
          <w:tcPr>
            <w:tcW w:w="763" w:type="dxa"/>
            <w:vMerge w:val="restart"/>
            <w:tcBorders>
              <w:right w:val="nil"/>
            </w:tcBorders>
          </w:tcPr>
          <w:p w14:paraId="01B56352">
            <w:pPr>
              <w:pStyle w:val="17"/>
              <w:spacing w:before="24"/>
              <w:ind w:left="45" w:right="43"/>
              <w:rPr>
                <w:sz w:val="21"/>
              </w:rPr>
            </w:pPr>
            <w:r>
              <w:rPr>
                <w:sz w:val="21"/>
              </w:rPr>
              <w:t>达标情</w:t>
            </w:r>
          </w:p>
          <w:p w14:paraId="53FB4F79">
            <w:pPr>
              <w:pStyle w:val="17"/>
              <w:spacing w:before="43"/>
              <w:rPr>
                <w:sz w:val="21"/>
              </w:rPr>
            </w:pPr>
            <w:r>
              <w:rPr>
                <w:w w:val="99"/>
                <w:sz w:val="21"/>
              </w:rPr>
              <w:t>况</w:t>
            </w:r>
          </w:p>
        </w:tc>
      </w:tr>
      <w:tr w14:paraId="03772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28D35317">
            <w:pPr>
              <w:rPr>
                <w:sz w:val="2"/>
                <w:szCs w:val="2"/>
              </w:rPr>
            </w:pPr>
          </w:p>
        </w:tc>
        <w:tc>
          <w:tcPr>
            <w:tcW w:w="1028" w:type="dxa"/>
            <w:vMerge w:val="continue"/>
            <w:tcBorders>
              <w:top w:val="nil"/>
            </w:tcBorders>
          </w:tcPr>
          <w:p w14:paraId="61A8358C">
            <w:pPr>
              <w:rPr>
                <w:sz w:val="2"/>
                <w:szCs w:val="2"/>
              </w:rPr>
            </w:pPr>
          </w:p>
        </w:tc>
        <w:tc>
          <w:tcPr>
            <w:tcW w:w="1001" w:type="dxa"/>
          </w:tcPr>
          <w:p w14:paraId="3FA20208">
            <w:pPr>
              <w:pStyle w:val="17"/>
              <w:spacing w:before="33"/>
              <w:ind w:right="16"/>
              <w:jc w:val="right"/>
              <w:rPr>
                <w:rFonts w:ascii="Times New Roman"/>
                <w:sz w:val="21"/>
              </w:rPr>
            </w:pPr>
            <w:r>
              <w:rPr>
                <w:rFonts w:ascii="Times New Roman"/>
                <w:w w:val="95"/>
                <w:sz w:val="21"/>
              </w:rPr>
              <w:t>2023.02.08</w:t>
            </w:r>
          </w:p>
        </w:tc>
        <w:tc>
          <w:tcPr>
            <w:tcW w:w="1001" w:type="dxa"/>
          </w:tcPr>
          <w:p w14:paraId="5415C417">
            <w:pPr>
              <w:pStyle w:val="17"/>
              <w:spacing w:before="33"/>
              <w:ind w:right="16"/>
              <w:jc w:val="right"/>
              <w:rPr>
                <w:rFonts w:ascii="Times New Roman"/>
                <w:sz w:val="21"/>
              </w:rPr>
            </w:pPr>
            <w:r>
              <w:rPr>
                <w:rFonts w:ascii="Times New Roman"/>
                <w:w w:val="95"/>
                <w:sz w:val="21"/>
              </w:rPr>
              <w:t>2023.08.09</w:t>
            </w:r>
          </w:p>
        </w:tc>
        <w:tc>
          <w:tcPr>
            <w:tcW w:w="1115" w:type="dxa"/>
            <w:vMerge w:val="continue"/>
            <w:tcBorders>
              <w:top w:val="nil"/>
            </w:tcBorders>
          </w:tcPr>
          <w:p w14:paraId="04747B1B">
            <w:pPr>
              <w:rPr>
                <w:sz w:val="2"/>
                <w:szCs w:val="2"/>
              </w:rPr>
            </w:pPr>
          </w:p>
        </w:tc>
        <w:tc>
          <w:tcPr>
            <w:tcW w:w="744" w:type="dxa"/>
            <w:vMerge w:val="continue"/>
            <w:tcBorders>
              <w:top w:val="nil"/>
            </w:tcBorders>
          </w:tcPr>
          <w:p w14:paraId="697B02D3">
            <w:pPr>
              <w:rPr>
                <w:sz w:val="2"/>
                <w:szCs w:val="2"/>
              </w:rPr>
            </w:pPr>
          </w:p>
        </w:tc>
        <w:tc>
          <w:tcPr>
            <w:tcW w:w="788" w:type="dxa"/>
            <w:vMerge w:val="continue"/>
            <w:tcBorders>
              <w:top w:val="nil"/>
            </w:tcBorders>
          </w:tcPr>
          <w:p w14:paraId="22512BB4">
            <w:pPr>
              <w:rPr>
                <w:sz w:val="2"/>
                <w:szCs w:val="2"/>
              </w:rPr>
            </w:pPr>
          </w:p>
        </w:tc>
        <w:tc>
          <w:tcPr>
            <w:tcW w:w="788" w:type="dxa"/>
            <w:vMerge w:val="continue"/>
            <w:tcBorders>
              <w:top w:val="nil"/>
            </w:tcBorders>
          </w:tcPr>
          <w:p w14:paraId="65FC2C6A">
            <w:pPr>
              <w:rPr>
                <w:sz w:val="2"/>
                <w:szCs w:val="2"/>
              </w:rPr>
            </w:pPr>
          </w:p>
        </w:tc>
        <w:tc>
          <w:tcPr>
            <w:tcW w:w="763" w:type="dxa"/>
            <w:vMerge w:val="continue"/>
            <w:tcBorders>
              <w:top w:val="nil"/>
              <w:right w:val="nil"/>
            </w:tcBorders>
          </w:tcPr>
          <w:p w14:paraId="2AE868B8">
            <w:pPr>
              <w:rPr>
                <w:sz w:val="2"/>
                <w:szCs w:val="2"/>
              </w:rPr>
            </w:pPr>
          </w:p>
        </w:tc>
      </w:tr>
      <w:tr w14:paraId="6FADA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6538B05C">
            <w:pPr>
              <w:pStyle w:val="17"/>
              <w:jc w:val="left"/>
              <w:rPr>
                <w:b/>
                <w:sz w:val="22"/>
              </w:rPr>
            </w:pPr>
          </w:p>
          <w:p w14:paraId="72DFB02D">
            <w:pPr>
              <w:pStyle w:val="17"/>
              <w:jc w:val="left"/>
              <w:rPr>
                <w:b/>
                <w:sz w:val="22"/>
              </w:rPr>
            </w:pPr>
          </w:p>
          <w:p w14:paraId="03D9D3D9">
            <w:pPr>
              <w:pStyle w:val="17"/>
              <w:jc w:val="left"/>
              <w:rPr>
                <w:b/>
                <w:sz w:val="22"/>
              </w:rPr>
            </w:pPr>
          </w:p>
          <w:p w14:paraId="7A17EC44">
            <w:pPr>
              <w:pStyle w:val="17"/>
              <w:jc w:val="left"/>
              <w:rPr>
                <w:b/>
                <w:sz w:val="22"/>
              </w:rPr>
            </w:pPr>
          </w:p>
          <w:p w14:paraId="019B891A">
            <w:pPr>
              <w:pStyle w:val="17"/>
              <w:jc w:val="left"/>
              <w:rPr>
                <w:b/>
                <w:sz w:val="22"/>
              </w:rPr>
            </w:pPr>
          </w:p>
          <w:p w14:paraId="14844F17">
            <w:pPr>
              <w:pStyle w:val="17"/>
              <w:jc w:val="left"/>
              <w:rPr>
                <w:b/>
                <w:sz w:val="22"/>
              </w:rPr>
            </w:pPr>
          </w:p>
          <w:p w14:paraId="66F68587">
            <w:pPr>
              <w:pStyle w:val="17"/>
              <w:jc w:val="left"/>
              <w:rPr>
                <w:b/>
                <w:sz w:val="22"/>
              </w:rPr>
            </w:pPr>
          </w:p>
          <w:p w14:paraId="2B1F3371">
            <w:pPr>
              <w:pStyle w:val="17"/>
              <w:jc w:val="left"/>
              <w:rPr>
                <w:b/>
                <w:sz w:val="22"/>
              </w:rPr>
            </w:pPr>
          </w:p>
          <w:p w14:paraId="23A6AD1A">
            <w:pPr>
              <w:pStyle w:val="17"/>
              <w:jc w:val="left"/>
              <w:rPr>
                <w:b/>
                <w:sz w:val="22"/>
              </w:rPr>
            </w:pPr>
          </w:p>
          <w:p w14:paraId="0BF31C12">
            <w:pPr>
              <w:pStyle w:val="17"/>
              <w:spacing w:before="9"/>
              <w:jc w:val="left"/>
              <w:rPr>
                <w:b/>
                <w:sz w:val="29"/>
              </w:rPr>
            </w:pPr>
          </w:p>
          <w:p w14:paraId="2AEC53C7">
            <w:pPr>
              <w:pStyle w:val="17"/>
              <w:spacing w:line="285" w:lineRule="auto"/>
              <w:ind w:left="32" w:right="18" w:hanging="1"/>
              <w:rPr>
                <w:rFonts w:ascii="Times New Roman" w:hAnsi="Times New Roman" w:eastAsia="Times New Roman"/>
                <w:sz w:val="21"/>
              </w:rPr>
            </w:pPr>
            <w:r>
              <w:rPr>
                <w:sz w:val="21"/>
              </w:rPr>
              <w:t xml:space="preserve">湄江河（车对 河 ） </w:t>
            </w:r>
            <w:r>
              <w:rPr>
                <w:rFonts w:ascii="Times New Roman" w:hAnsi="Times New Roman" w:eastAsia="Times New Roman"/>
                <w:w w:val="95"/>
                <w:sz w:val="21"/>
              </w:rPr>
              <w:t>113°10′23″E</w:t>
            </w:r>
          </w:p>
          <w:p w14:paraId="3144EB01">
            <w:pPr>
              <w:pStyle w:val="17"/>
              <w:spacing w:before="22"/>
              <w:ind w:left="47" w:right="36"/>
              <w:rPr>
                <w:rFonts w:ascii="Times New Roman" w:hAnsi="Times New Roman"/>
                <w:sz w:val="21"/>
              </w:rPr>
            </w:pPr>
            <w:r>
              <w:rPr>
                <w:rFonts w:ascii="Times New Roman" w:hAnsi="Times New Roman"/>
                <w:sz w:val="21"/>
              </w:rPr>
              <w:t>28°47′10″N</w:t>
            </w:r>
          </w:p>
        </w:tc>
        <w:tc>
          <w:tcPr>
            <w:tcW w:w="1028" w:type="dxa"/>
          </w:tcPr>
          <w:p w14:paraId="3ED3AF6B">
            <w:pPr>
              <w:pStyle w:val="17"/>
              <w:spacing w:before="35"/>
              <w:ind w:left="63" w:right="56"/>
              <w:rPr>
                <w:rFonts w:ascii="Times New Roman"/>
                <w:sz w:val="21"/>
              </w:rPr>
            </w:pPr>
            <w:r>
              <w:rPr>
                <w:rFonts w:ascii="Times New Roman"/>
                <w:sz w:val="21"/>
              </w:rPr>
              <w:t>pH</w:t>
            </w:r>
          </w:p>
        </w:tc>
        <w:tc>
          <w:tcPr>
            <w:tcW w:w="1001" w:type="dxa"/>
          </w:tcPr>
          <w:p w14:paraId="58CCBB02">
            <w:pPr>
              <w:pStyle w:val="17"/>
              <w:spacing w:before="35"/>
              <w:ind w:left="72" w:right="62"/>
              <w:rPr>
                <w:rFonts w:ascii="Times New Roman"/>
                <w:sz w:val="21"/>
              </w:rPr>
            </w:pPr>
            <w:r>
              <w:rPr>
                <w:rFonts w:ascii="Times New Roman"/>
                <w:sz w:val="21"/>
              </w:rPr>
              <w:t>7.2</w:t>
            </w:r>
          </w:p>
        </w:tc>
        <w:tc>
          <w:tcPr>
            <w:tcW w:w="1001" w:type="dxa"/>
          </w:tcPr>
          <w:p w14:paraId="7D7F8B81">
            <w:pPr>
              <w:pStyle w:val="17"/>
              <w:spacing w:before="35"/>
              <w:ind w:left="71" w:right="62"/>
              <w:rPr>
                <w:rFonts w:ascii="Times New Roman"/>
                <w:sz w:val="21"/>
              </w:rPr>
            </w:pPr>
            <w:r>
              <w:rPr>
                <w:rFonts w:ascii="Times New Roman"/>
                <w:sz w:val="21"/>
              </w:rPr>
              <w:t>7.1</w:t>
            </w:r>
          </w:p>
        </w:tc>
        <w:tc>
          <w:tcPr>
            <w:tcW w:w="1115" w:type="dxa"/>
          </w:tcPr>
          <w:p w14:paraId="57E75F22">
            <w:pPr>
              <w:pStyle w:val="17"/>
              <w:spacing w:before="35"/>
              <w:ind w:left="183"/>
              <w:jc w:val="left"/>
              <w:rPr>
                <w:rFonts w:ascii="Times New Roman"/>
                <w:sz w:val="21"/>
              </w:rPr>
            </w:pPr>
            <w:r>
              <w:rPr>
                <w:rFonts w:ascii="Times New Roman"/>
                <w:sz w:val="21"/>
              </w:rPr>
              <w:t>0.05~0.1</w:t>
            </w:r>
          </w:p>
        </w:tc>
        <w:tc>
          <w:tcPr>
            <w:tcW w:w="744" w:type="dxa"/>
          </w:tcPr>
          <w:p w14:paraId="7209AAC2">
            <w:pPr>
              <w:pStyle w:val="17"/>
              <w:spacing w:before="35"/>
              <w:ind w:left="9"/>
              <w:rPr>
                <w:rFonts w:ascii="Times New Roman"/>
                <w:sz w:val="21"/>
              </w:rPr>
            </w:pPr>
            <w:r>
              <w:rPr>
                <w:rFonts w:ascii="Times New Roman"/>
                <w:w w:val="99"/>
                <w:sz w:val="21"/>
              </w:rPr>
              <w:t>0</w:t>
            </w:r>
          </w:p>
        </w:tc>
        <w:tc>
          <w:tcPr>
            <w:tcW w:w="788" w:type="dxa"/>
          </w:tcPr>
          <w:p w14:paraId="4A4DEC4A">
            <w:pPr>
              <w:pStyle w:val="17"/>
              <w:spacing w:before="35"/>
              <w:ind w:right="330"/>
              <w:jc w:val="right"/>
              <w:rPr>
                <w:rFonts w:ascii="Times New Roman"/>
                <w:sz w:val="21"/>
              </w:rPr>
            </w:pPr>
            <w:r>
              <w:rPr>
                <w:rFonts w:ascii="Times New Roman"/>
                <w:w w:val="99"/>
                <w:sz w:val="21"/>
              </w:rPr>
              <w:t>0</w:t>
            </w:r>
          </w:p>
        </w:tc>
        <w:tc>
          <w:tcPr>
            <w:tcW w:w="788" w:type="dxa"/>
          </w:tcPr>
          <w:p w14:paraId="5A88AA51">
            <w:pPr>
              <w:pStyle w:val="17"/>
              <w:spacing w:before="35"/>
              <w:ind w:left="58" w:right="49"/>
              <w:rPr>
                <w:rFonts w:ascii="Times New Roman"/>
                <w:sz w:val="21"/>
              </w:rPr>
            </w:pPr>
            <w:r>
              <w:rPr>
                <w:rFonts w:ascii="Times New Roman"/>
                <w:sz w:val="21"/>
              </w:rPr>
              <w:t>6~9</w:t>
            </w:r>
          </w:p>
        </w:tc>
        <w:tc>
          <w:tcPr>
            <w:tcW w:w="763" w:type="dxa"/>
            <w:tcBorders>
              <w:right w:val="nil"/>
            </w:tcBorders>
          </w:tcPr>
          <w:p w14:paraId="7ECACE07">
            <w:pPr>
              <w:pStyle w:val="17"/>
              <w:spacing w:before="21"/>
              <w:ind w:left="171"/>
              <w:jc w:val="left"/>
              <w:rPr>
                <w:sz w:val="21"/>
              </w:rPr>
            </w:pPr>
            <w:r>
              <w:rPr>
                <w:sz w:val="21"/>
              </w:rPr>
              <w:t>达标</w:t>
            </w:r>
          </w:p>
        </w:tc>
      </w:tr>
      <w:tr w14:paraId="7E8DA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75BA9F3A">
            <w:pPr>
              <w:rPr>
                <w:sz w:val="2"/>
                <w:szCs w:val="2"/>
              </w:rPr>
            </w:pPr>
          </w:p>
        </w:tc>
        <w:tc>
          <w:tcPr>
            <w:tcW w:w="1028" w:type="dxa"/>
          </w:tcPr>
          <w:p w14:paraId="33A8DFFE">
            <w:pPr>
              <w:pStyle w:val="17"/>
              <w:spacing w:before="20"/>
              <w:ind w:left="66" w:right="56"/>
              <w:rPr>
                <w:sz w:val="21"/>
              </w:rPr>
            </w:pPr>
            <w:r>
              <w:rPr>
                <w:sz w:val="21"/>
              </w:rPr>
              <w:t>悬浮物</w:t>
            </w:r>
          </w:p>
        </w:tc>
        <w:tc>
          <w:tcPr>
            <w:tcW w:w="1001" w:type="dxa"/>
          </w:tcPr>
          <w:p w14:paraId="6B567F56">
            <w:pPr>
              <w:pStyle w:val="17"/>
              <w:spacing w:before="34"/>
              <w:ind w:left="72" w:right="62"/>
              <w:rPr>
                <w:rFonts w:ascii="Times New Roman"/>
                <w:sz w:val="21"/>
              </w:rPr>
            </w:pPr>
            <w:r>
              <w:rPr>
                <w:rFonts w:ascii="Times New Roman"/>
                <w:sz w:val="21"/>
              </w:rPr>
              <w:t>10</w:t>
            </w:r>
          </w:p>
        </w:tc>
        <w:tc>
          <w:tcPr>
            <w:tcW w:w="1001" w:type="dxa"/>
          </w:tcPr>
          <w:p w14:paraId="7E4DAD49">
            <w:pPr>
              <w:pStyle w:val="17"/>
              <w:spacing w:before="34"/>
              <w:ind w:left="71" w:right="62"/>
              <w:rPr>
                <w:rFonts w:ascii="Times New Roman"/>
                <w:sz w:val="21"/>
              </w:rPr>
            </w:pPr>
            <w:r>
              <w:rPr>
                <w:rFonts w:ascii="Times New Roman"/>
                <w:sz w:val="21"/>
              </w:rPr>
              <w:t>12</w:t>
            </w:r>
          </w:p>
        </w:tc>
        <w:tc>
          <w:tcPr>
            <w:tcW w:w="1115" w:type="dxa"/>
          </w:tcPr>
          <w:p w14:paraId="30EC6B50">
            <w:pPr>
              <w:pStyle w:val="17"/>
              <w:spacing w:before="34"/>
              <w:ind w:left="7"/>
              <w:rPr>
                <w:rFonts w:ascii="Times New Roman"/>
                <w:sz w:val="21"/>
              </w:rPr>
            </w:pPr>
            <w:r>
              <w:rPr>
                <w:rFonts w:ascii="Times New Roman"/>
                <w:w w:val="99"/>
                <w:sz w:val="21"/>
              </w:rPr>
              <w:t>/</w:t>
            </w:r>
          </w:p>
        </w:tc>
        <w:tc>
          <w:tcPr>
            <w:tcW w:w="744" w:type="dxa"/>
          </w:tcPr>
          <w:p w14:paraId="44886C77">
            <w:pPr>
              <w:pStyle w:val="17"/>
              <w:spacing w:before="34"/>
              <w:ind w:left="9"/>
              <w:rPr>
                <w:rFonts w:ascii="Times New Roman"/>
                <w:sz w:val="21"/>
              </w:rPr>
            </w:pPr>
            <w:r>
              <w:rPr>
                <w:rFonts w:ascii="Times New Roman"/>
                <w:w w:val="99"/>
                <w:sz w:val="21"/>
              </w:rPr>
              <w:t>0</w:t>
            </w:r>
          </w:p>
        </w:tc>
        <w:tc>
          <w:tcPr>
            <w:tcW w:w="788" w:type="dxa"/>
          </w:tcPr>
          <w:p w14:paraId="5E01E8FB">
            <w:pPr>
              <w:pStyle w:val="17"/>
              <w:spacing w:before="34"/>
              <w:ind w:right="330"/>
              <w:jc w:val="right"/>
              <w:rPr>
                <w:rFonts w:ascii="Times New Roman"/>
                <w:sz w:val="21"/>
              </w:rPr>
            </w:pPr>
            <w:r>
              <w:rPr>
                <w:rFonts w:ascii="Times New Roman"/>
                <w:w w:val="99"/>
                <w:sz w:val="21"/>
              </w:rPr>
              <w:t>0</w:t>
            </w:r>
          </w:p>
        </w:tc>
        <w:tc>
          <w:tcPr>
            <w:tcW w:w="788" w:type="dxa"/>
          </w:tcPr>
          <w:p w14:paraId="38123BF4">
            <w:pPr>
              <w:pStyle w:val="17"/>
              <w:spacing w:before="34"/>
              <w:ind w:left="8"/>
              <w:rPr>
                <w:rFonts w:ascii="Times New Roman"/>
                <w:sz w:val="21"/>
              </w:rPr>
            </w:pPr>
            <w:r>
              <w:rPr>
                <w:rFonts w:ascii="Times New Roman"/>
                <w:w w:val="99"/>
                <w:sz w:val="21"/>
              </w:rPr>
              <w:t>/</w:t>
            </w:r>
          </w:p>
        </w:tc>
        <w:tc>
          <w:tcPr>
            <w:tcW w:w="763" w:type="dxa"/>
            <w:tcBorders>
              <w:right w:val="nil"/>
            </w:tcBorders>
          </w:tcPr>
          <w:p w14:paraId="4C3D8E4D">
            <w:pPr>
              <w:pStyle w:val="17"/>
              <w:spacing w:before="20"/>
              <w:ind w:left="171"/>
              <w:jc w:val="left"/>
              <w:rPr>
                <w:sz w:val="21"/>
              </w:rPr>
            </w:pPr>
            <w:r>
              <w:rPr>
                <w:sz w:val="21"/>
              </w:rPr>
              <w:t>达标</w:t>
            </w:r>
          </w:p>
        </w:tc>
      </w:tr>
      <w:tr w14:paraId="755B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79B30073">
            <w:pPr>
              <w:rPr>
                <w:sz w:val="2"/>
                <w:szCs w:val="2"/>
              </w:rPr>
            </w:pPr>
          </w:p>
        </w:tc>
        <w:tc>
          <w:tcPr>
            <w:tcW w:w="1028" w:type="dxa"/>
          </w:tcPr>
          <w:p w14:paraId="715EEA05">
            <w:pPr>
              <w:pStyle w:val="17"/>
              <w:spacing w:before="20"/>
              <w:ind w:left="63" w:right="56"/>
              <w:rPr>
                <w:sz w:val="21"/>
              </w:rPr>
            </w:pPr>
            <w:r>
              <w:rPr>
                <w:sz w:val="21"/>
              </w:rPr>
              <w:t>化学需氧</w:t>
            </w:r>
          </w:p>
          <w:p w14:paraId="41BF7091">
            <w:pPr>
              <w:pStyle w:val="17"/>
              <w:spacing w:before="43"/>
              <w:ind w:left="7"/>
              <w:rPr>
                <w:sz w:val="21"/>
              </w:rPr>
            </w:pPr>
            <w:r>
              <w:rPr>
                <w:w w:val="99"/>
                <w:sz w:val="21"/>
              </w:rPr>
              <w:t>量</w:t>
            </w:r>
          </w:p>
        </w:tc>
        <w:tc>
          <w:tcPr>
            <w:tcW w:w="1001" w:type="dxa"/>
          </w:tcPr>
          <w:p w14:paraId="19E1A93E">
            <w:pPr>
              <w:pStyle w:val="17"/>
              <w:spacing w:before="190"/>
              <w:ind w:left="72" w:right="62"/>
              <w:rPr>
                <w:rFonts w:ascii="Times New Roman"/>
                <w:sz w:val="21"/>
              </w:rPr>
            </w:pPr>
            <w:r>
              <w:rPr>
                <w:rFonts w:ascii="Times New Roman"/>
                <w:sz w:val="21"/>
              </w:rPr>
              <w:t>14</w:t>
            </w:r>
          </w:p>
        </w:tc>
        <w:tc>
          <w:tcPr>
            <w:tcW w:w="1001" w:type="dxa"/>
          </w:tcPr>
          <w:p w14:paraId="58A719A7">
            <w:pPr>
              <w:pStyle w:val="17"/>
              <w:spacing w:before="190"/>
              <w:ind w:left="71" w:right="62"/>
              <w:rPr>
                <w:rFonts w:ascii="Times New Roman"/>
                <w:sz w:val="21"/>
              </w:rPr>
            </w:pPr>
            <w:r>
              <w:rPr>
                <w:rFonts w:ascii="Times New Roman"/>
                <w:sz w:val="21"/>
              </w:rPr>
              <w:t>15</w:t>
            </w:r>
          </w:p>
        </w:tc>
        <w:tc>
          <w:tcPr>
            <w:tcW w:w="1115" w:type="dxa"/>
          </w:tcPr>
          <w:p w14:paraId="584894CE">
            <w:pPr>
              <w:pStyle w:val="17"/>
              <w:spacing w:before="190"/>
              <w:ind w:left="183"/>
              <w:jc w:val="left"/>
              <w:rPr>
                <w:rFonts w:ascii="Times New Roman"/>
                <w:sz w:val="21"/>
              </w:rPr>
            </w:pPr>
            <w:r>
              <w:rPr>
                <w:rFonts w:ascii="Times New Roman"/>
                <w:sz w:val="21"/>
              </w:rPr>
              <w:t>0.7~0.75</w:t>
            </w:r>
          </w:p>
        </w:tc>
        <w:tc>
          <w:tcPr>
            <w:tcW w:w="744" w:type="dxa"/>
          </w:tcPr>
          <w:p w14:paraId="65632BA6">
            <w:pPr>
              <w:pStyle w:val="17"/>
              <w:spacing w:before="190"/>
              <w:ind w:left="9"/>
              <w:rPr>
                <w:rFonts w:ascii="Times New Roman"/>
                <w:sz w:val="21"/>
              </w:rPr>
            </w:pPr>
            <w:r>
              <w:rPr>
                <w:rFonts w:ascii="Times New Roman"/>
                <w:w w:val="99"/>
                <w:sz w:val="21"/>
              </w:rPr>
              <w:t>0</w:t>
            </w:r>
          </w:p>
        </w:tc>
        <w:tc>
          <w:tcPr>
            <w:tcW w:w="788" w:type="dxa"/>
          </w:tcPr>
          <w:p w14:paraId="64519987">
            <w:pPr>
              <w:pStyle w:val="17"/>
              <w:spacing w:before="190"/>
              <w:ind w:right="330"/>
              <w:jc w:val="right"/>
              <w:rPr>
                <w:rFonts w:ascii="Times New Roman"/>
                <w:sz w:val="21"/>
              </w:rPr>
            </w:pPr>
            <w:r>
              <w:rPr>
                <w:rFonts w:ascii="Times New Roman"/>
                <w:w w:val="99"/>
                <w:sz w:val="21"/>
              </w:rPr>
              <w:t>0</w:t>
            </w:r>
          </w:p>
        </w:tc>
        <w:tc>
          <w:tcPr>
            <w:tcW w:w="788" w:type="dxa"/>
          </w:tcPr>
          <w:p w14:paraId="4A8D34B0">
            <w:pPr>
              <w:pStyle w:val="17"/>
              <w:spacing w:before="190"/>
              <w:ind w:left="58" w:right="47"/>
              <w:rPr>
                <w:rFonts w:ascii="Times New Roman"/>
                <w:sz w:val="21"/>
              </w:rPr>
            </w:pPr>
            <w:r>
              <w:rPr>
                <w:rFonts w:ascii="Times New Roman"/>
                <w:sz w:val="21"/>
              </w:rPr>
              <w:t>20</w:t>
            </w:r>
          </w:p>
        </w:tc>
        <w:tc>
          <w:tcPr>
            <w:tcW w:w="763" w:type="dxa"/>
            <w:tcBorders>
              <w:right w:val="nil"/>
            </w:tcBorders>
          </w:tcPr>
          <w:p w14:paraId="4B59DFA0">
            <w:pPr>
              <w:pStyle w:val="17"/>
              <w:spacing w:before="176"/>
              <w:ind w:left="171"/>
              <w:jc w:val="left"/>
              <w:rPr>
                <w:sz w:val="21"/>
              </w:rPr>
            </w:pPr>
            <w:r>
              <w:rPr>
                <w:sz w:val="21"/>
              </w:rPr>
              <w:t>达标</w:t>
            </w:r>
          </w:p>
        </w:tc>
      </w:tr>
      <w:tr w14:paraId="62C93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352462B1">
            <w:pPr>
              <w:rPr>
                <w:sz w:val="2"/>
                <w:szCs w:val="2"/>
              </w:rPr>
            </w:pPr>
          </w:p>
        </w:tc>
        <w:tc>
          <w:tcPr>
            <w:tcW w:w="1028" w:type="dxa"/>
          </w:tcPr>
          <w:p w14:paraId="65F3E861">
            <w:pPr>
              <w:pStyle w:val="17"/>
              <w:spacing w:before="20"/>
              <w:ind w:left="63" w:right="56"/>
              <w:rPr>
                <w:sz w:val="21"/>
              </w:rPr>
            </w:pPr>
            <w:r>
              <w:rPr>
                <w:sz w:val="21"/>
              </w:rPr>
              <w:t>五日生化</w:t>
            </w:r>
          </w:p>
          <w:p w14:paraId="6012BCFF">
            <w:pPr>
              <w:pStyle w:val="17"/>
              <w:spacing w:before="43"/>
              <w:ind w:left="66" w:right="56"/>
              <w:rPr>
                <w:sz w:val="21"/>
              </w:rPr>
            </w:pPr>
            <w:r>
              <w:rPr>
                <w:sz w:val="21"/>
              </w:rPr>
              <w:t>需氧量</w:t>
            </w:r>
          </w:p>
        </w:tc>
        <w:tc>
          <w:tcPr>
            <w:tcW w:w="1001" w:type="dxa"/>
          </w:tcPr>
          <w:p w14:paraId="7CAECCD4">
            <w:pPr>
              <w:pStyle w:val="17"/>
              <w:spacing w:before="190"/>
              <w:ind w:left="72" w:right="62"/>
              <w:rPr>
                <w:rFonts w:ascii="Times New Roman"/>
                <w:sz w:val="21"/>
              </w:rPr>
            </w:pPr>
            <w:r>
              <w:rPr>
                <w:rFonts w:ascii="Times New Roman"/>
                <w:sz w:val="21"/>
              </w:rPr>
              <w:t>2.8</w:t>
            </w:r>
          </w:p>
        </w:tc>
        <w:tc>
          <w:tcPr>
            <w:tcW w:w="1001" w:type="dxa"/>
          </w:tcPr>
          <w:p w14:paraId="5F3E28A9">
            <w:pPr>
              <w:pStyle w:val="17"/>
              <w:spacing w:before="190"/>
              <w:ind w:left="71" w:right="62"/>
              <w:rPr>
                <w:rFonts w:ascii="Times New Roman"/>
                <w:sz w:val="21"/>
              </w:rPr>
            </w:pPr>
            <w:r>
              <w:rPr>
                <w:rFonts w:ascii="Times New Roman"/>
                <w:sz w:val="21"/>
              </w:rPr>
              <w:t>2.5</w:t>
            </w:r>
          </w:p>
        </w:tc>
        <w:tc>
          <w:tcPr>
            <w:tcW w:w="1115" w:type="dxa"/>
          </w:tcPr>
          <w:p w14:paraId="34084AB8">
            <w:pPr>
              <w:pStyle w:val="17"/>
              <w:spacing w:before="190"/>
              <w:ind w:left="133"/>
              <w:jc w:val="left"/>
              <w:rPr>
                <w:rFonts w:ascii="Times New Roman"/>
                <w:sz w:val="21"/>
              </w:rPr>
            </w:pPr>
            <w:r>
              <w:rPr>
                <w:rFonts w:ascii="Times New Roman"/>
                <w:sz w:val="21"/>
              </w:rPr>
              <w:t>0.625~0.7</w:t>
            </w:r>
          </w:p>
        </w:tc>
        <w:tc>
          <w:tcPr>
            <w:tcW w:w="744" w:type="dxa"/>
          </w:tcPr>
          <w:p w14:paraId="3D5EBE08">
            <w:pPr>
              <w:pStyle w:val="17"/>
              <w:spacing w:before="190"/>
              <w:ind w:left="9"/>
              <w:rPr>
                <w:rFonts w:ascii="Times New Roman"/>
                <w:sz w:val="21"/>
              </w:rPr>
            </w:pPr>
            <w:r>
              <w:rPr>
                <w:rFonts w:ascii="Times New Roman"/>
                <w:w w:val="99"/>
                <w:sz w:val="21"/>
              </w:rPr>
              <w:t>0</w:t>
            </w:r>
          </w:p>
        </w:tc>
        <w:tc>
          <w:tcPr>
            <w:tcW w:w="788" w:type="dxa"/>
          </w:tcPr>
          <w:p w14:paraId="031AA248">
            <w:pPr>
              <w:pStyle w:val="17"/>
              <w:spacing w:before="190"/>
              <w:ind w:right="330"/>
              <w:jc w:val="right"/>
              <w:rPr>
                <w:rFonts w:ascii="Times New Roman"/>
                <w:sz w:val="21"/>
              </w:rPr>
            </w:pPr>
            <w:r>
              <w:rPr>
                <w:rFonts w:ascii="Times New Roman"/>
                <w:w w:val="99"/>
                <w:sz w:val="21"/>
              </w:rPr>
              <w:t>0</w:t>
            </w:r>
          </w:p>
        </w:tc>
        <w:tc>
          <w:tcPr>
            <w:tcW w:w="788" w:type="dxa"/>
          </w:tcPr>
          <w:p w14:paraId="676D0EEA">
            <w:pPr>
              <w:pStyle w:val="17"/>
              <w:spacing w:before="190"/>
              <w:ind w:left="6"/>
              <w:rPr>
                <w:rFonts w:ascii="Times New Roman"/>
                <w:sz w:val="21"/>
              </w:rPr>
            </w:pPr>
            <w:r>
              <w:rPr>
                <w:rFonts w:ascii="Times New Roman"/>
                <w:w w:val="99"/>
                <w:sz w:val="21"/>
              </w:rPr>
              <w:t>4</w:t>
            </w:r>
          </w:p>
        </w:tc>
        <w:tc>
          <w:tcPr>
            <w:tcW w:w="763" w:type="dxa"/>
            <w:tcBorders>
              <w:right w:val="nil"/>
            </w:tcBorders>
          </w:tcPr>
          <w:p w14:paraId="6F995C6A">
            <w:pPr>
              <w:pStyle w:val="17"/>
              <w:spacing w:before="176"/>
              <w:ind w:left="171"/>
              <w:jc w:val="left"/>
              <w:rPr>
                <w:sz w:val="21"/>
              </w:rPr>
            </w:pPr>
            <w:r>
              <w:rPr>
                <w:sz w:val="21"/>
              </w:rPr>
              <w:t>达标</w:t>
            </w:r>
          </w:p>
        </w:tc>
      </w:tr>
      <w:tr w14:paraId="145D0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7383723E">
            <w:pPr>
              <w:rPr>
                <w:sz w:val="2"/>
                <w:szCs w:val="2"/>
              </w:rPr>
            </w:pPr>
          </w:p>
        </w:tc>
        <w:tc>
          <w:tcPr>
            <w:tcW w:w="1028" w:type="dxa"/>
          </w:tcPr>
          <w:p w14:paraId="6DD7EE2F">
            <w:pPr>
              <w:pStyle w:val="17"/>
              <w:spacing w:before="19"/>
              <w:ind w:left="61" w:right="56"/>
              <w:rPr>
                <w:sz w:val="21"/>
              </w:rPr>
            </w:pPr>
            <w:r>
              <w:rPr>
                <w:sz w:val="21"/>
              </w:rPr>
              <w:t>氨氮</w:t>
            </w:r>
          </w:p>
        </w:tc>
        <w:tc>
          <w:tcPr>
            <w:tcW w:w="1001" w:type="dxa"/>
          </w:tcPr>
          <w:p w14:paraId="6C89A5A7">
            <w:pPr>
              <w:pStyle w:val="17"/>
              <w:spacing w:before="33"/>
              <w:ind w:left="263"/>
              <w:jc w:val="left"/>
              <w:rPr>
                <w:rFonts w:ascii="Times New Roman"/>
                <w:sz w:val="21"/>
              </w:rPr>
            </w:pPr>
            <w:r>
              <w:rPr>
                <w:rFonts w:ascii="Times New Roman"/>
                <w:sz w:val="21"/>
              </w:rPr>
              <w:t>0.342</w:t>
            </w:r>
          </w:p>
        </w:tc>
        <w:tc>
          <w:tcPr>
            <w:tcW w:w="1001" w:type="dxa"/>
          </w:tcPr>
          <w:p w14:paraId="29181A8F">
            <w:pPr>
              <w:pStyle w:val="17"/>
              <w:spacing w:before="33"/>
              <w:ind w:left="263"/>
              <w:jc w:val="left"/>
              <w:rPr>
                <w:rFonts w:ascii="Times New Roman"/>
                <w:sz w:val="21"/>
              </w:rPr>
            </w:pPr>
            <w:r>
              <w:rPr>
                <w:rFonts w:ascii="Times New Roman"/>
                <w:sz w:val="21"/>
              </w:rPr>
              <w:t>0.280</w:t>
            </w:r>
          </w:p>
        </w:tc>
        <w:tc>
          <w:tcPr>
            <w:tcW w:w="1115" w:type="dxa"/>
          </w:tcPr>
          <w:p w14:paraId="281D8730">
            <w:pPr>
              <w:pStyle w:val="17"/>
              <w:spacing w:before="33"/>
              <w:ind w:right="15"/>
              <w:jc w:val="right"/>
              <w:rPr>
                <w:rFonts w:ascii="Times New Roman"/>
                <w:sz w:val="21"/>
              </w:rPr>
            </w:pPr>
            <w:r>
              <w:rPr>
                <w:rFonts w:ascii="Times New Roman"/>
                <w:w w:val="95"/>
                <w:sz w:val="21"/>
              </w:rPr>
              <w:t>0.280~0.342</w:t>
            </w:r>
          </w:p>
        </w:tc>
        <w:tc>
          <w:tcPr>
            <w:tcW w:w="744" w:type="dxa"/>
          </w:tcPr>
          <w:p w14:paraId="34AD65A8">
            <w:pPr>
              <w:pStyle w:val="17"/>
              <w:spacing w:before="33"/>
              <w:ind w:left="9"/>
              <w:rPr>
                <w:rFonts w:ascii="Times New Roman"/>
                <w:sz w:val="21"/>
              </w:rPr>
            </w:pPr>
            <w:r>
              <w:rPr>
                <w:rFonts w:ascii="Times New Roman"/>
                <w:w w:val="99"/>
                <w:sz w:val="21"/>
              </w:rPr>
              <w:t>0</w:t>
            </w:r>
          </w:p>
        </w:tc>
        <w:tc>
          <w:tcPr>
            <w:tcW w:w="788" w:type="dxa"/>
          </w:tcPr>
          <w:p w14:paraId="577B0E6F">
            <w:pPr>
              <w:pStyle w:val="17"/>
              <w:spacing w:before="33"/>
              <w:ind w:right="330"/>
              <w:jc w:val="right"/>
              <w:rPr>
                <w:rFonts w:ascii="Times New Roman"/>
                <w:sz w:val="21"/>
              </w:rPr>
            </w:pPr>
            <w:r>
              <w:rPr>
                <w:rFonts w:ascii="Times New Roman"/>
                <w:w w:val="99"/>
                <w:sz w:val="21"/>
              </w:rPr>
              <w:t>0</w:t>
            </w:r>
          </w:p>
        </w:tc>
        <w:tc>
          <w:tcPr>
            <w:tcW w:w="788" w:type="dxa"/>
          </w:tcPr>
          <w:p w14:paraId="58F6EE90">
            <w:pPr>
              <w:pStyle w:val="17"/>
              <w:spacing w:before="33"/>
              <w:ind w:left="6"/>
              <w:rPr>
                <w:rFonts w:ascii="Times New Roman"/>
                <w:sz w:val="21"/>
              </w:rPr>
            </w:pPr>
            <w:r>
              <w:rPr>
                <w:rFonts w:ascii="Times New Roman"/>
                <w:w w:val="99"/>
                <w:sz w:val="21"/>
              </w:rPr>
              <w:t>1</w:t>
            </w:r>
          </w:p>
        </w:tc>
        <w:tc>
          <w:tcPr>
            <w:tcW w:w="763" w:type="dxa"/>
            <w:tcBorders>
              <w:right w:val="nil"/>
            </w:tcBorders>
          </w:tcPr>
          <w:p w14:paraId="7A0DA4B4">
            <w:pPr>
              <w:pStyle w:val="17"/>
              <w:spacing w:before="19"/>
              <w:ind w:left="171"/>
              <w:jc w:val="left"/>
              <w:rPr>
                <w:sz w:val="21"/>
              </w:rPr>
            </w:pPr>
            <w:r>
              <w:rPr>
                <w:sz w:val="21"/>
              </w:rPr>
              <w:t>达标</w:t>
            </w:r>
          </w:p>
        </w:tc>
      </w:tr>
      <w:tr w14:paraId="0CFBE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46941D0">
            <w:pPr>
              <w:rPr>
                <w:sz w:val="2"/>
                <w:szCs w:val="2"/>
              </w:rPr>
            </w:pPr>
          </w:p>
        </w:tc>
        <w:tc>
          <w:tcPr>
            <w:tcW w:w="1028" w:type="dxa"/>
          </w:tcPr>
          <w:p w14:paraId="716AD87C">
            <w:pPr>
              <w:pStyle w:val="17"/>
              <w:spacing w:before="19"/>
              <w:ind w:left="61" w:right="56"/>
              <w:rPr>
                <w:sz w:val="21"/>
              </w:rPr>
            </w:pPr>
            <w:r>
              <w:rPr>
                <w:sz w:val="21"/>
              </w:rPr>
              <w:t>总磷</w:t>
            </w:r>
          </w:p>
        </w:tc>
        <w:tc>
          <w:tcPr>
            <w:tcW w:w="1001" w:type="dxa"/>
          </w:tcPr>
          <w:p w14:paraId="064DBFD6">
            <w:pPr>
              <w:pStyle w:val="17"/>
              <w:spacing w:before="33"/>
              <w:ind w:left="316"/>
              <w:jc w:val="left"/>
              <w:rPr>
                <w:rFonts w:ascii="Times New Roman"/>
                <w:sz w:val="21"/>
              </w:rPr>
            </w:pPr>
            <w:r>
              <w:rPr>
                <w:rFonts w:ascii="Times New Roman"/>
                <w:sz w:val="21"/>
              </w:rPr>
              <w:t>0.03</w:t>
            </w:r>
          </w:p>
        </w:tc>
        <w:tc>
          <w:tcPr>
            <w:tcW w:w="1001" w:type="dxa"/>
          </w:tcPr>
          <w:p w14:paraId="3FCDACDD">
            <w:pPr>
              <w:pStyle w:val="17"/>
              <w:spacing w:before="33"/>
              <w:ind w:left="316"/>
              <w:jc w:val="left"/>
              <w:rPr>
                <w:rFonts w:ascii="Times New Roman"/>
                <w:sz w:val="21"/>
              </w:rPr>
            </w:pPr>
            <w:r>
              <w:rPr>
                <w:rFonts w:ascii="Times New Roman"/>
                <w:sz w:val="21"/>
              </w:rPr>
              <w:t>0.03</w:t>
            </w:r>
          </w:p>
        </w:tc>
        <w:tc>
          <w:tcPr>
            <w:tcW w:w="1115" w:type="dxa"/>
          </w:tcPr>
          <w:p w14:paraId="23672DAA">
            <w:pPr>
              <w:pStyle w:val="17"/>
              <w:spacing w:before="33"/>
              <w:ind w:left="373"/>
              <w:jc w:val="left"/>
              <w:rPr>
                <w:rFonts w:ascii="Times New Roman"/>
                <w:sz w:val="21"/>
              </w:rPr>
            </w:pPr>
            <w:r>
              <w:rPr>
                <w:rFonts w:ascii="Times New Roman"/>
                <w:sz w:val="21"/>
              </w:rPr>
              <w:t>0.15</w:t>
            </w:r>
          </w:p>
        </w:tc>
        <w:tc>
          <w:tcPr>
            <w:tcW w:w="744" w:type="dxa"/>
          </w:tcPr>
          <w:p w14:paraId="48849C74">
            <w:pPr>
              <w:pStyle w:val="17"/>
              <w:spacing w:before="33"/>
              <w:ind w:left="9"/>
              <w:rPr>
                <w:rFonts w:ascii="Times New Roman"/>
                <w:sz w:val="21"/>
              </w:rPr>
            </w:pPr>
            <w:r>
              <w:rPr>
                <w:rFonts w:ascii="Times New Roman"/>
                <w:w w:val="99"/>
                <w:sz w:val="21"/>
              </w:rPr>
              <w:t>0</w:t>
            </w:r>
          </w:p>
        </w:tc>
        <w:tc>
          <w:tcPr>
            <w:tcW w:w="788" w:type="dxa"/>
          </w:tcPr>
          <w:p w14:paraId="746A655C">
            <w:pPr>
              <w:pStyle w:val="17"/>
              <w:spacing w:before="33"/>
              <w:ind w:right="330"/>
              <w:jc w:val="right"/>
              <w:rPr>
                <w:rFonts w:ascii="Times New Roman"/>
                <w:sz w:val="21"/>
              </w:rPr>
            </w:pPr>
            <w:r>
              <w:rPr>
                <w:rFonts w:ascii="Times New Roman"/>
                <w:w w:val="99"/>
                <w:sz w:val="21"/>
              </w:rPr>
              <w:t>0</w:t>
            </w:r>
          </w:p>
        </w:tc>
        <w:tc>
          <w:tcPr>
            <w:tcW w:w="788" w:type="dxa"/>
          </w:tcPr>
          <w:p w14:paraId="676B8CB0">
            <w:pPr>
              <w:pStyle w:val="17"/>
              <w:spacing w:before="33"/>
              <w:ind w:left="56" w:right="50"/>
              <w:rPr>
                <w:rFonts w:ascii="Times New Roman"/>
                <w:sz w:val="21"/>
              </w:rPr>
            </w:pPr>
            <w:r>
              <w:rPr>
                <w:rFonts w:ascii="Times New Roman"/>
                <w:sz w:val="21"/>
              </w:rPr>
              <w:t>0.2</w:t>
            </w:r>
          </w:p>
        </w:tc>
        <w:tc>
          <w:tcPr>
            <w:tcW w:w="763" w:type="dxa"/>
            <w:tcBorders>
              <w:right w:val="nil"/>
            </w:tcBorders>
          </w:tcPr>
          <w:p w14:paraId="69ACD90F">
            <w:pPr>
              <w:pStyle w:val="17"/>
              <w:spacing w:before="19"/>
              <w:ind w:left="171"/>
              <w:jc w:val="left"/>
              <w:rPr>
                <w:sz w:val="21"/>
              </w:rPr>
            </w:pPr>
            <w:r>
              <w:rPr>
                <w:sz w:val="21"/>
              </w:rPr>
              <w:t>达标</w:t>
            </w:r>
          </w:p>
        </w:tc>
      </w:tr>
      <w:tr w14:paraId="64EFD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04F5E5C8">
            <w:pPr>
              <w:rPr>
                <w:sz w:val="2"/>
                <w:szCs w:val="2"/>
              </w:rPr>
            </w:pPr>
          </w:p>
        </w:tc>
        <w:tc>
          <w:tcPr>
            <w:tcW w:w="1028" w:type="dxa"/>
          </w:tcPr>
          <w:p w14:paraId="4ACC45AA">
            <w:pPr>
              <w:pStyle w:val="17"/>
              <w:spacing w:before="21"/>
              <w:ind w:left="93"/>
              <w:jc w:val="left"/>
              <w:rPr>
                <w:sz w:val="21"/>
              </w:rPr>
            </w:pPr>
            <w:r>
              <w:rPr>
                <w:w w:val="95"/>
                <w:sz w:val="21"/>
              </w:rPr>
              <w:t>阴离子表</w:t>
            </w:r>
          </w:p>
          <w:p w14:paraId="1B69FD7E">
            <w:pPr>
              <w:pStyle w:val="17"/>
              <w:spacing w:before="43"/>
              <w:ind w:left="93"/>
              <w:jc w:val="left"/>
              <w:rPr>
                <w:sz w:val="21"/>
              </w:rPr>
            </w:pPr>
            <w:r>
              <w:rPr>
                <w:w w:val="95"/>
                <w:sz w:val="21"/>
              </w:rPr>
              <w:t>面活性剂</w:t>
            </w:r>
          </w:p>
        </w:tc>
        <w:tc>
          <w:tcPr>
            <w:tcW w:w="1001" w:type="dxa"/>
          </w:tcPr>
          <w:p w14:paraId="3DB88342">
            <w:pPr>
              <w:pStyle w:val="17"/>
              <w:spacing w:before="191"/>
              <w:ind w:left="68" w:right="62"/>
              <w:rPr>
                <w:rFonts w:ascii="Times New Roman"/>
                <w:sz w:val="21"/>
              </w:rPr>
            </w:pPr>
            <w:r>
              <w:rPr>
                <w:rFonts w:ascii="Times New Roman"/>
                <w:sz w:val="21"/>
              </w:rPr>
              <w:t>ND</w:t>
            </w:r>
          </w:p>
        </w:tc>
        <w:tc>
          <w:tcPr>
            <w:tcW w:w="1001" w:type="dxa"/>
          </w:tcPr>
          <w:p w14:paraId="55EA24F9">
            <w:pPr>
              <w:pStyle w:val="17"/>
              <w:spacing w:before="191"/>
              <w:ind w:left="72" w:right="62"/>
              <w:rPr>
                <w:rFonts w:ascii="Times New Roman"/>
                <w:sz w:val="21"/>
              </w:rPr>
            </w:pPr>
            <w:r>
              <w:rPr>
                <w:rFonts w:ascii="Times New Roman"/>
                <w:sz w:val="21"/>
              </w:rPr>
              <w:t>ND</w:t>
            </w:r>
          </w:p>
        </w:tc>
        <w:tc>
          <w:tcPr>
            <w:tcW w:w="1115" w:type="dxa"/>
          </w:tcPr>
          <w:p w14:paraId="1A322D02">
            <w:pPr>
              <w:pStyle w:val="17"/>
              <w:spacing w:before="191"/>
              <w:ind w:left="10"/>
              <w:rPr>
                <w:rFonts w:ascii="Times New Roman"/>
                <w:sz w:val="21"/>
              </w:rPr>
            </w:pPr>
            <w:r>
              <w:rPr>
                <w:rFonts w:ascii="Times New Roman"/>
                <w:w w:val="99"/>
                <w:sz w:val="21"/>
              </w:rPr>
              <w:t>0</w:t>
            </w:r>
          </w:p>
        </w:tc>
        <w:tc>
          <w:tcPr>
            <w:tcW w:w="744" w:type="dxa"/>
          </w:tcPr>
          <w:p w14:paraId="6657480C">
            <w:pPr>
              <w:pStyle w:val="17"/>
              <w:spacing w:before="191"/>
              <w:ind w:left="9"/>
              <w:rPr>
                <w:rFonts w:ascii="Times New Roman"/>
                <w:sz w:val="21"/>
              </w:rPr>
            </w:pPr>
            <w:r>
              <w:rPr>
                <w:rFonts w:ascii="Times New Roman"/>
                <w:w w:val="99"/>
                <w:sz w:val="21"/>
              </w:rPr>
              <w:t>0</w:t>
            </w:r>
          </w:p>
        </w:tc>
        <w:tc>
          <w:tcPr>
            <w:tcW w:w="788" w:type="dxa"/>
          </w:tcPr>
          <w:p w14:paraId="6DD9C16B">
            <w:pPr>
              <w:pStyle w:val="17"/>
              <w:spacing w:before="191"/>
              <w:ind w:right="330"/>
              <w:jc w:val="right"/>
              <w:rPr>
                <w:rFonts w:ascii="Times New Roman"/>
                <w:sz w:val="21"/>
              </w:rPr>
            </w:pPr>
            <w:r>
              <w:rPr>
                <w:rFonts w:ascii="Times New Roman"/>
                <w:w w:val="99"/>
                <w:sz w:val="21"/>
              </w:rPr>
              <w:t>0</w:t>
            </w:r>
          </w:p>
        </w:tc>
        <w:tc>
          <w:tcPr>
            <w:tcW w:w="788" w:type="dxa"/>
          </w:tcPr>
          <w:p w14:paraId="4CAEE3BA">
            <w:pPr>
              <w:pStyle w:val="17"/>
              <w:spacing w:before="191"/>
              <w:ind w:left="56" w:right="50"/>
              <w:rPr>
                <w:rFonts w:ascii="Times New Roman"/>
                <w:sz w:val="21"/>
              </w:rPr>
            </w:pPr>
            <w:r>
              <w:rPr>
                <w:rFonts w:ascii="Times New Roman"/>
                <w:sz w:val="21"/>
              </w:rPr>
              <w:t>0.2</w:t>
            </w:r>
          </w:p>
        </w:tc>
        <w:tc>
          <w:tcPr>
            <w:tcW w:w="763" w:type="dxa"/>
            <w:tcBorders>
              <w:right w:val="nil"/>
            </w:tcBorders>
          </w:tcPr>
          <w:p w14:paraId="44BA1799">
            <w:pPr>
              <w:pStyle w:val="17"/>
              <w:spacing w:before="177"/>
              <w:ind w:left="171"/>
              <w:jc w:val="left"/>
              <w:rPr>
                <w:sz w:val="21"/>
              </w:rPr>
            </w:pPr>
            <w:r>
              <w:rPr>
                <w:sz w:val="21"/>
              </w:rPr>
              <w:t>达标</w:t>
            </w:r>
          </w:p>
        </w:tc>
      </w:tr>
      <w:tr w14:paraId="5E385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7CE9EEF">
            <w:pPr>
              <w:rPr>
                <w:sz w:val="2"/>
                <w:szCs w:val="2"/>
              </w:rPr>
            </w:pPr>
          </w:p>
        </w:tc>
        <w:tc>
          <w:tcPr>
            <w:tcW w:w="1028" w:type="dxa"/>
          </w:tcPr>
          <w:p w14:paraId="3AE7F827">
            <w:pPr>
              <w:pStyle w:val="17"/>
              <w:spacing w:before="20"/>
              <w:ind w:left="66" w:right="56"/>
              <w:rPr>
                <w:sz w:val="21"/>
              </w:rPr>
            </w:pPr>
            <w:r>
              <w:rPr>
                <w:sz w:val="21"/>
              </w:rPr>
              <w:t>石油类</w:t>
            </w:r>
          </w:p>
        </w:tc>
        <w:tc>
          <w:tcPr>
            <w:tcW w:w="1001" w:type="dxa"/>
          </w:tcPr>
          <w:p w14:paraId="722946F2">
            <w:pPr>
              <w:pStyle w:val="17"/>
              <w:spacing w:before="34"/>
              <w:ind w:left="68" w:right="62"/>
              <w:rPr>
                <w:rFonts w:ascii="Times New Roman"/>
                <w:sz w:val="21"/>
              </w:rPr>
            </w:pPr>
            <w:r>
              <w:rPr>
                <w:rFonts w:ascii="Times New Roman"/>
                <w:sz w:val="21"/>
              </w:rPr>
              <w:t>ND</w:t>
            </w:r>
          </w:p>
        </w:tc>
        <w:tc>
          <w:tcPr>
            <w:tcW w:w="1001" w:type="dxa"/>
          </w:tcPr>
          <w:p w14:paraId="78BDB7C4">
            <w:pPr>
              <w:pStyle w:val="17"/>
              <w:spacing w:before="34"/>
              <w:ind w:left="72" w:right="62"/>
              <w:rPr>
                <w:rFonts w:ascii="Times New Roman"/>
                <w:sz w:val="21"/>
              </w:rPr>
            </w:pPr>
            <w:r>
              <w:rPr>
                <w:rFonts w:ascii="Times New Roman"/>
                <w:sz w:val="21"/>
              </w:rPr>
              <w:t>ND</w:t>
            </w:r>
          </w:p>
        </w:tc>
        <w:tc>
          <w:tcPr>
            <w:tcW w:w="1115" w:type="dxa"/>
          </w:tcPr>
          <w:p w14:paraId="6B9A451B">
            <w:pPr>
              <w:pStyle w:val="17"/>
              <w:spacing w:before="34"/>
              <w:ind w:left="10"/>
              <w:rPr>
                <w:rFonts w:ascii="Times New Roman"/>
                <w:sz w:val="21"/>
              </w:rPr>
            </w:pPr>
            <w:r>
              <w:rPr>
                <w:rFonts w:ascii="Times New Roman"/>
                <w:w w:val="99"/>
                <w:sz w:val="21"/>
              </w:rPr>
              <w:t>0</w:t>
            </w:r>
          </w:p>
        </w:tc>
        <w:tc>
          <w:tcPr>
            <w:tcW w:w="744" w:type="dxa"/>
          </w:tcPr>
          <w:p w14:paraId="3974D3FB">
            <w:pPr>
              <w:pStyle w:val="17"/>
              <w:spacing w:before="34"/>
              <w:ind w:left="9"/>
              <w:rPr>
                <w:rFonts w:ascii="Times New Roman"/>
                <w:sz w:val="21"/>
              </w:rPr>
            </w:pPr>
            <w:r>
              <w:rPr>
                <w:rFonts w:ascii="Times New Roman"/>
                <w:w w:val="99"/>
                <w:sz w:val="21"/>
              </w:rPr>
              <w:t>0</w:t>
            </w:r>
          </w:p>
        </w:tc>
        <w:tc>
          <w:tcPr>
            <w:tcW w:w="788" w:type="dxa"/>
          </w:tcPr>
          <w:p w14:paraId="6556829B">
            <w:pPr>
              <w:pStyle w:val="17"/>
              <w:spacing w:before="34"/>
              <w:ind w:right="330"/>
              <w:jc w:val="right"/>
              <w:rPr>
                <w:rFonts w:ascii="Times New Roman"/>
                <w:sz w:val="21"/>
              </w:rPr>
            </w:pPr>
            <w:r>
              <w:rPr>
                <w:rFonts w:ascii="Times New Roman"/>
                <w:w w:val="99"/>
                <w:sz w:val="21"/>
              </w:rPr>
              <w:t>0</w:t>
            </w:r>
          </w:p>
        </w:tc>
        <w:tc>
          <w:tcPr>
            <w:tcW w:w="788" w:type="dxa"/>
          </w:tcPr>
          <w:p w14:paraId="03151BDE">
            <w:pPr>
              <w:pStyle w:val="17"/>
              <w:spacing w:before="34"/>
              <w:ind w:left="58" w:right="47"/>
              <w:rPr>
                <w:rFonts w:ascii="Times New Roman"/>
                <w:sz w:val="21"/>
              </w:rPr>
            </w:pPr>
            <w:r>
              <w:rPr>
                <w:rFonts w:ascii="Times New Roman"/>
                <w:sz w:val="21"/>
              </w:rPr>
              <w:t>0.05</w:t>
            </w:r>
          </w:p>
        </w:tc>
        <w:tc>
          <w:tcPr>
            <w:tcW w:w="763" w:type="dxa"/>
            <w:tcBorders>
              <w:right w:val="nil"/>
            </w:tcBorders>
          </w:tcPr>
          <w:p w14:paraId="286F7C78">
            <w:pPr>
              <w:pStyle w:val="17"/>
              <w:spacing w:before="20"/>
              <w:ind w:left="171"/>
              <w:jc w:val="left"/>
              <w:rPr>
                <w:sz w:val="21"/>
              </w:rPr>
            </w:pPr>
            <w:r>
              <w:rPr>
                <w:sz w:val="21"/>
              </w:rPr>
              <w:t>达标</w:t>
            </w:r>
          </w:p>
        </w:tc>
      </w:tr>
      <w:tr w14:paraId="29807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2F0F1579">
            <w:pPr>
              <w:rPr>
                <w:sz w:val="2"/>
                <w:szCs w:val="2"/>
              </w:rPr>
            </w:pPr>
          </w:p>
        </w:tc>
        <w:tc>
          <w:tcPr>
            <w:tcW w:w="1028" w:type="dxa"/>
          </w:tcPr>
          <w:p w14:paraId="3CAFE930">
            <w:pPr>
              <w:pStyle w:val="17"/>
              <w:spacing w:before="20"/>
              <w:ind w:left="63" w:right="56"/>
              <w:rPr>
                <w:sz w:val="21"/>
              </w:rPr>
            </w:pPr>
            <w:r>
              <w:rPr>
                <w:sz w:val="21"/>
              </w:rPr>
              <w:t>粪大肠菌</w:t>
            </w:r>
          </w:p>
          <w:p w14:paraId="4A65514B">
            <w:pPr>
              <w:pStyle w:val="17"/>
              <w:spacing w:before="43"/>
              <w:ind w:left="7"/>
              <w:rPr>
                <w:sz w:val="21"/>
              </w:rPr>
            </w:pPr>
            <w:r>
              <w:rPr>
                <w:w w:val="99"/>
                <w:sz w:val="21"/>
              </w:rPr>
              <w:t>群</w:t>
            </w:r>
          </w:p>
        </w:tc>
        <w:tc>
          <w:tcPr>
            <w:tcW w:w="1001" w:type="dxa"/>
          </w:tcPr>
          <w:p w14:paraId="61369164">
            <w:pPr>
              <w:pStyle w:val="17"/>
              <w:spacing w:before="190"/>
              <w:ind w:left="72" w:right="62"/>
              <w:rPr>
                <w:rFonts w:ascii="Times New Roman"/>
                <w:sz w:val="21"/>
              </w:rPr>
            </w:pPr>
            <w:r>
              <w:rPr>
                <w:rFonts w:ascii="Times New Roman"/>
                <w:sz w:val="21"/>
              </w:rPr>
              <w:t>420</w:t>
            </w:r>
          </w:p>
        </w:tc>
        <w:tc>
          <w:tcPr>
            <w:tcW w:w="1001" w:type="dxa"/>
          </w:tcPr>
          <w:p w14:paraId="3BCC0A59">
            <w:pPr>
              <w:pStyle w:val="17"/>
              <w:spacing w:before="190"/>
              <w:ind w:left="71" w:right="62"/>
              <w:rPr>
                <w:rFonts w:ascii="Times New Roman"/>
                <w:sz w:val="21"/>
              </w:rPr>
            </w:pPr>
            <w:r>
              <w:rPr>
                <w:rFonts w:ascii="Times New Roman"/>
                <w:sz w:val="21"/>
              </w:rPr>
              <w:t>520</w:t>
            </w:r>
          </w:p>
        </w:tc>
        <w:tc>
          <w:tcPr>
            <w:tcW w:w="1115" w:type="dxa"/>
          </w:tcPr>
          <w:p w14:paraId="343B1DD0">
            <w:pPr>
              <w:pStyle w:val="17"/>
              <w:spacing w:before="190"/>
              <w:ind w:right="15"/>
              <w:jc w:val="right"/>
              <w:rPr>
                <w:rFonts w:ascii="Times New Roman"/>
                <w:sz w:val="21"/>
              </w:rPr>
            </w:pPr>
            <w:r>
              <w:rPr>
                <w:rFonts w:ascii="Times New Roman"/>
                <w:w w:val="95"/>
                <w:sz w:val="21"/>
              </w:rPr>
              <w:t>0.042~0.052</w:t>
            </w:r>
          </w:p>
        </w:tc>
        <w:tc>
          <w:tcPr>
            <w:tcW w:w="744" w:type="dxa"/>
          </w:tcPr>
          <w:p w14:paraId="3E2736CE">
            <w:pPr>
              <w:pStyle w:val="17"/>
              <w:spacing w:before="190"/>
              <w:ind w:left="9"/>
              <w:rPr>
                <w:rFonts w:ascii="Times New Roman"/>
                <w:sz w:val="21"/>
              </w:rPr>
            </w:pPr>
            <w:r>
              <w:rPr>
                <w:rFonts w:ascii="Times New Roman"/>
                <w:w w:val="99"/>
                <w:sz w:val="21"/>
              </w:rPr>
              <w:t>0</w:t>
            </w:r>
          </w:p>
        </w:tc>
        <w:tc>
          <w:tcPr>
            <w:tcW w:w="788" w:type="dxa"/>
          </w:tcPr>
          <w:p w14:paraId="3C7181A1">
            <w:pPr>
              <w:pStyle w:val="17"/>
              <w:spacing w:before="190"/>
              <w:ind w:right="330"/>
              <w:jc w:val="right"/>
              <w:rPr>
                <w:rFonts w:ascii="Times New Roman"/>
                <w:sz w:val="21"/>
              </w:rPr>
            </w:pPr>
            <w:r>
              <w:rPr>
                <w:rFonts w:ascii="Times New Roman"/>
                <w:w w:val="99"/>
                <w:sz w:val="21"/>
              </w:rPr>
              <w:t>0</w:t>
            </w:r>
          </w:p>
        </w:tc>
        <w:tc>
          <w:tcPr>
            <w:tcW w:w="788" w:type="dxa"/>
          </w:tcPr>
          <w:p w14:paraId="55637942">
            <w:pPr>
              <w:pStyle w:val="17"/>
              <w:spacing w:before="190"/>
              <w:ind w:left="58" w:right="49"/>
              <w:rPr>
                <w:rFonts w:ascii="Times New Roman"/>
                <w:sz w:val="21"/>
              </w:rPr>
            </w:pPr>
            <w:r>
              <w:rPr>
                <w:rFonts w:ascii="Times New Roman"/>
                <w:sz w:val="21"/>
              </w:rPr>
              <w:t>10000</w:t>
            </w:r>
          </w:p>
        </w:tc>
        <w:tc>
          <w:tcPr>
            <w:tcW w:w="763" w:type="dxa"/>
            <w:tcBorders>
              <w:right w:val="nil"/>
            </w:tcBorders>
          </w:tcPr>
          <w:p w14:paraId="51F6606A">
            <w:pPr>
              <w:pStyle w:val="17"/>
              <w:spacing w:before="176"/>
              <w:ind w:left="171"/>
              <w:jc w:val="left"/>
              <w:rPr>
                <w:sz w:val="21"/>
              </w:rPr>
            </w:pPr>
            <w:r>
              <w:rPr>
                <w:sz w:val="21"/>
              </w:rPr>
              <w:t>达标</w:t>
            </w:r>
          </w:p>
        </w:tc>
      </w:tr>
      <w:tr w14:paraId="4E761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4838DB22">
            <w:pPr>
              <w:rPr>
                <w:sz w:val="2"/>
                <w:szCs w:val="2"/>
              </w:rPr>
            </w:pPr>
          </w:p>
        </w:tc>
        <w:tc>
          <w:tcPr>
            <w:tcW w:w="1028" w:type="dxa"/>
          </w:tcPr>
          <w:p w14:paraId="5A9942A1">
            <w:pPr>
              <w:pStyle w:val="17"/>
              <w:spacing w:before="20"/>
              <w:ind w:left="66" w:right="56"/>
              <w:rPr>
                <w:sz w:val="21"/>
              </w:rPr>
            </w:pPr>
            <w:r>
              <w:rPr>
                <w:sz w:val="21"/>
              </w:rPr>
              <w:t>挥发酚</w:t>
            </w:r>
          </w:p>
        </w:tc>
        <w:tc>
          <w:tcPr>
            <w:tcW w:w="1001" w:type="dxa"/>
          </w:tcPr>
          <w:p w14:paraId="55B1C892">
            <w:pPr>
              <w:pStyle w:val="17"/>
              <w:spacing w:before="34"/>
              <w:ind w:left="68" w:right="62"/>
              <w:rPr>
                <w:rFonts w:ascii="Times New Roman"/>
                <w:sz w:val="21"/>
              </w:rPr>
            </w:pPr>
            <w:r>
              <w:rPr>
                <w:rFonts w:ascii="Times New Roman"/>
                <w:sz w:val="21"/>
              </w:rPr>
              <w:t>ND</w:t>
            </w:r>
          </w:p>
        </w:tc>
        <w:tc>
          <w:tcPr>
            <w:tcW w:w="1001" w:type="dxa"/>
          </w:tcPr>
          <w:p w14:paraId="0A9036F0">
            <w:pPr>
              <w:pStyle w:val="17"/>
              <w:spacing w:before="34"/>
              <w:ind w:left="72" w:right="62"/>
              <w:rPr>
                <w:rFonts w:ascii="Times New Roman"/>
                <w:sz w:val="21"/>
              </w:rPr>
            </w:pPr>
            <w:r>
              <w:rPr>
                <w:rFonts w:ascii="Times New Roman"/>
                <w:sz w:val="21"/>
              </w:rPr>
              <w:t>ND</w:t>
            </w:r>
          </w:p>
        </w:tc>
        <w:tc>
          <w:tcPr>
            <w:tcW w:w="1115" w:type="dxa"/>
          </w:tcPr>
          <w:p w14:paraId="4A71A289">
            <w:pPr>
              <w:pStyle w:val="17"/>
              <w:spacing w:before="34"/>
              <w:ind w:left="10"/>
              <w:rPr>
                <w:rFonts w:ascii="Times New Roman"/>
                <w:sz w:val="21"/>
              </w:rPr>
            </w:pPr>
            <w:r>
              <w:rPr>
                <w:rFonts w:ascii="Times New Roman"/>
                <w:w w:val="99"/>
                <w:sz w:val="21"/>
              </w:rPr>
              <w:t>0</w:t>
            </w:r>
          </w:p>
        </w:tc>
        <w:tc>
          <w:tcPr>
            <w:tcW w:w="744" w:type="dxa"/>
          </w:tcPr>
          <w:p w14:paraId="3DA6D2D4">
            <w:pPr>
              <w:pStyle w:val="17"/>
              <w:spacing w:before="34"/>
              <w:ind w:left="9"/>
              <w:rPr>
                <w:rFonts w:ascii="Times New Roman"/>
                <w:sz w:val="21"/>
              </w:rPr>
            </w:pPr>
            <w:r>
              <w:rPr>
                <w:rFonts w:ascii="Times New Roman"/>
                <w:w w:val="99"/>
                <w:sz w:val="21"/>
              </w:rPr>
              <w:t>0</w:t>
            </w:r>
          </w:p>
        </w:tc>
        <w:tc>
          <w:tcPr>
            <w:tcW w:w="788" w:type="dxa"/>
          </w:tcPr>
          <w:p w14:paraId="5D293589">
            <w:pPr>
              <w:pStyle w:val="17"/>
              <w:spacing w:before="34"/>
              <w:ind w:right="330"/>
              <w:jc w:val="right"/>
              <w:rPr>
                <w:rFonts w:ascii="Times New Roman"/>
                <w:sz w:val="21"/>
              </w:rPr>
            </w:pPr>
            <w:r>
              <w:rPr>
                <w:rFonts w:ascii="Times New Roman"/>
                <w:w w:val="99"/>
                <w:sz w:val="21"/>
              </w:rPr>
              <w:t>0</w:t>
            </w:r>
          </w:p>
        </w:tc>
        <w:tc>
          <w:tcPr>
            <w:tcW w:w="788" w:type="dxa"/>
          </w:tcPr>
          <w:p w14:paraId="1EF0119C">
            <w:pPr>
              <w:pStyle w:val="17"/>
              <w:spacing w:before="34"/>
              <w:ind w:left="58" w:right="49"/>
              <w:rPr>
                <w:rFonts w:ascii="Times New Roman"/>
                <w:sz w:val="21"/>
              </w:rPr>
            </w:pPr>
            <w:r>
              <w:rPr>
                <w:rFonts w:ascii="Times New Roman"/>
                <w:sz w:val="21"/>
              </w:rPr>
              <w:t>0.005</w:t>
            </w:r>
          </w:p>
        </w:tc>
        <w:tc>
          <w:tcPr>
            <w:tcW w:w="763" w:type="dxa"/>
            <w:tcBorders>
              <w:right w:val="nil"/>
            </w:tcBorders>
          </w:tcPr>
          <w:p w14:paraId="07A80182">
            <w:pPr>
              <w:pStyle w:val="17"/>
              <w:spacing w:before="20"/>
              <w:ind w:left="171"/>
              <w:jc w:val="left"/>
              <w:rPr>
                <w:sz w:val="21"/>
              </w:rPr>
            </w:pPr>
            <w:r>
              <w:rPr>
                <w:sz w:val="21"/>
              </w:rPr>
              <w:t>达标</w:t>
            </w:r>
          </w:p>
        </w:tc>
      </w:tr>
      <w:tr w14:paraId="394AC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425472ED">
            <w:pPr>
              <w:rPr>
                <w:sz w:val="2"/>
                <w:szCs w:val="2"/>
              </w:rPr>
            </w:pPr>
          </w:p>
        </w:tc>
        <w:tc>
          <w:tcPr>
            <w:tcW w:w="1028" w:type="dxa"/>
          </w:tcPr>
          <w:p w14:paraId="42DA32AE">
            <w:pPr>
              <w:pStyle w:val="17"/>
              <w:spacing w:before="19"/>
              <w:ind w:left="66" w:right="56"/>
              <w:rPr>
                <w:sz w:val="21"/>
              </w:rPr>
            </w:pPr>
            <w:r>
              <w:rPr>
                <w:sz w:val="21"/>
              </w:rPr>
              <w:t>氟化物</w:t>
            </w:r>
          </w:p>
        </w:tc>
        <w:tc>
          <w:tcPr>
            <w:tcW w:w="1001" w:type="dxa"/>
          </w:tcPr>
          <w:p w14:paraId="75B643C5">
            <w:pPr>
              <w:pStyle w:val="17"/>
              <w:spacing w:before="33"/>
              <w:ind w:left="263"/>
              <w:jc w:val="left"/>
              <w:rPr>
                <w:rFonts w:ascii="Times New Roman"/>
                <w:sz w:val="21"/>
              </w:rPr>
            </w:pPr>
            <w:r>
              <w:rPr>
                <w:rFonts w:ascii="Times New Roman"/>
                <w:sz w:val="21"/>
              </w:rPr>
              <w:t>0.187</w:t>
            </w:r>
          </w:p>
        </w:tc>
        <w:tc>
          <w:tcPr>
            <w:tcW w:w="1001" w:type="dxa"/>
          </w:tcPr>
          <w:p w14:paraId="06C73901">
            <w:pPr>
              <w:pStyle w:val="17"/>
              <w:spacing w:before="33"/>
              <w:ind w:left="263"/>
              <w:jc w:val="left"/>
              <w:rPr>
                <w:rFonts w:ascii="Times New Roman"/>
                <w:sz w:val="21"/>
              </w:rPr>
            </w:pPr>
            <w:r>
              <w:rPr>
                <w:rFonts w:ascii="Times New Roman"/>
                <w:sz w:val="21"/>
              </w:rPr>
              <w:t>0.316</w:t>
            </w:r>
          </w:p>
        </w:tc>
        <w:tc>
          <w:tcPr>
            <w:tcW w:w="1115" w:type="dxa"/>
          </w:tcPr>
          <w:p w14:paraId="6D309E64">
            <w:pPr>
              <w:pStyle w:val="17"/>
              <w:spacing w:before="33"/>
              <w:ind w:right="15"/>
              <w:jc w:val="right"/>
              <w:rPr>
                <w:rFonts w:ascii="Times New Roman"/>
                <w:sz w:val="21"/>
              </w:rPr>
            </w:pPr>
            <w:r>
              <w:rPr>
                <w:rFonts w:ascii="Times New Roman"/>
                <w:w w:val="95"/>
                <w:sz w:val="21"/>
              </w:rPr>
              <w:t>0.187~0.316</w:t>
            </w:r>
          </w:p>
        </w:tc>
        <w:tc>
          <w:tcPr>
            <w:tcW w:w="744" w:type="dxa"/>
          </w:tcPr>
          <w:p w14:paraId="20399A6B">
            <w:pPr>
              <w:pStyle w:val="17"/>
              <w:spacing w:before="33"/>
              <w:ind w:left="9"/>
              <w:rPr>
                <w:rFonts w:ascii="Times New Roman"/>
                <w:sz w:val="21"/>
              </w:rPr>
            </w:pPr>
            <w:r>
              <w:rPr>
                <w:rFonts w:ascii="Times New Roman"/>
                <w:w w:val="99"/>
                <w:sz w:val="21"/>
              </w:rPr>
              <w:t>0</w:t>
            </w:r>
          </w:p>
        </w:tc>
        <w:tc>
          <w:tcPr>
            <w:tcW w:w="788" w:type="dxa"/>
          </w:tcPr>
          <w:p w14:paraId="2BE7382A">
            <w:pPr>
              <w:pStyle w:val="17"/>
              <w:spacing w:before="33"/>
              <w:ind w:right="330"/>
              <w:jc w:val="right"/>
              <w:rPr>
                <w:rFonts w:ascii="Times New Roman"/>
                <w:sz w:val="21"/>
              </w:rPr>
            </w:pPr>
            <w:r>
              <w:rPr>
                <w:rFonts w:ascii="Times New Roman"/>
                <w:w w:val="99"/>
                <w:sz w:val="21"/>
              </w:rPr>
              <w:t>0</w:t>
            </w:r>
          </w:p>
        </w:tc>
        <w:tc>
          <w:tcPr>
            <w:tcW w:w="788" w:type="dxa"/>
          </w:tcPr>
          <w:p w14:paraId="6AA8C0B9">
            <w:pPr>
              <w:pStyle w:val="17"/>
              <w:spacing w:before="33"/>
              <w:ind w:left="6"/>
              <w:rPr>
                <w:rFonts w:ascii="Times New Roman"/>
                <w:sz w:val="21"/>
              </w:rPr>
            </w:pPr>
            <w:r>
              <w:rPr>
                <w:rFonts w:ascii="Times New Roman"/>
                <w:w w:val="99"/>
                <w:sz w:val="21"/>
              </w:rPr>
              <w:t>1</w:t>
            </w:r>
          </w:p>
        </w:tc>
        <w:tc>
          <w:tcPr>
            <w:tcW w:w="763" w:type="dxa"/>
            <w:tcBorders>
              <w:right w:val="nil"/>
            </w:tcBorders>
          </w:tcPr>
          <w:p w14:paraId="6F4EECFF">
            <w:pPr>
              <w:pStyle w:val="17"/>
              <w:spacing w:before="19"/>
              <w:ind w:left="171"/>
              <w:jc w:val="left"/>
              <w:rPr>
                <w:sz w:val="21"/>
              </w:rPr>
            </w:pPr>
            <w:r>
              <w:rPr>
                <w:sz w:val="21"/>
              </w:rPr>
              <w:t>达标</w:t>
            </w:r>
          </w:p>
        </w:tc>
      </w:tr>
      <w:tr w14:paraId="10CE5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6ADBD040">
            <w:pPr>
              <w:rPr>
                <w:sz w:val="2"/>
                <w:szCs w:val="2"/>
              </w:rPr>
            </w:pPr>
          </w:p>
        </w:tc>
        <w:tc>
          <w:tcPr>
            <w:tcW w:w="1028" w:type="dxa"/>
          </w:tcPr>
          <w:p w14:paraId="3382E1EA">
            <w:pPr>
              <w:pStyle w:val="17"/>
              <w:spacing w:before="19"/>
              <w:ind w:left="7"/>
              <w:rPr>
                <w:sz w:val="21"/>
              </w:rPr>
            </w:pPr>
            <w:r>
              <w:rPr>
                <w:w w:val="99"/>
                <w:sz w:val="21"/>
              </w:rPr>
              <w:t>砷</w:t>
            </w:r>
          </w:p>
        </w:tc>
        <w:tc>
          <w:tcPr>
            <w:tcW w:w="1001" w:type="dxa"/>
          </w:tcPr>
          <w:p w14:paraId="4EB50EE6">
            <w:pPr>
              <w:pStyle w:val="17"/>
              <w:spacing w:before="33"/>
              <w:ind w:right="68"/>
              <w:jc w:val="right"/>
              <w:rPr>
                <w:rFonts w:ascii="Times New Roman" w:hAnsi="Times New Roman"/>
                <w:sz w:val="13"/>
              </w:rPr>
            </w:pPr>
            <w:r>
              <w:rPr>
                <w:rFonts w:ascii="Times New Roman" w:hAnsi="Times New Roman"/>
                <w:sz w:val="21"/>
              </w:rPr>
              <w:t xml:space="preserve">4.57×10 </w:t>
            </w:r>
            <w:r>
              <w:rPr>
                <w:rFonts w:ascii="Times New Roman" w:hAnsi="Times New Roman"/>
                <w:position w:val="7"/>
                <w:sz w:val="13"/>
              </w:rPr>
              <w:t>-4</w:t>
            </w:r>
          </w:p>
        </w:tc>
        <w:tc>
          <w:tcPr>
            <w:tcW w:w="1001" w:type="dxa"/>
          </w:tcPr>
          <w:p w14:paraId="5F48DFBA">
            <w:pPr>
              <w:pStyle w:val="17"/>
              <w:spacing w:before="33"/>
              <w:ind w:left="72" w:right="62"/>
              <w:rPr>
                <w:rFonts w:ascii="Times New Roman"/>
                <w:sz w:val="21"/>
              </w:rPr>
            </w:pPr>
            <w:r>
              <w:rPr>
                <w:rFonts w:ascii="Times New Roman"/>
                <w:sz w:val="21"/>
              </w:rPr>
              <w:t>ND</w:t>
            </w:r>
          </w:p>
        </w:tc>
        <w:tc>
          <w:tcPr>
            <w:tcW w:w="1115" w:type="dxa"/>
          </w:tcPr>
          <w:p w14:paraId="441F4955">
            <w:pPr>
              <w:pStyle w:val="17"/>
              <w:spacing w:before="33"/>
              <w:ind w:right="94"/>
              <w:jc w:val="right"/>
              <w:rPr>
                <w:rFonts w:ascii="Times New Roman"/>
                <w:sz w:val="21"/>
              </w:rPr>
            </w:pPr>
            <w:r>
              <w:rPr>
                <w:rFonts w:ascii="Times New Roman"/>
                <w:w w:val="95"/>
                <w:sz w:val="21"/>
              </w:rPr>
              <w:t>0~0.00914</w:t>
            </w:r>
          </w:p>
        </w:tc>
        <w:tc>
          <w:tcPr>
            <w:tcW w:w="744" w:type="dxa"/>
          </w:tcPr>
          <w:p w14:paraId="089963F2">
            <w:pPr>
              <w:pStyle w:val="17"/>
              <w:spacing w:before="33"/>
              <w:ind w:left="9"/>
              <w:rPr>
                <w:rFonts w:ascii="Times New Roman"/>
                <w:sz w:val="21"/>
              </w:rPr>
            </w:pPr>
            <w:r>
              <w:rPr>
                <w:rFonts w:ascii="Times New Roman"/>
                <w:w w:val="99"/>
                <w:sz w:val="21"/>
              </w:rPr>
              <w:t>0</w:t>
            </w:r>
          </w:p>
        </w:tc>
        <w:tc>
          <w:tcPr>
            <w:tcW w:w="788" w:type="dxa"/>
          </w:tcPr>
          <w:p w14:paraId="6944CB20">
            <w:pPr>
              <w:pStyle w:val="17"/>
              <w:spacing w:before="33"/>
              <w:ind w:right="330"/>
              <w:jc w:val="right"/>
              <w:rPr>
                <w:rFonts w:ascii="Times New Roman"/>
                <w:sz w:val="21"/>
              </w:rPr>
            </w:pPr>
            <w:r>
              <w:rPr>
                <w:rFonts w:ascii="Times New Roman"/>
                <w:w w:val="99"/>
                <w:sz w:val="21"/>
              </w:rPr>
              <w:t>0</w:t>
            </w:r>
          </w:p>
        </w:tc>
        <w:tc>
          <w:tcPr>
            <w:tcW w:w="788" w:type="dxa"/>
          </w:tcPr>
          <w:p w14:paraId="29154602">
            <w:pPr>
              <w:pStyle w:val="17"/>
              <w:spacing w:before="33"/>
              <w:ind w:left="58" w:right="47"/>
              <w:rPr>
                <w:rFonts w:ascii="Times New Roman"/>
                <w:sz w:val="21"/>
              </w:rPr>
            </w:pPr>
            <w:r>
              <w:rPr>
                <w:rFonts w:ascii="Times New Roman"/>
                <w:sz w:val="21"/>
              </w:rPr>
              <w:t>0.05</w:t>
            </w:r>
          </w:p>
        </w:tc>
        <w:tc>
          <w:tcPr>
            <w:tcW w:w="763" w:type="dxa"/>
            <w:tcBorders>
              <w:right w:val="nil"/>
            </w:tcBorders>
          </w:tcPr>
          <w:p w14:paraId="71C1580E">
            <w:pPr>
              <w:pStyle w:val="17"/>
              <w:spacing w:before="19"/>
              <w:ind w:left="171"/>
              <w:jc w:val="left"/>
              <w:rPr>
                <w:sz w:val="21"/>
              </w:rPr>
            </w:pPr>
            <w:r>
              <w:rPr>
                <w:sz w:val="21"/>
              </w:rPr>
              <w:t>达标</w:t>
            </w:r>
          </w:p>
        </w:tc>
      </w:tr>
      <w:tr w14:paraId="0A2EA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7C574000">
            <w:pPr>
              <w:rPr>
                <w:sz w:val="2"/>
                <w:szCs w:val="2"/>
              </w:rPr>
            </w:pPr>
          </w:p>
        </w:tc>
        <w:tc>
          <w:tcPr>
            <w:tcW w:w="1028" w:type="dxa"/>
          </w:tcPr>
          <w:p w14:paraId="0395044C">
            <w:pPr>
              <w:pStyle w:val="17"/>
              <w:spacing w:before="21"/>
              <w:ind w:left="7"/>
              <w:rPr>
                <w:sz w:val="21"/>
              </w:rPr>
            </w:pPr>
            <w:r>
              <w:rPr>
                <w:w w:val="99"/>
                <w:sz w:val="21"/>
              </w:rPr>
              <w:t>汞</w:t>
            </w:r>
          </w:p>
        </w:tc>
        <w:tc>
          <w:tcPr>
            <w:tcW w:w="1001" w:type="dxa"/>
          </w:tcPr>
          <w:p w14:paraId="6295D1DD">
            <w:pPr>
              <w:pStyle w:val="17"/>
              <w:spacing w:before="35"/>
              <w:ind w:left="68" w:right="62"/>
              <w:rPr>
                <w:rFonts w:ascii="Times New Roman"/>
                <w:sz w:val="21"/>
              </w:rPr>
            </w:pPr>
            <w:r>
              <w:rPr>
                <w:rFonts w:ascii="Times New Roman"/>
                <w:sz w:val="21"/>
              </w:rPr>
              <w:t>ND</w:t>
            </w:r>
          </w:p>
        </w:tc>
        <w:tc>
          <w:tcPr>
            <w:tcW w:w="1001" w:type="dxa"/>
          </w:tcPr>
          <w:p w14:paraId="79B4DCA2">
            <w:pPr>
              <w:pStyle w:val="17"/>
              <w:spacing w:before="35"/>
              <w:ind w:right="85"/>
              <w:jc w:val="right"/>
              <w:rPr>
                <w:rFonts w:ascii="Times New Roman" w:hAnsi="Times New Roman"/>
                <w:sz w:val="13"/>
              </w:rPr>
            </w:pPr>
            <w:r>
              <w:rPr>
                <w:rFonts w:ascii="Times New Roman" w:hAnsi="Times New Roman"/>
                <w:sz w:val="21"/>
              </w:rPr>
              <w:t>8.80×10</w:t>
            </w:r>
            <w:r>
              <w:rPr>
                <w:rFonts w:ascii="Times New Roman" w:hAnsi="Times New Roman"/>
                <w:position w:val="7"/>
                <w:sz w:val="13"/>
              </w:rPr>
              <w:t>-5</w:t>
            </w:r>
          </w:p>
        </w:tc>
        <w:tc>
          <w:tcPr>
            <w:tcW w:w="1115" w:type="dxa"/>
          </w:tcPr>
          <w:p w14:paraId="29F08EEA">
            <w:pPr>
              <w:pStyle w:val="17"/>
              <w:spacing w:before="35"/>
              <w:ind w:left="263"/>
              <w:jc w:val="left"/>
              <w:rPr>
                <w:rFonts w:ascii="Times New Roman"/>
                <w:sz w:val="21"/>
              </w:rPr>
            </w:pPr>
            <w:r>
              <w:rPr>
                <w:rFonts w:ascii="Times New Roman"/>
                <w:sz w:val="21"/>
              </w:rPr>
              <w:t>0~0.88</w:t>
            </w:r>
          </w:p>
        </w:tc>
        <w:tc>
          <w:tcPr>
            <w:tcW w:w="744" w:type="dxa"/>
          </w:tcPr>
          <w:p w14:paraId="76A65C81">
            <w:pPr>
              <w:pStyle w:val="17"/>
              <w:spacing w:before="35"/>
              <w:ind w:left="9"/>
              <w:rPr>
                <w:rFonts w:ascii="Times New Roman"/>
                <w:sz w:val="21"/>
              </w:rPr>
            </w:pPr>
            <w:r>
              <w:rPr>
                <w:rFonts w:ascii="Times New Roman"/>
                <w:w w:val="99"/>
                <w:sz w:val="21"/>
              </w:rPr>
              <w:t>0</w:t>
            </w:r>
          </w:p>
        </w:tc>
        <w:tc>
          <w:tcPr>
            <w:tcW w:w="788" w:type="dxa"/>
          </w:tcPr>
          <w:p w14:paraId="4B851A40">
            <w:pPr>
              <w:pStyle w:val="17"/>
              <w:spacing w:before="35"/>
              <w:ind w:right="330"/>
              <w:jc w:val="right"/>
              <w:rPr>
                <w:rFonts w:ascii="Times New Roman"/>
                <w:sz w:val="21"/>
              </w:rPr>
            </w:pPr>
            <w:r>
              <w:rPr>
                <w:rFonts w:ascii="Times New Roman"/>
                <w:w w:val="99"/>
                <w:sz w:val="21"/>
              </w:rPr>
              <w:t>0</w:t>
            </w:r>
          </w:p>
        </w:tc>
        <w:tc>
          <w:tcPr>
            <w:tcW w:w="788" w:type="dxa"/>
          </w:tcPr>
          <w:p w14:paraId="10225002">
            <w:pPr>
              <w:pStyle w:val="17"/>
              <w:spacing w:before="35"/>
              <w:ind w:left="58" w:right="49"/>
              <w:rPr>
                <w:rFonts w:ascii="Times New Roman"/>
                <w:sz w:val="21"/>
              </w:rPr>
            </w:pPr>
            <w:r>
              <w:rPr>
                <w:rFonts w:ascii="Times New Roman"/>
                <w:sz w:val="21"/>
              </w:rPr>
              <w:t>0.0001</w:t>
            </w:r>
          </w:p>
        </w:tc>
        <w:tc>
          <w:tcPr>
            <w:tcW w:w="763" w:type="dxa"/>
            <w:tcBorders>
              <w:right w:val="nil"/>
            </w:tcBorders>
          </w:tcPr>
          <w:p w14:paraId="6EB45515">
            <w:pPr>
              <w:pStyle w:val="17"/>
              <w:spacing w:before="21"/>
              <w:ind w:left="171"/>
              <w:jc w:val="left"/>
              <w:rPr>
                <w:sz w:val="21"/>
              </w:rPr>
            </w:pPr>
            <w:r>
              <w:rPr>
                <w:sz w:val="21"/>
              </w:rPr>
              <w:t>达标</w:t>
            </w:r>
          </w:p>
        </w:tc>
      </w:tr>
      <w:tr w14:paraId="31446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70945E5">
            <w:pPr>
              <w:rPr>
                <w:sz w:val="2"/>
                <w:szCs w:val="2"/>
              </w:rPr>
            </w:pPr>
          </w:p>
        </w:tc>
        <w:tc>
          <w:tcPr>
            <w:tcW w:w="1028" w:type="dxa"/>
          </w:tcPr>
          <w:p w14:paraId="1D991153">
            <w:pPr>
              <w:pStyle w:val="17"/>
              <w:spacing w:before="20"/>
              <w:ind w:left="66" w:right="56"/>
              <w:rPr>
                <w:sz w:val="21"/>
              </w:rPr>
            </w:pPr>
            <w:r>
              <w:rPr>
                <w:sz w:val="21"/>
              </w:rPr>
              <w:t>六价铬</w:t>
            </w:r>
          </w:p>
        </w:tc>
        <w:tc>
          <w:tcPr>
            <w:tcW w:w="1001" w:type="dxa"/>
          </w:tcPr>
          <w:p w14:paraId="686DA20D">
            <w:pPr>
              <w:pStyle w:val="17"/>
              <w:spacing w:before="34"/>
              <w:ind w:left="68" w:right="62"/>
              <w:rPr>
                <w:rFonts w:ascii="Times New Roman"/>
                <w:sz w:val="21"/>
              </w:rPr>
            </w:pPr>
            <w:r>
              <w:rPr>
                <w:rFonts w:ascii="Times New Roman"/>
                <w:sz w:val="21"/>
              </w:rPr>
              <w:t>ND</w:t>
            </w:r>
          </w:p>
        </w:tc>
        <w:tc>
          <w:tcPr>
            <w:tcW w:w="1001" w:type="dxa"/>
          </w:tcPr>
          <w:p w14:paraId="640F29C9">
            <w:pPr>
              <w:pStyle w:val="17"/>
              <w:spacing w:before="34"/>
              <w:ind w:left="72" w:right="62"/>
              <w:rPr>
                <w:rFonts w:ascii="Times New Roman"/>
                <w:sz w:val="21"/>
              </w:rPr>
            </w:pPr>
            <w:r>
              <w:rPr>
                <w:rFonts w:ascii="Times New Roman"/>
                <w:sz w:val="21"/>
              </w:rPr>
              <w:t>ND</w:t>
            </w:r>
          </w:p>
        </w:tc>
        <w:tc>
          <w:tcPr>
            <w:tcW w:w="1115" w:type="dxa"/>
          </w:tcPr>
          <w:p w14:paraId="34131B1D">
            <w:pPr>
              <w:pStyle w:val="17"/>
              <w:spacing w:before="34"/>
              <w:ind w:left="10"/>
              <w:rPr>
                <w:rFonts w:ascii="Times New Roman"/>
                <w:sz w:val="21"/>
              </w:rPr>
            </w:pPr>
            <w:r>
              <w:rPr>
                <w:rFonts w:ascii="Times New Roman"/>
                <w:w w:val="99"/>
                <w:sz w:val="21"/>
              </w:rPr>
              <w:t>0</w:t>
            </w:r>
          </w:p>
        </w:tc>
        <w:tc>
          <w:tcPr>
            <w:tcW w:w="744" w:type="dxa"/>
          </w:tcPr>
          <w:p w14:paraId="34B19716">
            <w:pPr>
              <w:pStyle w:val="17"/>
              <w:spacing w:before="34"/>
              <w:ind w:left="9"/>
              <w:rPr>
                <w:rFonts w:ascii="Times New Roman"/>
                <w:sz w:val="21"/>
              </w:rPr>
            </w:pPr>
            <w:r>
              <w:rPr>
                <w:rFonts w:ascii="Times New Roman"/>
                <w:w w:val="99"/>
                <w:sz w:val="21"/>
              </w:rPr>
              <w:t>0</w:t>
            </w:r>
          </w:p>
        </w:tc>
        <w:tc>
          <w:tcPr>
            <w:tcW w:w="788" w:type="dxa"/>
          </w:tcPr>
          <w:p w14:paraId="00005338">
            <w:pPr>
              <w:pStyle w:val="17"/>
              <w:spacing w:before="34"/>
              <w:ind w:right="330"/>
              <w:jc w:val="right"/>
              <w:rPr>
                <w:rFonts w:ascii="Times New Roman"/>
                <w:sz w:val="21"/>
              </w:rPr>
            </w:pPr>
            <w:r>
              <w:rPr>
                <w:rFonts w:ascii="Times New Roman"/>
                <w:w w:val="99"/>
                <w:sz w:val="21"/>
              </w:rPr>
              <w:t>0</w:t>
            </w:r>
          </w:p>
        </w:tc>
        <w:tc>
          <w:tcPr>
            <w:tcW w:w="788" w:type="dxa"/>
          </w:tcPr>
          <w:p w14:paraId="05DB4C29">
            <w:pPr>
              <w:pStyle w:val="17"/>
              <w:spacing w:before="34"/>
              <w:ind w:left="58" w:right="47"/>
              <w:rPr>
                <w:rFonts w:ascii="Times New Roman"/>
                <w:sz w:val="21"/>
              </w:rPr>
            </w:pPr>
            <w:r>
              <w:rPr>
                <w:rFonts w:ascii="Times New Roman"/>
                <w:sz w:val="21"/>
              </w:rPr>
              <w:t>0.05</w:t>
            </w:r>
          </w:p>
        </w:tc>
        <w:tc>
          <w:tcPr>
            <w:tcW w:w="763" w:type="dxa"/>
            <w:tcBorders>
              <w:right w:val="nil"/>
            </w:tcBorders>
          </w:tcPr>
          <w:p w14:paraId="649FB58C">
            <w:pPr>
              <w:pStyle w:val="17"/>
              <w:spacing w:before="20"/>
              <w:ind w:left="171"/>
              <w:jc w:val="left"/>
              <w:rPr>
                <w:sz w:val="21"/>
              </w:rPr>
            </w:pPr>
            <w:r>
              <w:rPr>
                <w:sz w:val="21"/>
              </w:rPr>
              <w:t>达标</w:t>
            </w:r>
          </w:p>
        </w:tc>
      </w:tr>
      <w:tr w14:paraId="37B08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65B8E12">
            <w:pPr>
              <w:rPr>
                <w:sz w:val="2"/>
                <w:szCs w:val="2"/>
              </w:rPr>
            </w:pPr>
          </w:p>
        </w:tc>
        <w:tc>
          <w:tcPr>
            <w:tcW w:w="1028" w:type="dxa"/>
          </w:tcPr>
          <w:p w14:paraId="15EDA1E7">
            <w:pPr>
              <w:pStyle w:val="17"/>
              <w:spacing w:before="20"/>
              <w:ind w:left="7"/>
              <w:rPr>
                <w:sz w:val="21"/>
              </w:rPr>
            </w:pPr>
            <w:r>
              <w:rPr>
                <w:w w:val="99"/>
                <w:sz w:val="21"/>
              </w:rPr>
              <w:t>铅</w:t>
            </w:r>
          </w:p>
        </w:tc>
        <w:tc>
          <w:tcPr>
            <w:tcW w:w="1001" w:type="dxa"/>
          </w:tcPr>
          <w:p w14:paraId="79C622D7">
            <w:pPr>
              <w:pStyle w:val="17"/>
              <w:spacing w:before="34"/>
              <w:ind w:right="68"/>
              <w:jc w:val="right"/>
              <w:rPr>
                <w:rFonts w:ascii="Times New Roman" w:hAnsi="Times New Roman"/>
                <w:sz w:val="13"/>
              </w:rPr>
            </w:pPr>
            <w:r>
              <w:rPr>
                <w:rFonts w:ascii="Times New Roman" w:hAnsi="Times New Roman"/>
                <w:sz w:val="21"/>
              </w:rPr>
              <w:t xml:space="preserve">1.14×10 </w:t>
            </w:r>
            <w:r>
              <w:rPr>
                <w:rFonts w:ascii="Times New Roman" w:hAnsi="Times New Roman"/>
                <w:position w:val="7"/>
                <w:sz w:val="13"/>
              </w:rPr>
              <w:t>-3</w:t>
            </w:r>
          </w:p>
        </w:tc>
        <w:tc>
          <w:tcPr>
            <w:tcW w:w="1001" w:type="dxa"/>
          </w:tcPr>
          <w:p w14:paraId="04FF558C">
            <w:pPr>
              <w:pStyle w:val="17"/>
              <w:spacing w:before="34"/>
              <w:ind w:left="72" w:right="62"/>
              <w:rPr>
                <w:rFonts w:ascii="Times New Roman"/>
                <w:sz w:val="21"/>
              </w:rPr>
            </w:pPr>
            <w:r>
              <w:rPr>
                <w:rFonts w:ascii="Times New Roman"/>
                <w:sz w:val="21"/>
              </w:rPr>
              <w:t>ND</w:t>
            </w:r>
          </w:p>
        </w:tc>
        <w:tc>
          <w:tcPr>
            <w:tcW w:w="1115" w:type="dxa"/>
          </w:tcPr>
          <w:p w14:paraId="6B273162">
            <w:pPr>
              <w:pStyle w:val="17"/>
              <w:spacing w:before="34"/>
              <w:ind w:left="267"/>
              <w:jc w:val="left"/>
              <w:rPr>
                <w:rFonts w:ascii="Times New Roman"/>
                <w:sz w:val="21"/>
              </w:rPr>
            </w:pPr>
            <w:r>
              <w:rPr>
                <w:rFonts w:ascii="Times New Roman"/>
                <w:sz w:val="21"/>
              </w:rPr>
              <w:t>0.0228</w:t>
            </w:r>
          </w:p>
        </w:tc>
        <w:tc>
          <w:tcPr>
            <w:tcW w:w="744" w:type="dxa"/>
          </w:tcPr>
          <w:p w14:paraId="21C92DA5">
            <w:pPr>
              <w:pStyle w:val="17"/>
              <w:spacing w:before="34"/>
              <w:ind w:left="9"/>
              <w:rPr>
                <w:rFonts w:ascii="Times New Roman"/>
                <w:sz w:val="21"/>
              </w:rPr>
            </w:pPr>
            <w:r>
              <w:rPr>
                <w:rFonts w:ascii="Times New Roman"/>
                <w:w w:val="99"/>
                <w:sz w:val="21"/>
              </w:rPr>
              <w:t>0</w:t>
            </w:r>
          </w:p>
        </w:tc>
        <w:tc>
          <w:tcPr>
            <w:tcW w:w="788" w:type="dxa"/>
          </w:tcPr>
          <w:p w14:paraId="39DA152A">
            <w:pPr>
              <w:pStyle w:val="17"/>
              <w:spacing w:before="34"/>
              <w:ind w:right="330"/>
              <w:jc w:val="right"/>
              <w:rPr>
                <w:rFonts w:ascii="Times New Roman"/>
                <w:sz w:val="21"/>
              </w:rPr>
            </w:pPr>
            <w:r>
              <w:rPr>
                <w:rFonts w:ascii="Times New Roman"/>
                <w:w w:val="99"/>
                <w:sz w:val="21"/>
              </w:rPr>
              <w:t>0</w:t>
            </w:r>
          </w:p>
        </w:tc>
        <w:tc>
          <w:tcPr>
            <w:tcW w:w="788" w:type="dxa"/>
          </w:tcPr>
          <w:p w14:paraId="55B8BC79">
            <w:pPr>
              <w:pStyle w:val="17"/>
              <w:spacing w:before="34"/>
              <w:ind w:left="58" w:right="47"/>
              <w:rPr>
                <w:rFonts w:ascii="Times New Roman"/>
                <w:sz w:val="21"/>
              </w:rPr>
            </w:pPr>
            <w:r>
              <w:rPr>
                <w:rFonts w:ascii="Times New Roman"/>
                <w:sz w:val="21"/>
              </w:rPr>
              <w:t>0.05</w:t>
            </w:r>
          </w:p>
        </w:tc>
        <w:tc>
          <w:tcPr>
            <w:tcW w:w="763" w:type="dxa"/>
            <w:tcBorders>
              <w:right w:val="nil"/>
            </w:tcBorders>
          </w:tcPr>
          <w:p w14:paraId="23873DF4">
            <w:pPr>
              <w:pStyle w:val="17"/>
              <w:spacing w:before="20"/>
              <w:ind w:left="171"/>
              <w:jc w:val="left"/>
              <w:rPr>
                <w:sz w:val="21"/>
              </w:rPr>
            </w:pPr>
            <w:r>
              <w:rPr>
                <w:sz w:val="21"/>
              </w:rPr>
              <w:t>达标</w:t>
            </w:r>
          </w:p>
        </w:tc>
      </w:tr>
      <w:tr w14:paraId="0977B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A31666E">
            <w:pPr>
              <w:rPr>
                <w:sz w:val="2"/>
                <w:szCs w:val="2"/>
              </w:rPr>
            </w:pPr>
          </w:p>
        </w:tc>
        <w:tc>
          <w:tcPr>
            <w:tcW w:w="1028" w:type="dxa"/>
          </w:tcPr>
          <w:p w14:paraId="482BB8F1">
            <w:pPr>
              <w:pStyle w:val="17"/>
              <w:spacing w:before="20"/>
              <w:ind w:left="7"/>
              <w:rPr>
                <w:sz w:val="21"/>
              </w:rPr>
            </w:pPr>
            <w:r>
              <w:rPr>
                <w:w w:val="99"/>
                <w:sz w:val="21"/>
              </w:rPr>
              <w:t>铊</w:t>
            </w:r>
          </w:p>
        </w:tc>
        <w:tc>
          <w:tcPr>
            <w:tcW w:w="1001" w:type="dxa"/>
          </w:tcPr>
          <w:p w14:paraId="36AD4C0E">
            <w:pPr>
              <w:pStyle w:val="17"/>
              <w:spacing w:before="34"/>
              <w:ind w:left="68" w:right="62"/>
              <w:rPr>
                <w:rFonts w:ascii="Times New Roman"/>
                <w:sz w:val="21"/>
              </w:rPr>
            </w:pPr>
            <w:r>
              <w:rPr>
                <w:rFonts w:ascii="Times New Roman"/>
                <w:sz w:val="21"/>
              </w:rPr>
              <w:t>ND</w:t>
            </w:r>
          </w:p>
        </w:tc>
        <w:tc>
          <w:tcPr>
            <w:tcW w:w="1001" w:type="dxa"/>
          </w:tcPr>
          <w:p w14:paraId="7EBAAFAE">
            <w:pPr>
              <w:pStyle w:val="17"/>
              <w:spacing w:before="34"/>
              <w:ind w:left="72" w:right="62"/>
              <w:rPr>
                <w:rFonts w:ascii="Times New Roman"/>
                <w:sz w:val="21"/>
              </w:rPr>
            </w:pPr>
            <w:r>
              <w:rPr>
                <w:rFonts w:ascii="Times New Roman"/>
                <w:sz w:val="21"/>
              </w:rPr>
              <w:t>ND</w:t>
            </w:r>
          </w:p>
        </w:tc>
        <w:tc>
          <w:tcPr>
            <w:tcW w:w="1115" w:type="dxa"/>
          </w:tcPr>
          <w:p w14:paraId="342F5FCA">
            <w:pPr>
              <w:pStyle w:val="17"/>
              <w:spacing w:before="34"/>
              <w:ind w:left="10"/>
              <w:rPr>
                <w:rFonts w:ascii="Times New Roman"/>
                <w:sz w:val="21"/>
              </w:rPr>
            </w:pPr>
            <w:r>
              <w:rPr>
                <w:rFonts w:ascii="Times New Roman"/>
                <w:w w:val="99"/>
                <w:sz w:val="21"/>
              </w:rPr>
              <w:t>0</w:t>
            </w:r>
          </w:p>
        </w:tc>
        <w:tc>
          <w:tcPr>
            <w:tcW w:w="744" w:type="dxa"/>
          </w:tcPr>
          <w:p w14:paraId="3C1227F9">
            <w:pPr>
              <w:pStyle w:val="17"/>
              <w:spacing w:before="34"/>
              <w:ind w:left="9"/>
              <w:rPr>
                <w:rFonts w:ascii="Times New Roman"/>
                <w:sz w:val="21"/>
              </w:rPr>
            </w:pPr>
            <w:r>
              <w:rPr>
                <w:rFonts w:ascii="Times New Roman"/>
                <w:w w:val="99"/>
                <w:sz w:val="21"/>
              </w:rPr>
              <w:t>0</w:t>
            </w:r>
          </w:p>
        </w:tc>
        <w:tc>
          <w:tcPr>
            <w:tcW w:w="788" w:type="dxa"/>
          </w:tcPr>
          <w:p w14:paraId="68A834FF">
            <w:pPr>
              <w:pStyle w:val="17"/>
              <w:spacing w:before="34"/>
              <w:ind w:right="330"/>
              <w:jc w:val="right"/>
              <w:rPr>
                <w:rFonts w:ascii="Times New Roman"/>
                <w:sz w:val="21"/>
              </w:rPr>
            </w:pPr>
            <w:r>
              <w:rPr>
                <w:rFonts w:ascii="Times New Roman"/>
                <w:w w:val="99"/>
                <w:sz w:val="21"/>
              </w:rPr>
              <w:t>0</w:t>
            </w:r>
          </w:p>
        </w:tc>
        <w:tc>
          <w:tcPr>
            <w:tcW w:w="788" w:type="dxa"/>
          </w:tcPr>
          <w:p w14:paraId="4D8AEF37">
            <w:pPr>
              <w:pStyle w:val="17"/>
              <w:spacing w:before="34"/>
              <w:ind w:left="58" w:right="49"/>
              <w:rPr>
                <w:rFonts w:ascii="Times New Roman"/>
                <w:sz w:val="21"/>
              </w:rPr>
            </w:pPr>
            <w:r>
              <w:rPr>
                <w:rFonts w:ascii="Times New Roman"/>
                <w:sz w:val="21"/>
              </w:rPr>
              <w:t>0.0001</w:t>
            </w:r>
          </w:p>
        </w:tc>
        <w:tc>
          <w:tcPr>
            <w:tcW w:w="763" w:type="dxa"/>
            <w:tcBorders>
              <w:right w:val="nil"/>
            </w:tcBorders>
          </w:tcPr>
          <w:p w14:paraId="037A5D44">
            <w:pPr>
              <w:pStyle w:val="17"/>
              <w:spacing w:before="20"/>
              <w:ind w:left="171"/>
              <w:jc w:val="left"/>
              <w:rPr>
                <w:sz w:val="21"/>
              </w:rPr>
            </w:pPr>
            <w:r>
              <w:rPr>
                <w:sz w:val="21"/>
              </w:rPr>
              <w:t>达标</w:t>
            </w:r>
          </w:p>
        </w:tc>
      </w:tr>
      <w:tr w14:paraId="1994F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7D558D0F">
            <w:pPr>
              <w:rPr>
                <w:sz w:val="2"/>
                <w:szCs w:val="2"/>
              </w:rPr>
            </w:pPr>
          </w:p>
        </w:tc>
        <w:tc>
          <w:tcPr>
            <w:tcW w:w="1028" w:type="dxa"/>
          </w:tcPr>
          <w:p w14:paraId="6CEFB8BC">
            <w:pPr>
              <w:pStyle w:val="17"/>
              <w:spacing w:before="19"/>
              <w:ind w:left="7"/>
              <w:rPr>
                <w:sz w:val="21"/>
              </w:rPr>
            </w:pPr>
            <w:r>
              <w:rPr>
                <w:w w:val="99"/>
                <w:sz w:val="21"/>
              </w:rPr>
              <w:t>镉</w:t>
            </w:r>
          </w:p>
        </w:tc>
        <w:tc>
          <w:tcPr>
            <w:tcW w:w="1001" w:type="dxa"/>
          </w:tcPr>
          <w:p w14:paraId="4F660D40">
            <w:pPr>
              <w:pStyle w:val="17"/>
              <w:spacing w:before="33"/>
              <w:ind w:right="68"/>
              <w:jc w:val="right"/>
              <w:rPr>
                <w:rFonts w:ascii="Times New Roman" w:hAnsi="Times New Roman"/>
                <w:sz w:val="13"/>
              </w:rPr>
            </w:pPr>
            <w:r>
              <w:rPr>
                <w:rFonts w:ascii="Times New Roman" w:hAnsi="Times New Roman"/>
                <w:sz w:val="21"/>
              </w:rPr>
              <w:t xml:space="preserve">2.30×10 </w:t>
            </w:r>
            <w:r>
              <w:rPr>
                <w:rFonts w:ascii="Times New Roman" w:hAnsi="Times New Roman"/>
                <w:position w:val="7"/>
                <w:sz w:val="13"/>
              </w:rPr>
              <w:t>-3</w:t>
            </w:r>
          </w:p>
        </w:tc>
        <w:tc>
          <w:tcPr>
            <w:tcW w:w="1001" w:type="dxa"/>
          </w:tcPr>
          <w:p w14:paraId="7A9CD413">
            <w:pPr>
              <w:pStyle w:val="17"/>
              <w:spacing w:before="33"/>
              <w:ind w:right="69"/>
              <w:jc w:val="right"/>
              <w:rPr>
                <w:rFonts w:ascii="Times New Roman" w:hAnsi="Times New Roman"/>
                <w:sz w:val="13"/>
              </w:rPr>
            </w:pPr>
            <w:r>
              <w:rPr>
                <w:rFonts w:ascii="Times New Roman" w:hAnsi="Times New Roman"/>
                <w:sz w:val="21"/>
              </w:rPr>
              <w:t xml:space="preserve">2.99×10 </w:t>
            </w:r>
            <w:r>
              <w:rPr>
                <w:rFonts w:ascii="Times New Roman" w:hAnsi="Times New Roman"/>
                <w:position w:val="7"/>
                <w:sz w:val="13"/>
              </w:rPr>
              <w:t>-3</w:t>
            </w:r>
          </w:p>
        </w:tc>
        <w:tc>
          <w:tcPr>
            <w:tcW w:w="1115" w:type="dxa"/>
          </w:tcPr>
          <w:p w14:paraId="0F12C340">
            <w:pPr>
              <w:pStyle w:val="17"/>
              <w:spacing w:before="33"/>
              <w:ind w:right="68"/>
              <w:jc w:val="right"/>
              <w:rPr>
                <w:rFonts w:ascii="Times New Roman"/>
                <w:sz w:val="21"/>
              </w:rPr>
            </w:pPr>
            <w:r>
              <w:rPr>
                <w:rFonts w:ascii="Times New Roman"/>
                <w:w w:val="95"/>
                <w:sz w:val="21"/>
              </w:rPr>
              <w:t>0.46~0.598</w:t>
            </w:r>
          </w:p>
        </w:tc>
        <w:tc>
          <w:tcPr>
            <w:tcW w:w="744" w:type="dxa"/>
          </w:tcPr>
          <w:p w14:paraId="7A0C4F11">
            <w:pPr>
              <w:pStyle w:val="17"/>
              <w:spacing w:before="33"/>
              <w:ind w:left="9"/>
              <w:rPr>
                <w:rFonts w:ascii="Times New Roman"/>
                <w:sz w:val="21"/>
              </w:rPr>
            </w:pPr>
            <w:r>
              <w:rPr>
                <w:rFonts w:ascii="Times New Roman"/>
                <w:w w:val="99"/>
                <w:sz w:val="21"/>
              </w:rPr>
              <w:t>0</w:t>
            </w:r>
          </w:p>
        </w:tc>
        <w:tc>
          <w:tcPr>
            <w:tcW w:w="788" w:type="dxa"/>
          </w:tcPr>
          <w:p w14:paraId="66DC168D">
            <w:pPr>
              <w:pStyle w:val="17"/>
              <w:spacing w:before="33"/>
              <w:ind w:right="330"/>
              <w:jc w:val="right"/>
              <w:rPr>
                <w:rFonts w:ascii="Times New Roman"/>
                <w:sz w:val="21"/>
              </w:rPr>
            </w:pPr>
            <w:r>
              <w:rPr>
                <w:rFonts w:ascii="Times New Roman"/>
                <w:w w:val="99"/>
                <w:sz w:val="21"/>
              </w:rPr>
              <w:t>0</w:t>
            </w:r>
          </w:p>
        </w:tc>
        <w:tc>
          <w:tcPr>
            <w:tcW w:w="788" w:type="dxa"/>
          </w:tcPr>
          <w:p w14:paraId="1605BFA8">
            <w:pPr>
              <w:pStyle w:val="17"/>
              <w:spacing w:before="33"/>
              <w:ind w:left="58" w:right="49"/>
              <w:rPr>
                <w:rFonts w:ascii="Times New Roman"/>
                <w:sz w:val="21"/>
              </w:rPr>
            </w:pPr>
            <w:r>
              <w:rPr>
                <w:rFonts w:ascii="Times New Roman"/>
                <w:sz w:val="21"/>
              </w:rPr>
              <w:t>0.005</w:t>
            </w:r>
          </w:p>
        </w:tc>
        <w:tc>
          <w:tcPr>
            <w:tcW w:w="763" w:type="dxa"/>
            <w:tcBorders>
              <w:right w:val="nil"/>
            </w:tcBorders>
          </w:tcPr>
          <w:p w14:paraId="4BAD4472">
            <w:pPr>
              <w:pStyle w:val="17"/>
              <w:spacing w:before="19"/>
              <w:ind w:left="171"/>
              <w:jc w:val="left"/>
              <w:rPr>
                <w:sz w:val="21"/>
              </w:rPr>
            </w:pPr>
            <w:r>
              <w:rPr>
                <w:sz w:val="21"/>
              </w:rPr>
              <w:t>达标</w:t>
            </w:r>
          </w:p>
        </w:tc>
      </w:tr>
      <w:tr w14:paraId="53306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6C200A3">
            <w:pPr>
              <w:rPr>
                <w:sz w:val="2"/>
                <w:szCs w:val="2"/>
              </w:rPr>
            </w:pPr>
          </w:p>
        </w:tc>
        <w:tc>
          <w:tcPr>
            <w:tcW w:w="1028" w:type="dxa"/>
          </w:tcPr>
          <w:p w14:paraId="1907E54F">
            <w:pPr>
              <w:pStyle w:val="17"/>
              <w:spacing w:before="19"/>
              <w:ind w:left="7"/>
              <w:rPr>
                <w:sz w:val="21"/>
              </w:rPr>
            </w:pPr>
            <w:r>
              <w:rPr>
                <w:w w:val="99"/>
                <w:sz w:val="21"/>
              </w:rPr>
              <w:t>锌</w:t>
            </w:r>
          </w:p>
        </w:tc>
        <w:tc>
          <w:tcPr>
            <w:tcW w:w="1001" w:type="dxa"/>
          </w:tcPr>
          <w:p w14:paraId="7F1C3D8E">
            <w:pPr>
              <w:pStyle w:val="17"/>
              <w:spacing w:before="33"/>
              <w:ind w:left="316"/>
              <w:jc w:val="left"/>
              <w:rPr>
                <w:rFonts w:ascii="Times New Roman"/>
                <w:sz w:val="21"/>
              </w:rPr>
            </w:pPr>
            <w:r>
              <w:rPr>
                <w:rFonts w:ascii="Times New Roman"/>
                <w:sz w:val="21"/>
              </w:rPr>
              <w:t>0.07</w:t>
            </w:r>
          </w:p>
        </w:tc>
        <w:tc>
          <w:tcPr>
            <w:tcW w:w="1001" w:type="dxa"/>
          </w:tcPr>
          <w:p w14:paraId="5E7AE1C6">
            <w:pPr>
              <w:pStyle w:val="17"/>
              <w:spacing w:before="33"/>
              <w:ind w:left="72" w:right="62"/>
              <w:rPr>
                <w:rFonts w:ascii="Times New Roman"/>
                <w:sz w:val="21"/>
              </w:rPr>
            </w:pPr>
            <w:r>
              <w:rPr>
                <w:rFonts w:ascii="Times New Roman"/>
                <w:sz w:val="21"/>
              </w:rPr>
              <w:t>ND</w:t>
            </w:r>
          </w:p>
        </w:tc>
        <w:tc>
          <w:tcPr>
            <w:tcW w:w="1115" w:type="dxa"/>
          </w:tcPr>
          <w:p w14:paraId="53A21378">
            <w:pPr>
              <w:pStyle w:val="17"/>
              <w:spacing w:before="33"/>
              <w:ind w:left="263"/>
              <w:jc w:val="left"/>
              <w:rPr>
                <w:rFonts w:ascii="Times New Roman"/>
                <w:sz w:val="21"/>
              </w:rPr>
            </w:pPr>
            <w:r>
              <w:rPr>
                <w:rFonts w:ascii="Times New Roman"/>
                <w:sz w:val="21"/>
              </w:rPr>
              <w:t>0~0.07</w:t>
            </w:r>
          </w:p>
        </w:tc>
        <w:tc>
          <w:tcPr>
            <w:tcW w:w="744" w:type="dxa"/>
          </w:tcPr>
          <w:p w14:paraId="4192F2F1">
            <w:pPr>
              <w:pStyle w:val="17"/>
              <w:spacing w:before="33"/>
              <w:ind w:left="9"/>
              <w:rPr>
                <w:rFonts w:ascii="Times New Roman"/>
                <w:sz w:val="21"/>
              </w:rPr>
            </w:pPr>
            <w:r>
              <w:rPr>
                <w:rFonts w:ascii="Times New Roman"/>
                <w:w w:val="99"/>
                <w:sz w:val="21"/>
              </w:rPr>
              <w:t>0</w:t>
            </w:r>
          </w:p>
        </w:tc>
        <w:tc>
          <w:tcPr>
            <w:tcW w:w="788" w:type="dxa"/>
          </w:tcPr>
          <w:p w14:paraId="112AE22F">
            <w:pPr>
              <w:pStyle w:val="17"/>
              <w:spacing w:before="33"/>
              <w:ind w:right="330"/>
              <w:jc w:val="right"/>
              <w:rPr>
                <w:rFonts w:ascii="Times New Roman"/>
                <w:sz w:val="21"/>
              </w:rPr>
            </w:pPr>
            <w:r>
              <w:rPr>
                <w:rFonts w:ascii="Times New Roman"/>
                <w:w w:val="99"/>
                <w:sz w:val="21"/>
              </w:rPr>
              <w:t>0</w:t>
            </w:r>
          </w:p>
        </w:tc>
        <w:tc>
          <w:tcPr>
            <w:tcW w:w="788" w:type="dxa"/>
          </w:tcPr>
          <w:p w14:paraId="323F8AC2">
            <w:pPr>
              <w:pStyle w:val="17"/>
              <w:spacing w:before="33"/>
              <w:ind w:left="6"/>
              <w:rPr>
                <w:rFonts w:ascii="Times New Roman"/>
                <w:sz w:val="21"/>
              </w:rPr>
            </w:pPr>
            <w:r>
              <w:rPr>
                <w:rFonts w:ascii="Times New Roman"/>
                <w:w w:val="99"/>
                <w:sz w:val="21"/>
              </w:rPr>
              <w:t>1</w:t>
            </w:r>
          </w:p>
        </w:tc>
        <w:tc>
          <w:tcPr>
            <w:tcW w:w="763" w:type="dxa"/>
            <w:tcBorders>
              <w:right w:val="nil"/>
            </w:tcBorders>
          </w:tcPr>
          <w:p w14:paraId="4CFB6A2F">
            <w:pPr>
              <w:pStyle w:val="17"/>
              <w:spacing w:before="19"/>
              <w:ind w:left="171"/>
              <w:jc w:val="left"/>
              <w:rPr>
                <w:sz w:val="21"/>
              </w:rPr>
            </w:pPr>
            <w:r>
              <w:rPr>
                <w:sz w:val="21"/>
              </w:rPr>
              <w:t>达标</w:t>
            </w:r>
          </w:p>
        </w:tc>
      </w:tr>
      <w:tr w14:paraId="5D0E6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0FF8353">
            <w:pPr>
              <w:rPr>
                <w:sz w:val="2"/>
                <w:szCs w:val="2"/>
              </w:rPr>
            </w:pPr>
          </w:p>
        </w:tc>
        <w:tc>
          <w:tcPr>
            <w:tcW w:w="1028" w:type="dxa"/>
          </w:tcPr>
          <w:p w14:paraId="15232775">
            <w:pPr>
              <w:pStyle w:val="17"/>
              <w:spacing w:before="21"/>
              <w:ind w:left="7"/>
              <w:rPr>
                <w:sz w:val="21"/>
              </w:rPr>
            </w:pPr>
            <w:r>
              <w:rPr>
                <w:w w:val="99"/>
                <w:sz w:val="21"/>
              </w:rPr>
              <w:t>铜</w:t>
            </w:r>
          </w:p>
        </w:tc>
        <w:tc>
          <w:tcPr>
            <w:tcW w:w="1001" w:type="dxa"/>
          </w:tcPr>
          <w:p w14:paraId="79BB49A6">
            <w:pPr>
              <w:pStyle w:val="17"/>
              <w:spacing w:before="35"/>
              <w:ind w:left="68" w:right="62"/>
              <w:rPr>
                <w:rFonts w:ascii="Times New Roman"/>
                <w:sz w:val="21"/>
              </w:rPr>
            </w:pPr>
            <w:r>
              <w:rPr>
                <w:rFonts w:ascii="Times New Roman"/>
                <w:sz w:val="21"/>
              </w:rPr>
              <w:t>ND</w:t>
            </w:r>
          </w:p>
        </w:tc>
        <w:tc>
          <w:tcPr>
            <w:tcW w:w="1001" w:type="dxa"/>
          </w:tcPr>
          <w:p w14:paraId="1F1EB280">
            <w:pPr>
              <w:pStyle w:val="17"/>
              <w:spacing w:before="35"/>
              <w:ind w:left="72" w:right="62"/>
              <w:rPr>
                <w:rFonts w:ascii="Times New Roman"/>
                <w:sz w:val="21"/>
              </w:rPr>
            </w:pPr>
            <w:r>
              <w:rPr>
                <w:rFonts w:ascii="Times New Roman"/>
                <w:sz w:val="21"/>
              </w:rPr>
              <w:t>ND</w:t>
            </w:r>
          </w:p>
        </w:tc>
        <w:tc>
          <w:tcPr>
            <w:tcW w:w="1115" w:type="dxa"/>
          </w:tcPr>
          <w:p w14:paraId="63DFAE1E">
            <w:pPr>
              <w:pStyle w:val="17"/>
              <w:spacing w:before="35"/>
              <w:ind w:left="10"/>
              <w:rPr>
                <w:rFonts w:ascii="Times New Roman"/>
                <w:sz w:val="21"/>
              </w:rPr>
            </w:pPr>
            <w:r>
              <w:rPr>
                <w:rFonts w:ascii="Times New Roman"/>
                <w:w w:val="99"/>
                <w:sz w:val="21"/>
              </w:rPr>
              <w:t>0</w:t>
            </w:r>
          </w:p>
        </w:tc>
        <w:tc>
          <w:tcPr>
            <w:tcW w:w="744" w:type="dxa"/>
          </w:tcPr>
          <w:p w14:paraId="76685A4D">
            <w:pPr>
              <w:pStyle w:val="17"/>
              <w:spacing w:before="35"/>
              <w:ind w:left="9"/>
              <w:rPr>
                <w:rFonts w:ascii="Times New Roman"/>
                <w:sz w:val="21"/>
              </w:rPr>
            </w:pPr>
            <w:r>
              <w:rPr>
                <w:rFonts w:ascii="Times New Roman"/>
                <w:w w:val="99"/>
                <w:sz w:val="21"/>
              </w:rPr>
              <w:t>0</w:t>
            </w:r>
          </w:p>
        </w:tc>
        <w:tc>
          <w:tcPr>
            <w:tcW w:w="788" w:type="dxa"/>
          </w:tcPr>
          <w:p w14:paraId="6E223E56">
            <w:pPr>
              <w:pStyle w:val="17"/>
              <w:spacing w:before="35"/>
              <w:ind w:right="330"/>
              <w:jc w:val="right"/>
              <w:rPr>
                <w:rFonts w:ascii="Times New Roman"/>
                <w:sz w:val="21"/>
              </w:rPr>
            </w:pPr>
            <w:r>
              <w:rPr>
                <w:rFonts w:ascii="Times New Roman"/>
                <w:w w:val="99"/>
                <w:sz w:val="21"/>
              </w:rPr>
              <w:t>0</w:t>
            </w:r>
          </w:p>
        </w:tc>
        <w:tc>
          <w:tcPr>
            <w:tcW w:w="788" w:type="dxa"/>
          </w:tcPr>
          <w:p w14:paraId="2093784E">
            <w:pPr>
              <w:pStyle w:val="17"/>
              <w:spacing w:before="35"/>
              <w:ind w:left="6"/>
              <w:rPr>
                <w:rFonts w:ascii="Times New Roman"/>
                <w:sz w:val="21"/>
              </w:rPr>
            </w:pPr>
            <w:r>
              <w:rPr>
                <w:rFonts w:ascii="Times New Roman"/>
                <w:w w:val="99"/>
                <w:sz w:val="21"/>
              </w:rPr>
              <w:t>1</w:t>
            </w:r>
          </w:p>
        </w:tc>
        <w:tc>
          <w:tcPr>
            <w:tcW w:w="763" w:type="dxa"/>
            <w:tcBorders>
              <w:right w:val="nil"/>
            </w:tcBorders>
          </w:tcPr>
          <w:p w14:paraId="3D646909">
            <w:pPr>
              <w:pStyle w:val="17"/>
              <w:spacing w:before="21"/>
              <w:ind w:left="171"/>
              <w:jc w:val="left"/>
              <w:rPr>
                <w:sz w:val="21"/>
              </w:rPr>
            </w:pPr>
            <w:r>
              <w:rPr>
                <w:sz w:val="21"/>
              </w:rPr>
              <w:t>达标</w:t>
            </w:r>
          </w:p>
        </w:tc>
      </w:tr>
      <w:tr w14:paraId="6F6BD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3FC1AFEC">
            <w:pPr>
              <w:pStyle w:val="17"/>
              <w:jc w:val="left"/>
              <w:rPr>
                <w:b/>
                <w:sz w:val="22"/>
              </w:rPr>
            </w:pPr>
          </w:p>
          <w:p w14:paraId="461B0A7D">
            <w:pPr>
              <w:pStyle w:val="17"/>
              <w:spacing w:before="2"/>
              <w:jc w:val="left"/>
              <w:rPr>
                <w:b/>
                <w:sz w:val="30"/>
              </w:rPr>
            </w:pPr>
          </w:p>
          <w:p w14:paraId="1264FF95">
            <w:pPr>
              <w:pStyle w:val="17"/>
              <w:spacing w:line="283" w:lineRule="auto"/>
              <w:ind w:left="32" w:right="28" w:firstLine="12"/>
              <w:rPr>
                <w:rFonts w:ascii="Times New Roman" w:eastAsia="Times New Roman"/>
                <w:sz w:val="21"/>
              </w:rPr>
            </w:pPr>
            <w:r>
              <w:rPr>
                <w:w w:val="95"/>
                <w:sz w:val="21"/>
              </w:rPr>
              <w:t>汨罗市城市</w:t>
            </w:r>
            <w:r>
              <w:rPr>
                <w:sz w:val="21"/>
              </w:rPr>
              <w:t>污水处理厂排污口上游</w:t>
            </w:r>
            <w:r>
              <w:rPr>
                <w:rFonts w:ascii="Times New Roman" w:eastAsia="Times New Roman"/>
                <w:sz w:val="21"/>
              </w:rPr>
              <w:t>500m</w:t>
            </w:r>
          </w:p>
        </w:tc>
        <w:tc>
          <w:tcPr>
            <w:tcW w:w="1028" w:type="dxa"/>
          </w:tcPr>
          <w:p w14:paraId="70522558">
            <w:pPr>
              <w:pStyle w:val="17"/>
              <w:spacing w:before="34"/>
              <w:ind w:left="63" w:right="56"/>
              <w:rPr>
                <w:rFonts w:ascii="Times New Roman"/>
                <w:sz w:val="21"/>
              </w:rPr>
            </w:pPr>
            <w:r>
              <w:rPr>
                <w:rFonts w:ascii="Times New Roman"/>
                <w:sz w:val="21"/>
              </w:rPr>
              <w:t>pH</w:t>
            </w:r>
          </w:p>
        </w:tc>
        <w:tc>
          <w:tcPr>
            <w:tcW w:w="1001" w:type="dxa"/>
          </w:tcPr>
          <w:p w14:paraId="4C721451">
            <w:pPr>
              <w:pStyle w:val="17"/>
              <w:spacing w:before="34"/>
              <w:ind w:left="72" w:right="62"/>
              <w:rPr>
                <w:rFonts w:ascii="Times New Roman"/>
                <w:sz w:val="21"/>
              </w:rPr>
            </w:pPr>
            <w:r>
              <w:rPr>
                <w:rFonts w:ascii="Times New Roman"/>
                <w:sz w:val="21"/>
              </w:rPr>
              <w:t>6.7</w:t>
            </w:r>
          </w:p>
        </w:tc>
        <w:tc>
          <w:tcPr>
            <w:tcW w:w="1001" w:type="dxa"/>
          </w:tcPr>
          <w:p w14:paraId="3DAB8C7F">
            <w:pPr>
              <w:pStyle w:val="17"/>
              <w:spacing w:before="34"/>
              <w:ind w:left="71" w:right="62"/>
              <w:rPr>
                <w:rFonts w:ascii="Times New Roman"/>
                <w:sz w:val="21"/>
              </w:rPr>
            </w:pPr>
            <w:r>
              <w:rPr>
                <w:rFonts w:ascii="Times New Roman"/>
                <w:sz w:val="21"/>
              </w:rPr>
              <w:t>7.2</w:t>
            </w:r>
          </w:p>
        </w:tc>
        <w:tc>
          <w:tcPr>
            <w:tcW w:w="1115" w:type="dxa"/>
          </w:tcPr>
          <w:p w14:paraId="2E4BB0EB">
            <w:pPr>
              <w:pStyle w:val="17"/>
              <w:spacing w:before="34"/>
              <w:ind w:left="236"/>
              <w:jc w:val="left"/>
              <w:rPr>
                <w:rFonts w:ascii="Times New Roman"/>
                <w:sz w:val="21"/>
              </w:rPr>
            </w:pPr>
            <w:r>
              <w:rPr>
                <w:rFonts w:ascii="Times New Roman"/>
                <w:sz w:val="21"/>
              </w:rPr>
              <w:t>0.1~0.3</w:t>
            </w:r>
          </w:p>
        </w:tc>
        <w:tc>
          <w:tcPr>
            <w:tcW w:w="744" w:type="dxa"/>
          </w:tcPr>
          <w:p w14:paraId="60129C42">
            <w:pPr>
              <w:pStyle w:val="17"/>
              <w:spacing w:before="34"/>
              <w:ind w:left="9"/>
              <w:rPr>
                <w:rFonts w:ascii="Times New Roman"/>
                <w:sz w:val="21"/>
              </w:rPr>
            </w:pPr>
            <w:r>
              <w:rPr>
                <w:rFonts w:ascii="Times New Roman"/>
                <w:w w:val="99"/>
                <w:sz w:val="21"/>
              </w:rPr>
              <w:t>0</w:t>
            </w:r>
          </w:p>
        </w:tc>
        <w:tc>
          <w:tcPr>
            <w:tcW w:w="788" w:type="dxa"/>
          </w:tcPr>
          <w:p w14:paraId="1058EE9F">
            <w:pPr>
              <w:pStyle w:val="17"/>
              <w:spacing w:before="34"/>
              <w:ind w:right="330"/>
              <w:jc w:val="right"/>
              <w:rPr>
                <w:rFonts w:ascii="Times New Roman"/>
                <w:sz w:val="21"/>
              </w:rPr>
            </w:pPr>
            <w:r>
              <w:rPr>
                <w:rFonts w:ascii="Times New Roman"/>
                <w:w w:val="99"/>
                <w:sz w:val="21"/>
              </w:rPr>
              <w:t>0</w:t>
            </w:r>
          </w:p>
        </w:tc>
        <w:tc>
          <w:tcPr>
            <w:tcW w:w="788" w:type="dxa"/>
          </w:tcPr>
          <w:p w14:paraId="2C60AD8E">
            <w:pPr>
              <w:pStyle w:val="17"/>
              <w:spacing w:before="34"/>
              <w:ind w:left="58" w:right="49"/>
              <w:rPr>
                <w:rFonts w:ascii="Times New Roman"/>
                <w:sz w:val="21"/>
              </w:rPr>
            </w:pPr>
            <w:r>
              <w:rPr>
                <w:rFonts w:ascii="Times New Roman"/>
                <w:sz w:val="21"/>
              </w:rPr>
              <w:t>6~9</w:t>
            </w:r>
          </w:p>
        </w:tc>
        <w:tc>
          <w:tcPr>
            <w:tcW w:w="763" w:type="dxa"/>
            <w:tcBorders>
              <w:right w:val="nil"/>
            </w:tcBorders>
          </w:tcPr>
          <w:p w14:paraId="466E2368">
            <w:pPr>
              <w:pStyle w:val="17"/>
              <w:spacing w:before="21"/>
              <w:ind w:left="171"/>
              <w:jc w:val="left"/>
              <w:rPr>
                <w:sz w:val="21"/>
              </w:rPr>
            </w:pPr>
            <w:r>
              <w:rPr>
                <w:sz w:val="21"/>
              </w:rPr>
              <w:t>达标</w:t>
            </w:r>
          </w:p>
        </w:tc>
      </w:tr>
      <w:tr w14:paraId="1B749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EA573B4">
            <w:pPr>
              <w:rPr>
                <w:sz w:val="2"/>
                <w:szCs w:val="2"/>
              </w:rPr>
            </w:pPr>
          </w:p>
        </w:tc>
        <w:tc>
          <w:tcPr>
            <w:tcW w:w="1028" w:type="dxa"/>
          </w:tcPr>
          <w:p w14:paraId="4BA8E03D">
            <w:pPr>
              <w:pStyle w:val="17"/>
              <w:spacing w:before="20"/>
              <w:ind w:left="66" w:right="56"/>
              <w:rPr>
                <w:sz w:val="21"/>
              </w:rPr>
            </w:pPr>
            <w:r>
              <w:rPr>
                <w:sz w:val="21"/>
              </w:rPr>
              <w:t>悬浮物</w:t>
            </w:r>
          </w:p>
        </w:tc>
        <w:tc>
          <w:tcPr>
            <w:tcW w:w="1001" w:type="dxa"/>
          </w:tcPr>
          <w:p w14:paraId="7478D47D">
            <w:pPr>
              <w:pStyle w:val="17"/>
              <w:spacing w:before="34"/>
              <w:ind w:left="72" w:right="62"/>
              <w:rPr>
                <w:rFonts w:ascii="Times New Roman"/>
                <w:sz w:val="21"/>
              </w:rPr>
            </w:pPr>
            <w:r>
              <w:rPr>
                <w:rFonts w:ascii="Times New Roman"/>
                <w:sz w:val="21"/>
              </w:rPr>
              <w:t>14</w:t>
            </w:r>
          </w:p>
        </w:tc>
        <w:tc>
          <w:tcPr>
            <w:tcW w:w="1001" w:type="dxa"/>
          </w:tcPr>
          <w:p w14:paraId="289AD8E4">
            <w:pPr>
              <w:pStyle w:val="17"/>
              <w:spacing w:before="34"/>
              <w:ind w:left="71" w:right="62"/>
              <w:rPr>
                <w:rFonts w:ascii="Times New Roman"/>
                <w:sz w:val="21"/>
              </w:rPr>
            </w:pPr>
            <w:r>
              <w:rPr>
                <w:rFonts w:ascii="Times New Roman"/>
                <w:sz w:val="21"/>
              </w:rPr>
              <w:t>12</w:t>
            </w:r>
          </w:p>
        </w:tc>
        <w:tc>
          <w:tcPr>
            <w:tcW w:w="1115" w:type="dxa"/>
          </w:tcPr>
          <w:p w14:paraId="335D665B">
            <w:pPr>
              <w:pStyle w:val="17"/>
              <w:spacing w:before="34"/>
              <w:ind w:left="7"/>
              <w:rPr>
                <w:rFonts w:ascii="Times New Roman"/>
                <w:sz w:val="21"/>
              </w:rPr>
            </w:pPr>
            <w:r>
              <w:rPr>
                <w:rFonts w:ascii="Times New Roman"/>
                <w:w w:val="99"/>
                <w:sz w:val="21"/>
              </w:rPr>
              <w:t>/</w:t>
            </w:r>
          </w:p>
        </w:tc>
        <w:tc>
          <w:tcPr>
            <w:tcW w:w="744" w:type="dxa"/>
          </w:tcPr>
          <w:p w14:paraId="2DA39029">
            <w:pPr>
              <w:pStyle w:val="17"/>
              <w:spacing w:before="34"/>
              <w:ind w:left="9"/>
              <w:rPr>
                <w:rFonts w:ascii="Times New Roman"/>
                <w:sz w:val="21"/>
              </w:rPr>
            </w:pPr>
            <w:r>
              <w:rPr>
                <w:rFonts w:ascii="Times New Roman"/>
                <w:w w:val="99"/>
                <w:sz w:val="21"/>
              </w:rPr>
              <w:t>0</w:t>
            </w:r>
          </w:p>
        </w:tc>
        <w:tc>
          <w:tcPr>
            <w:tcW w:w="788" w:type="dxa"/>
          </w:tcPr>
          <w:p w14:paraId="6C2ABCBF">
            <w:pPr>
              <w:pStyle w:val="17"/>
              <w:spacing w:before="34"/>
              <w:ind w:right="330"/>
              <w:jc w:val="right"/>
              <w:rPr>
                <w:rFonts w:ascii="Times New Roman"/>
                <w:sz w:val="21"/>
              </w:rPr>
            </w:pPr>
            <w:r>
              <w:rPr>
                <w:rFonts w:ascii="Times New Roman"/>
                <w:w w:val="99"/>
                <w:sz w:val="21"/>
              </w:rPr>
              <w:t>0</w:t>
            </w:r>
          </w:p>
        </w:tc>
        <w:tc>
          <w:tcPr>
            <w:tcW w:w="788" w:type="dxa"/>
          </w:tcPr>
          <w:p w14:paraId="0B7D92DA">
            <w:pPr>
              <w:pStyle w:val="17"/>
              <w:spacing w:before="34"/>
              <w:ind w:left="8"/>
              <w:rPr>
                <w:rFonts w:ascii="Times New Roman"/>
                <w:sz w:val="21"/>
              </w:rPr>
            </w:pPr>
            <w:r>
              <w:rPr>
                <w:rFonts w:ascii="Times New Roman"/>
                <w:w w:val="99"/>
                <w:sz w:val="21"/>
              </w:rPr>
              <w:t>/</w:t>
            </w:r>
          </w:p>
        </w:tc>
        <w:tc>
          <w:tcPr>
            <w:tcW w:w="763" w:type="dxa"/>
            <w:tcBorders>
              <w:right w:val="nil"/>
            </w:tcBorders>
          </w:tcPr>
          <w:p w14:paraId="16E79827">
            <w:pPr>
              <w:pStyle w:val="17"/>
              <w:spacing w:before="20"/>
              <w:ind w:left="171"/>
              <w:jc w:val="left"/>
              <w:rPr>
                <w:sz w:val="21"/>
              </w:rPr>
            </w:pPr>
            <w:r>
              <w:rPr>
                <w:sz w:val="21"/>
              </w:rPr>
              <w:t>达标</w:t>
            </w:r>
          </w:p>
        </w:tc>
      </w:tr>
      <w:tr w14:paraId="552A6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16CCBF49">
            <w:pPr>
              <w:rPr>
                <w:sz w:val="2"/>
                <w:szCs w:val="2"/>
              </w:rPr>
            </w:pPr>
          </w:p>
        </w:tc>
        <w:tc>
          <w:tcPr>
            <w:tcW w:w="1028" w:type="dxa"/>
          </w:tcPr>
          <w:p w14:paraId="25509E68">
            <w:pPr>
              <w:pStyle w:val="17"/>
              <w:spacing w:before="20"/>
              <w:ind w:left="63" w:right="56"/>
              <w:rPr>
                <w:sz w:val="21"/>
              </w:rPr>
            </w:pPr>
            <w:r>
              <w:rPr>
                <w:sz w:val="21"/>
              </w:rPr>
              <w:t>化学需氧</w:t>
            </w:r>
          </w:p>
          <w:p w14:paraId="575E18F1">
            <w:pPr>
              <w:pStyle w:val="17"/>
              <w:spacing w:before="43"/>
              <w:ind w:left="7"/>
              <w:rPr>
                <w:sz w:val="21"/>
              </w:rPr>
            </w:pPr>
            <w:r>
              <w:rPr>
                <w:w w:val="99"/>
                <w:sz w:val="21"/>
              </w:rPr>
              <w:t>量</w:t>
            </w:r>
          </w:p>
        </w:tc>
        <w:tc>
          <w:tcPr>
            <w:tcW w:w="1001" w:type="dxa"/>
          </w:tcPr>
          <w:p w14:paraId="33CC234B">
            <w:pPr>
              <w:pStyle w:val="17"/>
              <w:spacing w:before="190"/>
              <w:ind w:left="72" w:right="62"/>
              <w:rPr>
                <w:rFonts w:ascii="Times New Roman"/>
                <w:sz w:val="21"/>
              </w:rPr>
            </w:pPr>
            <w:r>
              <w:rPr>
                <w:rFonts w:ascii="Times New Roman"/>
                <w:sz w:val="21"/>
              </w:rPr>
              <w:t>13</w:t>
            </w:r>
          </w:p>
        </w:tc>
        <w:tc>
          <w:tcPr>
            <w:tcW w:w="1001" w:type="dxa"/>
          </w:tcPr>
          <w:p w14:paraId="65E5049C">
            <w:pPr>
              <w:pStyle w:val="17"/>
              <w:spacing w:before="190"/>
              <w:ind w:left="71" w:right="62"/>
              <w:rPr>
                <w:rFonts w:ascii="Times New Roman"/>
                <w:sz w:val="21"/>
              </w:rPr>
            </w:pPr>
            <w:r>
              <w:rPr>
                <w:rFonts w:ascii="Times New Roman"/>
                <w:sz w:val="21"/>
              </w:rPr>
              <w:t>16</w:t>
            </w:r>
          </w:p>
        </w:tc>
        <w:tc>
          <w:tcPr>
            <w:tcW w:w="1115" w:type="dxa"/>
          </w:tcPr>
          <w:p w14:paraId="4700DD38">
            <w:pPr>
              <w:pStyle w:val="17"/>
              <w:spacing w:before="190"/>
              <w:ind w:left="183"/>
              <w:jc w:val="left"/>
              <w:rPr>
                <w:rFonts w:ascii="Times New Roman"/>
                <w:sz w:val="21"/>
              </w:rPr>
            </w:pPr>
            <w:r>
              <w:rPr>
                <w:rFonts w:ascii="Times New Roman"/>
                <w:sz w:val="21"/>
              </w:rPr>
              <w:t>0.65~0.8</w:t>
            </w:r>
          </w:p>
        </w:tc>
        <w:tc>
          <w:tcPr>
            <w:tcW w:w="744" w:type="dxa"/>
          </w:tcPr>
          <w:p w14:paraId="06E13C84">
            <w:pPr>
              <w:pStyle w:val="17"/>
              <w:spacing w:before="190"/>
              <w:ind w:left="9"/>
              <w:rPr>
                <w:rFonts w:ascii="Times New Roman"/>
                <w:sz w:val="21"/>
              </w:rPr>
            </w:pPr>
            <w:r>
              <w:rPr>
                <w:rFonts w:ascii="Times New Roman"/>
                <w:w w:val="99"/>
                <w:sz w:val="21"/>
              </w:rPr>
              <w:t>0</w:t>
            </w:r>
          </w:p>
        </w:tc>
        <w:tc>
          <w:tcPr>
            <w:tcW w:w="788" w:type="dxa"/>
          </w:tcPr>
          <w:p w14:paraId="35FE63E5">
            <w:pPr>
              <w:pStyle w:val="17"/>
              <w:spacing w:before="190"/>
              <w:ind w:right="330"/>
              <w:jc w:val="right"/>
              <w:rPr>
                <w:rFonts w:ascii="Times New Roman"/>
                <w:sz w:val="21"/>
              </w:rPr>
            </w:pPr>
            <w:r>
              <w:rPr>
                <w:rFonts w:ascii="Times New Roman"/>
                <w:w w:val="99"/>
                <w:sz w:val="21"/>
              </w:rPr>
              <w:t>0</w:t>
            </w:r>
          </w:p>
        </w:tc>
        <w:tc>
          <w:tcPr>
            <w:tcW w:w="788" w:type="dxa"/>
          </w:tcPr>
          <w:p w14:paraId="092C7F21">
            <w:pPr>
              <w:pStyle w:val="17"/>
              <w:spacing w:before="190"/>
              <w:ind w:left="58" w:right="47"/>
              <w:rPr>
                <w:rFonts w:ascii="Times New Roman"/>
                <w:sz w:val="21"/>
              </w:rPr>
            </w:pPr>
            <w:r>
              <w:rPr>
                <w:rFonts w:ascii="Times New Roman"/>
                <w:sz w:val="21"/>
              </w:rPr>
              <w:t>20</w:t>
            </w:r>
          </w:p>
        </w:tc>
        <w:tc>
          <w:tcPr>
            <w:tcW w:w="763" w:type="dxa"/>
            <w:tcBorders>
              <w:right w:val="nil"/>
            </w:tcBorders>
          </w:tcPr>
          <w:p w14:paraId="0B5EDB24">
            <w:pPr>
              <w:pStyle w:val="17"/>
              <w:spacing w:before="176"/>
              <w:ind w:left="171"/>
              <w:jc w:val="left"/>
              <w:rPr>
                <w:sz w:val="21"/>
              </w:rPr>
            </w:pPr>
            <w:r>
              <w:rPr>
                <w:sz w:val="21"/>
              </w:rPr>
              <w:t>达标</w:t>
            </w:r>
          </w:p>
        </w:tc>
      </w:tr>
      <w:tr w14:paraId="5C618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3E87EBDA">
            <w:pPr>
              <w:rPr>
                <w:sz w:val="2"/>
                <w:szCs w:val="2"/>
              </w:rPr>
            </w:pPr>
          </w:p>
        </w:tc>
        <w:tc>
          <w:tcPr>
            <w:tcW w:w="1028" w:type="dxa"/>
          </w:tcPr>
          <w:p w14:paraId="031334B6">
            <w:pPr>
              <w:pStyle w:val="17"/>
              <w:spacing w:before="19"/>
              <w:ind w:left="63" w:right="56"/>
              <w:rPr>
                <w:sz w:val="21"/>
              </w:rPr>
            </w:pPr>
            <w:r>
              <w:rPr>
                <w:sz w:val="21"/>
              </w:rPr>
              <w:t>五日生化</w:t>
            </w:r>
          </w:p>
          <w:p w14:paraId="0CB55374">
            <w:pPr>
              <w:pStyle w:val="17"/>
              <w:spacing w:before="43"/>
              <w:ind w:left="66" w:right="56"/>
              <w:rPr>
                <w:sz w:val="21"/>
              </w:rPr>
            </w:pPr>
            <w:r>
              <w:rPr>
                <w:sz w:val="21"/>
              </w:rPr>
              <w:t>需氧量</w:t>
            </w:r>
          </w:p>
        </w:tc>
        <w:tc>
          <w:tcPr>
            <w:tcW w:w="1001" w:type="dxa"/>
          </w:tcPr>
          <w:p w14:paraId="300953B6">
            <w:pPr>
              <w:pStyle w:val="17"/>
              <w:spacing w:before="189"/>
              <w:ind w:left="72" w:right="62"/>
              <w:rPr>
                <w:rFonts w:ascii="Times New Roman"/>
                <w:sz w:val="21"/>
              </w:rPr>
            </w:pPr>
            <w:r>
              <w:rPr>
                <w:rFonts w:ascii="Times New Roman"/>
                <w:sz w:val="21"/>
              </w:rPr>
              <w:t>3.0</w:t>
            </w:r>
          </w:p>
        </w:tc>
        <w:tc>
          <w:tcPr>
            <w:tcW w:w="1001" w:type="dxa"/>
          </w:tcPr>
          <w:p w14:paraId="75CF4A40">
            <w:pPr>
              <w:pStyle w:val="17"/>
              <w:spacing w:before="189"/>
              <w:ind w:left="71" w:right="62"/>
              <w:rPr>
                <w:rFonts w:ascii="Times New Roman"/>
                <w:sz w:val="21"/>
              </w:rPr>
            </w:pPr>
            <w:r>
              <w:rPr>
                <w:rFonts w:ascii="Times New Roman"/>
                <w:sz w:val="21"/>
              </w:rPr>
              <w:t>3.0</w:t>
            </w:r>
          </w:p>
        </w:tc>
        <w:tc>
          <w:tcPr>
            <w:tcW w:w="1115" w:type="dxa"/>
          </w:tcPr>
          <w:p w14:paraId="32FDF2A7">
            <w:pPr>
              <w:pStyle w:val="17"/>
              <w:spacing w:before="189"/>
              <w:ind w:left="373"/>
              <w:jc w:val="left"/>
              <w:rPr>
                <w:rFonts w:ascii="Times New Roman"/>
                <w:sz w:val="21"/>
              </w:rPr>
            </w:pPr>
            <w:r>
              <w:rPr>
                <w:rFonts w:ascii="Times New Roman"/>
                <w:sz w:val="21"/>
              </w:rPr>
              <w:t>0.75</w:t>
            </w:r>
          </w:p>
        </w:tc>
        <w:tc>
          <w:tcPr>
            <w:tcW w:w="744" w:type="dxa"/>
          </w:tcPr>
          <w:p w14:paraId="559A6072">
            <w:pPr>
              <w:pStyle w:val="17"/>
              <w:spacing w:before="189"/>
              <w:ind w:left="9"/>
              <w:rPr>
                <w:rFonts w:ascii="Times New Roman"/>
                <w:sz w:val="21"/>
              </w:rPr>
            </w:pPr>
            <w:r>
              <w:rPr>
                <w:rFonts w:ascii="Times New Roman"/>
                <w:w w:val="99"/>
                <w:sz w:val="21"/>
              </w:rPr>
              <w:t>0</w:t>
            </w:r>
          </w:p>
        </w:tc>
        <w:tc>
          <w:tcPr>
            <w:tcW w:w="788" w:type="dxa"/>
          </w:tcPr>
          <w:p w14:paraId="72406EC2">
            <w:pPr>
              <w:pStyle w:val="17"/>
              <w:spacing w:before="189"/>
              <w:ind w:right="330"/>
              <w:jc w:val="right"/>
              <w:rPr>
                <w:rFonts w:ascii="Times New Roman"/>
                <w:sz w:val="21"/>
              </w:rPr>
            </w:pPr>
            <w:r>
              <w:rPr>
                <w:rFonts w:ascii="Times New Roman"/>
                <w:w w:val="99"/>
                <w:sz w:val="21"/>
              </w:rPr>
              <w:t>0</w:t>
            </w:r>
          </w:p>
        </w:tc>
        <w:tc>
          <w:tcPr>
            <w:tcW w:w="788" w:type="dxa"/>
          </w:tcPr>
          <w:p w14:paraId="4C765145">
            <w:pPr>
              <w:pStyle w:val="17"/>
              <w:spacing w:before="189"/>
              <w:ind w:left="6"/>
              <w:rPr>
                <w:rFonts w:ascii="Times New Roman"/>
                <w:sz w:val="21"/>
              </w:rPr>
            </w:pPr>
            <w:r>
              <w:rPr>
                <w:rFonts w:ascii="Times New Roman"/>
                <w:w w:val="99"/>
                <w:sz w:val="21"/>
              </w:rPr>
              <w:t>4</w:t>
            </w:r>
          </w:p>
        </w:tc>
        <w:tc>
          <w:tcPr>
            <w:tcW w:w="763" w:type="dxa"/>
            <w:tcBorders>
              <w:right w:val="nil"/>
            </w:tcBorders>
          </w:tcPr>
          <w:p w14:paraId="788A8D00">
            <w:pPr>
              <w:pStyle w:val="17"/>
              <w:spacing w:before="175"/>
              <w:ind w:left="171"/>
              <w:jc w:val="left"/>
              <w:rPr>
                <w:sz w:val="21"/>
              </w:rPr>
            </w:pPr>
            <w:r>
              <w:rPr>
                <w:sz w:val="21"/>
              </w:rPr>
              <w:t>达标</w:t>
            </w:r>
          </w:p>
        </w:tc>
      </w:tr>
      <w:tr w14:paraId="76E7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431E46E8">
            <w:pPr>
              <w:rPr>
                <w:sz w:val="2"/>
                <w:szCs w:val="2"/>
              </w:rPr>
            </w:pPr>
          </w:p>
        </w:tc>
        <w:tc>
          <w:tcPr>
            <w:tcW w:w="1028" w:type="dxa"/>
          </w:tcPr>
          <w:p w14:paraId="35C4174E">
            <w:pPr>
              <w:pStyle w:val="17"/>
              <w:spacing w:before="19"/>
              <w:ind w:left="61" w:right="56"/>
              <w:rPr>
                <w:sz w:val="21"/>
              </w:rPr>
            </w:pPr>
            <w:r>
              <w:rPr>
                <w:sz w:val="21"/>
              </w:rPr>
              <w:t>氨氮</w:t>
            </w:r>
          </w:p>
        </w:tc>
        <w:tc>
          <w:tcPr>
            <w:tcW w:w="1001" w:type="dxa"/>
          </w:tcPr>
          <w:p w14:paraId="6FAEF59B">
            <w:pPr>
              <w:pStyle w:val="17"/>
              <w:spacing w:before="33"/>
              <w:ind w:left="263"/>
              <w:jc w:val="left"/>
              <w:rPr>
                <w:rFonts w:ascii="Times New Roman"/>
                <w:sz w:val="21"/>
              </w:rPr>
            </w:pPr>
            <w:r>
              <w:rPr>
                <w:rFonts w:ascii="Times New Roman"/>
                <w:sz w:val="21"/>
              </w:rPr>
              <w:t>0.412</w:t>
            </w:r>
          </w:p>
        </w:tc>
        <w:tc>
          <w:tcPr>
            <w:tcW w:w="1001" w:type="dxa"/>
          </w:tcPr>
          <w:p w14:paraId="493DED3C">
            <w:pPr>
              <w:pStyle w:val="17"/>
              <w:spacing w:before="33"/>
              <w:ind w:left="263"/>
              <w:jc w:val="left"/>
              <w:rPr>
                <w:rFonts w:ascii="Times New Roman"/>
                <w:sz w:val="21"/>
              </w:rPr>
            </w:pPr>
            <w:r>
              <w:rPr>
                <w:rFonts w:ascii="Times New Roman"/>
                <w:sz w:val="21"/>
              </w:rPr>
              <w:t>0.501</w:t>
            </w:r>
          </w:p>
        </w:tc>
        <w:tc>
          <w:tcPr>
            <w:tcW w:w="1115" w:type="dxa"/>
          </w:tcPr>
          <w:p w14:paraId="04900D1F">
            <w:pPr>
              <w:pStyle w:val="17"/>
              <w:spacing w:before="33"/>
              <w:ind w:right="15"/>
              <w:jc w:val="right"/>
              <w:rPr>
                <w:rFonts w:ascii="Times New Roman"/>
                <w:sz w:val="21"/>
              </w:rPr>
            </w:pPr>
            <w:r>
              <w:rPr>
                <w:rFonts w:ascii="Times New Roman"/>
                <w:w w:val="95"/>
                <w:sz w:val="21"/>
              </w:rPr>
              <w:t>0.412~0.501</w:t>
            </w:r>
          </w:p>
        </w:tc>
        <w:tc>
          <w:tcPr>
            <w:tcW w:w="744" w:type="dxa"/>
          </w:tcPr>
          <w:p w14:paraId="38E17723">
            <w:pPr>
              <w:pStyle w:val="17"/>
              <w:spacing w:before="33"/>
              <w:ind w:left="9"/>
              <w:rPr>
                <w:rFonts w:ascii="Times New Roman"/>
                <w:sz w:val="21"/>
              </w:rPr>
            </w:pPr>
            <w:r>
              <w:rPr>
                <w:rFonts w:ascii="Times New Roman"/>
                <w:w w:val="99"/>
                <w:sz w:val="21"/>
              </w:rPr>
              <w:t>0</w:t>
            </w:r>
          </w:p>
        </w:tc>
        <w:tc>
          <w:tcPr>
            <w:tcW w:w="788" w:type="dxa"/>
          </w:tcPr>
          <w:p w14:paraId="7AA9D106">
            <w:pPr>
              <w:pStyle w:val="17"/>
              <w:spacing w:before="33"/>
              <w:ind w:right="330"/>
              <w:jc w:val="right"/>
              <w:rPr>
                <w:rFonts w:ascii="Times New Roman"/>
                <w:sz w:val="21"/>
              </w:rPr>
            </w:pPr>
            <w:r>
              <w:rPr>
                <w:rFonts w:ascii="Times New Roman"/>
                <w:w w:val="99"/>
                <w:sz w:val="21"/>
              </w:rPr>
              <w:t>0</w:t>
            </w:r>
          </w:p>
        </w:tc>
        <w:tc>
          <w:tcPr>
            <w:tcW w:w="788" w:type="dxa"/>
          </w:tcPr>
          <w:p w14:paraId="4D3FB278">
            <w:pPr>
              <w:pStyle w:val="17"/>
              <w:spacing w:before="33"/>
              <w:ind w:left="6"/>
              <w:rPr>
                <w:rFonts w:ascii="Times New Roman"/>
                <w:sz w:val="21"/>
              </w:rPr>
            </w:pPr>
            <w:r>
              <w:rPr>
                <w:rFonts w:ascii="Times New Roman"/>
                <w:w w:val="99"/>
                <w:sz w:val="21"/>
              </w:rPr>
              <w:t>1</w:t>
            </w:r>
          </w:p>
        </w:tc>
        <w:tc>
          <w:tcPr>
            <w:tcW w:w="763" w:type="dxa"/>
            <w:tcBorders>
              <w:right w:val="nil"/>
            </w:tcBorders>
          </w:tcPr>
          <w:p w14:paraId="08064631">
            <w:pPr>
              <w:pStyle w:val="17"/>
              <w:spacing w:before="19"/>
              <w:ind w:left="171"/>
              <w:jc w:val="left"/>
              <w:rPr>
                <w:sz w:val="21"/>
              </w:rPr>
            </w:pPr>
            <w:r>
              <w:rPr>
                <w:sz w:val="21"/>
              </w:rPr>
              <w:t>达标</w:t>
            </w:r>
          </w:p>
        </w:tc>
      </w:tr>
      <w:tr w14:paraId="005D7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29" w:type="dxa"/>
            <w:vMerge w:val="continue"/>
            <w:tcBorders>
              <w:top w:val="nil"/>
              <w:left w:val="nil"/>
            </w:tcBorders>
          </w:tcPr>
          <w:p w14:paraId="437570C1">
            <w:pPr>
              <w:rPr>
                <w:sz w:val="2"/>
                <w:szCs w:val="2"/>
              </w:rPr>
            </w:pPr>
          </w:p>
        </w:tc>
        <w:tc>
          <w:tcPr>
            <w:tcW w:w="1028" w:type="dxa"/>
          </w:tcPr>
          <w:p w14:paraId="61C82EE0">
            <w:pPr>
              <w:pStyle w:val="17"/>
              <w:spacing w:before="21" w:line="269" w:lineRule="exact"/>
              <w:ind w:left="61" w:right="56"/>
              <w:rPr>
                <w:sz w:val="21"/>
              </w:rPr>
            </w:pPr>
            <w:r>
              <w:rPr>
                <w:sz w:val="21"/>
              </w:rPr>
              <w:t>总磷</w:t>
            </w:r>
          </w:p>
        </w:tc>
        <w:tc>
          <w:tcPr>
            <w:tcW w:w="1001" w:type="dxa"/>
          </w:tcPr>
          <w:p w14:paraId="3E760945">
            <w:pPr>
              <w:pStyle w:val="17"/>
              <w:spacing w:before="35"/>
              <w:ind w:left="316"/>
              <w:jc w:val="left"/>
              <w:rPr>
                <w:rFonts w:ascii="Times New Roman"/>
                <w:sz w:val="21"/>
              </w:rPr>
            </w:pPr>
            <w:r>
              <w:rPr>
                <w:rFonts w:ascii="Times New Roman"/>
                <w:sz w:val="21"/>
              </w:rPr>
              <w:t>0.05</w:t>
            </w:r>
          </w:p>
        </w:tc>
        <w:tc>
          <w:tcPr>
            <w:tcW w:w="1001" w:type="dxa"/>
          </w:tcPr>
          <w:p w14:paraId="5D1C6EE5">
            <w:pPr>
              <w:pStyle w:val="17"/>
              <w:spacing w:before="35"/>
              <w:ind w:left="316"/>
              <w:jc w:val="left"/>
              <w:rPr>
                <w:rFonts w:ascii="Times New Roman"/>
                <w:sz w:val="21"/>
              </w:rPr>
            </w:pPr>
            <w:r>
              <w:rPr>
                <w:rFonts w:ascii="Times New Roman"/>
                <w:sz w:val="21"/>
              </w:rPr>
              <w:t>0.06</w:t>
            </w:r>
          </w:p>
        </w:tc>
        <w:tc>
          <w:tcPr>
            <w:tcW w:w="1115" w:type="dxa"/>
          </w:tcPr>
          <w:p w14:paraId="746CF5BC">
            <w:pPr>
              <w:pStyle w:val="17"/>
              <w:spacing w:before="35"/>
              <w:ind w:left="183"/>
              <w:jc w:val="left"/>
              <w:rPr>
                <w:rFonts w:ascii="Times New Roman"/>
                <w:sz w:val="21"/>
              </w:rPr>
            </w:pPr>
            <w:r>
              <w:rPr>
                <w:rFonts w:ascii="Times New Roman"/>
                <w:sz w:val="21"/>
              </w:rPr>
              <w:t>0.25~0.3</w:t>
            </w:r>
          </w:p>
        </w:tc>
        <w:tc>
          <w:tcPr>
            <w:tcW w:w="744" w:type="dxa"/>
          </w:tcPr>
          <w:p w14:paraId="08F66530">
            <w:pPr>
              <w:pStyle w:val="17"/>
              <w:spacing w:before="35"/>
              <w:ind w:left="9"/>
              <w:rPr>
                <w:rFonts w:ascii="Times New Roman"/>
                <w:sz w:val="21"/>
              </w:rPr>
            </w:pPr>
            <w:r>
              <w:rPr>
                <w:rFonts w:ascii="Times New Roman"/>
                <w:w w:val="99"/>
                <w:sz w:val="21"/>
              </w:rPr>
              <w:t>0</w:t>
            </w:r>
          </w:p>
        </w:tc>
        <w:tc>
          <w:tcPr>
            <w:tcW w:w="788" w:type="dxa"/>
          </w:tcPr>
          <w:p w14:paraId="097D3567">
            <w:pPr>
              <w:pStyle w:val="17"/>
              <w:spacing w:before="35"/>
              <w:ind w:right="330"/>
              <w:jc w:val="right"/>
              <w:rPr>
                <w:rFonts w:ascii="Times New Roman"/>
                <w:sz w:val="21"/>
              </w:rPr>
            </w:pPr>
            <w:r>
              <w:rPr>
                <w:rFonts w:ascii="Times New Roman"/>
                <w:w w:val="99"/>
                <w:sz w:val="21"/>
              </w:rPr>
              <w:t>0</w:t>
            </w:r>
          </w:p>
        </w:tc>
        <w:tc>
          <w:tcPr>
            <w:tcW w:w="788" w:type="dxa"/>
          </w:tcPr>
          <w:p w14:paraId="1655F93B">
            <w:pPr>
              <w:pStyle w:val="17"/>
              <w:spacing w:before="35"/>
              <w:ind w:left="56" w:right="50"/>
              <w:rPr>
                <w:rFonts w:ascii="Times New Roman"/>
                <w:sz w:val="21"/>
              </w:rPr>
            </w:pPr>
            <w:r>
              <w:rPr>
                <w:rFonts w:ascii="Times New Roman"/>
                <w:sz w:val="21"/>
              </w:rPr>
              <w:t>0.2</w:t>
            </w:r>
          </w:p>
        </w:tc>
        <w:tc>
          <w:tcPr>
            <w:tcW w:w="763" w:type="dxa"/>
            <w:tcBorders>
              <w:right w:val="nil"/>
            </w:tcBorders>
          </w:tcPr>
          <w:p w14:paraId="70C6874A">
            <w:pPr>
              <w:pStyle w:val="17"/>
              <w:spacing w:before="21" w:line="269" w:lineRule="exact"/>
              <w:ind w:left="171"/>
              <w:jc w:val="left"/>
              <w:rPr>
                <w:sz w:val="21"/>
              </w:rPr>
            </w:pPr>
            <w:r>
              <w:rPr>
                <w:sz w:val="21"/>
              </w:rPr>
              <w:t>达标</w:t>
            </w:r>
          </w:p>
        </w:tc>
      </w:tr>
    </w:tbl>
    <w:p w14:paraId="63B994A8">
      <w:pPr>
        <w:spacing w:after="0" w:line="269" w:lineRule="exact"/>
        <w:jc w:val="left"/>
        <w:rPr>
          <w:sz w:val="21"/>
        </w:rPr>
        <w:sectPr>
          <w:footerReference r:id="rId19" w:type="default"/>
          <w:pgSz w:w="11910" w:h="16840"/>
          <w:pgMar w:top="1420" w:right="1560" w:bottom="1220" w:left="1560" w:header="0" w:footer="1024" w:gutter="0"/>
          <w:pgNumType w:start="80"/>
          <w:cols w:space="720" w:num="1"/>
        </w:sectPr>
      </w:pPr>
    </w:p>
    <w:tbl>
      <w:tblPr>
        <w:tblStyle w:val="13"/>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1028"/>
        <w:gridCol w:w="1001"/>
        <w:gridCol w:w="1001"/>
        <w:gridCol w:w="1115"/>
        <w:gridCol w:w="744"/>
        <w:gridCol w:w="788"/>
        <w:gridCol w:w="788"/>
        <w:gridCol w:w="763"/>
      </w:tblGrid>
      <w:tr w14:paraId="005F4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restart"/>
            <w:tcBorders>
              <w:left w:val="nil"/>
            </w:tcBorders>
          </w:tcPr>
          <w:p w14:paraId="7FAFD9EA">
            <w:pPr>
              <w:pStyle w:val="17"/>
              <w:jc w:val="left"/>
              <w:rPr>
                <w:rFonts w:ascii="Times New Roman"/>
                <w:sz w:val="20"/>
              </w:rPr>
            </w:pPr>
          </w:p>
        </w:tc>
        <w:tc>
          <w:tcPr>
            <w:tcW w:w="1028" w:type="dxa"/>
          </w:tcPr>
          <w:p w14:paraId="53AFD913">
            <w:pPr>
              <w:pStyle w:val="17"/>
              <w:spacing w:before="21"/>
              <w:ind w:left="93"/>
              <w:jc w:val="left"/>
              <w:rPr>
                <w:sz w:val="21"/>
              </w:rPr>
            </w:pPr>
            <w:r>
              <w:rPr>
                <w:w w:val="95"/>
                <w:sz w:val="21"/>
              </w:rPr>
              <w:t>阴离子表</w:t>
            </w:r>
          </w:p>
          <w:p w14:paraId="162A934A">
            <w:pPr>
              <w:pStyle w:val="17"/>
              <w:spacing w:before="43"/>
              <w:ind w:left="93"/>
              <w:jc w:val="left"/>
              <w:rPr>
                <w:sz w:val="21"/>
              </w:rPr>
            </w:pPr>
            <w:r>
              <w:rPr>
                <w:w w:val="95"/>
                <w:sz w:val="21"/>
              </w:rPr>
              <w:t>面活性剂</w:t>
            </w:r>
          </w:p>
        </w:tc>
        <w:tc>
          <w:tcPr>
            <w:tcW w:w="1001" w:type="dxa"/>
          </w:tcPr>
          <w:p w14:paraId="09B922DE">
            <w:pPr>
              <w:pStyle w:val="17"/>
              <w:spacing w:before="191"/>
              <w:ind w:left="72" w:right="62"/>
              <w:rPr>
                <w:rFonts w:ascii="Times New Roman"/>
                <w:sz w:val="21"/>
              </w:rPr>
            </w:pPr>
            <w:r>
              <w:rPr>
                <w:rFonts w:ascii="Times New Roman"/>
                <w:sz w:val="21"/>
              </w:rPr>
              <w:t>0.05</w:t>
            </w:r>
          </w:p>
        </w:tc>
        <w:tc>
          <w:tcPr>
            <w:tcW w:w="1001" w:type="dxa"/>
          </w:tcPr>
          <w:p w14:paraId="558922BF">
            <w:pPr>
              <w:pStyle w:val="17"/>
              <w:spacing w:before="191"/>
              <w:ind w:left="71" w:right="62"/>
              <w:rPr>
                <w:rFonts w:ascii="Times New Roman"/>
                <w:sz w:val="21"/>
              </w:rPr>
            </w:pPr>
            <w:r>
              <w:rPr>
                <w:rFonts w:ascii="Times New Roman"/>
                <w:sz w:val="21"/>
              </w:rPr>
              <w:t>0.064</w:t>
            </w:r>
          </w:p>
        </w:tc>
        <w:tc>
          <w:tcPr>
            <w:tcW w:w="1115" w:type="dxa"/>
          </w:tcPr>
          <w:p w14:paraId="12903D7B">
            <w:pPr>
              <w:pStyle w:val="17"/>
              <w:spacing w:before="191"/>
              <w:ind w:left="133"/>
              <w:jc w:val="left"/>
              <w:rPr>
                <w:rFonts w:ascii="Times New Roman"/>
                <w:sz w:val="21"/>
              </w:rPr>
            </w:pPr>
            <w:r>
              <w:rPr>
                <w:rFonts w:ascii="Times New Roman"/>
                <w:sz w:val="21"/>
              </w:rPr>
              <w:t>0.25~0.32</w:t>
            </w:r>
          </w:p>
        </w:tc>
        <w:tc>
          <w:tcPr>
            <w:tcW w:w="744" w:type="dxa"/>
          </w:tcPr>
          <w:p w14:paraId="5939B15C">
            <w:pPr>
              <w:pStyle w:val="17"/>
              <w:spacing w:before="191"/>
              <w:ind w:left="9"/>
              <w:rPr>
                <w:rFonts w:ascii="Times New Roman"/>
                <w:sz w:val="21"/>
              </w:rPr>
            </w:pPr>
            <w:r>
              <w:rPr>
                <w:rFonts w:ascii="Times New Roman"/>
                <w:w w:val="99"/>
                <w:sz w:val="21"/>
              </w:rPr>
              <w:t>0</w:t>
            </w:r>
          </w:p>
        </w:tc>
        <w:tc>
          <w:tcPr>
            <w:tcW w:w="788" w:type="dxa"/>
          </w:tcPr>
          <w:p w14:paraId="39B86E59">
            <w:pPr>
              <w:pStyle w:val="17"/>
              <w:spacing w:before="191"/>
              <w:ind w:right="330"/>
              <w:jc w:val="right"/>
              <w:rPr>
                <w:rFonts w:ascii="Times New Roman"/>
                <w:sz w:val="21"/>
              </w:rPr>
            </w:pPr>
            <w:r>
              <w:rPr>
                <w:rFonts w:ascii="Times New Roman"/>
                <w:w w:val="99"/>
                <w:sz w:val="21"/>
              </w:rPr>
              <w:t>0</w:t>
            </w:r>
          </w:p>
        </w:tc>
        <w:tc>
          <w:tcPr>
            <w:tcW w:w="788" w:type="dxa"/>
          </w:tcPr>
          <w:p w14:paraId="6A8EDF98">
            <w:pPr>
              <w:pStyle w:val="17"/>
              <w:spacing w:before="191"/>
              <w:ind w:left="56" w:right="50"/>
              <w:rPr>
                <w:rFonts w:ascii="Times New Roman"/>
                <w:sz w:val="21"/>
              </w:rPr>
            </w:pPr>
            <w:r>
              <w:rPr>
                <w:rFonts w:ascii="Times New Roman"/>
                <w:sz w:val="21"/>
              </w:rPr>
              <w:t>0.2</w:t>
            </w:r>
          </w:p>
        </w:tc>
        <w:tc>
          <w:tcPr>
            <w:tcW w:w="763" w:type="dxa"/>
            <w:tcBorders>
              <w:right w:val="nil"/>
            </w:tcBorders>
          </w:tcPr>
          <w:p w14:paraId="52990D76">
            <w:pPr>
              <w:pStyle w:val="17"/>
              <w:spacing w:before="177"/>
              <w:ind w:left="171"/>
              <w:jc w:val="left"/>
              <w:rPr>
                <w:sz w:val="21"/>
              </w:rPr>
            </w:pPr>
            <w:r>
              <w:rPr>
                <w:sz w:val="21"/>
              </w:rPr>
              <w:t>达标</w:t>
            </w:r>
          </w:p>
        </w:tc>
      </w:tr>
      <w:tr w14:paraId="78ECE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A13AEB4">
            <w:pPr>
              <w:rPr>
                <w:sz w:val="2"/>
                <w:szCs w:val="2"/>
              </w:rPr>
            </w:pPr>
          </w:p>
        </w:tc>
        <w:tc>
          <w:tcPr>
            <w:tcW w:w="1028" w:type="dxa"/>
          </w:tcPr>
          <w:p w14:paraId="76E44719">
            <w:pPr>
              <w:pStyle w:val="17"/>
              <w:spacing w:before="21"/>
              <w:ind w:left="66" w:right="56"/>
              <w:rPr>
                <w:sz w:val="21"/>
              </w:rPr>
            </w:pPr>
            <w:r>
              <w:rPr>
                <w:sz w:val="21"/>
              </w:rPr>
              <w:t>石油类</w:t>
            </w:r>
          </w:p>
        </w:tc>
        <w:tc>
          <w:tcPr>
            <w:tcW w:w="1001" w:type="dxa"/>
          </w:tcPr>
          <w:p w14:paraId="03FF1CAA">
            <w:pPr>
              <w:pStyle w:val="17"/>
              <w:spacing w:before="34"/>
              <w:ind w:left="68" w:right="62"/>
              <w:rPr>
                <w:rFonts w:ascii="Times New Roman"/>
                <w:sz w:val="21"/>
              </w:rPr>
            </w:pPr>
            <w:r>
              <w:rPr>
                <w:rFonts w:ascii="Times New Roman"/>
                <w:sz w:val="21"/>
              </w:rPr>
              <w:t>ND</w:t>
            </w:r>
          </w:p>
        </w:tc>
        <w:tc>
          <w:tcPr>
            <w:tcW w:w="1001" w:type="dxa"/>
          </w:tcPr>
          <w:p w14:paraId="4652AF5E">
            <w:pPr>
              <w:pStyle w:val="17"/>
              <w:spacing w:before="34"/>
              <w:ind w:left="72" w:right="62"/>
              <w:rPr>
                <w:rFonts w:ascii="Times New Roman"/>
                <w:sz w:val="21"/>
              </w:rPr>
            </w:pPr>
            <w:r>
              <w:rPr>
                <w:rFonts w:ascii="Times New Roman"/>
                <w:sz w:val="21"/>
              </w:rPr>
              <w:t>ND</w:t>
            </w:r>
          </w:p>
        </w:tc>
        <w:tc>
          <w:tcPr>
            <w:tcW w:w="1115" w:type="dxa"/>
          </w:tcPr>
          <w:p w14:paraId="5CEEF83D">
            <w:pPr>
              <w:pStyle w:val="17"/>
              <w:spacing w:before="34"/>
              <w:ind w:left="10"/>
              <w:rPr>
                <w:rFonts w:ascii="Times New Roman"/>
                <w:sz w:val="21"/>
              </w:rPr>
            </w:pPr>
            <w:r>
              <w:rPr>
                <w:rFonts w:ascii="Times New Roman"/>
                <w:w w:val="99"/>
                <w:sz w:val="21"/>
              </w:rPr>
              <w:t>0</w:t>
            </w:r>
          </w:p>
        </w:tc>
        <w:tc>
          <w:tcPr>
            <w:tcW w:w="744" w:type="dxa"/>
          </w:tcPr>
          <w:p w14:paraId="3B1F6ED4">
            <w:pPr>
              <w:pStyle w:val="17"/>
              <w:spacing w:before="34"/>
              <w:ind w:left="9"/>
              <w:rPr>
                <w:rFonts w:ascii="Times New Roman"/>
                <w:sz w:val="21"/>
              </w:rPr>
            </w:pPr>
            <w:r>
              <w:rPr>
                <w:rFonts w:ascii="Times New Roman"/>
                <w:w w:val="99"/>
                <w:sz w:val="21"/>
              </w:rPr>
              <w:t>0</w:t>
            </w:r>
          </w:p>
        </w:tc>
        <w:tc>
          <w:tcPr>
            <w:tcW w:w="788" w:type="dxa"/>
          </w:tcPr>
          <w:p w14:paraId="67FE5ED9">
            <w:pPr>
              <w:pStyle w:val="17"/>
              <w:spacing w:before="34"/>
              <w:ind w:right="330"/>
              <w:jc w:val="right"/>
              <w:rPr>
                <w:rFonts w:ascii="Times New Roman"/>
                <w:sz w:val="21"/>
              </w:rPr>
            </w:pPr>
            <w:r>
              <w:rPr>
                <w:rFonts w:ascii="Times New Roman"/>
                <w:w w:val="99"/>
                <w:sz w:val="21"/>
              </w:rPr>
              <w:t>0</w:t>
            </w:r>
          </w:p>
        </w:tc>
        <w:tc>
          <w:tcPr>
            <w:tcW w:w="788" w:type="dxa"/>
          </w:tcPr>
          <w:p w14:paraId="566D75BE">
            <w:pPr>
              <w:pStyle w:val="17"/>
              <w:spacing w:before="34"/>
              <w:ind w:left="58" w:right="47"/>
              <w:rPr>
                <w:rFonts w:ascii="Times New Roman"/>
                <w:sz w:val="21"/>
              </w:rPr>
            </w:pPr>
            <w:r>
              <w:rPr>
                <w:rFonts w:ascii="Times New Roman"/>
                <w:sz w:val="21"/>
              </w:rPr>
              <w:t>0.05</w:t>
            </w:r>
          </w:p>
        </w:tc>
        <w:tc>
          <w:tcPr>
            <w:tcW w:w="763" w:type="dxa"/>
            <w:tcBorders>
              <w:right w:val="nil"/>
            </w:tcBorders>
          </w:tcPr>
          <w:p w14:paraId="67CD0C33">
            <w:pPr>
              <w:pStyle w:val="17"/>
              <w:spacing w:before="21"/>
              <w:ind w:left="171"/>
              <w:jc w:val="left"/>
              <w:rPr>
                <w:sz w:val="21"/>
              </w:rPr>
            </w:pPr>
            <w:r>
              <w:rPr>
                <w:sz w:val="21"/>
              </w:rPr>
              <w:t>达标</w:t>
            </w:r>
          </w:p>
        </w:tc>
      </w:tr>
      <w:tr w14:paraId="576A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9" w:type="dxa"/>
            <w:vMerge w:val="continue"/>
            <w:tcBorders>
              <w:top w:val="nil"/>
              <w:left w:val="nil"/>
            </w:tcBorders>
          </w:tcPr>
          <w:p w14:paraId="4BDFBE61">
            <w:pPr>
              <w:rPr>
                <w:sz w:val="2"/>
                <w:szCs w:val="2"/>
              </w:rPr>
            </w:pPr>
          </w:p>
        </w:tc>
        <w:tc>
          <w:tcPr>
            <w:tcW w:w="1028" w:type="dxa"/>
          </w:tcPr>
          <w:p w14:paraId="0AF2B277">
            <w:pPr>
              <w:pStyle w:val="17"/>
              <w:spacing w:before="20"/>
              <w:ind w:left="63" w:right="56"/>
              <w:rPr>
                <w:sz w:val="21"/>
              </w:rPr>
            </w:pPr>
            <w:r>
              <w:rPr>
                <w:sz w:val="21"/>
              </w:rPr>
              <w:t>粪大肠菌</w:t>
            </w:r>
          </w:p>
          <w:p w14:paraId="79FDB88D">
            <w:pPr>
              <w:pStyle w:val="17"/>
              <w:spacing w:before="43"/>
              <w:ind w:left="7"/>
              <w:rPr>
                <w:sz w:val="21"/>
              </w:rPr>
            </w:pPr>
            <w:r>
              <w:rPr>
                <w:w w:val="99"/>
                <w:sz w:val="21"/>
              </w:rPr>
              <w:t>群</w:t>
            </w:r>
          </w:p>
        </w:tc>
        <w:tc>
          <w:tcPr>
            <w:tcW w:w="1001" w:type="dxa"/>
          </w:tcPr>
          <w:p w14:paraId="0B324C43">
            <w:pPr>
              <w:pStyle w:val="17"/>
              <w:spacing w:before="190"/>
              <w:ind w:left="72" w:right="62"/>
              <w:rPr>
                <w:rFonts w:ascii="Times New Roman"/>
                <w:sz w:val="21"/>
              </w:rPr>
            </w:pPr>
            <w:r>
              <w:rPr>
                <w:rFonts w:ascii="Times New Roman"/>
                <w:sz w:val="21"/>
              </w:rPr>
              <w:t>450</w:t>
            </w:r>
          </w:p>
        </w:tc>
        <w:tc>
          <w:tcPr>
            <w:tcW w:w="1001" w:type="dxa"/>
          </w:tcPr>
          <w:p w14:paraId="3E913276">
            <w:pPr>
              <w:pStyle w:val="17"/>
              <w:spacing w:before="190"/>
              <w:ind w:left="71" w:right="62"/>
              <w:rPr>
                <w:rFonts w:ascii="Times New Roman"/>
                <w:sz w:val="21"/>
              </w:rPr>
            </w:pPr>
            <w:r>
              <w:rPr>
                <w:rFonts w:ascii="Times New Roman"/>
                <w:sz w:val="21"/>
              </w:rPr>
              <w:t>540</w:t>
            </w:r>
          </w:p>
        </w:tc>
        <w:tc>
          <w:tcPr>
            <w:tcW w:w="1115" w:type="dxa"/>
          </w:tcPr>
          <w:p w14:paraId="1E45C533">
            <w:pPr>
              <w:pStyle w:val="17"/>
              <w:spacing w:before="190"/>
              <w:ind w:right="15"/>
              <w:jc w:val="right"/>
              <w:rPr>
                <w:rFonts w:ascii="Times New Roman"/>
                <w:sz w:val="21"/>
              </w:rPr>
            </w:pPr>
            <w:r>
              <w:rPr>
                <w:rFonts w:ascii="Times New Roman"/>
                <w:w w:val="95"/>
                <w:sz w:val="21"/>
              </w:rPr>
              <w:t>0.045~0.054</w:t>
            </w:r>
          </w:p>
        </w:tc>
        <w:tc>
          <w:tcPr>
            <w:tcW w:w="744" w:type="dxa"/>
          </w:tcPr>
          <w:p w14:paraId="1BA47C36">
            <w:pPr>
              <w:pStyle w:val="17"/>
              <w:spacing w:before="190"/>
              <w:ind w:left="9"/>
              <w:rPr>
                <w:rFonts w:ascii="Times New Roman"/>
                <w:sz w:val="21"/>
              </w:rPr>
            </w:pPr>
            <w:r>
              <w:rPr>
                <w:rFonts w:ascii="Times New Roman"/>
                <w:w w:val="99"/>
                <w:sz w:val="21"/>
              </w:rPr>
              <w:t>0</w:t>
            </w:r>
          </w:p>
        </w:tc>
        <w:tc>
          <w:tcPr>
            <w:tcW w:w="788" w:type="dxa"/>
          </w:tcPr>
          <w:p w14:paraId="4B56FF4A">
            <w:pPr>
              <w:pStyle w:val="17"/>
              <w:spacing w:before="190"/>
              <w:ind w:right="330"/>
              <w:jc w:val="right"/>
              <w:rPr>
                <w:rFonts w:ascii="Times New Roman"/>
                <w:sz w:val="21"/>
              </w:rPr>
            </w:pPr>
            <w:r>
              <w:rPr>
                <w:rFonts w:ascii="Times New Roman"/>
                <w:w w:val="99"/>
                <w:sz w:val="21"/>
              </w:rPr>
              <w:t>0</w:t>
            </w:r>
          </w:p>
        </w:tc>
        <w:tc>
          <w:tcPr>
            <w:tcW w:w="788" w:type="dxa"/>
          </w:tcPr>
          <w:p w14:paraId="7392C948">
            <w:pPr>
              <w:pStyle w:val="17"/>
              <w:spacing w:before="190"/>
              <w:ind w:left="58" w:right="49"/>
              <w:rPr>
                <w:rFonts w:ascii="Times New Roman"/>
                <w:sz w:val="21"/>
              </w:rPr>
            </w:pPr>
            <w:r>
              <w:rPr>
                <w:rFonts w:ascii="Times New Roman"/>
                <w:sz w:val="21"/>
              </w:rPr>
              <w:t>10000</w:t>
            </w:r>
          </w:p>
        </w:tc>
        <w:tc>
          <w:tcPr>
            <w:tcW w:w="763" w:type="dxa"/>
            <w:tcBorders>
              <w:right w:val="nil"/>
            </w:tcBorders>
          </w:tcPr>
          <w:p w14:paraId="5780F31E">
            <w:pPr>
              <w:pStyle w:val="17"/>
              <w:spacing w:before="176"/>
              <w:ind w:left="171"/>
              <w:jc w:val="left"/>
              <w:rPr>
                <w:sz w:val="21"/>
              </w:rPr>
            </w:pPr>
            <w:r>
              <w:rPr>
                <w:sz w:val="21"/>
              </w:rPr>
              <w:t>达标</w:t>
            </w:r>
          </w:p>
        </w:tc>
      </w:tr>
      <w:tr w14:paraId="33E98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7C210F19">
            <w:pPr>
              <w:rPr>
                <w:sz w:val="2"/>
                <w:szCs w:val="2"/>
              </w:rPr>
            </w:pPr>
          </w:p>
        </w:tc>
        <w:tc>
          <w:tcPr>
            <w:tcW w:w="1028" w:type="dxa"/>
          </w:tcPr>
          <w:p w14:paraId="383DD151">
            <w:pPr>
              <w:pStyle w:val="17"/>
              <w:spacing w:before="20"/>
              <w:ind w:left="66" w:right="56"/>
              <w:rPr>
                <w:sz w:val="21"/>
              </w:rPr>
            </w:pPr>
            <w:r>
              <w:rPr>
                <w:sz w:val="21"/>
              </w:rPr>
              <w:t>挥发酚</w:t>
            </w:r>
          </w:p>
        </w:tc>
        <w:tc>
          <w:tcPr>
            <w:tcW w:w="1001" w:type="dxa"/>
          </w:tcPr>
          <w:p w14:paraId="0196EB99">
            <w:pPr>
              <w:pStyle w:val="17"/>
              <w:spacing w:before="34"/>
              <w:ind w:left="68" w:right="62"/>
              <w:rPr>
                <w:rFonts w:ascii="Times New Roman"/>
                <w:sz w:val="21"/>
              </w:rPr>
            </w:pPr>
            <w:r>
              <w:rPr>
                <w:rFonts w:ascii="Times New Roman"/>
                <w:sz w:val="21"/>
              </w:rPr>
              <w:t>ND</w:t>
            </w:r>
          </w:p>
        </w:tc>
        <w:tc>
          <w:tcPr>
            <w:tcW w:w="1001" w:type="dxa"/>
          </w:tcPr>
          <w:p w14:paraId="2EFCBF35">
            <w:pPr>
              <w:pStyle w:val="17"/>
              <w:spacing w:before="34"/>
              <w:ind w:left="74" w:right="62"/>
              <w:rPr>
                <w:rFonts w:ascii="Times New Roman"/>
                <w:sz w:val="21"/>
              </w:rPr>
            </w:pPr>
            <w:r>
              <w:rPr>
                <w:rFonts w:ascii="Times New Roman"/>
                <w:sz w:val="21"/>
              </w:rPr>
              <w:t>0.0011</w:t>
            </w:r>
          </w:p>
        </w:tc>
        <w:tc>
          <w:tcPr>
            <w:tcW w:w="1115" w:type="dxa"/>
          </w:tcPr>
          <w:p w14:paraId="03C6C3E0">
            <w:pPr>
              <w:pStyle w:val="17"/>
              <w:spacing w:before="34"/>
              <w:ind w:left="263"/>
              <w:jc w:val="left"/>
              <w:rPr>
                <w:rFonts w:ascii="Times New Roman"/>
                <w:sz w:val="21"/>
              </w:rPr>
            </w:pPr>
            <w:r>
              <w:rPr>
                <w:rFonts w:ascii="Times New Roman"/>
                <w:sz w:val="21"/>
              </w:rPr>
              <w:t>0~0.22</w:t>
            </w:r>
          </w:p>
        </w:tc>
        <w:tc>
          <w:tcPr>
            <w:tcW w:w="744" w:type="dxa"/>
          </w:tcPr>
          <w:p w14:paraId="5968492A">
            <w:pPr>
              <w:pStyle w:val="17"/>
              <w:spacing w:before="34"/>
              <w:ind w:left="9"/>
              <w:rPr>
                <w:rFonts w:ascii="Times New Roman"/>
                <w:sz w:val="21"/>
              </w:rPr>
            </w:pPr>
            <w:r>
              <w:rPr>
                <w:rFonts w:ascii="Times New Roman"/>
                <w:w w:val="99"/>
                <w:sz w:val="21"/>
              </w:rPr>
              <w:t>0</w:t>
            </w:r>
          </w:p>
        </w:tc>
        <w:tc>
          <w:tcPr>
            <w:tcW w:w="788" w:type="dxa"/>
          </w:tcPr>
          <w:p w14:paraId="3EA7CF4D">
            <w:pPr>
              <w:pStyle w:val="17"/>
              <w:spacing w:before="34"/>
              <w:ind w:right="330"/>
              <w:jc w:val="right"/>
              <w:rPr>
                <w:rFonts w:ascii="Times New Roman"/>
                <w:sz w:val="21"/>
              </w:rPr>
            </w:pPr>
            <w:r>
              <w:rPr>
                <w:rFonts w:ascii="Times New Roman"/>
                <w:w w:val="99"/>
                <w:sz w:val="21"/>
              </w:rPr>
              <w:t>0</w:t>
            </w:r>
          </w:p>
        </w:tc>
        <w:tc>
          <w:tcPr>
            <w:tcW w:w="788" w:type="dxa"/>
          </w:tcPr>
          <w:p w14:paraId="385392C5">
            <w:pPr>
              <w:pStyle w:val="17"/>
              <w:spacing w:before="34"/>
              <w:ind w:left="58" w:right="49"/>
              <w:rPr>
                <w:rFonts w:ascii="Times New Roman"/>
                <w:sz w:val="21"/>
              </w:rPr>
            </w:pPr>
            <w:r>
              <w:rPr>
                <w:rFonts w:ascii="Times New Roman"/>
                <w:sz w:val="21"/>
              </w:rPr>
              <w:t>0.005</w:t>
            </w:r>
          </w:p>
        </w:tc>
        <w:tc>
          <w:tcPr>
            <w:tcW w:w="763" w:type="dxa"/>
            <w:tcBorders>
              <w:right w:val="nil"/>
            </w:tcBorders>
          </w:tcPr>
          <w:p w14:paraId="7F31916F">
            <w:pPr>
              <w:pStyle w:val="17"/>
              <w:spacing w:before="20"/>
              <w:ind w:left="171"/>
              <w:jc w:val="left"/>
              <w:rPr>
                <w:sz w:val="21"/>
              </w:rPr>
            </w:pPr>
            <w:r>
              <w:rPr>
                <w:sz w:val="21"/>
              </w:rPr>
              <w:t>达标</w:t>
            </w:r>
          </w:p>
        </w:tc>
      </w:tr>
      <w:tr w14:paraId="64473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4C35F413">
            <w:pPr>
              <w:rPr>
                <w:sz w:val="2"/>
                <w:szCs w:val="2"/>
              </w:rPr>
            </w:pPr>
          </w:p>
        </w:tc>
        <w:tc>
          <w:tcPr>
            <w:tcW w:w="1028" w:type="dxa"/>
          </w:tcPr>
          <w:p w14:paraId="2160E21D">
            <w:pPr>
              <w:pStyle w:val="17"/>
              <w:spacing w:before="22"/>
              <w:ind w:left="66" w:right="56"/>
              <w:rPr>
                <w:sz w:val="21"/>
              </w:rPr>
            </w:pPr>
            <w:r>
              <w:rPr>
                <w:sz w:val="21"/>
              </w:rPr>
              <w:t>氟化物</w:t>
            </w:r>
          </w:p>
        </w:tc>
        <w:tc>
          <w:tcPr>
            <w:tcW w:w="1001" w:type="dxa"/>
          </w:tcPr>
          <w:p w14:paraId="6434FE06">
            <w:pPr>
              <w:pStyle w:val="17"/>
              <w:spacing w:before="36"/>
              <w:ind w:left="72" w:right="62"/>
              <w:rPr>
                <w:rFonts w:ascii="Times New Roman"/>
                <w:sz w:val="21"/>
              </w:rPr>
            </w:pPr>
            <w:r>
              <w:rPr>
                <w:rFonts w:ascii="Times New Roman"/>
                <w:sz w:val="21"/>
              </w:rPr>
              <w:t>0.164</w:t>
            </w:r>
          </w:p>
        </w:tc>
        <w:tc>
          <w:tcPr>
            <w:tcW w:w="1001" w:type="dxa"/>
          </w:tcPr>
          <w:p w14:paraId="22A11313">
            <w:pPr>
              <w:pStyle w:val="17"/>
              <w:spacing w:before="36"/>
              <w:ind w:left="71" w:right="62"/>
              <w:rPr>
                <w:rFonts w:ascii="Times New Roman"/>
                <w:sz w:val="21"/>
              </w:rPr>
            </w:pPr>
            <w:r>
              <w:rPr>
                <w:rFonts w:ascii="Times New Roman"/>
                <w:sz w:val="21"/>
              </w:rPr>
              <w:t>0.508</w:t>
            </w:r>
          </w:p>
        </w:tc>
        <w:tc>
          <w:tcPr>
            <w:tcW w:w="1115" w:type="dxa"/>
          </w:tcPr>
          <w:p w14:paraId="3ABE9F81">
            <w:pPr>
              <w:pStyle w:val="17"/>
              <w:spacing w:before="36"/>
              <w:ind w:right="15"/>
              <w:jc w:val="right"/>
              <w:rPr>
                <w:rFonts w:ascii="Times New Roman"/>
                <w:sz w:val="21"/>
              </w:rPr>
            </w:pPr>
            <w:r>
              <w:rPr>
                <w:rFonts w:ascii="Times New Roman"/>
                <w:w w:val="95"/>
                <w:sz w:val="21"/>
              </w:rPr>
              <w:t>0.164~0.508</w:t>
            </w:r>
          </w:p>
        </w:tc>
        <w:tc>
          <w:tcPr>
            <w:tcW w:w="744" w:type="dxa"/>
          </w:tcPr>
          <w:p w14:paraId="5E3BBBEB">
            <w:pPr>
              <w:pStyle w:val="17"/>
              <w:spacing w:before="36"/>
              <w:ind w:left="9"/>
              <w:rPr>
                <w:rFonts w:ascii="Times New Roman"/>
                <w:sz w:val="21"/>
              </w:rPr>
            </w:pPr>
            <w:r>
              <w:rPr>
                <w:rFonts w:ascii="Times New Roman"/>
                <w:w w:val="99"/>
                <w:sz w:val="21"/>
              </w:rPr>
              <w:t>0</w:t>
            </w:r>
          </w:p>
        </w:tc>
        <w:tc>
          <w:tcPr>
            <w:tcW w:w="788" w:type="dxa"/>
          </w:tcPr>
          <w:p w14:paraId="63BEDE7A">
            <w:pPr>
              <w:pStyle w:val="17"/>
              <w:spacing w:before="36"/>
              <w:ind w:right="330"/>
              <w:jc w:val="right"/>
              <w:rPr>
                <w:rFonts w:ascii="Times New Roman"/>
                <w:sz w:val="21"/>
              </w:rPr>
            </w:pPr>
            <w:r>
              <w:rPr>
                <w:rFonts w:ascii="Times New Roman"/>
                <w:w w:val="99"/>
                <w:sz w:val="21"/>
              </w:rPr>
              <w:t>0</w:t>
            </w:r>
          </w:p>
        </w:tc>
        <w:tc>
          <w:tcPr>
            <w:tcW w:w="788" w:type="dxa"/>
          </w:tcPr>
          <w:p w14:paraId="1BB64030">
            <w:pPr>
              <w:pStyle w:val="17"/>
              <w:spacing w:before="36"/>
              <w:ind w:left="6"/>
              <w:rPr>
                <w:rFonts w:ascii="Times New Roman"/>
                <w:sz w:val="21"/>
              </w:rPr>
            </w:pPr>
            <w:r>
              <w:rPr>
                <w:rFonts w:ascii="Times New Roman"/>
                <w:w w:val="99"/>
                <w:sz w:val="21"/>
              </w:rPr>
              <w:t>1</w:t>
            </w:r>
          </w:p>
        </w:tc>
        <w:tc>
          <w:tcPr>
            <w:tcW w:w="763" w:type="dxa"/>
            <w:tcBorders>
              <w:right w:val="nil"/>
            </w:tcBorders>
          </w:tcPr>
          <w:p w14:paraId="19728D4C">
            <w:pPr>
              <w:pStyle w:val="17"/>
              <w:spacing w:before="22"/>
              <w:ind w:left="171"/>
              <w:jc w:val="left"/>
              <w:rPr>
                <w:sz w:val="21"/>
              </w:rPr>
            </w:pPr>
            <w:r>
              <w:rPr>
                <w:sz w:val="21"/>
              </w:rPr>
              <w:t>达标</w:t>
            </w:r>
          </w:p>
        </w:tc>
      </w:tr>
      <w:tr w14:paraId="75EFC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72F4D8B">
            <w:pPr>
              <w:rPr>
                <w:sz w:val="2"/>
                <w:szCs w:val="2"/>
              </w:rPr>
            </w:pPr>
          </w:p>
        </w:tc>
        <w:tc>
          <w:tcPr>
            <w:tcW w:w="1028" w:type="dxa"/>
          </w:tcPr>
          <w:p w14:paraId="2A625644">
            <w:pPr>
              <w:pStyle w:val="17"/>
              <w:spacing w:before="21"/>
              <w:ind w:left="7"/>
              <w:rPr>
                <w:sz w:val="21"/>
              </w:rPr>
            </w:pPr>
            <w:r>
              <w:rPr>
                <w:w w:val="99"/>
                <w:sz w:val="21"/>
              </w:rPr>
              <w:t>铜</w:t>
            </w:r>
          </w:p>
        </w:tc>
        <w:tc>
          <w:tcPr>
            <w:tcW w:w="1001" w:type="dxa"/>
          </w:tcPr>
          <w:p w14:paraId="6B1980D6">
            <w:pPr>
              <w:pStyle w:val="17"/>
              <w:spacing w:before="35"/>
              <w:ind w:left="68" w:right="62"/>
              <w:rPr>
                <w:rFonts w:ascii="Times New Roman"/>
                <w:sz w:val="21"/>
              </w:rPr>
            </w:pPr>
            <w:r>
              <w:rPr>
                <w:rFonts w:ascii="Times New Roman"/>
                <w:sz w:val="21"/>
              </w:rPr>
              <w:t>ND</w:t>
            </w:r>
          </w:p>
        </w:tc>
        <w:tc>
          <w:tcPr>
            <w:tcW w:w="1001" w:type="dxa"/>
          </w:tcPr>
          <w:p w14:paraId="1890822D">
            <w:pPr>
              <w:pStyle w:val="17"/>
              <w:spacing w:before="35"/>
              <w:ind w:left="72" w:right="62"/>
              <w:rPr>
                <w:rFonts w:ascii="Times New Roman"/>
                <w:sz w:val="21"/>
              </w:rPr>
            </w:pPr>
            <w:r>
              <w:rPr>
                <w:rFonts w:ascii="Times New Roman"/>
                <w:sz w:val="21"/>
              </w:rPr>
              <w:t>ND</w:t>
            </w:r>
          </w:p>
        </w:tc>
        <w:tc>
          <w:tcPr>
            <w:tcW w:w="1115" w:type="dxa"/>
          </w:tcPr>
          <w:p w14:paraId="7B165048">
            <w:pPr>
              <w:pStyle w:val="17"/>
              <w:spacing w:before="35"/>
              <w:ind w:left="10"/>
              <w:rPr>
                <w:rFonts w:ascii="Times New Roman"/>
                <w:sz w:val="21"/>
              </w:rPr>
            </w:pPr>
            <w:r>
              <w:rPr>
                <w:rFonts w:ascii="Times New Roman"/>
                <w:w w:val="99"/>
                <w:sz w:val="21"/>
              </w:rPr>
              <w:t>0</w:t>
            </w:r>
          </w:p>
        </w:tc>
        <w:tc>
          <w:tcPr>
            <w:tcW w:w="744" w:type="dxa"/>
          </w:tcPr>
          <w:p w14:paraId="36DBA5DC">
            <w:pPr>
              <w:pStyle w:val="17"/>
              <w:spacing w:before="35"/>
              <w:ind w:left="9"/>
              <w:rPr>
                <w:rFonts w:ascii="Times New Roman"/>
                <w:sz w:val="21"/>
              </w:rPr>
            </w:pPr>
            <w:r>
              <w:rPr>
                <w:rFonts w:ascii="Times New Roman"/>
                <w:w w:val="99"/>
                <w:sz w:val="21"/>
              </w:rPr>
              <w:t>0</w:t>
            </w:r>
          </w:p>
        </w:tc>
        <w:tc>
          <w:tcPr>
            <w:tcW w:w="788" w:type="dxa"/>
          </w:tcPr>
          <w:p w14:paraId="0559763B">
            <w:pPr>
              <w:pStyle w:val="17"/>
              <w:spacing w:before="35"/>
              <w:ind w:right="330"/>
              <w:jc w:val="right"/>
              <w:rPr>
                <w:rFonts w:ascii="Times New Roman"/>
                <w:sz w:val="21"/>
              </w:rPr>
            </w:pPr>
            <w:r>
              <w:rPr>
                <w:rFonts w:ascii="Times New Roman"/>
                <w:w w:val="99"/>
                <w:sz w:val="21"/>
              </w:rPr>
              <w:t>0</w:t>
            </w:r>
          </w:p>
        </w:tc>
        <w:tc>
          <w:tcPr>
            <w:tcW w:w="788" w:type="dxa"/>
          </w:tcPr>
          <w:p w14:paraId="6C778AEC">
            <w:pPr>
              <w:pStyle w:val="17"/>
              <w:spacing w:before="35"/>
              <w:ind w:left="6"/>
              <w:rPr>
                <w:rFonts w:ascii="Times New Roman"/>
                <w:sz w:val="21"/>
              </w:rPr>
            </w:pPr>
            <w:r>
              <w:rPr>
                <w:rFonts w:ascii="Times New Roman"/>
                <w:w w:val="99"/>
                <w:sz w:val="21"/>
              </w:rPr>
              <w:t>1</w:t>
            </w:r>
          </w:p>
        </w:tc>
        <w:tc>
          <w:tcPr>
            <w:tcW w:w="763" w:type="dxa"/>
            <w:tcBorders>
              <w:right w:val="nil"/>
            </w:tcBorders>
          </w:tcPr>
          <w:p w14:paraId="39E45935">
            <w:pPr>
              <w:pStyle w:val="17"/>
              <w:spacing w:before="21"/>
              <w:ind w:left="171"/>
              <w:jc w:val="left"/>
              <w:rPr>
                <w:sz w:val="21"/>
              </w:rPr>
            </w:pPr>
            <w:r>
              <w:rPr>
                <w:sz w:val="21"/>
              </w:rPr>
              <w:t>达标</w:t>
            </w:r>
          </w:p>
        </w:tc>
      </w:tr>
      <w:tr w14:paraId="2D63C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7FEE5E1">
            <w:pPr>
              <w:rPr>
                <w:sz w:val="2"/>
                <w:szCs w:val="2"/>
              </w:rPr>
            </w:pPr>
          </w:p>
        </w:tc>
        <w:tc>
          <w:tcPr>
            <w:tcW w:w="1028" w:type="dxa"/>
          </w:tcPr>
          <w:p w14:paraId="772E3DBE">
            <w:pPr>
              <w:pStyle w:val="17"/>
              <w:spacing w:before="21"/>
              <w:ind w:left="7"/>
              <w:rPr>
                <w:sz w:val="21"/>
              </w:rPr>
            </w:pPr>
            <w:r>
              <w:rPr>
                <w:w w:val="99"/>
                <w:sz w:val="21"/>
              </w:rPr>
              <w:t>锌</w:t>
            </w:r>
          </w:p>
        </w:tc>
        <w:tc>
          <w:tcPr>
            <w:tcW w:w="1001" w:type="dxa"/>
          </w:tcPr>
          <w:p w14:paraId="1869902B">
            <w:pPr>
              <w:pStyle w:val="17"/>
              <w:spacing w:before="35"/>
              <w:ind w:left="68" w:right="62"/>
              <w:rPr>
                <w:rFonts w:ascii="Times New Roman"/>
                <w:sz w:val="21"/>
              </w:rPr>
            </w:pPr>
            <w:r>
              <w:rPr>
                <w:rFonts w:ascii="Times New Roman"/>
                <w:sz w:val="21"/>
              </w:rPr>
              <w:t>ND</w:t>
            </w:r>
          </w:p>
        </w:tc>
        <w:tc>
          <w:tcPr>
            <w:tcW w:w="1001" w:type="dxa"/>
          </w:tcPr>
          <w:p w14:paraId="6EB5EC74">
            <w:pPr>
              <w:pStyle w:val="17"/>
              <w:spacing w:before="35"/>
              <w:ind w:left="72" w:right="62"/>
              <w:rPr>
                <w:rFonts w:ascii="Times New Roman"/>
                <w:sz w:val="21"/>
              </w:rPr>
            </w:pPr>
            <w:r>
              <w:rPr>
                <w:rFonts w:ascii="Times New Roman"/>
                <w:sz w:val="21"/>
              </w:rPr>
              <w:t>ND</w:t>
            </w:r>
          </w:p>
        </w:tc>
        <w:tc>
          <w:tcPr>
            <w:tcW w:w="1115" w:type="dxa"/>
          </w:tcPr>
          <w:p w14:paraId="072B1396">
            <w:pPr>
              <w:pStyle w:val="17"/>
              <w:spacing w:before="35"/>
              <w:ind w:left="10"/>
              <w:rPr>
                <w:rFonts w:ascii="Times New Roman"/>
                <w:sz w:val="21"/>
              </w:rPr>
            </w:pPr>
            <w:r>
              <w:rPr>
                <w:rFonts w:ascii="Times New Roman"/>
                <w:w w:val="99"/>
                <w:sz w:val="21"/>
              </w:rPr>
              <w:t>0</w:t>
            </w:r>
          </w:p>
        </w:tc>
        <w:tc>
          <w:tcPr>
            <w:tcW w:w="744" w:type="dxa"/>
          </w:tcPr>
          <w:p w14:paraId="51A93397">
            <w:pPr>
              <w:pStyle w:val="17"/>
              <w:spacing w:before="35"/>
              <w:ind w:left="9"/>
              <w:rPr>
                <w:rFonts w:ascii="Times New Roman"/>
                <w:sz w:val="21"/>
              </w:rPr>
            </w:pPr>
            <w:r>
              <w:rPr>
                <w:rFonts w:ascii="Times New Roman"/>
                <w:w w:val="99"/>
                <w:sz w:val="21"/>
              </w:rPr>
              <w:t>0</w:t>
            </w:r>
          </w:p>
        </w:tc>
        <w:tc>
          <w:tcPr>
            <w:tcW w:w="788" w:type="dxa"/>
          </w:tcPr>
          <w:p w14:paraId="3A31CADE">
            <w:pPr>
              <w:pStyle w:val="17"/>
              <w:spacing w:before="35"/>
              <w:ind w:right="330"/>
              <w:jc w:val="right"/>
              <w:rPr>
                <w:rFonts w:ascii="Times New Roman"/>
                <w:sz w:val="21"/>
              </w:rPr>
            </w:pPr>
            <w:r>
              <w:rPr>
                <w:rFonts w:ascii="Times New Roman"/>
                <w:w w:val="99"/>
                <w:sz w:val="21"/>
              </w:rPr>
              <w:t>0</w:t>
            </w:r>
          </w:p>
        </w:tc>
        <w:tc>
          <w:tcPr>
            <w:tcW w:w="788" w:type="dxa"/>
          </w:tcPr>
          <w:p w14:paraId="1D5C0FD2">
            <w:pPr>
              <w:pStyle w:val="17"/>
              <w:spacing w:before="35"/>
              <w:ind w:left="6"/>
              <w:rPr>
                <w:rFonts w:ascii="Times New Roman"/>
                <w:sz w:val="21"/>
              </w:rPr>
            </w:pPr>
            <w:r>
              <w:rPr>
                <w:rFonts w:ascii="Times New Roman"/>
                <w:w w:val="99"/>
                <w:sz w:val="21"/>
              </w:rPr>
              <w:t>1</w:t>
            </w:r>
          </w:p>
        </w:tc>
        <w:tc>
          <w:tcPr>
            <w:tcW w:w="763" w:type="dxa"/>
            <w:tcBorders>
              <w:right w:val="nil"/>
            </w:tcBorders>
          </w:tcPr>
          <w:p w14:paraId="405D92C3">
            <w:pPr>
              <w:pStyle w:val="17"/>
              <w:spacing w:before="21"/>
              <w:ind w:left="171"/>
              <w:jc w:val="left"/>
              <w:rPr>
                <w:sz w:val="21"/>
              </w:rPr>
            </w:pPr>
            <w:r>
              <w:rPr>
                <w:sz w:val="21"/>
              </w:rPr>
              <w:t>达标</w:t>
            </w:r>
          </w:p>
        </w:tc>
      </w:tr>
      <w:tr w14:paraId="61A93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279323A">
            <w:pPr>
              <w:rPr>
                <w:sz w:val="2"/>
                <w:szCs w:val="2"/>
              </w:rPr>
            </w:pPr>
          </w:p>
        </w:tc>
        <w:tc>
          <w:tcPr>
            <w:tcW w:w="1028" w:type="dxa"/>
          </w:tcPr>
          <w:p w14:paraId="003F16CA">
            <w:pPr>
              <w:pStyle w:val="17"/>
              <w:spacing w:before="21"/>
              <w:ind w:left="7"/>
              <w:rPr>
                <w:sz w:val="21"/>
              </w:rPr>
            </w:pPr>
            <w:r>
              <w:rPr>
                <w:w w:val="99"/>
                <w:sz w:val="21"/>
              </w:rPr>
              <w:t>铅</w:t>
            </w:r>
          </w:p>
        </w:tc>
        <w:tc>
          <w:tcPr>
            <w:tcW w:w="1001" w:type="dxa"/>
          </w:tcPr>
          <w:p w14:paraId="29AD7007">
            <w:pPr>
              <w:pStyle w:val="17"/>
              <w:spacing w:before="34"/>
              <w:ind w:left="68" w:right="62"/>
              <w:rPr>
                <w:rFonts w:ascii="Times New Roman"/>
                <w:sz w:val="21"/>
              </w:rPr>
            </w:pPr>
            <w:r>
              <w:rPr>
                <w:rFonts w:ascii="Times New Roman"/>
                <w:sz w:val="21"/>
              </w:rPr>
              <w:t>ND</w:t>
            </w:r>
          </w:p>
        </w:tc>
        <w:tc>
          <w:tcPr>
            <w:tcW w:w="1001" w:type="dxa"/>
          </w:tcPr>
          <w:p w14:paraId="4081D0A6">
            <w:pPr>
              <w:pStyle w:val="17"/>
              <w:spacing w:before="34"/>
              <w:ind w:left="72" w:right="62"/>
              <w:rPr>
                <w:rFonts w:ascii="Times New Roman"/>
                <w:sz w:val="21"/>
              </w:rPr>
            </w:pPr>
            <w:r>
              <w:rPr>
                <w:rFonts w:ascii="Times New Roman"/>
                <w:sz w:val="21"/>
              </w:rPr>
              <w:t>ND</w:t>
            </w:r>
          </w:p>
        </w:tc>
        <w:tc>
          <w:tcPr>
            <w:tcW w:w="1115" w:type="dxa"/>
          </w:tcPr>
          <w:p w14:paraId="16BFC038">
            <w:pPr>
              <w:pStyle w:val="17"/>
              <w:spacing w:before="34"/>
              <w:ind w:left="10"/>
              <w:rPr>
                <w:rFonts w:ascii="Times New Roman"/>
                <w:sz w:val="21"/>
              </w:rPr>
            </w:pPr>
            <w:r>
              <w:rPr>
                <w:rFonts w:ascii="Times New Roman"/>
                <w:w w:val="99"/>
                <w:sz w:val="21"/>
              </w:rPr>
              <w:t>0</w:t>
            </w:r>
          </w:p>
        </w:tc>
        <w:tc>
          <w:tcPr>
            <w:tcW w:w="744" w:type="dxa"/>
          </w:tcPr>
          <w:p w14:paraId="67B27340">
            <w:pPr>
              <w:pStyle w:val="17"/>
              <w:spacing w:before="34"/>
              <w:ind w:left="9"/>
              <w:rPr>
                <w:rFonts w:ascii="Times New Roman"/>
                <w:sz w:val="21"/>
              </w:rPr>
            </w:pPr>
            <w:r>
              <w:rPr>
                <w:rFonts w:ascii="Times New Roman"/>
                <w:w w:val="99"/>
                <w:sz w:val="21"/>
              </w:rPr>
              <w:t>0</w:t>
            </w:r>
          </w:p>
        </w:tc>
        <w:tc>
          <w:tcPr>
            <w:tcW w:w="788" w:type="dxa"/>
          </w:tcPr>
          <w:p w14:paraId="18A2EEF5">
            <w:pPr>
              <w:pStyle w:val="17"/>
              <w:spacing w:before="34"/>
              <w:ind w:right="330"/>
              <w:jc w:val="right"/>
              <w:rPr>
                <w:rFonts w:ascii="Times New Roman"/>
                <w:sz w:val="21"/>
              </w:rPr>
            </w:pPr>
            <w:r>
              <w:rPr>
                <w:rFonts w:ascii="Times New Roman"/>
                <w:w w:val="99"/>
                <w:sz w:val="21"/>
              </w:rPr>
              <w:t>0</w:t>
            </w:r>
          </w:p>
        </w:tc>
        <w:tc>
          <w:tcPr>
            <w:tcW w:w="788" w:type="dxa"/>
          </w:tcPr>
          <w:p w14:paraId="58E2CE46">
            <w:pPr>
              <w:pStyle w:val="17"/>
              <w:spacing w:before="34"/>
              <w:ind w:left="58" w:right="47"/>
              <w:rPr>
                <w:rFonts w:ascii="Times New Roman"/>
                <w:sz w:val="21"/>
              </w:rPr>
            </w:pPr>
            <w:r>
              <w:rPr>
                <w:rFonts w:ascii="Times New Roman"/>
                <w:sz w:val="21"/>
              </w:rPr>
              <w:t>0.05</w:t>
            </w:r>
          </w:p>
        </w:tc>
        <w:tc>
          <w:tcPr>
            <w:tcW w:w="763" w:type="dxa"/>
            <w:tcBorders>
              <w:right w:val="nil"/>
            </w:tcBorders>
          </w:tcPr>
          <w:p w14:paraId="1504AC38">
            <w:pPr>
              <w:pStyle w:val="17"/>
              <w:spacing w:before="21"/>
              <w:ind w:left="171"/>
              <w:jc w:val="left"/>
              <w:rPr>
                <w:sz w:val="21"/>
              </w:rPr>
            </w:pPr>
            <w:r>
              <w:rPr>
                <w:sz w:val="21"/>
              </w:rPr>
              <w:t>达标</w:t>
            </w:r>
          </w:p>
        </w:tc>
      </w:tr>
      <w:tr w14:paraId="17566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1C9AA649">
            <w:pPr>
              <w:rPr>
                <w:sz w:val="2"/>
                <w:szCs w:val="2"/>
              </w:rPr>
            </w:pPr>
          </w:p>
        </w:tc>
        <w:tc>
          <w:tcPr>
            <w:tcW w:w="1028" w:type="dxa"/>
          </w:tcPr>
          <w:p w14:paraId="7E49E994">
            <w:pPr>
              <w:pStyle w:val="17"/>
              <w:spacing w:before="20"/>
              <w:ind w:left="7"/>
              <w:rPr>
                <w:sz w:val="21"/>
              </w:rPr>
            </w:pPr>
            <w:r>
              <w:rPr>
                <w:w w:val="99"/>
                <w:sz w:val="21"/>
              </w:rPr>
              <w:t>砷</w:t>
            </w:r>
          </w:p>
        </w:tc>
        <w:tc>
          <w:tcPr>
            <w:tcW w:w="1001" w:type="dxa"/>
          </w:tcPr>
          <w:p w14:paraId="4BA53B38">
            <w:pPr>
              <w:pStyle w:val="17"/>
              <w:spacing w:before="34"/>
              <w:ind w:left="69" w:right="62"/>
              <w:rPr>
                <w:rFonts w:ascii="Times New Roman"/>
                <w:sz w:val="21"/>
              </w:rPr>
            </w:pPr>
            <w:r>
              <w:rPr>
                <w:rFonts w:ascii="Times New Roman"/>
                <w:sz w:val="21"/>
              </w:rPr>
              <w:t>0.000312</w:t>
            </w:r>
          </w:p>
        </w:tc>
        <w:tc>
          <w:tcPr>
            <w:tcW w:w="1001" w:type="dxa"/>
          </w:tcPr>
          <w:p w14:paraId="1562BB6F">
            <w:pPr>
              <w:pStyle w:val="17"/>
              <w:spacing w:before="34"/>
              <w:ind w:left="72" w:right="62"/>
              <w:rPr>
                <w:rFonts w:ascii="Times New Roman"/>
                <w:sz w:val="21"/>
              </w:rPr>
            </w:pPr>
            <w:r>
              <w:rPr>
                <w:rFonts w:ascii="Times New Roman"/>
                <w:sz w:val="21"/>
              </w:rPr>
              <w:t>ND</w:t>
            </w:r>
          </w:p>
        </w:tc>
        <w:tc>
          <w:tcPr>
            <w:tcW w:w="1115" w:type="dxa"/>
          </w:tcPr>
          <w:p w14:paraId="0103CC0C">
            <w:pPr>
              <w:pStyle w:val="17"/>
              <w:spacing w:before="34"/>
              <w:ind w:left="215"/>
              <w:jc w:val="left"/>
              <w:rPr>
                <w:rFonts w:ascii="Times New Roman"/>
                <w:sz w:val="21"/>
              </w:rPr>
            </w:pPr>
            <w:r>
              <w:rPr>
                <w:rFonts w:ascii="Times New Roman"/>
                <w:sz w:val="21"/>
              </w:rPr>
              <w:t>0.00624</w:t>
            </w:r>
          </w:p>
        </w:tc>
        <w:tc>
          <w:tcPr>
            <w:tcW w:w="744" w:type="dxa"/>
          </w:tcPr>
          <w:p w14:paraId="665EA695">
            <w:pPr>
              <w:pStyle w:val="17"/>
              <w:spacing w:before="34"/>
              <w:ind w:left="9"/>
              <w:rPr>
                <w:rFonts w:ascii="Times New Roman"/>
                <w:sz w:val="21"/>
              </w:rPr>
            </w:pPr>
            <w:r>
              <w:rPr>
                <w:rFonts w:ascii="Times New Roman"/>
                <w:w w:val="99"/>
                <w:sz w:val="21"/>
              </w:rPr>
              <w:t>0</w:t>
            </w:r>
          </w:p>
        </w:tc>
        <w:tc>
          <w:tcPr>
            <w:tcW w:w="788" w:type="dxa"/>
          </w:tcPr>
          <w:p w14:paraId="1C7C9946">
            <w:pPr>
              <w:pStyle w:val="17"/>
              <w:spacing w:before="34"/>
              <w:ind w:right="330"/>
              <w:jc w:val="right"/>
              <w:rPr>
                <w:rFonts w:ascii="Times New Roman"/>
                <w:sz w:val="21"/>
              </w:rPr>
            </w:pPr>
            <w:r>
              <w:rPr>
                <w:rFonts w:ascii="Times New Roman"/>
                <w:w w:val="99"/>
                <w:sz w:val="21"/>
              </w:rPr>
              <w:t>0</w:t>
            </w:r>
          </w:p>
        </w:tc>
        <w:tc>
          <w:tcPr>
            <w:tcW w:w="788" w:type="dxa"/>
          </w:tcPr>
          <w:p w14:paraId="4737290B">
            <w:pPr>
              <w:pStyle w:val="17"/>
              <w:spacing w:before="34"/>
              <w:ind w:left="58" w:right="47"/>
              <w:rPr>
                <w:rFonts w:ascii="Times New Roman"/>
                <w:sz w:val="21"/>
              </w:rPr>
            </w:pPr>
            <w:r>
              <w:rPr>
                <w:rFonts w:ascii="Times New Roman"/>
                <w:sz w:val="21"/>
              </w:rPr>
              <w:t>0.05</w:t>
            </w:r>
          </w:p>
        </w:tc>
        <w:tc>
          <w:tcPr>
            <w:tcW w:w="763" w:type="dxa"/>
            <w:tcBorders>
              <w:right w:val="nil"/>
            </w:tcBorders>
          </w:tcPr>
          <w:p w14:paraId="44E1C443">
            <w:pPr>
              <w:pStyle w:val="17"/>
              <w:spacing w:before="20"/>
              <w:ind w:left="171"/>
              <w:jc w:val="left"/>
              <w:rPr>
                <w:sz w:val="21"/>
              </w:rPr>
            </w:pPr>
            <w:r>
              <w:rPr>
                <w:sz w:val="21"/>
              </w:rPr>
              <w:t>达标</w:t>
            </w:r>
          </w:p>
        </w:tc>
      </w:tr>
      <w:tr w14:paraId="16A3E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6B043EB2">
            <w:pPr>
              <w:rPr>
                <w:sz w:val="2"/>
                <w:szCs w:val="2"/>
              </w:rPr>
            </w:pPr>
          </w:p>
        </w:tc>
        <w:tc>
          <w:tcPr>
            <w:tcW w:w="1028" w:type="dxa"/>
          </w:tcPr>
          <w:p w14:paraId="59839333">
            <w:pPr>
              <w:pStyle w:val="17"/>
              <w:spacing w:before="20"/>
              <w:ind w:left="7"/>
              <w:rPr>
                <w:sz w:val="21"/>
              </w:rPr>
            </w:pPr>
            <w:r>
              <w:rPr>
                <w:w w:val="99"/>
                <w:sz w:val="21"/>
              </w:rPr>
              <w:t>汞</w:t>
            </w:r>
          </w:p>
        </w:tc>
        <w:tc>
          <w:tcPr>
            <w:tcW w:w="1001" w:type="dxa"/>
          </w:tcPr>
          <w:p w14:paraId="5D0E5A4C">
            <w:pPr>
              <w:pStyle w:val="17"/>
              <w:spacing w:before="34"/>
              <w:ind w:left="68" w:right="62"/>
              <w:rPr>
                <w:rFonts w:ascii="Times New Roman"/>
                <w:sz w:val="21"/>
              </w:rPr>
            </w:pPr>
            <w:r>
              <w:rPr>
                <w:rFonts w:ascii="Times New Roman"/>
                <w:sz w:val="21"/>
              </w:rPr>
              <w:t>ND</w:t>
            </w:r>
          </w:p>
        </w:tc>
        <w:tc>
          <w:tcPr>
            <w:tcW w:w="1001" w:type="dxa"/>
          </w:tcPr>
          <w:p w14:paraId="244AFDC2">
            <w:pPr>
              <w:pStyle w:val="17"/>
              <w:spacing w:before="34"/>
              <w:ind w:left="69" w:right="62"/>
              <w:rPr>
                <w:rFonts w:ascii="Times New Roman"/>
                <w:sz w:val="21"/>
              </w:rPr>
            </w:pPr>
            <w:r>
              <w:rPr>
                <w:rFonts w:ascii="Times New Roman"/>
                <w:sz w:val="21"/>
              </w:rPr>
              <w:t>0.000056</w:t>
            </w:r>
          </w:p>
        </w:tc>
        <w:tc>
          <w:tcPr>
            <w:tcW w:w="1115" w:type="dxa"/>
          </w:tcPr>
          <w:p w14:paraId="2C321F49">
            <w:pPr>
              <w:pStyle w:val="17"/>
              <w:spacing w:before="34"/>
              <w:ind w:left="373"/>
              <w:jc w:val="left"/>
              <w:rPr>
                <w:rFonts w:ascii="Times New Roman"/>
                <w:sz w:val="21"/>
              </w:rPr>
            </w:pPr>
            <w:r>
              <w:rPr>
                <w:rFonts w:ascii="Times New Roman"/>
                <w:sz w:val="21"/>
              </w:rPr>
              <w:t>0.56</w:t>
            </w:r>
          </w:p>
        </w:tc>
        <w:tc>
          <w:tcPr>
            <w:tcW w:w="744" w:type="dxa"/>
          </w:tcPr>
          <w:p w14:paraId="25681660">
            <w:pPr>
              <w:pStyle w:val="17"/>
              <w:spacing w:before="34"/>
              <w:ind w:left="9"/>
              <w:rPr>
                <w:rFonts w:ascii="Times New Roman"/>
                <w:sz w:val="21"/>
              </w:rPr>
            </w:pPr>
            <w:r>
              <w:rPr>
                <w:rFonts w:ascii="Times New Roman"/>
                <w:w w:val="99"/>
                <w:sz w:val="21"/>
              </w:rPr>
              <w:t>0</w:t>
            </w:r>
          </w:p>
        </w:tc>
        <w:tc>
          <w:tcPr>
            <w:tcW w:w="788" w:type="dxa"/>
          </w:tcPr>
          <w:p w14:paraId="6D512B5F">
            <w:pPr>
              <w:pStyle w:val="17"/>
              <w:spacing w:before="34"/>
              <w:ind w:right="330"/>
              <w:jc w:val="right"/>
              <w:rPr>
                <w:rFonts w:ascii="Times New Roman"/>
                <w:sz w:val="21"/>
              </w:rPr>
            </w:pPr>
            <w:r>
              <w:rPr>
                <w:rFonts w:ascii="Times New Roman"/>
                <w:w w:val="99"/>
                <w:sz w:val="21"/>
              </w:rPr>
              <w:t>0</w:t>
            </w:r>
          </w:p>
        </w:tc>
        <w:tc>
          <w:tcPr>
            <w:tcW w:w="788" w:type="dxa"/>
          </w:tcPr>
          <w:p w14:paraId="67870FB7">
            <w:pPr>
              <w:pStyle w:val="17"/>
              <w:spacing w:before="34"/>
              <w:ind w:left="58" w:right="49"/>
              <w:rPr>
                <w:rFonts w:ascii="Times New Roman"/>
                <w:sz w:val="21"/>
              </w:rPr>
            </w:pPr>
            <w:r>
              <w:rPr>
                <w:rFonts w:ascii="Times New Roman"/>
                <w:sz w:val="21"/>
              </w:rPr>
              <w:t>0.0001</w:t>
            </w:r>
          </w:p>
        </w:tc>
        <w:tc>
          <w:tcPr>
            <w:tcW w:w="763" w:type="dxa"/>
            <w:tcBorders>
              <w:right w:val="nil"/>
            </w:tcBorders>
          </w:tcPr>
          <w:p w14:paraId="72A337B6">
            <w:pPr>
              <w:pStyle w:val="17"/>
              <w:spacing w:before="20"/>
              <w:ind w:left="171"/>
              <w:jc w:val="left"/>
              <w:rPr>
                <w:sz w:val="21"/>
              </w:rPr>
            </w:pPr>
            <w:r>
              <w:rPr>
                <w:sz w:val="21"/>
              </w:rPr>
              <w:t>达标</w:t>
            </w:r>
          </w:p>
        </w:tc>
      </w:tr>
      <w:tr w14:paraId="2C275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B2A9E1F">
            <w:pPr>
              <w:rPr>
                <w:sz w:val="2"/>
                <w:szCs w:val="2"/>
              </w:rPr>
            </w:pPr>
          </w:p>
        </w:tc>
        <w:tc>
          <w:tcPr>
            <w:tcW w:w="1028" w:type="dxa"/>
          </w:tcPr>
          <w:p w14:paraId="65C3C47B">
            <w:pPr>
              <w:pStyle w:val="17"/>
              <w:spacing w:before="22"/>
              <w:ind w:left="7"/>
              <w:rPr>
                <w:sz w:val="21"/>
              </w:rPr>
            </w:pPr>
            <w:r>
              <w:rPr>
                <w:w w:val="99"/>
                <w:sz w:val="21"/>
              </w:rPr>
              <w:t>镉</w:t>
            </w:r>
          </w:p>
        </w:tc>
        <w:tc>
          <w:tcPr>
            <w:tcW w:w="1001" w:type="dxa"/>
          </w:tcPr>
          <w:p w14:paraId="032388AC">
            <w:pPr>
              <w:pStyle w:val="17"/>
              <w:spacing w:before="36"/>
              <w:ind w:left="68" w:right="62"/>
              <w:rPr>
                <w:rFonts w:ascii="Times New Roman"/>
                <w:sz w:val="21"/>
              </w:rPr>
            </w:pPr>
            <w:r>
              <w:rPr>
                <w:rFonts w:ascii="Times New Roman"/>
                <w:sz w:val="21"/>
              </w:rPr>
              <w:t>ND</w:t>
            </w:r>
          </w:p>
        </w:tc>
        <w:tc>
          <w:tcPr>
            <w:tcW w:w="1001" w:type="dxa"/>
          </w:tcPr>
          <w:p w14:paraId="2876490A">
            <w:pPr>
              <w:pStyle w:val="17"/>
              <w:spacing w:before="36"/>
              <w:ind w:left="72" w:right="62"/>
              <w:rPr>
                <w:rFonts w:ascii="Times New Roman"/>
                <w:sz w:val="21"/>
              </w:rPr>
            </w:pPr>
            <w:r>
              <w:rPr>
                <w:rFonts w:ascii="Times New Roman"/>
                <w:sz w:val="21"/>
              </w:rPr>
              <w:t>ND</w:t>
            </w:r>
          </w:p>
        </w:tc>
        <w:tc>
          <w:tcPr>
            <w:tcW w:w="1115" w:type="dxa"/>
          </w:tcPr>
          <w:p w14:paraId="6CE940EF">
            <w:pPr>
              <w:pStyle w:val="17"/>
              <w:spacing w:before="36"/>
              <w:ind w:left="10"/>
              <w:rPr>
                <w:rFonts w:ascii="Times New Roman"/>
                <w:sz w:val="21"/>
              </w:rPr>
            </w:pPr>
            <w:r>
              <w:rPr>
                <w:rFonts w:ascii="Times New Roman"/>
                <w:w w:val="99"/>
                <w:sz w:val="21"/>
              </w:rPr>
              <w:t>0</w:t>
            </w:r>
          </w:p>
        </w:tc>
        <w:tc>
          <w:tcPr>
            <w:tcW w:w="744" w:type="dxa"/>
          </w:tcPr>
          <w:p w14:paraId="0E4DC0F6">
            <w:pPr>
              <w:pStyle w:val="17"/>
              <w:spacing w:before="36"/>
              <w:ind w:left="9"/>
              <w:rPr>
                <w:rFonts w:ascii="Times New Roman"/>
                <w:sz w:val="21"/>
              </w:rPr>
            </w:pPr>
            <w:r>
              <w:rPr>
                <w:rFonts w:ascii="Times New Roman"/>
                <w:w w:val="99"/>
                <w:sz w:val="21"/>
              </w:rPr>
              <w:t>0</w:t>
            </w:r>
          </w:p>
        </w:tc>
        <w:tc>
          <w:tcPr>
            <w:tcW w:w="788" w:type="dxa"/>
          </w:tcPr>
          <w:p w14:paraId="660761EF">
            <w:pPr>
              <w:pStyle w:val="17"/>
              <w:spacing w:before="36"/>
              <w:ind w:right="330"/>
              <w:jc w:val="right"/>
              <w:rPr>
                <w:rFonts w:ascii="Times New Roman"/>
                <w:sz w:val="21"/>
              </w:rPr>
            </w:pPr>
            <w:r>
              <w:rPr>
                <w:rFonts w:ascii="Times New Roman"/>
                <w:w w:val="99"/>
                <w:sz w:val="21"/>
              </w:rPr>
              <w:t>0</w:t>
            </w:r>
          </w:p>
        </w:tc>
        <w:tc>
          <w:tcPr>
            <w:tcW w:w="788" w:type="dxa"/>
          </w:tcPr>
          <w:p w14:paraId="486D2546">
            <w:pPr>
              <w:pStyle w:val="17"/>
              <w:spacing w:before="36"/>
              <w:ind w:left="58" w:right="49"/>
              <w:rPr>
                <w:rFonts w:ascii="Times New Roman"/>
                <w:sz w:val="21"/>
              </w:rPr>
            </w:pPr>
            <w:r>
              <w:rPr>
                <w:rFonts w:ascii="Times New Roman"/>
                <w:sz w:val="21"/>
              </w:rPr>
              <w:t>0.005</w:t>
            </w:r>
          </w:p>
        </w:tc>
        <w:tc>
          <w:tcPr>
            <w:tcW w:w="763" w:type="dxa"/>
            <w:tcBorders>
              <w:right w:val="nil"/>
            </w:tcBorders>
          </w:tcPr>
          <w:p w14:paraId="2CA1EC60">
            <w:pPr>
              <w:pStyle w:val="17"/>
              <w:spacing w:before="22"/>
              <w:ind w:left="171"/>
              <w:jc w:val="left"/>
              <w:rPr>
                <w:sz w:val="21"/>
              </w:rPr>
            </w:pPr>
            <w:r>
              <w:rPr>
                <w:sz w:val="21"/>
              </w:rPr>
              <w:t>达标</w:t>
            </w:r>
          </w:p>
        </w:tc>
      </w:tr>
      <w:tr w14:paraId="6AD9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1B3384B1">
            <w:pPr>
              <w:rPr>
                <w:sz w:val="2"/>
                <w:szCs w:val="2"/>
              </w:rPr>
            </w:pPr>
          </w:p>
        </w:tc>
        <w:tc>
          <w:tcPr>
            <w:tcW w:w="1028" w:type="dxa"/>
          </w:tcPr>
          <w:p w14:paraId="1C3E8038">
            <w:pPr>
              <w:pStyle w:val="17"/>
              <w:spacing w:before="21"/>
              <w:ind w:left="7"/>
              <w:rPr>
                <w:sz w:val="21"/>
              </w:rPr>
            </w:pPr>
            <w:r>
              <w:rPr>
                <w:w w:val="99"/>
                <w:sz w:val="21"/>
              </w:rPr>
              <w:t>铊</w:t>
            </w:r>
          </w:p>
        </w:tc>
        <w:tc>
          <w:tcPr>
            <w:tcW w:w="1001" w:type="dxa"/>
          </w:tcPr>
          <w:p w14:paraId="21451F25">
            <w:pPr>
              <w:pStyle w:val="17"/>
              <w:spacing w:before="35"/>
              <w:ind w:left="68" w:right="62"/>
              <w:rPr>
                <w:rFonts w:ascii="Times New Roman"/>
                <w:sz w:val="21"/>
              </w:rPr>
            </w:pPr>
            <w:r>
              <w:rPr>
                <w:rFonts w:ascii="Times New Roman"/>
                <w:sz w:val="21"/>
              </w:rPr>
              <w:t>ND</w:t>
            </w:r>
          </w:p>
        </w:tc>
        <w:tc>
          <w:tcPr>
            <w:tcW w:w="1001" w:type="dxa"/>
          </w:tcPr>
          <w:p w14:paraId="6F235B60">
            <w:pPr>
              <w:pStyle w:val="17"/>
              <w:spacing w:before="35"/>
              <w:ind w:left="72" w:right="62"/>
              <w:rPr>
                <w:rFonts w:ascii="Times New Roman"/>
                <w:sz w:val="21"/>
              </w:rPr>
            </w:pPr>
            <w:r>
              <w:rPr>
                <w:rFonts w:ascii="Times New Roman"/>
                <w:sz w:val="21"/>
              </w:rPr>
              <w:t>ND</w:t>
            </w:r>
          </w:p>
        </w:tc>
        <w:tc>
          <w:tcPr>
            <w:tcW w:w="1115" w:type="dxa"/>
          </w:tcPr>
          <w:p w14:paraId="2E25BCCE">
            <w:pPr>
              <w:pStyle w:val="17"/>
              <w:spacing w:before="35"/>
              <w:ind w:left="10"/>
              <w:rPr>
                <w:rFonts w:ascii="Times New Roman"/>
                <w:sz w:val="21"/>
              </w:rPr>
            </w:pPr>
            <w:r>
              <w:rPr>
                <w:rFonts w:ascii="Times New Roman"/>
                <w:w w:val="99"/>
                <w:sz w:val="21"/>
              </w:rPr>
              <w:t>0</w:t>
            </w:r>
          </w:p>
        </w:tc>
        <w:tc>
          <w:tcPr>
            <w:tcW w:w="744" w:type="dxa"/>
          </w:tcPr>
          <w:p w14:paraId="7FE87FAF">
            <w:pPr>
              <w:pStyle w:val="17"/>
              <w:spacing w:before="35"/>
              <w:ind w:left="9"/>
              <w:rPr>
                <w:rFonts w:ascii="Times New Roman"/>
                <w:sz w:val="21"/>
              </w:rPr>
            </w:pPr>
            <w:r>
              <w:rPr>
                <w:rFonts w:ascii="Times New Roman"/>
                <w:w w:val="99"/>
                <w:sz w:val="21"/>
              </w:rPr>
              <w:t>0</w:t>
            </w:r>
          </w:p>
        </w:tc>
        <w:tc>
          <w:tcPr>
            <w:tcW w:w="788" w:type="dxa"/>
          </w:tcPr>
          <w:p w14:paraId="509423C0">
            <w:pPr>
              <w:pStyle w:val="17"/>
              <w:spacing w:before="35"/>
              <w:ind w:right="330"/>
              <w:jc w:val="right"/>
              <w:rPr>
                <w:rFonts w:ascii="Times New Roman"/>
                <w:sz w:val="21"/>
              </w:rPr>
            </w:pPr>
            <w:r>
              <w:rPr>
                <w:rFonts w:ascii="Times New Roman"/>
                <w:w w:val="99"/>
                <w:sz w:val="21"/>
              </w:rPr>
              <w:t>0</w:t>
            </w:r>
          </w:p>
        </w:tc>
        <w:tc>
          <w:tcPr>
            <w:tcW w:w="788" w:type="dxa"/>
          </w:tcPr>
          <w:p w14:paraId="54F7B68A">
            <w:pPr>
              <w:pStyle w:val="17"/>
              <w:spacing w:before="35"/>
              <w:ind w:left="58" w:right="49"/>
              <w:rPr>
                <w:rFonts w:ascii="Times New Roman"/>
                <w:sz w:val="21"/>
              </w:rPr>
            </w:pPr>
            <w:r>
              <w:rPr>
                <w:rFonts w:ascii="Times New Roman"/>
                <w:sz w:val="21"/>
              </w:rPr>
              <w:t>0.0001</w:t>
            </w:r>
          </w:p>
        </w:tc>
        <w:tc>
          <w:tcPr>
            <w:tcW w:w="763" w:type="dxa"/>
            <w:tcBorders>
              <w:right w:val="nil"/>
            </w:tcBorders>
          </w:tcPr>
          <w:p w14:paraId="5A7470FF">
            <w:pPr>
              <w:pStyle w:val="17"/>
              <w:spacing w:before="21"/>
              <w:ind w:left="171"/>
              <w:jc w:val="left"/>
              <w:rPr>
                <w:sz w:val="21"/>
              </w:rPr>
            </w:pPr>
            <w:r>
              <w:rPr>
                <w:sz w:val="21"/>
              </w:rPr>
              <w:t>达标</w:t>
            </w:r>
          </w:p>
        </w:tc>
      </w:tr>
      <w:tr w14:paraId="70128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0D09ADD">
            <w:pPr>
              <w:rPr>
                <w:sz w:val="2"/>
                <w:szCs w:val="2"/>
              </w:rPr>
            </w:pPr>
          </w:p>
        </w:tc>
        <w:tc>
          <w:tcPr>
            <w:tcW w:w="1028" w:type="dxa"/>
          </w:tcPr>
          <w:p w14:paraId="0EBAC4CE">
            <w:pPr>
              <w:pStyle w:val="17"/>
              <w:spacing w:before="21"/>
              <w:ind w:left="66" w:right="56"/>
              <w:rPr>
                <w:sz w:val="21"/>
              </w:rPr>
            </w:pPr>
            <w:r>
              <w:rPr>
                <w:sz w:val="21"/>
              </w:rPr>
              <w:t>六价铬</w:t>
            </w:r>
          </w:p>
        </w:tc>
        <w:tc>
          <w:tcPr>
            <w:tcW w:w="1001" w:type="dxa"/>
          </w:tcPr>
          <w:p w14:paraId="3F3A57CE">
            <w:pPr>
              <w:pStyle w:val="17"/>
              <w:spacing w:before="35"/>
              <w:ind w:left="68" w:right="62"/>
              <w:rPr>
                <w:rFonts w:ascii="Times New Roman"/>
                <w:sz w:val="21"/>
              </w:rPr>
            </w:pPr>
            <w:r>
              <w:rPr>
                <w:rFonts w:ascii="Times New Roman"/>
                <w:sz w:val="21"/>
              </w:rPr>
              <w:t>ND</w:t>
            </w:r>
          </w:p>
        </w:tc>
        <w:tc>
          <w:tcPr>
            <w:tcW w:w="1001" w:type="dxa"/>
          </w:tcPr>
          <w:p w14:paraId="07BE3012">
            <w:pPr>
              <w:pStyle w:val="17"/>
              <w:spacing w:before="35"/>
              <w:ind w:left="72" w:right="62"/>
              <w:rPr>
                <w:rFonts w:ascii="Times New Roman"/>
                <w:sz w:val="21"/>
              </w:rPr>
            </w:pPr>
            <w:r>
              <w:rPr>
                <w:rFonts w:ascii="Times New Roman"/>
                <w:sz w:val="21"/>
              </w:rPr>
              <w:t>ND</w:t>
            </w:r>
          </w:p>
        </w:tc>
        <w:tc>
          <w:tcPr>
            <w:tcW w:w="1115" w:type="dxa"/>
          </w:tcPr>
          <w:p w14:paraId="688B1111">
            <w:pPr>
              <w:pStyle w:val="17"/>
              <w:spacing w:before="35"/>
              <w:ind w:left="10"/>
              <w:rPr>
                <w:rFonts w:ascii="Times New Roman"/>
                <w:sz w:val="21"/>
              </w:rPr>
            </w:pPr>
            <w:r>
              <w:rPr>
                <w:rFonts w:ascii="Times New Roman"/>
                <w:w w:val="99"/>
                <w:sz w:val="21"/>
              </w:rPr>
              <w:t>0</w:t>
            </w:r>
          </w:p>
        </w:tc>
        <w:tc>
          <w:tcPr>
            <w:tcW w:w="744" w:type="dxa"/>
          </w:tcPr>
          <w:p w14:paraId="388AE331">
            <w:pPr>
              <w:pStyle w:val="17"/>
              <w:spacing w:before="35"/>
              <w:ind w:left="9"/>
              <w:rPr>
                <w:rFonts w:ascii="Times New Roman"/>
                <w:sz w:val="21"/>
              </w:rPr>
            </w:pPr>
            <w:r>
              <w:rPr>
                <w:rFonts w:ascii="Times New Roman"/>
                <w:w w:val="99"/>
                <w:sz w:val="21"/>
              </w:rPr>
              <w:t>0</w:t>
            </w:r>
          </w:p>
        </w:tc>
        <w:tc>
          <w:tcPr>
            <w:tcW w:w="788" w:type="dxa"/>
          </w:tcPr>
          <w:p w14:paraId="05EBB416">
            <w:pPr>
              <w:pStyle w:val="17"/>
              <w:spacing w:before="35"/>
              <w:ind w:right="330"/>
              <w:jc w:val="right"/>
              <w:rPr>
                <w:rFonts w:ascii="Times New Roman"/>
                <w:sz w:val="21"/>
              </w:rPr>
            </w:pPr>
            <w:r>
              <w:rPr>
                <w:rFonts w:ascii="Times New Roman"/>
                <w:w w:val="99"/>
                <w:sz w:val="21"/>
              </w:rPr>
              <w:t>0</w:t>
            </w:r>
          </w:p>
        </w:tc>
        <w:tc>
          <w:tcPr>
            <w:tcW w:w="788" w:type="dxa"/>
          </w:tcPr>
          <w:p w14:paraId="13A9C99B">
            <w:pPr>
              <w:pStyle w:val="17"/>
              <w:spacing w:before="35"/>
              <w:ind w:left="58" w:right="47"/>
              <w:rPr>
                <w:rFonts w:ascii="Times New Roman"/>
                <w:sz w:val="21"/>
              </w:rPr>
            </w:pPr>
            <w:r>
              <w:rPr>
                <w:rFonts w:ascii="Times New Roman"/>
                <w:sz w:val="21"/>
              </w:rPr>
              <w:t>0.05</w:t>
            </w:r>
          </w:p>
        </w:tc>
        <w:tc>
          <w:tcPr>
            <w:tcW w:w="763" w:type="dxa"/>
            <w:tcBorders>
              <w:right w:val="nil"/>
            </w:tcBorders>
          </w:tcPr>
          <w:p w14:paraId="5D99AA34">
            <w:pPr>
              <w:pStyle w:val="17"/>
              <w:spacing w:before="21"/>
              <w:ind w:left="171"/>
              <w:jc w:val="left"/>
              <w:rPr>
                <w:sz w:val="21"/>
              </w:rPr>
            </w:pPr>
            <w:r>
              <w:rPr>
                <w:sz w:val="21"/>
              </w:rPr>
              <w:t>达标</w:t>
            </w:r>
          </w:p>
        </w:tc>
      </w:tr>
      <w:tr w14:paraId="4DF14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restart"/>
            <w:tcBorders>
              <w:left w:val="nil"/>
            </w:tcBorders>
          </w:tcPr>
          <w:p w14:paraId="72DE15D0">
            <w:pPr>
              <w:pStyle w:val="17"/>
              <w:jc w:val="left"/>
              <w:rPr>
                <w:b/>
                <w:sz w:val="22"/>
              </w:rPr>
            </w:pPr>
          </w:p>
          <w:p w14:paraId="20B77B7F">
            <w:pPr>
              <w:pStyle w:val="17"/>
              <w:jc w:val="left"/>
              <w:rPr>
                <w:b/>
                <w:sz w:val="22"/>
              </w:rPr>
            </w:pPr>
          </w:p>
          <w:p w14:paraId="2DBE6A2D">
            <w:pPr>
              <w:pStyle w:val="17"/>
              <w:jc w:val="left"/>
              <w:rPr>
                <w:b/>
                <w:sz w:val="22"/>
              </w:rPr>
            </w:pPr>
          </w:p>
          <w:p w14:paraId="7B4EF188">
            <w:pPr>
              <w:pStyle w:val="17"/>
              <w:jc w:val="left"/>
              <w:rPr>
                <w:b/>
                <w:sz w:val="22"/>
              </w:rPr>
            </w:pPr>
          </w:p>
          <w:p w14:paraId="2BB0CB13">
            <w:pPr>
              <w:pStyle w:val="17"/>
              <w:jc w:val="left"/>
              <w:rPr>
                <w:b/>
                <w:sz w:val="22"/>
              </w:rPr>
            </w:pPr>
          </w:p>
          <w:p w14:paraId="302D1D7D">
            <w:pPr>
              <w:pStyle w:val="17"/>
              <w:jc w:val="left"/>
              <w:rPr>
                <w:b/>
                <w:sz w:val="22"/>
              </w:rPr>
            </w:pPr>
          </w:p>
          <w:p w14:paraId="4834BC57">
            <w:pPr>
              <w:pStyle w:val="17"/>
              <w:jc w:val="left"/>
              <w:rPr>
                <w:b/>
                <w:sz w:val="22"/>
              </w:rPr>
            </w:pPr>
          </w:p>
          <w:p w14:paraId="584A1E3E">
            <w:pPr>
              <w:pStyle w:val="17"/>
              <w:jc w:val="left"/>
              <w:rPr>
                <w:b/>
                <w:sz w:val="22"/>
              </w:rPr>
            </w:pPr>
          </w:p>
          <w:p w14:paraId="36B01183">
            <w:pPr>
              <w:pStyle w:val="17"/>
              <w:jc w:val="left"/>
              <w:rPr>
                <w:b/>
                <w:sz w:val="22"/>
              </w:rPr>
            </w:pPr>
          </w:p>
          <w:p w14:paraId="08C61B3B">
            <w:pPr>
              <w:pStyle w:val="17"/>
              <w:jc w:val="left"/>
              <w:rPr>
                <w:b/>
                <w:sz w:val="22"/>
              </w:rPr>
            </w:pPr>
          </w:p>
          <w:p w14:paraId="3F7DCF45">
            <w:pPr>
              <w:pStyle w:val="17"/>
              <w:spacing w:before="1"/>
              <w:jc w:val="left"/>
              <w:rPr>
                <w:b/>
                <w:sz w:val="20"/>
              </w:rPr>
            </w:pPr>
          </w:p>
          <w:p w14:paraId="5A2B0880">
            <w:pPr>
              <w:pStyle w:val="17"/>
              <w:spacing w:line="283" w:lineRule="auto"/>
              <w:ind w:left="32" w:right="28" w:firstLine="12"/>
              <w:rPr>
                <w:rFonts w:ascii="Times New Roman" w:eastAsia="Times New Roman"/>
                <w:sz w:val="21"/>
              </w:rPr>
            </w:pPr>
            <w:r>
              <w:rPr>
                <w:w w:val="95"/>
                <w:sz w:val="21"/>
              </w:rPr>
              <w:t>汨罗市城市</w:t>
            </w:r>
            <w:r>
              <w:rPr>
                <w:sz w:val="21"/>
              </w:rPr>
              <w:t>污水处理厂排污口下游</w:t>
            </w:r>
            <w:r>
              <w:rPr>
                <w:rFonts w:ascii="Times New Roman" w:eastAsia="Times New Roman"/>
                <w:sz w:val="21"/>
              </w:rPr>
              <w:t>1500m</w:t>
            </w:r>
          </w:p>
        </w:tc>
        <w:tc>
          <w:tcPr>
            <w:tcW w:w="1028" w:type="dxa"/>
          </w:tcPr>
          <w:p w14:paraId="0C08957E">
            <w:pPr>
              <w:pStyle w:val="17"/>
              <w:spacing w:before="34"/>
              <w:ind w:left="63" w:right="56"/>
              <w:rPr>
                <w:rFonts w:ascii="Times New Roman"/>
                <w:sz w:val="21"/>
              </w:rPr>
            </w:pPr>
            <w:r>
              <w:rPr>
                <w:rFonts w:ascii="Times New Roman"/>
                <w:sz w:val="21"/>
              </w:rPr>
              <w:t>pH</w:t>
            </w:r>
          </w:p>
        </w:tc>
        <w:tc>
          <w:tcPr>
            <w:tcW w:w="1001" w:type="dxa"/>
          </w:tcPr>
          <w:p w14:paraId="01D4E51B">
            <w:pPr>
              <w:pStyle w:val="17"/>
              <w:spacing w:before="34"/>
              <w:ind w:left="72" w:right="62"/>
              <w:rPr>
                <w:rFonts w:ascii="Times New Roman"/>
                <w:sz w:val="21"/>
              </w:rPr>
            </w:pPr>
            <w:r>
              <w:rPr>
                <w:rFonts w:ascii="Times New Roman"/>
                <w:sz w:val="21"/>
              </w:rPr>
              <w:t>7.2</w:t>
            </w:r>
          </w:p>
        </w:tc>
        <w:tc>
          <w:tcPr>
            <w:tcW w:w="1001" w:type="dxa"/>
          </w:tcPr>
          <w:p w14:paraId="72350CFB">
            <w:pPr>
              <w:pStyle w:val="17"/>
              <w:spacing w:before="34"/>
              <w:ind w:left="71" w:right="62"/>
              <w:rPr>
                <w:rFonts w:ascii="Times New Roman"/>
                <w:sz w:val="21"/>
              </w:rPr>
            </w:pPr>
            <w:r>
              <w:rPr>
                <w:rFonts w:ascii="Times New Roman"/>
                <w:sz w:val="21"/>
              </w:rPr>
              <w:t>7.0</w:t>
            </w:r>
          </w:p>
        </w:tc>
        <w:tc>
          <w:tcPr>
            <w:tcW w:w="1115" w:type="dxa"/>
          </w:tcPr>
          <w:p w14:paraId="52BE9662">
            <w:pPr>
              <w:pStyle w:val="17"/>
              <w:spacing w:before="34"/>
              <w:ind w:left="315"/>
              <w:jc w:val="left"/>
              <w:rPr>
                <w:rFonts w:ascii="Times New Roman"/>
                <w:sz w:val="21"/>
              </w:rPr>
            </w:pPr>
            <w:r>
              <w:rPr>
                <w:rFonts w:ascii="Times New Roman"/>
                <w:sz w:val="21"/>
              </w:rPr>
              <w:t>0~0.1</w:t>
            </w:r>
          </w:p>
        </w:tc>
        <w:tc>
          <w:tcPr>
            <w:tcW w:w="744" w:type="dxa"/>
          </w:tcPr>
          <w:p w14:paraId="7C041880">
            <w:pPr>
              <w:pStyle w:val="17"/>
              <w:spacing w:before="34"/>
              <w:ind w:left="9"/>
              <w:rPr>
                <w:rFonts w:ascii="Times New Roman"/>
                <w:sz w:val="21"/>
              </w:rPr>
            </w:pPr>
            <w:r>
              <w:rPr>
                <w:rFonts w:ascii="Times New Roman"/>
                <w:w w:val="99"/>
                <w:sz w:val="21"/>
              </w:rPr>
              <w:t>0</w:t>
            </w:r>
          </w:p>
        </w:tc>
        <w:tc>
          <w:tcPr>
            <w:tcW w:w="788" w:type="dxa"/>
          </w:tcPr>
          <w:p w14:paraId="61EA42ED">
            <w:pPr>
              <w:pStyle w:val="17"/>
              <w:spacing w:before="34"/>
              <w:ind w:right="330"/>
              <w:jc w:val="right"/>
              <w:rPr>
                <w:rFonts w:ascii="Times New Roman"/>
                <w:sz w:val="21"/>
              </w:rPr>
            </w:pPr>
            <w:r>
              <w:rPr>
                <w:rFonts w:ascii="Times New Roman"/>
                <w:w w:val="99"/>
                <w:sz w:val="21"/>
              </w:rPr>
              <w:t>0</w:t>
            </w:r>
          </w:p>
        </w:tc>
        <w:tc>
          <w:tcPr>
            <w:tcW w:w="788" w:type="dxa"/>
          </w:tcPr>
          <w:p w14:paraId="18F99C6A">
            <w:pPr>
              <w:pStyle w:val="17"/>
              <w:spacing w:before="34"/>
              <w:ind w:left="58" w:right="49"/>
              <w:rPr>
                <w:rFonts w:ascii="Times New Roman"/>
                <w:sz w:val="21"/>
              </w:rPr>
            </w:pPr>
            <w:r>
              <w:rPr>
                <w:rFonts w:ascii="Times New Roman"/>
                <w:sz w:val="21"/>
              </w:rPr>
              <w:t>6~9</w:t>
            </w:r>
          </w:p>
        </w:tc>
        <w:tc>
          <w:tcPr>
            <w:tcW w:w="763" w:type="dxa"/>
            <w:tcBorders>
              <w:right w:val="nil"/>
            </w:tcBorders>
          </w:tcPr>
          <w:p w14:paraId="72600FA4">
            <w:pPr>
              <w:pStyle w:val="17"/>
              <w:spacing w:before="21"/>
              <w:ind w:left="171"/>
              <w:jc w:val="left"/>
              <w:rPr>
                <w:sz w:val="21"/>
              </w:rPr>
            </w:pPr>
            <w:r>
              <w:rPr>
                <w:sz w:val="21"/>
              </w:rPr>
              <w:t>达标</w:t>
            </w:r>
          </w:p>
        </w:tc>
      </w:tr>
      <w:tr w14:paraId="121ED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486FA5F5">
            <w:pPr>
              <w:rPr>
                <w:sz w:val="2"/>
                <w:szCs w:val="2"/>
              </w:rPr>
            </w:pPr>
          </w:p>
        </w:tc>
        <w:tc>
          <w:tcPr>
            <w:tcW w:w="1028" w:type="dxa"/>
          </w:tcPr>
          <w:p w14:paraId="7B87803D">
            <w:pPr>
              <w:pStyle w:val="17"/>
              <w:spacing w:before="20"/>
              <w:ind w:left="66" w:right="56"/>
              <w:rPr>
                <w:sz w:val="21"/>
              </w:rPr>
            </w:pPr>
            <w:r>
              <w:rPr>
                <w:sz w:val="21"/>
              </w:rPr>
              <w:t>悬浮物</w:t>
            </w:r>
          </w:p>
        </w:tc>
        <w:tc>
          <w:tcPr>
            <w:tcW w:w="1001" w:type="dxa"/>
          </w:tcPr>
          <w:p w14:paraId="5F6A4C5E">
            <w:pPr>
              <w:pStyle w:val="17"/>
              <w:spacing w:before="34"/>
              <w:ind w:left="72" w:right="62"/>
              <w:rPr>
                <w:rFonts w:ascii="Times New Roman"/>
                <w:sz w:val="21"/>
              </w:rPr>
            </w:pPr>
            <w:r>
              <w:rPr>
                <w:rFonts w:ascii="Times New Roman"/>
                <w:sz w:val="21"/>
              </w:rPr>
              <w:t>12</w:t>
            </w:r>
          </w:p>
        </w:tc>
        <w:tc>
          <w:tcPr>
            <w:tcW w:w="1001" w:type="dxa"/>
          </w:tcPr>
          <w:p w14:paraId="44A4E257">
            <w:pPr>
              <w:pStyle w:val="17"/>
              <w:spacing w:before="34"/>
              <w:ind w:left="71" w:right="62"/>
              <w:rPr>
                <w:rFonts w:ascii="Times New Roman"/>
                <w:sz w:val="21"/>
              </w:rPr>
            </w:pPr>
            <w:r>
              <w:rPr>
                <w:rFonts w:ascii="Times New Roman"/>
                <w:sz w:val="21"/>
              </w:rPr>
              <w:t>14</w:t>
            </w:r>
          </w:p>
        </w:tc>
        <w:tc>
          <w:tcPr>
            <w:tcW w:w="1115" w:type="dxa"/>
          </w:tcPr>
          <w:p w14:paraId="6D8CE440">
            <w:pPr>
              <w:pStyle w:val="17"/>
              <w:spacing w:before="34"/>
              <w:ind w:left="7"/>
              <w:rPr>
                <w:rFonts w:ascii="Times New Roman"/>
                <w:sz w:val="21"/>
              </w:rPr>
            </w:pPr>
            <w:r>
              <w:rPr>
                <w:rFonts w:ascii="Times New Roman"/>
                <w:w w:val="99"/>
                <w:sz w:val="21"/>
              </w:rPr>
              <w:t>/</w:t>
            </w:r>
          </w:p>
        </w:tc>
        <w:tc>
          <w:tcPr>
            <w:tcW w:w="744" w:type="dxa"/>
          </w:tcPr>
          <w:p w14:paraId="6B668BDD">
            <w:pPr>
              <w:pStyle w:val="17"/>
              <w:spacing w:before="34"/>
              <w:ind w:left="9"/>
              <w:rPr>
                <w:rFonts w:ascii="Times New Roman"/>
                <w:sz w:val="21"/>
              </w:rPr>
            </w:pPr>
            <w:r>
              <w:rPr>
                <w:rFonts w:ascii="Times New Roman"/>
                <w:w w:val="99"/>
                <w:sz w:val="21"/>
              </w:rPr>
              <w:t>0</w:t>
            </w:r>
          </w:p>
        </w:tc>
        <w:tc>
          <w:tcPr>
            <w:tcW w:w="788" w:type="dxa"/>
          </w:tcPr>
          <w:p w14:paraId="68BB4752">
            <w:pPr>
              <w:pStyle w:val="17"/>
              <w:spacing w:before="34"/>
              <w:ind w:right="330"/>
              <w:jc w:val="right"/>
              <w:rPr>
                <w:rFonts w:ascii="Times New Roman"/>
                <w:sz w:val="21"/>
              </w:rPr>
            </w:pPr>
            <w:r>
              <w:rPr>
                <w:rFonts w:ascii="Times New Roman"/>
                <w:w w:val="99"/>
                <w:sz w:val="21"/>
              </w:rPr>
              <w:t>0</w:t>
            </w:r>
          </w:p>
        </w:tc>
        <w:tc>
          <w:tcPr>
            <w:tcW w:w="788" w:type="dxa"/>
          </w:tcPr>
          <w:p w14:paraId="4D00F0D3">
            <w:pPr>
              <w:pStyle w:val="17"/>
              <w:spacing w:before="34"/>
              <w:ind w:left="8"/>
              <w:rPr>
                <w:rFonts w:ascii="Times New Roman"/>
                <w:sz w:val="21"/>
              </w:rPr>
            </w:pPr>
            <w:r>
              <w:rPr>
                <w:rFonts w:ascii="Times New Roman"/>
                <w:w w:val="99"/>
                <w:sz w:val="21"/>
              </w:rPr>
              <w:t>/</w:t>
            </w:r>
          </w:p>
        </w:tc>
        <w:tc>
          <w:tcPr>
            <w:tcW w:w="763" w:type="dxa"/>
            <w:tcBorders>
              <w:right w:val="nil"/>
            </w:tcBorders>
          </w:tcPr>
          <w:p w14:paraId="5786301D">
            <w:pPr>
              <w:pStyle w:val="17"/>
              <w:spacing w:before="20"/>
              <w:ind w:left="171"/>
              <w:jc w:val="left"/>
              <w:rPr>
                <w:sz w:val="21"/>
              </w:rPr>
            </w:pPr>
            <w:r>
              <w:rPr>
                <w:sz w:val="21"/>
              </w:rPr>
              <w:t>达标</w:t>
            </w:r>
          </w:p>
        </w:tc>
      </w:tr>
      <w:tr w14:paraId="3DF6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3AD68165">
            <w:pPr>
              <w:rPr>
                <w:sz w:val="2"/>
                <w:szCs w:val="2"/>
              </w:rPr>
            </w:pPr>
          </w:p>
        </w:tc>
        <w:tc>
          <w:tcPr>
            <w:tcW w:w="1028" w:type="dxa"/>
          </w:tcPr>
          <w:p w14:paraId="50C548B3">
            <w:pPr>
              <w:pStyle w:val="17"/>
              <w:spacing w:before="20"/>
              <w:ind w:left="63" w:right="56"/>
              <w:rPr>
                <w:sz w:val="21"/>
              </w:rPr>
            </w:pPr>
            <w:r>
              <w:rPr>
                <w:sz w:val="21"/>
              </w:rPr>
              <w:t>化学需氧</w:t>
            </w:r>
          </w:p>
          <w:p w14:paraId="459B9500">
            <w:pPr>
              <w:pStyle w:val="17"/>
              <w:spacing w:before="43"/>
              <w:ind w:left="7"/>
              <w:rPr>
                <w:sz w:val="21"/>
              </w:rPr>
            </w:pPr>
            <w:r>
              <w:rPr>
                <w:w w:val="99"/>
                <w:sz w:val="21"/>
              </w:rPr>
              <w:t>量</w:t>
            </w:r>
          </w:p>
        </w:tc>
        <w:tc>
          <w:tcPr>
            <w:tcW w:w="1001" w:type="dxa"/>
          </w:tcPr>
          <w:p w14:paraId="04563BE8">
            <w:pPr>
              <w:pStyle w:val="17"/>
              <w:spacing w:before="190"/>
              <w:ind w:left="72" w:right="62"/>
              <w:rPr>
                <w:rFonts w:ascii="Times New Roman"/>
                <w:sz w:val="21"/>
              </w:rPr>
            </w:pPr>
            <w:r>
              <w:rPr>
                <w:rFonts w:ascii="Times New Roman"/>
                <w:sz w:val="21"/>
              </w:rPr>
              <w:t>16</w:t>
            </w:r>
          </w:p>
        </w:tc>
        <w:tc>
          <w:tcPr>
            <w:tcW w:w="1001" w:type="dxa"/>
          </w:tcPr>
          <w:p w14:paraId="331B42CA">
            <w:pPr>
              <w:pStyle w:val="17"/>
              <w:spacing w:before="190"/>
              <w:ind w:left="71" w:right="62"/>
              <w:rPr>
                <w:rFonts w:ascii="Times New Roman"/>
                <w:sz w:val="21"/>
              </w:rPr>
            </w:pPr>
            <w:r>
              <w:rPr>
                <w:rFonts w:ascii="Times New Roman"/>
                <w:sz w:val="21"/>
              </w:rPr>
              <w:t>18</w:t>
            </w:r>
          </w:p>
        </w:tc>
        <w:tc>
          <w:tcPr>
            <w:tcW w:w="1115" w:type="dxa"/>
          </w:tcPr>
          <w:p w14:paraId="5D2263FA">
            <w:pPr>
              <w:pStyle w:val="17"/>
              <w:spacing w:before="190"/>
              <w:ind w:left="236"/>
              <w:jc w:val="left"/>
              <w:rPr>
                <w:rFonts w:ascii="Times New Roman"/>
                <w:sz w:val="21"/>
              </w:rPr>
            </w:pPr>
            <w:r>
              <w:rPr>
                <w:rFonts w:ascii="Times New Roman"/>
                <w:sz w:val="21"/>
              </w:rPr>
              <w:t>0.8~0.9</w:t>
            </w:r>
          </w:p>
        </w:tc>
        <w:tc>
          <w:tcPr>
            <w:tcW w:w="744" w:type="dxa"/>
          </w:tcPr>
          <w:p w14:paraId="58EFECF6">
            <w:pPr>
              <w:pStyle w:val="17"/>
              <w:spacing w:before="190"/>
              <w:ind w:left="9"/>
              <w:rPr>
                <w:rFonts w:ascii="Times New Roman"/>
                <w:sz w:val="21"/>
              </w:rPr>
            </w:pPr>
            <w:r>
              <w:rPr>
                <w:rFonts w:ascii="Times New Roman"/>
                <w:w w:val="99"/>
                <w:sz w:val="21"/>
              </w:rPr>
              <w:t>0</w:t>
            </w:r>
          </w:p>
        </w:tc>
        <w:tc>
          <w:tcPr>
            <w:tcW w:w="788" w:type="dxa"/>
          </w:tcPr>
          <w:p w14:paraId="4273AD7F">
            <w:pPr>
              <w:pStyle w:val="17"/>
              <w:spacing w:before="190"/>
              <w:ind w:right="330"/>
              <w:jc w:val="right"/>
              <w:rPr>
                <w:rFonts w:ascii="Times New Roman"/>
                <w:sz w:val="21"/>
              </w:rPr>
            </w:pPr>
            <w:r>
              <w:rPr>
                <w:rFonts w:ascii="Times New Roman"/>
                <w:w w:val="99"/>
                <w:sz w:val="21"/>
              </w:rPr>
              <w:t>0</w:t>
            </w:r>
          </w:p>
        </w:tc>
        <w:tc>
          <w:tcPr>
            <w:tcW w:w="788" w:type="dxa"/>
          </w:tcPr>
          <w:p w14:paraId="18F3ED01">
            <w:pPr>
              <w:pStyle w:val="17"/>
              <w:spacing w:before="190"/>
              <w:ind w:left="58" w:right="47"/>
              <w:rPr>
                <w:rFonts w:ascii="Times New Roman"/>
                <w:sz w:val="21"/>
              </w:rPr>
            </w:pPr>
            <w:r>
              <w:rPr>
                <w:rFonts w:ascii="Times New Roman"/>
                <w:sz w:val="21"/>
              </w:rPr>
              <w:t>20</w:t>
            </w:r>
          </w:p>
        </w:tc>
        <w:tc>
          <w:tcPr>
            <w:tcW w:w="763" w:type="dxa"/>
            <w:tcBorders>
              <w:right w:val="nil"/>
            </w:tcBorders>
          </w:tcPr>
          <w:p w14:paraId="4EC22064">
            <w:pPr>
              <w:pStyle w:val="17"/>
              <w:spacing w:before="176"/>
              <w:ind w:left="171"/>
              <w:jc w:val="left"/>
              <w:rPr>
                <w:sz w:val="21"/>
              </w:rPr>
            </w:pPr>
            <w:r>
              <w:rPr>
                <w:sz w:val="21"/>
              </w:rPr>
              <w:t>达标</w:t>
            </w:r>
          </w:p>
        </w:tc>
      </w:tr>
      <w:tr w14:paraId="22215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043120AC">
            <w:pPr>
              <w:rPr>
                <w:sz w:val="2"/>
                <w:szCs w:val="2"/>
              </w:rPr>
            </w:pPr>
          </w:p>
        </w:tc>
        <w:tc>
          <w:tcPr>
            <w:tcW w:w="1028" w:type="dxa"/>
          </w:tcPr>
          <w:p w14:paraId="43D6D1D8">
            <w:pPr>
              <w:pStyle w:val="17"/>
              <w:spacing w:before="22"/>
              <w:ind w:left="63" w:right="56"/>
              <w:rPr>
                <w:sz w:val="21"/>
              </w:rPr>
            </w:pPr>
            <w:r>
              <w:rPr>
                <w:sz w:val="21"/>
              </w:rPr>
              <w:t>五日生化</w:t>
            </w:r>
          </w:p>
          <w:p w14:paraId="72EEBBE4">
            <w:pPr>
              <w:pStyle w:val="17"/>
              <w:spacing w:before="43"/>
              <w:ind w:left="66" w:right="56"/>
              <w:rPr>
                <w:sz w:val="21"/>
              </w:rPr>
            </w:pPr>
            <w:r>
              <w:rPr>
                <w:sz w:val="21"/>
              </w:rPr>
              <w:t>需氧量</w:t>
            </w:r>
          </w:p>
        </w:tc>
        <w:tc>
          <w:tcPr>
            <w:tcW w:w="1001" w:type="dxa"/>
          </w:tcPr>
          <w:p w14:paraId="70CEDB18">
            <w:pPr>
              <w:pStyle w:val="17"/>
              <w:spacing w:before="192"/>
              <w:ind w:left="72" w:right="62"/>
              <w:rPr>
                <w:rFonts w:ascii="Times New Roman"/>
                <w:sz w:val="21"/>
              </w:rPr>
            </w:pPr>
            <w:r>
              <w:rPr>
                <w:rFonts w:ascii="Times New Roman"/>
                <w:sz w:val="21"/>
              </w:rPr>
              <w:t>3.0</w:t>
            </w:r>
          </w:p>
        </w:tc>
        <w:tc>
          <w:tcPr>
            <w:tcW w:w="1001" w:type="dxa"/>
          </w:tcPr>
          <w:p w14:paraId="0AB1F923">
            <w:pPr>
              <w:pStyle w:val="17"/>
              <w:spacing w:before="192"/>
              <w:ind w:left="71" w:right="62"/>
              <w:rPr>
                <w:rFonts w:ascii="Times New Roman"/>
                <w:sz w:val="21"/>
              </w:rPr>
            </w:pPr>
            <w:r>
              <w:rPr>
                <w:rFonts w:ascii="Times New Roman"/>
                <w:sz w:val="21"/>
              </w:rPr>
              <w:t>3.6</w:t>
            </w:r>
          </w:p>
        </w:tc>
        <w:tc>
          <w:tcPr>
            <w:tcW w:w="1115" w:type="dxa"/>
          </w:tcPr>
          <w:p w14:paraId="11E88532">
            <w:pPr>
              <w:pStyle w:val="17"/>
              <w:spacing w:before="192"/>
              <w:ind w:left="133"/>
              <w:jc w:val="left"/>
              <w:rPr>
                <w:rFonts w:ascii="Times New Roman"/>
                <w:sz w:val="21"/>
              </w:rPr>
            </w:pPr>
            <w:r>
              <w:rPr>
                <w:rFonts w:ascii="Times New Roman"/>
                <w:sz w:val="21"/>
              </w:rPr>
              <w:t>0.75~0.90</w:t>
            </w:r>
          </w:p>
        </w:tc>
        <w:tc>
          <w:tcPr>
            <w:tcW w:w="744" w:type="dxa"/>
          </w:tcPr>
          <w:p w14:paraId="668E7B94">
            <w:pPr>
              <w:pStyle w:val="17"/>
              <w:spacing w:before="192"/>
              <w:ind w:left="9"/>
              <w:rPr>
                <w:rFonts w:ascii="Times New Roman"/>
                <w:sz w:val="21"/>
              </w:rPr>
            </w:pPr>
            <w:r>
              <w:rPr>
                <w:rFonts w:ascii="Times New Roman"/>
                <w:w w:val="99"/>
                <w:sz w:val="21"/>
              </w:rPr>
              <w:t>0</w:t>
            </w:r>
          </w:p>
        </w:tc>
        <w:tc>
          <w:tcPr>
            <w:tcW w:w="788" w:type="dxa"/>
          </w:tcPr>
          <w:p w14:paraId="5416F6DE">
            <w:pPr>
              <w:pStyle w:val="17"/>
              <w:spacing w:before="192"/>
              <w:ind w:right="330"/>
              <w:jc w:val="right"/>
              <w:rPr>
                <w:rFonts w:ascii="Times New Roman"/>
                <w:sz w:val="21"/>
              </w:rPr>
            </w:pPr>
            <w:r>
              <w:rPr>
                <w:rFonts w:ascii="Times New Roman"/>
                <w:w w:val="99"/>
                <w:sz w:val="21"/>
              </w:rPr>
              <w:t>0</w:t>
            </w:r>
          </w:p>
        </w:tc>
        <w:tc>
          <w:tcPr>
            <w:tcW w:w="788" w:type="dxa"/>
          </w:tcPr>
          <w:p w14:paraId="7EE7A76D">
            <w:pPr>
              <w:pStyle w:val="17"/>
              <w:spacing w:before="192"/>
              <w:ind w:left="6"/>
              <w:rPr>
                <w:rFonts w:ascii="Times New Roman"/>
                <w:sz w:val="21"/>
              </w:rPr>
            </w:pPr>
            <w:r>
              <w:rPr>
                <w:rFonts w:ascii="Times New Roman"/>
                <w:w w:val="99"/>
                <w:sz w:val="21"/>
              </w:rPr>
              <w:t>4</w:t>
            </w:r>
          </w:p>
        </w:tc>
        <w:tc>
          <w:tcPr>
            <w:tcW w:w="763" w:type="dxa"/>
            <w:tcBorders>
              <w:right w:val="nil"/>
            </w:tcBorders>
          </w:tcPr>
          <w:p w14:paraId="0DF82991">
            <w:pPr>
              <w:pStyle w:val="17"/>
              <w:spacing w:before="178"/>
              <w:ind w:left="171"/>
              <w:jc w:val="left"/>
              <w:rPr>
                <w:sz w:val="21"/>
              </w:rPr>
            </w:pPr>
            <w:r>
              <w:rPr>
                <w:sz w:val="21"/>
              </w:rPr>
              <w:t>达标</w:t>
            </w:r>
          </w:p>
        </w:tc>
      </w:tr>
      <w:tr w14:paraId="02F53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5D9469B9">
            <w:pPr>
              <w:rPr>
                <w:sz w:val="2"/>
                <w:szCs w:val="2"/>
              </w:rPr>
            </w:pPr>
          </w:p>
        </w:tc>
        <w:tc>
          <w:tcPr>
            <w:tcW w:w="1028" w:type="dxa"/>
          </w:tcPr>
          <w:p w14:paraId="314181CD">
            <w:pPr>
              <w:pStyle w:val="17"/>
              <w:spacing w:before="21"/>
              <w:ind w:left="61" w:right="56"/>
              <w:rPr>
                <w:sz w:val="21"/>
              </w:rPr>
            </w:pPr>
            <w:r>
              <w:rPr>
                <w:sz w:val="21"/>
              </w:rPr>
              <w:t>氨氮</w:t>
            </w:r>
          </w:p>
        </w:tc>
        <w:tc>
          <w:tcPr>
            <w:tcW w:w="1001" w:type="dxa"/>
          </w:tcPr>
          <w:p w14:paraId="4768C524">
            <w:pPr>
              <w:pStyle w:val="17"/>
              <w:spacing w:before="35"/>
              <w:ind w:left="72" w:right="62"/>
              <w:rPr>
                <w:rFonts w:ascii="Times New Roman"/>
                <w:sz w:val="21"/>
              </w:rPr>
            </w:pPr>
            <w:r>
              <w:rPr>
                <w:rFonts w:ascii="Times New Roman"/>
                <w:sz w:val="21"/>
              </w:rPr>
              <w:t>0.501</w:t>
            </w:r>
          </w:p>
        </w:tc>
        <w:tc>
          <w:tcPr>
            <w:tcW w:w="1001" w:type="dxa"/>
          </w:tcPr>
          <w:p w14:paraId="64FC742F">
            <w:pPr>
              <w:pStyle w:val="17"/>
              <w:spacing w:before="35"/>
              <w:ind w:left="71" w:right="62"/>
              <w:rPr>
                <w:rFonts w:ascii="Times New Roman"/>
                <w:sz w:val="21"/>
              </w:rPr>
            </w:pPr>
            <w:r>
              <w:rPr>
                <w:rFonts w:ascii="Times New Roman"/>
                <w:sz w:val="21"/>
              </w:rPr>
              <w:t>0.186</w:t>
            </w:r>
          </w:p>
        </w:tc>
        <w:tc>
          <w:tcPr>
            <w:tcW w:w="1115" w:type="dxa"/>
          </w:tcPr>
          <w:p w14:paraId="136234E8">
            <w:pPr>
              <w:pStyle w:val="17"/>
              <w:spacing w:before="35"/>
              <w:ind w:right="15"/>
              <w:jc w:val="right"/>
              <w:rPr>
                <w:rFonts w:ascii="Times New Roman"/>
                <w:sz w:val="21"/>
              </w:rPr>
            </w:pPr>
            <w:r>
              <w:rPr>
                <w:rFonts w:ascii="Times New Roman"/>
                <w:w w:val="95"/>
                <w:sz w:val="21"/>
              </w:rPr>
              <w:t>0.186~0.501</w:t>
            </w:r>
          </w:p>
        </w:tc>
        <w:tc>
          <w:tcPr>
            <w:tcW w:w="744" w:type="dxa"/>
          </w:tcPr>
          <w:p w14:paraId="4D035E7C">
            <w:pPr>
              <w:pStyle w:val="17"/>
              <w:spacing w:before="35"/>
              <w:ind w:left="9"/>
              <w:rPr>
                <w:rFonts w:ascii="Times New Roman"/>
                <w:sz w:val="21"/>
              </w:rPr>
            </w:pPr>
            <w:r>
              <w:rPr>
                <w:rFonts w:ascii="Times New Roman"/>
                <w:w w:val="99"/>
                <w:sz w:val="21"/>
              </w:rPr>
              <w:t>0</w:t>
            </w:r>
          </w:p>
        </w:tc>
        <w:tc>
          <w:tcPr>
            <w:tcW w:w="788" w:type="dxa"/>
          </w:tcPr>
          <w:p w14:paraId="1045930A">
            <w:pPr>
              <w:pStyle w:val="17"/>
              <w:spacing w:before="35"/>
              <w:ind w:right="330"/>
              <w:jc w:val="right"/>
              <w:rPr>
                <w:rFonts w:ascii="Times New Roman"/>
                <w:sz w:val="21"/>
              </w:rPr>
            </w:pPr>
            <w:r>
              <w:rPr>
                <w:rFonts w:ascii="Times New Roman"/>
                <w:w w:val="99"/>
                <w:sz w:val="21"/>
              </w:rPr>
              <w:t>0</w:t>
            </w:r>
          </w:p>
        </w:tc>
        <w:tc>
          <w:tcPr>
            <w:tcW w:w="788" w:type="dxa"/>
          </w:tcPr>
          <w:p w14:paraId="21BD3AE2">
            <w:pPr>
              <w:pStyle w:val="17"/>
              <w:spacing w:before="35"/>
              <w:ind w:left="6"/>
              <w:rPr>
                <w:rFonts w:ascii="Times New Roman"/>
                <w:sz w:val="21"/>
              </w:rPr>
            </w:pPr>
            <w:r>
              <w:rPr>
                <w:rFonts w:ascii="Times New Roman"/>
                <w:w w:val="99"/>
                <w:sz w:val="21"/>
              </w:rPr>
              <w:t>1</w:t>
            </w:r>
          </w:p>
        </w:tc>
        <w:tc>
          <w:tcPr>
            <w:tcW w:w="763" w:type="dxa"/>
            <w:tcBorders>
              <w:right w:val="nil"/>
            </w:tcBorders>
          </w:tcPr>
          <w:p w14:paraId="5259C1CF">
            <w:pPr>
              <w:pStyle w:val="17"/>
              <w:spacing w:before="21"/>
              <w:ind w:left="171"/>
              <w:jc w:val="left"/>
              <w:rPr>
                <w:sz w:val="21"/>
              </w:rPr>
            </w:pPr>
            <w:r>
              <w:rPr>
                <w:sz w:val="21"/>
              </w:rPr>
              <w:t>达标</w:t>
            </w:r>
          </w:p>
        </w:tc>
      </w:tr>
      <w:tr w14:paraId="1A511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9AAD5B6">
            <w:pPr>
              <w:rPr>
                <w:sz w:val="2"/>
                <w:szCs w:val="2"/>
              </w:rPr>
            </w:pPr>
          </w:p>
        </w:tc>
        <w:tc>
          <w:tcPr>
            <w:tcW w:w="1028" w:type="dxa"/>
          </w:tcPr>
          <w:p w14:paraId="7A135423">
            <w:pPr>
              <w:pStyle w:val="17"/>
              <w:spacing w:before="21"/>
              <w:ind w:left="61" w:right="56"/>
              <w:rPr>
                <w:sz w:val="21"/>
              </w:rPr>
            </w:pPr>
            <w:r>
              <w:rPr>
                <w:sz w:val="21"/>
              </w:rPr>
              <w:t>总磷</w:t>
            </w:r>
          </w:p>
        </w:tc>
        <w:tc>
          <w:tcPr>
            <w:tcW w:w="1001" w:type="dxa"/>
          </w:tcPr>
          <w:p w14:paraId="523AA35A">
            <w:pPr>
              <w:pStyle w:val="17"/>
              <w:spacing w:before="35"/>
              <w:ind w:left="72" w:right="62"/>
              <w:rPr>
                <w:rFonts w:ascii="Times New Roman"/>
                <w:sz w:val="21"/>
              </w:rPr>
            </w:pPr>
            <w:r>
              <w:rPr>
                <w:rFonts w:ascii="Times New Roman"/>
                <w:sz w:val="21"/>
              </w:rPr>
              <w:t>0.06</w:t>
            </w:r>
          </w:p>
        </w:tc>
        <w:tc>
          <w:tcPr>
            <w:tcW w:w="1001" w:type="dxa"/>
          </w:tcPr>
          <w:p w14:paraId="52E44829">
            <w:pPr>
              <w:pStyle w:val="17"/>
              <w:spacing w:before="35"/>
              <w:ind w:left="71" w:right="62"/>
              <w:rPr>
                <w:rFonts w:ascii="Times New Roman"/>
                <w:sz w:val="21"/>
              </w:rPr>
            </w:pPr>
            <w:r>
              <w:rPr>
                <w:rFonts w:ascii="Times New Roman"/>
                <w:sz w:val="21"/>
              </w:rPr>
              <w:t>0.07</w:t>
            </w:r>
          </w:p>
        </w:tc>
        <w:tc>
          <w:tcPr>
            <w:tcW w:w="1115" w:type="dxa"/>
          </w:tcPr>
          <w:p w14:paraId="4E912B45">
            <w:pPr>
              <w:pStyle w:val="17"/>
              <w:spacing w:before="35"/>
              <w:ind w:left="183"/>
              <w:jc w:val="left"/>
              <w:rPr>
                <w:rFonts w:ascii="Times New Roman"/>
                <w:sz w:val="21"/>
              </w:rPr>
            </w:pPr>
            <w:r>
              <w:rPr>
                <w:rFonts w:ascii="Times New Roman"/>
                <w:sz w:val="21"/>
              </w:rPr>
              <w:t>0.3~0.35</w:t>
            </w:r>
          </w:p>
        </w:tc>
        <w:tc>
          <w:tcPr>
            <w:tcW w:w="744" w:type="dxa"/>
          </w:tcPr>
          <w:p w14:paraId="46824EA0">
            <w:pPr>
              <w:pStyle w:val="17"/>
              <w:spacing w:before="35"/>
              <w:ind w:left="9"/>
              <w:rPr>
                <w:rFonts w:ascii="Times New Roman"/>
                <w:sz w:val="21"/>
              </w:rPr>
            </w:pPr>
            <w:r>
              <w:rPr>
                <w:rFonts w:ascii="Times New Roman"/>
                <w:w w:val="99"/>
                <w:sz w:val="21"/>
              </w:rPr>
              <w:t>0</w:t>
            </w:r>
          </w:p>
        </w:tc>
        <w:tc>
          <w:tcPr>
            <w:tcW w:w="788" w:type="dxa"/>
          </w:tcPr>
          <w:p w14:paraId="1C5DF505">
            <w:pPr>
              <w:pStyle w:val="17"/>
              <w:spacing w:before="35"/>
              <w:ind w:right="330"/>
              <w:jc w:val="right"/>
              <w:rPr>
                <w:rFonts w:ascii="Times New Roman"/>
                <w:sz w:val="21"/>
              </w:rPr>
            </w:pPr>
            <w:r>
              <w:rPr>
                <w:rFonts w:ascii="Times New Roman"/>
                <w:w w:val="99"/>
                <w:sz w:val="21"/>
              </w:rPr>
              <w:t>0</w:t>
            </w:r>
          </w:p>
        </w:tc>
        <w:tc>
          <w:tcPr>
            <w:tcW w:w="788" w:type="dxa"/>
          </w:tcPr>
          <w:p w14:paraId="07EDE411">
            <w:pPr>
              <w:pStyle w:val="17"/>
              <w:spacing w:before="35"/>
              <w:ind w:left="56" w:right="50"/>
              <w:rPr>
                <w:rFonts w:ascii="Times New Roman"/>
                <w:sz w:val="21"/>
              </w:rPr>
            </w:pPr>
            <w:r>
              <w:rPr>
                <w:rFonts w:ascii="Times New Roman"/>
                <w:sz w:val="21"/>
              </w:rPr>
              <w:t>0.2</w:t>
            </w:r>
          </w:p>
        </w:tc>
        <w:tc>
          <w:tcPr>
            <w:tcW w:w="763" w:type="dxa"/>
            <w:tcBorders>
              <w:right w:val="nil"/>
            </w:tcBorders>
          </w:tcPr>
          <w:p w14:paraId="30674ADE">
            <w:pPr>
              <w:pStyle w:val="17"/>
              <w:spacing w:before="21"/>
              <w:ind w:left="171"/>
              <w:jc w:val="left"/>
              <w:rPr>
                <w:sz w:val="21"/>
              </w:rPr>
            </w:pPr>
            <w:r>
              <w:rPr>
                <w:sz w:val="21"/>
              </w:rPr>
              <w:t>达标</w:t>
            </w:r>
          </w:p>
        </w:tc>
      </w:tr>
      <w:tr w14:paraId="1C55E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394B4A14">
            <w:pPr>
              <w:rPr>
                <w:sz w:val="2"/>
                <w:szCs w:val="2"/>
              </w:rPr>
            </w:pPr>
          </w:p>
        </w:tc>
        <w:tc>
          <w:tcPr>
            <w:tcW w:w="1028" w:type="dxa"/>
          </w:tcPr>
          <w:p w14:paraId="3C41353B">
            <w:pPr>
              <w:pStyle w:val="17"/>
              <w:spacing w:before="20"/>
              <w:ind w:left="93"/>
              <w:jc w:val="left"/>
              <w:rPr>
                <w:sz w:val="21"/>
              </w:rPr>
            </w:pPr>
            <w:r>
              <w:rPr>
                <w:w w:val="95"/>
                <w:sz w:val="21"/>
              </w:rPr>
              <w:t>阴离子表</w:t>
            </w:r>
          </w:p>
          <w:p w14:paraId="3EA7A163">
            <w:pPr>
              <w:pStyle w:val="17"/>
              <w:spacing w:before="43"/>
              <w:ind w:left="93"/>
              <w:jc w:val="left"/>
              <w:rPr>
                <w:sz w:val="21"/>
              </w:rPr>
            </w:pPr>
            <w:r>
              <w:rPr>
                <w:w w:val="95"/>
                <w:sz w:val="21"/>
              </w:rPr>
              <w:t>面活性剂</w:t>
            </w:r>
          </w:p>
        </w:tc>
        <w:tc>
          <w:tcPr>
            <w:tcW w:w="1001" w:type="dxa"/>
          </w:tcPr>
          <w:p w14:paraId="0B5B7D0B">
            <w:pPr>
              <w:pStyle w:val="17"/>
              <w:spacing w:before="190"/>
              <w:ind w:left="72" w:right="62"/>
              <w:rPr>
                <w:rFonts w:ascii="Times New Roman"/>
                <w:sz w:val="21"/>
              </w:rPr>
            </w:pPr>
            <w:r>
              <w:rPr>
                <w:rFonts w:ascii="Times New Roman"/>
                <w:sz w:val="21"/>
              </w:rPr>
              <w:t>0.064</w:t>
            </w:r>
          </w:p>
        </w:tc>
        <w:tc>
          <w:tcPr>
            <w:tcW w:w="1001" w:type="dxa"/>
          </w:tcPr>
          <w:p w14:paraId="66B427B2">
            <w:pPr>
              <w:pStyle w:val="17"/>
              <w:spacing w:before="190"/>
              <w:ind w:left="71" w:right="62"/>
              <w:rPr>
                <w:rFonts w:ascii="Times New Roman"/>
                <w:sz w:val="21"/>
              </w:rPr>
            </w:pPr>
            <w:r>
              <w:rPr>
                <w:rFonts w:ascii="Times New Roman"/>
                <w:sz w:val="21"/>
              </w:rPr>
              <w:t>0.069</w:t>
            </w:r>
          </w:p>
        </w:tc>
        <w:tc>
          <w:tcPr>
            <w:tcW w:w="1115" w:type="dxa"/>
          </w:tcPr>
          <w:p w14:paraId="217C3B7E">
            <w:pPr>
              <w:pStyle w:val="17"/>
              <w:spacing w:before="190"/>
              <w:ind w:right="68"/>
              <w:jc w:val="right"/>
              <w:rPr>
                <w:rFonts w:ascii="Times New Roman"/>
                <w:sz w:val="21"/>
              </w:rPr>
            </w:pPr>
            <w:r>
              <w:rPr>
                <w:rFonts w:ascii="Times New Roman"/>
                <w:w w:val="95"/>
                <w:sz w:val="21"/>
              </w:rPr>
              <w:t>0.32~0.345</w:t>
            </w:r>
          </w:p>
        </w:tc>
        <w:tc>
          <w:tcPr>
            <w:tcW w:w="744" w:type="dxa"/>
          </w:tcPr>
          <w:p w14:paraId="13F6B07A">
            <w:pPr>
              <w:pStyle w:val="17"/>
              <w:spacing w:before="190"/>
              <w:ind w:left="9"/>
              <w:rPr>
                <w:rFonts w:ascii="Times New Roman"/>
                <w:sz w:val="21"/>
              </w:rPr>
            </w:pPr>
            <w:r>
              <w:rPr>
                <w:rFonts w:ascii="Times New Roman"/>
                <w:w w:val="99"/>
                <w:sz w:val="21"/>
              </w:rPr>
              <w:t>0</w:t>
            </w:r>
          </w:p>
        </w:tc>
        <w:tc>
          <w:tcPr>
            <w:tcW w:w="788" w:type="dxa"/>
          </w:tcPr>
          <w:p w14:paraId="7501D34E">
            <w:pPr>
              <w:pStyle w:val="17"/>
              <w:spacing w:before="190"/>
              <w:ind w:right="330"/>
              <w:jc w:val="right"/>
              <w:rPr>
                <w:rFonts w:ascii="Times New Roman"/>
                <w:sz w:val="21"/>
              </w:rPr>
            </w:pPr>
            <w:r>
              <w:rPr>
                <w:rFonts w:ascii="Times New Roman"/>
                <w:w w:val="99"/>
                <w:sz w:val="21"/>
              </w:rPr>
              <w:t>0</w:t>
            </w:r>
          </w:p>
        </w:tc>
        <w:tc>
          <w:tcPr>
            <w:tcW w:w="788" w:type="dxa"/>
          </w:tcPr>
          <w:p w14:paraId="27B2A97B">
            <w:pPr>
              <w:pStyle w:val="17"/>
              <w:spacing w:before="190"/>
              <w:ind w:left="56" w:right="50"/>
              <w:rPr>
                <w:rFonts w:ascii="Times New Roman"/>
                <w:sz w:val="21"/>
              </w:rPr>
            </w:pPr>
            <w:r>
              <w:rPr>
                <w:rFonts w:ascii="Times New Roman"/>
                <w:sz w:val="21"/>
              </w:rPr>
              <w:t>0.2</w:t>
            </w:r>
          </w:p>
        </w:tc>
        <w:tc>
          <w:tcPr>
            <w:tcW w:w="763" w:type="dxa"/>
            <w:tcBorders>
              <w:right w:val="nil"/>
            </w:tcBorders>
          </w:tcPr>
          <w:p w14:paraId="178FE676">
            <w:pPr>
              <w:pStyle w:val="17"/>
              <w:spacing w:before="177"/>
              <w:ind w:left="171"/>
              <w:jc w:val="left"/>
              <w:rPr>
                <w:sz w:val="21"/>
              </w:rPr>
            </w:pPr>
            <w:r>
              <w:rPr>
                <w:sz w:val="21"/>
              </w:rPr>
              <w:t>达标</w:t>
            </w:r>
          </w:p>
        </w:tc>
      </w:tr>
      <w:tr w14:paraId="02CE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23C40909">
            <w:pPr>
              <w:rPr>
                <w:sz w:val="2"/>
                <w:szCs w:val="2"/>
              </w:rPr>
            </w:pPr>
          </w:p>
        </w:tc>
        <w:tc>
          <w:tcPr>
            <w:tcW w:w="1028" w:type="dxa"/>
          </w:tcPr>
          <w:p w14:paraId="1194B5A8">
            <w:pPr>
              <w:pStyle w:val="17"/>
              <w:spacing w:before="20"/>
              <w:ind w:left="66" w:right="56"/>
              <w:rPr>
                <w:sz w:val="21"/>
              </w:rPr>
            </w:pPr>
            <w:r>
              <w:rPr>
                <w:sz w:val="21"/>
              </w:rPr>
              <w:t>石油类</w:t>
            </w:r>
          </w:p>
        </w:tc>
        <w:tc>
          <w:tcPr>
            <w:tcW w:w="1001" w:type="dxa"/>
          </w:tcPr>
          <w:p w14:paraId="2075E2A2">
            <w:pPr>
              <w:pStyle w:val="17"/>
              <w:spacing w:before="34"/>
              <w:ind w:left="68" w:right="62"/>
              <w:rPr>
                <w:rFonts w:ascii="Times New Roman"/>
                <w:sz w:val="21"/>
              </w:rPr>
            </w:pPr>
            <w:r>
              <w:rPr>
                <w:rFonts w:ascii="Times New Roman"/>
                <w:sz w:val="21"/>
              </w:rPr>
              <w:t>ND</w:t>
            </w:r>
          </w:p>
        </w:tc>
        <w:tc>
          <w:tcPr>
            <w:tcW w:w="1001" w:type="dxa"/>
          </w:tcPr>
          <w:p w14:paraId="25EF2168">
            <w:pPr>
              <w:pStyle w:val="17"/>
              <w:spacing w:before="34"/>
              <w:ind w:left="72" w:right="62"/>
              <w:rPr>
                <w:rFonts w:ascii="Times New Roman"/>
                <w:sz w:val="21"/>
              </w:rPr>
            </w:pPr>
            <w:r>
              <w:rPr>
                <w:rFonts w:ascii="Times New Roman"/>
                <w:sz w:val="21"/>
              </w:rPr>
              <w:t>ND</w:t>
            </w:r>
          </w:p>
        </w:tc>
        <w:tc>
          <w:tcPr>
            <w:tcW w:w="1115" w:type="dxa"/>
          </w:tcPr>
          <w:p w14:paraId="2622FB49">
            <w:pPr>
              <w:pStyle w:val="17"/>
              <w:spacing w:before="34"/>
              <w:ind w:left="10"/>
              <w:rPr>
                <w:rFonts w:ascii="Times New Roman"/>
                <w:sz w:val="21"/>
              </w:rPr>
            </w:pPr>
            <w:r>
              <w:rPr>
                <w:rFonts w:ascii="Times New Roman"/>
                <w:w w:val="99"/>
                <w:sz w:val="21"/>
              </w:rPr>
              <w:t>0</w:t>
            </w:r>
          </w:p>
        </w:tc>
        <w:tc>
          <w:tcPr>
            <w:tcW w:w="744" w:type="dxa"/>
          </w:tcPr>
          <w:p w14:paraId="471784DA">
            <w:pPr>
              <w:pStyle w:val="17"/>
              <w:spacing w:before="34"/>
              <w:ind w:left="9"/>
              <w:rPr>
                <w:rFonts w:ascii="Times New Roman"/>
                <w:sz w:val="21"/>
              </w:rPr>
            </w:pPr>
            <w:r>
              <w:rPr>
                <w:rFonts w:ascii="Times New Roman"/>
                <w:w w:val="99"/>
                <w:sz w:val="21"/>
              </w:rPr>
              <w:t>0</w:t>
            </w:r>
          </w:p>
        </w:tc>
        <w:tc>
          <w:tcPr>
            <w:tcW w:w="788" w:type="dxa"/>
          </w:tcPr>
          <w:p w14:paraId="15D09FD1">
            <w:pPr>
              <w:pStyle w:val="17"/>
              <w:spacing w:before="34"/>
              <w:ind w:right="330"/>
              <w:jc w:val="right"/>
              <w:rPr>
                <w:rFonts w:ascii="Times New Roman"/>
                <w:sz w:val="21"/>
              </w:rPr>
            </w:pPr>
            <w:r>
              <w:rPr>
                <w:rFonts w:ascii="Times New Roman"/>
                <w:w w:val="99"/>
                <w:sz w:val="21"/>
              </w:rPr>
              <w:t>0</w:t>
            </w:r>
          </w:p>
        </w:tc>
        <w:tc>
          <w:tcPr>
            <w:tcW w:w="788" w:type="dxa"/>
          </w:tcPr>
          <w:p w14:paraId="75D648A9">
            <w:pPr>
              <w:pStyle w:val="17"/>
              <w:spacing w:before="34"/>
              <w:ind w:left="58" w:right="47"/>
              <w:rPr>
                <w:rFonts w:ascii="Times New Roman"/>
                <w:sz w:val="21"/>
              </w:rPr>
            </w:pPr>
            <w:r>
              <w:rPr>
                <w:rFonts w:ascii="Times New Roman"/>
                <w:sz w:val="21"/>
              </w:rPr>
              <w:t>0.05</w:t>
            </w:r>
          </w:p>
        </w:tc>
        <w:tc>
          <w:tcPr>
            <w:tcW w:w="763" w:type="dxa"/>
            <w:tcBorders>
              <w:right w:val="nil"/>
            </w:tcBorders>
          </w:tcPr>
          <w:p w14:paraId="6B67C2FF">
            <w:pPr>
              <w:pStyle w:val="17"/>
              <w:spacing w:before="20"/>
              <w:ind w:left="171"/>
              <w:jc w:val="left"/>
              <w:rPr>
                <w:sz w:val="21"/>
              </w:rPr>
            </w:pPr>
            <w:r>
              <w:rPr>
                <w:sz w:val="21"/>
              </w:rPr>
              <w:t>达标</w:t>
            </w:r>
          </w:p>
        </w:tc>
      </w:tr>
      <w:tr w14:paraId="329F6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9" w:type="dxa"/>
            <w:vMerge w:val="continue"/>
            <w:tcBorders>
              <w:top w:val="nil"/>
              <w:left w:val="nil"/>
            </w:tcBorders>
          </w:tcPr>
          <w:p w14:paraId="317C9A9A">
            <w:pPr>
              <w:rPr>
                <w:sz w:val="2"/>
                <w:szCs w:val="2"/>
              </w:rPr>
            </w:pPr>
          </w:p>
        </w:tc>
        <w:tc>
          <w:tcPr>
            <w:tcW w:w="1028" w:type="dxa"/>
          </w:tcPr>
          <w:p w14:paraId="38015E0D">
            <w:pPr>
              <w:pStyle w:val="17"/>
              <w:spacing w:before="20"/>
              <w:ind w:left="63" w:right="56"/>
              <w:rPr>
                <w:sz w:val="21"/>
              </w:rPr>
            </w:pPr>
            <w:r>
              <w:rPr>
                <w:sz w:val="21"/>
              </w:rPr>
              <w:t>粪大肠菌</w:t>
            </w:r>
          </w:p>
          <w:p w14:paraId="187D99E5">
            <w:pPr>
              <w:pStyle w:val="17"/>
              <w:spacing w:before="43"/>
              <w:ind w:left="7"/>
              <w:rPr>
                <w:sz w:val="21"/>
              </w:rPr>
            </w:pPr>
            <w:r>
              <w:rPr>
                <w:w w:val="99"/>
                <w:sz w:val="21"/>
              </w:rPr>
              <w:t>群</w:t>
            </w:r>
          </w:p>
        </w:tc>
        <w:tc>
          <w:tcPr>
            <w:tcW w:w="1001" w:type="dxa"/>
          </w:tcPr>
          <w:p w14:paraId="7559F6C9">
            <w:pPr>
              <w:pStyle w:val="17"/>
              <w:spacing w:before="190"/>
              <w:ind w:left="72" w:right="62"/>
              <w:rPr>
                <w:rFonts w:ascii="Times New Roman"/>
                <w:sz w:val="21"/>
              </w:rPr>
            </w:pPr>
            <w:r>
              <w:rPr>
                <w:rFonts w:ascii="Times New Roman"/>
                <w:sz w:val="21"/>
              </w:rPr>
              <w:t>540</w:t>
            </w:r>
          </w:p>
        </w:tc>
        <w:tc>
          <w:tcPr>
            <w:tcW w:w="1001" w:type="dxa"/>
          </w:tcPr>
          <w:p w14:paraId="04C26AC0">
            <w:pPr>
              <w:pStyle w:val="17"/>
              <w:spacing w:before="190"/>
              <w:ind w:left="71" w:right="62"/>
              <w:rPr>
                <w:rFonts w:ascii="Times New Roman"/>
                <w:sz w:val="21"/>
              </w:rPr>
            </w:pPr>
            <w:r>
              <w:rPr>
                <w:rFonts w:ascii="Times New Roman"/>
                <w:sz w:val="21"/>
              </w:rPr>
              <w:t>840</w:t>
            </w:r>
          </w:p>
        </w:tc>
        <w:tc>
          <w:tcPr>
            <w:tcW w:w="1115" w:type="dxa"/>
          </w:tcPr>
          <w:p w14:paraId="68EEBBCC">
            <w:pPr>
              <w:pStyle w:val="17"/>
              <w:spacing w:before="190"/>
              <w:ind w:right="15"/>
              <w:jc w:val="right"/>
              <w:rPr>
                <w:rFonts w:ascii="Times New Roman"/>
                <w:sz w:val="21"/>
              </w:rPr>
            </w:pPr>
            <w:r>
              <w:rPr>
                <w:rFonts w:ascii="Times New Roman"/>
                <w:w w:val="95"/>
                <w:sz w:val="21"/>
              </w:rPr>
              <w:t>0.054~0.084</w:t>
            </w:r>
          </w:p>
        </w:tc>
        <w:tc>
          <w:tcPr>
            <w:tcW w:w="744" w:type="dxa"/>
          </w:tcPr>
          <w:p w14:paraId="2514D8D9">
            <w:pPr>
              <w:pStyle w:val="17"/>
              <w:spacing w:before="190"/>
              <w:ind w:left="9"/>
              <w:rPr>
                <w:rFonts w:ascii="Times New Roman"/>
                <w:sz w:val="21"/>
              </w:rPr>
            </w:pPr>
            <w:r>
              <w:rPr>
                <w:rFonts w:ascii="Times New Roman"/>
                <w:w w:val="99"/>
                <w:sz w:val="21"/>
              </w:rPr>
              <w:t>0</w:t>
            </w:r>
          </w:p>
        </w:tc>
        <w:tc>
          <w:tcPr>
            <w:tcW w:w="788" w:type="dxa"/>
          </w:tcPr>
          <w:p w14:paraId="51FA78E9">
            <w:pPr>
              <w:pStyle w:val="17"/>
              <w:spacing w:before="190"/>
              <w:ind w:right="330"/>
              <w:jc w:val="right"/>
              <w:rPr>
                <w:rFonts w:ascii="Times New Roman"/>
                <w:sz w:val="21"/>
              </w:rPr>
            </w:pPr>
            <w:r>
              <w:rPr>
                <w:rFonts w:ascii="Times New Roman"/>
                <w:w w:val="99"/>
                <w:sz w:val="21"/>
              </w:rPr>
              <w:t>0</w:t>
            </w:r>
          </w:p>
        </w:tc>
        <w:tc>
          <w:tcPr>
            <w:tcW w:w="788" w:type="dxa"/>
          </w:tcPr>
          <w:p w14:paraId="7AFD5B3C">
            <w:pPr>
              <w:pStyle w:val="17"/>
              <w:spacing w:before="190"/>
              <w:ind w:left="58" w:right="49"/>
              <w:rPr>
                <w:rFonts w:ascii="Times New Roman"/>
                <w:sz w:val="21"/>
              </w:rPr>
            </w:pPr>
            <w:r>
              <w:rPr>
                <w:rFonts w:ascii="Times New Roman"/>
                <w:sz w:val="21"/>
              </w:rPr>
              <w:t>10000</w:t>
            </w:r>
          </w:p>
        </w:tc>
        <w:tc>
          <w:tcPr>
            <w:tcW w:w="763" w:type="dxa"/>
            <w:tcBorders>
              <w:right w:val="nil"/>
            </w:tcBorders>
          </w:tcPr>
          <w:p w14:paraId="22AA7527">
            <w:pPr>
              <w:pStyle w:val="17"/>
              <w:spacing w:before="176"/>
              <w:ind w:left="171"/>
              <w:jc w:val="left"/>
              <w:rPr>
                <w:sz w:val="21"/>
              </w:rPr>
            </w:pPr>
            <w:r>
              <w:rPr>
                <w:sz w:val="21"/>
              </w:rPr>
              <w:t>达标</w:t>
            </w:r>
          </w:p>
        </w:tc>
      </w:tr>
      <w:tr w14:paraId="3723F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0910AE58">
            <w:pPr>
              <w:rPr>
                <w:sz w:val="2"/>
                <w:szCs w:val="2"/>
              </w:rPr>
            </w:pPr>
          </w:p>
        </w:tc>
        <w:tc>
          <w:tcPr>
            <w:tcW w:w="1028" w:type="dxa"/>
          </w:tcPr>
          <w:p w14:paraId="71907E4B">
            <w:pPr>
              <w:pStyle w:val="17"/>
              <w:spacing w:before="22"/>
              <w:ind w:left="66" w:right="56"/>
              <w:rPr>
                <w:sz w:val="21"/>
              </w:rPr>
            </w:pPr>
            <w:r>
              <w:rPr>
                <w:sz w:val="21"/>
              </w:rPr>
              <w:t>氟化物</w:t>
            </w:r>
          </w:p>
        </w:tc>
        <w:tc>
          <w:tcPr>
            <w:tcW w:w="1001" w:type="dxa"/>
          </w:tcPr>
          <w:p w14:paraId="7C415838">
            <w:pPr>
              <w:pStyle w:val="17"/>
              <w:spacing w:before="36"/>
              <w:ind w:left="72" w:right="62"/>
              <w:rPr>
                <w:rFonts w:ascii="Times New Roman"/>
                <w:sz w:val="21"/>
              </w:rPr>
            </w:pPr>
            <w:r>
              <w:rPr>
                <w:rFonts w:ascii="Times New Roman"/>
                <w:sz w:val="21"/>
              </w:rPr>
              <w:t>0.508</w:t>
            </w:r>
          </w:p>
        </w:tc>
        <w:tc>
          <w:tcPr>
            <w:tcW w:w="1001" w:type="dxa"/>
          </w:tcPr>
          <w:p w14:paraId="19E05DB8">
            <w:pPr>
              <w:pStyle w:val="17"/>
              <w:spacing w:before="36"/>
              <w:ind w:left="71" w:right="62"/>
              <w:rPr>
                <w:rFonts w:ascii="Times New Roman"/>
                <w:sz w:val="21"/>
              </w:rPr>
            </w:pPr>
            <w:r>
              <w:rPr>
                <w:rFonts w:ascii="Times New Roman"/>
                <w:sz w:val="21"/>
              </w:rPr>
              <w:t>0.492</w:t>
            </w:r>
          </w:p>
        </w:tc>
        <w:tc>
          <w:tcPr>
            <w:tcW w:w="1115" w:type="dxa"/>
          </w:tcPr>
          <w:p w14:paraId="0EEA69B9">
            <w:pPr>
              <w:pStyle w:val="17"/>
              <w:spacing w:before="36"/>
              <w:ind w:right="15"/>
              <w:jc w:val="right"/>
              <w:rPr>
                <w:rFonts w:ascii="Times New Roman"/>
                <w:sz w:val="21"/>
              </w:rPr>
            </w:pPr>
            <w:r>
              <w:rPr>
                <w:rFonts w:ascii="Times New Roman"/>
                <w:w w:val="95"/>
                <w:sz w:val="21"/>
              </w:rPr>
              <w:t>0.492~0.508</w:t>
            </w:r>
          </w:p>
        </w:tc>
        <w:tc>
          <w:tcPr>
            <w:tcW w:w="744" w:type="dxa"/>
          </w:tcPr>
          <w:p w14:paraId="61B4F3FB">
            <w:pPr>
              <w:pStyle w:val="17"/>
              <w:spacing w:before="36"/>
              <w:ind w:left="9"/>
              <w:rPr>
                <w:rFonts w:ascii="Times New Roman"/>
                <w:sz w:val="21"/>
              </w:rPr>
            </w:pPr>
            <w:r>
              <w:rPr>
                <w:rFonts w:ascii="Times New Roman"/>
                <w:w w:val="99"/>
                <w:sz w:val="21"/>
              </w:rPr>
              <w:t>0</w:t>
            </w:r>
          </w:p>
        </w:tc>
        <w:tc>
          <w:tcPr>
            <w:tcW w:w="788" w:type="dxa"/>
          </w:tcPr>
          <w:p w14:paraId="04F65018">
            <w:pPr>
              <w:pStyle w:val="17"/>
              <w:spacing w:before="36"/>
              <w:ind w:right="330"/>
              <w:jc w:val="right"/>
              <w:rPr>
                <w:rFonts w:ascii="Times New Roman"/>
                <w:sz w:val="21"/>
              </w:rPr>
            </w:pPr>
            <w:r>
              <w:rPr>
                <w:rFonts w:ascii="Times New Roman"/>
                <w:w w:val="99"/>
                <w:sz w:val="21"/>
              </w:rPr>
              <w:t>0</w:t>
            </w:r>
          </w:p>
        </w:tc>
        <w:tc>
          <w:tcPr>
            <w:tcW w:w="788" w:type="dxa"/>
          </w:tcPr>
          <w:p w14:paraId="7F604147">
            <w:pPr>
              <w:pStyle w:val="17"/>
              <w:spacing w:before="36"/>
              <w:ind w:left="6"/>
              <w:rPr>
                <w:rFonts w:ascii="Times New Roman"/>
                <w:sz w:val="21"/>
              </w:rPr>
            </w:pPr>
            <w:r>
              <w:rPr>
                <w:rFonts w:ascii="Times New Roman"/>
                <w:w w:val="99"/>
                <w:sz w:val="21"/>
              </w:rPr>
              <w:t>1</w:t>
            </w:r>
          </w:p>
        </w:tc>
        <w:tc>
          <w:tcPr>
            <w:tcW w:w="763" w:type="dxa"/>
            <w:tcBorders>
              <w:right w:val="nil"/>
            </w:tcBorders>
          </w:tcPr>
          <w:p w14:paraId="4D809C83">
            <w:pPr>
              <w:pStyle w:val="17"/>
              <w:spacing w:before="22"/>
              <w:ind w:left="171"/>
              <w:jc w:val="left"/>
              <w:rPr>
                <w:sz w:val="21"/>
              </w:rPr>
            </w:pPr>
            <w:r>
              <w:rPr>
                <w:sz w:val="21"/>
              </w:rPr>
              <w:t>达标</w:t>
            </w:r>
          </w:p>
        </w:tc>
      </w:tr>
      <w:tr w14:paraId="69BCC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5F854FC">
            <w:pPr>
              <w:rPr>
                <w:sz w:val="2"/>
                <w:szCs w:val="2"/>
              </w:rPr>
            </w:pPr>
          </w:p>
        </w:tc>
        <w:tc>
          <w:tcPr>
            <w:tcW w:w="1028" w:type="dxa"/>
          </w:tcPr>
          <w:p w14:paraId="53630216">
            <w:pPr>
              <w:pStyle w:val="17"/>
              <w:spacing w:before="21"/>
              <w:ind w:left="66" w:right="56"/>
              <w:rPr>
                <w:sz w:val="21"/>
              </w:rPr>
            </w:pPr>
            <w:r>
              <w:rPr>
                <w:sz w:val="21"/>
              </w:rPr>
              <w:t>挥发酚</w:t>
            </w:r>
          </w:p>
        </w:tc>
        <w:tc>
          <w:tcPr>
            <w:tcW w:w="1001" w:type="dxa"/>
          </w:tcPr>
          <w:p w14:paraId="26DBBAEF">
            <w:pPr>
              <w:pStyle w:val="17"/>
              <w:spacing w:before="35"/>
              <w:ind w:left="74" w:right="62"/>
              <w:rPr>
                <w:rFonts w:ascii="Times New Roman"/>
                <w:sz w:val="21"/>
              </w:rPr>
            </w:pPr>
            <w:r>
              <w:rPr>
                <w:rFonts w:ascii="Times New Roman"/>
                <w:sz w:val="21"/>
              </w:rPr>
              <w:t>0.0011</w:t>
            </w:r>
          </w:p>
        </w:tc>
        <w:tc>
          <w:tcPr>
            <w:tcW w:w="1001" w:type="dxa"/>
          </w:tcPr>
          <w:p w14:paraId="47286470">
            <w:pPr>
              <w:pStyle w:val="17"/>
              <w:spacing w:before="35"/>
              <w:ind w:left="69" w:right="62"/>
              <w:rPr>
                <w:rFonts w:ascii="Times New Roman"/>
                <w:sz w:val="21"/>
              </w:rPr>
            </w:pPr>
            <w:r>
              <w:rPr>
                <w:rFonts w:ascii="Times New Roman"/>
                <w:sz w:val="21"/>
              </w:rPr>
              <w:t>0.0019</w:t>
            </w:r>
          </w:p>
        </w:tc>
        <w:tc>
          <w:tcPr>
            <w:tcW w:w="1115" w:type="dxa"/>
          </w:tcPr>
          <w:p w14:paraId="0D70BA24">
            <w:pPr>
              <w:pStyle w:val="17"/>
              <w:spacing w:before="35"/>
              <w:ind w:left="133"/>
              <w:jc w:val="left"/>
              <w:rPr>
                <w:rFonts w:ascii="Times New Roman"/>
                <w:sz w:val="21"/>
              </w:rPr>
            </w:pPr>
            <w:r>
              <w:rPr>
                <w:rFonts w:ascii="Times New Roman"/>
                <w:sz w:val="21"/>
              </w:rPr>
              <w:t>0.22~0.38</w:t>
            </w:r>
          </w:p>
        </w:tc>
        <w:tc>
          <w:tcPr>
            <w:tcW w:w="744" w:type="dxa"/>
          </w:tcPr>
          <w:p w14:paraId="75D2373D">
            <w:pPr>
              <w:pStyle w:val="17"/>
              <w:spacing w:before="35"/>
              <w:ind w:left="9"/>
              <w:rPr>
                <w:rFonts w:ascii="Times New Roman"/>
                <w:sz w:val="21"/>
              </w:rPr>
            </w:pPr>
            <w:r>
              <w:rPr>
                <w:rFonts w:ascii="Times New Roman"/>
                <w:w w:val="99"/>
                <w:sz w:val="21"/>
              </w:rPr>
              <w:t>0</w:t>
            </w:r>
          </w:p>
        </w:tc>
        <w:tc>
          <w:tcPr>
            <w:tcW w:w="788" w:type="dxa"/>
          </w:tcPr>
          <w:p w14:paraId="3D12CC45">
            <w:pPr>
              <w:pStyle w:val="17"/>
              <w:spacing w:before="35"/>
              <w:ind w:right="330"/>
              <w:jc w:val="right"/>
              <w:rPr>
                <w:rFonts w:ascii="Times New Roman"/>
                <w:sz w:val="21"/>
              </w:rPr>
            </w:pPr>
            <w:r>
              <w:rPr>
                <w:rFonts w:ascii="Times New Roman"/>
                <w:w w:val="99"/>
                <w:sz w:val="21"/>
              </w:rPr>
              <w:t>0</w:t>
            </w:r>
          </w:p>
        </w:tc>
        <w:tc>
          <w:tcPr>
            <w:tcW w:w="788" w:type="dxa"/>
          </w:tcPr>
          <w:p w14:paraId="6CE792F7">
            <w:pPr>
              <w:pStyle w:val="17"/>
              <w:spacing w:before="35"/>
              <w:ind w:left="58" w:right="49"/>
              <w:rPr>
                <w:rFonts w:ascii="Times New Roman"/>
                <w:sz w:val="21"/>
              </w:rPr>
            </w:pPr>
            <w:r>
              <w:rPr>
                <w:rFonts w:ascii="Times New Roman"/>
                <w:sz w:val="21"/>
              </w:rPr>
              <w:t>0.005</w:t>
            </w:r>
          </w:p>
        </w:tc>
        <w:tc>
          <w:tcPr>
            <w:tcW w:w="763" w:type="dxa"/>
            <w:tcBorders>
              <w:right w:val="nil"/>
            </w:tcBorders>
          </w:tcPr>
          <w:p w14:paraId="377C7EFA">
            <w:pPr>
              <w:pStyle w:val="17"/>
              <w:spacing w:before="21"/>
              <w:ind w:left="171"/>
              <w:jc w:val="left"/>
              <w:rPr>
                <w:sz w:val="21"/>
              </w:rPr>
            </w:pPr>
            <w:r>
              <w:rPr>
                <w:sz w:val="21"/>
              </w:rPr>
              <w:t>达标</w:t>
            </w:r>
          </w:p>
        </w:tc>
      </w:tr>
      <w:tr w14:paraId="34D1E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E71C77F">
            <w:pPr>
              <w:rPr>
                <w:sz w:val="2"/>
                <w:szCs w:val="2"/>
              </w:rPr>
            </w:pPr>
          </w:p>
        </w:tc>
        <w:tc>
          <w:tcPr>
            <w:tcW w:w="1028" w:type="dxa"/>
          </w:tcPr>
          <w:p w14:paraId="263AA9E5">
            <w:pPr>
              <w:pStyle w:val="17"/>
              <w:spacing w:before="21"/>
              <w:ind w:left="7"/>
              <w:rPr>
                <w:sz w:val="21"/>
              </w:rPr>
            </w:pPr>
            <w:r>
              <w:rPr>
                <w:w w:val="99"/>
                <w:sz w:val="21"/>
              </w:rPr>
              <w:t>铜</w:t>
            </w:r>
          </w:p>
        </w:tc>
        <w:tc>
          <w:tcPr>
            <w:tcW w:w="1001" w:type="dxa"/>
          </w:tcPr>
          <w:p w14:paraId="432B31B8">
            <w:pPr>
              <w:pStyle w:val="17"/>
              <w:spacing w:before="35"/>
              <w:ind w:left="68" w:right="62"/>
              <w:rPr>
                <w:rFonts w:ascii="Times New Roman"/>
                <w:sz w:val="21"/>
              </w:rPr>
            </w:pPr>
            <w:r>
              <w:rPr>
                <w:rFonts w:ascii="Times New Roman"/>
                <w:sz w:val="21"/>
              </w:rPr>
              <w:t>ND</w:t>
            </w:r>
          </w:p>
        </w:tc>
        <w:tc>
          <w:tcPr>
            <w:tcW w:w="1001" w:type="dxa"/>
          </w:tcPr>
          <w:p w14:paraId="3A1B91D4">
            <w:pPr>
              <w:pStyle w:val="17"/>
              <w:spacing w:before="35"/>
              <w:ind w:left="72" w:right="62"/>
              <w:rPr>
                <w:rFonts w:ascii="Times New Roman"/>
                <w:sz w:val="21"/>
              </w:rPr>
            </w:pPr>
            <w:r>
              <w:rPr>
                <w:rFonts w:ascii="Times New Roman"/>
                <w:sz w:val="21"/>
              </w:rPr>
              <w:t>ND</w:t>
            </w:r>
          </w:p>
        </w:tc>
        <w:tc>
          <w:tcPr>
            <w:tcW w:w="1115" w:type="dxa"/>
          </w:tcPr>
          <w:p w14:paraId="5787824C">
            <w:pPr>
              <w:pStyle w:val="17"/>
              <w:spacing w:before="35"/>
              <w:ind w:left="10"/>
              <w:rPr>
                <w:rFonts w:ascii="Times New Roman"/>
                <w:sz w:val="21"/>
              </w:rPr>
            </w:pPr>
            <w:r>
              <w:rPr>
                <w:rFonts w:ascii="Times New Roman"/>
                <w:w w:val="99"/>
                <w:sz w:val="21"/>
              </w:rPr>
              <w:t>0</w:t>
            </w:r>
          </w:p>
        </w:tc>
        <w:tc>
          <w:tcPr>
            <w:tcW w:w="744" w:type="dxa"/>
          </w:tcPr>
          <w:p w14:paraId="158DC6F4">
            <w:pPr>
              <w:pStyle w:val="17"/>
              <w:spacing w:before="35"/>
              <w:ind w:left="9"/>
              <w:rPr>
                <w:rFonts w:ascii="Times New Roman"/>
                <w:sz w:val="21"/>
              </w:rPr>
            </w:pPr>
            <w:r>
              <w:rPr>
                <w:rFonts w:ascii="Times New Roman"/>
                <w:w w:val="99"/>
                <w:sz w:val="21"/>
              </w:rPr>
              <w:t>0</w:t>
            </w:r>
          </w:p>
        </w:tc>
        <w:tc>
          <w:tcPr>
            <w:tcW w:w="788" w:type="dxa"/>
          </w:tcPr>
          <w:p w14:paraId="0D8DD9C6">
            <w:pPr>
              <w:pStyle w:val="17"/>
              <w:spacing w:before="35"/>
              <w:ind w:right="330"/>
              <w:jc w:val="right"/>
              <w:rPr>
                <w:rFonts w:ascii="Times New Roman"/>
                <w:sz w:val="21"/>
              </w:rPr>
            </w:pPr>
            <w:r>
              <w:rPr>
                <w:rFonts w:ascii="Times New Roman"/>
                <w:w w:val="99"/>
                <w:sz w:val="21"/>
              </w:rPr>
              <w:t>0</w:t>
            </w:r>
          </w:p>
        </w:tc>
        <w:tc>
          <w:tcPr>
            <w:tcW w:w="788" w:type="dxa"/>
          </w:tcPr>
          <w:p w14:paraId="6ED883DD">
            <w:pPr>
              <w:pStyle w:val="17"/>
              <w:spacing w:before="35"/>
              <w:ind w:left="6"/>
              <w:rPr>
                <w:rFonts w:ascii="Times New Roman"/>
                <w:sz w:val="21"/>
              </w:rPr>
            </w:pPr>
            <w:r>
              <w:rPr>
                <w:rFonts w:ascii="Times New Roman"/>
                <w:w w:val="99"/>
                <w:sz w:val="21"/>
              </w:rPr>
              <w:t>1</w:t>
            </w:r>
          </w:p>
        </w:tc>
        <w:tc>
          <w:tcPr>
            <w:tcW w:w="763" w:type="dxa"/>
            <w:tcBorders>
              <w:right w:val="nil"/>
            </w:tcBorders>
          </w:tcPr>
          <w:p w14:paraId="1D876B93">
            <w:pPr>
              <w:pStyle w:val="17"/>
              <w:spacing w:before="21"/>
              <w:ind w:left="171"/>
              <w:jc w:val="left"/>
              <w:rPr>
                <w:sz w:val="21"/>
              </w:rPr>
            </w:pPr>
            <w:r>
              <w:rPr>
                <w:sz w:val="21"/>
              </w:rPr>
              <w:t>达标</w:t>
            </w:r>
          </w:p>
        </w:tc>
      </w:tr>
      <w:tr w14:paraId="3690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154AD23">
            <w:pPr>
              <w:rPr>
                <w:sz w:val="2"/>
                <w:szCs w:val="2"/>
              </w:rPr>
            </w:pPr>
          </w:p>
        </w:tc>
        <w:tc>
          <w:tcPr>
            <w:tcW w:w="1028" w:type="dxa"/>
          </w:tcPr>
          <w:p w14:paraId="6B5C9BB3">
            <w:pPr>
              <w:pStyle w:val="17"/>
              <w:spacing w:before="21"/>
              <w:ind w:left="7"/>
              <w:rPr>
                <w:sz w:val="21"/>
              </w:rPr>
            </w:pPr>
            <w:r>
              <w:rPr>
                <w:w w:val="99"/>
                <w:sz w:val="21"/>
              </w:rPr>
              <w:t>锌</w:t>
            </w:r>
          </w:p>
        </w:tc>
        <w:tc>
          <w:tcPr>
            <w:tcW w:w="1001" w:type="dxa"/>
          </w:tcPr>
          <w:p w14:paraId="491D3C71">
            <w:pPr>
              <w:pStyle w:val="17"/>
              <w:spacing w:before="34"/>
              <w:ind w:left="68" w:right="62"/>
              <w:rPr>
                <w:rFonts w:ascii="Times New Roman"/>
                <w:sz w:val="21"/>
              </w:rPr>
            </w:pPr>
            <w:r>
              <w:rPr>
                <w:rFonts w:ascii="Times New Roman"/>
                <w:sz w:val="21"/>
              </w:rPr>
              <w:t>ND</w:t>
            </w:r>
          </w:p>
        </w:tc>
        <w:tc>
          <w:tcPr>
            <w:tcW w:w="1001" w:type="dxa"/>
          </w:tcPr>
          <w:p w14:paraId="5525C92A">
            <w:pPr>
              <w:pStyle w:val="17"/>
              <w:spacing w:before="34"/>
              <w:ind w:left="72" w:right="62"/>
              <w:rPr>
                <w:rFonts w:ascii="Times New Roman"/>
                <w:sz w:val="21"/>
              </w:rPr>
            </w:pPr>
            <w:r>
              <w:rPr>
                <w:rFonts w:ascii="Times New Roman"/>
                <w:sz w:val="21"/>
              </w:rPr>
              <w:t>ND</w:t>
            </w:r>
          </w:p>
        </w:tc>
        <w:tc>
          <w:tcPr>
            <w:tcW w:w="1115" w:type="dxa"/>
          </w:tcPr>
          <w:p w14:paraId="7C9765A1">
            <w:pPr>
              <w:pStyle w:val="17"/>
              <w:spacing w:before="34"/>
              <w:ind w:left="10"/>
              <w:rPr>
                <w:rFonts w:ascii="Times New Roman"/>
                <w:sz w:val="21"/>
              </w:rPr>
            </w:pPr>
            <w:r>
              <w:rPr>
                <w:rFonts w:ascii="Times New Roman"/>
                <w:w w:val="99"/>
                <w:sz w:val="21"/>
              </w:rPr>
              <w:t>0</w:t>
            </w:r>
          </w:p>
        </w:tc>
        <w:tc>
          <w:tcPr>
            <w:tcW w:w="744" w:type="dxa"/>
          </w:tcPr>
          <w:p w14:paraId="33A5FCED">
            <w:pPr>
              <w:pStyle w:val="17"/>
              <w:spacing w:before="34"/>
              <w:ind w:left="9"/>
              <w:rPr>
                <w:rFonts w:ascii="Times New Roman"/>
                <w:sz w:val="21"/>
              </w:rPr>
            </w:pPr>
            <w:r>
              <w:rPr>
                <w:rFonts w:ascii="Times New Roman"/>
                <w:w w:val="99"/>
                <w:sz w:val="21"/>
              </w:rPr>
              <w:t>0</w:t>
            </w:r>
          </w:p>
        </w:tc>
        <w:tc>
          <w:tcPr>
            <w:tcW w:w="788" w:type="dxa"/>
          </w:tcPr>
          <w:p w14:paraId="12C05C5E">
            <w:pPr>
              <w:pStyle w:val="17"/>
              <w:spacing w:before="34"/>
              <w:ind w:right="330"/>
              <w:jc w:val="right"/>
              <w:rPr>
                <w:rFonts w:ascii="Times New Roman"/>
                <w:sz w:val="21"/>
              </w:rPr>
            </w:pPr>
            <w:r>
              <w:rPr>
                <w:rFonts w:ascii="Times New Roman"/>
                <w:w w:val="99"/>
                <w:sz w:val="21"/>
              </w:rPr>
              <w:t>0</w:t>
            </w:r>
          </w:p>
        </w:tc>
        <w:tc>
          <w:tcPr>
            <w:tcW w:w="788" w:type="dxa"/>
          </w:tcPr>
          <w:p w14:paraId="007AE1CE">
            <w:pPr>
              <w:pStyle w:val="17"/>
              <w:spacing w:before="34"/>
              <w:ind w:left="6"/>
              <w:rPr>
                <w:rFonts w:ascii="Times New Roman"/>
                <w:sz w:val="21"/>
              </w:rPr>
            </w:pPr>
            <w:r>
              <w:rPr>
                <w:rFonts w:ascii="Times New Roman"/>
                <w:w w:val="99"/>
                <w:sz w:val="21"/>
              </w:rPr>
              <w:t>1</w:t>
            </w:r>
          </w:p>
        </w:tc>
        <w:tc>
          <w:tcPr>
            <w:tcW w:w="763" w:type="dxa"/>
            <w:tcBorders>
              <w:right w:val="nil"/>
            </w:tcBorders>
          </w:tcPr>
          <w:p w14:paraId="4CFABB40">
            <w:pPr>
              <w:pStyle w:val="17"/>
              <w:spacing w:before="21"/>
              <w:ind w:left="171"/>
              <w:jc w:val="left"/>
              <w:rPr>
                <w:sz w:val="21"/>
              </w:rPr>
            </w:pPr>
            <w:r>
              <w:rPr>
                <w:sz w:val="21"/>
              </w:rPr>
              <w:t>达标</w:t>
            </w:r>
          </w:p>
        </w:tc>
      </w:tr>
      <w:tr w14:paraId="654CB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71787893">
            <w:pPr>
              <w:rPr>
                <w:sz w:val="2"/>
                <w:szCs w:val="2"/>
              </w:rPr>
            </w:pPr>
          </w:p>
        </w:tc>
        <w:tc>
          <w:tcPr>
            <w:tcW w:w="1028" w:type="dxa"/>
          </w:tcPr>
          <w:p w14:paraId="3D0D5B93">
            <w:pPr>
              <w:pStyle w:val="17"/>
              <w:spacing w:before="20"/>
              <w:ind w:left="7"/>
              <w:rPr>
                <w:sz w:val="21"/>
              </w:rPr>
            </w:pPr>
            <w:r>
              <w:rPr>
                <w:w w:val="99"/>
                <w:sz w:val="21"/>
              </w:rPr>
              <w:t>铅</w:t>
            </w:r>
          </w:p>
        </w:tc>
        <w:tc>
          <w:tcPr>
            <w:tcW w:w="1001" w:type="dxa"/>
          </w:tcPr>
          <w:p w14:paraId="103C5351">
            <w:pPr>
              <w:pStyle w:val="17"/>
              <w:spacing w:before="34"/>
              <w:ind w:left="68" w:right="62"/>
              <w:rPr>
                <w:rFonts w:ascii="Times New Roman"/>
                <w:sz w:val="21"/>
              </w:rPr>
            </w:pPr>
            <w:r>
              <w:rPr>
                <w:rFonts w:ascii="Times New Roman"/>
                <w:sz w:val="21"/>
              </w:rPr>
              <w:t>ND</w:t>
            </w:r>
          </w:p>
        </w:tc>
        <w:tc>
          <w:tcPr>
            <w:tcW w:w="1001" w:type="dxa"/>
          </w:tcPr>
          <w:p w14:paraId="39059EDA">
            <w:pPr>
              <w:pStyle w:val="17"/>
              <w:spacing w:before="34"/>
              <w:ind w:left="72" w:right="62"/>
              <w:rPr>
                <w:rFonts w:ascii="Times New Roman"/>
                <w:sz w:val="21"/>
              </w:rPr>
            </w:pPr>
            <w:r>
              <w:rPr>
                <w:rFonts w:ascii="Times New Roman"/>
                <w:sz w:val="21"/>
              </w:rPr>
              <w:t>ND</w:t>
            </w:r>
          </w:p>
        </w:tc>
        <w:tc>
          <w:tcPr>
            <w:tcW w:w="1115" w:type="dxa"/>
          </w:tcPr>
          <w:p w14:paraId="51CE16C0">
            <w:pPr>
              <w:pStyle w:val="17"/>
              <w:spacing w:before="34"/>
              <w:ind w:left="10"/>
              <w:rPr>
                <w:rFonts w:ascii="Times New Roman"/>
                <w:sz w:val="21"/>
              </w:rPr>
            </w:pPr>
            <w:r>
              <w:rPr>
                <w:rFonts w:ascii="Times New Roman"/>
                <w:w w:val="99"/>
                <w:sz w:val="21"/>
              </w:rPr>
              <w:t>0</w:t>
            </w:r>
          </w:p>
        </w:tc>
        <w:tc>
          <w:tcPr>
            <w:tcW w:w="744" w:type="dxa"/>
          </w:tcPr>
          <w:p w14:paraId="317D46A9">
            <w:pPr>
              <w:pStyle w:val="17"/>
              <w:spacing w:before="34"/>
              <w:ind w:left="9"/>
              <w:rPr>
                <w:rFonts w:ascii="Times New Roman"/>
                <w:sz w:val="21"/>
              </w:rPr>
            </w:pPr>
            <w:r>
              <w:rPr>
                <w:rFonts w:ascii="Times New Roman"/>
                <w:w w:val="99"/>
                <w:sz w:val="21"/>
              </w:rPr>
              <w:t>0</w:t>
            </w:r>
          </w:p>
        </w:tc>
        <w:tc>
          <w:tcPr>
            <w:tcW w:w="788" w:type="dxa"/>
          </w:tcPr>
          <w:p w14:paraId="0F91906E">
            <w:pPr>
              <w:pStyle w:val="17"/>
              <w:spacing w:before="34"/>
              <w:ind w:right="330"/>
              <w:jc w:val="right"/>
              <w:rPr>
                <w:rFonts w:ascii="Times New Roman"/>
                <w:sz w:val="21"/>
              </w:rPr>
            </w:pPr>
            <w:r>
              <w:rPr>
                <w:rFonts w:ascii="Times New Roman"/>
                <w:w w:val="99"/>
                <w:sz w:val="21"/>
              </w:rPr>
              <w:t>0</w:t>
            </w:r>
          </w:p>
        </w:tc>
        <w:tc>
          <w:tcPr>
            <w:tcW w:w="788" w:type="dxa"/>
          </w:tcPr>
          <w:p w14:paraId="6A8F16EB">
            <w:pPr>
              <w:pStyle w:val="17"/>
              <w:spacing w:before="34"/>
              <w:ind w:left="58" w:right="47"/>
              <w:rPr>
                <w:rFonts w:ascii="Times New Roman"/>
                <w:sz w:val="21"/>
              </w:rPr>
            </w:pPr>
            <w:r>
              <w:rPr>
                <w:rFonts w:ascii="Times New Roman"/>
                <w:sz w:val="21"/>
              </w:rPr>
              <w:t>0.05</w:t>
            </w:r>
          </w:p>
        </w:tc>
        <w:tc>
          <w:tcPr>
            <w:tcW w:w="763" w:type="dxa"/>
            <w:tcBorders>
              <w:right w:val="nil"/>
            </w:tcBorders>
          </w:tcPr>
          <w:p w14:paraId="5D16FD03">
            <w:pPr>
              <w:pStyle w:val="17"/>
              <w:spacing w:before="20"/>
              <w:ind w:left="171"/>
              <w:jc w:val="left"/>
              <w:rPr>
                <w:sz w:val="21"/>
              </w:rPr>
            </w:pPr>
            <w:r>
              <w:rPr>
                <w:sz w:val="21"/>
              </w:rPr>
              <w:t>达标</w:t>
            </w:r>
          </w:p>
        </w:tc>
      </w:tr>
      <w:tr w14:paraId="71580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4EC296A4">
            <w:pPr>
              <w:rPr>
                <w:sz w:val="2"/>
                <w:szCs w:val="2"/>
              </w:rPr>
            </w:pPr>
          </w:p>
        </w:tc>
        <w:tc>
          <w:tcPr>
            <w:tcW w:w="1028" w:type="dxa"/>
          </w:tcPr>
          <w:p w14:paraId="3E3628CC">
            <w:pPr>
              <w:pStyle w:val="17"/>
              <w:spacing w:before="20"/>
              <w:ind w:left="7"/>
              <w:rPr>
                <w:sz w:val="21"/>
              </w:rPr>
            </w:pPr>
            <w:r>
              <w:rPr>
                <w:w w:val="99"/>
                <w:sz w:val="21"/>
              </w:rPr>
              <w:t>砷</w:t>
            </w:r>
          </w:p>
        </w:tc>
        <w:tc>
          <w:tcPr>
            <w:tcW w:w="1001" w:type="dxa"/>
          </w:tcPr>
          <w:p w14:paraId="3A42A650">
            <w:pPr>
              <w:pStyle w:val="17"/>
              <w:spacing w:before="34"/>
              <w:ind w:left="68" w:right="62"/>
              <w:rPr>
                <w:rFonts w:ascii="Times New Roman"/>
                <w:sz w:val="21"/>
              </w:rPr>
            </w:pPr>
            <w:r>
              <w:rPr>
                <w:rFonts w:ascii="Times New Roman"/>
                <w:sz w:val="21"/>
              </w:rPr>
              <w:t>ND</w:t>
            </w:r>
          </w:p>
        </w:tc>
        <w:tc>
          <w:tcPr>
            <w:tcW w:w="1001" w:type="dxa"/>
          </w:tcPr>
          <w:p w14:paraId="4596F9AB">
            <w:pPr>
              <w:pStyle w:val="17"/>
              <w:spacing w:before="34"/>
              <w:ind w:left="72" w:right="62"/>
              <w:rPr>
                <w:rFonts w:ascii="Times New Roman"/>
                <w:sz w:val="21"/>
              </w:rPr>
            </w:pPr>
            <w:r>
              <w:rPr>
                <w:rFonts w:ascii="Times New Roman"/>
                <w:sz w:val="21"/>
              </w:rPr>
              <w:t>ND</w:t>
            </w:r>
          </w:p>
        </w:tc>
        <w:tc>
          <w:tcPr>
            <w:tcW w:w="1115" w:type="dxa"/>
          </w:tcPr>
          <w:p w14:paraId="0F98683F">
            <w:pPr>
              <w:pStyle w:val="17"/>
              <w:spacing w:before="34"/>
              <w:ind w:left="10"/>
              <w:rPr>
                <w:rFonts w:ascii="Times New Roman"/>
                <w:sz w:val="21"/>
              </w:rPr>
            </w:pPr>
            <w:r>
              <w:rPr>
                <w:rFonts w:ascii="Times New Roman"/>
                <w:w w:val="99"/>
                <w:sz w:val="21"/>
              </w:rPr>
              <w:t>0</w:t>
            </w:r>
          </w:p>
        </w:tc>
        <w:tc>
          <w:tcPr>
            <w:tcW w:w="744" w:type="dxa"/>
          </w:tcPr>
          <w:p w14:paraId="7CA0B679">
            <w:pPr>
              <w:pStyle w:val="17"/>
              <w:spacing w:before="34"/>
              <w:ind w:left="9"/>
              <w:rPr>
                <w:rFonts w:ascii="Times New Roman"/>
                <w:sz w:val="21"/>
              </w:rPr>
            </w:pPr>
            <w:r>
              <w:rPr>
                <w:rFonts w:ascii="Times New Roman"/>
                <w:w w:val="99"/>
                <w:sz w:val="21"/>
              </w:rPr>
              <w:t>0</w:t>
            </w:r>
          </w:p>
        </w:tc>
        <w:tc>
          <w:tcPr>
            <w:tcW w:w="788" w:type="dxa"/>
          </w:tcPr>
          <w:p w14:paraId="456B9F54">
            <w:pPr>
              <w:pStyle w:val="17"/>
              <w:spacing w:before="34"/>
              <w:ind w:right="330"/>
              <w:jc w:val="right"/>
              <w:rPr>
                <w:rFonts w:ascii="Times New Roman"/>
                <w:sz w:val="21"/>
              </w:rPr>
            </w:pPr>
            <w:r>
              <w:rPr>
                <w:rFonts w:ascii="Times New Roman"/>
                <w:w w:val="99"/>
                <w:sz w:val="21"/>
              </w:rPr>
              <w:t>0</w:t>
            </w:r>
          </w:p>
        </w:tc>
        <w:tc>
          <w:tcPr>
            <w:tcW w:w="788" w:type="dxa"/>
          </w:tcPr>
          <w:p w14:paraId="73808997">
            <w:pPr>
              <w:pStyle w:val="17"/>
              <w:spacing w:before="34"/>
              <w:ind w:left="58" w:right="47"/>
              <w:rPr>
                <w:rFonts w:ascii="Times New Roman"/>
                <w:sz w:val="21"/>
              </w:rPr>
            </w:pPr>
            <w:r>
              <w:rPr>
                <w:rFonts w:ascii="Times New Roman"/>
                <w:sz w:val="21"/>
              </w:rPr>
              <w:t>0.05</w:t>
            </w:r>
          </w:p>
        </w:tc>
        <w:tc>
          <w:tcPr>
            <w:tcW w:w="763" w:type="dxa"/>
            <w:tcBorders>
              <w:right w:val="nil"/>
            </w:tcBorders>
          </w:tcPr>
          <w:p w14:paraId="63443C48">
            <w:pPr>
              <w:pStyle w:val="17"/>
              <w:spacing w:before="20"/>
              <w:ind w:left="171"/>
              <w:jc w:val="left"/>
              <w:rPr>
                <w:sz w:val="21"/>
              </w:rPr>
            </w:pPr>
            <w:r>
              <w:rPr>
                <w:sz w:val="21"/>
              </w:rPr>
              <w:t>达标</w:t>
            </w:r>
          </w:p>
        </w:tc>
      </w:tr>
      <w:tr w14:paraId="5CCE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26C5DBC2">
            <w:pPr>
              <w:rPr>
                <w:sz w:val="2"/>
                <w:szCs w:val="2"/>
              </w:rPr>
            </w:pPr>
          </w:p>
        </w:tc>
        <w:tc>
          <w:tcPr>
            <w:tcW w:w="1028" w:type="dxa"/>
          </w:tcPr>
          <w:p w14:paraId="2153A341">
            <w:pPr>
              <w:pStyle w:val="17"/>
              <w:spacing w:before="22"/>
              <w:ind w:left="7"/>
              <w:rPr>
                <w:sz w:val="21"/>
              </w:rPr>
            </w:pPr>
            <w:r>
              <w:rPr>
                <w:w w:val="99"/>
                <w:sz w:val="21"/>
              </w:rPr>
              <w:t>汞</w:t>
            </w:r>
          </w:p>
        </w:tc>
        <w:tc>
          <w:tcPr>
            <w:tcW w:w="1001" w:type="dxa"/>
          </w:tcPr>
          <w:p w14:paraId="79058EF7">
            <w:pPr>
              <w:pStyle w:val="17"/>
              <w:spacing w:before="36"/>
              <w:ind w:left="69" w:right="62"/>
              <w:rPr>
                <w:rFonts w:ascii="Times New Roman"/>
                <w:sz w:val="21"/>
              </w:rPr>
            </w:pPr>
            <w:r>
              <w:rPr>
                <w:rFonts w:ascii="Times New Roman"/>
                <w:sz w:val="21"/>
              </w:rPr>
              <w:t>0.000056</w:t>
            </w:r>
          </w:p>
        </w:tc>
        <w:tc>
          <w:tcPr>
            <w:tcW w:w="1001" w:type="dxa"/>
          </w:tcPr>
          <w:p w14:paraId="52F387E7">
            <w:pPr>
              <w:pStyle w:val="17"/>
              <w:spacing w:before="36"/>
              <w:ind w:left="69" w:right="62"/>
              <w:rPr>
                <w:rFonts w:ascii="Times New Roman"/>
                <w:sz w:val="21"/>
              </w:rPr>
            </w:pPr>
            <w:r>
              <w:rPr>
                <w:rFonts w:ascii="Times New Roman"/>
                <w:sz w:val="21"/>
              </w:rPr>
              <w:t>0.000046</w:t>
            </w:r>
          </w:p>
        </w:tc>
        <w:tc>
          <w:tcPr>
            <w:tcW w:w="1115" w:type="dxa"/>
          </w:tcPr>
          <w:p w14:paraId="26828AB5">
            <w:pPr>
              <w:pStyle w:val="17"/>
              <w:spacing w:before="36"/>
              <w:ind w:left="133"/>
              <w:jc w:val="left"/>
              <w:rPr>
                <w:rFonts w:ascii="Times New Roman"/>
                <w:sz w:val="21"/>
              </w:rPr>
            </w:pPr>
            <w:r>
              <w:rPr>
                <w:rFonts w:ascii="Times New Roman"/>
                <w:sz w:val="21"/>
              </w:rPr>
              <w:t>0.46~0.56</w:t>
            </w:r>
          </w:p>
        </w:tc>
        <w:tc>
          <w:tcPr>
            <w:tcW w:w="744" w:type="dxa"/>
          </w:tcPr>
          <w:p w14:paraId="3C3AB4A2">
            <w:pPr>
              <w:pStyle w:val="17"/>
              <w:spacing w:before="36"/>
              <w:ind w:left="9"/>
              <w:rPr>
                <w:rFonts w:ascii="Times New Roman"/>
                <w:sz w:val="21"/>
              </w:rPr>
            </w:pPr>
            <w:r>
              <w:rPr>
                <w:rFonts w:ascii="Times New Roman"/>
                <w:w w:val="99"/>
                <w:sz w:val="21"/>
              </w:rPr>
              <w:t>0</w:t>
            </w:r>
          </w:p>
        </w:tc>
        <w:tc>
          <w:tcPr>
            <w:tcW w:w="788" w:type="dxa"/>
          </w:tcPr>
          <w:p w14:paraId="674C13A0">
            <w:pPr>
              <w:pStyle w:val="17"/>
              <w:spacing w:before="36"/>
              <w:ind w:right="330"/>
              <w:jc w:val="right"/>
              <w:rPr>
                <w:rFonts w:ascii="Times New Roman"/>
                <w:sz w:val="21"/>
              </w:rPr>
            </w:pPr>
            <w:r>
              <w:rPr>
                <w:rFonts w:ascii="Times New Roman"/>
                <w:w w:val="99"/>
                <w:sz w:val="21"/>
              </w:rPr>
              <w:t>0</w:t>
            </w:r>
          </w:p>
        </w:tc>
        <w:tc>
          <w:tcPr>
            <w:tcW w:w="788" w:type="dxa"/>
          </w:tcPr>
          <w:p w14:paraId="73069A0D">
            <w:pPr>
              <w:pStyle w:val="17"/>
              <w:spacing w:before="36"/>
              <w:ind w:left="58" w:right="49"/>
              <w:rPr>
                <w:rFonts w:ascii="Times New Roman"/>
                <w:sz w:val="21"/>
              </w:rPr>
            </w:pPr>
            <w:r>
              <w:rPr>
                <w:rFonts w:ascii="Times New Roman"/>
                <w:sz w:val="21"/>
              </w:rPr>
              <w:t>0.0001</w:t>
            </w:r>
          </w:p>
        </w:tc>
        <w:tc>
          <w:tcPr>
            <w:tcW w:w="763" w:type="dxa"/>
            <w:tcBorders>
              <w:right w:val="nil"/>
            </w:tcBorders>
          </w:tcPr>
          <w:p w14:paraId="22F535B9">
            <w:pPr>
              <w:pStyle w:val="17"/>
              <w:spacing w:before="22"/>
              <w:ind w:left="171"/>
              <w:jc w:val="left"/>
              <w:rPr>
                <w:sz w:val="21"/>
              </w:rPr>
            </w:pPr>
            <w:r>
              <w:rPr>
                <w:sz w:val="21"/>
              </w:rPr>
              <w:t>达标</w:t>
            </w:r>
          </w:p>
        </w:tc>
      </w:tr>
      <w:tr w14:paraId="6F17E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498CDBB4">
            <w:pPr>
              <w:rPr>
                <w:sz w:val="2"/>
                <w:szCs w:val="2"/>
              </w:rPr>
            </w:pPr>
          </w:p>
        </w:tc>
        <w:tc>
          <w:tcPr>
            <w:tcW w:w="1028" w:type="dxa"/>
          </w:tcPr>
          <w:p w14:paraId="3858C035">
            <w:pPr>
              <w:pStyle w:val="17"/>
              <w:spacing w:before="21"/>
              <w:ind w:left="7"/>
              <w:rPr>
                <w:sz w:val="21"/>
              </w:rPr>
            </w:pPr>
            <w:r>
              <w:rPr>
                <w:w w:val="99"/>
                <w:sz w:val="21"/>
              </w:rPr>
              <w:t>镉</w:t>
            </w:r>
          </w:p>
        </w:tc>
        <w:tc>
          <w:tcPr>
            <w:tcW w:w="1001" w:type="dxa"/>
          </w:tcPr>
          <w:p w14:paraId="5231B8A4">
            <w:pPr>
              <w:pStyle w:val="17"/>
              <w:spacing w:before="35"/>
              <w:ind w:left="68" w:right="62"/>
              <w:rPr>
                <w:rFonts w:ascii="Times New Roman"/>
                <w:sz w:val="21"/>
              </w:rPr>
            </w:pPr>
            <w:r>
              <w:rPr>
                <w:rFonts w:ascii="Times New Roman"/>
                <w:sz w:val="21"/>
              </w:rPr>
              <w:t>ND</w:t>
            </w:r>
          </w:p>
        </w:tc>
        <w:tc>
          <w:tcPr>
            <w:tcW w:w="1001" w:type="dxa"/>
          </w:tcPr>
          <w:p w14:paraId="1A8EA917">
            <w:pPr>
              <w:pStyle w:val="17"/>
              <w:spacing w:before="35"/>
              <w:ind w:left="72" w:right="62"/>
              <w:rPr>
                <w:rFonts w:ascii="Times New Roman"/>
                <w:sz w:val="21"/>
              </w:rPr>
            </w:pPr>
            <w:r>
              <w:rPr>
                <w:rFonts w:ascii="Times New Roman"/>
                <w:sz w:val="21"/>
              </w:rPr>
              <w:t>ND</w:t>
            </w:r>
          </w:p>
        </w:tc>
        <w:tc>
          <w:tcPr>
            <w:tcW w:w="1115" w:type="dxa"/>
          </w:tcPr>
          <w:p w14:paraId="5C634404">
            <w:pPr>
              <w:pStyle w:val="17"/>
              <w:spacing w:before="35"/>
              <w:ind w:left="10"/>
              <w:rPr>
                <w:rFonts w:ascii="Times New Roman"/>
                <w:sz w:val="21"/>
              </w:rPr>
            </w:pPr>
            <w:r>
              <w:rPr>
                <w:rFonts w:ascii="Times New Roman"/>
                <w:w w:val="99"/>
                <w:sz w:val="21"/>
              </w:rPr>
              <w:t>0</w:t>
            </w:r>
          </w:p>
        </w:tc>
        <w:tc>
          <w:tcPr>
            <w:tcW w:w="744" w:type="dxa"/>
          </w:tcPr>
          <w:p w14:paraId="3B4F0AF1">
            <w:pPr>
              <w:pStyle w:val="17"/>
              <w:spacing w:before="35"/>
              <w:ind w:left="9"/>
              <w:rPr>
                <w:rFonts w:ascii="Times New Roman"/>
                <w:sz w:val="21"/>
              </w:rPr>
            </w:pPr>
            <w:r>
              <w:rPr>
                <w:rFonts w:ascii="Times New Roman"/>
                <w:w w:val="99"/>
                <w:sz w:val="21"/>
              </w:rPr>
              <w:t>0</w:t>
            </w:r>
          </w:p>
        </w:tc>
        <w:tc>
          <w:tcPr>
            <w:tcW w:w="788" w:type="dxa"/>
          </w:tcPr>
          <w:p w14:paraId="79269514">
            <w:pPr>
              <w:pStyle w:val="17"/>
              <w:spacing w:before="35"/>
              <w:ind w:right="330"/>
              <w:jc w:val="right"/>
              <w:rPr>
                <w:rFonts w:ascii="Times New Roman"/>
                <w:sz w:val="21"/>
              </w:rPr>
            </w:pPr>
            <w:r>
              <w:rPr>
                <w:rFonts w:ascii="Times New Roman"/>
                <w:w w:val="99"/>
                <w:sz w:val="21"/>
              </w:rPr>
              <w:t>0</w:t>
            </w:r>
          </w:p>
        </w:tc>
        <w:tc>
          <w:tcPr>
            <w:tcW w:w="788" w:type="dxa"/>
          </w:tcPr>
          <w:p w14:paraId="4E726009">
            <w:pPr>
              <w:pStyle w:val="17"/>
              <w:spacing w:before="35"/>
              <w:ind w:left="58" w:right="49"/>
              <w:rPr>
                <w:rFonts w:ascii="Times New Roman"/>
                <w:sz w:val="21"/>
              </w:rPr>
            </w:pPr>
            <w:r>
              <w:rPr>
                <w:rFonts w:ascii="Times New Roman"/>
                <w:sz w:val="21"/>
              </w:rPr>
              <w:t>0.005</w:t>
            </w:r>
          </w:p>
        </w:tc>
        <w:tc>
          <w:tcPr>
            <w:tcW w:w="763" w:type="dxa"/>
            <w:tcBorders>
              <w:right w:val="nil"/>
            </w:tcBorders>
          </w:tcPr>
          <w:p w14:paraId="5AC9A237">
            <w:pPr>
              <w:pStyle w:val="17"/>
              <w:spacing w:before="21"/>
              <w:ind w:left="171"/>
              <w:jc w:val="left"/>
              <w:rPr>
                <w:sz w:val="21"/>
              </w:rPr>
            </w:pPr>
            <w:r>
              <w:rPr>
                <w:sz w:val="21"/>
              </w:rPr>
              <w:t>达标</w:t>
            </w:r>
          </w:p>
        </w:tc>
      </w:tr>
      <w:tr w14:paraId="6192B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9" w:type="dxa"/>
            <w:vMerge w:val="continue"/>
            <w:tcBorders>
              <w:top w:val="nil"/>
              <w:left w:val="nil"/>
            </w:tcBorders>
          </w:tcPr>
          <w:p w14:paraId="389B4326">
            <w:pPr>
              <w:rPr>
                <w:sz w:val="2"/>
                <w:szCs w:val="2"/>
              </w:rPr>
            </w:pPr>
          </w:p>
        </w:tc>
        <w:tc>
          <w:tcPr>
            <w:tcW w:w="1028" w:type="dxa"/>
          </w:tcPr>
          <w:p w14:paraId="7CFFED2B">
            <w:pPr>
              <w:pStyle w:val="17"/>
              <w:spacing w:before="21"/>
              <w:ind w:left="7"/>
              <w:rPr>
                <w:sz w:val="21"/>
              </w:rPr>
            </w:pPr>
            <w:r>
              <w:rPr>
                <w:w w:val="99"/>
                <w:sz w:val="21"/>
              </w:rPr>
              <w:t>铊</w:t>
            </w:r>
          </w:p>
        </w:tc>
        <w:tc>
          <w:tcPr>
            <w:tcW w:w="1001" w:type="dxa"/>
          </w:tcPr>
          <w:p w14:paraId="29253CF7">
            <w:pPr>
              <w:pStyle w:val="17"/>
              <w:spacing w:before="35"/>
              <w:ind w:left="68" w:right="62"/>
              <w:rPr>
                <w:rFonts w:ascii="Times New Roman"/>
                <w:sz w:val="21"/>
              </w:rPr>
            </w:pPr>
            <w:r>
              <w:rPr>
                <w:rFonts w:ascii="Times New Roman"/>
                <w:sz w:val="21"/>
              </w:rPr>
              <w:t>ND</w:t>
            </w:r>
          </w:p>
        </w:tc>
        <w:tc>
          <w:tcPr>
            <w:tcW w:w="1001" w:type="dxa"/>
          </w:tcPr>
          <w:p w14:paraId="409888FB">
            <w:pPr>
              <w:pStyle w:val="17"/>
              <w:spacing w:before="35"/>
              <w:ind w:left="72" w:right="62"/>
              <w:rPr>
                <w:rFonts w:ascii="Times New Roman"/>
                <w:sz w:val="21"/>
              </w:rPr>
            </w:pPr>
            <w:r>
              <w:rPr>
                <w:rFonts w:ascii="Times New Roman"/>
                <w:sz w:val="21"/>
              </w:rPr>
              <w:t>ND</w:t>
            </w:r>
          </w:p>
        </w:tc>
        <w:tc>
          <w:tcPr>
            <w:tcW w:w="1115" w:type="dxa"/>
          </w:tcPr>
          <w:p w14:paraId="41922360">
            <w:pPr>
              <w:pStyle w:val="17"/>
              <w:spacing w:before="35"/>
              <w:ind w:left="10"/>
              <w:rPr>
                <w:rFonts w:ascii="Times New Roman"/>
                <w:sz w:val="21"/>
              </w:rPr>
            </w:pPr>
            <w:r>
              <w:rPr>
                <w:rFonts w:ascii="Times New Roman"/>
                <w:w w:val="99"/>
                <w:sz w:val="21"/>
              </w:rPr>
              <w:t>0</w:t>
            </w:r>
          </w:p>
        </w:tc>
        <w:tc>
          <w:tcPr>
            <w:tcW w:w="744" w:type="dxa"/>
          </w:tcPr>
          <w:p w14:paraId="5B4ABD0E">
            <w:pPr>
              <w:pStyle w:val="17"/>
              <w:spacing w:before="35"/>
              <w:ind w:left="9"/>
              <w:rPr>
                <w:rFonts w:ascii="Times New Roman"/>
                <w:sz w:val="21"/>
              </w:rPr>
            </w:pPr>
            <w:r>
              <w:rPr>
                <w:rFonts w:ascii="Times New Roman"/>
                <w:w w:val="99"/>
                <w:sz w:val="21"/>
              </w:rPr>
              <w:t>0</w:t>
            </w:r>
          </w:p>
        </w:tc>
        <w:tc>
          <w:tcPr>
            <w:tcW w:w="788" w:type="dxa"/>
          </w:tcPr>
          <w:p w14:paraId="58F1437A">
            <w:pPr>
              <w:pStyle w:val="17"/>
              <w:spacing w:before="35"/>
              <w:ind w:right="330"/>
              <w:jc w:val="right"/>
              <w:rPr>
                <w:rFonts w:ascii="Times New Roman"/>
                <w:sz w:val="21"/>
              </w:rPr>
            </w:pPr>
            <w:r>
              <w:rPr>
                <w:rFonts w:ascii="Times New Roman"/>
                <w:w w:val="99"/>
                <w:sz w:val="21"/>
              </w:rPr>
              <w:t>0</w:t>
            </w:r>
          </w:p>
        </w:tc>
        <w:tc>
          <w:tcPr>
            <w:tcW w:w="788" w:type="dxa"/>
          </w:tcPr>
          <w:p w14:paraId="4BF84883">
            <w:pPr>
              <w:pStyle w:val="17"/>
              <w:spacing w:before="35"/>
              <w:ind w:left="58" w:right="49"/>
              <w:rPr>
                <w:rFonts w:ascii="Times New Roman"/>
                <w:sz w:val="21"/>
              </w:rPr>
            </w:pPr>
            <w:r>
              <w:rPr>
                <w:rFonts w:ascii="Times New Roman"/>
                <w:sz w:val="21"/>
              </w:rPr>
              <w:t>0.0001</w:t>
            </w:r>
          </w:p>
        </w:tc>
        <w:tc>
          <w:tcPr>
            <w:tcW w:w="763" w:type="dxa"/>
            <w:tcBorders>
              <w:right w:val="nil"/>
            </w:tcBorders>
          </w:tcPr>
          <w:p w14:paraId="7836F049">
            <w:pPr>
              <w:pStyle w:val="17"/>
              <w:spacing w:before="21"/>
              <w:ind w:left="171"/>
              <w:jc w:val="left"/>
              <w:rPr>
                <w:sz w:val="21"/>
              </w:rPr>
            </w:pPr>
            <w:r>
              <w:rPr>
                <w:sz w:val="21"/>
              </w:rPr>
              <w:t>达标</w:t>
            </w:r>
          </w:p>
        </w:tc>
      </w:tr>
      <w:tr w14:paraId="24047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9" w:type="dxa"/>
            <w:vMerge w:val="continue"/>
            <w:tcBorders>
              <w:top w:val="nil"/>
              <w:left w:val="nil"/>
            </w:tcBorders>
          </w:tcPr>
          <w:p w14:paraId="05C7D5B4">
            <w:pPr>
              <w:rPr>
                <w:sz w:val="2"/>
                <w:szCs w:val="2"/>
              </w:rPr>
            </w:pPr>
          </w:p>
        </w:tc>
        <w:tc>
          <w:tcPr>
            <w:tcW w:w="1028" w:type="dxa"/>
          </w:tcPr>
          <w:p w14:paraId="40A117D1">
            <w:pPr>
              <w:pStyle w:val="17"/>
              <w:spacing w:before="21"/>
              <w:ind w:left="66" w:right="56"/>
              <w:rPr>
                <w:sz w:val="21"/>
              </w:rPr>
            </w:pPr>
            <w:r>
              <w:rPr>
                <w:sz w:val="21"/>
              </w:rPr>
              <w:t>六价铬</w:t>
            </w:r>
          </w:p>
        </w:tc>
        <w:tc>
          <w:tcPr>
            <w:tcW w:w="1001" w:type="dxa"/>
          </w:tcPr>
          <w:p w14:paraId="3953FDA3">
            <w:pPr>
              <w:pStyle w:val="17"/>
              <w:spacing w:before="34"/>
              <w:ind w:left="68" w:right="62"/>
              <w:rPr>
                <w:rFonts w:ascii="Times New Roman"/>
                <w:sz w:val="21"/>
              </w:rPr>
            </w:pPr>
            <w:r>
              <w:rPr>
                <w:rFonts w:ascii="Times New Roman"/>
                <w:sz w:val="21"/>
              </w:rPr>
              <w:t>ND</w:t>
            </w:r>
          </w:p>
        </w:tc>
        <w:tc>
          <w:tcPr>
            <w:tcW w:w="1001" w:type="dxa"/>
          </w:tcPr>
          <w:p w14:paraId="015F765F">
            <w:pPr>
              <w:pStyle w:val="17"/>
              <w:spacing w:before="34"/>
              <w:ind w:left="72" w:right="62"/>
              <w:rPr>
                <w:rFonts w:ascii="Times New Roman"/>
                <w:sz w:val="21"/>
              </w:rPr>
            </w:pPr>
            <w:r>
              <w:rPr>
                <w:rFonts w:ascii="Times New Roman"/>
                <w:sz w:val="21"/>
              </w:rPr>
              <w:t>ND</w:t>
            </w:r>
          </w:p>
        </w:tc>
        <w:tc>
          <w:tcPr>
            <w:tcW w:w="1115" w:type="dxa"/>
          </w:tcPr>
          <w:p w14:paraId="2DC7241D">
            <w:pPr>
              <w:pStyle w:val="17"/>
              <w:spacing w:before="34"/>
              <w:ind w:left="10"/>
              <w:rPr>
                <w:rFonts w:ascii="Times New Roman"/>
                <w:sz w:val="21"/>
              </w:rPr>
            </w:pPr>
            <w:r>
              <w:rPr>
                <w:rFonts w:ascii="Times New Roman"/>
                <w:w w:val="99"/>
                <w:sz w:val="21"/>
              </w:rPr>
              <w:t>0</w:t>
            </w:r>
          </w:p>
        </w:tc>
        <w:tc>
          <w:tcPr>
            <w:tcW w:w="744" w:type="dxa"/>
          </w:tcPr>
          <w:p w14:paraId="4B41D2E9">
            <w:pPr>
              <w:pStyle w:val="17"/>
              <w:spacing w:before="34"/>
              <w:ind w:left="9"/>
              <w:rPr>
                <w:rFonts w:ascii="Times New Roman"/>
                <w:sz w:val="21"/>
              </w:rPr>
            </w:pPr>
            <w:r>
              <w:rPr>
                <w:rFonts w:ascii="Times New Roman"/>
                <w:w w:val="99"/>
                <w:sz w:val="21"/>
              </w:rPr>
              <w:t>0</w:t>
            </w:r>
          </w:p>
        </w:tc>
        <w:tc>
          <w:tcPr>
            <w:tcW w:w="788" w:type="dxa"/>
          </w:tcPr>
          <w:p w14:paraId="49E8DABE">
            <w:pPr>
              <w:pStyle w:val="17"/>
              <w:spacing w:before="34"/>
              <w:ind w:right="330"/>
              <w:jc w:val="right"/>
              <w:rPr>
                <w:rFonts w:ascii="Times New Roman"/>
                <w:sz w:val="21"/>
              </w:rPr>
            </w:pPr>
            <w:r>
              <w:rPr>
                <w:rFonts w:ascii="Times New Roman"/>
                <w:w w:val="99"/>
                <w:sz w:val="21"/>
              </w:rPr>
              <w:t>0</w:t>
            </w:r>
          </w:p>
        </w:tc>
        <w:tc>
          <w:tcPr>
            <w:tcW w:w="788" w:type="dxa"/>
          </w:tcPr>
          <w:p w14:paraId="0661AD4F">
            <w:pPr>
              <w:pStyle w:val="17"/>
              <w:spacing w:before="34"/>
              <w:ind w:left="58" w:right="47"/>
              <w:rPr>
                <w:rFonts w:ascii="Times New Roman"/>
                <w:sz w:val="21"/>
              </w:rPr>
            </w:pPr>
            <w:r>
              <w:rPr>
                <w:rFonts w:ascii="Times New Roman"/>
                <w:sz w:val="21"/>
              </w:rPr>
              <w:t>0.05</w:t>
            </w:r>
          </w:p>
        </w:tc>
        <w:tc>
          <w:tcPr>
            <w:tcW w:w="763" w:type="dxa"/>
            <w:tcBorders>
              <w:right w:val="nil"/>
            </w:tcBorders>
          </w:tcPr>
          <w:p w14:paraId="0877BF96">
            <w:pPr>
              <w:pStyle w:val="17"/>
              <w:spacing w:before="21"/>
              <w:ind w:left="171"/>
              <w:jc w:val="left"/>
              <w:rPr>
                <w:sz w:val="21"/>
              </w:rPr>
            </w:pPr>
            <w:r>
              <w:rPr>
                <w:sz w:val="21"/>
              </w:rPr>
              <w:t>达标</w:t>
            </w:r>
          </w:p>
        </w:tc>
      </w:tr>
    </w:tbl>
    <w:p w14:paraId="6A6C65F1">
      <w:pPr>
        <w:pStyle w:val="10"/>
        <w:spacing w:before="2" w:line="364" w:lineRule="auto"/>
        <w:ind w:left="240" w:right="199" w:firstLine="480"/>
        <w:jc w:val="both"/>
      </w:pPr>
      <w:r>
        <w:t>监测结果表明，</w:t>
      </w:r>
      <w:r>
        <w:rPr>
          <w:rFonts w:ascii="Times New Roman" w:eastAsia="Times New Roman"/>
        </w:rPr>
        <w:t xml:space="preserve">2023 </w:t>
      </w:r>
      <w:r>
        <w:rPr>
          <w:spacing w:val="-3"/>
        </w:rPr>
        <w:t xml:space="preserve">年湄江河、汨罗市城市污水处理厂排污口上游 </w:t>
      </w:r>
      <w:r>
        <w:rPr>
          <w:rFonts w:ascii="Times New Roman" w:eastAsia="Times New Roman"/>
        </w:rPr>
        <w:t>500m</w:t>
      </w:r>
      <w:r>
        <w:t>、</w:t>
      </w:r>
      <w:r>
        <w:rPr>
          <w:spacing w:val="-3"/>
        </w:rPr>
        <w:t xml:space="preserve">汨罗市城市污水处理厂排污口下游 </w:t>
      </w:r>
      <w:r>
        <w:rPr>
          <w:rFonts w:ascii="Times New Roman" w:eastAsia="Times New Roman"/>
        </w:rPr>
        <w:t xml:space="preserve">1500m </w:t>
      </w:r>
      <w:r>
        <w:t>地表水环境质量符合《地表水环境质量标准》（</w:t>
      </w:r>
      <w:r>
        <w:rPr>
          <w:rFonts w:ascii="Times New Roman" w:eastAsia="Times New Roman"/>
        </w:rPr>
        <w:t>GB3838-2002</w:t>
      </w:r>
      <w:r>
        <w:t>）</w:t>
      </w:r>
      <w:r>
        <w:rPr>
          <w:spacing w:val="-31"/>
        </w:rPr>
        <w:t xml:space="preserve">表 </w:t>
      </w:r>
      <w:r>
        <w:rPr>
          <w:rFonts w:ascii="Times New Roman" w:eastAsia="Times New Roman"/>
        </w:rPr>
        <w:t xml:space="preserve">1 </w:t>
      </w:r>
      <w:r>
        <w:rPr>
          <w:spacing w:val="-31"/>
        </w:rPr>
        <w:t xml:space="preserve">中 </w:t>
      </w:r>
      <w:r>
        <w:rPr>
          <w:rFonts w:ascii="Times New Roman" w:eastAsia="Times New Roman"/>
        </w:rPr>
        <w:t xml:space="preserve">III </w:t>
      </w:r>
      <w:r>
        <w:t>类水质标准要求。</w:t>
      </w:r>
    </w:p>
    <w:p w14:paraId="21BA69D1">
      <w:pPr>
        <w:spacing w:after="0" w:line="364" w:lineRule="auto"/>
        <w:jc w:val="both"/>
        <w:sectPr>
          <w:pgSz w:w="11910" w:h="16840"/>
          <w:pgMar w:top="1420" w:right="1560" w:bottom="1220" w:left="1560" w:header="0" w:footer="1024" w:gutter="0"/>
          <w:cols w:space="720" w:num="1"/>
        </w:sectPr>
      </w:pPr>
    </w:p>
    <w:p w14:paraId="5D9FE4B5">
      <w:pPr>
        <w:pStyle w:val="16"/>
        <w:numPr>
          <w:ilvl w:val="2"/>
          <w:numId w:val="15"/>
        </w:numPr>
        <w:tabs>
          <w:tab w:val="left" w:pos="869"/>
        </w:tabs>
        <w:spacing w:before="55" w:after="0" w:line="240" w:lineRule="auto"/>
        <w:ind w:left="868" w:right="0" w:hanging="628"/>
        <w:jc w:val="left"/>
        <w:rPr>
          <w:b/>
          <w:sz w:val="28"/>
        </w:rPr>
      </w:pPr>
      <w:r>
        <w:rPr>
          <w:b/>
          <w:sz w:val="28"/>
        </w:rPr>
        <w:t>地下水环境现状监测与评价</w:t>
      </w:r>
    </w:p>
    <w:p w14:paraId="62371811">
      <w:pPr>
        <w:pStyle w:val="10"/>
        <w:spacing w:before="212" w:line="364" w:lineRule="auto"/>
        <w:ind w:left="240" w:right="237" w:firstLine="480"/>
        <w:jc w:val="right"/>
      </w:pPr>
      <w:r>
        <w:rPr>
          <w:spacing w:val="-7"/>
        </w:rPr>
        <w:t>根据《环境影响评价技术导则 地下水环境》</w:t>
      </w:r>
      <w:r>
        <w:t>（</w:t>
      </w:r>
      <w:r>
        <w:rPr>
          <w:rFonts w:ascii="Times New Roman" w:hAnsi="Times New Roman" w:eastAsia="Times New Roman"/>
        </w:rPr>
        <w:t>HJ610-2016</w:t>
      </w:r>
      <w:r>
        <w:t>）</w:t>
      </w:r>
      <w:r>
        <w:rPr>
          <w:spacing w:val="-2"/>
        </w:rPr>
        <w:t>中要求，</w:t>
      </w:r>
      <w:r>
        <w:rPr>
          <w:rFonts w:ascii="Times New Roman" w:hAnsi="Times New Roman" w:eastAsia="Times New Roman"/>
          <w:spacing w:val="-8"/>
        </w:rPr>
        <w:t>“</w:t>
      </w:r>
      <w:r>
        <w:t>评价</w:t>
      </w:r>
      <w:r>
        <w:rPr>
          <w:spacing w:val="-9"/>
        </w:rPr>
        <w:t xml:space="preserve">等级为三级的建设项目，若掌握近 </w:t>
      </w:r>
      <w:r>
        <w:rPr>
          <w:rFonts w:ascii="Times New Roman" w:hAnsi="Times New Roman" w:eastAsia="Times New Roman"/>
        </w:rPr>
        <w:t xml:space="preserve">3 </w:t>
      </w:r>
      <w:r>
        <w:rPr>
          <w:spacing w:val="-4"/>
        </w:rPr>
        <w:t>年内至少一期的监测资料，评价期内可不再</w:t>
      </w:r>
    </w:p>
    <w:p w14:paraId="7D13B01F">
      <w:pPr>
        <w:pStyle w:val="10"/>
        <w:spacing w:before="1" w:line="364" w:lineRule="auto"/>
        <w:ind w:left="240" w:right="237"/>
        <w:jc w:val="both"/>
      </w:pPr>
      <w:r>
        <w:t>进行现状水位监测</w:t>
      </w:r>
      <w:r>
        <w:rPr>
          <w:rFonts w:ascii="Times New Roman" w:hAnsi="Times New Roman" w:eastAsia="Times New Roman"/>
          <w:spacing w:val="-18"/>
        </w:rPr>
        <w:t>”</w:t>
      </w:r>
      <w:r>
        <w:rPr>
          <w:spacing w:val="-6"/>
        </w:rPr>
        <w:t xml:space="preserve">，“三级评价项目潜水含水层水质监测点应不少于 </w:t>
      </w:r>
      <w:r>
        <w:rPr>
          <w:rFonts w:ascii="Times New Roman" w:hAnsi="Times New Roman" w:eastAsia="Times New Roman"/>
        </w:rPr>
        <w:t xml:space="preserve">3 </w:t>
      </w:r>
      <w:r>
        <w:rPr>
          <w:spacing w:val="-10"/>
        </w:rPr>
        <w:t xml:space="preserve">个，可能受建设项目影响且具有饮用水开发利用价值的含水层 </w:t>
      </w:r>
      <w:r>
        <w:rPr>
          <w:rFonts w:ascii="Times New Roman" w:hAnsi="Times New Roman" w:eastAsia="Times New Roman"/>
        </w:rPr>
        <w:t xml:space="preserve">1~2 </w:t>
      </w:r>
      <w:r>
        <w:t xml:space="preserve">个。原则上建设项目场地上游及下游影响区的地下水水质监测点各不得少于 </w:t>
      </w:r>
      <w:r>
        <w:rPr>
          <w:rFonts w:ascii="Times New Roman" w:hAnsi="Times New Roman" w:eastAsia="Times New Roman"/>
        </w:rPr>
        <w:t xml:space="preserve">1 </w:t>
      </w:r>
      <w:r>
        <w:t>个”。</w:t>
      </w:r>
    </w:p>
    <w:p w14:paraId="3E007C6F">
      <w:pPr>
        <w:pStyle w:val="10"/>
        <w:spacing w:before="2" w:line="364" w:lineRule="auto"/>
        <w:ind w:left="240" w:right="237" w:firstLine="480"/>
        <w:jc w:val="both"/>
      </w:pPr>
      <w:r>
        <w:rPr>
          <w:spacing w:val="2"/>
        </w:rPr>
        <w:t xml:space="preserve">本项目引用《湖南锂汇通新能源科技有限责任公司汨罗分公司年处理 </w:t>
      </w:r>
      <w:r>
        <w:rPr>
          <w:rFonts w:ascii="Times New Roman" w:eastAsia="Times New Roman"/>
        </w:rPr>
        <w:t xml:space="preserve">1.5 </w:t>
      </w:r>
      <w:r>
        <w:rPr>
          <w:spacing w:val="-4"/>
        </w:rPr>
        <w:t>万吨废旧动力蓄电池回收拆解破碎项目环境影响报告书》中委托湖南谱实检测技</w:t>
      </w:r>
      <w:r>
        <w:rPr>
          <w:spacing w:val="-11"/>
        </w:rPr>
        <w:t xml:space="preserve">术有限公司分别于 </w:t>
      </w:r>
      <w:r>
        <w:rPr>
          <w:rFonts w:ascii="Times New Roman" w:eastAsia="Times New Roman"/>
        </w:rPr>
        <w:t xml:space="preserve">2023 </w:t>
      </w:r>
      <w:r>
        <w:rPr>
          <w:spacing w:val="-31"/>
        </w:rPr>
        <w:t xml:space="preserve">年 </w:t>
      </w:r>
      <w:r>
        <w:rPr>
          <w:rFonts w:ascii="Times New Roman" w:eastAsia="Times New Roman"/>
        </w:rPr>
        <w:t xml:space="preserve">1 </w:t>
      </w:r>
      <w:r>
        <w:rPr>
          <w:spacing w:val="-31"/>
        </w:rPr>
        <w:t xml:space="preserve">月 </w:t>
      </w:r>
      <w:r>
        <w:rPr>
          <w:rFonts w:ascii="Times New Roman" w:eastAsia="Times New Roman"/>
        </w:rPr>
        <w:t xml:space="preserve">7 </w:t>
      </w:r>
      <w:r>
        <w:rPr>
          <w:spacing w:val="-17"/>
        </w:rPr>
        <w:t>日、</w:t>
      </w:r>
      <w:r>
        <w:rPr>
          <w:rFonts w:ascii="Times New Roman" w:eastAsia="Times New Roman"/>
        </w:rPr>
        <w:t xml:space="preserve">2023 </w:t>
      </w:r>
      <w:r>
        <w:rPr>
          <w:spacing w:val="-31"/>
        </w:rPr>
        <w:t xml:space="preserve">年 </w:t>
      </w:r>
      <w:r>
        <w:rPr>
          <w:rFonts w:ascii="Times New Roman" w:eastAsia="Times New Roman"/>
        </w:rPr>
        <w:t xml:space="preserve">3 </w:t>
      </w:r>
      <w:r>
        <w:rPr>
          <w:spacing w:val="-31"/>
        </w:rPr>
        <w:t xml:space="preserve">月 </w:t>
      </w:r>
      <w:r>
        <w:rPr>
          <w:rFonts w:ascii="Times New Roman" w:eastAsia="Times New Roman"/>
        </w:rPr>
        <w:t xml:space="preserve">6 </w:t>
      </w:r>
      <w:r>
        <w:t>日对区域地下水环境进行的</w:t>
      </w:r>
      <w:r>
        <w:rPr>
          <w:spacing w:val="-10"/>
        </w:rPr>
        <w:t xml:space="preserve">现状监测数据，本项目位于锂汇通公司东北侧 </w:t>
      </w:r>
      <w:r>
        <w:rPr>
          <w:rFonts w:ascii="Times New Roman" w:eastAsia="Times New Roman"/>
          <w:spacing w:val="-9"/>
        </w:rPr>
        <w:t>1055m</w:t>
      </w:r>
      <w:r>
        <w:rPr>
          <w:spacing w:val="-3"/>
        </w:rPr>
        <w:t>，本项目与锂汇通公司处于</w:t>
      </w:r>
      <w:r>
        <w:rPr>
          <w:spacing w:val="-12"/>
        </w:rPr>
        <w:t xml:space="preserve">同一水文地质单元，且监测时间在近 </w:t>
      </w:r>
      <w:r>
        <w:rPr>
          <w:rFonts w:ascii="Times New Roman" w:eastAsia="Times New Roman"/>
        </w:rPr>
        <w:t xml:space="preserve">3 </w:t>
      </w:r>
      <w:r>
        <w:rPr>
          <w:spacing w:val="-13"/>
        </w:rPr>
        <w:t xml:space="preserve">年内，该监测数据中 </w:t>
      </w:r>
      <w:r>
        <w:rPr>
          <w:rFonts w:ascii="Times New Roman" w:eastAsia="Times New Roman"/>
        </w:rPr>
        <w:t xml:space="preserve">5 </w:t>
      </w:r>
      <w:r>
        <w:t>个地下水水质采样</w:t>
      </w:r>
      <w:r>
        <w:rPr>
          <w:spacing w:val="10"/>
        </w:rPr>
        <w:t>点，</w:t>
      </w:r>
      <w:r>
        <w:rPr>
          <w:rFonts w:ascii="Times New Roman" w:eastAsia="Times New Roman"/>
          <w:spacing w:val="8"/>
        </w:rPr>
        <w:t>9</w:t>
      </w:r>
      <w:r>
        <w:rPr>
          <w:rFonts w:ascii="Times New Roman" w:eastAsia="Times New Roman"/>
          <w:spacing w:val="7"/>
        </w:rPr>
        <w:t xml:space="preserve"> </w:t>
      </w:r>
      <w:r>
        <w:rPr>
          <w:spacing w:val="13"/>
        </w:rPr>
        <w:t>个地下水水位采样点，符合《环境影响评价技术导则 地下水环境》</w:t>
      </w:r>
    </w:p>
    <w:p w14:paraId="774F8986">
      <w:pPr>
        <w:pStyle w:val="10"/>
        <w:spacing w:before="4"/>
        <w:ind w:left="240"/>
        <w:jc w:val="both"/>
      </w:pPr>
      <w:r>
        <w:t>（</w:t>
      </w:r>
      <w:r>
        <w:rPr>
          <w:rFonts w:ascii="Times New Roman" w:eastAsia="Times New Roman"/>
        </w:rPr>
        <w:t>HJ610-2016</w:t>
      </w:r>
      <w:r>
        <w:t>）中相关要求，本次评价引用地下水监测数据可行。</w:t>
      </w:r>
    </w:p>
    <w:p w14:paraId="210DB127">
      <w:pPr>
        <w:pStyle w:val="10"/>
        <w:spacing w:before="160"/>
        <w:ind w:left="720"/>
      </w:pPr>
      <w:r>
        <w:rPr>
          <w:rFonts w:ascii="Times New Roman" w:eastAsia="Times New Roman"/>
        </w:rPr>
        <w:t>1</w:t>
      </w:r>
      <w:r>
        <w:t>、引用监测点位：</w:t>
      </w:r>
    </w:p>
    <w:p w14:paraId="1792A70C">
      <w:pPr>
        <w:pStyle w:val="9"/>
        <w:spacing w:before="161"/>
        <w:ind w:left="2728"/>
      </w:pPr>
      <w:r>
        <w:pict>
          <v:shape id="_x0000_s1229" o:spid="_x0000_s1229" o:spt="202" type="#_x0000_t202" style="position:absolute;left:0pt;margin-left:87pt;margin-top:27.4pt;height:331.7pt;width:421.5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714"/>
                    <w:gridCol w:w="2046"/>
                    <w:gridCol w:w="1138"/>
                    <w:gridCol w:w="2823"/>
                  </w:tblGrid>
                  <w:tr w14:paraId="01076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3A7D1FC9">
                        <w:pPr>
                          <w:pStyle w:val="17"/>
                          <w:spacing w:before="136"/>
                          <w:ind w:left="120" w:right="109"/>
                          <w:rPr>
                            <w:sz w:val="21"/>
                          </w:rPr>
                        </w:pPr>
                        <w:r>
                          <w:rPr>
                            <w:sz w:val="21"/>
                          </w:rPr>
                          <w:t>序号</w:t>
                        </w:r>
                      </w:p>
                    </w:tc>
                    <w:tc>
                      <w:tcPr>
                        <w:tcW w:w="1714" w:type="dxa"/>
                      </w:tcPr>
                      <w:p w14:paraId="0519FD6E">
                        <w:pPr>
                          <w:pStyle w:val="17"/>
                          <w:spacing w:before="136"/>
                          <w:ind w:left="8"/>
                          <w:rPr>
                            <w:sz w:val="21"/>
                          </w:rPr>
                        </w:pPr>
                        <w:r>
                          <w:rPr>
                            <w:sz w:val="21"/>
                          </w:rPr>
                          <w:t>位置</w:t>
                        </w:r>
                      </w:p>
                    </w:tc>
                    <w:tc>
                      <w:tcPr>
                        <w:tcW w:w="2046" w:type="dxa"/>
                      </w:tcPr>
                      <w:p w14:paraId="763606C1">
                        <w:pPr>
                          <w:pStyle w:val="17"/>
                          <w:spacing w:before="136"/>
                          <w:ind w:left="6"/>
                          <w:rPr>
                            <w:sz w:val="21"/>
                          </w:rPr>
                        </w:pPr>
                        <w:r>
                          <w:rPr>
                            <w:sz w:val="21"/>
                          </w:rPr>
                          <w:t>坐标</w:t>
                        </w:r>
                      </w:p>
                    </w:tc>
                    <w:tc>
                      <w:tcPr>
                        <w:tcW w:w="1138" w:type="dxa"/>
                      </w:tcPr>
                      <w:p w14:paraId="4E023149">
                        <w:pPr>
                          <w:pStyle w:val="17"/>
                          <w:spacing w:before="1" w:line="270" w:lineRule="atLeast"/>
                          <w:ind w:left="148" w:right="139"/>
                          <w:jc w:val="left"/>
                          <w:rPr>
                            <w:sz w:val="21"/>
                          </w:rPr>
                        </w:pPr>
                        <w:r>
                          <w:rPr>
                            <w:w w:val="95"/>
                            <w:sz w:val="21"/>
                          </w:rPr>
                          <w:t>是否在评价范围内</w:t>
                        </w:r>
                      </w:p>
                    </w:tc>
                    <w:tc>
                      <w:tcPr>
                        <w:tcW w:w="2823" w:type="dxa"/>
                        <w:tcBorders>
                          <w:right w:val="nil"/>
                        </w:tcBorders>
                      </w:tcPr>
                      <w:p w14:paraId="6B2F0D5F">
                        <w:pPr>
                          <w:pStyle w:val="17"/>
                          <w:spacing w:before="136"/>
                          <w:ind w:left="30" w:right="29"/>
                          <w:rPr>
                            <w:sz w:val="21"/>
                          </w:rPr>
                        </w:pPr>
                        <w:r>
                          <w:rPr>
                            <w:sz w:val="21"/>
                          </w:rPr>
                          <w:t>监测因子</w:t>
                        </w:r>
                      </w:p>
                    </w:tc>
                  </w:tr>
                  <w:tr w14:paraId="2E358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4" w:type="dxa"/>
                        <w:tcBorders>
                          <w:left w:val="nil"/>
                        </w:tcBorders>
                      </w:tcPr>
                      <w:p w14:paraId="01DE51CC">
                        <w:pPr>
                          <w:pStyle w:val="17"/>
                          <w:spacing w:before="149"/>
                          <w:ind w:left="120" w:right="108"/>
                          <w:rPr>
                            <w:rFonts w:ascii="Times New Roman"/>
                            <w:sz w:val="21"/>
                          </w:rPr>
                        </w:pPr>
                        <w:r>
                          <w:rPr>
                            <w:rFonts w:ascii="Times New Roman"/>
                            <w:sz w:val="21"/>
                          </w:rPr>
                          <w:t>D1</w:t>
                        </w:r>
                      </w:p>
                    </w:tc>
                    <w:tc>
                      <w:tcPr>
                        <w:tcW w:w="1714" w:type="dxa"/>
                      </w:tcPr>
                      <w:p w14:paraId="0EA544A8">
                        <w:pPr>
                          <w:pStyle w:val="17"/>
                          <w:spacing w:before="135"/>
                          <w:ind w:left="8"/>
                          <w:rPr>
                            <w:sz w:val="21"/>
                          </w:rPr>
                        </w:pPr>
                        <w:r>
                          <w:rPr>
                            <w:sz w:val="21"/>
                          </w:rPr>
                          <w:t>烟家冲现有水井</w:t>
                        </w:r>
                      </w:p>
                    </w:tc>
                    <w:tc>
                      <w:tcPr>
                        <w:tcW w:w="2046" w:type="dxa"/>
                      </w:tcPr>
                      <w:p w14:paraId="7E5AD582">
                        <w:pPr>
                          <w:pStyle w:val="17"/>
                          <w:spacing w:line="268" w:lineRule="exact"/>
                          <w:ind w:left="33"/>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51.82</w:t>
                        </w:r>
                        <w:r>
                          <w:rPr>
                            <w:sz w:val="21"/>
                          </w:rPr>
                          <w:t>″，</w:t>
                        </w:r>
                      </w:p>
                      <w:p w14:paraId="5EFF815C">
                        <w:pPr>
                          <w:pStyle w:val="17"/>
                          <w:spacing w:before="4" w:line="251" w:lineRule="exact"/>
                          <w:ind w:left="8"/>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13.59</w:t>
                        </w:r>
                        <w:r>
                          <w:rPr>
                            <w:sz w:val="21"/>
                          </w:rPr>
                          <w:t>″</w:t>
                        </w:r>
                      </w:p>
                    </w:tc>
                    <w:tc>
                      <w:tcPr>
                        <w:tcW w:w="1138" w:type="dxa"/>
                      </w:tcPr>
                      <w:p w14:paraId="2626F83D">
                        <w:pPr>
                          <w:pStyle w:val="17"/>
                          <w:spacing w:before="135"/>
                          <w:ind w:left="7"/>
                          <w:rPr>
                            <w:sz w:val="21"/>
                          </w:rPr>
                        </w:pPr>
                        <w:r>
                          <w:rPr>
                            <w:w w:val="99"/>
                            <w:sz w:val="21"/>
                          </w:rPr>
                          <w:t>是</w:t>
                        </w:r>
                      </w:p>
                    </w:tc>
                    <w:tc>
                      <w:tcPr>
                        <w:tcW w:w="2823" w:type="dxa"/>
                        <w:vMerge w:val="restart"/>
                        <w:tcBorders>
                          <w:right w:val="nil"/>
                        </w:tcBorders>
                      </w:tcPr>
                      <w:p w14:paraId="01BB4556">
                        <w:pPr>
                          <w:pStyle w:val="17"/>
                          <w:spacing w:line="268" w:lineRule="exact"/>
                          <w:ind w:left="57"/>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 xml:space="preserve">Na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p>
                      <w:p w14:paraId="770E663F">
                        <w:pPr>
                          <w:pStyle w:val="17"/>
                          <w:spacing w:before="4" w:line="181" w:lineRule="exact"/>
                          <w:ind w:left="57"/>
                          <w:jc w:val="left"/>
                          <w:rPr>
                            <w:rFonts w:ascii="Times New Roman" w:eastAsia="Times New Roman"/>
                            <w:sz w:val="13"/>
                          </w:rPr>
                        </w:pPr>
                        <w:r>
                          <w:rPr>
                            <w:rFonts w:ascii="Times New Roman" w:eastAsia="Times New Roman"/>
                            <w:sz w:val="21"/>
                          </w:rPr>
                          <w:t xml:space="preserve">CO </w:t>
                        </w:r>
                        <w:r>
                          <w:rPr>
                            <w:rFonts w:ascii="Times New Roman" w:eastAsia="Times New Roman"/>
                            <w:position w:val="7"/>
                            <w:sz w:val="13"/>
                          </w:rPr>
                          <w:t>2-</w:t>
                        </w:r>
                        <w:r>
                          <w:rPr>
                            <w:spacing w:val="-29"/>
                            <w:sz w:val="21"/>
                          </w:rPr>
                          <w:t>、</w:t>
                        </w:r>
                        <w:r>
                          <w:rPr>
                            <w:rFonts w:ascii="Times New Roman" w:eastAsia="Times New Roman"/>
                            <w:sz w:val="21"/>
                          </w:rPr>
                          <w:t>HCO</w:t>
                        </w:r>
                        <w:r>
                          <w:rPr>
                            <w:rFonts w:ascii="Times New Roman" w:eastAsia="Times New Roman"/>
                            <w:position w:val="7"/>
                            <w:sz w:val="13"/>
                          </w:rPr>
                          <w:t>3-</w:t>
                        </w:r>
                        <w:r>
                          <w:rPr>
                            <w:spacing w:val="-15"/>
                            <w:sz w:val="21"/>
                          </w:rPr>
                          <w:t>、氯化物</w:t>
                        </w:r>
                        <w:r>
                          <w:rPr>
                            <w:sz w:val="21"/>
                          </w:rPr>
                          <w:t>（</w:t>
                        </w:r>
                        <w:r>
                          <w:rPr>
                            <w:spacing w:val="-26"/>
                            <w:sz w:val="21"/>
                          </w:rPr>
                          <w:t xml:space="preserve">以 </w:t>
                        </w:r>
                        <w:r>
                          <w:rPr>
                            <w:rFonts w:ascii="Times New Roman" w:eastAsia="Times New Roman"/>
                            <w:sz w:val="21"/>
                          </w:rPr>
                          <w:t>Cl</w:t>
                        </w:r>
                        <w:r>
                          <w:rPr>
                            <w:rFonts w:ascii="Times New Roman" w:eastAsia="Times New Roman"/>
                            <w:position w:val="7"/>
                            <w:sz w:val="13"/>
                          </w:rPr>
                          <w:t>-</w:t>
                        </w:r>
                      </w:p>
                      <w:p w14:paraId="6FF809D8">
                        <w:pPr>
                          <w:pStyle w:val="17"/>
                          <w:spacing w:line="74" w:lineRule="exact"/>
                          <w:ind w:left="347"/>
                          <w:jc w:val="left"/>
                          <w:rPr>
                            <w:rFonts w:ascii="Times New Roman"/>
                            <w:sz w:val="13"/>
                          </w:rPr>
                        </w:pPr>
                        <w:r>
                          <w:rPr>
                            <w:rFonts w:ascii="Times New Roman"/>
                            <w:w w:val="105"/>
                            <w:sz w:val="13"/>
                          </w:rPr>
                          <w:t>3</w:t>
                        </w:r>
                      </w:p>
                      <w:p w14:paraId="1987BEF9">
                        <w:pPr>
                          <w:pStyle w:val="17"/>
                          <w:spacing w:before="17" w:line="181" w:lineRule="exact"/>
                          <w:ind w:left="57"/>
                          <w:jc w:val="left"/>
                          <w:rPr>
                            <w:sz w:val="21"/>
                          </w:rPr>
                        </w:pPr>
                        <w:r>
                          <w:rPr>
                            <w:sz w:val="21"/>
                          </w:rPr>
                          <w:t xml:space="preserve">计）、硫酸盐（以 </w:t>
                        </w:r>
                        <w:r>
                          <w:rPr>
                            <w:rFonts w:ascii="Times New Roman" w:eastAsia="Times New Roman"/>
                            <w:sz w:val="21"/>
                          </w:rPr>
                          <w:t xml:space="preserve">SO </w:t>
                        </w:r>
                        <w:r>
                          <w:rPr>
                            <w:rFonts w:ascii="Times New Roman" w:eastAsia="Times New Roman"/>
                            <w:position w:val="7"/>
                            <w:sz w:val="13"/>
                          </w:rPr>
                          <w:t>2-</w:t>
                        </w:r>
                        <w:r>
                          <w:rPr>
                            <w:sz w:val="21"/>
                          </w:rPr>
                          <w:t>计）</w:t>
                        </w:r>
                      </w:p>
                      <w:p w14:paraId="0A741717">
                        <w:pPr>
                          <w:pStyle w:val="17"/>
                          <w:spacing w:line="74" w:lineRule="exact"/>
                          <w:ind w:right="691"/>
                          <w:jc w:val="right"/>
                          <w:rPr>
                            <w:rFonts w:ascii="Times New Roman"/>
                            <w:sz w:val="13"/>
                          </w:rPr>
                        </w:pPr>
                        <w:r>
                          <w:rPr>
                            <w:rFonts w:ascii="Times New Roman"/>
                            <w:w w:val="105"/>
                            <w:sz w:val="13"/>
                          </w:rPr>
                          <w:t>4</w:t>
                        </w:r>
                      </w:p>
                      <w:p w14:paraId="03DFC1E0">
                        <w:pPr>
                          <w:pStyle w:val="17"/>
                          <w:spacing w:before="18" w:line="242" w:lineRule="auto"/>
                          <w:ind w:left="57" w:right="29" w:firstLine="45"/>
                          <w:jc w:val="left"/>
                          <w:rPr>
                            <w:sz w:val="21"/>
                          </w:rPr>
                        </w:pPr>
                        <w:r>
                          <w:rPr>
                            <w:rFonts w:ascii="Times New Roman" w:eastAsia="Times New Roman"/>
                            <w:sz w:val="21"/>
                          </w:rPr>
                          <w:t xml:space="preserve">pH </w:t>
                        </w:r>
                        <w:r>
                          <w:rPr>
                            <w:sz w:val="21"/>
                          </w:rPr>
                          <w:t>值、溶解性总固体、总硬度、耗氧量（</w:t>
                        </w:r>
                        <w:r>
                          <w:rPr>
                            <w:rFonts w:ascii="Times New Roman" w:eastAsia="Times New Roman"/>
                            <w:sz w:val="21"/>
                          </w:rPr>
                          <w:t xml:space="preserve">CODMn </w:t>
                        </w:r>
                        <w:r>
                          <w:rPr>
                            <w:sz w:val="21"/>
                          </w:rPr>
                          <w:t>法）、</w:t>
                        </w:r>
                        <w:r>
                          <w:rPr>
                            <w:w w:val="95"/>
                            <w:sz w:val="21"/>
                          </w:rPr>
                          <w:t>六价铬、硝酸盐、亚硝酸盐、氨氮、挥发性酚类、氟化物、</w:t>
                        </w:r>
                        <w:r>
                          <w:rPr>
                            <w:sz w:val="21"/>
                          </w:rPr>
                          <w:t>铁、铜、锌、锰、砷、铅、镉汞、钴、锂、镍、阴离子表面</w:t>
                        </w:r>
                      </w:p>
                      <w:p w14:paraId="31C18214">
                        <w:pPr>
                          <w:pStyle w:val="17"/>
                          <w:spacing w:before="4" w:line="251" w:lineRule="exact"/>
                          <w:ind w:left="30" w:right="29"/>
                          <w:rPr>
                            <w:sz w:val="21"/>
                          </w:rPr>
                        </w:pPr>
                        <w:r>
                          <w:rPr>
                            <w:sz w:val="21"/>
                          </w:rPr>
                          <w:t>活性剂、总大肠菌群</w:t>
                        </w:r>
                      </w:p>
                    </w:tc>
                  </w:tr>
                  <w:tr w14:paraId="47992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31A934B1">
                        <w:pPr>
                          <w:pStyle w:val="17"/>
                          <w:spacing w:before="150"/>
                          <w:ind w:left="120" w:right="108"/>
                          <w:rPr>
                            <w:rFonts w:ascii="Times New Roman"/>
                            <w:sz w:val="21"/>
                          </w:rPr>
                        </w:pPr>
                        <w:r>
                          <w:rPr>
                            <w:rFonts w:ascii="Times New Roman"/>
                            <w:sz w:val="21"/>
                          </w:rPr>
                          <w:t>D2</w:t>
                        </w:r>
                      </w:p>
                    </w:tc>
                    <w:tc>
                      <w:tcPr>
                        <w:tcW w:w="1714" w:type="dxa"/>
                      </w:tcPr>
                      <w:p w14:paraId="0CD6EBA0">
                        <w:pPr>
                          <w:pStyle w:val="17"/>
                          <w:spacing w:before="136"/>
                          <w:ind w:left="5"/>
                          <w:rPr>
                            <w:sz w:val="21"/>
                          </w:rPr>
                        </w:pPr>
                        <w:r>
                          <w:rPr>
                            <w:sz w:val="21"/>
                          </w:rPr>
                          <w:t>童家塅村现有水井</w:t>
                        </w:r>
                      </w:p>
                    </w:tc>
                    <w:tc>
                      <w:tcPr>
                        <w:tcW w:w="2046" w:type="dxa"/>
                      </w:tcPr>
                      <w:p w14:paraId="413E7095">
                        <w:pPr>
                          <w:pStyle w:val="17"/>
                          <w:spacing w:before="1"/>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43.85</w:t>
                        </w:r>
                        <w:r>
                          <w:rPr>
                            <w:sz w:val="21"/>
                          </w:rPr>
                          <w:t>″，</w:t>
                        </w:r>
                      </w:p>
                      <w:p w14:paraId="33BA6C39">
                        <w:pPr>
                          <w:pStyle w:val="17"/>
                          <w:spacing w:before="3" w:line="252" w:lineRule="exact"/>
                          <w:ind w:left="8"/>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23.21</w:t>
                        </w:r>
                        <w:r>
                          <w:rPr>
                            <w:sz w:val="21"/>
                          </w:rPr>
                          <w:t>″</w:t>
                        </w:r>
                      </w:p>
                    </w:tc>
                    <w:tc>
                      <w:tcPr>
                        <w:tcW w:w="1138" w:type="dxa"/>
                      </w:tcPr>
                      <w:p w14:paraId="6692B7DF">
                        <w:pPr>
                          <w:pStyle w:val="17"/>
                          <w:spacing w:before="136"/>
                          <w:ind w:left="7"/>
                          <w:rPr>
                            <w:sz w:val="21"/>
                          </w:rPr>
                        </w:pPr>
                        <w:r>
                          <w:rPr>
                            <w:w w:val="99"/>
                            <w:sz w:val="21"/>
                          </w:rPr>
                          <w:t>是</w:t>
                        </w:r>
                      </w:p>
                    </w:tc>
                    <w:tc>
                      <w:tcPr>
                        <w:tcW w:w="2823" w:type="dxa"/>
                        <w:vMerge w:val="continue"/>
                        <w:tcBorders>
                          <w:top w:val="nil"/>
                          <w:right w:val="nil"/>
                        </w:tcBorders>
                      </w:tcPr>
                      <w:p w14:paraId="6BAC3507">
                        <w:pPr>
                          <w:rPr>
                            <w:sz w:val="2"/>
                            <w:szCs w:val="2"/>
                          </w:rPr>
                        </w:pPr>
                      </w:p>
                    </w:tc>
                  </w:tr>
                  <w:tr w14:paraId="33C82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694" w:type="dxa"/>
                        <w:tcBorders>
                          <w:left w:val="nil"/>
                        </w:tcBorders>
                      </w:tcPr>
                      <w:p w14:paraId="13B0ACCE">
                        <w:pPr>
                          <w:pStyle w:val="17"/>
                          <w:jc w:val="left"/>
                          <w:rPr>
                            <w:sz w:val="22"/>
                          </w:rPr>
                        </w:pPr>
                      </w:p>
                      <w:p w14:paraId="793F7E63">
                        <w:pPr>
                          <w:pStyle w:val="17"/>
                          <w:spacing w:before="8"/>
                          <w:jc w:val="left"/>
                          <w:rPr>
                            <w:sz w:val="31"/>
                          </w:rPr>
                        </w:pPr>
                      </w:p>
                      <w:p w14:paraId="3E2EC195">
                        <w:pPr>
                          <w:pStyle w:val="17"/>
                          <w:ind w:left="120" w:right="108"/>
                          <w:rPr>
                            <w:rFonts w:ascii="Times New Roman"/>
                            <w:sz w:val="21"/>
                          </w:rPr>
                        </w:pPr>
                        <w:r>
                          <w:rPr>
                            <w:rFonts w:ascii="Times New Roman"/>
                            <w:sz w:val="21"/>
                          </w:rPr>
                          <w:t>D3</w:t>
                        </w:r>
                      </w:p>
                    </w:tc>
                    <w:tc>
                      <w:tcPr>
                        <w:tcW w:w="1714" w:type="dxa"/>
                      </w:tcPr>
                      <w:p w14:paraId="4903A01F">
                        <w:pPr>
                          <w:pStyle w:val="17"/>
                          <w:jc w:val="left"/>
                          <w:rPr>
                            <w:sz w:val="20"/>
                          </w:rPr>
                        </w:pPr>
                      </w:p>
                      <w:p w14:paraId="2D167A20">
                        <w:pPr>
                          <w:pStyle w:val="17"/>
                          <w:jc w:val="left"/>
                          <w:rPr>
                            <w:sz w:val="20"/>
                          </w:rPr>
                        </w:pPr>
                      </w:p>
                      <w:p w14:paraId="6F65428C">
                        <w:pPr>
                          <w:pStyle w:val="17"/>
                          <w:spacing w:before="158"/>
                          <w:ind w:left="8"/>
                          <w:rPr>
                            <w:sz w:val="21"/>
                          </w:rPr>
                        </w:pPr>
                        <w:r>
                          <w:rPr>
                            <w:sz w:val="21"/>
                          </w:rPr>
                          <w:t>于塘坡现有水井</w:t>
                        </w:r>
                      </w:p>
                    </w:tc>
                    <w:tc>
                      <w:tcPr>
                        <w:tcW w:w="2046" w:type="dxa"/>
                      </w:tcPr>
                      <w:p w14:paraId="6D621E93">
                        <w:pPr>
                          <w:pStyle w:val="17"/>
                          <w:jc w:val="left"/>
                          <w:rPr>
                            <w:sz w:val="22"/>
                          </w:rPr>
                        </w:pPr>
                      </w:p>
                      <w:p w14:paraId="246EC587">
                        <w:pPr>
                          <w:pStyle w:val="17"/>
                          <w:spacing w:before="8"/>
                          <w:jc w:val="left"/>
                          <w:rPr>
                            <w:sz w:val="19"/>
                          </w:rPr>
                        </w:pPr>
                      </w:p>
                      <w:p w14:paraId="690BCD81">
                        <w:pPr>
                          <w:pStyle w:val="17"/>
                          <w:spacing w:line="244" w:lineRule="auto"/>
                          <w:ind w:left="185" w:hanging="130"/>
                          <w:jc w:val="left"/>
                          <w:rPr>
                            <w:sz w:val="21"/>
                          </w:rPr>
                        </w:pPr>
                        <w:r>
                          <w:rPr>
                            <w:rFonts w:ascii="Times New Roman" w:hAnsi="Times New Roman" w:eastAsia="Times New Roman"/>
                            <w:w w:val="95"/>
                            <w:sz w:val="21"/>
                          </w:rPr>
                          <w:t>E113</w:t>
                        </w:r>
                        <w:r>
                          <w:rPr>
                            <w:w w:val="95"/>
                            <w:sz w:val="21"/>
                          </w:rPr>
                          <w:t>°</w:t>
                        </w:r>
                        <w:r>
                          <w:rPr>
                            <w:rFonts w:ascii="Times New Roman" w:hAnsi="Times New Roman" w:eastAsia="Times New Roman"/>
                            <w:w w:val="95"/>
                            <w:sz w:val="21"/>
                          </w:rPr>
                          <w:t>11</w:t>
                        </w:r>
                        <w:r>
                          <w:rPr>
                            <w:w w:val="95"/>
                            <w:sz w:val="21"/>
                          </w:rPr>
                          <w:t>′</w:t>
                        </w:r>
                        <w:r>
                          <w:rPr>
                            <w:rFonts w:ascii="Times New Roman" w:hAnsi="Times New Roman" w:eastAsia="Times New Roman"/>
                            <w:w w:val="95"/>
                            <w:sz w:val="21"/>
                          </w:rPr>
                          <w:t>38.83</w:t>
                        </w:r>
                        <w:r>
                          <w:rPr>
                            <w:w w:val="95"/>
                            <w:sz w:val="21"/>
                          </w:rPr>
                          <w:t xml:space="preserve">″， </w:t>
                        </w:r>
                        <w:r>
                          <w:rPr>
                            <w:rFonts w:ascii="Times New Roman" w:hAnsi="Times New Roman" w:eastAsia="Times New Roman"/>
                            <w:sz w:val="21"/>
                          </w:rPr>
                          <w:t>N28</w:t>
                        </w:r>
                        <w:r>
                          <w:rPr>
                            <w:sz w:val="21"/>
                          </w:rPr>
                          <w:t>°</w:t>
                        </w:r>
                        <w:r>
                          <w:rPr>
                            <w:rFonts w:ascii="Times New Roman" w:hAnsi="Times New Roman" w:eastAsia="Times New Roman"/>
                            <w:sz w:val="21"/>
                          </w:rPr>
                          <w:t>46</w:t>
                        </w:r>
                        <w:r>
                          <w:rPr>
                            <w:sz w:val="21"/>
                          </w:rPr>
                          <w:t>′</w:t>
                        </w:r>
                        <w:r>
                          <w:rPr>
                            <w:rFonts w:ascii="Times New Roman" w:hAnsi="Times New Roman" w:eastAsia="Times New Roman"/>
                            <w:sz w:val="21"/>
                          </w:rPr>
                          <w:t>16.28</w:t>
                        </w:r>
                        <w:r>
                          <w:rPr>
                            <w:sz w:val="21"/>
                          </w:rPr>
                          <w:t>″</w:t>
                        </w:r>
                      </w:p>
                    </w:tc>
                    <w:tc>
                      <w:tcPr>
                        <w:tcW w:w="1138" w:type="dxa"/>
                      </w:tcPr>
                      <w:p w14:paraId="0A5184DD">
                        <w:pPr>
                          <w:pStyle w:val="17"/>
                          <w:jc w:val="left"/>
                          <w:rPr>
                            <w:sz w:val="20"/>
                          </w:rPr>
                        </w:pPr>
                      </w:p>
                      <w:p w14:paraId="12A5ED72">
                        <w:pPr>
                          <w:pStyle w:val="17"/>
                          <w:jc w:val="left"/>
                          <w:rPr>
                            <w:sz w:val="20"/>
                          </w:rPr>
                        </w:pPr>
                      </w:p>
                      <w:p w14:paraId="1A923826">
                        <w:pPr>
                          <w:pStyle w:val="17"/>
                          <w:spacing w:before="158"/>
                          <w:ind w:left="7"/>
                          <w:rPr>
                            <w:sz w:val="21"/>
                          </w:rPr>
                        </w:pPr>
                        <w:r>
                          <w:rPr>
                            <w:w w:val="99"/>
                            <w:sz w:val="21"/>
                          </w:rPr>
                          <w:t>是</w:t>
                        </w:r>
                      </w:p>
                    </w:tc>
                    <w:tc>
                      <w:tcPr>
                        <w:tcW w:w="2823" w:type="dxa"/>
                        <w:vMerge w:val="continue"/>
                        <w:tcBorders>
                          <w:top w:val="nil"/>
                          <w:right w:val="nil"/>
                        </w:tcBorders>
                      </w:tcPr>
                      <w:p w14:paraId="174FEDB2">
                        <w:pPr>
                          <w:rPr>
                            <w:sz w:val="2"/>
                            <w:szCs w:val="2"/>
                          </w:rPr>
                        </w:pPr>
                      </w:p>
                    </w:tc>
                  </w:tr>
                  <w:tr w14:paraId="42B08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28390F45">
                        <w:pPr>
                          <w:pStyle w:val="17"/>
                          <w:spacing w:before="150"/>
                          <w:ind w:left="120" w:right="108"/>
                          <w:rPr>
                            <w:rFonts w:ascii="Times New Roman"/>
                            <w:sz w:val="21"/>
                          </w:rPr>
                        </w:pPr>
                        <w:r>
                          <w:rPr>
                            <w:rFonts w:ascii="Times New Roman"/>
                            <w:sz w:val="21"/>
                          </w:rPr>
                          <w:t>D4</w:t>
                        </w:r>
                      </w:p>
                    </w:tc>
                    <w:tc>
                      <w:tcPr>
                        <w:tcW w:w="1714" w:type="dxa"/>
                      </w:tcPr>
                      <w:p w14:paraId="5F445800">
                        <w:pPr>
                          <w:pStyle w:val="17"/>
                          <w:spacing w:before="136"/>
                          <w:ind w:left="8"/>
                          <w:rPr>
                            <w:sz w:val="21"/>
                          </w:rPr>
                        </w:pPr>
                        <w:r>
                          <w:rPr>
                            <w:sz w:val="21"/>
                          </w:rPr>
                          <w:t>杨树冲现有水井</w:t>
                        </w:r>
                      </w:p>
                    </w:tc>
                    <w:tc>
                      <w:tcPr>
                        <w:tcW w:w="2046" w:type="dxa"/>
                      </w:tcPr>
                      <w:p w14:paraId="62569E74">
                        <w:pPr>
                          <w:pStyle w:val="17"/>
                          <w:spacing w:before="1" w:line="270" w:lineRule="atLeast"/>
                          <w:ind w:left="185" w:hanging="130"/>
                          <w:jc w:val="left"/>
                          <w:rPr>
                            <w:sz w:val="21"/>
                          </w:rPr>
                        </w:pPr>
                        <w:r>
                          <w:rPr>
                            <w:rFonts w:ascii="Times New Roman" w:hAnsi="Times New Roman" w:eastAsia="Times New Roman"/>
                            <w:w w:val="95"/>
                            <w:sz w:val="21"/>
                          </w:rPr>
                          <w:t>E113</w:t>
                        </w:r>
                        <w:r>
                          <w:rPr>
                            <w:w w:val="95"/>
                            <w:sz w:val="21"/>
                          </w:rPr>
                          <w:t>°</w:t>
                        </w:r>
                        <w:r>
                          <w:rPr>
                            <w:rFonts w:ascii="Times New Roman" w:hAnsi="Times New Roman" w:eastAsia="Times New Roman"/>
                            <w:w w:val="95"/>
                            <w:sz w:val="21"/>
                          </w:rPr>
                          <w:t>11</w:t>
                        </w:r>
                        <w:r>
                          <w:rPr>
                            <w:w w:val="95"/>
                            <w:sz w:val="21"/>
                          </w:rPr>
                          <w:t>′</w:t>
                        </w:r>
                        <w:r>
                          <w:rPr>
                            <w:rFonts w:ascii="Times New Roman" w:hAnsi="Times New Roman" w:eastAsia="Times New Roman"/>
                            <w:w w:val="95"/>
                            <w:sz w:val="21"/>
                          </w:rPr>
                          <w:t>34.49</w:t>
                        </w:r>
                        <w:r>
                          <w:rPr>
                            <w:w w:val="95"/>
                            <w:sz w:val="21"/>
                          </w:rPr>
                          <w:t xml:space="preserve">″， </w:t>
                        </w:r>
                        <w:r>
                          <w:rPr>
                            <w:rFonts w:ascii="Times New Roman" w:hAnsi="Times New Roman" w:eastAsia="Times New Roman"/>
                            <w:sz w:val="21"/>
                          </w:rPr>
                          <w:t>N28</w:t>
                        </w:r>
                        <w:r>
                          <w:rPr>
                            <w:sz w:val="21"/>
                          </w:rPr>
                          <w:t>°</w:t>
                        </w:r>
                        <w:r>
                          <w:rPr>
                            <w:rFonts w:ascii="Times New Roman" w:hAnsi="Times New Roman" w:eastAsia="Times New Roman"/>
                            <w:sz w:val="21"/>
                          </w:rPr>
                          <w:t>44</w:t>
                        </w:r>
                        <w:r>
                          <w:rPr>
                            <w:sz w:val="21"/>
                          </w:rPr>
                          <w:t>′</w:t>
                        </w:r>
                        <w:r>
                          <w:rPr>
                            <w:rFonts w:ascii="Times New Roman" w:hAnsi="Times New Roman" w:eastAsia="Times New Roman"/>
                            <w:sz w:val="21"/>
                          </w:rPr>
                          <w:t>46.42</w:t>
                        </w:r>
                        <w:r>
                          <w:rPr>
                            <w:sz w:val="21"/>
                          </w:rPr>
                          <w:t>″</w:t>
                        </w:r>
                      </w:p>
                    </w:tc>
                    <w:tc>
                      <w:tcPr>
                        <w:tcW w:w="1138" w:type="dxa"/>
                      </w:tcPr>
                      <w:p w14:paraId="7C956EE2">
                        <w:pPr>
                          <w:pStyle w:val="17"/>
                          <w:spacing w:before="136"/>
                          <w:ind w:left="7"/>
                          <w:rPr>
                            <w:sz w:val="21"/>
                          </w:rPr>
                        </w:pPr>
                        <w:r>
                          <w:rPr>
                            <w:w w:val="99"/>
                            <w:sz w:val="21"/>
                          </w:rPr>
                          <w:t>是</w:t>
                        </w:r>
                      </w:p>
                    </w:tc>
                    <w:tc>
                      <w:tcPr>
                        <w:tcW w:w="2823" w:type="dxa"/>
                        <w:vMerge w:val="restart"/>
                        <w:tcBorders>
                          <w:right w:val="nil"/>
                        </w:tcBorders>
                      </w:tcPr>
                      <w:p w14:paraId="13510909">
                        <w:pPr>
                          <w:pStyle w:val="17"/>
                          <w:jc w:val="left"/>
                          <w:rPr>
                            <w:sz w:val="20"/>
                          </w:rPr>
                        </w:pPr>
                      </w:p>
                      <w:p w14:paraId="1260F8B2">
                        <w:pPr>
                          <w:pStyle w:val="17"/>
                          <w:jc w:val="left"/>
                          <w:rPr>
                            <w:sz w:val="20"/>
                          </w:rPr>
                        </w:pPr>
                      </w:p>
                      <w:p w14:paraId="77BFF41E">
                        <w:pPr>
                          <w:pStyle w:val="17"/>
                          <w:jc w:val="left"/>
                          <w:rPr>
                            <w:sz w:val="20"/>
                          </w:rPr>
                        </w:pPr>
                      </w:p>
                      <w:p w14:paraId="590659E3">
                        <w:pPr>
                          <w:pStyle w:val="17"/>
                          <w:spacing w:before="8"/>
                          <w:jc w:val="left"/>
                          <w:rPr>
                            <w:sz w:val="15"/>
                          </w:rPr>
                        </w:pPr>
                      </w:p>
                      <w:p w14:paraId="5FC7C231">
                        <w:pPr>
                          <w:pStyle w:val="17"/>
                          <w:ind w:left="28" w:right="29"/>
                          <w:rPr>
                            <w:sz w:val="21"/>
                          </w:rPr>
                        </w:pPr>
                        <w:r>
                          <w:rPr>
                            <w:sz w:val="21"/>
                          </w:rPr>
                          <w:t>水位</w:t>
                        </w:r>
                      </w:p>
                    </w:tc>
                  </w:tr>
                  <w:tr w14:paraId="55A66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7AEA8704">
                        <w:pPr>
                          <w:pStyle w:val="17"/>
                          <w:spacing w:before="149"/>
                          <w:ind w:left="120" w:right="108"/>
                          <w:rPr>
                            <w:rFonts w:ascii="Times New Roman"/>
                            <w:sz w:val="21"/>
                          </w:rPr>
                        </w:pPr>
                        <w:r>
                          <w:rPr>
                            <w:rFonts w:ascii="Times New Roman"/>
                            <w:sz w:val="21"/>
                          </w:rPr>
                          <w:t>D5</w:t>
                        </w:r>
                      </w:p>
                    </w:tc>
                    <w:tc>
                      <w:tcPr>
                        <w:tcW w:w="1714" w:type="dxa"/>
                      </w:tcPr>
                      <w:p w14:paraId="553032AD">
                        <w:pPr>
                          <w:pStyle w:val="17"/>
                          <w:spacing w:before="136"/>
                          <w:ind w:left="8"/>
                          <w:rPr>
                            <w:sz w:val="21"/>
                          </w:rPr>
                        </w:pPr>
                        <w:r>
                          <w:rPr>
                            <w:sz w:val="21"/>
                          </w:rPr>
                          <w:t>廖家塝现有水井</w:t>
                        </w:r>
                      </w:p>
                    </w:tc>
                    <w:tc>
                      <w:tcPr>
                        <w:tcW w:w="2046" w:type="dxa"/>
                      </w:tcPr>
                      <w:p w14:paraId="2BBAAEFF">
                        <w:pPr>
                          <w:pStyle w:val="17"/>
                          <w:spacing w:line="268" w:lineRule="exact"/>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42.06</w:t>
                        </w:r>
                        <w:r>
                          <w:rPr>
                            <w:sz w:val="21"/>
                          </w:rPr>
                          <w:t>″，</w:t>
                        </w:r>
                      </w:p>
                      <w:p w14:paraId="00636FE1">
                        <w:pPr>
                          <w:pStyle w:val="17"/>
                          <w:spacing w:before="4" w:line="252" w:lineRule="exact"/>
                          <w:ind w:left="8"/>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49.65</w:t>
                        </w:r>
                        <w:r>
                          <w:rPr>
                            <w:sz w:val="21"/>
                          </w:rPr>
                          <w:t>″</w:t>
                        </w:r>
                      </w:p>
                    </w:tc>
                    <w:tc>
                      <w:tcPr>
                        <w:tcW w:w="1138" w:type="dxa"/>
                      </w:tcPr>
                      <w:p w14:paraId="206D68E1">
                        <w:pPr>
                          <w:pStyle w:val="17"/>
                          <w:spacing w:before="136"/>
                          <w:ind w:left="7"/>
                          <w:rPr>
                            <w:sz w:val="21"/>
                          </w:rPr>
                        </w:pPr>
                        <w:r>
                          <w:rPr>
                            <w:w w:val="99"/>
                            <w:sz w:val="21"/>
                          </w:rPr>
                          <w:t>是</w:t>
                        </w:r>
                      </w:p>
                    </w:tc>
                    <w:tc>
                      <w:tcPr>
                        <w:tcW w:w="2823" w:type="dxa"/>
                        <w:vMerge w:val="continue"/>
                        <w:tcBorders>
                          <w:top w:val="nil"/>
                          <w:right w:val="nil"/>
                        </w:tcBorders>
                      </w:tcPr>
                      <w:p w14:paraId="474CE7E8">
                        <w:pPr>
                          <w:rPr>
                            <w:sz w:val="2"/>
                            <w:szCs w:val="2"/>
                          </w:rPr>
                        </w:pPr>
                      </w:p>
                    </w:tc>
                  </w:tr>
                  <w:tr w14:paraId="7E59C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94" w:type="dxa"/>
                        <w:tcBorders>
                          <w:left w:val="nil"/>
                        </w:tcBorders>
                      </w:tcPr>
                      <w:p w14:paraId="69C28CCC">
                        <w:pPr>
                          <w:pStyle w:val="17"/>
                          <w:spacing w:before="149"/>
                          <w:ind w:left="120" w:right="108"/>
                          <w:rPr>
                            <w:rFonts w:ascii="Times New Roman"/>
                            <w:sz w:val="21"/>
                          </w:rPr>
                        </w:pPr>
                        <w:r>
                          <w:rPr>
                            <w:rFonts w:ascii="Times New Roman"/>
                            <w:sz w:val="21"/>
                          </w:rPr>
                          <w:t>D6</w:t>
                        </w:r>
                      </w:p>
                    </w:tc>
                    <w:tc>
                      <w:tcPr>
                        <w:tcW w:w="1714" w:type="dxa"/>
                      </w:tcPr>
                      <w:p w14:paraId="163EEF38">
                        <w:pPr>
                          <w:pStyle w:val="17"/>
                          <w:spacing w:before="135"/>
                          <w:ind w:left="8"/>
                          <w:rPr>
                            <w:sz w:val="21"/>
                          </w:rPr>
                        </w:pPr>
                        <w:r>
                          <w:rPr>
                            <w:sz w:val="21"/>
                          </w:rPr>
                          <w:t>向家咀现有水井</w:t>
                        </w:r>
                      </w:p>
                    </w:tc>
                    <w:tc>
                      <w:tcPr>
                        <w:tcW w:w="2046" w:type="dxa"/>
                      </w:tcPr>
                      <w:p w14:paraId="35C65BD4">
                        <w:pPr>
                          <w:pStyle w:val="17"/>
                          <w:spacing w:before="1"/>
                          <w:ind w:left="33"/>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47.71</w:t>
                        </w:r>
                        <w:r>
                          <w:rPr>
                            <w:sz w:val="21"/>
                          </w:rPr>
                          <w:t>″，</w:t>
                        </w:r>
                      </w:p>
                      <w:p w14:paraId="41F46D9D">
                        <w:pPr>
                          <w:pStyle w:val="17"/>
                          <w:spacing w:before="2" w:line="252" w:lineRule="exact"/>
                          <w:ind w:left="8"/>
                          <w:rPr>
                            <w:sz w:val="21"/>
                          </w:rPr>
                        </w:pPr>
                        <w:r>
                          <w:rPr>
                            <w:rFonts w:ascii="Times New Roman" w:hAnsi="Times New Roman"/>
                            <w:sz w:val="21"/>
                          </w:rPr>
                          <w:t>N28</w:t>
                        </w:r>
                        <w:r>
                          <w:rPr>
                            <w:sz w:val="21"/>
                          </w:rPr>
                          <w:t>°</w:t>
                        </w:r>
                        <w:r>
                          <w:rPr>
                            <w:rFonts w:ascii="Times New Roman" w:hAnsi="Times New Roman"/>
                            <w:sz w:val="21"/>
                          </w:rPr>
                          <w:t>46</w:t>
                        </w:r>
                        <w:r>
                          <w:rPr>
                            <w:sz w:val="21"/>
                          </w:rPr>
                          <w:t>′</w:t>
                        </w:r>
                        <w:r>
                          <w:rPr>
                            <w:rFonts w:ascii="Times New Roman" w:hAnsi="Times New Roman"/>
                            <w:sz w:val="21"/>
                          </w:rPr>
                          <w:t>19.56</w:t>
                        </w:r>
                        <w:r>
                          <w:rPr>
                            <w:sz w:val="21"/>
                          </w:rPr>
                          <w:t>″</w:t>
                        </w:r>
                      </w:p>
                    </w:tc>
                    <w:tc>
                      <w:tcPr>
                        <w:tcW w:w="1138" w:type="dxa"/>
                      </w:tcPr>
                      <w:p w14:paraId="63BAB44A">
                        <w:pPr>
                          <w:pStyle w:val="17"/>
                          <w:spacing w:before="135"/>
                          <w:ind w:left="7"/>
                          <w:rPr>
                            <w:sz w:val="21"/>
                          </w:rPr>
                        </w:pPr>
                        <w:r>
                          <w:rPr>
                            <w:w w:val="99"/>
                            <w:sz w:val="21"/>
                          </w:rPr>
                          <w:t>是</w:t>
                        </w:r>
                      </w:p>
                    </w:tc>
                    <w:tc>
                      <w:tcPr>
                        <w:tcW w:w="2823" w:type="dxa"/>
                        <w:vMerge w:val="continue"/>
                        <w:tcBorders>
                          <w:top w:val="nil"/>
                          <w:right w:val="nil"/>
                        </w:tcBorders>
                      </w:tcPr>
                      <w:p w14:paraId="4377B842">
                        <w:pPr>
                          <w:rPr>
                            <w:sz w:val="2"/>
                            <w:szCs w:val="2"/>
                          </w:rPr>
                        </w:pPr>
                      </w:p>
                    </w:tc>
                  </w:tr>
                  <w:tr w14:paraId="648E1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20344B1D">
                        <w:pPr>
                          <w:pStyle w:val="17"/>
                          <w:spacing w:before="152"/>
                          <w:ind w:left="120" w:right="108"/>
                          <w:rPr>
                            <w:rFonts w:ascii="Times New Roman"/>
                            <w:sz w:val="21"/>
                          </w:rPr>
                        </w:pPr>
                        <w:r>
                          <w:rPr>
                            <w:rFonts w:ascii="Times New Roman"/>
                            <w:sz w:val="21"/>
                          </w:rPr>
                          <w:t>D7</w:t>
                        </w:r>
                      </w:p>
                    </w:tc>
                    <w:tc>
                      <w:tcPr>
                        <w:tcW w:w="1714" w:type="dxa"/>
                      </w:tcPr>
                      <w:p w14:paraId="7D35F1BA">
                        <w:pPr>
                          <w:pStyle w:val="17"/>
                          <w:spacing w:before="135"/>
                          <w:ind w:left="8"/>
                          <w:rPr>
                            <w:sz w:val="21"/>
                          </w:rPr>
                        </w:pPr>
                        <w:r>
                          <w:rPr>
                            <w:sz w:val="21"/>
                          </w:rPr>
                          <w:t>郑家屋现有水井</w:t>
                        </w:r>
                      </w:p>
                    </w:tc>
                    <w:tc>
                      <w:tcPr>
                        <w:tcW w:w="2046" w:type="dxa"/>
                      </w:tcPr>
                      <w:p w14:paraId="63E43E3F">
                        <w:pPr>
                          <w:pStyle w:val="17"/>
                          <w:spacing w:before="1"/>
                          <w:ind w:left="25"/>
                          <w:rPr>
                            <w:sz w:val="21"/>
                          </w:rPr>
                        </w:pPr>
                        <w:r>
                          <w:rPr>
                            <w:rFonts w:ascii="Times New Roman" w:hAnsi="Times New Roman" w:eastAsia="Times New Roman"/>
                            <w:sz w:val="21"/>
                          </w:rPr>
                          <w:t>E113</w:t>
                        </w:r>
                        <w:r>
                          <w:rPr>
                            <w:sz w:val="21"/>
                          </w:rPr>
                          <w:t>°</w:t>
                        </w:r>
                        <w:r>
                          <w:rPr>
                            <w:rFonts w:ascii="Times New Roman" w:hAnsi="Times New Roman" w:eastAsia="Times New Roman"/>
                            <w:sz w:val="21"/>
                          </w:rPr>
                          <w:t>11</w:t>
                        </w:r>
                        <w:r>
                          <w:rPr>
                            <w:sz w:val="21"/>
                          </w:rPr>
                          <w:t>′</w:t>
                        </w:r>
                        <w:r>
                          <w:rPr>
                            <w:rFonts w:ascii="Times New Roman" w:hAnsi="Times New Roman" w:eastAsia="Times New Roman"/>
                            <w:sz w:val="21"/>
                          </w:rPr>
                          <w:t>20.47</w:t>
                        </w:r>
                        <w:r>
                          <w:rPr>
                            <w:sz w:val="21"/>
                          </w:rPr>
                          <w:t>″，</w:t>
                        </w:r>
                      </w:p>
                      <w:p w14:paraId="15222AE9">
                        <w:pPr>
                          <w:pStyle w:val="17"/>
                          <w:spacing w:before="2" w:line="253" w:lineRule="exact"/>
                          <w:ind w:left="8"/>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31.27</w:t>
                        </w:r>
                        <w:r>
                          <w:rPr>
                            <w:sz w:val="21"/>
                          </w:rPr>
                          <w:t>″</w:t>
                        </w:r>
                      </w:p>
                    </w:tc>
                    <w:tc>
                      <w:tcPr>
                        <w:tcW w:w="1138" w:type="dxa"/>
                      </w:tcPr>
                      <w:p w14:paraId="1DEBB56F">
                        <w:pPr>
                          <w:pStyle w:val="17"/>
                          <w:spacing w:before="135"/>
                          <w:ind w:left="7"/>
                          <w:rPr>
                            <w:sz w:val="21"/>
                          </w:rPr>
                        </w:pPr>
                        <w:r>
                          <w:rPr>
                            <w:w w:val="99"/>
                            <w:sz w:val="21"/>
                          </w:rPr>
                          <w:t>是</w:t>
                        </w:r>
                      </w:p>
                    </w:tc>
                    <w:tc>
                      <w:tcPr>
                        <w:tcW w:w="2823" w:type="dxa"/>
                        <w:vMerge w:val="continue"/>
                        <w:tcBorders>
                          <w:top w:val="nil"/>
                          <w:right w:val="nil"/>
                        </w:tcBorders>
                      </w:tcPr>
                      <w:p w14:paraId="6C28E634">
                        <w:pPr>
                          <w:rPr>
                            <w:sz w:val="2"/>
                            <w:szCs w:val="2"/>
                          </w:rPr>
                        </w:pPr>
                      </w:p>
                    </w:tc>
                  </w:tr>
                  <w:tr w14:paraId="78633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94" w:type="dxa"/>
                        <w:tcBorders>
                          <w:left w:val="nil"/>
                        </w:tcBorders>
                      </w:tcPr>
                      <w:p w14:paraId="5001A6A2">
                        <w:pPr>
                          <w:pStyle w:val="17"/>
                          <w:spacing w:before="149"/>
                          <w:ind w:left="120" w:right="108"/>
                          <w:rPr>
                            <w:rFonts w:ascii="Times New Roman"/>
                            <w:sz w:val="21"/>
                          </w:rPr>
                        </w:pPr>
                        <w:r>
                          <w:rPr>
                            <w:rFonts w:ascii="Times New Roman"/>
                            <w:sz w:val="21"/>
                          </w:rPr>
                          <w:t>D8</w:t>
                        </w:r>
                      </w:p>
                    </w:tc>
                    <w:tc>
                      <w:tcPr>
                        <w:tcW w:w="1714" w:type="dxa"/>
                      </w:tcPr>
                      <w:p w14:paraId="3DE99E32">
                        <w:pPr>
                          <w:pStyle w:val="17"/>
                          <w:spacing w:before="135"/>
                          <w:ind w:left="8"/>
                          <w:rPr>
                            <w:sz w:val="21"/>
                          </w:rPr>
                        </w:pPr>
                        <w:r>
                          <w:rPr>
                            <w:sz w:val="21"/>
                          </w:rPr>
                          <w:t>麻塘冲</w:t>
                        </w:r>
                      </w:p>
                    </w:tc>
                    <w:tc>
                      <w:tcPr>
                        <w:tcW w:w="2046" w:type="dxa"/>
                      </w:tcPr>
                      <w:p w14:paraId="214B36F1">
                        <w:pPr>
                          <w:pStyle w:val="17"/>
                          <w:ind w:left="94"/>
                          <w:jc w:val="left"/>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6.10</w:t>
                        </w:r>
                        <w:r>
                          <w:rPr>
                            <w:sz w:val="21"/>
                          </w:rPr>
                          <w:t>″，</w:t>
                        </w:r>
                      </w:p>
                      <w:p w14:paraId="6372701E">
                        <w:pPr>
                          <w:pStyle w:val="17"/>
                          <w:spacing w:before="2" w:line="253" w:lineRule="exact"/>
                          <w:ind w:left="185"/>
                          <w:jc w:val="left"/>
                          <w:rPr>
                            <w:sz w:val="21"/>
                          </w:rPr>
                        </w:pPr>
                        <w:r>
                          <w:rPr>
                            <w:rFonts w:ascii="Times New Roman" w:hAnsi="Times New Roman"/>
                            <w:sz w:val="21"/>
                          </w:rPr>
                          <w:t>N28</w:t>
                        </w:r>
                        <w:r>
                          <w:rPr>
                            <w:sz w:val="21"/>
                          </w:rPr>
                          <w:t>°</w:t>
                        </w:r>
                        <w:r>
                          <w:rPr>
                            <w:rFonts w:ascii="Times New Roman" w:hAnsi="Times New Roman"/>
                            <w:sz w:val="21"/>
                          </w:rPr>
                          <w:t>44</w:t>
                        </w:r>
                        <w:r>
                          <w:rPr>
                            <w:sz w:val="21"/>
                          </w:rPr>
                          <w:t>′</w:t>
                        </w:r>
                        <w:r>
                          <w:rPr>
                            <w:rFonts w:ascii="Times New Roman" w:hAnsi="Times New Roman"/>
                            <w:sz w:val="21"/>
                          </w:rPr>
                          <w:t>26.32</w:t>
                        </w:r>
                        <w:r>
                          <w:rPr>
                            <w:sz w:val="21"/>
                          </w:rPr>
                          <w:t>″</w:t>
                        </w:r>
                      </w:p>
                    </w:tc>
                    <w:tc>
                      <w:tcPr>
                        <w:tcW w:w="1138" w:type="dxa"/>
                      </w:tcPr>
                      <w:p w14:paraId="2A6B9588">
                        <w:pPr>
                          <w:pStyle w:val="17"/>
                          <w:spacing w:before="135"/>
                          <w:ind w:left="7"/>
                          <w:rPr>
                            <w:sz w:val="21"/>
                          </w:rPr>
                        </w:pPr>
                        <w:r>
                          <w:rPr>
                            <w:w w:val="99"/>
                            <w:sz w:val="21"/>
                          </w:rPr>
                          <w:t>是</w:t>
                        </w:r>
                      </w:p>
                    </w:tc>
                    <w:tc>
                      <w:tcPr>
                        <w:tcW w:w="2823" w:type="dxa"/>
                        <w:vMerge w:val="restart"/>
                        <w:tcBorders>
                          <w:right w:val="nil"/>
                        </w:tcBorders>
                      </w:tcPr>
                      <w:p w14:paraId="6934ED51">
                        <w:pPr>
                          <w:pStyle w:val="17"/>
                          <w:spacing w:before="3"/>
                          <w:ind w:left="57"/>
                          <w:jc w:val="left"/>
                          <w:rPr>
                            <w:rFonts w:ascii="Times New Roman" w:eastAsia="Times New Roman"/>
                            <w:sz w:val="13"/>
                          </w:rPr>
                        </w:pPr>
                        <w:r>
                          <w:rPr>
                            <w:sz w:val="21"/>
                          </w:rPr>
                          <w:t>水位、</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 xml:space="preserve">Na </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p>
                      <w:p w14:paraId="06981CE2">
                        <w:pPr>
                          <w:pStyle w:val="17"/>
                          <w:spacing w:before="4" w:line="181" w:lineRule="exact"/>
                          <w:ind w:left="57"/>
                          <w:jc w:val="left"/>
                          <w:rPr>
                            <w:rFonts w:ascii="Times New Roman" w:eastAsia="Times New Roman"/>
                            <w:sz w:val="13"/>
                          </w:rPr>
                        </w:pPr>
                        <w:r>
                          <w:rPr>
                            <w:rFonts w:ascii="Times New Roman" w:eastAsia="Times New Roman"/>
                            <w:sz w:val="21"/>
                          </w:rPr>
                          <w:t xml:space="preserve">CO </w:t>
                        </w:r>
                        <w:r>
                          <w:rPr>
                            <w:rFonts w:ascii="Times New Roman" w:eastAsia="Times New Roman"/>
                            <w:position w:val="7"/>
                            <w:sz w:val="13"/>
                          </w:rPr>
                          <w:t>2-</w:t>
                        </w:r>
                        <w:r>
                          <w:rPr>
                            <w:spacing w:val="-29"/>
                            <w:sz w:val="21"/>
                          </w:rPr>
                          <w:t>、</w:t>
                        </w:r>
                        <w:r>
                          <w:rPr>
                            <w:rFonts w:ascii="Times New Roman" w:eastAsia="Times New Roman"/>
                            <w:sz w:val="21"/>
                          </w:rPr>
                          <w:t>HCO</w:t>
                        </w:r>
                        <w:r>
                          <w:rPr>
                            <w:rFonts w:ascii="Times New Roman" w:eastAsia="Times New Roman"/>
                            <w:position w:val="7"/>
                            <w:sz w:val="13"/>
                          </w:rPr>
                          <w:t>3-</w:t>
                        </w:r>
                        <w:r>
                          <w:rPr>
                            <w:spacing w:val="-15"/>
                            <w:sz w:val="21"/>
                          </w:rPr>
                          <w:t>、氯化物</w:t>
                        </w:r>
                        <w:r>
                          <w:rPr>
                            <w:sz w:val="21"/>
                          </w:rPr>
                          <w:t>（</w:t>
                        </w:r>
                        <w:r>
                          <w:rPr>
                            <w:spacing w:val="-26"/>
                            <w:sz w:val="21"/>
                          </w:rPr>
                          <w:t xml:space="preserve">以 </w:t>
                        </w:r>
                        <w:r>
                          <w:rPr>
                            <w:rFonts w:ascii="Times New Roman" w:eastAsia="Times New Roman"/>
                            <w:sz w:val="21"/>
                          </w:rPr>
                          <w:t>Cl</w:t>
                        </w:r>
                        <w:r>
                          <w:rPr>
                            <w:rFonts w:ascii="Times New Roman" w:eastAsia="Times New Roman"/>
                            <w:position w:val="7"/>
                            <w:sz w:val="13"/>
                          </w:rPr>
                          <w:t>-</w:t>
                        </w:r>
                      </w:p>
                      <w:p w14:paraId="7E52A0DB">
                        <w:pPr>
                          <w:pStyle w:val="17"/>
                          <w:spacing w:line="74" w:lineRule="exact"/>
                          <w:ind w:left="347"/>
                          <w:jc w:val="left"/>
                          <w:rPr>
                            <w:rFonts w:ascii="Times New Roman"/>
                            <w:sz w:val="13"/>
                          </w:rPr>
                        </w:pPr>
                        <w:r>
                          <w:rPr>
                            <w:rFonts w:ascii="Times New Roman"/>
                            <w:w w:val="105"/>
                            <w:sz w:val="13"/>
                          </w:rPr>
                          <w:t>3</w:t>
                        </w:r>
                      </w:p>
                      <w:p w14:paraId="012086FA">
                        <w:pPr>
                          <w:pStyle w:val="17"/>
                          <w:spacing w:before="17" w:line="181" w:lineRule="exact"/>
                          <w:ind w:left="57"/>
                          <w:jc w:val="left"/>
                          <w:rPr>
                            <w:sz w:val="21"/>
                          </w:rPr>
                        </w:pPr>
                        <w:r>
                          <w:rPr>
                            <w:sz w:val="21"/>
                          </w:rPr>
                          <w:t xml:space="preserve">计）、硫酸盐（以 </w:t>
                        </w:r>
                        <w:r>
                          <w:rPr>
                            <w:rFonts w:ascii="Times New Roman" w:eastAsia="Times New Roman"/>
                            <w:sz w:val="21"/>
                          </w:rPr>
                          <w:t xml:space="preserve">SO </w:t>
                        </w:r>
                        <w:r>
                          <w:rPr>
                            <w:rFonts w:ascii="Times New Roman" w:eastAsia="Times New Roman"/>
                            <w:position w:val="7"/>
                            <w:sz w:val="13"/>
                          </w:rPr>
                          <w:t>2-</w:t>
                        </w:r>
                        <w:r>
                          <w:rPr>
                            <w:sz w:val="21"/>
                          </w:rPr>
                          <w:t>计）</w:t>
                        </w:r>
                      </w:p>
                      <w:p w14:paraId="55B432A6">
                        <w:pPr>
                          <w:pStyle w:val="17"/>
                          <w:spacing w:line="74" w:lineRule="exact"/>
                          <w:ind w:right="691"/>
                          <w:jc w:val="right"/>
                          <w:rPr>
                            <w:rFonts w:ascii="Times New Roman"/>
                            <w:sz w:val="13"/>
                          </w:rPr>
                        </w:pPr>
                        <w:r>
                          <w:rPr>
                            <w:rFonts w:ascii="Times New Roman"/>
                            <w:w w:val="105"/>
                            <w:sz w:val="13"/>
                          </w:rPr>
                          <w:t>4</w:t>
                        </w:r>
                      </w:p>
                      <w:p w14:paraId="1981C6AB">
                        <w:pPr>
                          <w:pStyle w:val="17"/>
                          <w:spacing w:before="18" w:line="266" w:lineRule="exact"/>
                          <w:ind w:left="102"/>
                          <w:jc w:val="left"/>
                          <w:rPr>
                            <w:sz w:val="21"/>
                          </w:rPr>
                        </w:pPr>
                        <w:r>
                          <w:rPr>
                            <w:rFonts w:ascii="Times New Roman" w:eastAsia="Times New Roman"/>
                            <w:sz w:val="21"/>
                          </w:rPr>
                          <w:t xml:space="preserve">pH </w:t>
                        </w:r>
                        <w:r>
                          <w:rPr>
                            <w:sz w:val="21"/>
                          </w:rPr>
                          <w:t>值、溶解性总固体、总硬</w:t>
                        </w:r>
                      </w:p>
                    </w:tc>
                  </w:tr>
                  <w:tr w14:paraId="3639A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94" w:type="dxa"/>
                        <w:tcBorders>
                          <w:left w:val="nil"/>
                        </w:tcBorders>
                      </w:tcPr>
                      <w:p w14:paraId="59E0751A">
                        <w:pPr>
                          <w:pStyle w:val="17"/>
                          <w:spacing w:before="150"/>
                          <w:ind w:left="120" w:right="108"/>
                          <w:rPr>
                            <w:rFonts w:ascii="Times New Roman"/>
                            <w:sz w:val="21"/>
                          </w:rPr>
                        </w:pPr>
                        <w:r>
                          <w:rPr>
                            <w:rFonts w:ascii="Times New Roman"/>
                            <w:sz w:val="21"/>
                          </w:rPr>
                          <w:t>D9</w:t>
                        </w:r>
                      </w:p>
                    </w:tc>
                    <w:tc>
                      <w:tcPr>
                        <w:tcW w:w="1714" w:type="dxa"/>
                      </w:tcPr>
                      <w:p w14:paraId="58CF72ED">
                        <w:pPr>
                          <w:pStyle w:val="17"/>
                          <w:spacing w:before="134"/>
                          <w:ind w:left="8"/>
                          <w:rPr>
                            <w:sz w:val="21"/>
                          </w:rPr>
                        </w:pPr>
                        <w:r>
                          <w:rPr>
                            <w:sz w:val="21"/>
                          </w:rPr>
                          <w:t>金家坳</w:t>
                        </w:r>
                      </w:p>
                    </w:tc>
                    <w:tc>
                      <w:tcPr>
                        <w:tcW w:w="2046" w:type="dxa"/>
                      </w:tcPr>
                      <w:p w14:paraId="17A1AC64">
                        <w:pPr>
                          <w:pStyle w:val="17"/>
                          <w:ind w:left="6"/>
                          <w:rPr>
                            <w:sz w:val="21"/>
                          </w:rPr>
                        </w:pPr>
                        <w:r>
                          <w:rPr>
                            <w:rFonts w:ascii="Times New Roman" w:hAnsi="Times New Roman" w:eastAsia="Times New Roman"/>
                            <w:sz w:val="21"/>
                          </w:rPr>
                          <w:t>E113</w:t>
                        </w:r>
                        <w:r>
                          <w:rPr>
                            <w:sz w:val="21"/>
                          </w:rPr>
                          <w:t>°</w:t>
                        </w:r>
                        <w:r>
                          <w:rPr>
                            <w:rFonts w:ascii="Times New Roman" w:hAnsi="Times New Roman" w:eastAsia="Times New Roman"/>
                            <w:sz w:val="21"/>
                          </w:rPr>
                          <w:t>10</w:t>
                        </w:r>
                        <w:r>
                          <w:rPr>
                            <w:sz w:val="21"/>
                          </w:rPr>
                          <w:t>′</w:t>
                        </w:r>
                        <w:r>
                          <w:rPr>
                            <w:rFonts w:ascii="Times New Roman" w:hAnsi="Times New Roman" w:eastAsia="Times New Roman"/>
                            <w:sz w:val="21"/>
                          </w:rPr>
                          <w:t>4.50</w:t>
                        </w:r>
                        <w:r>
                          <w:rPr>
                            <w:sz w:val="21"/>
                          </w:rPr>
                          <w:t>″，</w:t>
                        </w:r>
                      </w:p>
                      <w:p w14:paraId="3310E8D2">
                        <w:pPr>
                          <w:pStyle w:val="17"/>
                          <w:spacing w:before="2" w:line="261" w:lineRule="exact"/>
                          <w:ind w:left="9"/>
                          <w:rPr>
                            <w:sz w:val="21"/>
                          </w:rPr>
                        </w:pPr>
                        <w:r>
                          <w:rPr>
                            <w:rFonts w:ascii="Times New Roman" w:hAnsi="Times New Roman"/>
                            <w:sz w:val="21"/>
                          </w:rPr>
                          <w:t>N28</w:t>
                        </w:r>
                        <w:r>
                          <w:rPr>
                            <w:sz w:val="21"/>
                          </w:rPr>
                          <w:t>°</w:t>
                        </w:r>
                        <w:r>
                          <w:rPr>
                            <w:rFonts w:ascii="Times New Roman" w:hAnsi="Times New Roman"/>
                            <w:sz w:val="21"/>
                          </w:rPr>
                          <w:t>45</w:t>
                        </w:r>
                        <w:r>
                          <w:rPr>
                            <w:sz w:val="21"/>
                          </w:rPr>
                          <w:t>′</w:t>
                        </w:r>
                        <w:r>
                          <w:rPr>
                            <w:rFonts w:ascii="Times New Roman" w:hAnsi="Times New Roman"/>
                            <w:sz w:val="21"/>
                          </w:rPr>
                          <w:t>1.77</w:t>
                        </w:r>
                        <w:r>
                          <w:rPr>
                            <w:sz w:val="21"/>
                          </w:rPr>
                          <w:t>″</w:t>
                        </w:r>
                      </w:p>
                    </w:tc>
                    <w:tc>
                      <w:tcPr>
                        <w:tcW w:w="1138" w:type="dxa"/>
                      </w:tcPr>
                      <w:p w14:paraId="6DC279EC">
                        <w:pPr>
                          <w:pStyle w:val="17"/>
                          <w:spacing w:before="134"/>
                          <w:ind w:left="7"/>
                          <w:rPr>
                            <w:sz w:val="21"/>
                          </w:rPr>
                        </w:pPr>
                        <w:r>
                          <w:rPr>
                            <w:w w:val="99"/>
                            <w:sz w:val="21"/>
                          </w:rPr>
                          <w:t>是</w:t>
                        </w:r>
                      </w:p>
                    </w:tc>
                    <w:tc>
                      <w:tcPr>
                        <w:tcW w:w="2823" w:type="dxa"/>
                        <w:vMerge w:val="continue"/>
                        <w:tcBorders>
                          <w:top w:val="nil"/>
                          <w:right w:val="nil"/>
                        </w:tcBorders>
                      </w:tcPr>
                      <w:p w14:paraId="0FAD5B77">
                        <w:pPr>
                          <w:rPr>
                            <w:sz w:val="2"/>
                            <w:szCs w:val="2"/>
                          </w:rPr>
                        </w:pPr>
                      </w:p>
                    </w:tc>
                  </w:tr>
                </w:tbl>
                <w:p w14:paraId="43730ACB">
                  <w:pPr>
                    <w:pStyle w:val="10"/>
                  </w:pPr>
                </w:p>
              </w:txbxContent>
            </v:textbox>
          </v:shape>
        </w:pict>
      </w:r>
      <w:r>
        <w:rPr>
          <w:spacing w:val="-31"/>
        </w:rPr>
        <w:t xml:space="preserve">表 </w:t>
      </w:r>
      <w:r>
        <w:rPr>
          <w:rFonts w:ascii="Times New Roman" w:eastAsia="Times New Roman"/>
        </w:rPr>
        <w:t>3.3-7</w:t>
      </w:r>
      <w:r>
        <w:rPr>
          <w:rFonts w:ascii="Times New Roman" w:eastAsia="Times New Roman"/>
          <w:spacing w:val="58"/>
        </w:rPr>
        <w:t xml:space="preserve"> </w:t>
      </w:r>
      <w:r>
        <w:t>地下水监测布点一览表</w:t>
      </w:r>
    </w:p>
    <w:p w14:paraId="2981D7BE">
      <w:pPr>
        <w:pStyle w:val="10"/>
        <w:rPr>
          <w:b/>
          <w:sz w:val="26"/>
        </w:rPr>
      </w:pPr>
    </w:p>
    <w:p w14:paraId="604B4351">
      <w:pPr>
        <w:pStyle w:val="10"/>
        <w:spacing w:before="3"/>
        <w:rPr>
          <w:b/>
        </w:rPr>
      </w:pPr>
    </w:p>
    <w:p w14:paraId="15E23675">
      <w:pPr>
        <w:spacing w:before="0"/>
        <w:ind w:left="0" w:right="140" w:firstLine="0"/>
        <w:jc w:val="right"/>
        <w:rPr>
          <w:sz w:val="21"/>
        </w:rPr>
      </w:pPr>
      <w:r>
        <w:rPr>
          <w:w w:val="99"/>
          <w:sz w:val="21"/>
        </w:rPr>
        <w:t>、</w:t>
      </w:r>
    </w:p>
    <w:p w14:paraId="1FBC0045">
      <w:pPr>
        <w:pStyle w:val="10"/>
        <w:spacing w:before="7"/>
        <w:rPr>
          <w:sz w:val="21"/>
        </w:rPr>
      </w:pPr>
    </w:p>
    <w:p w14:paraId="44E1AD64">
      <w:pPr>
        <w:spacing w:before="0"/>
        <w:ind w:left="0" w:right="140" w:firstLine="0"/>
        <w:jc w:val="right"/>
        <w:rPr>
          <w:sz w:val="21"/>
        </w:rPr>
      </w:pPr>
      <w:r>
        <w:rPr>
          <w:w w:val="99"/>
          <w:sz w:val="21"/>
        </w:rPr>
        <w:t>、</w:t>
      </w:r>
    </w:p>
    <w:p w14:paraId="2563580C">
      <w:pPr>
        <w:pStyle w:val="10"/>
        <w:rPr>
          <w:sz w:val="20"/>
        </w:rPr>
      </w:pPr>
    </w:p>
    <w:p w14:paraId="79506578">
      <w:pPr>
        <w:pStyle w:val="10"/>
        <w:rPr>
          <w:sz w:val="20"/>
        </w:rPr>
      </w:pPr>
    </w:p>
    <w:p w14:paraId="1F727E95">
      <w:pPr>
        <w:pStyle w:val="10"/>
        <w:rPr>
          <w:sz w:val="20"/>
        </w:rPr>
      </w:pPr>
    </w:p>
    <w:p w14:paraId="1F17FAED">
      <w:pPr>
        <w:pStyle w:val="10"/>
        <w:spacing w:before="5"/>
        <w:rPr>
          <w:sz w:val="25"/>
        </w:rPr>
      </w:pPr>
    </w:p>
    <w:p w14:paraId="5BAD3D1A">
      <w:pPr>
        <w:spacing w:before="0"/>
        <w:ind w:left="0" w:right="136" w:firstLine="0"/>
        <w:jc w:val="right"/>
        <w:rPr>
          <w:sz w:val="21"/>
        </w:rPr>
      </w:pPr>
      <w:r>
        <w:rPr>
          <w:w w:val="99"/>
          <w:sz w:val="21"/>
        </w:rPr>
        <w:t>、</w:t>
      </w:r>
    </w:p>
    <w:p w14:paraId="266DEF02">
      <w:pPr>
        <w:pStyle w:val="10"/>
        <w:rPr>
          <w:sz w:val="20"/>
        </w:rPr>
      </w:pPr>
    </w:p>
    <w:p w14:paraId="160E5FEA">
      <w:pPr>
        <w:pStyle w:val="10"/>
        <w:rPr>
          <w:sz w:val="20"/>
        </w:rPr>
      </w:pPr>
    </w:p>
    <w:p w14:paraId="001E6C12">
      <w:pPr>
        <w:pStyle w:val="10"/>
        <w:rPr>
          <w:sz w:val="20"/>
        </w:rPr>
      </w:pPr>
    </w:p>
    <w:p w14:paraId="5CA61DC8">
      <w:pPr>
        <w:pStyle w:val="10"/>
        <w:rPr>
          <w:sz w:val="20"/>
        </w:rPr>
      </w:pPr>
    </w:p>
    <w:p w14:paraId="6368F461">
      <w:pPr>
        <w:pStyle w:val="10"/>
        <w:rPr>
          <w:sz w:val="20"/>
        </w:rPr>
      </w:pPr>
    </w:p>
    <w:p w14:paraId="7AB603CC">
      <w:pPr>
        <w:pStyle w:val="10"/>
        <w:rPr>
          <w:sz w:val="20"/>
        </w:rPr>
      </w:pPr>
    </w:p>
    <w:p w14:paraId="45EAF45C">
      <w:pPr>
        <w:pStyle w:val="10"/>
        <w:rPr>
          <w:sz w:val="20"/>
        </w:rPr>
      </w:pPr>
    </w:p>
    <w:p w14:paraId="25CA3A93">
      <w:pPr>
        <w:pStyle w:val="10"/>
        <w:rPr>
          <w:sz w:val="20"/>
        </w:rPr>
      </w:pPr>
    </w:p>
    <w:p w14:paraId="2732C5F9">
      <w:pPr>
        <w:pStyle w:val="10"/>
        <w:rPr>
          <w:sz w:val="20"/>
        </w:rPr>
      </w:pPr>
    </w:p>
    <w:p w14:paraId="18513FC1">
      <w:pPr>
        <w:pStyle w:val="10"/>
        <w:rPr>
          <w:sz w:val="20"/>
        </w:rPr>
      </w:pPr>
    </w:p>
    <w:p w14:paraId="7C08AD17">
      <w:pPr>
        <w:pStyle w:val="10"/>
        <w:spacing w:before="11"/>
        <w:rPr>
          <w:sz w:val="16"/>
        </w:rPr>
      </w:pPr>
    </w:p>
    <w:p w14:paraId="09D599AD">
      <w:pPr>
        <w:spacing w:before="0"/>
        <w:ind w:left="0" w:right="140" w:firstLine="0"/>
        <w:jc w:val="right"/>
        <w:rPr>
          <w:sz w:val="21"/>
        </w:rPr>
      </w:pPr>
      <w:r>
        <w:rPr>
          <w:w w:val="99"/>
          <w:sz w:val="21"/>
        </w:rPr>
        <w:t>、</w:t>
      </w:r>
    </w:p>
    <w:p w14:paraId="61A03EA6">
      <w:pPr>
        <w:pStyle w:val="10"/>
        <w:spacing w:before="7"/>
        <w:rPr>
          <w:sz w:val="21"/>
        </w:rPr>
      </w:pPr>
    </w:p>
    <w:p w14:paraId="73253F63">
      <w:pPr>
        <w:spacing w:before="0"/>
        <w:ind w:left="0" w:right="140" w:firstLine="0"/>
        <w:jc w:val="right"/>
        <w:rPr>
          <w:sz w:val="21"/>
        </w:rPr>
      </w:pPr>
      <w:r>
        <w:rPr>
          <w:w w:val="99"/>
          <w:sz w:val="21"/>
        </w:rPr>
        <w:t>、</w:t>
      </w:r>
    </w:p>
    <w:p w14:paraId="61754C11">
      <w:pPr>
        <w:spacing w:after="0"/>
        <w:jc w:val="right"/>
        <w:rPr>
          <w:sz w:val="21"/>
        </w:rPr>
        <w:sectPr>
          <w:pgSz w:w="11910" w:h="16840"/>
          <w:pgMar w:top="1500" w:right="1560" w:bottom="1220" w:left="1560" w:header="0" w:footer="1024" w:gutter="0"/>
          <w:cols w:space="720" w:num="1"/>
        </w:sectPr>
      </w:pPr>
    </w:p>
    <w:p w14:paraId="602A35FF">
      <w:pPr>
        <w:pStyle w:val="10"/>
        <w:rPr>
          <w:sz w:val="20"/>
        </w:rPr>
      </w:pPr>
    </w:p>
    <w:p w14:paraId="033CC718">
      <w:pPr>
        <w:pStyle w:val="10"/>
        <w:rPr>
          <w:sz w:val="20"/>
        </w:rPr>
      </w:pPr>
    </w:p>
    <w:p w14:paraId="2365C513">
      <w:pPr>
        <w:pStyle w:val="10"/>
        <w:spacing w:before="4"/>
        <w:rPr>
          <w:sz w:val="19"/>
        </w:rPr>
      </w:pPr>
    </w:p>
    <w:p w14:paraId="6E0E00A8">
      <w:pPr>
        <w:spacing w:before="70"/>
        <w:ind w:left="0" w:right="140" w:firstLine="0"/>
        <w:jc w:val="right"/>
        <w:rPr>
          <w:sz w:val="21"/>
        </w:rPr>
      </w:pPr>
      <w:r>
        <w:pict>
          <v:shape id="_x0000_s1230" o:spid="_x0000_s1230" o:spt="202" type="#_x0000_t202" style="position:absolute;left:0pt;margin-left:87pt;margin-top:-37.85pt;height:96.3pt;width:421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714"/>
                    <w:gridCol w:w="2046"/>
                    <w:gridCol w:w="1138"/>
                    <w:gridCol w:w="2823"/>
                  </w:tblGrid>
                  <w:tr w14:paraId="48AC4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694" w:type="dxa"/>
                        <w:tcBorders>
                          <w:left w:val="nil"/>
                        </w:tcBorders>
                      </w:tcPr>
                      <w:p w14:paraId="556DC1D5">
                        <w:pPr>
                          <w:pStyle w:val="17"/>
                          <w:jc w:val="left"/>
                          <w:rPr>
                            <w:rFonts w:ascii="Times New Roman"/>
                            <w:sz w:val="22"/>
                          </w:rPr>
                        </w:pPr>
                      </w:p>
                    </w:tc>
                    <w:tc>
                      <w:tcPr>
                        <w:tcW w:w="1714" w:type="dxa"/>
                      </w:tcPr>
                      <w:p w14:paraId="632C6C19">
                        <w:pPr>
                          <w:pStyle w:val="17"/>
                          <w:jc w:val="left"/>
                          <w:rPr>
                            <w:rFonts w:ascii="Times New Roman"/>
                            <w:sz w:val="22"/>
                          </w:rPr>
                        </w:pPr>
                      </w:p>
                    </w:tc>
                    <w:tc>
                      <w:tcPr>
                        <w:tcW w:w="2046" w:type="dxa"/>
                      </w:tcPr>
                      <w:p w14:paraId="618F6D36">
                        <w:pPr>
                          <w:pStyle w:val="17"/>
                          <w:jc w:val="left"/>
                          <w:rPr>
                            <w:rFonts w:ascii="Times New Roman"/>
                            <w:sz w:val="22"/>
                          </w:rPr>
                        </w:pPr>
                      </w:p>
                    </w:tc>
                    <w:tc>
                      <w:tcPr>
                        <w:tcW w:w="1138" w:type="dxa"/>
                      </w:tcPr>
                      <w:p w14:paraId="4A710D7F">
                        <w:pPr>
                          <w:pStyle w:val="17"/>
                          <w:jc w:val="left"/>
                          <w:rPr>
                            <w:rFonts w:ascii="Times New Roman"/>
                            <w:sz w:val="22"/>
                          </w:rPr>
                        </w:pPr>
                      </w:p>
                    </w:tc>
                    <w:tc>
                      <w:tcPr>
                        <w:tcW w:w="2823" w:type="dxa"/>
                        <w:tcBorders>
                          <w:right w:val="nil"/>
                        </w:tcBorders>
                      </w:tcPr>
                      <w:p w14:paraId="24ABA6E3">
                        <w:pPr>
                          <w:pStyle w:val="17"/>
                          <w:spacing w:before="2" w:line="242" w:lineRule="auto"/>
                          <w:ind w:left="57" w:right="29"/>
                          <w:rPr>
                            <w:sz w:val="21"/>
                          </w:rPr>
                        </w:pPr>
                        <w:r>
                          <w:rPr>
                            <w:sz w:val="21"/>
                          </w:rPr>
                          <w:t>度、耗氧量（</w:t>
                        </w:r>
                        <w:r>
                          <w:rPr>
                            <w:rFonts w:ascii="Times New Roman" w:eastAsia="Times New Roman"/>
                            <w:sz w:val="21"/>
                          </w:rPr>
                          <w:t xml:space="preserve">CODMn </w:t>
                        </w:r>
                        <w:r>
                          <w:rPr>
                            <w:sz w:val="21"/>
                          </w:rPr>
                          <w:t>法）、</w:t>
                        </w:r>
                        <w:r>
                          <w:rPr>
                            <w:w w:val="95"/>
                            <w:sz w:val="21"/>
                          </w:rPr>
                          <w:t>六价铬、硝酸盐、亚硝酸盐、氨氮、挥发性酚类、氟化物、</w:t>
                        </w:r>
                        <w:r>
                          <w:rPr>
                            <w:sz w:val="21"/>
                          </w:rPr>
                          <w:t>氰化物、铁、铜、锌、锰、砷铅、镉、汞、钴、锂、镍、阴离子表面活性剂、总大肠菌</w:t>
                        </w:r>
                      </w:p>
                      <w:p w14:paraId="12F125C1">
                        <w:pPr>
                          <w:pStyle w:val="17"/>
                          <w:spacing w:before="1" w:line="252" w:lineRule="exact"/>
                          <w:ind w:left="30" w:right="29"/>
                          <w:rPr>
                            <w:sz w:val="21"/>
                          </w:rPr>
                        </w:pPr>
                        <w:r>
                          <w:rPr>
                            <w:sz w:val="21"/>
                          </w:rPr>
                          <w:t>群、细菌总数、铝</w:t>
                        </w:r>
                      </w:p>
                    </w:tc>
                  </w:tr>
                </w:tbl>
                <w:p w14:paraId="477B8892">
                  <w:pPr>
                    <w:pStyle w:val="10"/>
                  </w:pPr>
                </w:p>
              </w:txbxContent>
            </v:textbox>
          </v:shape>
        </w:pict>
      </w:r>
      <w:r>
        <w:rPr>
          <w:w w:val="99"/>
          <w:sz w:val="21"/>
        </w:rPr>
        <w:t>、</w:t>
      </w:r>
    </w:p>
    <w:p w14:paraId="06FB41F3">
      <w:pPr>
        <w:pStyle w:val="10"/>
        <w:rPr>
          <w:sz w:val="20"/>
        </w:rPr>
      </w:pPr>
    </w:p>
    <w:p w14:paraId="4CC48E10">
      <w:pPr>
        <w:pStyle w:val="10"/>
        <w:rPr>
          <w:sz w:val="20"/>
        </w:rPr>
      </w:pPr>
    </w:p>
    <w:p w14:paraId="0C3208F1">
      <w:pPr>
        <w:pStyle w:val="10"/>
        <w:rPr>
          <w:sz w:val="20"/>
        </w:rPr>
      </w:pPr>
    </w:p>
    <w:p w14:paraId="6C8CBEA2">
      <w:pPr>
        <w:pStyle w:val="10"/>
        <w:spacing w:before="141"/>
        <w:ind w:left="720"/>
      </w:pPr>
      <w:r>
        <w:rPr>
          <w:rFonts w:ascii="Times New Roman" w:eastAsia="Times New Roman"/>
        </w:rPr>
        <w:t>2</w:t>
      </w:r>
      <w:r>
        <w:t>、时间和频次：</w:t>
      </w:r>
    </w:p>
    <w:p w14:paraId="65173833">
      <w:pPr>
        <w:pStyle w:val="10"/>
        <w:spacing w:before="161"/>
        <w:ind w:left="720"/>
        <w:rPr>
          <w:rFonts w:ascii="Times New Roman" w:eastAsia="Times New Roman"/>
        </w:rPr>
      </w:pPr>
      <w:r>
        <w:rPr>
          <w:spacing w:val="-6"/>
        </w:rPr>
        <w:t xml:space="preserve">引用监测数据监测时间为 </w:t>
      </w:r>
      <w:r>
        <w:rPr>
          <w:rFonts w:ascii="Times New Roman" w:eastAsia="Times New Roman"/>
        </w:rPr>
        <w:t xml:space="preserve">D1~D7 </w:t>
      </w:r>
      <w:r>
        <w:rPr>
          <w:spacing w:val="-31"/>
        </w:rPr>
        <w:t xml:space="preserve">为 </w:t>
      </w:r>
      <w:r>
        <w:rPr>
          <w:rFonts w:ascii="Times New Roman" w:eastAsia="Times New Roman"/>
        </w:rPr>
        <w:t xml:space="preserve">2023 </w:t>
      </w:r>
      <w:r>
        <w:rPr>
          <w:spacing w:val="-31"/>
        </w:rPr>
        <w:t xml:space="preserve">年 </w:t>
      </w:r>
      <w:r>
        <w:rPr>
          <w:rFonts w:ascii="Times New Roman" w:eastAsia="Times New Roman"/>
        </w:rPr>
        <w:t xml:space="preserve">1 </w:t>
      </w:r>
      <w:r>
        <w:rPr>
          <w:spacing w:val="-31"/>
        </w:rPr>
        <w:t xml:space="preserve">月 </w:t>
      </w:r>
      <w:r>
        <w:rPr>
          <w:rFonts w:ascii="Times New Roman" w:eastAsia="Times New Roman"/>
        </w:rPr>
        <w:t xml:space="preserve">7 </w:t>
      </w:r>
      <w:r>
        <w:t>日，</w:t>
      </w:r>
      <w:r>
        <w:rPr>
          <w:rFonts w:ascii="Times New Roman" w:eastAsia="Times New Roman"/>
        </w:rPr>
        <w:t xml:space="preserve">D8~D9 </w:t>
      </w:r>
      <w:r>
        <w:rPr>
          <w:spacing w:val="-31"/>
        </w:rPr>
        <w:t xml:space="preserve">为 </w:t>
      </w:r>
      <w:r>
        <w:rPr>
          <w:rFonts w:ascii="Times New Roman" w:eastAsia="Times New Roman"/>
        </w:rPr>
        <w:t xml:space="preserve">2023 </w:t>
      </w:r>
      <w:r>
        <w:rPr>
          <w:spacing w:val="-31"/>
        </w:rPr>
        <w:t xml:space="preserve">年 </w:t>
      </w:r>
      <w:r>
        <w:rPr>
          <w:rFonts w:ascii="Times New Roman" w:eastAsia="Times New Roman"/>
        </w:rPr>
        <w:t>3</w:t>
      </w:r>
    </w:p>
    <w:p w14:paraId="20E67026">
      <w:pPr>
        <w:pStyle w:val="10"/>
        <w:spacing w:before="160"/>
        <w:ind w:right="5665"/>
        <w:jc w:val="center"/>
      </w:pPr>
      <w:r>
        <w:t xml:space="preserve">月 </w:t>
      </w:r>
      <w:r>
        <w:rPr>
          <w:rFonts w:ascii="Times New Roman" w:eastAsia="Times New Roman"/>
        </w:rPr>
        <w:t xml:space="preserve">6 </w:t>
      </w:r>
      <w:r>
        <w:t>日，监测采样一次。</w:t>
      </w:r>
    </w:p>
    <w:p w14:paraId="461ED0AB">
      <w:pPr>
        <w:pStyle w:val="10"/>
        <w:spacing w:before="161"/>
        <w:ind w:left="720"/>
      </w:pPr>
      <w:r>
        <w:rPr>
          <w:rFonts w:ascii="Times New Roman" w:eastAsia="Times New Roman"/>
        </w:rPr>
        <w:t>3</w:t>
      </w:r>
      <w:r>
        <w:t>、监测结果如下：</w:t>
      </w:r>
    </w:p>
    <w:p w14:paraId="508ACA2A">
      <w:pPr>
        <w:pStyle w:val="9"/>
        <w:tabs>
          <w:tab w:val="left" w:pos="5803"/>
        </w:tabs>
        <w:spacing w:before="160"/>
        <w:ind w:left="1711"/>
        <w:rPr>
          <w:rFonts w:ascii="Times New Roman" w:eastAsia="Times New Roman"/>
        </w:rPr>
      </w:pPr>
      <w:r>
        <w:t>表</w:t>
      </w:r>
      <w:r>
        <w:rPr>
          <w:spacing w:val="-62"/>
        </w:rPr>
        <w:t xml:space="preserve"> </w:t>
      </w:r>
      <w:r>
        <w:rPr>
          <w:rFonts w:ascii="Times New Roman" w:eastAsia="Times New Roman"/>
        </w:rPr>
        <w:t>3.3-</w:t>
      </w:r>
      <w:r>
        <w:rPr>
          <w:rFonts w:ascii="Times New Roman" w:eastAsia="Times New Roman"/>
          <w:spacing w:val="-21"/>
        </w:rPr>
        <w:t xml:space="preserve"> </w:t>
      </w:r>
      <w:r>
        <w:rPr>
          <w:rFonts w:ascii="Times New Roman" w:eastAsia="Times New Roman"/>
        </w:rPr>
        <w:t>8</w:t>
      </w:r>
      <w:r>
        <w:rPr>
          <w:rFonts w:ascii="Times New Roman" w:eastAsia="Times New Roman"/>
          <w:spacing w:val="57"/>
        </w:rPr>
        <w:t xml:space="preserve"> </w:t>
      </w:r>
      <w:r>
        <w:t>地下水水位检测结果一览表</w:t>
      </w:r>
      <w:r>
        <w:tab/>
      </w:r>
      <w:r>
        <w:t>单位：</w:t>
      </w:r>
      <w:r>
        <w:rPr>
          <w:rFonts w:ascii="Times New Roman" w:eastAsia="Times New Roman"/>
        </w:rPr>
        <w:t>mg/L</w:t>
      </w:r>
    </w:p>
    <w:p w14:paraId="60301F57">
      <w:pPr>
        <w:pStyle w:val="10"/>
        <w:spacing w:before="10"/>
        <w:rPr>
          <w:rFonts w:ascii="Times New Roman"/>
          <w:b/>
          <w:sz w:val="6"/>
        </w:rPr>
      </w:pPr>
    </w:p>
    <w:tbl>
      <w:tblPr>
        <w:tblStyle w:val="13"/>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754"/>
        <w:gridCol w:w="754"/>
        <w:gridCol w:w="754"/>
        <w:gridCol w:w="754"/>
        <w:gridCol w:w="754"/>
        <w:gridCol w:w="754"/>
        <w:gridCol w:w="754"/>
        <w:gridCol w:w="754"/>
        <w:gridCol w:w="754"/>
      </w:tblGrid>
      <w:tr w14:paraId="78C8B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33" w:type="dxa"/>
            <w:vMerge w:val="restart"/>
            <w:tcBorders>
              <w:left w:val="nil"/>
            </w:tcBorders>
          </w:tcPr>
          <w:p w14:paraId="11482F88">
            <w:pPr>
              <w:pStyle w:val="17"/>
              <w:spacing w:before="2"/>
              <w:jc w:val="left"/>
              <w:rPr>
                <w:rFonts w:ascii="Times New Roman"/>
                <w:b/>
                <w:sz w:val="23"/>
              </w:rPr>
            </w:pPr>
          </w:p>
          <w:p w14:paraId="626B7F7D">
            <w:pPr>
              <w:pStyle w:val="17"/>
              <w:ind w:left="450"/>
              <w:jc w:val="left"/>
              <w:rPr>
                <w:sz w:val="21"/>
              </w:rPr>
            </w:pPr>
            <w:r>
              <w:rPr>
                <w:sz w:val="21"/>
              </w:rPr>
              <w:t>监测项目</w:t>
            </w:r>
          </w:p>
        </w:tc>
        <w:tc>
          <w:tcPr>
            <w:tcW w:w="6786" w:type="dxa"/>
            <w:gridSpan w:val="9"/>
            <w:tcBorders>
              <w:right w:val="nil"/>
            </w:tcBorders>
          </w:tcPr>
          <w:p w14:paraId="48529EF1">
            <w:pPr>
              <w:pStyle w:val="17"/>
              <w:spacing w:before="63"/>
              <w:ind w:left="2951" w:right="2950"/>
              <w:rPr>
                <w:sz w:val="21"/>
              </w:rPr>
            </w:pPr>
            <w:r>
              <w:rPr>
                <w:sz w:val="21"/>
              </w:rPr>
              <w:t>监测点位</w:t>
            </w:r>
          </w:p>
        </w:tc>
      </w:tr>
      <w:tr w14:paraId="31030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3" w:type="dxa"/>
            <w:vMerge w:val="continue"/>
            <w:tcBorders>
              <w:top w:val="nil"/>
              <w:left w:val="nil"/>
            </w:tcBorders>
          </w:tcPr>
          <w:p w14:paraId="0B090039">
            <w:pPr>
              <w:rPr>
                <w:sz w:val="2"/>
                <w:szCs w:val="2"/>
              </w:rPr>
            </w:pPr>
          </w:p>
        </w:tc>
        <w:tc>
          <w:tcPr>
            <w:tcW w:w="754" w:type="dxa"/>
          </w:tcPr>
          <w:p w14:paraId="0D2AB827">
            <w:pPr>
              <w:pStyle w:val="17"/>
              <w:spacing w:before="78"/>
              <w:ind w:left="223" w:right="215"/>
              <w:rPr>
                <w:rFonts w:ascii="Times New Roman"/>
                <w:sz w:val="21"/>
              </w:rPr>
            </w:pPr>
            <w:r>
              <w:rPr>
                <w:rFonts w:ascii="Times New Roman"/>
                <w:sz w:val="21"/>
              </w:rPr>
              <w:t>D1</w:t>
            </w:r>
          </w:p>
        </w:tc>
        <w:tc>
          <w:tcPr>
            <w:tcW w:w="754" w:type="dxa"/>
          </w:tcPr>
          <w:p w14:paraId="66B5374A">
            <w:pPr>
              <w:pStyle w:val="17"/>
              <w:spacing w:before="78"/>
              <w:ind w:left="222" w:right="215"/>
              <w:rPr>
                <w:rFonts w:ascii="Times New Roman"/>
                <w:sz w:val="21"/>
              </w:rPr>
            </w:pPr>
            <w:r>
              <w:rPr>
                <w:rFonts w:ascii="Times New Roman"/>
                <w:sz w:val="21"/>
              </w:rPr>
              <w:t>D2</w:t>
            </w:r>
          </w:p>
        </w:tc>
        <w:tc>
          <w:tcPr>
            <w:tcW w:w="754" w:type="dxa"/>
          </w:tcPr>
          <w:p w14:paraId="5E0B4545">
            <w:pPr>
              <w:pStyle w:val="17"/>
              <w:spacing w:before="78"/>
              <w:ind w:left="221" w:right="215"/>
              <w:rPr>
                <w:rFonts w:ascii="Times New Roman"/>
                <w:sz w:val="21"/>
              </w:rPr>
            </w:pPr>
            <w:r>
              <w:rPr>
                <w:rFonts w:ascii="Times New Roman"/>
                <w:sz w:val="21"/>
              </w:rPr>
              <w:t>D3</w:t>
            </w:r>
          </w:p>
        </w:tc>
        <w:tc>
          <w:tcPr>
            <w:tcW w:w="754" w:type="dxa"/>
          </w:tcPr>
          <w:p w14:paraId="39D54755">
            <w:pPr>
              <w:pStyle w:val="17"/>
              <w:spacing w:before="78"/>
              <w:ind w:left="246"/>
              <w:jc w:val="left"/>
              <w:rPr>
                <w:rFonts w:ascii="Times New Roman"/>
                <w:sz w:val="21"/>
              </w:rPr>
            </w:pPr>
            <w:r>
              <w:rPr>
                <w:rFonts w:ascii="Times New Roman"/>
                <w:sz w:val="21"/>
              </w:rPr>
              <w:t>D4</w:t>
            </w:r>
          </w:p>
        </w:tc>
        <w:tc>
          <w:tcPr>
            <w:tcW w:w="754" w:type="dxa"/>
          </w:tcPr>
          <w:p w14:paraId="1082CC15">
            <w:pPr>
              <w:pStyle w:val="17"/>
              <w:spacing w:before="78"/>
              <w:ind w:left="219" w:right="215"/>
              <w:rPr>
                <w:rFonts w:ascii="Times New Roman"/>
                <w:sz w:val="21"/>
              </w:rPr>
            </w:pPr>
            <w:r>
              <w:rPr>
                <w:rFonts w:ascii="Times New Roman"/>
                <w:sz w:val="21"/>
              </w:rPr>
              <w:t>D5</w:t>
            </w:r>
          </w:p>
        </w:tc>
        <w:tc>
          <w:tcPr>
            <w:tcW w:w="754" w:type="dxa"/>
          </w:tcPr>
          <w:p w14:paraId="1D23F04A">
            <w:pPr>
              <w:pStyle w:val="17"/>
              <w:spacing w:before="78"/>
              <w:ind w:left="223" w:right="215"/>
              <w:rPr>
                <w:rFonts w:ascii="Times New Roman"/>
                <w:sz w:val="21"/>
              </w:rPr>
            </w:pPr>
            <w:r>
              <w:rPr>
                <w:rFonts w:ascii="Times New Roman"/>
                <w:sz w:val="21"/>
              </w:rPr>
              <w:t>D6</w:t>
            </w:r>
          </w:p>
        </w:tc>
        <w:tc>
          <w:tcPr>
            <w:tcW w:w="754" w:type="dxa"/>
          </w:tcPr>
          <w:p w14:paraId="2E1EB713">
            <w:pPr>
              <w:pStyle w:val="17"/>
              <w:spacing w:before="78"/>
              <w:ind w:left="223" w:right="215"/>
              <w:rPr>
                <w:rFonts w:ascii="Times New Roman"/>
                <w:sz w:val="21"/>
              </w:rPr>
            </w:pPr>
            <w:r>
              <w:rPr>
                <w:rFonts w:ascii="Times New Roman"/>
                <w:sz w:val="21"/>
              </w:rPr>
              <w:t>D7</w:t>
            </w:r>
          </w:p>
        </w:tc>
        <w:tc>
          <w:tcPr>
            <w:tcW w:w="754" w:type="dxa"/>
          </w:tcPr>
          <w:p w14:paraId="7DE82175">
            <w:pPr>
              <w:pStyle w:val="17"/>
              <w:spacing w:before="78"/>
              <w:ind w:left="222" w:right="215"/>
              <w:rPr>
                <w:rFonts w:ascii="Times New Roman"/>
                <w:sz w:val="21"/>
              </w:rPr>
            </w:pPr>
            <w:r>
              <w:rPr>
                <w:rFonts w:ascii="Times New Roman"/>
                <w:sz w:val="21"/>
              </w:rPr>
              <w:t>D8</w:t>
            </w:r>
          </w:p>
        </w:tc>
        <w:tc>
          <w:tcPr>
            <w:tcW w:w="754" w:type="dxa"/>
            <w:tcBorders>
              <w:right w:val="nil"/>
            </w:tcBorders>
          </w:tcPr>
          <w:p w14:paraId="088620FF">
            <w:pPr>
              <w:pStyle w:val="17"/>
              <w:spacing w:before="78"/>
              <w:ind w:left="222" w:right="221"/>
              <w:rPr>
                <w:rFonts w:ascii="Times New Roman"/>
                <w:sz w:val="21"/>
              </w:rPr>
            </w:pPr>
            <w:r>
              <w:rPr>
                <w:rFonts w:ascii="Times New Roman"/>
                <w:sz w:val="21"/>
              </w:rPr>
              <w:t>D9</w:t>
            </w:r>
          </w:p>
        </w:tc>
      </w:tr>
      <w:tr w14:paraId="29500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33" w:type="dxa"/>
            <w:tcBorders>
              <w:left w:val="nil"/>
            </w:tcBorders>
          </w:tcPr>
          <w:p w14:paraId="6753224A">
            <w:pPr>
              <w:pStyle w:val="17"/>
              <w:spacing w:before="63"/>
              <w:ind w:left="553"/>
              <w:jc w:val="left"/>
              <w:rPr>
                <w:rFonts w:ascii="Times New Roman" w:eastAsia="Times New Roman"/>
                <w:sz w:val="21"/>
              </w:rPr>
            </w:pPr>
            <w:r>
              <w:rPr>
                <w:sz w:val="21"/>
              </w:rPr>
              <w:t xml:space="preserve">水位 </w:t>
            </w:r>
            <w:r>
              <w:rPr>
                <w:rFonts w:ascii="Times New Roman" w:eastAsia="Times New Roman"/>
                <w:sz w:val="21"/>
              </w:rPr>
              <w:t>m</w:t>
            </w:r>
          </w:p>
        </w:tc>
        <w:tc>
          <w:tcPr>
            <w:tcW w:w="754" w:type="dxa"/>
          </w:tcPr>
          <w:p w14:paraId="2F507D09">
            <w:pPr>
              <w:pStyle w:val="17"/>
              <w:spacing w:before="76"/>
              <w:ind w:left="223" w:right="213"/>
              <w:rPr>
                <w:rFonts w:ascii="Times New Roman"/>
                <w:sz w:val="21"/>
              </w:rPr>
            </w:pPr>
            <w:r>
              <w:rPr>
                <w:rFonts w:ascii="Times New Roman"/>
                <w:sz w:val="21"/>
              </w:rPr>
              <w:t>7.2</w:t>
            </w:r>
          </w:p>
        </w:tc>
        <w:tc>
          <w:tcPr>
            <w:tcW w:w="754" w:type="dxa"/>
          </w:tcPr>
          <w:p w14:paraId="633EEFC0">
            <w:pPr>
              <w:pStyle w:val="17"/>
              <w:spacing w:before="76"/>
              <w:ind w:left="223" w:right="214"/>
              <w:rPr>
                <w:rFonts w:ascii="Times New Roman"/>
                <w:sz w:val="21"/>
              </w:rPr>
            </w:pPr>
            <w:r>
              <w:rPr>
                <w:rFonts w:ascii="Times New Roman"/>
                <w:sz w:val="21"/>
              </w:rPr>
              <w:t>6.7</w:t>
            </w:r>
          </w:p>
        </w:tc>
        <w:tc>
          <w:tcPr>
            <w:tcW w:w="754" w:type="dxa"/>
          </w:tcPr>
          <w:p w14:paraId="036C8E16">
            <w:pPr>
              <w:pStyle w:val="17"/>
              <w:spacing w:before="76"/>
              <w:ind w:left="223" w:right="215"/>
              <w:rPr>
                <w:rFonts w:ascii="Times New Roman"/>
                <w:sz w:val="21"/>
              </w:rPr>
            </w:pPr>
            <w:r>
              <w:rPr>
                <w:rFonts w:ascii="Times New Roman"/>
                <w:sz w:val="21"/>
              </w:rPr>
              <w:t>9.2</w:t>
            </w:r>
          </w:p>
        </w:tc>
        <w:tc>
          <w:tcPr>
            <w:tcW w:w="754" w:type="dxa"/>
          </w:tcPr>
          <w:p w14:paraId="24A3911D">
            <w:pPr>
              <w:pStyle w:val="17"/>
              <w:spacing w:before="76"/>
              <w:ind w:left="244"/>
              <w:jc w:val="left"/>
              <w:rPr>
                <w:rFonts w:ascii="Times New Roman"/>
                <w:sz w:val="21"/>
              </w:rPr>
            </w:pPr>
            <w:r>
              <w:rPr>
                <w:rFonts w:ascii="Times New Roman"/>
                <w:sz w:val="21"/>
              </w:rPr>
              <w:t>5.7</w:t>
            </w:r>
          </w:p>
        </w:tc>
        <w:tc>
          <w:tcPr>
            <w:tcW w:w="754" w:type="dxa"/>
          </w:tcPr>
          <w:p w14:paraId="03903C39">
            <w:pPr>
              <w:pStyle w:val="17"/>
              <w:spacing w:before="76"/>
              <w:ind w:left="222" w:right="215"/>
              <w:rPr>
                <w:rFonts w:ascii="Times New Roman"/>
                <w:sz w:val="21"/>
              </w:rPr>
            </w:pPr>
            <w:r>
              <w:rPr>
                <w:rFonts w:ascii="Times New Roman"/>
                <w:sz w:val="21"/>
              </w:rPr>
              <w:t>6.6</w:t>
            </w:r>
          </w:p>
        </w:tc>
        <w:tc>
          <w:tcPr>
            <w:tcW w:w="754" w:type="dxa"/>
          </w:tcPr>
          <w:p w14:paraId="7169852B">
            <w:pPr>
              <w:pStyle w:val="17"/>
              <w:spacing w:before="76"/>
              <w:ind w:left="221" w:right="215"/>
              <w:rPr>
                <w:rFonts w:ascii="Times New Roman"/>
                <w:sz w:val="21"/>
              </w:rPr>
            </w:pPr>
            <w:r>
              <w:rPr>
                <w:rFonts w:ascii="Times New Roman"/>
                <w:sz w:val="21"/>
              </w:rPr>
              <w:t>8.4</w:t>
            </w:r>
          </w:p>
        </w:tc>
        <w:tc>
          <w:tcPr>
            <w:tcW w:w="754" w:type="dxa"/>
          </w:tcPr>
          <w:p w14:paraId="79BD3962">
            <w:pPr>
              <w:pStyle w:val="17"/>
              <w:spacing w:before="76"/>
              <w:ind w:left="223" w:right="213"/>
              <w:rPr>
                <w:rFonts w:ascii="Times New Roman"/>
                <w:sz w:val="21"/>
              </w:rPr>
            </w:pPr>
            <w:r>
              <w:rPr>
                <w:rFonts w:ascii="Times New Roman"/>
                <w:sz w:val="21"/>
              </w:rPr>
              <w:t>5.9</w:t>
            </w:r>
          </w:p>
        </w:tc>
        <w:tc>
          <w:tcPr>
            <w:tcW w:w="754" w:type="dxa"/>
          </w:tcPr>
          <w:p w14:paraId="7243933D">
            <w:pPr>
              <w:pStyle w:val="17"/>
              <w:spacing w:before="76"/>
              <w:ind w:left="223" w:right="214"/>
              <w:rPr>
                <w:rFonts w:ascii="Times New Roman"/>
                <w:sz w:val="21"/>
              </w:rPr>
            </w:pPr>
            <w:r>
              <w:rPr>
                <w:rFonts w:ascii="Times New Roman"/>
                <w:sz w:val="21"/>
              </w:rPr>
              <w:t>8.3</w:t>
            </w:r>
          </w:p>
        </w:tc>
        <w:tc>
          <w:tcPr>
            <w:tcW w:w="754" w:type="dxa"/>
            <w:tcBorders>
              <w:right w:val="nil"/>
            </w:tcBorders>
          </w:tcPr>
          <w:p w14:paraId="6D0065C6">
            <w:pPr>
              <w:pStyle w:val="17"/>
              <w:spacing w:before="76"/>
              <w:ind w:left="224" w:right="221"/>
              <w:rPr>
                <w:rFonts w:ascii="Times New Roman"/>
                <w:sz w:val="21"/>
              </w:rPr>
            </w:pPr>
            <w:r>
              <w:rPr>
                <w:rFonts w:ascii="Times New Roman"/>
                <w:sz w:val="21"/>
              </w:rPr>
              <w:t>9.1</w:t>
            </w:r>
          </w:p>
        </w:tc>
      </w:tr>
    </w:tbl>
    <w:p w14:paraId="5377FF15">
      <w:pPr>
        <w:pStyle w:val="10"/>
        <w:spacing w:before="82" w:line="364" w:lineRule="auto"/>
        <w:ind w:left="240" w:right="237" w:firstLine="480"/>
      </w:pPr>
      <w:r>
        <w:rPr>
          <w:spacing w:val="-7"/>
        </w:rPr>
        <w:t xml:space="preserve">根据监测结果，项目区地下水水位埋深在 </w:t>
      </w:r>
      <w:r>
        <w:rPr>
          <w:rFonts w:ascii="Times New Roman" w:hAnsi="Times New Roman" w:eastAsia="Times New Roman"/>
        </w:rPr>
        <w:t xml:space="preserve">5.7—9.2m </w:t>
      </w:r>
      <w:r>
        <w:rPr>
          <w:spacing w:val="-5"/>
        </w:rPr>
        <w:t xml:space="preserve">之间，项目所在区域的地下水的水位 </w:t>
      </w:r>
      <w:r>
        <w:rPr>
          <w:rFonts w:ascii="Times New Roman" w:hAnsi="Times New Roman" w:eastAsia="Times New Roman"/>
        </w:rPr>
        <w:t>D3</w:t>
      </w:r>
      <w:r>
        <w:t>＞</w:t>
      </w:r>
      <w:r>
        <w:rPr>
          <w:rFonts w:ascii="Times New Roman" w:hAnsi="Times New Roman" w:eastAsia="Times New Roman"/>
        </w:rPr>
        <w:t>D9</w:t>
      </w:r>
      <w:r>
        <w:t>＞</w:t>
      </w:r>
      <w:r>
        <w:rPr>
          <w:rFonts w:ascii="Times New Roman" w:hAnsi="Times New Roman" w:eastAsia="Times New Roman"/>
        </w:rPr>
        <w:t>D6</w:t>
      </w:r>
      <w:r>
        <w:t>＞</w:t>
      </w:r>
      <w:r>
        <w:rPr>
          <w:rFonts w:ascii="Times New Roman" w:hAnsi="Times New Roman" w:eastAsia="Times New Roman"/>
        </w:rPr>
        <w:t>D8</w:t>
      </w:r>
      <w:r>
        <w:t>＞</w:t>
      </w:r>
      <w:r>
        <w:rPr>
          <w:rFonts w:ascii="Times New Roman" w:hAnsi="Times New Roman" w:eastAsia="Times New Roman"/>
        </w:rPr>
        <w:t>D1</w:t>
      </w:r>
      <w:r>
        <w:t>＞</w:t>
      </w:r>
      <w:r>
        <w:rPr>
          <w:rFonts w:ascii="Times New Roman" w:hAnsi="Times New Roman" w:eastAsia="Times New Roman"/>
        </w:rPr>
        <w:t>D2</w:t>
      </w:r>
      <w:r>
        <w:t>＞</w:t>
      </w:r>
      <w:r>
        <w:rPr>
          <w:rFonts w:ascii="Times New Roman" w:hAnsi="Times New Roman" w:eastAsia="Times New Roman"/>
        </w:rPr>
        <w:t>D5</w:t>
      </w:r>
      <w:r>
        <w:t>＞</w:t>
      </w:r>
      <w:r>
        <w:rPr>
          <w:rFonts w:ascii="Times New Roman" w:hAnsi="Times New Roman" w:eastAsia="Times New Roman"/>
        </w:rPr>
        <w:t>D7</w:t>
      </w:r>
      <w:r>
        <w:t>＞</w:t>
      </w:r>
      <w:r>
        <w:rPr>
          <w:rFonts w:ascii="Times New Roman" w:hAnsi="Times New Roman" w:eastAsia="Times New Roman"/>
        </w:rPr>
        <w:t>D4</w:t>
      </w:r>
      <w:r>
        <w:t>。</w:t>
      </w:r>
    </w:p>
    <w:p w14:paraId="32173203">
      <w:pPr>
        <w:spacing w:after="0" w:line="364" w:lineRule="auto"/>
        <w:sectPr>
          <w:pgSz w:w="11910" w:h="16840"/>
          <w:pgMar w:top="1420" w:right="1560" w:bottom="1220" w:left="1560" w:header="0" w:footer="1024" w:gutter="0"/>
          <w:cols w:space="720" w:num="1"/>
        </w:sectPr>
      </w:pPr>
    </w:p>
    <w:p w14:paraId="054BE959">
      <w:pPr>
        <w:pStyle w:val="10"/>
        <w:rPr>
          <w:sz w:val="20"/>
        </w:rPr>
      </w:pPr>
    </w:p>
    <w:p w14:paraId="31704BFB">
      <w:pPr>
        <w:pStyle w:val="10"/>
        <w:rPr>
          <w:sz w:val="20"/>
        </w:rPr>
      </w:pPr>
    </w:p>
    <w:p w14:paraId="18CE726B">
      <w:pPr>
        <w:pStyle w:val="10"/>
        <w:spacing w:before="8"/>
        <w:rPr>
          <w:sz w:val="14"/>
        </w:rPr>
      </w:pPr>
    </w:p>
    <w:p w14:paraId="2B8F58AE">
      <w:pPr>
        <w:pStyle w:val="9"/>
        <w:tabs>
          <w:tab w:val="left" w:pos="6884"/>
        </w:tabs>
        <w:spacing w:before="74"/>
        <w:ind w:left="1868"/>
        <w:rPr>
          <w:rFonts w:ascii="Times New Roman" w:eastAsia="Times New Roman"/>
        </w:rPr>
      </w:pPr>
      <w:r>
        <w:t>表</w:t>
      </w:r>
      <w:r>
        <w:rPr>
          <w:spacing w:val="-62"/>
        </w:rPr>
        <w:t xml:space="preserve"> </w:t>
      </w:r>
      <w:r>
        <w:rPr>
          <w:rFonts w:ascii="Times New Roman" w:eastAsia="Times New Roman"/>
        </w:rPr>
        <w:t>3.3-9</w:t>
      </w:r>
      <w:r>
        <w:rPr>
          <w:rFonts w:ascii="Times New Roman" w:eastAsia="Times New Roman"/>
          <w:spacing w:val="57"/>
        </w:rPr>
        <w:t xml:space="preserve"> </w:t>
      </w:r>
      <w:r>
        <w:t>地下水监测点水质现状监测结果统计</w:t>
      </w:r>
      <w:r>
        <w:tab/>
      </w:r>
      <w:r>
        <w:t>单位：</w:t>
      </w:r>
      <w:r>
        <w:rPr>
          <w:rFonts w:ascii="Times New Roman" w:eastAsia="Times New Roman"/>
        </w:rPr>
        <w:t>mg/L</w:t>
      </w:r>
      <w:r>
        <w:t>，</w:t>
      </w:r>
      <w:r>
        <w:rPr>
          <w:rFonts w:ascii="Times New Roman" w:eastAsia="Times New Roman"/>
        </w:rPr>
        <w:t>pH</w:t>
      </w:r>
      <w:r>
        <w:rPr>
          <w:rFonts w:ascii="Times New Roman" w:eastAsia="Times New Roman"/>
          <w:spacing w:val="-1"/>
        </w:rPr>
        <w:t xml:space="preserve"> </w:t>
      </w:r>
      <w:r>
        <w:t>除外，总大肠菌群和菌落总数单位</w:t>
      </w:r>
      <w:r>
        <w:rPr>
          <w:spacing w:val="-62"/>
        </w:rPr>
        <w:t xml:space="preserve"> </w:t>
      </w:r>
      <w:r>
        <w:rPr>
          <w:rFonts w:ascii="Times New Roman" w:eastAsia="Times New Roman"/>
        </w:rPr>
        <w:t>CFU/100mL</w:t>
      </w:r>
    </w:p>
    <w:p w14:paraId="4E72348A">
      <w:pPr>
        <w:pStyle w:val="10"/>
        <w:rPr>
          <w:rFonts w:ascii="Times New Roman"/>
          <w:b/>
          <w:sz w:val="7"/>
        </w:rPr>
      </w:pPr>
    </w:p>
    <w:tbl>
      <w:tblPr>
        <w:tblStyle w:val="13"/>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88"/>
        <w:gridCol w:w="1019"/>
        <w:gridCol w:w="1200"/>
        <w:gridCol w:w="1010"/>
        <w:gridCol w:w="1200"/>
        <w:gridCol w:w="1010"/>
        <w:gridCol w:w="1167"/>
        <w:gridCol w:w="1204"/>
        <w:gridCol w:w="1167"/>
        <w:gridCol w:w="1204"/>
        <w:gridCol w:w="1173"/>
        <w:gridCol w:w="1173"/>
      </w:tblGrid>
      <w:tr w14:paraId="2DEE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vMerge w:val="restart"/>
            <w:tcBorders>
              <w:left w:val="nil"/>
            </w:tcBorders>
          </w:tcPr>
          <w:p w14:paraId="29297358">
            <w:pPr>
              <w:pStyle w:val="17"/>
              <w:spacing w:before="1"/>
              <w:jc w:val="left"/>
              <w:rPr>
                <w:rFonts w:ascii="Times New Roman"/>
                <w:b/>
                <w:sz w:val="23"/>
              </w:rPr>
            </w:pPr>
          </w:p>
          <w:p w14:paraId="0D8F34A0">
            <w:pPr>
              <w:pStyle w:val="17"/>
              <w:ind w:left="76" w:right="70"/>
              <w:rPr>
                <w:sz w:val="21"/>
              </w:rPr>
            </w:pPr>
            <w:r>
              <w:rPr>
                <w:sz w:val="21"/>
              </w:rPr>
              <w:t>名称</w:t>
            </w:r>
          </w:p>
        </w:tc>
        <w:tc>
          <w:tcPr>
            <w:tcW w:w="2207" w:type="dxa"/>
            <w:gridSpan w:val="2"/>
          </w:tcPr>
          <w:p w14:paraId="7D6FC70F">
            <w:pPr>
              <w:pStyle w:val="17"/>
              <w:spacing w:before="76"/>
              <w:ind w:left="954" w:right="946"/>
              <w:rPr>
                <w:rFonts w:ascii="Times New Roman"/>
                <w:sz w:val="21"/>
              </w:rPr>
            </w:pPr>
            <w:r>
              <w:rPr>
                <w:rFonts w:ascii="Times New Roman"/>
                <w:sz w:val="21"/>
              </w:rPr>
              <w:t>D1</w:t>
            </w:r>
          </w:p>
        </w:tc>
        <w:tc>
          <w:tcPr>
            <w:tcW w:w="2210" w:type="dxa"/>
            <w:gridSpan w:val="2"/>
          </w:tcPr>
          <w:p w14:paraId="240DBEEC">
            <w:pPr>
              <w:pStyle w:val="17"/>
              <w:spacing w:before="76"/>
              <w:ind w:left="954" w:right="947"/>
              <w:rPr>
                <w:rFonts w:ascii="Times New Roman"/>
                <w:sz w:val="21"/>
              </w:rPr>
            </w:pPr>
            <w:r>
              <w:rPr>
                <w:rFonts w:ascii="Times New Roman"/>
                <w:sz w:val="21"/>
              </w:rPr>
              <w:t>D2</w:t>
            </w:r>
          </w:p>
        </w:tc>
        <w:tc>
          <w:tcPr>
            <w:tcW w:w="2210" w:type="dxa"/>
            <w:gridSpan w:val="2"/>
          </w:tcPr>
          <w:p w14:paraId="2E00DC60">
            <w:pPr>
              <w:pStyle w:val="17"/>
              <w:spacing w:before="76"/>
              <w:ind w:left="955" w:right="947"/>
              <w:rPr>
                <w:rFonts w:ascii="Times New Roman"/>
                <w:sz w:val="21"/>
              </w:rPr>
            </w:pPr>
            <w:r>
              <w:rPr>
                <w:rFonts w:ascii="Times New Roman"/>
                <w:sz w:val="21"/>
              </w:rPr>
              <w:t>D3</w:t>
            </w:r>
          </w:p>
        </w:tc>
        <w:tc>
          <w:tcPr>
            <w:tcW w:w="2371" w:type="dxa"/>
            <w:gridSpan w:val="2"/>
          </w:tcPr>
          <w:p w14:paraId="52B3F127">
            <w:pPr>
              <w:pStyle w:val="17"/>
              <w:spacing w:before="76"/>
              <w:ind w:left="1034" w:right="1028"/>
              <w:rPr>
                <w:rFonts w:ascii="Times New Roman"/>
                <w:sz w:val="21"/>
              </w:rPr>
            </w:pPr>
            <w:r>
              <w:rPr>
                <w:rFonts w:ascii="Times New Roman"/>
                <w:sz w:val="21"/>
              </w:rPr>
              <w:t>D8</w:t>
            </w:r>
          </w:p>
        </w:tc>
        <w:tc>
          <w:tcPr>
            <w:tcW w:w="2371" w:type="dxa"/>
            <w:gridSpan w:val="2"/>
          </w:tcPr>
          <w:p w14:paraId="64B712B6">
            <w:pPr>
              <w:pStyle w:val="17"/>
              <w:spacing w:before="76"/>
              <w:ind w:left="1035" w:right="1028"/>
              <w:rPr>
                <w:rFonts w:ascii="Times New Roman"/>
                <w:sz w:val="21"/>
              </w:rPr>
            </w:pPr>
            <w:r>
              <w:rPr>
                <w:rFonts w:ascii="Times New Roman"/>
                <w:sz w:val="21"/>
              </w:rPr>
              <w:t>D9</w:t>
            </w:r>
          </w:p>
        </w:tc>
        <w:tc>
          <w:tcPr>
            <w:tcW w:w="1173" w:type="dxa"/>
            <w:vMerge w:val="restart"/>
          </w:tcPr>
          <w:p w14:paraId="5D230A37">
            <w:pPr>
              <w:pStyle w:val="17"/>
              <w:spacing w:before="1"/>
              <w:jc w:val="left"/>
              <w:rPr>
                <w:rFonts w:ascii="Times New Roman"/>
                <w:b/>
                <w:sz w:val="23"/>
              </w:rPr>
            </w:pPr>
          </w:p>
          <w:p w14:paraId="0C48EAF4">
            <w:pPr>
              <w:pStyle w:val="17"/>
              <w:ind w:left="271"/>
              <w:jc w:val="left"/>
              <w:rPr>
                <w:sz w:val="21"/>
              </w:rPr>
            </w:pPr>
            <w:r>
              <w:rPr>
                <w:sz w:val="21"/>
              </w:rPr>
              <w:t>标准值</w:t>
            </w:r>
          </w:p>
        </w:tc>
        <w:tc>
          <w:tcPr>
            <w:tcW w:w="1173" w:type="dxa"/>
            <w:vMerge w:val="restart"/>
            <w:tcBorders>
              <w:right w:val="nil"/>
            </w:tcBorders>
          </w:tcPr>
          <w:p w14:paraId="1AD2E142">
            <w:pPr>
              <w:pStyle w:val="17"/>
              <w:spacing w:before="1"/>
              <w:jc w:val="left"/>
              <w:rPr>
                <w:rFonts w:ascii="Times New Roman"/>
                <w:b/>
                <w:sz w:val="23"/>
              </w:rPr>
            </w:pPr>
          </w:p>
          <w:p w14:paraId="47EAB017">
            <w:pPr>
              <w:pStyle w:val="17"/>
              <w:ind w:left="168"/>
              <w:jc w:val="left"/>
              <w:rPr>
                <w:sz w:val="21"/>
              </w:rPr>
            </w:pPr>
            <w:r>
              <w:rPr>
                <w:sz w:val="21"/>
              </w:rPr>
              <w:t>达标情况</w:t>
            </w:r>
          </w:p>
        </w:tc>
      </w:tr>
      <w:tr w14:paraId="4ED30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vMerge w:val="continue"/>
            <w:tcBorders>
              <w:top w:val="nil"/>
              <w:left w:val="nil"/>
            </w:tcBorders>
          </w:tcPr>
          <w:p w14:paraId="2662C1D0">
            <w:pPr>
              <w:rPr>
                <w:sz w:val="2"/>
                <w:szCs w:val="2"/>
              </w:rPr>
            </w:pPr>
          </w:p>
        </w:tc>
        <w:tc>
          <w:tcPr>
            <w:tcW w:w="1188" w:type="dxa"/>
          </w:tcPr>
          <w:p w14:paraId="700A4355">
            <w:pPr>
              <w:pStyle w:val="17"/>
              <w:spacing w:before="63"/>
              <w:ind w:left="152" w:right="146"/>
              <w:rPr>
                <w:sz w:val="21"/>
              </w:rPr>
            </w:pPr>
            <w:r>
              <w:rPr>
                <w:sz w:val="21"/>
              </w:rPr>
              <w:t>监测结果</w:t>
            </w:r>
          </w:p>
        </w:tc>
        <w:tc>
          <w:tcPr>
            <w:tcW w:w="1019" w:type="dxa"/>
          </w:tcPr>
          <w:p w14:paraId="2FE2F808">
            <w:pPr>
              <w:pStyle w:val="17"/>
              <w:spacing w:before="63"/>
              <w:ind w:left="68" w:right="61"/>
              <w:rPr>
                <w:sz w:val="21"/>
              </w:rPr>
            </w:pPr>
            <w:r>
              <w:rPr>
                <w:sz w:val="21"/>
              </w:rPr>
              <w:t>标准指数</w:t>
            </w:r>
          </w:p>
        </w:tc>
        <w:tc>
          <w:tcPr>
            <w:tcW w:w="1200" w:type="dxa"/>
          </w:tcPr>
          <w:p w14:paraId="14712378">
            <w:pPr>
              <w:pStyle w:val="17"/>
              <w:spacing w:before="63"/>
              <w:ind w:left="158" w:right="152"/>
              <w:rPr>
                <w:sz w:val="21"/>
              </w:rPr>
            </w:pPr>
            <w:r>
              <w:rPr>
                <w:sz w:val="21"/>
              </w:rPr>
              <w:t>监测结果</w:t>
            </w:r>
          </w:p>
        </w:tc>
        <w:tc>
          <w:tcPr>
            <w:tcW w:w="1010" w:type="dxa"/>
          </w:tcPr>
          <w:p w14:paraId="315DFDA9">
            <w:pPr>
              <w:pStyle w:val="17"/>
              <w:spacing w:before="63"/>
              <w:ind w:left="62" w:right="54"/>
              <w:rPr>
                <w:sz w:val="21"/>
              </w:rPr>
            </w:pPr>
            <w:r>
              <w:rPr>
                <w:sz w:val="21"/>
              </w:rPr>
              <w:t>标准指数</w:t>
            </w:r>
          </w:p>
        </w:tc>
        <w:tc>
          <w:tcPr>
            <w:tcW w:w="1200" w:type="dxa"/>
          </w:tcPr>
          <w:p w14:paraId="092B2FE0">
            <w:pPr>
              <w:pStyle w:val="17"/>
              <w:spacing w:before="63"/>
              <w:ind w:left="158" w:right="152"/>
              <w:rPr>
                <w:sz w:val="21"/>
              </w:rPr>
            </w:pPr>
            <w:r>
              <w:rPr>
                <w:sz w:val="21"/>
              </w:rPr>
              <w:t>监测结果</w:t>
            </w:r>
          </w:p>
        </w:tc>
        <w:tc>
          <w:tcPr>
            <w:tcW w:w="1010" w:type="dxa"/>
          </w:tcPr>
          <w:p w14:paraId="2D00EA2A">
            <w:pPr>
              <w:pStyle w:val="17"/>
              <w:spacing w:before="63"/>
              <w:ind w:left="60" w:right="56"/>
              <w:rPr>
                <w:sz w:val="21"/>
              </w:rPr>
            </w:pPr>
            <w:r>
              <w:rPr>
                <w:sz w:val="21"/>
              </w:rPr>
              <w:t>标准指数</w:t>
            </w:r>
          </w:p>
        </w:tc>
        <w:tc>
          <w:tcPr>
            <w:tcW w:w="1167" w:type="dxa"/>
          </w:tcPr>
          <w:p w14:paraId="6EF251D5">
            <w:pPr>
              <w:pStyle w:val="17"/>
              <w:spacing w:before="63"/>
              <w:ind w:left="142" w:right="135"/>
              <w:rPr>
                <w:sz w:val="21"/>
              </w:rPr>
            </w:pPr>
            <w:r>
              <w:rPr>
                <w:sz w:val="21"/>
              </w:rPr>
              <w:t>监测结果</w:t>
            </w:r>
          </w:p>
        </w:tc>
        <w:tc>
          <w:tcPr>
            <w:tcW w:w="1204" w:type="dxa"/>
          </w:tcPr>
          <w:p w14:paraId="221510F6">
            <w:pPr>
              <w:pStyle w:val="17"/>
              <w:spacing w:before="63"/>
              <w:ind w:left="160" w:right="153"/>
              <w:rPr>
                <w:sz w:val="21"/>
              </w:rPr>
            </w:pPr>
            <w:r>
              <w:rPr>
                <w:sz w:val="21"/>
              </w:rPr>
              <w:t>标准指数</w:t>
            </w:r>
          </w:p>
        </w:tc>
        <w:tc>
          <w:tcPr>
            <w:tcW w:w="1167" w:type="dxa"/>
          </w:tcPr>
          <w:p w14:paraId="4168C8EA">
            <w:pPr>
              <w:pStyle w:val="17"/>
              <w:spacing w:before="63"/>
              <w:ind w:left="142" w:right="135"/>
              <w:rPr>
                <w:sz w:val="21"/>
              </w:rPr>
            </w:pPr>
            <w:r>
              <w:rPr>
                <w:sz w:val="21"/>
              </w:rPr>
              <w:t>监测结果</w:t>
            </w:r>
          </w:p>
        </w:tc>
        <w:tc>
          <w:tcPr>
            <w:tcW w:w="1204" w:type="dxa"/>
          </w:tcPr>
          <w:p w14:paraId="12A2D1C5">
            <w:pPr>
              <w:pStyle w:val="17"/>
              <w:spacing w:before="63"/>
              <w:ind w:left="160" w:right="153"/>
              <w:rPr>
                <w:sz w:val="21"/>
              </w:rPr>
            </w:pPr>
            <w:r>
              <w:rPr>
                <w:sz w:val="21"/>
              </w:rPr>
              <w:t>标准指数</w:t>
            </w:r>
          </w:p>
        </w:tc>
        <w:tc>
          <w:tcPr>
            <w:tcW w:w="1173" w:type="dxa"/>
            <w:vMerge w:val="continue"/>
            <w:tcBorders>
              <w:top w:val="nil"/>
            </w:tcBorders>
          </w:tcPr>
          <w:p w14:paraId="5B2370FB">
            <w:pPr>
              <w:rPr>
                <w:sz w:val="2"/>
                <w:szCs w:val="2"/>
              </w:rPr>
            </w:pPr>
          </w:p>
        </w:tc>
        <w:tc>
          <w:tcPr>
            <w:tcW w:w="1173" w:type="dxa"/>
            <w:vMerge w:val="continue"/>
            <w:tcBorders>
              <w:top w:val="nil"/>
              <w:right w:val="nil"/>
            </w:tcBorders>
          </w:tcPr>
          <w:p w14:paraId="659C550C">
            <w:pPr>
              <w:rPr>
                <w:sz w:val="2"/>
                <w:szCs w:val="2"/>
              </w:rPr>
            </w:pPr>
          </w:p>
        </w:tc>
      </w:tr>
      <w:tr w14:paraId="35ED1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59655E3A">
            <w:pPr>
              <w:pStyle w:val="17"/>
              <w:spacing w:before="78"/>
              <w:ind w:left="76" w:right="68"/>
              <w:rPr>
                <w:rFonts w:ascii="Times New Roman"/>
                <w:sz w:val="21"/>
              </w:rPr>
            </w:pPr>
            <w:r>
              <w:rPr>
                <w:rFonts w:ascii="Times New Roman"/>
                <w:sz w:val="21"/>
              </w:rPr>
              <w:t>pH</w:t>
            </w:r>
          </w:p>
        </w:tc>
        <w:tc>
          <w:tcPr>
            <w:tcW w:w="1188" w:type="dxa"/>
          </w:tcPr>
          <w:p w14:paraId="57A1007C">
            <w:pPr>
              <w:pStyle w:val="17"/>
              <w:spacing w:before="78"/>
              <w:ind w:left="152" w:right="145"/>
              <w:rPr>
                <w:rFonts w:ascii="Times New Roman"/>
                <w:sz w:val="21"/>
              </w:rPr>
            </w:pPr>
            <w:r>
              <w:rPr>
                <w:rFonts w:ascii="Times New Roman"/>
                <w:sz w:val="21"/>
              </w:rPr>
              <w:t>7.2</w:t>
            </w:r>
          </w:p>
        </w:tc>
        <w:tc>
          <w:tcPr>
            <w:tcW w:w="1019" w:type="dxa"/>
          </w:tcPr>
          <w:p w14:paraId="2E4CAD1F">
            <w:pPr>
              <w:pStyle w:val="17"/>
              <w:spacing w:before="78"/>
              <w:ind w:left="68" w:right="60"/>
              <w:rPr>
                <w:rFonts w:ascii="Times New Roman"/>
                <w:sz w:val="21"/>
              </w:rPr>
            </w:pPr>
            <w:r>
              <w:rPr>
                <w:rFonts w:ascii="Times New Roman"/>
                <w:sz w:val="21"/>
              </w:rPr>
              <w:t>0.13</w:t>
            </w:r>
          </w:p>
        </w:tc>
        <w:tc>
          <w:tcPr>
            <w:tcW w:w="1200" w:type="dxa"/>
          </w:tcPr>
          <w:p w14:paraId="1139244B">
            <w:pPr>
              <w:pStyle w:val="17"/>
              <w:spacing w:before="78"/>
              <w:ind w:left="158" w:right="151"/>
              <w:rPr>
                <w:rFonts w:ascii="Times New Roman"/>
                <w:sz w:val="21"/>
              </w:rPr>
            </w:pPr>
            <w:r>
              <w:rPr>
                <w:rFonts w:ascii="Times New Roman"/>
                <w:sz w:val="21"/>
              </w:rPr>
              <w:t>7.5</w:t>
            </w:r>
          </w:p>
        </w:tc>
        <w:tc>
          <w:tcPr>
            <w:tcW w:w="1010" w:type="dxa"/>
          </w:tcPr>
          <w:p w14:paraId="66D0B444">
            <w:pPr>
              <w:pStyle w:val="17"/>
              <w:spacing w:before="78"/>
              <w:ind w:left="62" w:right="52"/>
              <w:rPr>
                <w:rFonts w:ascii="Times New Roman"/>
                <w:sz w:val="21"/>
              </w:rPr>
            </w:pPr>
            <w:r>
              <w:rPr>
                <w:rFonts w:ascii="Times New Roman"/>
                <w:sz w:val="21"/>
              </w:rPr>
              <w:t>0.33</w:t>
            </w:r>
          </w:p>
        </w:tc>
        <w:tc>
          <w:tcPr>
            <w:tcW w:w="1200" w:type="dxa"/>
          </w:tcPr>
          <w:p w14:paraId="0221E7DB">
            <w:pPr>
              <w:pStyle w:val="17"/>
              <w:spacing w:before="78"/>
              <w:ind w:left="158" w:right="150"/>
              <w:rPr>
                <w:rFonts w:ascii="Times New Roman"/>
                <w:sz w:val="21"/>
              </w:rPr>
            </w:pPr>
            <w:r>
              <w:rPr>
                <w:rFonts w:ascii="Times New Roman"/>
                <w:sz w:val="21"/>
              </w:rPr>
              <w:t>7.4</w:t>
            </w:r>
          </w:p>
        </w:tc>
        <w:tc>
          <w:tcPr>
            <w:tcW w:w="1010" w:type="dxa"/>
          </w:tcPr>
          <w:p w14:paraId="70935B70">
            <w:pPr>
              <w:pStyle w:val="17"/>
              <w:spacing w:before="78"/>
              <w:ind w:left="62" w:right="52"/>
              <w:rPr>
                <w:rFonts w:ascii="Times New Roman"/>
                <w:sz w:val="21"/>
              </w:rPr>
            </w:pPr>
            <w:r>
              <w:rPr>
                <w:rFonts w:ascii="Times New Roman"/>
                <w:sz w:val="21"/>
              </w:rPr>
              <w:t>0.27</w:t>
            </w:r>
          </w:p>
        </w:tc>
        <w:tc>
          <w:tcPr>
            <w:tcW w:w="1167" w:type="dxa"/>
          </w:tcPr>
          <w:p w14:paraId="10B92A51">
            <w:pPr>
              <w:pStyle w:val="17"/>
              <w:spacing w:before="78"/>
              <w:ind w:left="142" w:right="134"/>
              <w:rPr>
                <w:rFonts w:ascii="Times New Roman"/>
                <w:sz w:val="21"/>
              </w:rPr>
            </w:pPr>
            <w:r>
              <w:rPr>
                <w:rFonts w:ascii="Times New Roman"/>
                <w:sz w:val="21"/>
              </w:rPr>
              <w:t>7.0</w:t>
            </w:r>
          </w:p>
        </w:tc>
        <w:tc>
          <w:tcPr>
            <w:tcW w:w="1204" w:type="dxa"/>
          </w:tcPr>
          <w:p w14:paraId="5EFAE7E6">
            <w:pPr>
              <w:pStyle w:val="17"/>
              <w:spacing w:before="78"/>
              <w:ind w:left="8"/>
              <w:rPr>
                <w:rFonts w:ascii="Times New Roman"/>
                <w:sz w:val="21"/>
              </w:rPr>
            </w:pPr>
            <w:r>
              <w:rPr>
                <w:rFonts w:ascii="Times New Roman"/>
                <w:w w:val="99"/>
                <w:sz w:val="21"/>
              </w:rPr>
              <w:t>0</w:t>
            </w:r>
          </w:p>
        </w:tc>
        <w:tc>
          <w:tcPr>
            <w:tcW w:w="1167" w:type="dxa"/>
          </w:tcPr>
          <w:p w14:paraId="138ADFC7">
            <w:pPr>
              <w:pStyle w:val="17"/>
              <w:spacing w:before="78"/>
              <w:ind w:left="142" w:right="134"/>
              <w:rPr>
                <w:rFonts w:ascii="Times New Roman"/>
                <w:sz w:val="21"/>
              </w:rPr>
            </w:pPr>
            <w:r>
              <w:rPr>
                <w:rFonts w:ascii="Times New Roman"/>
                <w:sz w:val="21"/>
              </w:rPr>
              <w:t>7.1</w:t>
            </w:r>
          </w:p>
        </w:tc>
        <w:tc>
          <w:tcPr>
            <w:tcW w:w="1204" w:type="dxa"/>
          </w:tcPr>
          <w:p w14:paraId="0D308BC4">
            <w:pPr>
              <w:pStyle w:val="17"/>
              <w:spacing w:before="78"/>
              <w:ind w:left="160" w:right="152"/>
              <w:rPr>
                <w:rFonts w:ascii="Times New Roman"/>
                <w:sz w:val="21"/>
              </w:rPr>
            </w:pPr>
            <w:r>
              <w:rPr>
                <w:rFonts w:ascii="Times New Roman"/>
                <w:sz w:val="21"/>
              </w:rPr>
              <w:t>0.07</w:t>
            </w:r>
          </w:p>
        </w:tc>
        <w:tc>
          <w:tcPr>
            <w:tcW w:w="1173" w:type="dxa"/>
          </w:tcPr>
          <w:p w14:paraId="192FD3B7">
            <w:pPr>
              <w:pStyle w:val="17"/>
              <w:spacing w:before="78"/>
              <w:ind w:left="247" w:right="237"/>
              <w:rPr>
                <w:rFonts w:ascii="Times New Roman"/>
                <w:sz w:val="21"/>
              </w:rPr>
            </w:pPr>
            <w:r>
              <w:rPr>
                <w:rFonts w:ascii="Times New Roman"/>
                <w:sz w:val="21"/>
              </w:rPr>
              <w:t>6.5~8.5</w:t>
            </w:r>
          </w:p>
        </w:tc>
        <w:tc>
          <w:tcPr>
            <w:tcW w:w="1173" w:type="dxa"/>
            <w:tcBorders>
              <w:right w:val="nil"/>
            </w:tcBorders>
          </w:tcPr>
          <w:p w14:paraId="43420906">
            <w:pPr>
              <w:pStyle w:val="17"/>
              <w:spacing w:before="64"/>
              <w:ind w:left="356" w:right="351"/>
              <w:rPr>
                <w:sz w:val="21"/>
              </w:rPr>
            </w:pPr>
            <w:r>
              <w:rPr>
                <w:sz w:val="21"/>
              </w:rPr>
              <w:t>达标</w:t>
            </w:r>
          </w:p>
        </w:tc>
      </w:tr>
      <w:tr w14:paraId="0A570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0C2831D4">
            <w:pPr>
              <w:pStyle w:val="17"/>
              <w:spacing w:before="62"/>
              <w:ind w:left="76" w:right="70"/>
              <w:rPr>
                <w:sz w:val="21"/>
              </w:rPr>
            </w:pPr>
            <w:r>
              <w:rPr>
                <w:sz w:val="21"/>
              </w:rPr>
              <w:t>溶解性总固体</w:t>
            </w:r>
          </w:p>
        </w:tc>
        <w:tc>
          <w:tcPr>
            <w:tcW w:w="1188" w:type="dxa"/>
          </w:tcPr>
          <w:p w14:paraId="3E1AC0AD">
            <w:pPr>
              <w:pStyle w:val="17"/>
              <w:spacing w:before="76"/>
              <w:ind w:left="152" w:right="145"/>
              <w:rPr>
                <w:rFonts w:ascii="Times New Roman"/>
                <w:sz w:val="21"/>
              </w:rPr>
            </w:pPr>
            <w:r>
              <w:rPr>
                <w:rFonts w:ascii="Times New Roman"/>
                <w:sz w:val="21"/>
              </w:rPr>
              <w:t>138</w:t>
            </w:r>
          </w:p>
        </w:tc>
        <w:tc>
          <w:tcPr>
            <w:tcW w:w="1019" w:type="dxa"/>
          </w:tcPr>
          <w:p w14:paraId="38D88452">
            <w:pPr>
              <w:pStyle w:val="17"/>
              <w:spacing w:before="76"/>
              <w:ind w:left="68" w:right="60"/>
              <w:rPr>
                <w:rFonts w:ascii="Times New Roman"/>
                <w:sz w:val="21"/>
              </w:rPr>
            </w:pPr>
            <w:r>
              <w:rPr>
                <w:rFonts w:ascii="Times New Roman"/>
                <w:sz w:val="21"/>
              </w:rPr>
              <w:t>0.138</w:t>
            </w:r>
          </w:p>
        </w:tc>
        <w:tc>
          <w:tcPr>
            <w:tcW w:w="1200" w:type="dxa"/>
          </w:tcPr>
          <w:p w14:paraId="18C7BF99">
            <w:pPr>
              <w:pStyle w:val="17"/>
              <w:spacing w:before="76"/>
              <w:ind w:left="158" w:right="151"/>
              <w:rPr>
                <w:rFonts w:ascii="Times New Roman"/>
                <w:sz w:val="21"/>
              </w:rPr>
            </w:pPr>
            <w:r>
              <w:rPr>
                <w:rFonts w:ascii="Times New Roman"/>
                <w:sz w:val="21"/>
              </w:rPr>
              <w:t>142</w:t>
            </w:r>
          </w:p>
        </w:tc>
        <w:tc>
          <w:tcPr>
            <w:tcW w:w="1010" w:type="dxa"/>
          </w:tcPr>
          <w:p w14:paraId="7E1AEF9F">
            <w:pPr>
              <w:pStyle w:val="17"/>
              <w:spacing w:before="76"/>
              <w:ind w:left="62" w:right="52"/>
              <w:rPr>
                <w:rFonts w:ascii="Times New Roman"/>
                <w:sz w:val="21"/>
              </w:rPr>
            </w:pPr>
            <w:r>
              <w:rPr>
                <w:rFonts w:ascii="Times New Roman"/>
                <w:sz w:val="21"/>
              </w:rPr>
              <w:t>0.142</w:t>
            </w:r>
          </w:p>
        </w:tc>
        <w:tc>
          <w:tcPr>
            <w:tcW w:w="1200" w:type="dxa"/>
          </w:tcPr>
          <w:p w14:paraId="3EF0E8A2">
            <w:pPr>
              <w:pStyle w:val="17"/>
              <w:spacing w:before="76"/>
              <w:ind w:left="158" w:right="150"/>
              <w:rPr>
                <w:rFonts w:ascii="Times New Roman"/>
                <w:sz w:val="21"/>
              </w:rPr>
            </w:pPr>
            <w:r>
              <w:rPr>
                <w:rFonts w:ascii="Times New Roman"/>
                <w:sz w:val="21"/>
              </w:rPr>
              <w:t>156</w:t>
            </w:r>
          </w:p>
        </w:tc>
        <w:tc>
          <w:tcPr>
            <w:tcW w:w="1010" w:type="dxa"/>
          </w:tcPr>
          <w:p w14:paraId="7CADCE2C">
            <w:pPr>
              <w:pStyle w:val="17"/>
              <w:spacing w:before="76"/>
              <w:ind w:left="62" w:right="54"/>
              <w:rPr>
                <w:rFonts w:ascii="Times New Roman"/>
                <w:sz w:val="21"/>
              </w:rPr>
            </w:pPr>
            <w:r>
              <w:rPr>
                <w:rFonts w:ascii="Times New Roman"/>
                <w:sz w:val="21"/>
              </w:rPr>
              <w:t>0.156</w:t>
            </w:r>
          </w:p>
        </w:tc>
        <w:tc>
          <w:tcPr>
            <w:tcW w:w="1167" w:type="dxa"/>
          </w:tcPr>
          <w:p w14:paraId="3A41BCAF">
            <w:pPr>
              <w:pStyle w:val="17"/>
              <w:spacing w:before="76"/>
              <w:ind w:left="142" w:right="134"/>
              <w:rPr>
                <w:rFonts w:ascii="Times New Roman"/>
                <w:sz w:val="21"/>
              </w:rPr>
            </w:pPr>
            <w:r>
              <w:rPr>
                <w:rFonts w:ascii="Times New Roman"/>
                <w:sz w:val="21"/>
              </w:rPr>
              <w:t>109</w:t>
            </w:r>
          </w:p>
        </w:tc>
        <w:tc>
          <w:tcPr>
            <w:tcW w:w="1204" w:type="dxa"/>
          </w:tcPr>
          <w:p w14:paraId="20B50607">
            <w:pPr>
              <w:pStyle w:val="17"/>
              <w:spacing w:before="76"/>
              <w:ind w:left="160" w:right="152"/>
              <w:rPr>
                <w:rFonts w:ascii="Times New Roman"/>
                <w:sz w:val="21"/>
              </w:rPr>
            </w:pPr>
            <w:r>
              <w:rPr>
                <w:rFonts w:ascii="Times New Roman"/>
                <w:sz w:val="21"/>
              </w:rPr>
              <w:t>0.109</w:t>
            </w:r>
          </w:p>
        </w:tc>
        <w:tc>
          <w:tcPr>
            <w:tcW w:w="1167" w:type="dxa"/>
          </w:tcPr>
          <w:p w14:paraId="34289FB6">
            <w:pPr>
              <w:pStyle w:val="17"/>
              <w:spacing w:before="76"/>
              <w:ind w:left="142" w:right="134"/>
              <w:rPr>
                <w:rFonts w:ascii="Times New Roman"/>
                <w:sz w:val="21"/>
              </w:rPr>
            </w:pPr>
            <w:r>
              <w:rPr>
                <w:rFonts w:ascii="Times New Roman"/>
                <w:sz w:val="21"/>
              </w:rPr>
              <w:t>122</w:t>
            </w:r>
          </w:p>
        </w:tc>
        <w:tc>
          <w:tcPr>
            <w:tcW w:w="1204" w:type="dxa"/>
          </w:tcPr>
          <w:p w14:paraId="72F29B17">
            <w:pPr>
              <w:pStyle w:val="17"/>
              <w:spacing w:before="76"/>
              <w:ind w:left="160" w:right="152"/>
              <w:rPr>
                <w:rFonts w:ascii="Times New Roman"/>
                <w:sz w:val="21"/>
              </w:rPr>
            </w:pPr>
            <w:r>
              <w:rPr>
                <w:rFonts w:ascii="Times New Roman"/>
                <w:sz w:val="21"/>
              </w:rPr>
              <w:t>0.122</w:t>
            </w:r>
          </w:p>
        </w:tc>
        <w:tc>
          <w:tcPr>
            <w:tcW w:w="1173" w:type="dxa"/>
          </w:tcPr>
          <w:p w14:paraId="1F010D04">
            <w:pPr>
              <w:pStyle w:val="17"/>
              <w:spacing w:before="76"/>
              <w:ind w:left="244" w:right="237"/>
              <w:rPr>
                <w:rFonts w:ascii="Times New Roman"/>
                <w:sz w:val="21"/>
              </w:rPr>
            </w:pPr>
            <w:r>
              <w:rPr>
                <w:rFonts w:ascii="Times New Roman"/>
                <w:sz w:val="21"/>
              </w:rPr>
              <w:t>1000</w:t>
            </w:r>
          </w:p>
        </w:tc>
        <w:tc>
          <w:tcPr>
            <w:tcW w:w="1173" w:type="dxa"/>
            <w:tcBorders>
              <w:right w:val="nil"/>
            </w:tcBorders>
          </w:tcPr>
          <w:p w14:paraId="4C6969ED">
            <w:pPr>
              <w:pStyle w:val="17"/>
              <w:spacing w:before="62"/>
              <w:ind w:left="356" w:right="351"/>
              <w:rPr>
                <w:sz w:val="21"/>
              </w:rPr>
            </w:pPr>
            <w:r>
              <w:rPr>
                <w:sz w:val="21"/>
              </w:rPr>
              <w:t>达标</w:t>
            </w:r>
          </w:p>
        </w:tc>
      </w:tr>
      <w:tr w14:paraId="40FE2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510D7D50">
            <w:pPr>
              <w:pStyle w:val="17"/>
              <w:spacing w:before="63"/>
              <w:ind w:left="76" w:right="70"/>
              <w:rPr>
                <w:sz w:val="21"/>
              </w:rPr>
            </w:pPr>
            <w:r>
              <w:rPr>
                <w:sz w:val="21"/>
              </w:rPr>
              <w:t>耗氧量</w:t>
            </w:r>
          </w:p>
        </w:tc>
        <w:tc>
          <w:tcPr>
            <w:tcW w:w="1188" w:type="dxa"/>
          </w:tcPr>
          <w:p w14:paraId="57F01D6B">
            <w:pPr>
              <w:pStyle w:val="17"/>
              <w:spacing w:before="77"/>
              <w:ind w:left="152" w:right="140"/>
              <w:rPr>
                <w:rFonts w:ascii="Times New Roman"/>
                <w:sz w:val="21"/>
              </w:rPr>
            </w:pPr>
            <w:r>
              <w:rPr>
                <w:rFonts w:ascii="Times New Roman"/>
                <w:sz w:val="21"/>
              </w:rPr>
              <w:t>1.11</w:t>
            </w:r>
          </w:p>
        </w:tc>
        <w:tc>
          <w:tcPr>
            <w:tcW w:w="1019" w:type="dxa"/>
          </w:tcPr>
          <w:p w14:paraId="01392175">
            <w:pPr>
              <w:pStyle w:val="17"/>
              <w:spacing w:before="77"/>
              <w:ind w:left="68" w:right="60"/>
              <w:rPr>
                <w:rFonts w:ascii="Times New Roman"/>
                <w:sz w:val="21"/>
              </w:rPr>
            </w:pPr>
            <w:r>
              <w:rPr>
                <w:rFonts w:ascii="Times New Roman"/>
                <w:sz w:val="21"/>
              </w:rPr>
              <w:t>0.37</w:t>
            </w:r>
          </w:p>
        </w:tc>
        <w:tc>
          <w:tcPr>
            <w:tcW w:w="1200" w:type="dxa"/>
          </w:tcPr>
          <w:p w14:paraId="44123A80">
            <w:pPr>
              <w:pStyle w:val="17"/>
              <w:spacing w:before="77"/>
              <w:ind w:left="158" w:right="149"/>
              <w:rPr>
                <w:rFonts w:ascii="Times New Roman"/>
                <w:sz w:val="21"/>
              </w:rPr>
            </w:pPr>
            <w:r>
              <w:rPr>
                <w:rFonts w:ascii="Times New Roman"/>
                <w:sz w:val="21"/>
              </w:rPr>
              <w:t>1.01</w:t>
            </w:r>
          </w:p>
        </w:tc>
        <w:tc>
          <w:tcPr>
            <w:tcW w:w="1010" w:type="dxa"/>
          </w:tcPr>
          <w:p w14:paraId="57800FFB">
            <w:pPr>
              <w:pStyle w:val="17"/>
              <w:spacing w:before="77"/>
              <w:ind w:left="62" w:right="52"/>
              <w:rPr>
                <w:rFonts w:ascii="Times New Roman"/>
                <w:sz w:val="21"/>
              </w:rPr>
            </w:pPr>
            <w:r>
              <w:rPr>
                <w:rFonts w:ascii="Times New Roman"/>
                <w:sz w:val="21"/>
              </w:rPr>
              <w:t>0.34</w:t>
            </w:r>
          </w:p>
        </w:tc>
        <w:tc>
          <w:tcPr>
            <w:tcW w:w="1200" w:type="dxa"/>
          </w:tcPr>
          <w:p w14:paraId="6A507B78">
            <w:pPr>
              <w:pStyle w:val="17"/>
              <w:spacing w:before="77"/>
              <w:ind w:left="158" w:right="150"/>
              <w:rPr>
                <w:rFonts w:ascii="Times New Roman"/>
                <w:sz w:val="21"/>
              </w:rPr>
            </w:pPr>
            <w:r>
              <w:rPr>
                <w:rFonts w:ascii="Times New Roman"/>
                <w:sz w:val="21"/>
              </w:rPr>
              <w:t>1.05</w:t>
            </w:r>
          </w:p>
        </w:tc>
        <w:tc>
          <w:tcPr>
            <w:tcW w:w="1010" w:type="dxa"/>
          </w:tcPr>
          <w:p w14:paraId="44BBFE14">
            <w:pPr>
              <w:pStyle w:val="17"/>
              <w:spacing w:before="77"/>
              <w:ind w:left="62" w:right="52"/>
              <w:rPr>
                <w:rFonts w:ascii="Times New Roman"/>
                <w:sz w:val="21"/>
              </w:rPr>
            </w:pPr>
            <w:r>
              <w:rPr>
                <w:rFonts w:ascii="Times New Roman"/>
                <w:sz w:val="21"/>
              </w:rPr>
              <w:t>0.35</w:t>
            </w:r>
          </w:p>
        </w:tc>
        <w:tc>
          <w:tcPr>
            <w:tcW w:w="1167" w:type="dxa"/>
          </w:tcPr>
          <w:p w14:paraId="206AF6A9">
            <w:pPr>
              <w:pStyle w:val="17"/>
              <w:spacing w:before="77"/>
              <w:ind w:left="142" w:right="134"/>
              <w:rPr>
                <w:rFonts w:ascii="Times New Roman"/>
                <w:sz w:val="21"/>
              </w:rPr>
            </w:pPr>
            <w:r>
              <w:rPr>
                <w:rFonts w:ascii="Times New Roman"/>
                <w:sz w:val="21"/>
              </w:rPr>
              <w:t>0.64</w:t>
            </w:r>
          </w:p>
        </w:tc>
        <w:tc>
          <w:tcPr>
            <w:tcW w:w="1204" w:type="dxa"/>
          </w:tcPr>
          <w:p w14:paraId="274FDF25">
            <w:pPr>
              <w:pStyle w:val="17"/>
              <w:spacing w:before="77"/>
              <w:ind w:left="160" w:right="152"/>
              <w:rPr>
                <w:rFonts w:ascii="Times New Roman"/>
                <w:sz w:val="21"/>
              </w:rPr>
            </w:pPr>
            <w:r>
              <w:rPr>
                <w:rFonts w:ascii="Times New Roman"/>
                <w:sz w:val="21"/>
              </w:rPr>
              <w:t>0.213</w:t>
            </w:r>
          </w:p>
        </w:tc>
        <w:tc>
          <w:tcPr>
            <w:tcW w:w="1167" w:type="dxa"/>
          </w:tcPr>
          <w:p w14:paraId="278C68F2">
            <w:pPr>
              <w:pStyle w:val="17"/>
              <w:spacing w:before="77"/>
              <w:ind w:left="142" w:right="134"/>
              <w:rPr>
                <w:rFonts w:ascii="Times New Roman"/>
                <w:sz w:val="21"/>
              </w:rPr>
            </w:pPr>
            <w:r>
              <w:rPr>
                <w:rFonts w:ascii="Times New Roman"/>
                <w:sz w:val="21"/>
              </w:rPr>
              <w:t>0.73</w:t>
            </w:r>
          </w:p>
        </w:tc>
        <w:tc>
          <w:tcPr>
            <w:tcW w:w="1204" w:type="dxa"/>
          </w:tcPr>
          <w:p w14:paraId="11B53DD8">
            <w:pPr>
              <w:pStyle w:val="17"/>
              <w:spacing w:before="77"/>
              <w:ind w:left="160" w:right="152"/>
              <w:rPr>
                <w:rFonts w:ascii="Times New Roman"/>
                <w:sz w:val="21"/>
              </w:rPr>
            </w:pPr>
            <w:r>
              <w:rPr>
                <w:rFonts w:ascii="Times New Roman"/>
                <w:sz w:val="21"/>
              </w:rPr>
              <w:t>0.243</w:t>
            </w:r>
          </w:p>
        </w:tc>
        <w:tc>
          <w:tcPr>
            <w:tcW w:w="1173" w:type="dxa"/>
          </w:tcPr>
          <w:p w14:paraId="4DCC392D">
            <w:pPr>
              <w:pStyle w:val="17"/>
              <w:spacing w:before="77"/>
              <w:ind w:left="7"/>
              <w:rPr>
                <w:rFonts w:ascii="Times New Roman"/>
                <w:sz w:val="21"/>
              </w:rPr>
            </w:pPr>
            <w:r>
              <w:rPr>
                <w:rFonts w:ascii="Times New Roman"/>
                <w:w w:val="99"/>
                <w:sz w:val="21"/>
              </w:rPr>
              <w:t>3</w:t>
            </w:r>
          </w:p>
        </w:tc>
        <w:tc>
          <w:tcPr>
            <w:tcW w:w="1173" w:type="dxa"/>
            <w:tcBorders>
              <w:right w:val="nil"/>
            </w:tcBorders>
          </w:tcPr>
          <w:p w14:paraId="66417483">
            <w:pPr>
              <w:pStyle w:val="17"/>
              <w:spacing w:before="63"/>
              <w:ind w:left="356" w:right="351"/>
              <w:rPr>
                <w:sz w:val="21"/>
              </w:rPr>
            </w:pPr>
            <w:r>
              <w:rPr>
                <w:sz w:val="21"/>
              </w:rPr>
              <w:t>达标</w:t>
            </w:r>
          </w:p>
        </w:tc>
      </w:tr>
      <w:tr w14:paraId="2A81F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EE6EE3F">
            <w:pPr>
              <w:pStyle w:val="17"/>
              <w:spacing w:before="62"/>
              <w:ind w:left="76" w:right="70"/>
              <w:rPr>
                <w:sz w:val="21"/>
              </w:rPr>
            </w:pPr>
            <w:r>
              <w:rPr>
                <w:sz w:val="21"/>
              </w:rPr>
              <w:t>硝酸盐</w:t>
            </w:r>
          </w:p>
        </w:tc>
        <w:tc>
          <w:tcPr>
            <w:tcW w:w="1188" w:type="dxa"/>
          </w:tcPr>
          <w:p w14:paraId="7A97A14B">
            <w:pPr>
              <w:pStyle w:val="17"/>
              <w:spacing w:before="76"/>
              <w:ind w:left="152" w:right="145"/>
              <w:rPr>
                <w:rFonts w:ascii="Times New Roman"/>
                <w:sz w:val="21"/>
              </w:rPr>
            </w:pPr>
            <w:r>
              <w:rPr>
                <w:rFonts w:ascii="Times New Roman"/>
                <w:sz w:val="21"/>
              </w:rPr>
              <w:t>3.02</w:t>
            </w:r>
          </w:p>
        </w:tc>
        <w:tc>
          <w:tcPr>
            <w:tcW w:w="1019" w:type="dxa"/>
          </w:tcPr>
          <w:p w14:paraId="49F71DE0">
            <w:pPr>
              <w:pStyle w:val="17"/>
              <w:spacing w:before="76"/>
              <w:ind w:left="68" w:right="60"/>
              <w:rPr>
                <w:rFonts w:ascii="Times New Roman"/>
                <w:sz w:val="21"/>
              </w:rPr>
            </w:pPr>
            <w:r>
              <w:rPr>
                <w:rFonts w:ascii="Times New Roman"/>
                <w:sz w:val="21"/>
              </w:rPr>
              <w:t>0.151</w:t>
            </w:r>
          </w:p>
        </w:tc>
        <w:tc>
          <w:tcPr>
            <w:tcW w:w="1200" w:type="dxa"/>
          </w:tcPr>
          <w:p w14:paraId="29997E13">
            <w:pPr>
              <w:pStyle w:val="17"/>
              <w:spacing w:before="76"/>
              <w:ind w:left="158" w:right="149"/>
              <w:rPr>
                <w:rFonts w:ascii="Times New Roman"/>
                <w:sz w:val="21"/>
              </w:rPr>
            </w:pPr>
            <w:r>
              <w:rPr>
                <w:rFonts w:ascii="Times New Roman"/>
                <w:sz w:val="21"/>
              </w:rPr>
              <w:t>2.52</w:t>
            </w:r>
          </w:p>
        </w:tc>
        <w:tc>
          <w:tcPr>
            <w:tcW w:w="1010" w:type="dxa"/>
          </w:tcPr>
          <w:p w14:paraId="200E4A9E">
            <w:pPr>
              <w:pStyle w:val="17"/>
              <w:spacing w:before="76"/>
              <w:ind w:left="62" w:right="52"/>
              <w:rPr>
                <w:rFonts w:ascii="Times New Roman"/>
                <w:sz w:val="21"/>
              </w:rPr>
            </w:pPr>
            <w:r>
              <w:rPr>
                <w:rFonts w:ascii="Times New Roman"/>
                <w:sz w:val="21"/>
              </w:rPr>
              <w:t>0.26</w:t>
            </w:r>
          </w:p>
        </w:tc>
        <w:tc>
          <w:tcPr>
            <w:tcW w:w="1200" w:type="dxa"/>
          </w:tcPr>
          <w:p w14:paraId="67BFB85B">
            <w:pPr>
              <w:pStyle w:val="17"/>
              <w:spacing w:before="76"/>
              <w:ind w:left="158" w:right="150"/>
              <w:rPr>
                <w:rFonts w:ascii="Times New Roman"/>
                <w:sz w:val="21"/>
              </w:rPr>
            </w:pPr>
            <w:r>
              <w:rPr>
                <w:rFonts w:ascii="Times New Roman"/>
                <w:sz w:val="21"/>
              </w:rPr>
              <w:t>2.66</w:t>
            </w:r>
          </w:p>
        </w:tc>
        <w:tc>
          <w:tcPr>
            <w:tcW w:w="1010" w:type="dxa"/>
          </w:tcPr>
          <w:p w14:paraId="3F077CE9">
            <w:pPr>
              <w:pStyle w:val="17"/>
              <w:spacing w:before="76"/>
              <w:ind w:left="62" w:right="54"/>
              <w:rPr>
                <w:rFonts w:ascii="Times New Roman"/>
                <w:sz w:val="21"/>
              </w:rPr>
            </w:pPr>
            <w:r>
              <w:rPr>
                <w:rFonts w:ascii="Times New Roman"/>
                <w:sz w:val="21"/>
              </w:rPr>
              <w:t>0.133</w:t>
            </w:r>
          </w:p>
        </w:tc>
        <w:tc>
          <w:tcPr>
            <w:tcW w:w="1167" w:type="dxa"/>
          </w:tcPr>
          <w:p w14:paraId="437DBF5D">
            <w:pPr>
              <w:pStyle w:val="17"/>
              <w:spacing w:before="76"/>
              <w:ind w:left="142" w:right="134"/>
              <w:rPr>
                <w:rFonts w:ascii="Times New Roman"/>
                <w:sz w:val="21"/>
              </w:rPr>
            </w:pPr>
            <w:r>
              <w:rPr>
                <w:rFonts w:ascii="Times New Roman"/>
                <w:sz w:val="21"/>
              </w:rPr>
              <w:t>0.956</w:t>
            </w:r>
          </w:p>
        </w:tc>
        <w:tc>
          <w:tcPr>
            <w:tcW w:w="1204" w:type="dxa"/>
          </w:tcPr>
          <w:p w14:paraId="50C71BD8">
            <w:pPr>
              <w:pStyle w:val="17"/>
              <w:spacing w:before="76"/>
              <w:ind w:left="160" w:right="150"/>
              <w:rPr>
                <w:rFonts w:ascii="Times New Roman"/>
                <w:sz w:val="21"/>
              </w:rPr>
            </w:pPr>
            <w:r>
              <w:rPr>
                <w:rFonts w:ascii="Times New Roman"/>
                <w:sz w:val="21"/>
              </w:rPr>
              <w:t>0.0478</w:t>
            </w:r>
          </w:p>
        </w:tc>
        <w:tc>
          <w:tcPr>
            <w:tcW w:w="1167" w:type="dxa"/>
          </w:tcPr>
          <w:p w14:paraId="3966BB02">
            <w:pPr>
              <w:pStyle w:val="17"/>
              <w:spacing w:before="76"/>
              <w:ind w:left="142" w:right="134"/>
              <w:rPr>
                <w:rFonts w:ascii="Times New Roman"/>
                <w:sz w:val="21"/>
              </w:rPr>
            </w:pPr>
            <w:r>
              <w:rPr>
                <w:rFonts w:ascii="Times New Roman"/>
                <w:sz w:val="21"/>
              </w:rPr>
              <w:t>0.777</w:t>
            </w:r>
          </w:p>
        </w:tc>
        <w:tc>
          <w:tcPr>
            <w:tcW w:w="1204" w:type="dxa"/>
          </w:tcPr>
          <w:p w14:paraId="70F95EBC">
            <w:pPr>
              <w:pStyle w:val="17"/>
              <w:spacing w:before="76"/>
              <w:ind w:left="159" w:right="153"/>
              <w:rPr>
                <w:rFonts w:ascii="Times New Roman"/>
                <w:sz w:val="21"/>
              </w:rPr>
            </w:pPr>
            <w:r>
              <w:rPr>
                <w:rFonts w:ascii="Times New Roman"/>
                <w:sz w:val="21"/>
              </w:rPr>
              <w:t>0.0389</w:t>
            </w:r>
          </w:p>
        </w:tc>
        <w:tc>
          <w:tcPr>
            <w:tcW w:w="1173" w:type="dxa"/>
          </w:tcPr>
          <w:p w14:paraId="665567F7">
            <w:pPr>
              <w:pStyle w:val="17"/>
              <w:spacing w:before="76"/>
              <w:ind w:left="244" w:right="237"/>
              <w:rPr>
                <w:rFonts w:ascii="Times New Roman"/>
                <w:sz w:val="21"/>
              </w:rPr>
            </w:pPr>
            <w:r>
              <w:rPr>
                <w:rFonts w:ascii="Times New Roman"/>
                <w:sz w:val="21"/>
              </w:rPr>
              <w:t>20</w:t>
            </w:r>
          </w:p>
        </w:tc>
        <w:tc>
          <w:tcPr>
            <w:tcW w:w="1173" w:type="dxa"/>
            <w:tcBorders>
              <w:right w:val="nil"/>
            </w:tcBorders>
          </w:tcPr>
          <w:p w14:paraId="411305E1">
            <w:pPr>
              <w:pStyle w:val="17"/>
              <w:spacing w:before="62"/>
              <w:ind w:left="356" w:right="351"/>
              <w:rPr>
                <w:sz w:val="21"/>
              </w:rPr>
            </w:pPr>
            <w:r>
              <w:rPr>
                <w:sz w:val="21"/>
              </w:rPr>
              <w:t>达标</w:t>
            </w:r>
          </w:p>
        </w:tc>
      </w:tr>
      <w:tr w14:paraId="44C05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38141935">
            <w:pPr>
              <w:pStyle w:val="17"/>
              <w:spacing w:before="63"/>
              <w:ind w:left="76" w:right="67"/>
              <w:rPr>
                <w:sz w:val="21"/>
              </w:rPr>
            </w:pPr>
            <w:r>
              <w:rPr>
                <w:sz w:val="21"/>
              </w:rPr>
              <w:t>亚硝酸盐</w:t>
            </w:r>
          </w:p>
        </w:tc>
        <w:tc>
          <w:tcPr>
            <w:tcW w:w="1188" w:type="dxa"/>
          </w:tcPr>
          <w:p w14:paraId="706A230E">
            <w:pPr>
              <w:pStyle w:val="17"/>
              <w:spacing w:before="77"/>
              <w:ind w:left="152" w:right="144"/>
              <w:rPr>
                <w:rFonts w:ascii="Times New Roman"/>
                <w:sz w:val="21"/>
              </w:rPr>
            </w:pPr>
            <w:r>
              <w:rPr>
                <w:rFonts w:ascii="Times New Roman"/>
                <w:sz w:val="21"/>
              </w:rPr>
              <w:t>ND</w:t>
            </w:r>
          </w:p>
        </w:tc>
        <w:tc>
          <w:tcPr>
            <w:tcW w:w="1019" w:type="dxa"/>
          </w:tcPr>
          <w:p w14:paraId="20C7F1BC">
            <w:pPr>
              <w:pStyle w:val="17"/>
              <w:spacing w:before="77"/>
              <w:ind w:left="10"/>
              <w:rPr>
                <w:rFonts w:ascii="Times New Roman"/>
                <w:sz w:val="21"/>
              </w:rPr>
            </w:pPr>
            <w:r>
              <w:rPr>
                <w:rFonts w:ascii="Times New Roman"/>
                <w:w w:val="99"/>
                <w:sz w:val="21"/>
              </w:rPr>
              <w:t>/</w:t>
            </w:r>
          </w:p>
        </w:tc>
        <w:tc>
          <w:tcPr>
            <w:tcW w:w="1200" w:type="dxa"/>
          </w:tcPr>
          <w:p w14:paraId="7F4FB9BE">
            <w:pPr>
              <w:pStyle w:val="17"/>
              <w:spacing w:before="77"/>
              <w:ind w:left="158" w:right="150"/>
              <w:rPr>
                <w:rFonts w:ascii="Times New Roman"/>
                <w:sz w:val="21"/>
              </w:rPr>
            </w:pPr>
            <w:r>
              <w:rPr>
                <w:rFonts w:ascii="Times New Roman"/>
                <w:sz w:val="21"/>
              </w:rPr>
              <w:t>ND</w:t>
            </w:r>
          </w:p>
        </w:tc>
        <w:tc>
          <w:tcPr>
            <w:tcW w:w="1010" w:type="dxa"/>
          </w:tcPr>
          <w:p w14:paraId="22A3138F">
            <w:pPr>
              <w:pStyle w:val="17"/>
              <w:spacing w:before="77"/>
              <w:ind w:left="11"/>
              <w:rPr>
                <w:rFonts w:ascii="Times New Roman"/>
                <w:sz w:val="21"/>
              </w:rPr>
            </w:pPr>
            <w:r>
              <w:rPr>
                <w:rFonts w:ascii="Times New Roman"/>
                <w:w w:val="99"/>
                <w:sz w:val="21"/>
              </w:rPr>
              <w:t>/</w:t>
            </w:r>
          </w:p>
        </w:tc>
        <w:tc>
          <w:tcPr>
            <w:tcW w:w="1200" w:type="dxa"/>
          </w:tcPr>
          <w:p w14:paraId="7104F9C4">
            <w:pPr>
              <w:pStyle w:val="17"/>
              <w:spacing w:before="77"/>
              <w:ind w:left="158" w:right="150"/>
              <w:rPr>
                <w:rFonts w:ascii="Times New Roman"/>
                <w:sz w:val="21"/>
              </w:rPr>
            </w:pPr>
            <w:r>
              <w:rPr>
                <w:rFonts w:ascii="Times New Roman"/>
                <w:sz w:val="21"/>
              </w:rPr>
              <w:t>ND</w:t>
            </w:r>
          </w:p>
        </w:tc>
        <w:tc>
          <w:tcPr>
            <w:tcW w:w="1010" w:type="dxa"/>
          </w:tcPr>
          <w:p w14:paraId="6EA9C79B">
            <w:pPr>
              <w:pStyle w:val="17"/>
              <w:spacing w:before="77"/>
              <w:ind w:left="7"/>
              <w:rPr>
                <w:rFonts w:ascii="Times New Roman"/>
                <w:sz w:val="21"/>
              </w:rPr>
            </w:pPr>
            <w:r>
              <w:rPr>
                <w:rFonts w:ascii="Times New Roman"/>
                <w:w w:val="99"/>
                <w:sz w:val="21"/>
              </w:rPr>
              <w:t>/</w:t>
            </w:r>
          </w:p>
        </w:tc>
        <w:tc>
          <w:tcPr>
            <w:tcW w:w="1167" w:type="dxa"/>
          </w:tcPr>
          <w:p w14:paraId="5F1F1448">
            <w:pPr>
              <w:pStyle w:val="17"/>
              <w:spacing w:before="77"/>
              <w:ind w:left="142" w:right="133"/>
              <w:rPr>
                <w:rFonts w:ascii="Times New Roman"/>
                <w:sz w:val="21"/>
              </w:rPr>
            </w:pPr>
            <w:r>
              <w:rPr>
                <w:rFonts w:ascii="Times New Roman"/>
                <w:sz w:val="21"/>
              </w:rPr>
              <w:t>ND</w:t>
            </w:r>
          </w:p>
        </w:tc>
        <w:tc>
          <w:tcPr>
            <w:tcW w:w="1204" w:type="dxa"/>
          </w:tcPr>
          <w:p w14:paraId="68FC83E9">
            <w:pPr>
              <w:pStyle w:val="17"/>
              <w:spacing w:before="77"/>
              <w:ind w:left="10"/>
              <w:rPr>
                <w:rFonts w:ascii="Times New Roman"/>
                <w:sz w:val="21"/>
              </w:rPr>
            </w:pPr>
            <w:r>
              <w:rPr>
                <w:rFonts w:ascii="Times New Roman"/>
                <w:w w:val="99"/>
                <w:sz w:val="21"/>
              </w:rPr>
              <w:t>/</w:t>
            </w:r>
          </w:p>
        </w:tc>
        <w:tc>
          <w:tcPr>
            <w:tcW w:w="1167" w:type="dxa"/>
          </w:tcPr>
          <w:p w14:paraId="0B1945BD">
            <w:pPr>
              <w:pStyle w:val="17"/>
              <w:spacing w:before="77"/>
              <w:ind w:left="142" w:right="133"/>
              <w:rPr>
                <w:rFonts w:ascii="Times New Roman"/>
                <w:sz w:val="21"/>
              </w:rPr>
            </w:pPr>
            <w:r>
              <w:rPr>
                <w:rFonts w:ascii="Times New Roman"/>
                <w:sz w:val="21"/>
              </w:rPr>
              <w:t>ND</w:t>
            </w:r>
          </w:p>
        </w:tc>
        <w:tc>
          <w:tcPr>
            <w:tcW w:w="1204" w:type="dxa"/>
          </w:tcPr>
          <w:p w14:paraId="61239292">
            <w:pPr>
              <w:pStyle w:val="17"/>
              <w:spacing w:before="77"/>
              <w:ind w:left="10"/>
              <w:rPr>
                <w:rFonts w:ascii="Times New Roman"/>
                <w:sz w:val="21"/>
              </w:rPr>
            </w:pPr>
            <w:r>
              <w:rPr>
                <w:rFonts w:ascii="Times New Roman"/>
                <w:w w:val="99"/>
                <w:sz w:val="21"/>
              </w:rPr>
              <w:t>/</w:t>
            </w:r>
          </w:p>
        </w:tc>
        <w:tc>
          <w:tcPr>
            <w:tcW w:w="1173" w:type="dxa"/>
          </w:tcPr>
          <w:p w14:paraId="107FCEBC">
            <w:pPr>
              <w:pStyle w:val="17"/>
              <w:spacing w:before="77"/>
              <w:ind w:left="7"/>
              <w:rPr>
                <w:rFonts w:ascii="Times New Roman"/>
                <w:sz w:val="21"/>
              </w:rPr>
            </w:pPr>
            <w:r>
              <w:rPr>
                <w:rFonts w:ascii="Times New Roman"/>
                <w:w w:val="99"/>
                <w:sz w:val="21"/>
              </w:rPr>
              <w:t>1</w:t>
            </w:r>
          </w:p>
        </w:tc>
        <w:tc>
          <w:tcPr>
            <w:tcW w:w="1173" w:type="dxa"/>
            <w:tcBorders>
              <w:right w:val="nil"/>
            </w:tcBorders>
          </w:tcPr>
          <w:p w14:paraId="159A3642">
            <w:pPr>
              <w:pStyle w:val="17"/>
              <w:spacing w:before="63"/>
              <w:ind w:left="356" w:right="351"/>
              <w:rPr>
                <w:sz w:val="21"/>
              </w:rPr>
            </w:pPr>
            <w:r>
              <w:rPr>
                <w:sz w:val="21"/>
              </w:rPr>
              <w:t>达标</w:t>
            </w:r>
          </w:p>
        </w:tc>
      </w:tr>
      <w:tr w14:paraId="3ED9C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C5A1A61">
            <w:pPr>
              <w:pStyle w:val="17"/>
              <w:spacing w:before="64"/>
              <w:ind w:left="76" w:right="70"/>
              <w:rPr>
                <w:sz w:val="21"/>
              </w:rPr>
            </w:pPr>
            <w:r>
              <w:rPr>
                <w:sz w:val="21"/>
              </w:rPr>
              <w:t>氨氮</w:t>
            </w:r>
          </w:p>
        </w:tc>
        <w:tc>
          <w:tcPr>
            <w:tcW w:w="1188" w:type="dxa"/>
          </w:tcPr>
          <w:p w14:paraId="2E349AF1">
            <w:pPr>
              <w:pStyle w:val="17"/>
              <w:spacing w:before="78"/>
              <w:ind w:left="152" w:right="145"/>
              <w:rPr>
                <w:rFonts w:ascii="Times New Roman"/>
                <w:sz w:val="21"/>
              </w:rPr>
            </w:pPr>
            <w:r>
              <w:rPr>
                <w:rFonts w:ascii="Times New Roman"/>
                <w:sz w:val="21"/>
              </w:rPr>
              <w:t>0.044</w:t>
            </w:r>
          </w:p>
        </w:tc>
        <w:tc>
          <w:tcPr>
            <w:tcW w:w="1019" w:type="dxa"/>
          </w:tcPr>
          <w:p w14:paraId="4D59FB18">
            <w:pPr>
              <w:pStyle w:val="17"/>
              <w:spacing w:before="78"/>
              <w:ind w:left="68" w:right="60"/>
              <w:rPr>
                <w:rFonts w:ascii="Times New Roman"/>
                <w:sz w:val="21"/>
              </w:rPr>
            </w:pPr>
            <w:r>
              <w:rPr>
                <w:rFonts w:ascii="Times New Roman"/>
                <w:sz w:val="21"/>
              </w:rPr>
              <w:t>0.088</w:t>
            </w:r>
          </w:p>
        </w:tc>
        <w:tc>
          <w:tcPr>
            <w:tcW w:w="1200" w:type="dxa"/>
          </w:tcPr>
          <w:p w14:paraId="3CB81009">
            <w:pPr>
              <w:pStyle w:val="17"/>
              <w:spacing w:before="78"/>
              <w:ind w:left="158" w:right="151"/>
              <w:rPr>
                <w:rFonts w:ascii="Times New Roman"/>
                <w:sz w:val="21"/>
              </w:rPr>
            </w:pPr>
            <w:r>
              <w:rPr>
                <w:rFonts w:ascii="Times New Roman"/>
                <w:sz w:val="21"/>
              </w:rPr>
              <w:t>0.042</w:t>
            </w:r>
          </w:p>
        </w:tc>
        <w:tc>
          <w:tcPr>
            <w:tcW w:w="1010" w:type="dxa"/>
          </w:tcPr>
          <w:p w14:paraId="6A159EDB">
            <w:pPr>
              <w:pStyle w:val="17"/>
              <w:spacing w:before="78"/>
              <w:ind w:left="62" w:right="52"/>
              <w:rPr>
                <w:rFonts w:ascii="Times New Roman"/>
                <w:sz w:val="21"/>
              </w:rPr>
            </w:pPr>
            <w:r>
              <w:rPr>
                <w:rFonts w:ascii="Times New Roman"/>
                <w:sz w:val="21"/>
              </w:rPr>
              <w:t>0.084</w:t>
            </w:r>
          </w:p>
        </w:tc>
        <w:tc>
          <w:tcPr>
            <w:tcW w:w="1200" w:type="dxa"/>
          </w:tcPr>
          <w:p w14:paraId="78055FC3">
            <w:pPr>
              <w:pStyle w:val="17"/>
              <w:spacing w:before="78"/>
              <w:ind w:left="158" w:right="150"/>
              <w:rPr>
                <w:rFonts w:ascii="Times New Roman"/>
                <w:sz w:val="21"/>
              </w:rPr>
            </w:pPr>
            <w:r>
              <w:rPr>
                <w:rFonts w:ascii="Times New Roman"/>
                <w:sz w:val="21"/>
              </w:rPr>
              <w:t>0.032</w:t>
            </w:r>
          </w:p>
        </w:tc>
        <w:tc>
          <w:tcPr>
            <w:tcW w:w="1010" w:type="dxa"/>
          </w:tcPr>
          <w:p w14:paraId="027CDF2B">
            <w:pPr>
              <w:pStyle w:val="17"/>
              <w:spacing w:before="78"/>
              <w:ind w:left="62" w:right="54"/>
              <w:rPr>
                <w:rFonts w:ascii="Times New Roman"/>
                <w:sz w:val="21"/>
              </w:rPr>
            </w:pPr>
            <w:r>
              <w:rPr>
                <w:rFonts w:ascii="Times New Roman"/>
                <w:sz w:val="21"/>
              </w:rPr>
              <w:t>0.064</w:t>
            </w:r>
          </w:p>
        </w:tc>
        <w:tc>
          <w:tcPr>
            <w:tcW w:w="1167" w:type="dxa"/>
          </w:tcPr>
          <w:p w14:paraId="7A28708F">
            <w:pPr>
              <w:pStyle w:val="17"/>
              <w:spacing w:before="78"/>
              <w:ind w:left="142" w:right="134"/>
              <w:rPr>
                <w:rFonts w:ascii="Times New Roman"/>
                <w:sz w:val="21"/>
              </w:rPr>
            </w:pPr>
            <w:r>
              <w:rPr>
                <w:rFonts w:ascii="Times New Roman"/>
                <w:sz w:val="21"/>
              </w:rPr>
              <w:t>0.048</w:t>
            </w:r>
          </w:p>
        </w:tc>
        <w:tc>
          <w:tcPr>
            <w:tcW w:w="1204" w:type="dxa"/>
          </w:tcPr>
          <w:p w14:paraId="32F696B7">
            <w:pPr>
              <w:pStyle w:val="17"/>
              <w:spacing w:before="78"/>
              <w:ind w:left="160" w:right="152"/>
              <w:rPr>
                <w:rFonts w:ascii="Times New Roman"/>
                <w:sz w:val="21"/>
              </w:rPr>
            </w:pPr>
            <w:r>
              <w:rPr>
                <w:rFonts w:ascii="Times New Roman"/>
                <w:sz w:val="21"/>
              </w:rPr>
              <w:t>0.096</w:t>
            </w:r>
          </w:p>
        </w:tc>
        <w:tc>
          <w:tcPr>
            <w:tcW w:w="1167" w:type="dxa"/>
          </w:tcPr>
          <w:p w14:paraId="59959C78">
            <w:pPr>
              <w:pStyle w:val="17"/>
              <w:spacing w:before="78"/>
              <w:ind w:left="142" w:right="134"/>
              <w:rPr>
                <w:rFonts w:ascii="Times New Roman"/>
                <w:sz w:val="21"/>
              </w:rPr>
            </w:pPr>
            <w:r>
              <w:rPr>
                <w:rFonts w:ascii="Times New Roman"/>
                <w:sz w:val="21"/>
              </w:rPr>
              <w:t>0.030</w:t>
            </w:r>
          </w:p>
        </w:tc>
        <w:tc>
          <w:tcPr>
            <w:tcW w:w="1204" w:type="dxa"/>
          </w:tcPr>
          <w:p w14:paraId="47300736">
            <w:pPr>
              <w:pStyle w:val="17"/>
              <w:spacing w:before="78"/>
              <w:ind w:left="160" w:right="152"/>
              <w:rPr>
                <w:rFonts w:ascii="Times New Roman"/>
                <w:sz w:val="21"/>
              </w:rPr>
            </w:pPr>
            <w:r>
              <w:rPr>
                <w:rFonts w:ascii="Times New Roman"/>
                <w:sz w:val="21"/>
              </w:rPr>
              <w:t>0.12</w:t>
            </w:r>
          </w:p>
        </w:tc>
        <w:tc>
          <w:tcPr>
            <w:tcW w:w="1173" w:type="dxa"/>
          </w:tcPr>
          <w:p w14:paraId="3B9031B9">
            <w:pPr>
              <w:pStyle w:val="17"/>
              <w:spacing w:before="78"/>
              <w:ind w:left="244" w:right="237"/>
              <w:rPr>
                <w:rFonts w:ascii="Times New Roman"/>
                <w:sz w:val="21"/>
              </w:rPr>
            </w:pPr>
            <w:r>
              <w:rPr>
                <w:rFonts w:ascii="Times New Roman"/>
                <w:sz w:val="21"/>
              </w:rPr>
              <w:t>0.5</w:t>
            </w:r>
          </w:p>
        </w:tc>
        <w:tc>
          <w:tcPr>
            <w:tcW w:w="1173" w:type="dxa"/>
            <w:tcBorders>
              <w:right w:val="nil"/>
            </w:tcBorders>
          </w:tcPr>
          <w:p w14:paraId="435F4696">
            <w:pPr>
              <w:pStyle w:val="17"/>
              <w:spacing w:before="64"/>
              <w:ind w:left="356" w:right="351"/>
              <w:rPr>
                <w:sz w:val="21"/>
              </w:rPr>
            </w:pPr>
            <w:r>
              <w:rPr>
                <w:sz w:val="21"/>
              </w:rPr>
              <w:t>达标</w:t>
            </w:r>
          </w:p>
        </w:tc>
      </w:tr>
      <w:tr w14:paraId="21185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7469C623">
            <w:pPr>
              <w:pStyle w:val="17"/>
              <w:spacing w:before="62"/>
              <w:ind w:left="9"/>
              <w:rPr>
                <w:sz w:val="21"/>
              </w:rPr>
            </w:pPr>
            <w:r>
              <w:rPr>
                <w:w w:val="99"/>
                <w:sz w:val="21"/>
              </w:rPr>
              <w:t>砷</w:t>
            </w:r>
          </w:p>
        </w:tc>
        <w:tc>
          <w:tcPr>
            <w:tcW w:w="1188" w:type="dxa"/>
          </w:tcPr>
          <w:p w14:paraId="1634EF8F">
            <w:pPr>
              <w:pStyle w:val="17"/>
              <w:spacing w:before="76"/>
              <w:ind w:left="152" w:right="144"/>
              <w:rPr>
                <w:rFonts w:ascii="Times New Roman"/>
                <w:sz w:val="21"/>
              </w:rPr>
            </w:pPr>
            <w:r>
              <w:rPr>
                <w:rFonts w:ascii="Times New Roman"/>
                <w:sz w:val="21"/>
              </w:rPr>
              <w:t>ND</w:t>
            </w:r>
          </w:p>
        </w:tc>
        <w:tc>
          <w:tcPr>
            <w:tcW w:w="1019" w:type="dxa"/>
          </w:tcPr>
          <w:p w14:paraId="0E0892AE">
            <w:pPr>
              <w:pStyle w:val="17"/>
              <w:spacing w:before="76"/>
              <w:ind w:left="10"/>
              <w:rPr>
                <w:rFonts w:ascii="Times New Roman"/>
                <w:sz w:val="21"/>
              </w:rPr>
            </w:pPr>
            <w:r>
              <w:rPr>
                <w:rFonts w:ascii="Times New Roman"/>
                <w:w w:val="99"/>
                <w:sz w:val="21"/>
              </w:rPr>
              <w:t>/</w:t>
            </w:r>
          </w:p>
        </w:tc>
        <w:tc>
          <w:tcPr>
            <w:tcW w:w="1200" w:type="dxa"/>
          </w:tcPr>
          <w:p w14:paraId="4B49CB9E">
            <w:pPr>
              <w:pStyle w:val="17"/>
              <w:spacing w:before="76"/>
              <w:ind w:left="158" w:right="150"/>
              <w:rPr>
                <w:rFonts w:ascii="Times New Roman"/>
                <w:sz w:val="21"/>
              </w:rPr>
            </w:pPr>
            <w:r>
              <w:rPr>
                <w:rFonts w:ascii="Times New Roman"/>
                <w:sz w:val="21"/>
              </w:rPr>
              <w:t>ND</w:t>
            </w:r>
          </w:p>
        </w:tc>
        <w:tc>
          <w:tcPr>
            <w:tcW w:w="1010" w:type="dxa"/>
          </w:tcPr>
          <w:p w14:paraId="6BC8139B">
            <w:pPr>
              <w:pStyle w:val="17"/>
              <w:spacing w:before="76"/>
              <w:ind w:left="11"/>
              <w:rPr>
                <w:rFonts w:ascii="Times New Roman"/>
                <w:sz w:val="21"/>
              </w:rPr>
            </w:pPr>
            <w:r>
              <w:rPr>
                <w:rFonts w:ascii="Times New Roman"/>
                <w:w w:val="99"/>
                <w:sz w:val="21"/>
              </w:rPr>
              <w:t>/</w:t>
            </w:r>
          </w:p>
        </w:tc>
        <w:tc>
          <w:tcPr>
            <w:tcW w:w="1200" w:type="dxa"/>
          </w:tcPr>
          <w:p w14:paraId="57480976">
            <w:pPr>
              <w:pStyle w:val="17"/>
              <w:spacing w:before="76"/>
              <w:ind w:left="158" w:right="150"/>
              <w:rPr>
                <w:rFonts w:ascii="Times New Roman"/>
                <w:sz w:val="21"/>
              </w:rPr>
            </w:pPr>
            <w:r>
              <w:rPr>
                <w:rFonts w:ascii="Times New Roman"/>
                <w:sz w:val="21"/>
              </w:rPr>
              <w:t>ND</w:t>
            </w:r>
          </w:p>
        </w:tc>
        <w:tc>
          <w:tcPr>
            <w:tcW w:w="1010" w:type="dxa"/>
          </w:tcPr>
          <w:p w14:paraId="2F2B6E1B">
            <w:pPr>
              <w:pStyle w:val="17"/>
              <w:spacing w:before="76"/>
              <w:ind w:left="7"/>
              <w:rPr>
                <w:rFonts w:ascii="Times New Roman"/>
                <w:sz w:val="21"/>
              </w:rPr>
            </w:pPr>
            <w:r>
              <w:rPr>
                <w:rFonts w:ascii="Times New Roman"/>
                <w:w w:val="99"/>
                <w:sz w:val="21"/>
              </w:rPr>
              <w:t>/</w:t>
            </w:r>
          </w:p>
        </w:tc>
        <w:tc>
          <w:tcPr>
            <w:tcW w:w="1167" w:type="dxa"/>
          </w:tcPr>
          <w:p w14:paraId="5F5C4AA9">
            <w:pPr>
              <w:pStyle w:val="17"/>
              <w:spacing w:before="76"/>
              <w:ind w:left="142" w:right="133"/>
              <w:rPr>
                <w:rFonts w:ascii="Times New Roman"/>
                <w:sz w:val="21"/>
              </w:rPr>
            </w:pPr>
            <w:r>
              <w:rPr>
                <w:rFonts w:ascii="Times New Roman"/>
                <w:sz w:val="21"/>
              </w:rPr>
              <w:t>ND</w:t>
            </w:r>
          </w:p>
        </w:tc>
        <w:tc>
          <w:tcPr>
            <w:tcW w:w="1204" w:type="dxa"/>
          </w:tcPr>
          <w:p w14:paraId="08BE08F3">
            <w:pPr>
              <w:pStyle w:val="17"/>
              <w:spacing w:before="76"/>
              <w:ind w:left="10"/>
              <w:rPr>
                <w:rFonts w:ascii="Times New Roman"/>
                <w:sz w:val="21"/>
              </w:rPr>
            </w:pPr>
            <w:r>
              <w:rPr>
                <w:rFonts w:ascii="Times New Roman"/>
                <w:w w:val="99"/>
                <w:sz w:val="21"/>
              </w:rPr>
              <w:t>/</w:t>
            </w:r>
          </w:p>
        </w:tc>
        <w:tc>
          <w:tcPr>
            <w:tcW w:w="1167" w:type="dxa"/>
          </w:tcPr>
          <w:p w14:paraId="7C3FEB91">
            <w:pPr>
              <w:pStyle w:val="17"/>
              <w:spacing w:before="76"/>
              <w:ind w:left="142" w:right="133"/>
              <w:rPr>
                <w:rFonts w:ascii="Times New Roman"/>
                <w:sz w:val="21"/>
              </w:rPr>
            </w:pPr>
            <w:r>
              <w:rPr>
                <w:rFonts w:ascii="Times New Roman"/>
                <w:sz w:val="21"/>
              </w:rPr>
              <w:t>ND</w:t>
            </w:r>
          </w:p>
        </w:tc>
        <w:tc>
          <w:tcPr>
            <w:tcW w:w="1204" w:type="dxa"/>
          </w:tcPr>
          <w:p w14:paraId="42071ABD">
            <w:pPr>
              <w:pStyle w:val="17"/>
              <w:spacing w:before="76"/>
              <w:ind w:left="10"/>
              <w:rPr>
                <w:rFonts w:ascii="Times New Roman"/>
                <w:sz w:val="21"/>
              </w:rPr>
            </w:pPr>
            <w:r>
              <w:rPr>
                <w:rFonts w:ascii="Times New Roman"/>
                <w:w w:val="99"/>
                <w:sz w:val="21"/>
              </w:rPr>
              <w:t>/</w:t>
            </w:r>
          </w:p>
        </w:tc>
        <w:tc>
          <w:tcPr>
            <w:tcW w:w="1173" w:type="dxa"/>
          </w:tcPr>
          <w:p w14:paraId="7C7A1B51">
            <w:pPr>
              <w:pStyle w:val="17"/>
              <w:spacing w:before="76"/>
              <w:ind w:left="244" w:right="237"/>
              <w:rPr>
                <w:rFonts w:ascii="Times New Roman"/>
                <w:sz w:val="21"/>
              </w:rPr>
            </w:pPr>
            <w:r>
              <w:rPr>
                <w:rFonts w:ascii="Times New Roman"/>
                <w:sz w:val="21"/>
              </w:rPr>
              <w:t>0.01</w:t>
            </w:r>
          </w:p>
        </w:tc>
        <w:tc>
          <w:tcPr>
            <w:tcW w:w="1173" w:type="dxa"/>
            <w:tcBorders>
              <w:right w:val="nil"/>
            </w:tcBorders>
          </w:tcPr>
          <w:p w14:paraId="42AA67C2">
            <w:pPr>
              <w:pStyle w:val="17"/>
              <w:spacing w:before="62"/>
              <w:ind w:left="356" w:right="351"/>
              <w:rPr>
                <w:sz w:val="21"/>
              </w:rPr>
            </w:pPr>
            <w:r>
              <w:rPr>
                <w:sz w:val="21"/>
              </w:rPr>
              <w:t>达标</w:t>
            </w:r>
          </w:p>
        </w:tc>
      </w:tr>
      <w:tr w14:paraId="5B0C2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26B96A4B">
            <w:pPr>
              <w:pStyle w:val="17"/>
              <w:spacing w:before="63"/>
              <w:ind w:left="9"/>
              <w:rPr>
                <w:sz w:val="21"/>
              </w:rPr>
            </w:pPr>
            <w:r>
              <w:rPr>
                <w:w w:val="99"/>
                <w:sz w:val="21"/>
              </w:rPr>
              <w:t>汞</w:t>
            </w:r>
          </w:p>
        </w:tc>
        <w:tc>
          <w:tcPr>
            <w:tcW w:w="1188" w:type="dxa"/>
          </w:tcPr>
          <w:p w14:paraId="29603B69">
            <w:pPr>
              <w:pStyle w:val="17"/>
              <w:spacing w:before="77"/>
              <w:ind w:left="152" w:right="144"/>
              <w:rPr>
                <w:rFonts w:ascii="Times New Roman"/>
                <w:sz w:val="21"/>
              </w:rPr>
            </w:pPr>
            <w:r>
              <w:rPr>
                <w:rFonts w:ascii="Times New Roman"/>
                <w:sz w:val="21"/>
              </w:rPr>
              <w:t>ND</w:t>
            </w:r>
          </w:p>
        </w:tc>
        <w:tc>
          <w:tcPr>
            <w:tcW w:w="1019" w:type="dxa"/>
          </w:tcPr>
          <w:p w14:paraId="1A77E398">
            <w:pPr>
              <w:pStyle w:val="17"/>
              <w:spacing w:before="77"/>
              <w:ind w:left="10"/>
              <w:rPr>
                <w:rFonts w:ascii="Times New Roman"/>
                <w:sz w:val="21"/>
              </w:rPr>
            </w:pPr>
            <w:r>
              <w:rPr>
                <w:rFonts w:ascii="Times New Roman"/>
                <w:w w:val="99"/>
                <w:sz w:val="21"/>
              </w:rPr>
              <w:t>/</w:t>
            </w:r>
          </w:p>
        </w:tc>
        <w:tc>
          <w:tcPr>
            <w:tcW w:w="1200" w:type="dxa"/>
          </w:tcPr>
          <w:p w14:paraId="14D14CAE">
            <w:pPr>
              <w:pStyle w:val="17"/>
              <w:spacing w:before="77"/>
              <w:ind w:left="158" w:right="150"/>
              <w:rPr>
                <w:rFonts w:ascii="Times New Roman"/>
                <w:sz w:val="21"/>
              </w:rPr>
            </w:pPr>
            <w:r>
              <w:rPr>
                <w:rFonts w:ascii="Times New Roman"/>
                <w:sz w:val="21"/>
              </w:rPr>
              <w:t>ND</w:t>
            </w:r>
          </w:p>
        </w:tc>
        <w:tc>
          <w:tcPr>
            <w:tcW w:w="1010" w:type="dxa"/>
          </w:tcPr>
          <w:p w14:paraId="2359D28A">
            <w:pPr>
              <w:pStyle w:val="17"/>
              <w:spacing w:before="77"/>
              <w:ind w:left="11"/>
              <w:rPr>
                <w:rFonts w:ascii="Times New Roman"/>
                <w:sz w:val="21"/>
              </w:rPr>
            </w:pPr>
            <w:r>
              <w:rPr>
                <w:rFonts w:ascii="Times New Roman"/>
                <w:w w:val="99"/>
                <w:sz w:val="21"/>
              </w:rPr>
              <w:t>/</w:t>
            </w:r>
          </w:p>
        </w:tc>
        <w:tc>
          <w:tcPr>
            <w:tcW w:w="1200" w:type="dxa"/>
          </w:tcPr>
          <w:p w14:paraId="1548BEBC">
            <w:pPr>
              <w:pStyle w:val="17"/>
              <w:spacing w:before="77"/>
              <w:ind w:left="158" w:right="150"/>
              <w:rPr>
                <w:rFonts w:ascii="Times New Roman"/>
                <w:sz w:val="21"/>
              </w:rPr>
            </w:pPr>
            <w:r>
              <w:rPr>
                <w:rFonts w:ascii="Times New Roman"/>
                <w:sz w:val="21"/>
              </w:rPr>
              <w:t>ND</w:t>
            </w:r>
          </w:p>
        </w:tc>
        <w:tc>
          <w:tcPr>
            <w:tcW w:w="1010" w:type="dxa"/>
          </w:tcPr>
          <w:p w14:paraId="4907D3D0">
            <w:pPr>
              <w:pStyle w:val="17"/>
              <w:spacing w:before="77"/>
              <w:ind w:left="7"/>
              <w:rPr>
                <w:rFonts w:ascii="Times New Roman"/>
                <w:sz w:val="21"/>
              </w:rPr>
            </w:pPr>
            <w:r>
              <w:rPr>
                <w:rFonts w:ascii="Times New Roman"/>
                <w:w w:val="99"/>
                <w:sz w:val="21"/>
              </w:rPr>
              <w:t>/</w:t>
            </w:r>
          </w:p>
        </w:tc>
        <w:tc>
          <w:tcPr>
            <w:tcW w:w="1167" w:type="dxa"/>
          </w:tcPr>
          <w:p w14:paraId="3A3AF382">
            <w:pPr>
              <w:pStyle w:val="17"/>
              <w:spacing w:before="77"/>
              <w:ind w:left="142" w:right="133"/>
              <w:rPr>
                <w:rFonts w:ascii="Times New Roman"/>
                <w:sz w:val="21"/>
              </w:rPr>
            </w:pPr>
            <w:r>
              <w:rPr>
                <w:rFonts w:ascii="Times New Roman"/>
                <w:sz w:val="21"/>
              </w:rPr>
              <w:t>ND</w:t>
            </w:r>
          </w:p>
        </w:tc>
        <w:tc>
          <w:tcPr>
            <w:tcW w:w="1204" w:type="dxa"/>
          </w:tcPr>
          <w:p w14:paraId="2BBDFEFE">
            <w:pPr>
              <w:pStyle w:val="17"/>
              <w:spacing w:before="77"/>
              <w:ind w:left="10"/>
              <w:rPr>
                <w:rFonts w:ascii="Times New Roman"/>
                <w:sz w:val="21"/>
              </w:rPr>
            </w:pPr>
            <w:r>
              <w:rPr>
                <w:rFonts w:ascii="Times New Roman"/>
                <w:w w:val="99"/>
                <w:sz w:val="21"/>
              </w:rPr>
              <w:t>/</w:t>
            </w:r>
          </w:p>
        </w:tc>
        <w:tc>
          <w:tcPr>
            <w:tcW w:w="1167" w:type="dxa"/>
          </w:tcPr>
          <w:p w14:paraId="0B14ECDE">
            <w:pPr>
              <w:pStyle w:val="17"/>
              <w:spacing w:before="77"/>
              <w:ind w:left="142" w:right="133"/>
              <w:rPr>
                <w:rFonts w:ascii="Times New Roman"/>
                <w:sz w:val="21"/>
              </w:rPr>
            </w:pPr>
            <w:r>
              <w:rPr>
                <w:rFonts w:ascii="Times New Roman"/>
                <w:sz w:val="21"/>
              </w:rPr>
              <w:t>ND</w:t>
            </w:r>
          </w:p>
        </w:tc>
        <w:tc>
          <w:tcPr>
            <w:tcW w:w="1204" w:type="dxa"/>
          </w:tcPr>
          <w:p w14:paraId="17AB0428">
            <w:pPr>
              <w:pStyle w:val="17"/>
              <w:spacing w:before="77"/>
              <w:ind w:left="10"/>
              <w:rPr>
                <w:rFonts w:ascii="Times New Roman"/>
                <w:sz w:val="21"/>
              </w:rPr>
            </w:pPr>
            <w:r>
              <w:rPr>
                <w:rFonts w:ascii="Times New Roman"/>
                <w:w w:val="99"/>
                <w:sz w:val="21"/>
              </w:rPr>
              <w:t>/</w:t>
            </w:r>
          </w:p>
        </w:tc>
        <w:tc>
          <w:tcPr>
            <w:tcW w:w="1173" w:type="dxa"/>
          </w:tcPr>
          <w:p w14:paraId="10C599F8">
            <w:pPr>
              <w:pStyle w:val="17"/>
              <w:spacing w:before="77"/>
              <w:ind w:left="247" w:right="237"/>
              <w:rPr>
                <w:rFonts w:ascii="Times New Roman"/>
                <w:sz w:val="21"/>
              </w:rPr>
            </w:pPr>
            <w:r>
              <w:rPr>
                <w:rFonts w:ascii="Times New Roman"/>
                <w:sz w:val="21"/>
              </w:rPr>
              <w:t>0.001</w:t>
            </w:r>
          </w:p>
        </w:tc>
        <w:tc>
          <w:tcPr>
            <w:tcW w:w="1173" w:type="dxa"/>
            <w:tcBorders>
              <w:right w:val="nil"/>
            </w:tcBorders>
          </w:tcPr>
          <w:p w14:paraId="5DB70150">
            <w:pPr>
              <w:pStyle w:val="17"/>
              <w:spacing w:before="63"/>
              <w:ind w:left="356" w:right="351"/>
              <w:rPr>
                <w:sz w:val="21"/>
              </w:rPr>
            </w:pPr>
            <w:r>
              <w:rPr>
                <w:sz w:val="21"/>
              </w:rPr>
              <w:t>达标</w:t>
            </w:r>
          </w:p>
        </w:tc>
      </w:tr>
      <w:tr w14:paraId="03FBE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A89506C">
            <w:pPr>
              <w:pStyle w:val="17"/>
              <w:spacing w:before="62"/>
              <w:ind w:left="76" w:right="70"/>
              <w:rPr>
                <w:sz w:val="21"/>
              </w:rPr>
            </w:pPr>
            <w:r>
              <w:rPr>
                <w:sz w:val="21"/>
              </w:rPr>
              <w:t>六价铬</w:t>
            </w:r>
          </w:p>
        </w:tc>
        <w:tc>
          <w:tcPr>
            <w:tcW w:w="1188" w:type="dxa"/>
          </w:tcPr>
          <w:p w14:paraId="54D342EE">
            <w:pPr>
              <w:pStyle w:val="17"/>
              <w:spacing w:before="76"/>
              <w:ind w:left="152" w:right="144"/>
              <w:rPr>
                <w:rFonts w:ascii="Times New Roman"/>
                <w:sz w:val="21"/>
              </w:rPr>
            </w:pPr>
            <w:r>
              <w:rPr>
                <w:rFonts w:ascii="Times New Roman"/>
                <w:sz w:val="21"/>
              </w:rPr>
              <w:t>ND</w:t>
            </w:r>
          </w:p>
        </w:tc>
        <w:tc>
          <w:tcPr>
            <w:tcW w:w="1019" w:type="dxa"/>
          </w:tcPr>
          <w:p w14:paraId="4ECF318C">
            <w:pPr>
              <w:pStyle w:val="17"/>
              <w:spacing w:before="76"/>
              <w:ind w:left="10"/>
              <w:rPr>
                <w:rFonts w:ascii="Times New Roman"/>
                <w:sz w:val="21"/>
              </w:rPr>
            </w:pPr>
            <w:r>
              <w:rPr>
                <w:rFonts w:ascii="Times New Roman"/>
                <w:w w:val="99"/>
                <w:sz w:val="21"/>
              </w:rPr>
              <w:t>/</w:t>
            </w:r>
          </w:p>
        </w:tc>
        <w:tc>
          <w:tcPr>
            <w:tcW w:w="1200" w:type="dxa"/>
          </w:tcPr>
          <w:p w14:paraId="343A7697">
            <w:pPr>
              <w:pStyle w:val="17"/>
              <w:spacing w:before="76"/>
              <w:ind w:left="158" w:right="150"/>
              <w:rPr>
                <w:rFonts w:ascii="Times New Roman"/>
                <w:sz w:val="21"/>
              </w:rPr>
            </w:pPr>
            <w:r>
              <w:rPr>
                <w:rFonts w:ascii="Times New Roman"/>
                <w:sz w:val="21"/>
              </w:rPr>
              <w:t>ND</w:t>
            </w:r>
          </w:p>
        </w:tc>
        <w:tc>
          <w:tcPr>
            <w:tcW w:w="1010" w:type="dxa"/>
          </w:tcPr>
          <w:p w14:paraId="3F82F037">
            <w:pPr>
              <w:pStyle w:val="17"/>
              <w:spacing w:before="76"/>
              <w:ind w:left="11"/>
              <w:rPr>
                <w:rFonts w:ascii="Times New Roman"/>
                <w:sz w:val="21"/>
              </w:rPr>
            </w:pPr>
            <w:r>
              <w:rPr>
                <w:rFonts w:ascii="Times New Roman"/>
                <w:w w:val="99"/>
                <w:sz w:val="21"/>
              </w:rPr>
              <w:t>/</w:t>
            </w:r>
          </w:p>
        </w:tc>
        <w:tc>
          <w:tcPr>
            <w:tcW w:w="1200" w:type="dxa"/>
          </w:tcPr>
          <w:p w14:paraId="394D7606">
            <w:pPr>
              <w:pStyle w:val="17"/>
              <w:spacing w:before="76"/>
              <w:ind w:left="158" w:right="150"/>
              <w:rPr>
                <w:rFonts w:ascii="Times New Roman"/>
                <w:sz w:val="21"/>
              </w:rPr>
            </w:pPr>
            <w:r>
              <w:rPr>
                <w:rFonts w:ascii="Times New Roman"/>
                <w:sz w:val="21"/>
              </w:rPr>
              <w:t>ND</w:t>
            </w:r>
          </w:p>
        </w:tc>
        <w:tc>
          <w:tcPr>
            <w:tcW w:w="1010" w:type="dxa"/>
          </w:tcPr>
          <w:p w14:paraId="76164949">
            <w:pPr>
              <w:pStyle w:val="17"/>
              <w:spacing w:before="76"/>
              <w:ind w:left="7"/>
              <w:rPr>
                <w:rFonts w:ascii="Times New Roman"/>
                <w:sz w:val="21"/>
              </w:rPr>
            </w:pPr>
            <w:r>
              <w:rPr>
                <w:rFonts w:ascii="Times New Roman"/>
                <w:w w:val="99"/>
                <w:sz w:val="21"/>
              </w:rPr>
              <w:t>/</w:t>
            </w:r>
          </w:p>
        </w:tc>
        <w:tc>
          <w:tcPr>
            <w:tcW w:w="1167" w:type="dxa"/>
          </w:tcPr>
          <w:p w14:paraId="50B4AB2A">
            <w:pPr>
              <w:pStyle w:val="17"/>
              <w:spacing w:before="76"/>
              <w:ind w:left="142" w:right="133"/>
              <w:rPr>
                <w:rFonts w:ascii="Times New Roman"/>
                <w:sz w:val="21"/>
              </w:rPr>
            </w:pPr>
            <w:r>
              <w:rPr>
                <w:rFonts w:ascii="Times New Roman"/>
                <w:sz w:val="21"/>
              </w:rPr>
              <w:t>ND</w:t>
            </w:r>
          </w:p>
        </w:tc>
        <w:tc>
          <w:tcPr>
            <w:tcW w:w="1204" w:type="dxa"/>
          </w:tcPr>
          <w:p w14:paraId="1EBD79CB">
            <w:pPr>
              <w:pStyle w:val="17"/>
              <w:spacing w:before="76"/>
              <w:ind w:left="10"/>
              <w:rPr>
                <w:rFonts w:ascii="Times New Roman"/>
                <w:sz w:val="21"/>
              </w:rPr>
            </w:pPr>
            <w:r>
              <w:rPr>
                <w:rFonts w:ascii="Times New Roman"/>
                <w:w w:val="99"/>
                <w:sz w:val="21"/>
              </w:rPr>
              <w:t>/</w:t>
            </w:r>
          </w:p>
        </w:tc>
        <w:tc>
          <w:tcPr>
            <w:tcW w:w="1167" w:type="dxa"/>
          </w:tcPr>
          <w:p w14:paraId="6BC3C3E5">
            <w:pPr>
              <w:pStyle w:val="17"/>
              <w:spacing w:before="76"/>
              <w:ind w:left="142" w:right="133"/>
              <w:rPr>
                <w:rFonts w:ascii="Times New Roman"/>
                <w:sz w:val="21"/>
              </w:rPr>
            </w:pPr>
            <w:r>
              <w:rPr>
                <w:rFonts w:ascii="Times New Roman"/>
                <w:sz w:val="21"/>
              </w:rPr>
              <w:t>ND</w:t>
            </w:r>
          </w:p>
        </w:tc>
        <w:tc>
          <w:tcPr>
            <w:tcW w:w="1204" w:type="dxa"/>
          </w:tcPr>
          <w:p w14:paraId="74FE60A5">
            <w:pPr>
              <w:pStyle w:val="17"/>
              <w:spacing w:before="76"/>
              <w:ind w:left="10"/>
              <w:rPr>
                <w:rFonts w:ascii="Times New Roman"/>
                <w:sz w:val="21"/>
              </w:rPr>
            </w:pPr>
            <w:r>
              <w:rPr>
                <w:rFonts w:ascii="Times New Roman"/>
                <w:w w:val="99"/>
                <w:sz w:val="21"/>
              </w:rPr>
              <w:t>/</w:t>
            </w:r>
          </w:p>
        </w:tc>
        <w:tc>
          <w:tcPr>
            <w:tcW w:w="1173" w:type="dxa"/>
          </w:tcPr>
          <w:p w14:paraId="6BE61723">
            <w:pPr>
              <w:pStyle w:val="17"/>
              <w:spacing w:before="76"/>
              <w:ind w:left="244" w:right="237"/>
              <w:rPr>
                <w:rFonts w:ascii="Times New Roman"/>
                <w:sz w:val="21"/>
              </w:rPr>
            </w:pPr>
            <w:r>
              <w:rPr>
                <w:rFonts w:ascii="Times New Roman"/>
                <w:sz w:val="21"/>
              </w:rPr>
              <w:t>0.05</w:t>
            </w:r>
          </w:p>
        </w:tc>
        <w:tc>
          <w:tcPr>
            <w:tcW w:w="1173" w:type="dxa"/>
            <w:tcBorders>
              <w:right w:val="nil"/>
            </w:tcBorders>
          </w:tcPr>
          <w:p w14:paraId="4477E7DA">
            <w:pPr>
              <w:pStyle w:val="17"/>
              <w:spacing w:before="62"/>
              <w:ind w:left="356" w:right="351"/>
              <w:rPr>
                <w:sz w:val="21"/>
              </w:rPr>
            </w:pPr>
            <w:r>
              <w:rPr>
                <w:sz w:val="21"/>
              </w:rPr>
              <w:t>达标</w:t>
            </w:r>
          </w:p>
        </w:tc>
      </w:tr>
      <w:tr w14:paraId="11882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14536D8E">
            <w:pPr>
              <w:pStyle w:val="17"/>
              <w:spacing w:before="63"/>
              <w:ind w:left="9"/>
              <w:rPr>
                <w:sz w:val="21"/>
              </w:rPr>
            </w:pPr>
            <w:r>
              <w:rPr>
                <w:w w:val="99"/>
                <w:sz w:val="21"/>
              </w:rPr>
              <w:t>铅</w:t>
            </w:r>
          </w:p>
        </w:tc>
        <w:tc>
          <w:tcPr>
            <w:tcW w:w="1188" w:type="dxa"/>
          </w:tcPr>
          <w:p w14:paraId="7574ED6B">
            <w:pPr>
              <w:pStyle w:val="17"/>
              <w:spacing w:before="77"/>
              <w:ind w:left="152" w:right="144"/>
              <w:rPr>
                <w:rFonts w:ascii="Times New Roman"/>
                <w:sz w:val="21"/>
              </w:rPr>
            </w:pPr>
            <w:r>
              <w:rPr>
                <w:rFonts w:ascii="Times New Roman"/>
                <w:sz w:val="21"/>
              </w:rPr>
              <w:t>ND</w:t>
            </w:r>
          </w:p>
        </w:tc>
        <w:tc>
          <w:tcPr>
            <w:tcW w:w="1019" w:type="dxa"/>
          </w:tcPr>
          <w:p w14:paraId="5AA29817">
            <w:pPr>
              <w:pStyle w:val="17"/>
              <w:spacing w:before="77"/>
              <w:ind w:left="10"/>
              <w:rPr>
                <w:rFonts w:ascii="Times New Roman"/>
                <w:sz w:val="21"/>
              </w:rPr>
            </w:pPr>
            <w:r>
              <w:rPr>
                <w:rFonts w:ascii="Times New Roman"/>
                <w:w w:val="99"/>
                <w:sz w:val="21"/>
              </w:rPr>
              <w:t>/</w:t>
            </w:r>
          </w:p>
        </w:tc>
        <w:tc>
          <w:tcPr>
            <w:tcW w:w="1200" w:type="dxa"/>
          </w:tcPr>
          <w:p w14:paraId="5A800006">
            <w:pPr>
              <w:pStyle w:val="17"/>
              <w:spacing w:before="77"/>
              <w:ind w:left="158" w:right="150"/>
              <w:rPr>
                <w:rFonts w:ascii="Times New Roman"/>
                <w:sz w:val="21"/>
              </w:rPr>
            </w:pPr>
            <w:r>
              <w:rPr>
                <w:rFonts w:ascii="Times New Roman"/>
                <w:sz w:val="21"/>
              </w:rPr>
              <w:t>ND</w:t>
            </w:r>
          </w:p>
        </w:tc>
        <w:tc>
          <w:tcPr>
            <w:tcW w:w="1010" w:type="dxa"/>
          </w:tcPr>
          <w:p w14:paraId="7FC5C881">
            <w:pPr>
              <w:pStyle w:val="17"/>
              <w:spacing w:before="77"/>
              <w:ind w:left="11"/>
              <w:rPr>
                <w:rFonts w:ascii="Times New Roman"/>
                <w:sz w:val="21"/>
              </w:rPr>
            </w:pPr>
            <w:r>
              <w:rPr>
                <w:rFonts w:ascii="Times New Roman"/>
                <w:w w:val="99"/>
                <w:sz w:val="21"/>
              </w:rPr>
              <w:t>/</w:t>
            </w:r>
          </w:p>
        </w:tc>
        <w:tc>
          <w:tcPr>
            <w:tcW w:w="1200" w:type="dxa"/>
          </w:tcPr>
          <w:p w14:paraId="49038D09">
            <w:pPr>
              <w:pStyle w:val="17"/>
              <w:spacing w:before="77"/>
              <w:ind w:left="158" w:right="150"/>
              <w:rPr>
                <w:rFonts w:ascii="Times New Roman"/>
                <w:sz w:val="21"/>
              </w:rPr>
            </w:pPr>
            <w:r>
              <w:rPr>
                <w:rFonts w:ascii="Times New Roman"/>
                <w:sz w:val="21"/>
              </w:rPr>
              <w:t>ND</w:t>
            </w:r>
          </w:p>
        </w:tc>
        <w:tc>
          <w:tcPr>
            <w:tcW w:w="1010" w:type="dxa"/>
          </w:tcPr>
          <w:p w14:paraId="26767F14">
            <w:pPr>
              <w:pStyle w:val="17"/>
              <w:spacing w:before="77"/>
              <w:ind w:left="7"/>
              <w:rPr>
                <w:rFonts w:ascii="Times New Roman"/>
                <w:sz w:val="21"/>
              </w:rPr>
            </w:pPr>
            <w:r>
              <w:rPr>
                <w:rFonts w:ascii="Times New Roman"/>
                <w:w w:val="99"/>
                <w:sz w:val="21"/>
              </w:rPr>
              <w:t>/</w:t>
            </w:r>
          </w:p>
        </w:tc>
        <w:tc>
          <w:tcPr>
            <w:tcW w:w="1167" w:type="dxa"/>
          </w:tcPr>
          <w:p w14:paraId="7DD93B53">
            <w:pPr>
              <w:pStyle w:val="17"/>
              <w:spacing w:before="77"/>
              <w:ind w:left="142" w:right="133"/>
              <w:rPr>
                <w:rFonts w:ascii="Times New Roman"/>
                <w:sz w:val="21"/>
              </w:rPr>
            </w:pPr>
            <w:r>
              <w:rPr>
                <w:rFonts w:ascii="Times New Roman"/>
                <w:sz w:val="21"/>
              </w:rPr>
              <w:t>ND</w:t>
            </w:r>
          </w:p>
        </w:tc>
        <w:tc>
          <w:tcPr>
            <w:tcW w:w="1204" w:type="dxa"/>
          </w:tcPr>
          <w:p w14:paraId="065C510C">
            <w:pPr>
              <w:pStyle w:val="17"/>
              <w:spacing w:before="77"/>
              <w:ind w:left="10"/>
              <w:rPr>
                <w:rFonts w:ascii="Times New Roman"/>
                <w:sz w:val="21"/>
              </w:rPr>
            </w:pPr>
            <w:r>
              <w:rPr>
                <w:rFonts w:ascii="Times New Roman"/>
                <w:w w:val="99"/>
                <w:sz w:val="21"/>
              </w:rPr>
              <w:t>/</w:t>
            </w:r>
          </w:p>
        </w:tc>
        <w:tc>
          <w:tcPr>
            <w:tcW w:w="1167" w:type="dxa"/>
          </w:tcPr>
          <w:p w14:paraId="7A56E7FB">
            <w:pPr>
              <w:pStyle w:val="17"/>
              <w:spacing w:before="77"/>
              <w:ind w:left="142" w:right="133"/>
              <w:rPr>
                <w:rFonts w:ascii="Times New Roman"/>
                <w:sz w:val="21"/>
              </w:rPr>
            </w:pPr>
            <w:r>
              <w:rPr>
                <w:rFonts w:ascii="Times New Roman"/>
                <w:sz w:val="21"/>
              </w:rPr>
              <w:t>ND</w:t>
            </w:r>
          </w:p>
        </w:tc>
        <w:tc>
          <w:tcPr>
            <w:tcW w:w="1204" w:type="dxa"/>
          </w:tcPr>
          <w:p w14:paraId="4F433DB4">
            <w:pPr>
              <w:pStyle w:val="17"/>
              <w:spacing w:before="77"/>
              <w:ind w:left="10"/>
              <w:rPr>
                <w:rFonts w:ascii="Times New Roman"/>
                <w:sz w:val="21"/>
              </w:rPr>
            </w:pPr>
            <w:r>
              <w:rPr>
                <w:rFonts w:ascii="Times New Roman"/>
                <w:w w:val="99"/>
                <w:sz w:val="21"/>
              </w:rPr>
              <w:t>/</w:t>
            </w:r>
          </w:p>
        </w:tc>
        <w:tc>
          <w:tcPr>
            <w:tcW w:w="1173" w:type="dxa"/>
          </w:tcPr>
          <w:p w14:paraId="1E7D3961">
            <w:pPr>
              <w:pStyle w:val="17"/>
              <w:spacing w:before="77"/>
              <w:ind w:left="244" w:right="237"/>
              <w:rPr>
                <w:rFonts w:ascii="Times New Roman"/>
                <w:sz w:val="21"/>
              </w:rPr>
            </w:pPr>
            <w:r>
              <w:rPr>
                <w:rFonts w:ascii="Times New Roman"/>
                <w:sz w:val="21"/>
              </w:rPr>
              <w:t>0.01</w:t>
            </w:r>
          </w:p>
        </w:tc>
        <w:tc>
          <w:tcPr>
            <w:tcW w:w="1173" w:type="dxa"/>
            <w:tcBorders>
              <w:right w:val="nil"/>
            </w:tcBorders>
          </w:tcPr>
          <w:p w14:paraId="41C76E2A">
            <w:pPr>
              <w:pStyle w:val="17"/>
              <w:spacing w:before="63"/>
              <w:ind w:left="356" w:right="351"/>
              <w:rPr>
                <w:sz w:val="21"/>
              </w:rPr>
            </w:pPr>
            <w:r>
              <w:rPr>
                <w:sz w:val="21"/>
              </w:rPr>
              <w:t>达标</w:t>
            </w:r>
          </w:p>
        </w:tc>
      </w:tr>
      <w:tr w14:paraId="033A0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61" w:type="dxa"/>
            <w:tcBorders>
              <w:left w:val="nil"/>
            </w:tcBorders>
          </w:tcPr>
          <w:p w14:paraId="0A5EFD74">
            <w:pPr>
              <w:pStyle w:val="17"/>
              <w:spacing w:before="21"/>
              <w:ind w:left="76" w:right="70"/>
              <w:rPr>
                <w:sz w:val="21"/>
              </w:rPr>
            </w:pPr>
            <w:r>
              <w:rPr>
                <w:sz w:val="21"/>
              </w:rPr>
              <w:t>阴离子表面活性</w:t>
            </w:r>
          </w:p>
          <w:p w14:paraId="6043C933">
            <w:pPr>
              <w:pStyle w:val="17"/>
              <w:spacing w:before="43"/>
              <w:ind w:left="9"/>
              <w:rPr>
                <w:sz w:val="21"/>
              </w:rPr>
            </w:pPr>
            <w:r>
              <w:rPr>
                <w:w w:val="99"/>
                <w:sz w:val="21"/>
              </w:rPr>
              <w:t>剂</w:t>
            </w:r>
          </w:p>
        </w:tc>
        <w:tc>
          <w:tcPr>
            <w:tcW w:w="1188" w:type="dxa"/>
          </w:tcPr>
          <w:p w14:paraId="29ADF36F">
            <w:pPr>
              <w:pStyle w:val="17"/>
              <w:spacing w:before="191"/>
              <w:ind w:left="152" w:right="144"/>
              <w:rPr>
                <w:rFonts w:ascii="Times New Roman"/>
                <w:sz w:val="21"/>
              </w:rPr>
            </w:pPr>
            <w:r>
              <w:rPr>
                <w:rFonts w:ascii="Times New Roman"/>
                <w:sz w:val="21"/>
              </w:rPr>
              <w:t>ND</w:t>
            </w:r>
          </w:p>
        </w:tc>
        <w:tc>
          <w:tcPr>
            <w:tcW w:w="1019" w:type="dxa"/>
          </w:tcPr>
          <w:p w14:paraId="32B83110">
            <w:pPr>
              <w:pStyle w:val="17"/>
              <w:spacing w:before="191"/>
              <w:ind w:left="10"/>
              <w:rPr>
                <w:rFonts w:ascii="Times New Roman"/>
                <w:sz w:val="21"/>
              </w:rPr>
            </w:pPr>
            <w:r>
              <w:rPr>
                <w:rFonts w:ascii="Times New Roman"/>
                <w:w w:val="99"/>
                <w:sz w:val="21"/>
              </w:rPr>
              <w:t>/</w:t>
            </w:r>
          </w:p>
        </w:tc>
        <w:tc>
          <w:tcPr>
            <w:tcW w:w="1200" w:type="dxa"/>
          </w:tcPr>
          <w:p w14:paraId="4155EF6A">
            <w:pPr>
              <w:pStyle w:val="17"/>
              <w:spacing w:before="191"/>
              <w:ind w:left="158" w:right="150"/>
              <w:rPr>
                <w:rFonts w:ascii="Times New Roman"/>
                <w:sz w:val="21"/>
              </w:rPr>
            </w:pPr>
            <w:r>
              <w:rPr>
                <w:rFonts w:ascii="Times New Roman"/>
                <w:sz w:val="21"/>
              </w:rPr>
              <w:t>ND</w:t>
            </w:r>
          </w:p>
        </w:tc>
        <w:tc>
          <w:tcPr>
            <w:tcW w:w="1010" w:type="dxa"/>
          </w:tcPr>
          <w:p w14:paraId="1EA5B3AE">
            <w:pPr>
              <w:pStyle w:val="17"/>
              <w:spacing w:before="191"/>
              <w:ind w:left="11"/>
              <w:rPr>
                <w:rFonts w:ascii="Times New Roman"/>
                <w:sz w:val="21"/>
              </w:rPr>
            </w:pPr>
            <w:r>
              <w:rPr>
                <w:rFonts w:ascii="Times New Roman"/>
                <w:w w:val="99"/>
                <w:sz w:val="21"/>
              </w:rPr>
              <w:t>/</w:t>
            </w:r>
          </w:p>
        </w:tc>
        <w:tc>
          <w:tcPr>
            <w:tcW w:w="1200" w:type="dxa"/>
          </w:tcPr>
          <w:p w14:paraId="3D720562">
            <w:pPr>
              <w:pStyle w:val="17"/>
              <w:spacing w:before="191"/>
              <w:ind w:left="158" w:right="150"/>
              <w:rPr>
                <w:rFonts w:ascii="Times New Roman"/>
                <w:sz w:val="21"/>
              </w:rPr>
            </w:pPr>
            <w:r>
              <w:rPr>
                <w:rFonts w:ascii="Times New Roman"/>
                <w:sz w:val="21"/>
              </w:rPr>
              <w:t>ND</w:t>
            </w:r>
          </w:p>
        </w:tc>
        <w:tc>
          <w:tcPr>
            <w:tcW w:w="1010" w:type="dxa"/>
          </w:tcPr>
          <w:p w14:paraId="30C785E2">
            <w:pPr>
              <w:pStyle w:val="17"/>
              <w:spacing w:before="191"/>
              <w:ind w:left="7"/>
              <w:rPr>
                <w:rFonts w:ascii="Times New Roman"/>
                <w:sz w:val="21"/>
              </w:rPr>
            </w:pPr>
            <w:r>
              <w:rPr>
                <w:rFonts w:ascii="Times New Roman"/>
                <w:w w:val="99"/>
                <w:sz w:val="21"/>
              </w:rPr>
              <w:t>/</w:t>
            </w:r>
          </w:p>
        </w:tc>
        <w:tc>
          <w:tcPr>
            <w:tcW w:w="1167" w:type="dxa"/>
          </w:tcPr>
          <w:p w14:paraId="111B9EC8">
            <w:pPr>
              <w:pStyle w:val="17"/>
              <w:spacing w:before="191"/>
              <w:ind w:left="142" w:right="133"/>
              <w:rPr>
                <w:rFonts w:ascii="Times New Roman"/>
                <w:sz w:val="21"/>
              </w:rPr>
            </w:pPr>
            <w:r>
              <w:rPr>
                <w:rFonts w:ascii="Times New Roman"/>
                <w:sz w:val="21"/>
              </w:rPr>
              <w:t>ND</w:t>
            </w:r>
          </w:p>
        </w:tc>
        <w:tc>
          <w:tcPr>
            <w:tcW w:w="1204" w:type="dxa"/>
          </w:tcPr>
          <w:p w14:paraId="6CCF38FD">
            <w:pPr>
              <w:pStyle w:val="17"/>
              <w:spacing w:before="191"/>
              <w:ind w:left="10"/>
              <w:rPr>
                <w:rFonts w:ascii="Times New Roman"/>
                <w:sz w:val="21"/>
              </w:rPr>
            </w:pPr>
            <w:r>
              <w:rPr>
                <w:rFonts w:ascii="Times New Roman"/>
                <w:w w:val="99"/>
                <w:sz w:val="21"/>
              </w:rPr>
              <w:t>/</w:t>
            </w:r>
          </w:p>
        </w:tc>
        <w:tc>
          <w:tcPr>
            <w:tcW w:w="1167" w:type="dxa"/>
          </w:tcPr>
          <w:p w14:paraId="684E410B">
            <w:pPr>
              <w:pStyle w:val="17"/>
              <w:spacing w:before="191"/>
              <w:ind w:left="142" w:right="133"/>
              <w:rPr>
                <w:rFonts w:ascii="Times New Roman"/>
                <w:sz w:val="21"/>
              </w:rPr>
            </w:pPr>
            <w:r>
              <w:rPr>
                <w:rFonts w:ascii="Times New Roman"/>
                <w:sz w:val="21"/>
              </w:rPr>
              <w:t>ND</w:t>
            </w:r>
          </w:p>
        </w:tc>
        <w:tc>
          <w:tcPr>
            <w:tcW w:w="1204" w:type="dxa"/>
          </w:tcPr>
          <w:p w14:paraId="5B6E73EC">
            <w:pPr>
              <w:pStyle w:val="17"/>
              <w:spacing w:before="191"/>
              <w:ind w:left="10"/>
              <w:rPr>
                <w:rFonts w:ascii="Times New Roman"/>
                <w:sz w:val="21"/>
              </w:rPr>
            </w:pPr>
            <w:r>
              <w:rPr>
                <w:rFonts w:ascii="Times New Roman"/>
                <w:w w:val="99"/>
                <w:sz w:val="21"/>
              </w:rPr>
              <w:t>/</w:t>
            </w:r>
          </w:p>
        </w:tc>
        <w:tc>
          <w:tcPr>
            <w:tcW w:w="1173" w:type="dxa"/>
          </w:tcPr>
          <w:p w14:paraId="0E34AD96">
            <w:pPr>
              <w:pStyle w:val="17"/>
              <w:spacing w:before="191"/>
              <w:ind w:left="244" w:right="237"/>
              <w:rPr>
                <w:rFonts w:ascii="Times New Roman"/>
                <w:sz w:val="21"/>
              </w:rPr>
            </w:pPr>
            <w:r>
              <w:rPr>
                <w:rFonts w:ascii="Times New Roman"/>
                <w:sz w:val="21"/>
              </w:rPr>
              <w:t>0.3</w:t>
            </w:r>
          </w:p>
        </w:tc>
        <w:tc>
          <w:tcPr>
            <w:tcW w:w="1173" w:type="dxa"/>
            <w:tcBorders>
              <w:right w:val="nil"/>
            </w:tcBorders>
          </w:tcPr>
          <w:p w14:paraId="745D346A">
            <w:pPr>
              <w:pStyle w:val="17"/>
              <w:spacing w:before="177"/>
              <w:ind w:left="356" w:right="351"/>
              <w:rPr>
                <w:sz w:val="21"/>
              </w:rPr>
            </w:pPr>
            <w:r>
              <w:rPr>
                <w:sz w:val="21"/>
              </w:rPr>
              <w:t>达标</w:t>
            </w:r>
          </w:p>
        </w:tc>
      </w:tr>
      <w:tr w14:paraId="2020B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4D9433FF">
            <w:pPr>
              <w:pStyle w:val="17"/>
              <w:spacing w:before="64"/>
              <w:ind w:left="9"/>
              <w:rPr>
                <w:sz w:val="21"/>
              </w:rPr>
            </w:pPr>
            <w:r>
              <w:rPr>
                <w:w w:val="99"/>
                <w:sz w:val="21"/>
              </w:rPr>
              <w:t>钾</w:t>
            </w:r>
          </w:p>
        </w:tc>
        <w:tc>
          <w:tcPr>
            <w:tcW w:w="1188" w:type="dxa"/>
          </w:tcPr>
          <w:p w14:paraId="739FB80B">
            <w:pPr>
              <w:pStyle w:val="17"/>
              <w:spacing w:before="78"/>
              <w:ind w:left="152" w:right="145"/>
              <w:rPr>
                <w:rFonts w:ascii="Times New Roman"/>
                <w:sz w:val="21"/>
              </w:rPr>
            </w:pPr>
            <w:r>
              <w:rPr>
                <w:rFonts w:ascii="Times New Roman"/>
                <w:sz w:val="21"/>
              </w:rPr>
              <w:t>0.54</w:t>
            </w:r>
          </w:p>
        </w:tc>
        <w:tc>
          <w:tcPr>
            <w:tcW w:w="1019" w:type="dxa"/>
          </w:tcPr>
          <w:p w14:paraId="6BF8435F">
            <w:pPr>
              <w:pStyle w:val="17"/>
              <w:jc w:val="left"/>
              <w:rPr>
                <w:rFonts w:ascii="Times New Roman"/>
                <w:sz w:val="20"/>
              </w:rPr>
            </w:pPr>
          </w:p>
        </w:tc>
        <w:tc>
          <w:tcPr>
            <w:tcW w:w="1200" w:type="dxa"/>
          </w:tcPr>
          <w:p w14:paraId="5A2086E2">
            <w:pPr>
              <w:pStyle w:val="17"/>
              <w:spacing w:before="78"/>
              <w:ind w:left="158" w:right="149"/>
              <w:rPr>
                <w:rFonts w:ascii="Times New Roman"/>
                <w:sz w:val="21"/>
              </w:rPr>
            </w:pPr>
            <w:r>
              <w:rPr>
                <w:rFonts w:ascii="Times New Roman"/>
                <w:sz w:val="21"/>
              </w:rPr>
              <w:t>0.78</w:t>
            </w:r>
          </w:p>
        </w:tc>
        <w:tc>
          <w:tcPr>
            <w:tcW w:w="1010" w:type="dxa"/>
          </w:tcPr>
          <w:p w14:paraId="20534F80">
            <w:pPr>
              <w:pStyle w:val="17"/>
              <w:jc w:val="left"/>
              <w:rPr>
                <w:rFonts w:ascii="Times New Roman"/>
                <w:sz w:val="20"/>
              </w:rPr>
            </w:pPr>
          </w:p>
        </w:tc>
        <w:tc>
          <w:tcPr>
            <w:tcW w:w="1200" w:type="dxa"/>
          </w:tcPr>
          <w:p w14:paraId="7F875C39">
            <w:pPr>
              <w:pStyle w:val="17"/>
              <w:spacing w:before="78"/>
              <w:ind w:left="158" w:right="150"/>
              <w:rPr>
                <w:rFonts w:ascii="Times New Roman"/>
                <w:sz w:val="21"/>
              </w:rPr>
            </w:pPr>
            <w:r>
              <w:rPr>
                <w:rFonts w:ascii="Times New Roman"/>
                <w:sz w:val="21"/>
              </w:rPr>
              <w:t>0.70</w:t>
            </w:r>
          </w:p>
        </w:tc>
        <w:tc>
          <w:tcPr>
            <w:tcW w:w="1010" w:type="dxa"/>
          </w:tcPr>
          <w:p w14:paraId="135A4710">
            <w:pPr>
              <w:pStyle w:val="17"/>
              <w:jc w:val="left"/>
              <w:rPr>
                <w:rFonts w:ascii="Times New Roman"/>
                <w:sz w:val="20"/>
              </w:rPr>
            </w:pPr>
          </w:p>
        </w:tc>
        <w:tc>
          <w:tcPr>
            <w:tcW w:w="1167" w:type="dxa"/>
          </w:tcPr>
          <w:p w14:paraId="44F9F28F">
            <w:pPr>
              <w:pStyle w:val="17"/>
              <w:spacing w:before="78"/>
              <w:ind w:left="142" w:right="134"/>
              <w:rPr>
                <w:rFonts w:ascii="Times New Roman"/>
                <w:sz w:val="21"/>
              </w:rPr>
            </w:pPr>
            <w:r>
              <w:rPr>
                <w:rFonts w:ascii="Times New Roman"/>
                <w:sz w:val="21"/>
              </w:rPr>
              <w:t>1.58</w:t>
            </w:r>
          </w:p>
        </w:tc>
        <w:tc>
          <w:tcPr>
            <w:tcW w:w="1204" w:type="dxa"/>
          </w:tcPr>
          <w:p w14:paraId="4A1E079D">
            <w:pPr>
              <w:pStyle w:val="17"/>
              <w:jc w:val="left"/>
              <w:rPr>
                <w:rFonts w:ascii="Times New Roman"/>
                <w:sz w:val="20"/>
              </w:rPr>
            </w:pPr>
          </w:p>
        </w:tc>
        <w:tc>
          <w:tcPr>
            <w:tcW w:w="1167" w:type="dxa"/>
          </w:tcPr>
          <w:p w14:paraId="26C6168B">
            <w:pPr>
              <w:pStyle w:val="17"/>
              <w:spacing w:before="78"/>
              <w:ind w:left="142" w:right="134"/>
              <w:rPr>
                <w:rFonts w:ascii="Times New Roman"/>
                <w:sz w:val="21"/>
              </w:rPr>
            </w:pPr>
            <w:r>
              <w:rPr>
                <w:rFonts w:ascii="Times New Roman"/>
                <w:sz w:val="21"/>
              </w:rPr>
              <w:t>9.34</w:t>
            </w:r>
          </w:p>
        </w:tc>
        <w:tc>
          <w:tcPr>
            <w:tcW w:w="1204" w:type="dxa"/>
          </w:tcPr>
          <w:p w14:paraId="60A4C518">
            <w:pPr>
              <w:pStyle w:val="17"/>
              <w:spacing w:before="78"/>
              <w:ind w:left="10"/>
              <w:rPr>
                <w:rFonts w:ascii="Times New Roman"/>
                <w:sz w:val="21"/>
              </w:rPr>
            </w:pPr>
            <w:r>
              <w:rPr>
                <w:rFonts w:ascii="Times New Roman"/>
                <w:w w:val="99"/>
                <w:sz w:val="21"/>
              </w:rPr>
              <w:t>/</w:t>
            </w:r>
          </w:p>
        </w:tc>
        <w:tc>
          <w:tcPr>
            <w:tcW w:w="1173" w:type="dxa"/>
          </w:tcPr>
          <w:p w14:paraId="1AA515DD">
            <w:pPr>
              <w:pStyle w:val="17"/>
              <w:spacing w:before="78"/>
              <w:ind w:left="9"/>
              <w:rPr>
                <w:rFonts w:ascii="Times New Roman"/>
                <w:sz w:val="21"/>
              </w:rPr>
            </w:pPr>
            <w:r>
              <w:rPr>
                <w:rFonts w:ascii="Times New Roman"/>
                <w:w w:val="99"/>
                <w:sz w:val="21"/>
              </w:rPr>
              <w:t>/</w:t>
            </w:r>
          </w:p>
        </w:tc>
        <w:tc>
          <w:tcPr>
            <w:tcW w:w="1173" w:type="dxa"/>
            <w:tcBorders>
              <w:right w:val="nil"/>
            </w:tcBorders>
          </w:tcPr>
          <w:p w14:paraId="5E99B2E2">
            <w:pPr>
              <w:pStyle w:val="17"/>
              <w:spacing w:before="64"/>
              <w:ind w:left="356" w:right="351"/>
              <w:rPr>
                <w:sz w:val="21"/>
              </w:rPr>
            </w:pPr>
            <w:r>
              <w:rPr>
                <w:sz w:val="21"/>
              </w:rPr>
              <w:t>达标</w:t>
            </w:r>
          </w:p>
        </w:tc>
      </w:tr>
      <w:tr w14:paraId="66CED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03F77568">
            <w:pPr>
              <w:pStyle w:val="17"/>
              <w:spacing w:before="62"/>
              <w:ind w:left="9"/>
              <w:rPr>
                <w:sz w:val="21"/>
              </w:rPr>
            </w:pPr>
            <w:r>
              <w:rPr>
                <w:w w:val="99"/>
                <w:sz w:val="21"/>
              </w:rPr>
              <w:t>钠</w:t>
            </w:r>
          </w:p>
        </w:tc>
        <w:tc>
          <w:tcPr>
            <w:tcW w:w="1188" w:type="dxa"/>
          </w:tcPr>
          <w:p w14:paraId="43F9F6B1">
            <w:pPr>
              <w:pStyle w:val="17"/>
              <w:spacing w:before="76"/>
              <w:ind w:left="152" w:right="145"/>
              <w:rPr>
                <w:rFonts w:ascii="Times New Roman"/>
                <w:sz w:val="21"/>
              </w:rPr>
            </w:pPr>
            <w:r>
              <w:rPr>
                <w:rFonts w:ascii="Times New Roman"/>
                <w:sz w:val="21"/>
              </w:rPr>
              <w:t>1.75</w:t>
            </w:r>
          </w:p>
        </w:tc>
        <w:tc>
          <w:tcPr>
            <w:tcW w:w="1019" w:type="dxa"/>
          </w:tcPr>
          <w:p w14:paraId="4E3F27B7">
            <w:pPr>
              <w:pStyle w:val="17"/>
              <w:jc w:val="left"/>
              <w:rPr>
                <w:rFonts w:ascii="Times New Roman"/>
                <w:sz w:val="20"/>
              </w:rPr>
            </w:pPr>
          </w:p>
        </w:tc>
        <w:tc>
          <w:tcPr>
            <w:tcW w:w="1200" w:type="dxa"/>
          </w:tcPr>
          <w:p w14:paraId="25C077DB">
            <w:pPr>
              <w:pStyle w:val="17"/>
              <w:spacing w:before="76"/>
              <w:ind w:left="158" w:right="149"/>
              <w:rPr>
                <w:rFonts w:ascii="Times New Roman"/>
                <w:sz w:val="21"/>
              </w:rPr>
            </w:pPr>
            <w:r>
              <w:rPr>
                <w:rFonts w:ascii="Times New Roman"/>
                <w:sz w:val="21"/>
              </w:rPr>
              <w:t>1.60</w:t>
            </w:r>
          </w:p>
        </w:tc>
        <w:tc>
          <w:tcPr>
            <w:tcW w:w="1010" w:type="dxa"/>
          </w:tcPr>
          <w:p w14:paraId="059A01F8">
            <w:pPr>
              <w:pStyle w:val="17"/>
              <w:jc w:val="left"/>
              <w:rPr>
                <w:rFonts w:ascii="Times New Roman"/>
                <w:sz w:val="20"/>
              </w:rPr>
            </w:pPr>
          </w:p>
        </w:tc>
        <w:tc>
          <w:tcPr>
            <w:tcW w:w="1200" w:type="dxa"/>
          </w:tcPr>
          <w:p w14:paraId="541A8005">
            <w:pPr>
              <w:pStyle w:val="17"/>
              <w:spacing w:before="76"/>
              <w:ind w:left="158" w:right="150"/>
              <w:rPr>
                <w:rFonts w:ascii="Times New Roman"/>
                <w:sz w:val="21"/>
              </w:rPr>
            </w:pPr>
            <w:r>
              <w:rPr>
                <w:rFonts w:ascii="Times New Roman"/>
                <w:sz w:val="21"/>
              </w:rPr>
              <w:t>1.38</w:t>
            </w:r>
          </w:p>
        </w:tc>
        <w:tc>
          <w:tcPr>
            <w:tcW w:w="1010" w:type="dxa"/>
          </w:tcPr>
          <w:p w14:paraId="5F0EC195">
            <w:pPr>
              <w:pStyle w:val="17"/>
              <w:jc w:val="left"/>
              <w:rPr>
                <w:rFonts w:ascii="Times New Roman"/>
                <w:sz w:val="20"/>
              </w:rPr>
            </w:pPr>
          </w:p>
        </w:tc>
        <w:tc>
          <w:tcPr>
            <w:tcW w:w="1167" w:type="dxa"/>
          </w:tcPr>
          <w:p w14:paraId="053E7486">
            <w:pPr>
              <w:pStyle w:val="17"/>
              <w:spacing w:before="76"/>
              <w:ind w:left="142" w:right="134"/>
              <w:rPr>
                <w:rFonts w:ascii="Times New Roman"/>
                <w:sz w:val="21"/>
              </w:rPr>
            </w:pPr>
            <w:r>
              <w:rPr>
                <w:rFonts w:ascii="Times New Roman"/>
                <w:sz w:val="21"/>
              </w:rPr>
              <w:t>3.98</w:t>
            </w:r>
          </w:p>
        </w:tc>
        <w:tc>
          <w:tcPr>
            <w:tcW w:w="1204" w:type="dxa"/>
          </w:tcPr>
          <w:p w14:paraId="4D3E8131">
            <w:pPr>
              <w:pStyle w:val="17"/>
              <w:jc w:val="left"/>
              <w:rPr>
                <w:rFonts w:ascii="Times New Roman"/>
                <w:sz w:val="20"/>
              </w:rPr>
            </w:pPr>
          </w:p>
        </w:tc>
        <w:tc>
          <w:tcPr>
            <w:tcW w:w="1167" w:type="dxa"/>
          </w:tcPr>
          <w:p w14:paraId="4D9BCE9F">
            <w:pPr>
              <w:pStyle w:val="17"/>
              <w:spacing w:before="76"/>
              <w:ind w:left="142" w:right="134"/>
              <w:rPr>
                <w:rFonts w:ascii="Times New Roman"/>
                <w:sz w:val="21"/>
              </w:rPr>
            </w:pPr>
            <w:r>
              <w:rPr>
                <w:rFonts w:ascii="Times New Roman"/>
                <w:sz w:val="21"/>
              </w:rPr>
              <w:t>16.9</w:t>
            </w:r>
          </w:p>
        </w:tc>
        <w:tc>
          <w:tcPr>
            <w:tcW w:w="1204" w:type="dxa"/>
          </w:tcPr>
          <w:p w14:paraId="4A58BE82">
            <w:pPr>
              <w:pStyle w:val="17"/>
              <w:spacing w:before="76"/>
              <w:ind w:left="160" w:right="152"/>
              <w:rPr>
                <w:rFonts w:ascii="Times New Roman"/>
                <w:sz w:val="21"/>
              </w:rPr>
            </w:pPr>
            <w:r>
              <w:rPr>
                <w:rFonts w:ascii="Times New Roman"/>
                <w:sz w:val="21"/>
              </w:rPr>
              <w:t>0.009</w:t>
            </w:r>
          </w:p>
        </w:tc>
        <w:tc>
          <w:tcPr>
            <w:tcW w:w="1173" w:type="dxa"/>
          </w:tcPr>
          <w:p w14:paraId="28BC0ADA">
            <w:pPr>
              <w:pStyle w:val="17"/>
              <w:spacing w:before="76"/>
              <w:ind w:left="244" w:right="237"/>
              <w:rPr>
                <w:rFonts w:ascii="Times New Roman"/>
                <w:sz w:val="21"/>
              </w:rPr>
            </w:pPr>
            <w:r>
              <w:rPr>
                <w:rFonts w:ascii="Times New Roman"/>
                <w:sz w:val="21"/>
              </w:rPr>
              <w:t>200</w:t>
            </w:r>
          </w:p>
        </w:tc>
        <w:tc>
          <w:tcPr>
            <w:tcW w:w="1173" w:type="dxa"/>
            <w:tcBorders>
              <w:right w:val="nil"/>
            </w:tcBorders>
          </w:tcPr>
          <w:p w14:paraId="04DBC3B3">
            <w:pPr>
              <w:pStyle w:val="17"/>
              <w:spacing w:before="62"/>
              <w:ind w:left="356" w:right="351"/>
              <w:rPr>
                <w:sz w:val="21"/>
              </w:rPr>
            </w:pPr>
            <w:r>
              <w:rPr>
                <w:sz w:val="21"/>
              </w:rPr>
              <w:t>达标</w:t>
            </w:r>
          </w:p>
        </w:tc>
      </w:tr>
      <w:tr w14:paraId="55024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1E63ABAD">
            <w:pPr>
              <w:pStyle w:val="17"/>
              <w:spacing w:before="63"/>
              <w:ind w:left="9"/>
              <w:rPr>
                <w:sz w:val="21"/>
              </w:rPr>
            </w:pPr>
            <w:r>
              <w:rPr>
                <w:w w:val="99"/>
                <w:sz w:val="21"/>
              </w:rPr>
              <w:t>钙</w:t>
            </w:r>
          </w:p>
        </w:tc>
        <w:tc>
          <w:tcPr>
            <w:tcW w:w="1188" w:type="dxa"/>
          </w:tcPr>
          <w:p w14:paraId="20ABDF90">
            <w:pPr>
              <w:pStyle w:val="17"/>
              <w:spacing w:before="77"/>
              <w:ind w:left="152" w:right="145"/>
              <w:rPr>
                <w:rFonts w:ascii="Times New Roman"/>
                <w:sz w:val="21"/>
              </w:rPr>
            </w:pPr>
            <w:r>
              <w:rPr>
                <w:rFonts w:ascii="Times New Roman"/>
                <w:sz w:val="21"/>
              </w:rPr>
              <w:t>0.94</w:t>
            </w:r>
          </w:p>
        </w:tc>
        <w:tc>
          <w:tcPr>
            <w:tcW w:w="1019" w:type="dxa"/>
          </w:tcPr>
          <w:p w14:paraId="11EAD97C">
            <w:pPr>
              <w:pStyle w:val="17"/>
              <w:jc w:val="left"/>
              <w:rPr>
                <w:rFonts w:ascii="Times New Roman"/>
                <w:sz w:val="20"/>
              </w:rPr>
            </w:pPr>
          </w:p>
        </w:tc>
        <w:tc>
          <w:tcPr>
            <w:tcW w:w="1200" w:type="dxa"/>
          </w:tcPr>
          <w:p w14:paraId="1FD278CE">
            <w:pPr>
              <w:pStyle w:val="17"/>
              <w:spacing w:before="77"/>
              <w:ind w:left="158" w:right="149"/>
              <w:rPr>
                <w:rFonts w:ascii="Times New Roman"/>
                <w:sz w:val="21"/>
              </w:rPr>
            </w:pPr>
            <w:r>
              <w:rPr>
                <w:rFonts w:ascii="Times New Roman"/>
                <w:sz w:val="21"/>
              </w:rPr>
              <w:t>1.16</w:t>
            </w:r>
          </w:p>
        </w:tc>
        <w:tc>
          <w:tcPr>
            <w:tcW w:w="1010" w:type="dxa"/>
          </w:tcPr>
          <w:p w14:paraId="523080A2">
            <w:pPr>
              <w:pStyle w:val="17"/>
              <w:jc w:val="left"/>
              <w:rPr>
                <w:rFonts w:ascii="Times New Roman"/>
                <w:sz w:val="20"/>
              </w:rPr>
            </w:pPr>
          </w:p>
        </w:tc>
        <w:tc>
          <w:tcPr>
            <w:tcW w:w="1200" w:type="dxa"/>
          </w:tcPr>
          <w:p w14:paraId="473CF5D3">
            <w:pPr>
              <w:pStyle w:val="17"/>
              <w:spacing w:before="77"/>
              <w:ind w:left="158" w:right="150"/>
              <w:rPr>
                <w:rFonts w:ascii="Times New Roman"/>
                <w:sz w:val="21"/>
              </w:rPr>
            </w:pPr>
            <w:r>
              <w:rPr>
                <w:rFonts w:ascii="Times New Roman"/>
                <w:sz w:val="21"/>
              </w:rPr>
              <w:t>1.09</w:t>
            </w:r>
          </w:p>
        </w:tc>
        <w:tc>
          <w:tcPr>
            <w:tcW w:w="1010" w:type="dxa"/>
          </w:tcPr>
          <w:p w14:paraId="1C39D466">
            <w:pPr>
              <w:pStyle w:val="17"/>
              <w:jc w:val="left"/>
              <w:rPr>
                <w:rFonts w:ascii="Times New Roman"/>
                <w:sz w:val="20"/>
              </w:rPr>
            </w:pPr>
          </w:p>
        </w:tc>
        <w:tc>
          <w:tcPr>
            <w:tcW w:w="1167" w:type="dxa"/>
          </w:tcPr>
          <w:p w14:paraId="265B9D66">
            <w:pPr>
              <w:pStyle w:val="17"/>
              <w:spacing w:before="77"/>
              <w:ind w:left="142" w:right="134"/>
              <w:rPr>
                <w:rFonts w:ascii="Times New Roman"/>
                <w:sz w:val="21"/>
              </w:rPr>
            </w:pPr>
            <w:r>
              <w:rPr>
                <w:rFonts w:ascii="Times New Roman"/>
                <w:sz w:val="21"/>
              </w:rPr>
              <w:t>7.48</w:t>
            </w:r>
          </w:p>
        </w:tc>
        <w:tc>
          <w:tcPr>
            <w:tcW w:w="1204" w:type="dxa"/>
          </w:tcPr>
          <w:p w14:paraId="0C55C686">
            <w:pPr>
              <w:pStyle w:val="17"/>
              <w:jc w:val="left"/>
              <w:rPr>
                <w:rFonts w:ascii="Times New Roman"/>
                <w:sz w:val="20"/>
              </w:rPr>
            </w:pPr>
          </w:p>
        </w:tc>
        <w:tc>
          <w:tcPr>
            <w:tcW w:w="1167" w:type="dxa"/>
          </w:tcPr>
          <w:p w14:paraId="43BAF229">
            <w:pPr>
              <w:pStyle w:val="17"/>
              <w:spacing w:before="77"/>
              <w:ind w:left="142" w:right="134"/>
              <w:rPr>
                <w:rFonts w:ascii="Times New Roman"/>
                <w:sz w:val="21"/>
              </w:rPr>
            </w:pPr>
            <w:r>
              <w:rPr>
                <w:rFonts w:ascii="Times New Roman"/>
                <w:sz w:val="21"/>
              </w:rPr>
              <w:t>43.6</w:t>
            </w:r>
          </w:p>
        </w:tc>
        <w:tc>
          <w:tcPr>
            <w:tcW w:w="1204" w:type="dxa"/>
          </w:tcPr>
          <w:p w14:paraId="536CACE4">
            <w:pPr>
              <w:pStyle w:val="17"/>
              <w:spacing w:before="77"/>
              <w:ind w:left="10"/>
              <w:rPr>
                <w:rFonts w:ascii="Times New Roman"/>
                <w:sz w:val="21"/>
              </w:rPr>
            </w:pPr>
            <w:r>
              <w:rPr>
                <w:rFonts w:ascii="Times New Roman"/>
                <w:w w:val="99"/>
                <w:sz w:val="21"/>
              </w:rPr>
              <w:t>/</w:t>
            </w:r>
          </w:p>
        </w:tc>
        <w:tc>
          <w:tcPr>
            <w:tcW w:w="1173" w:type="dxa"/>
          </w:tcPr>
          <w:p w14:paraId="51692AE3">
            <w:pPr>
              <w:pStyle w:val="17"/>
              <w:spacing w:before="77"/>
              <w:ind w:left="9"/>
              <w:rPr>
                <w:rFonts w:ascii="Times New Roman"/>
                <w:sz w:val="21"/>
              </w:rPr>
            </w:pPr>
            <w:r>
              <w:rPr>
                <w:rFonts w:ascii="Times New Roman"/>
                <w:w w:val="99"/>
                <w:sz w:val="21"/>
              </w:rPr>
              <w:t>/</w:t>
            </w:r>
          </w:p>
        </w:tc>
        <w:tc>
          <w:tcPr>
            <w:tcW w:w="1173" w:type="dxa"/>
            <w:tcBorders>
              <w:right w:val="nil"/>
            </w:tcBorders>
          </w:tcPr>
          <w:p w14:paraId="071FBD5A">
            <w:pPr>
              <w:pStyle w:val="17"/>
              <w:spacing w:before="63"/>
              <w:ind w:left="356" w:right="351"/>
              <w:rPr>
                <w:sz w:val="21"/>
              </w:rPr>
            </w:pPr>
            <w:r>
              <w:rPr>
                <w:sz w:val="21"/>
              </w:rPr>
              <w:t>达标</w:t>
            </w:r>
          </w:p>
        </w:tc>
      </w:tr>
      <w:tr w14:paraId="1B60B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06892BB">
            <w:pPr>
              <w:pStyle w:val="17"/>
              <w:spacing w:before="62"/>
              <w:ind w:left="9"/>
              <w:rPr>
                <w:sz w:val="21"/>
              </w:rPr>
            </w:pPr>
            <w:r>
              <w:rPr>
                <w:w w:val="99"/>
                <w:sz w:val="21"/>
              </w:rPr>
              <w:t>镁</w:t>
            </w:r>
          </w:p>
        </w:tc>
        <w:tc>
          <w:tcPr>
            <w:tcW w:w="1188" w:type="dxa"/>
          </w:tcPr>
          <w:p w14:paraId="06941F90">
            <w:pPr>
              <w:pStyle w:val="17"/>
              <w:spacing w:before="76"/>
              <w:ind w:left="152" w:right="145"/>
              <w:rPr>
                <w:rFonts w:ascii="Times New Roman"/>
                <w:sz w:val="21"/>
              </w:rPr>
            </w:pPr>
            <w:r>
              <w:rPr>
                <w:rFonts w:ascii="Times New Roman"/>
                <w:sz w:val="21"/>
              </w:rPr>
              <w:t>0.14</w:t>
            </w:r>
          </w:p>
        </w:tc>
        <w:tc>
          <w:tcPr>
            <w:tcW w:w="1019" w:type="dxa"/>
          </w:tcPr>
          <w:p w14:paraId="62335EB1">
            <w:pPr>
              <w:pStyle w:val="17"/>
              <w:jc w:val="left"/>
              <w:rPr>
                <w:rFonts w:ascii="Times New Roman"/>
                <w:sz w:val="20"/>
              </w:rPr>
            </w:pPr>
          </w:p>
        </w:tc>
        <w:tc>
          <w:tcPr>
            <w:tcW w:w="1200" w:type="dxa"/>
          </w:tcPr>
          <w:p w14:paraId="5DEDA11D">
            <w:pPr>
              <w:pStyle w:val="17"/>
              <w:spacing w:before="76"/>
              <w:ind w:left="158" w:right="149"/>
              <w:rPr>
                <w:rFonts w:ascii="Times New Roman"/>
                <w:sz w:val="21"/>
              </w:rPr>
            </w:pPr>
            <w:r>
              <w:rPr>
                <w:rFonts w:ascii="Times New Roman"/>
                <w:sz w:val="21"/>
              </w:rPr>
              <w:t>0.42</w:t>
            </w:r>
          </w:p>
        </w:tc>
        <w:tc>
          <w:tcPr>
            <w:tcW w:w="1010" w:type="dxa"/>
          </w:tcPr>
          <w:p w14:paraId="6AAC3924">
            <w:pPr>
              <w:pStyle w:val="17"/>
              <w:jc w:val="left"/>
              <w:rPr>
                <w:rFonts w:ascii="Times New Roman"/>
                <w:sz w:val="20"/>
              </w:rPr>
            </w:pPr>
          </w:p>
        </w:tc>
        <w:tc>
          <w:tcPr>
            <w:tcW w:w="1200" w:type="dxa"/>
          </w:tcPr>
          <w:p w14:paraId="16E3F25E">
            <w:pPr>
              <w:pStyle w:val="17"/>
              <w:spacing w:before="76"/>
              <w:ind w:left="158" w:right="150"/>
              <w:rPr>
                <w:rFonts w:ascii="Times New Roman"/>
                <w:sz w:val="21"/>
              </w:rPr>
            </w:pPr>
            <w:r>
              <w:rPr>
                <w:rFonts w:ascii="Times New Roman"/>
                <w:sz w:val="21"/>
              </w:rPr>
              <w:t>0.26</w:t>
            </w:r>
          </w:p>
        </w:tc>
        <w:tc>
          <w:tcPr>
            <w:tcW w:w="1010" w:type="dxa"/>
          </w:tcPr>
          <w:p w14:paraId="074C9346">
            <w:pPr>
              <w:pStyle w:val="17"/>
              <w:jc w:val="left"/>
              <w:rPr>
                <w:rFonts w:ascii="Times New Roman"/>
                <w:sz w:val="20"/>
              </w:rPr>
            </w:pPr>
          </w:p>
        </w:tc>
        <w:tc>
          <w:tcPr>
            <w:tcW w:w="1167" w:type="dxa"/>
          </w:tcPr>
          <w:p w14:paraId="10275AD5">
            <w:pPr>
              <w:pStyle w:val="17"/>
              <w:spacing w:before="76"/>
              <w:ind w:left="142" w:right="134"/>
              <w:rPr>
                <w:rFonts w:ascii="Times New Roman"/>
                <w:sz w:val="21"/>
              </w:rPr>
            </w:pPr>
            <w:r>
              <w:rPr>
                <w:rFonts w:ascii="Times New Roman"/>
                <w:sz w:val="21"/>
              </w:rPr>
              <w:t>2.57</w:t>
            </w:r>
          </w:p>
        </w:tc>
        <w:tc>
          <w:tcPr>
            <w:tcW w:w="1204" w:type="dxa"/>
          </w:tcPr>
          <w:p w14:paraId="4050B8B0">
            <w:pPr>
              <w:pStyle w:val="17"/>
              <w:jc w:val="left"/>
              <w:rPr>
                <w:rFonts w:ascii="Times New Roman"/>
                <w:sz w:val="20"/>
              </w:rPr>
            </w:pPr>
          </w:p>
        </w:tc>
        <w:tc>
          <w:tcPr>
            <w:tcW w:w="1167" w:type="dxa"/>
          </w:tcPr>
          <w:p w14:paraId="756A7E2C">
            <w:pPr>
              <w:pStyle w:val="17"/>
              <w:spacing w:before="76"/>
              <w:ind w:left="142" w:right="134"/>
              <w:rPr>
                <w:rFonts w:ascii="Times New Roman"/>
                <w:sz w:val="21"/>
              </w:rPr>
            </w:pPr>
            <w:r>
              <w:rPr>
                <w:rFonts w:ascii="Times New Roman"/>
                <w:sz w:val="21"/>
              </w:rPr>
              <w:t>10.7</w:t>
            </w:r>
          </w:p>
        </w:tc>
        <w:tc>
          <w:tcPr>
            <w:tcW w:w="1204" w:type="dxa"/>
          </w:tcPr>
          <w:p w14:paraId="3D09174A">
            <w:pPr>
              <w:pStyle w:val="17"/>
              <w:spacing w:before="76"/>
              <w:ind w:left="10"/>
              <w:rPr>
                <w:rFonts w:ascii="Times New Roman"/>
                <w:sz w:val="21"/>
              </w:rPr>
            </w:pPr>
            <w:r>
              <w:rPr>
                <w:rFonts w:ascii="Times New Roman"/>
                <w:w w:val="99"/>
                <w:sz w:val="21"/>
              </w:rPr>
              <w:t>/</w:t>
            </w:r>
          </w:p>
        </w:tc>
        <w:tc>
          <w:tcPr>
            <w:tcW w:w="1173" w:type="dxa"/>
          </w:tcPr>
          <w:p w14:paraId="0A1AB06A">
            <w:pPr>
              <w:pStyle w:val="17"/>
              <w:spacing w:before="76"/>
              <w:ind w:left="9"/>
              <w:rPr>
                <w:rFonts w:ascii="Times New Roman"/>
                <w:sz w:val="21"/>
              </w:rPr>
            </w:pPr>
            <w:r>
              <w:rPr>
                <w:rFonts w:ascii="Times New Roman"/>
                <w:w w:val="99"/>
                <w:sz w:val="21"/>
              </w:rPr>
              <w:t>/</w:t>
            </w:r>
          </w:p>
        </w:tc>
        <w:tc>
          <w:tcPr>
            <w:tcW w:w="1173" w:type="dxa"/>
            <w:tcBorders>
              <w:right w:val="nil"/>
            </w:tcBorders>
          </w:tcPr>
          <w:p w14:paraId="24A090B7">
            <w:pPr>
              <w:pStyle w:val="17"/>
              <w:spacing w:before="62"/>
              <w:ind w:left="356" w:right="351"/>
              <w:rPr>
                <w:sz w:val="21"/>
              </w:rPr>
            </w:pPr>
            <w:r>
              <w:rPr>
                <w:sz w:val="21"/>
              </w:rPr>
              <w:t>达标</w:t>
            </w:r>
          </w:p>
        </w:tc>
      </w:tr>
      <w:tr w14:paraId="79671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661" w:type="dxa"/>
            <w:tcBorders>
              <w:left w:val="nil"/>
            </w:tcBorders>
          </w:tcPr>
          <w:p w14:paraId="6B9993C4">
            <w:pPr>
              <w:pStyle w:val="17"/>
              <w:spacing w:before="63"/>
              <w:ind w:left="76" w:right="70"/>
              <w:rPr>
                <w:sz w:val="21"/>
              </w:rPr>
            </w:pPr>
            <w:r>
              <w:rPr>
                <w:sz w:val="21"/>
              </w:rPr>
              <w:t>碳酸根</w:t>
            </w:r>
          </w:p>
        </w:tc>
        <w:tc>
          <w:tcPr>
            <w:tcW w:w="1188" w:type="dxa"/>
          </w:tcPr>
          <w:p w14:paraId="57CA85E3">
            <w:pPr>
              <w:pStyle w:val="17"/>
              <w:spacing w:before="77"/>
              <w:ind w:left="152" w:right="144"/>
              <w:rPr>
                <w:rFonts w:ascii="Times New Roman"/>
                <w:sz w:val="21"/>
              </w:rPr>
            </w:pPr>
            <w:r>
              <w:rPr>
                <w:rFonts w:ascii="Times New Roman"/>
                <w:sz w:val="21"/>
              </w:rPr>
              <w:t>ND</w:t>
            </w:r>
          </w:p>
        </w:tc>
        <w:tc>
          <w:tcPr>
            <w:tcW w:w="1019" w:type="dxa"/>
          </w:tcPr>
          <w:p w14:paraId="43724DF5">
            <w:pPr>
              <w:pStyle w:val="17"/>
              <w:jc w:val="left"/>
              <w:rPr>
                <w:rFonts w:ascii="Times New Roman"/>
                <w:sz w:val="20"/>
              </w:rPr>
            </w:pPr>
          </w:p>
        </w:tc>
        <w:tc>
          <w:tcPr>
            <w:tcW w:w="1200" w:type="dxa"/>
          </w:tcPr>
          <w:p w14:paraId="77D67777">
            <w:pPr>
              <w:pStyle w:val="17"/>
              <w:spacing w:before="77"/>
              <w:ind w:left="158" w:right="150"/>
              <w:rPr>
                <w:rFonts w:ascii="Times New Roman"/>
                <w:sz w:val="21"/>
              </w:rPr>
            </w:pPr>
            <w:r>
              <w:rPr>
                <w:rFonts w:ascii="Times New Roman"/>
                <w:sz w:val="21"/>
              </w:rPr>
              <w:t>ND</w:t>
            </w:r>
          </w:p>
        </w:tc>
        <w:tc>
          <w:tcPr>
            <w:tcW w:w="1010" w:type="dxa"/>
          </w:tcPr>
          <w:p w14:paraId="4EB3CEC0">
            <w:pPr>
              <w:pStyle w:val="17"/>
              <w:jc w:val="left"/>
              <w:rPr>
                <w:rFonts w:ascii="Times New Roman"/>
                <w:sz w:val="20"/>
              </w:rPr>
            </w:pPr>
          </w:p>
        </w:tc>
        <w:tc>
          <w:tcPr>
            <w:tcW w:w="1200" w:type="dxa"/>
          </w:tcPr>
          <w:p w14:paraId="23FEF750">
            <w:pPr>
              <w:pStyle w:val="17"/>
              <w:spacing w:before="77"/>
              <w:ind w:left="158" w:right="150"/>
              <w:rPr>
                <w:rFonts w:ascii="Times New Roman"/>
                <w:sz w:val="21"/>
              </w:rPr>
            </w:pPr>
            <w:r>
              <w:rPr>
                <w:rFonts w:ascii="Times New Roman"/>
                <w:sz w:val="21"/>
              </w:rPr>
              <w:t>ND</w:t>
            </w:r>
          </w:p>
        </w:tc>
        <w:tc>
          <w:tcPr>
            <w:tcW w:w="1010" w:type="dxa"/>
          </w:tcPr>
          <w:p w14:paraId="4C229D11">
            <w:pPr>
              <w:pStyle w:val="17"/>
              <w:jc w:val="left"/>
              <w:rPr>
                <w:rFonts w:ascii="Times New Roman"/>
                <w:sz w:val="20"/>
              </w:rPr>
            </w:pPr>
          </w:p>
        </w:tc>
        <w:tc>
          <w:tcPr>
            <w:tcW w:w="1167" w:type="dxa"/>
          </w:tcPr>
          <w:p w14:paraId="2FCC6C85">
            <w:pPr>
              <w:pStyle w:val="17"/>
              <w:spacing w:before="77"/>
              <w:ind w:left="142" w:right="133"/>
              <w:rPr>
                <w:rFonts w:ascii="Times New Roman"/>
                <w:sz w:val="21"/>
              </w:rPr>
            </w:pPr>
            <w:r>
              <w:rPr>
                <w:rFonts w:ascii="Times New Roman"/>
                <w:sz w:val="21"/>
              </w:rPr>
              <w:t>ND</w:t>
            </w:r>
          </w:p>
        </w:tc>
        <w:tc>
          <w:tcPr>
            <w:tcW w:w="1204" w:type="dxa"/>
          </w:tcPr>
          <w:p w14:paraId="34EA593C">
            <w:pPr>
              <w:pStyle w:val="17"/>
              <w:jc w:val="left"/>
              <w:rPr>
                <w:rFonts w:ascii="Times New Roman"/>
                <w:sz w:val="20"/>
              </w:rPr>
            </w:pPr>
          </w:p>
        </w:tc>
        <w:tc>
          <w:tcPr>
            <w:tcW w:w="1167" w:type="dxa"/>
          </w:tcPr>
          <w:p w14:paraId="3AB648A2">
            <w:pPr>
              <w:pStyle w:val="17"/>
              <w:spacing w:before="77"/>
              <w:ind w:left="142" w:right="133"/>
              <w:rPr>
                <w:rFonts w:ascii="Times New Roman"/>
                <w:sz w:val="21"/>
              </w:rPr>
            </w:pPr>
            <w:r>
              <w:rPr>
                <w:rFonts w:ascii="Times New Roman"/>
                <w:sz w:val="21"/>
              </w:rPr>
              <w:t>ND</w:t>
            </w:r>
          </w:p>
        </w:tc>
        <w:tc>
          <w:tcPr>
            <w:tcW w:w="1204" w:type="dxa"/>
          </w:tcPr>
          <w:p w14:paraId="3B776655">
            <w:pPr>
              <w:pStyle w:val="17"/>
              <w:spacing w:before="77"/>
              <w:ind w:left="10"/>
              <w:rPr>
                <w:rFonts w:ascii="Times New Roman"/>
                <w:sz w:val="21"/>
              </w:rPr>
            </w:pPr>
            <w:r>
              <w:rPr>
                <w:rFonts w:ascii="Times New Roman"/>
                <w:w w:val="99"/>
                <w:sz w:val="21"/>
              </w:rPr>
              <w:t>/</w:t>
            </w:r>
          </w:p>
        </w:tc>
        <w:tc>
          <w:tcPr>
            <w:tcW w:w="1173" w:type="dxa"/>
          </w:tcPr>
          <w:p w14:paraId="3EC96559">
            <w:pPr>
              <w:pStyle w:val="17"/>
              <w:spacing w:before="77"/>
              <w:ind w:left="9"/>
              <w:rPr>
                <w:rFonts w:ascii="Times New Roman"/>
                <w:sz w:val="21"/>
              </w:rPr>
            </w:pPr>
            <w:r>
              <w:rPr>
                <w:rFonts w:ascii="Times New Roman"/>
                <w:w w:val="99"/>
                <w:sz w:val="21"/>
              </w:rPr>
              <w:t>/</w:t>
            </w:r>
          </w:p>
        </w:tc>
        <w:tc>
          <w:tcPr>
            <w:tcW w:w="1173" w:type="dxa"/>
            <w:tcBorders>
              <w:right w:val="nil"/>
            </w:tcBorders>
          </w:tcPr>
          <w:p w14:paraId="5878A648">
            <w:pPr>
              <w:pStyle w:val="17"/>
              <w:spacing w:before="63"/>
              <w:ind w:left="356" w:right="351"/>
              <w:rPr>
                <w:sz w:val="21"/>
              </w:rPr>
            </w:pPr>
            <w:r>
              <w:rPr>
                <w:sz w:val="21"/>
              </w:rPr>
              <w:t>达标</w:t>
            </w:r>
          </w:p>
        </w:tc>
      </w:tr>
    </w:tbl>
    <w:p w14:paraId="49185DFC">
      <w:pPr>
        <w:spacing w:after="0"/>
        <w:rPr>
          <w:sz w:val="21"/>
        </w:rPr>
        <w:sectPr>
          <w:footerReference r:id="rId20" w:type="default"/>
          <w:pgSz w:w="16840" w:h="11910" w:orient="landscape"/>
          <w:pgMar w:top="1100" w:right="620" w:bottom="1220" w:left="620" w:header="0" w:footer="1024" w:gutter="0"/>
          <w:pgNumType w:start="84"/>
          <w:cols w:space="720" w:num="1"/>
        </w:sectPr>
      </w:pPr>
    </w:p>
    <w:p w14:paraId="776FA247">
      <w:pPr>
        <w:pStyle w:val="10"/>
        <w:rPr>
          <w:rFonts w:ascii="Times New Roman"/>
          <w:b/>
          <w:sz w:val="20"/>
        </w:rPr>
      </w:pPr>
    </w:p>
    <w:p w14:paraId="46C35EF9">
      <w:pPr>
        <w:pStyle w:val="10"/>
        <w:rPr>
          <w:rFonts w:ascii="Times New Roman"/>
          <w:b/>
          <w:sz w:val="20"/>
        </w:rPr>
      </w:pPr>
    </w:p>
    <w:p w14:paraId="6AA7EB63">
      <w:pPr>
        <w:pStyle w:val="10"/>
        <w:spacing w:before="4"/>
        <w:rPr>
          <w:rFonts w:ascii="Times New Roman"/>
          <w:b/>
          <w:sz w:val="20"/>
        </w:rPr>
      </w:pPr>
    </w:p>
    <w:tbl>
      <w:tblPr>
        <w:tblStyle w:val="13"/>
        <w:tblW w:w="0" w:type="auto"/>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188"/>
        <w:gridCol w:w="1019"/>
        <w:gridCol w:w="1200"/>
        <w:gridCol w:w="1010"/>
        <w:gridCol w:w="1200"/>
        <w:gridCol w:w="1010"/>
        <w:gridCol w:w="1167"/>
        <w:gridCol w:w="1204"/>
        <w:gridCol w:w="1167"/>
        <w:gridCol w:w="1204"/>
        <w:gridCol w:w="1173"/>
        <w:gridCol w:w="1173"/>
      </w:tblGrid>
      <w:tr w14:paraId="1F01A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661" w:type="dxa"/>
            <w:tcBorders>
              <w:left w:val="nil"/>
            </w:tcBorders>
          </w:tcPr>
          <w:p w14:paraId="05F7372D">
            <w:pPr>
              <w:pStyle w:val="17"/>
              <w:spacing w:before="62"/>
              <w:ind w:left="76" w:right="67"/>
              <w:rPr>
                <w:sz w:val="21"/>
              </w:rPr>
            </w:pPr>
            <w:r>
              <w:rPr>
                <w:sz w:val="21"/>
              </w:rPr>
              <w:t>碳酸氢根</w:t>
            </w:r>
          </w:p>
        </w:tc>
        <w:tc>
          <w:tcPr>
            <w:tcW w:w="1188" w:type="dxa"/>
          </w:tcPr>
          <w:p w14:paraId="38022AA0">
            <w:pPr>
              <w:pStyle w:val="17"/>
              <w:spacing w:before="76"/>
              <w:ind w:left="152" w:right="145"/>
              <w:rPr>
                <w:rFonts w:ascii="Times New Roman"/>
                <w:sz w:val="21"/>
              </w:rPr>
            </w:pPr>
            <w:r>
              <w:rPr>
                <w:rFonts w:ascii="Times New Roman"/>
                <w:sz w:val="21"/>
              </w:rPr>
              <w:t>4.5</w:t>
            </w:r>
          </w:p>
        </w:tc>
        <w:tc>
          <w:tcPr>
            <w:tcW w:w="1019" w:type="dxa"/>
          </w:tcPr>
          <w:p w14:paraId="676E4195">
            <w:pPr>
              <w:pStyle w:val="17"/>
              <w:jc w:val="left"/>
              <w:rPr>
                <w:rFonts w:ascii="Times New Roman"/>
                <w:sz w:val="20"/>
              </w:rPr>
            </w:pPr>
          </w:p>
        </w:tc>
        <w:tc>
          <w:tcPr>
            <w:tcW w:w="1200" w:type="dxa"/>
          </w:tcPr>
          <w:p w14:paraId="278C6646">
            <w:pPr>
              <w:pStyle w:val="17"/>
              <w:spacing w:before="76"/>
              <w:ind w:left="158" w:right="151"/>
              <w:rPr>
                <w:rFonts w:ascii="Times New Roman"/>
                <w:sz w:val="21"/>
              </w:rPr>
            </w:pPr>
            <w:r>
              <w:rPr>
                <w:rFonts w:ascii="Times New Roman"/>
                <w:sz w:val="21"/>
              </w:rPr>
              <w:t>5.8</w:t>
            </w:r>
          </w:p>
        </w:tc>
        <w:tc>
          <w:tcPr>
            <w:tcW w:w="1010" w:type="dxa"/>
          </w:tcPr>
          <w:p w14:paraId="43261047">
            <w:pPr>
              <w:pStyle w:val="17"/>
              <w:jc w:val="left"/>
              <w:rPr>
                <w:rFonts w:ascii="Times New Roman"/>
                <w:sz w:val="20"/>
              </w:rPr>
            </w:pPr>
          </w:p>
        </w:tc>
        <w:tc>
          <w:tcPr>
            <w:tcW w:w="1200" w:type="dxa"/>
          </w:tcPr>
          <w:p w14:paraId="5063D6E7">
            <w:pPr>
              <w:pStyle w:val="17"/>
              <w:spacing w:before="76"/>
              <w:ind w:left="467"/>
              <w:jc w:val="left"/>
              <w:rPr>
                <w:rFonts w:ascii="Times New Roman"/>
                <w:sz w:val="21"/>
              </w:rPr>
            </w:pPr>
            <w:r>
              <w:rPr>
                <w:rFonts w:ascii="Times New Roman"/>
                <w:sz w:val="21"/>
              </w:rPr>
              <w:t>4.7</w:t>
            </w:r>
          </w:p>
        </w:tc>
        <w:tc>
          <w:tcPr>
            <w:tcW w:w="1010" w:type="dxa"/>
          </w:tcPr>
          <w:p w14:paraId="0D3950AA">
            <w:pPr>
              <w:pStyle w:val="17"/>
              <w:jc w:val="left"/>
              <w:rPr>
                <w:rFonts w:ascii="Times New Roman"/>
                <w:sz w:val="20"/>
              </w:rPr>
            </w:pPr>
          </w:p>
        </w:tc>
        <w:tc>
          <w:tcPr>
            <w:tcW w:w="1167" w:type="dxa"/>
          </w:tcPr>
          <w:p w14:paraId="180D03F7">
            <w:pPr>
              <w:pStyle w:val="17"/>
              <w:spacing w:before="76"/>
              <w:ind w:left="142" w:right="134"/>
              <w:rPr>
                <w:rFonts w:ascii="Times New Roman"/>
                <w:sz w:val="21"/>
              </w:rPr>
            </w:pPr>
            <w:r>
              <w:rPr>
                <w:rFonts w:ascii="Times New Roman"/>
                <w:sz w:val="21"/>
              </w:rPr>
              <w:t>15</w:t>
            </w:r>
          </w:p>
        </w:tc>
        <w:tc>
          <w:tcPr>
            <w:tcW w:w="1204" w:type="dxa"/>
          </w:tcPr>
          <w:p w14:paraId="5B83E177">
            <w:pPr>
              <w:pStyle w:val="17"/>
              <w:jc w:val="left"/>
              <w:rPr>
                <w:rFonts w:ascii="Times New Roman"/>
                <w:sz w:val="20"/>
              </w:rPr>
            </w:pPr>
          </w:p>
        </w:tc>
        <w:tc>
          <w:tcPr>
            <w:tcW w:w="1167" w:type="dxa"/>
          </w:tcPr>
          <w:p w14:paraId="7E33786B">
            <w:pPr>
              <w:pStyle w:val="17"/>
              <w:spacing w:before="76"/>
              <w:ind w:left="424"/>
              <w:jc w:val="left"/>
              <w:rPr>
                <w:rFonts w:ascii="Times New Roman"/>
                <w:sz w:val="21"/>
              </w:rPr>
            </w:pPr>
            <w:r>
              <w:rPr>
                <w:rFonts w:ascii="Times New Roman"/>
                <w:sz w:val="21"/>
              </w:rPr>
              <w:t>206</w:t>
            </w:r>
          </w:p>
        </w:tc>
        <w:tc>
          <w:tcPr>
            <w:tcW w:w="1204" w:type="dxa"/>
          </w:tcPr>
          <w:p w14:paraId="2EB25152">
            <w:pPr>
              <w:pStyle w:val="17"/>
              <w:spacing w:before="76"/>
              <w:ind w:left="10"/>
              <w:rPr>
                <w:rFonts w:ascii="Times New Roman"/>
                <w:sz w:val="21"/>
              </w:rPr>
            </w:pPr>
            <w:r>
              <w:rPr>
                <w:rFonts w:ascii="Times New Roman"/>
                <w:w w:val="99"/>
                <w:sz w:val="21"/>
              </w:rPr>
              <w:t>/</w:t>
            </w:r>
          </w:p>
        </w:tc>
        <w:tc>
          <w:tcPr>
            <w:tcW w:w="1173" w:type="dxa"/>
          </w:tcPr>
          <w:p w14:paraId="58498CD4">
            <w:pPr>
              <w:pStyle w:val="17"/>
              <w:spacing w:before="76"/>
              <w:ind w:left="9"/>
              <w:rPr>
                <w:rFonts w:ascii="Times New Roman"/>
                <w:sz w:val="21"/>
              </w:rPr>
            </w:pPr>
            <w:r>
              <w:rPr>
                <w:rFonts w:ascii="Times New Roman"/>
                <w:w w:val="99"/>
                <w:sz w:val="21"/>
              </w:rPr>
              <w:t>/</w:t>
            </w:r>
          </w:p>
        </w:tc>
        <w:tc>
          <w:tcPr>
            <w:tcW w:w="1173" w:type="dxa"/>
            <w:tcBorders>
              <w:right w:val="nil"/>
            </w:tcBorders>
          </w:tcPr>
          <w:p w14:paraId="39A07ACA">
            <w:pPr>
              <w:pStyle w:val="17"/>
              <w:spacing w:before="62"/>
              <w:ind w:left="356" w:right="351"/>
              <w:rPr>
                <w:sz w:val="21"/>
              </w:rPr>
            </w:pPr>
            <w:r>
              <w:rPr>
                <w:sz w:val="21"/>
              </w:rPr>
              <w:t>达标</w:t>
            </w:r>
          </w:p>
        </w:tc>
      </w:tr>
      <w:tr w14:paraId="6F42E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194D9658">
            <w:pPr>
              <w:pStyle w:val="17"/>
              <w:spacing w:before="63"/>
              <w:ind w:left="76" w:right="70"/>
              <w:rPr>
                <w:sz w:val="21"/>
              </w:rPr>
            </w:pPr>
            <w:r>
              <w:rPr>
                <w:sz w:val="21"/>
              </w:rPr>
              <w:t>硫酸盐</w:t>
            </w:r>
          </w:p>
        </w:tc>
        <w:tc>
          <w:tcPr>
            <w:tcW w:w="1188" w:type="dxa"/>
          </w:tcPr>
          <w:p w14:paraId="6956305C">
            <w:pPr>
              <w:pStyle w:val="17"/>
              <w:spacing w:before="77"/>
              <w:ind w:left="152" w:right="145"/>
              <w:rPr>
                <w:rFonts w:ascii="Times New Roman"/>
                <w:sz w:val="21"/>
              </w:rPr>
            </w:pPr>
            <w:r>
              <w:rPr>
                <w:rFonts w:ascii="Times New Roman"/>
                <w:sz w:val="21"/>
              </w:rPr>
              <w:t>0.573</w:t>
            </w:r>
          </w:p>
        </w:tc>
        <w:tc>
          <w:tcPr>
            <w:tcW w:w="1019" w:type="dxa"/>
          </w:tcPr>
          <w:p w14:paraId="5A518CB0">
            <w:pPr>
              <w:pStyle w:val="17"/>
              <w:jc w:val="left"/>
              <w:rPr>
                <w:rFonts w:ascii="Times New Roman"/>
                <w:sz w:val="20"/>
              </w:rPr>
            </w:pPr>
          </w:p>
        </w:tc>
        <w:tc>
          <w:tcPr>
            <w:tcW w:w="1200" w:type="dxa"/>
          </w:tcPr>
          <w:p w14:paraId="74CCA861">
            <w:pPr>
              <w:pStyle w:val="17"/>
              <w:spacing w:before="77"/>
              <w:ind w:left="158" w:right="151"/>
              <w:rPr>
                <w:rFonts w:ascii="Times New Roman"/>
                <w:sz w:val="21"/>
              </w:rPr>
            </w:pPr>
            <w:r>
              <w:rPr>
                <w:rFonts w:ascii="Times New Roman"/>
                <w:sz w:val="21"/>
              </w:rPr>
              <w:t>0.533</w:t>
            </w:r>
          </w:p>
        </w:tc>
        <w:tc>
          <w:tcPr>
            <w:tcW w:w="1010" w:type="dxa"/>
          </w:tcPr>
          <w:p w14:paraId="478988D5">
            <w:pPr>
              <w:pStyle w:val="17"/>
              <w:jc w:val="left"/>
              <w:rPr>
                <w:rFonts w:ascii="Times New Roman"/>
                <w:sz w:val="20"/>
              </w:rPr>
            </w:pPr>
          </w:p>
        </w:tc>
        <w:tc>
          <w:tcPr>
            <w:tcW w:w="1200" w:type="dxa"/>
          </w:tcPr>
          <w:p w14:paraId="0C2F8C4E">
            <w:pPr>
              <w:pStyle w:val="17"/>
              <w:spacing w:before="77"/>
              <w:ind w:left="361"/>
              <w:jc w:val="left"/>
              <w:rPr>
                <w:rFonts w:ascii="Times New Roman"/>
                <w:sz w:val="21"/>
              </w:rPr>
            </w:pPr>
            <w:r>
              <w:rPr>
                <w:rFonts w:ascii="Times New Roman"/>
                <w:sz w:val="21"/>
              </w:rPr>
              <w:t>0.570</w:t>
            </w:r>
          </w:p>
        </w:tc>
        <w:tc>
          <w:tcPr>
            <w:tcW w:w="1010" w:type="dxa"/>
          </w:tcPr>
          <w:p w14:paraId="78A3D446">
            <w:pPr>
              <w:pStyle w:val="17"/>
              <w:jc w:val="left"/>
              <w:rPr>
                <w:rFonts w:ascii="Times New Roman"/>
                <w:sz w:val="20"/>
              </w:rPr>
            </w:pPr>
          </w:p>
        </w:tc>
        <w:tc>
          <w:tcPr>
            <w:tcW w:w="1167" w:type="dxa"/>
          </w:tcPr>
          <w:p w14:paraId="75CB50C0">
            <w:pPr>
              <w:pStyle w:val="17"/>
              <w:spacing w:before="77"/>
              <w:ind w:left="142" w:right="134"/>
              <w:rPr>
                <w:rFonts w:ascii="Times New Roman"/>
                <w:sz w:val="21"/>
              </w:rPr>
            </w:pPr>
            <w:r>
              <w:rPr>
                <w:rFonts w:ascii="Times New Roman"/>
                <w:sz w:val="21"/>
              </w:rPr>
              <w:t>15.8</w:t>
            </w:r>
          </w:p>
        </w:tc>
        <w:tc>
          <w:tcPr>
            <w:tcW w:w="1204" w:type="dxa"/>
          </w:tcPr>
          <w:p w14:paraId="4326B645">
            <w:pPr>
              <w:pStyle w:val="17"/>
              <w:jc w:val="left"/>
              <w:rPr>
                <w:rFonts w:ascii="Times New Roman"/>
                <w:sz w:val="20"/>
              </w:rPr>
            </w:pPr>
          </w:p>
        </w:tc>
        <w:tc>
          <w:tcPr>
            <w:tcW w:w="1167" w:type="dxa"/>
          </w:tcPr>
          <w:p w14:paraId="6370F6D6">
            <w:pPr>
              <w:pStyle w:val="17"/>
              <w:spacing w:before="77"/>
              <w:ind w:left="398"/>
              <w:jc w:val="left"/>
              <w:rPr>
                <w:rFonts w:ascii="Times New Roman"/>
                <w:sz w:val="21"/>
              </w:rPr>
            </w:pPr>
            <w:r>
              <w:rPr>
                <w:rFonts w:ascii="Times New Roman"/>
                <w:sz w:val="21"/>
              </w:rPr>
              <w:t>13.2</w:t>
            </w:r>
          </w:p>
        </w:tc>
        <w:tc>
          <w:tcPr>
            <w:tcW w:w="1204" w:type="dxa"/>
          </w:tcPr>
          <w:p w14:paraId="0CD34B98">
            <w:pPr>
              <w:pStyle w:val="17"/>
              <w:spacing w:before="77"/>
              <w:ind w:left="160" w:right="152"/>
              <w:rPr>
                <w:rFonts w:ascii="Times New Roman"/>
                <w:sz w:val="21"/>
              </w:rPr>
            </w:pPr>
            <w:r>
              <w:rPr>
                <w:rFonts w:ascii="Times New Roman"/>
                <w:sz w:val="21"/>
              </w:rPr>
              <w:t>0.008</w:t>
            </w:r>
          </w:p>
        </w:tc>
        <w:tc>
          <w:tcPr>
            <w:tcW w:w="1173" w:type="dxa"/>
          </w:tcPr>
          <w:p w14:paraId="25AF1D42">
            <w:pPr>
              <w:pStyle w:val="17"/>
              <w:spacing w:before="77"/>
              <w:ind w:left="244" w:right="237"/>
              <w:rPr>
                <w:rFonts w:ascii="Times New Roman"/>
                <w:sz w:val="21"/>
              </w:rPr>
            </w:pPr>
            <w:r>
              <w:rPr>
                <w:rFonts w:ascii="Times New Roman"/>
                <w:sz w:val="21"/>
              </w:rPr>
              <w:t>250</w:t>
            </w:r>
          </w:p>
        </w:tc>
        <w:tc>
          <w:tcPr>
            <w:tcW w:w="1173" w:type="dxa"/>
            <w:tcBorders>
              <w:right w:val="nil"/>
            </w:tcBorders>
          </w:tcPr>
          <w:p w14:paraId="68D07CE3">
            <w:pPr>
              <w:pStyle w:val="17"/>
              <w:spacing w:before="63"/>
              <w:ind w:left="356" w:right="351"/>
              <w:rPr>
                <w:sz w:val="21"/>
              </w:rPr>
            </w:pPr>
            <w:r>
              <w:rPr>
                <w:sz w:val="21"/>
              </w:rPr>
              <w:t>达标</w:t>
            </w:r>
          </w:p>
        </w:tc>
      </w:tr>
      <w:tr w14:paraId="52D4E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23E0F14A">
            <w:pPr>
              <w:pStyle w:val="17"/>
              <w:spacing w:before="64"/>
              <w:ind w:left="76" w:right="70"/>
              <w:rPr>
                <w:sz w:val="21"/>
              </w:rPr>
            </w:pPr>
            <w:r>
              <w:rPr>
                <w:sz w:val="21"/>
              </w:rPr>
              <w:t>氯化物</w:t>
            </w:r>
          </w:p>
        </w:tc>
        <w:tc>
          <w:tcPr>
            <w:tcW w:w="1188" w:type="dxa"/>
          </w:tcPr>
          <w:p w14:paraId="739A2264">
            <w:pPr>
              <w:pStyle w:val="17"/>
              <w:spacing w:before="78"/>
              <w:ind w:left="152" w:right="145"/>
              <w:rPr>
                <w:rFonts w:ascii="Times New Roman"/>
                <w:sz w:val="21"/>
              </w:rPr>
            </w:pPr>
            <w:r>
              <w:rPr>
                <w:rFonts w:ascii="Times New Roman"/>
                <w:sz w:val="21"/>
              </w:rPr>
              <w:t>2.60</w:t>
            </w:r>
          </w:p>
        </w:tc>
        <w:tc>
          <w:tcPr>
            <w:tcW w:w="1019" w:type="dxa"/>
          </w:tcPr>
          <w:p w14:paraId="7585EB7A">
            <w:pPr>
              <w:pStyle w:val="17"/>
              <w:jc w:val="left"/>
              <w:rPr>
                <w:rFonts w:ascii="Times New Roman"/>
                <w:sz w:val="20"/>
              </w:rPr>
            </w:pPr>
          </w:p>
        </w:tc>
        <w:tc>
          <w:tcPr>
            <w:tcW w:w="1200" w:type="dxa"/>
          </w:tcPr>
          <w:p w14:paraId="10D348E0">
            <w:pPr>
              <w:pStyle w:val="17"/>
              <w:spacing w:before="78"/>
              <w:ind w:left="158" w:right="149"/>
              <w:rPr>
                <w:rFonts w:ascii="Times New Roman"/>
                <w:sz w:val="21"/>
              </w:rPr>
            </w:pPr>
            <w:r>
              <w:rPr>
                <w:rFonts w:ascii="Times New Roman"/>
                <w:sz w:val="21"/>
              </w:rPr>
              <w:t>2.45</w:t>
            </w:r>
          </w:p>
        </w:tc>
        <w:tc>
          <w:tcPr>
            <w:tcW w:w="1010" w:type="dxa"/>
          </w:tcPr>
          <w:p w14:paraId="3F206C30">
            <w:pPr>
              <w:pStyle w:val="17"/>
              <w:jc w:val="left"/>
              <w:rPr>
                <w:rFonts w:ascii="Times New Roman"/>
                <w:sz w:val="20"/>
              </w:rPr>
            </w:pPr>
          </w:p>
        </w:tc>
        <w:tc>
          <w:tcPr>
            <w:tcW w:w="1200" w:type="dxa"/>
          </w:tcPr>
          <w:p w14:paraId="60487215">
            <w:pPr>
              <w:pStyle w:val="17"/>
              <w:spacing w:before="78"/>
              <w:ind w:left="414"/>
              <w:jc w:val="left"/>
              <w:rPr>
                <w:rFonts w:ascii="Times New Roman"/>
                <w:sz w:val="21"/>
              </w:rPr>
            </w:pPr>
            <w:r>
              <w:rPr>
                <w:rFonts w:ascii="Times New Roman"/>
                <w:sz w:val="21"/>
              </w:rPr>
              <w:t>2.44</w:t>
            </w:r>
          </w:p>
        </w:tc>
        <w:tc>
          <w:tcPr>
            <w:tcW w:w="1010" w:type="dxa"/>
          </w:tcPr>
          <w:p w14:paraId="46A15803">
            <w:pPr>
              <w:pStyle w:val="17"/>
              <w:jc w:val="left"/>
              <w:rPr>
                <w:rFonts w:ascii="Times New Roman"/>
                <w:sz w:val="20"/>
              </w:rPr>
            </w:pPr>
          </w:p>
        </w:tc>
        <w:tc>
          <w:tcPr>
            <w:tcW w:w="1167" w:type="dxa"/>
          </w:tcPr>
          <w:p w14:paraId="65388246">
            <w:pPr>
              <w:pStyle w:val="17"/>
              <w:spacing w:before="78"/>
              <w:ind w:left="142" w:right="134"/>
              <w:rPr>
                <w:rFonts w:ascii="Times New Roman"/>
                <w:sz w:val="21"/>
              </w:rPr>
            </w:pPr>
            <w:r>
              <w:rPr>
                <w:rFonts w:ascii="Times New Roman"/>
                <w:sz w:val="21"/>
              </w:rPr>
              <w:t>8.67</w:t>
            </w:r>
          </w:p>
        </w:tc>
        <w:tc>
          <w:tcPr>
            <w:tcW w:w="1204" w:type="dxa"/>
          </w:tcPr>
          <w:p w14:paraId="5947C5E0">
            <w:pPr>
              <w:pStyle w:val="17"/>
              <w:jc w:val="left"/>
              <w:rPr>
                <w:rFonts w:ascii="Times New Roman"/>
                <w:sz w:val="20"/>
              </w:rPr>
            </w:pPr>
          </w:p>
        </w:tc>
        <w:tc>
          <w:tcPr>
            <w:tcW w:w="1167" w:type="dxa"/>
          </w:tcPr>
          <w:p w14:paraId="0E1AAB98">
            <w:pPr>
              <w:pStyle w:val="17"/>
              <w:spacing w:before="78"/>
              <w:ind w:left="398"/>
              <w:jc w:val="left"/>
              <w:rPr>
                <w:rFonts w:ascii="Times New Roman"/>
                <w:sz w:val="21"/>
              </w:rPr>
            </w:pPr>
            <w:r>
              <w:rPr>
                <w:rFonts w:ascii="Times New Roman"/>
                <w:sz w:val="21"/>
              </w:rPr>
              <w:t>7.24</w:t>
            </w:r>
          </w:p>
        </w:tc>
        <w:tc>
          <w:tcPr>
            <w:tcW w:w="1204" w:type="dxa"/>
          </w:tcPr>
          <w:p w14:paraId="27D93B92">
            <w:pPr>
              <w:pStyle w:val="17"/>
              <w:spacing w:before="78"/>
              <w:ind w:left="160" w:right="152"/>
              <w:rPr>
                <w:rFonts w:ascii="Times New Roman"/>
                <w:sz w:val="21"/>
              </w:rPr>
            </w:pPr>
            <w:r>
              <w:rPr>
                <w:rFonts w:ascii="Times New Roman"/>
                <w:sz w:val="21"/>
              </w:rPr>
              <w:t>0.028</w:t>
            </w:r>
          </w:p>
        </w:tc>
        <w:tc>
          <w:tcPr>
            <w:tcW w:w="1173" w:type="dxa"/>
          </w:tcPr>
          <w:p w14:paraId="6AACC2DD">
            <w:pPr>
              <w:pStyle w:val="17"/>
              <w:spacing w:before="78"/>
              <w:ind w:left="244" w:right="237"/>
              <w:rPr>
                <w:rFonts w:ascii="Times New Roman"/>
                <w:sz w:val="21"/>
              </w:rPr>
            </w:pPr>
            <w:r>
              <w:rPr>
                <w:rFonts w:ascii="Times New Roman"/>
                <w:sz w:val="21"/>
              </w:rPr>
              <w:t>250</w:t>
            </w:r>
          </w:p>
        </w:tc>
        <w:tc>
          <w:tcPr>
            <w:tcW w:w="1173" w:type="dxa"/>
            <w:tcBorders>
              <w:right w:val="nil"/>
            </w:tcBorders>
          </w:tcPr>
          <w:p w14:paraId="35834070">
            <w:pPr>
              <w:pStyle w:val="17"/>
              <w:spacing w:before="64"/>
              <w:ind w:left="356" w:right="351"/>
              <w:rPr>
                <w:sz w:val="21"/>
              </w:rPr>
            </w:pPr>
            <w:r>
              <w:rPr>
                <w:sz w:val="21"/>
              </w:rPr>
              <w:t>达标</w:t>
            </w:r>
          </w:p>
        </w:tc>
      </w:tr>
      <w:tr w14:paraId="4891A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1A1F9E39">
            <w:pPr>
              <w:pStyle w:val="17"/>
              <w:spacing w:before="62"/>
              <w:ind w:left="76" w:right="70"/>
              <w:rPr>
                <w:sz w:val="21"/>
              </w:rPr>
            </w:pPr>
            <w:r>
              <w:rPr>
                <w:sz w:val="21"/>
              </w:rPr>
              <w:t>总硬度</w:t>
            </w:r>
          </w:p>
        </w:tc>
        <w:tc>
          <w:tcPr>
            <w:tcW w:w="1188" w:type="dxa"/>
          </w:tcPr>
          <w:p w14:paraId="0F176C48">
            <w:pPr>
              <w:pStyle w:val="17"/>
              <w:spacing w:before="76"/>
              <w:ind w:left="152" w:right="145"/>
              <w:rPr>
                <w:rFonts w:ascii="Times New Roman"/>
                <w:sz w:val="21"/>
              </w:rPr>
            </w:pPr>
            <w:r>
              <w:rPr>
                <w:rFonts w:ascii="Times New Roman"/>
                <w:sz w:val="21"/>
              </w:rPr>
              <w:t>66.8</w:t>
            </w:r>
          </w:p>
        </w:tc>
        <w:tc>
          <w:tcPr>
            <w:tcW w:w="1019" w:type="dxa"/>
          </w:tcPr>
          <w:p w14:paraId="19F989D2">
            <w:pPr>
              <w:pStyle w:val="17"/>
              <w:spacing w:before="76"/>
              <w:ind w:left="68" w:right="60"/>
              <w:rPr>
                <w:rFonts w:ascii="Times New Roman"/>
                <w:sz w:val="21"/>
              </w:rPr>
            </w:pPr>
            <w:r>
              <w:rPr>
                <w:rFonts w:ascii="Times New Roman"/>
                <w:sz w:val="21"/>
              </w:rPr>
              <w:t>0.148</w:t>
            </w:r>
          </w:p>
        </w:tc>
        <w:tc>
          <w:tcPr>
            <w:tcW w:w="1200" w:type="dxa"/>
          </w:tcPr>
          <w:p w14:paraId="5D80CF1C">
            <w:pPr>
              <w:pStyle w:val="17"/>
              <w:spacing w:before="76"/>
              <w:ind w:left="158" w:right="149"/>
              <w:rPr>
                <w:rFonts w:ascii="Times New Roman"/>
                <w:sz w:val="21"/>
              </w:rPr>
            </w:pPr>
            <w:r>
              <w:rPr>
                <w:rFonts w:ascii="Times New Roman"/>
                <w:sz w:val="21"/>
              </w:rPr>
              <w:t>68.2</w:t>
            </w:r>
          </w:p>
        </w:tc>
        <w:tc>
          <w:tcPr>
            <w:tcW w:w="1010" w:type="dxa"/>
          </w:tcPr>
          <w:p w14:paraId="410C5590">
            <w:pPr>
              <w:pStyle w:val="17"/>
              <w:spacing w:before="76"/>
              <w:ind w:left="62" w:right="52"/>
              <w:rPr>
                <w:rFonts w:ascii="Times New Roman"/>
                <w:sz w:val="21"/>
              </w:rPr>
            </w:pPr>
            <w:r>
              <w:rPr>
                <w:rFonts w:ascii="Times New Roman"/>
                <w:sz w:val="21"/>
              </w:rPr>
              <w:t>0.152</w:t>
            </w:r>
          </w:p>
        </w:tc>
        <w:tc>
          <w:tcPr>
            <w:tcW w:w="1200" w:type="dxa"/>
          </w:tcPr>
          <w:p w14:paraId="140C6804">
            <w:pPr>
              <w:pStyle w:val="17"/>
              <w:spacing w:before="76"/>
              <w:ind w:left="414"/>
              <w:jc w:val="left"/>
              <w:rPr>
                <w:rFonts w:ascii="Times New Roman"/>
                <w:sz w:val="21"/>
              </w:rPr>
            </w:pPr>
            <w:r>
              <w:rPr>
                <w:rFonts w:ascii="Times New Roman"/>
                <w:sz w:val="21"/>
              </w:rPr>
              <w:t>62.2</w:t>
            </w:r>
          </w:p>
        </w:tc>
        <w:tc>
          <w:tcPr>
            <w:tcW w:w="1010" w:type="dxa"/>
          </w:tcPr>
          <w:p w14:paraId="0880ABD4">
            <w:pPr>
              <w:pStyle w:val="17"/>
              <w:spacing w:before="76"/>
              <w:ind w:left="62" w:right="54"/>
              <w:rPr>
                <w:rFonts w:ascii="Times New Roman"/>
                <w:sz w:val="21"/>
              </w:rPr>
            </w:pPr>
            <w:r>
              <w:rPr>
                <w:rFonts w:ascii="Times New Roman"/>
                <w:sz w:val="21"/>
              </w:rPr>
              <w:t>0.138</w:t>
            </w:r>
          </w:p>
        </w:tc>
        <w:tc>
          <w:tcPr>
            <w:tcW w:w="1167" w:type="dxa"/>
          </w:tcPr>
          <w:p w14:paraId="15B754F1">
            <w:pPr>
              <w:pStyle w:val="17"/>
              <w:spacing w:before="76"/>
              <w:ind w:left="142" w:right="134"/>
              <w:rPr>
                <w:rFonts w:ascii="Times New Roman"/>
                <w:sz w:val="21"/>
              </w:rPr>
            </w:pPr>
            <w:r>
              <w:rPr>
                <w:rFonts w:ascii="Times New Roman"/>
                <w:sz w:val="21"/>
              </w:rPr>
              <w:t>57.7</w:t>
            </w:r>
          </w:p>
        </w:tc>
        <w:tc>
          <w:tcPr>
            <w:tcW w:w="1204" w:type="dxa"/>
          </w:tcPr>
          <w:p w14:paraId="38F4C7F5">
            <w:pPr>
              <w:pStyle w:val="17"/>
              <w:spacing w:before="76"/>
              <w:ind w:left="160" w:right="152"/>
              <w:rPr>
                <w:rFonts w:ascii="Times New Roman"/>
                <w:sz w:val="21"/>
              </w:rPr>
            </w:pPr>
            <w:r>
              <w:rPr>
                <w:rFonts w:ascii="Times New Roman"/>
                <w:sz w:val="21"/>
              </w:rPr>
              <w:t>0.128</w:t>
            </w:r>
          </w:p>
        </w:tc>
        <w:tc>
          <w:tcPr>
            <w:tcW w:w="1167" w:type="dxa"/>
          </w:tcPr>
          <w:p w14:paraId="0E328B2D">
            <w:pPr>
              <w:pStyle w:val="17"/>
              <w:spacing w:before="76"/>
              <w:ind w:left="398"/>
              <w:jc w:val="left"/>
              <w:rPr>
                <w:rFonts w:ascii="Times New Roman"/>
                <w:sz w:val="21"/>
              </w:rPr>
            </w:pPr>
            <w:r>
              <w:rPr>
                <w:rFonts w:ascii="Times New Roman"/>
                <w:sz w:val="21"/>
              </w:rPr>
              <w:t>62.9</w:t>
            </w:r>
          </w:p>
        </w:tc>
        <w:tc>
          <w:tcPr>
            <w:tcW w:w="1204" w:type="dxa"/>
          </w:tcPr>
          <w:p w14:paraId="0CE36DC3">
            <w:pPr>
              <w:pStyle w:val="17"/>
              <w:spacing w:before="76"/>
              <w:ind w:left="160" w:right="152"/>
              <w:rPr>
                <w:rFonts w:ascii="Times New Roman"/>
                <w:sz w:val="21"/>
              </w:rPr>
            </w:pPr>
            <w:r>
              <w:rPr>
                <w:rFonts w:ascii="Times New Roman"/>
                <w:sz w:val="21"/>
              </w:rPr>
              <w:t>0.140</w:t>
            </w:r>
          </w:p>
        </w:tc>
        <w:tc>
          <w:tcPr>
            <w:tcW w:w="1173" w:type="dxa"/>
          </w:tcPr>
          <w:p w14:paraId="2F9688F8">
            <w:pPr>
              <w:pStyle w:val="17"/>
              <w:spacing w:before="76"/>
              <w:ind w:left="244" w:right="237"/>
              <w:rPr>
                <w:rFonts w:ascii="Times New Roman"/>
                <w:sz w:val="21"/>
              </w:rPr>
            </w:pPr>
            <w:r>
              <w:rPr>
                <w:rFonts w:ascii="Times New Roman"/>
                <w:sz w:val="21"/>
              </w:rPr>
              <w:t>450</w:t>
            </w:r>
          </w:p>
        </w:tc>
        <w:tc>
          <w:tcPr>
            <w:tcW w:w="1173" w:type="dxa"/>
            <w:tcBorders>
              <w:right w:val="nil"/>
            </w:tcBorders>
          </w:tcPr>
          <w:p w14:paraId="01696003">
            <w:pPr>
              <w:pStyle w:val="17"/>
              <w:spacing w:before="62"/>
              <w:ind w:left="356" w:right="351"/>
              <w:rPr>
                <w:sz w:val="21"/>
              </w:rPr>
            </w:pPr>
            <w:r>
              <w:rPr>
                <w:sz w:val="21"/>
              </w:rPr>
              <w:t>达标</w:t>
            </w:r>
          </w:p>
        </w:tc>
      </w:tr>
      <w:tr w14:paraId="292E3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3DFB296">
            <w:pPr>
              <w:pStyle w:val="17"/>
              <w:spacing w:before="63"/>
              <w:ind w:left="9"/>
              <w:rPr>
                <w:sz w:val="21"/>
              </w:rPr>
            </w:pPr>
            <w:r>
              <w:rPr>
                <w:w w:val="99"/>
                <w:sz w:val="21"/>
              </w:rPr>
              <w:t>铁</w:t>
            </w:r>
          </w:p>
        </w:tc>
        <w:tc>
          <w:tcPr>
            <w:tcW w:w="1188" w:type="dxa"/>
          </w:tcPr>
          <w:p w14:paraId="6815B357">
            <w:pPr>
              <w:pStyle w:val="17"/>
              <w:spacing w:before="77"/>
              <w:ind w:left="152" w:right="144"/>
              <w:rPr>
                <w:rFonts w:ascii="Times New Roman"/>
                <w:sz w:val="21"/>
              </w:rPr>
            </w:pPr>
            <w:r>
              <w:rPr>
                <w:rFonts w:ascii="Times New Roman"/>
                <w:sz w:val="21"/>
              </w:rPr>
              <w:t>ND</w:t>
            </w:r>
          </w:p>
        </w:tc>
        <w:tc>
          <w:tcPr>
            <w:tcW w:w="1019" w:type="dxa"/>
          </w:tcPr>
          <w:p w14:paraId="1D5B67C8">
            <w:pPr>
              <w:pStyle w:val="17"/>
              <w:spacing w:before="77"/>
              <w:ind w:left="10"/>
              <w:rPr>
                <w:rFonts w:ascii="Times New Roman"/>
                <w:sz w:val="21"/>
              </w:rPr>
            </w:pPr>
            <w:r>
              <w:rPr>
                <w:rFonts w:ascii="Times New Roman"/>
                <w:w w:val="99"/>
                <w:sz w:val="21"/>
              </w:rPr>
              <w:t>/</w:t>
            </w:r>
          </w:p>
        </w:tc>
        <w:tc>
          <w:tcPr>
            <w:tcW w:w="1200" w:type="dxa"/>
          </w:tcPr>
          <w:p w14:paraId="6556AC80">
            <w:pPr>
              <w:pStyle w:val="17"/>
              <w:spacing w:before="77"/>
              <w:ind w:left="158" w:right="150"/>
              <w:rPr>
                <w:rFonts w:ascii="Times New Roman"/>
                <w:sz w:val="21"/>
              </w:rPr>
            </w:pPr>
            <w:r>
              <w:rPr>
                <w:rFonts w:ascii="Times New Roman"/>
                <w:sz w:val="21"/>
              </w:rPr>
              <w:t>ND</w:t>
            </w:r>
          </w:p>
        </w:tc>
        <w:tc>
          <w:tcPr>
            <w:tcW w:w="1010" w:type="dxa"/>
          </w:tcPr>
          <w:p w14:paraId="79338320">
            <w:pPr>
              <w:pStyle w:val="17"/>
              <w:spacing w:before="77"/>
              <w:ind w:left="11"/>
              <w:rPr>
                <w:rFonts w:ascii="Times New Roman"/>
                <w:sz w:val="21"/>
              </w:rPr>
            </w:pPr>
            <w:r>
              <w:rPr>
                <w:rFonts w:ascii="Times New Roman"/>
                <w:w w:val="99"/>
                <w:sz w:val="21"/>
              </w:rPr>
              <w:t>/</w:t>
            </w:r>
          </w:p>
        </w:tc>
        <w:tc>
          <w:tcPr>
            <w:tcW w:w="1200" w:type="dxa"/>
          </w:tcPr>
          <w:p w14:paraId="307FF8F1">
            <w:pPr>
              <w:pStyle w:val="17"/>
              <w:spacing w:before="77"/>
              <w:ind w:left="448"/>
              <w:jc w:val="left"/>
              <w:rPr>
                <w:rFonts w:ascii="Times New Roman"/>
                <w:sz w:val="21"/>
              </w:rPr>
            </w:pPr>
            <w:r>
              <w:rPr>
                <w:rFonts w:ascii="Times New Roman"/>
                <w:sz w:val="21"/>
              </w:rPr>
              <w:t>ND</w:t>
            </w:r>
          </w:p>
        </w:tc>
        <w:tc>
          <w:tcPr>
            <w:tcW w:w="1010" w:type="dxa"/>
          </w:tcPr>
          <w:p w14:paraId="50EF4D2A">
            <w:pPr>
              <w:pStyle w:val="17"/>
              <w:spacing w:before="77"/>
              <w:ind w:left="7"/>
              <w:rPr>
                <w:rFonts w:ascii="Times New Roman"/>
                <w:sz w:val="21"/>
              </w:rPr>
            </w:pPr>
            <w:r>
              <w:rPr>
                <w:rFonts w:ascii="Times New Roman"/>
                <w:w w:val="99"/>
                <w:sz w:val="21"/>
              </w:rPr>
              <w:t>/</w:t>
            </w:r>
          </w:p>
        </w:tc>
        <w:tc>
          <w:tcPr>
            <w:tcW w:w="1167" w:type="dxa"/>
          </w:tcPr>
          <w:p w14:paraId="48FEB5C1">
            <w:pPr>
              <w:pStyle w:val="17"/>
              <w:spacing w:before="77"/>
              <w:ind w:left="142" w:right="133"/>
              <w:rPr>
                <w:rFonts w:ascii="Times New Roman"/>
                <w:sz w:val="21"/>
              </w:rPr>
            </w:pPr>
            <w:r>
              <w:rPr>
                <w:rFonts w:ascii="Times New Roman"/>
                <w:sz w:val="21"/>
              </w:rPr>
              <w:t>ND</w:t>
            </w:r>
          </w:p>
        </w:tc>
        <w:tc>
          <w:tcPr>
            <w:tcW w:w="1204" w:type="dxa"/>
          </w:tcPr>
          <w:p w14:paraId="55500596">
            <w:pPr>
              <w:pStyle w:val="17"/>
              <w:spacing w:before="77"/>
              <w:ind w:left="10"/>
              <w:rPr>
                <w:rFonts w:ascii="Times New Roman"/>
                <w:sz w:val="21"/>
              </w:rPr>
            </w:pPr>
            <w:r>
              <w:rPr>
                <w:rFonts w:ascii="Times New Roman"/>
                <w:w w:val="99"/>
                <w:sz w:val="21"/>
              </w:rPr>
              <w:t>/</w:t>
            </w:r>
          </w:p>
        </w:tc>
        <w:tc>
          <w:tcPr>
            <w:tcW w:w="1167" w:type="dxa"/>
          </w:tcPr>
          <w:p w14:paraId="1E76789C">
            <w:pPr>
              <w:pStyle w:val="17"/>
              <w:spacing w:before="77"/>
              <w:ind w:left="432"/>
              <w:jc w:val="left"/>
              <w:rPr>
                <w:rFonts w:ascii="Times New Roman"/>
                <w:sz w:val="21"/>
              </w:rPr>
            </w:pPr>
            <w:r>
              <w:rPr>
                <w:rFonts w:ascii="Times New Roman"/>
                <w:sz w:val="21"/>
              </w:rPr>
              <w:t>ND</w:t>
            </w:r>
          </w:p>
        </w:tc>
        <w:tc>
          <w:tcPr>
            <w:tcW w:w="1204" w:type="dxa"/>
          </w:tcPr>
          <w:p w14:paraId="542B639F">
            <w:pPr>
              <w:pStyle w:val="17"/>
              <w:spacing w:before="77"/>
              <w:ind w:left="10"/>
              <w:rPr>
                <w:rFonts w:ascii="Times New Roman"/>
                <w:sz w:val="21"/>
              </w:rPr>
            </w:pPr>
            <w:r>
              <w:rPr>
                <w:rFonts w:ascii="Times New Roman"/>
                <w:w w:val="99"/>
                <w:sz w:val="21"/>
              </w:rPr>
              <w:t>/</w:t>
            </w:r>
          </w:p>
        </w:tc>
        <w:tc>
          <w:tcPr>
            <w:tcW w:w="1173" w:type="dxa"/>
          </w:tcPr>
          <w:p w14:paraId="44F5EEEC">
            <w:pPr>
              <w:pStyle w:val="17"/>
              <w:spacing w:before="77"/>
              <w:ind w:left="244" w:right="237"/>
              <w:rPr>
                <w:rFonts w:ascii="Times New Roman"/>
                <w:sz w:val="21"/>
              </w:rPr>
            </w:pPr>
            <w:r>
              <w:rPr>
                <w:rFonts w:ascii="Times New Roman"/>
                <w:sz w:val="21"/>
              </w:rPr>
              <w:t>0.3</w:t>
            </w:r>
          </w:p>
        </w:tc>
        <w:tc>
          <w:tcPr>
            <w:tcW w:w="1173" w:type="dxa"/>
            <w:tcBorders>
              <w:right w:val="nil"/>
            </w:tcBorders>
          </w:tcPr>
          <w:p w14:paraId="25180AA7">
            <w:pPr>
              <w:pStyle w:val="17"/>
              <w:spacing w:before="63"/>
              <w:ind w:left="356" w:right="351"/>
              <w:rPr>
                <w:sz w:val="21"/>
              </w:rPr>
            </w:pPr>
            <w:r>
              <w:rPr>
                <w:sz w:val="21"/>
              </w:rPr>
              <w:t>达标</w:t>
            </w:r>
          </w:p>
        </w:tc>
      </w:tr>
      <w:tr w14:paraId="20DEF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075C5AD">
            <w:pPr>
              <w:pStyle w:val="17"/>
              <w:spacing w:before="62"/>
              <w:ind w:left="9"/>
              <w:rPr>
                <w:sz w:val="21"/>
              </w:rPr>
            </w:pPr>
            <w:r>
              <w:rPr>
                <w:w w:val="99"/>
                <w:sz w:val="21"/>
              </w:rPr>
              <w:t>铜</w:t>
            </w:r>
          </w:p>
        </w:tc>
        <w:tc>
          <w:tcPr>
            <w:tcW w:w="1188" w:type="dxa"/>
          </w:tcPr>
          <w:p w14:paraId="125729C6">
            <w:pPr>
              <w:pStyle w:val="17"/>
              <w:spacing w:before="76"/>
              <w:ind w:left="152" w:right="144"/>
              <w:rPr>
                <w:rFonts w:ascii="Times New Roman"/>
                <w:sz w:val="21"/>
              </w:rPr>
            </w:pPr>
            <w:r>
              <w:rPr>
                <w:rFonts w:ascii="Times New Roman"/>
                <w:sz w:val="21"/>
              </w:rPr>
              <w:t>ND</w:t>
            </w:r>
          </w:p>
        </w:tc>
        <w:tc>
          <w:tcPr>
            <w:tcW w:w="1019" w:type="dxa"/>
          </w:tcPr>
          <w:p w14:paraId="5776A4FC">
            <w:pPr>
              <w:pStyle w:val="17"/>
              <w:spacing w:before="76"/>
              <w:ind w:left="10"/>
              <w:rPr>
                <w:rFonts w:ascii="Times New Roman"/>
                <w:sz w:val="21"/>
              </w:rPr>
            </w:pPr>
            <w:r>
              <w:rPr>
                <w:rFonts w:ascii="Times New Roman"/>
                <w:w w:val="99"/>
                <w:sz w:val="21"/>
              </w:rPr>
              <w:t>/</w:t>
            </w:r>
          </w:p>
        </w:tc>
        <w:tc>
          <w:tcPr>
            <w:tcW w:w="1200" w:type="dxa"/>
          </w:tcPr>
          <w:p w14:paraId="7BA3EF03">
            <w:pPr>
              <w:pStyle w:val="17"/>
              <w:spacing w:before="76"/>
              <w:ind w:left="158" w:right="150"/>
              <w:rPr>
                <w:rFonts w:ascii="Times New Roman"/>
                <w:sz w:val="21"/>
              </w:rPr>
            </w:pPr>
            <w:r>
              <w:rPr>
                <w:rFonts w:ascii="Times New Roman"/>
                <w:sz w:val="21"/>
              </w:rPr>
              <w:t>ND</w:t>
            </w:r>
          </w:p>
        </w:tc>
        <w:tc>
          <w:tcPr>
            <w:tcW w:w="1010" w:type="dxa"/>
          </w:tcPr>
          <w:p w14:paraId="3C907CE2">
            <w:pPr>
              <w:pStyle w:val="17"/>
              <w:spacing w:before="76"/>
              <w:ind w:left="11"/>
              <w:rPr>
                <w:rFonts w:ascii="Times New Roman"/>
                <w:sz w:val="21"/>
              </w:rPr>
            </w:pPr>
            <w:r>
              <w:rPr>
                <w:rFonts w:ascii="Times New Roman"/>
                <w:w w:val="99"/>
                <w:sz w:val="21"/>
              </w:rPr>
              <w:t>/</w:t>
            </w:r>
          </w:p>
        </w:tc>
        <w:tc>
          <w:tcPr>
            <w:tcW w:w="1200" w:type="dxa"/>
          </w:tcPr>
          <w:p w14:paraId="5D3A44C6">
            <w:pPr>
              <w:pStyle w:val="17"/>
              <w:spacing w:before="76"/>
              <w:ind w:left="448"/>
              <w:jc w:val="left"/>
              <w:rPr>
                <w:rFonts w:ascii="Times New Roman"/>
                <w:sz w:val="21"/>
              </w:rPr>
            </w:pPr>
            <w:r>
              <w:rPr>
                <w:rFonts w:ascii="Times New Roman"/>
                <w:sz w:val="21"/>
              </w:rPr>
              <w:t>ND</w:t>
            </w:r>
          </w:p>
        </w:tc>
        <w:tc>
          <w:tcPr>
            <w:tcW w:w="1010" w:type="dxa"/>
          </w:tcPr>
          <w:p w14:paraId="3DFD16A1">
            <w:pPr>
              <w:pStyle w:val="17"/>
              <w:spacing w:before="76"/>
              <w:ind w:left="7"/>
              <w:rPr>
                <w:rFonts w:ascii="Times New Roman"/>
                <w:sz w:val="21"/>
              </w:rPr>
            </w:pPr>
            <w:r>
              <w:rPr>
                <w:rFonts w:ascii="Times New Roman"/>
                <w:w w:val="99"/>
                <w:sz w:val="21"/>
              </w:rPr>
              <w:t>/</w:t>
            </w:r>
          </w:p>
        </w:tc>
        <w:tc>
          <w:tcPr>
            <w:tcW w:w="1167" w:type="dxa"/>
          </w:tcPr>
          <w:p w14:paraId="3212AD2C">
            <w:pPr>
              <w:pStyle w:val="17"/>
              <w:spacing w:before="76"/>
              <w:ind w:left="142" w:right="133"/>
              <w:rPr>
                <w:rFonts w:ascii="Times New Roman"/>
                <w:sz w:val="21"/>
              </w:rPr>
            </w:pPr>
            <w:r>
              <w:rPr>
                <w:rFonts w:ascii="Times New Roman"/>
                <w:sz w:val="21"/>
              </w:rPr>
              <w:t>ND</w:t>
            </w:r>
          </w:p>
        </w:tc>
        <w:tc>
          <w:tcPr>
            <w:tcW w:w="1204" w:type="dxa"/>
          </w:tcPr>
          <w:p w14:paraId="1DCF6B67">
            <w:pPr>
              <w:pStyle w:val="17"/>
              <w:spacing w:before="76"/>
              <w:ind w:left="10"/>
              <w:rPr>
                <w:rFonts w:ascii="Times New Roman"/>
                <w:sz w:val="21"/>
              </w:rPr>
            </w:pPr>
            <w:r>
              <w:rPr>
                <w:rFonts w:ascii="Times New Roman"/>
                <w:w w:val="99"/>
                <w:sz w:val="21"/>
              </w:rPr>
              <w:t>/</w:t>
            </w:r>
          </w:p>
        </w:tc>
        <w:tc>
          <w:tcPr>
            <w:tcW w:w="1167" w:type="dxa"/>
          </w:tcPr>
          <w:p w14:paraId="7167CB4A">
            <w:pPr>
              <w:pStyle w:val="17"/>
              <w:spacing w:before="76"/>
              <w:ind w:left="432"/>
              <w:jc w:val="left"/>
              <w:rPr>
                <w:rFonts w:ascii="Times New Roman"/>
                <w:sz w:val="21"/>
              </w:rPr>
            </w:pPr>
            <w:r>
              <w:rPr>
                <w:rFonts w:ascii="Times New Roman"/>
                <w:sz w:val="21"/>
              </w:rPr>
              <w:t>ND</w:t>
            </w:r>
          </w:p>
        </w:tc>
        <w:tc>
          <w:tcPr>
            <w:tcW w:w="1204" w:type="dxa"/>
          </w:tcPr>
          <w:p w14:paraId="7CD44890">
            <w:pPr>
              <w:pStyle w:val="17"/>
              <w:spacing w:before="76"/>
              <w:ind w:left="10"/>
              <w:rPr>
                <w:rFonts w:ascii="Times New Roman"/>
                <w:sz w:val="21"/>
              </w:rPr>
            </w:pPr>
            <w:r>
              <w:rPr>
                <w:rFonts w:ascii="Times New Roman"/>
                <w:w w:val="99"/>
                <w:sz w:val="21"/>
              </w:rPr>
              <w:t>/</w:t>
            </w:r>
          </w:p>
        </w:tc>
        <w:tc>
          <w:tcPr>
            <w:tcW w:w="1173" w:type="dxa"/>
          </w:tcPr>
          <w:p w14:paraId="719A2052">
            <w:pPr>
              <w:pStyle w:val="17"/>
              <w:spacing w:before="76"/>
              <w:ind w:left="7"/>
              <w:rPr>
                <w:rFonts w:ascii="Times New Roman"/>
                <w:sz w:val="21"/>
              </w:rPr>
            </w:pPr>
            <w:r>
              <w:rPr>
                <w:rFonts w:ascii="Times New Roman"/>
                <w:w w:val="99"/>
                <w:sz w:val="21"/>
              </w:rPr>
              <w:t>1</w:t>
            </w:r>
          </w:p>
        </w:tc>
        <w:tc>
          <w:tcPr>
            <w:tcW w:w="1173" w:type="dxa"/>
            <w:tcBorders>
              <w:right w:val="nil"/>
            </w:tcBorders>
          </w:tcPr>
          <w:p w14:paraId="0E53C937">
            <w:pPr>
              <w:pStyle w:val="17"/>
              <w:spacing w:before="62"/>
              <w:ind w:left="356" w:right="351"/>
              <w:rPr>
                <w:sz w:val="21"/>
              </w:rPr>
            </w:pPr>
            <w:r>
              <w:rPr>
                <w:sz w:val="21"/>
              </w:rPr>
              <w:t>达标</w:t>
            </w:r>
          </w:p>
        </w:tc>
      </w:tr>
      <w:tr w14:paraId="5C6E5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37B4662E">
            <w:pPr>
              <w:pStyle w:val="17"/>
              <w:spacing w:before="63"/>
              <w:ind w:left="9"/>
              <w:rPr>
                <w:sz w:val="21"/>
              </w:rPr>
            </w:pPr>
            <w:r>
              <w:rPr>
                <w:w w:val="99"/>
                <w:sz w:val="21"/>
              </w:rPr>
              <w:t>锌</w:t>
            </w:r>
          </w:p>
        </w:tc>
        <w:tc>
          <w:tcPr>
            <w:tcW w:w="1188" w:type="dxa"/>
          </w:tcPr>
          <w:p w14:paraId="7AD52E07">
            <w:pPr>
              <w:pStyle w:val="17"/>
              <w:spacing w:before="77"/>
              <w:ind w:left="152" w:right="144"/>
              <w:rPr>
                <w:rFonts w:ascii="Times New Roman"/>
                <w:sz w:val="21"/>
              </w:rPr>
            </w:pPr>
            <w:r>
              <w:rPr>
                <w:rFonts w:ascii="Times New Roman"/>
                <w:sz w:val="21"/>
              </w:rPr>
              <w:t>ND</w:t>
            </w:r>
          </w:p>
        </w:tc>
        <w:tc>
          <w:tcPr>
            <w:tcW w:w="1019" w:type="dxa"/>
          </w:tcPr>
          <w:p w14:paraId="337C17E5">
            <w:pPr>
              <w:pStyle w:val="17"/>
              <w:spacing w:before="77"/>
              <w:ind w:left="10"/>
              <w:rPr>
                <w:rFonts w:ascii="Times New Roman"/>
                <w:sz w:val="21"/>
              </w:rPr>
            </w:pPr>
            <w:r>
              <w:rPr>
                <w:rFonts w:ascii="Times New Roman"/>
                <w:w w:val="99"/>
                <w:sz w:val="21"/>
              </w:rPr>
              <w:t>/</w:t>
            </w:r>
          </w:p>
        </w:tc>
        <w:tc>
          <w:tcPr>
            <w:tcW w:w="1200" w:type="dxa"/>
          </w:tcPr>
          <w:p w14:paraId="61FA492C">
            <w:pPr>
              <w:pStyle w:val="17"/>
              <w:spacing w:before="77"/>
              <w:ind w:left="158" w:right="150"/>
              <w:rPr>
                <w:rFonts w:ascii="Times New Roman"/>
                <w:sz w:val="21"/>
              </w:rPr>
            </w:pPr>
            <w:r>
              <w:rPr>
                <w:rFonts w:ascii="Times New Roman"/>
                <w:sz w:val="21"/>
              </w:rPr>
              <w:t>ND</w:t>
            </w:r>
          </w:p>
        </w:tc>
        <w:tc>
          <w:tcPr>
            <w:tcW w:w="1010" w:type="dxa"/>
          </w:tcPr>
          <w:p w14:paraId="6FC065B2">
            <w:pPr>
              <w:pStyle w:val="17"/>
              <w:spacing w:before="77"/>
              <w:ind w:left="11"/>
              <w:rPr>
                <w:rFonts w:ascii="Times New Roman"/>
                <w:sz w:val="21"/>
              </w:rPr>
            </w:pPr>
            <w:r>
              <w:rPr>
                <w:rFonts w:ascii="Times New Roman"/>
                <w:w w:val="99"/>
                <w:sz w:val="21"/>
              </w:rPr>
              <w:t>/</w:t>
            </w:r>
          </w:p>
        </w:tc>
        <w:tc>
          <w:tcPr>
            <w:tcW w:w="1200" w:type="dxa"/>
          </w:tcPr>
          <w:p w14:paraId="250EC632">
            <w:pPr>
              <w:pStyle w:val="17"/>
              <w:spacing w:before="77"/>
              <w:ind w:left="448"/>
              <w:jc w:val="left"/>
              <w:rPr>
                <w:rFonts w:ascii="Times New Roman"/>
                <w:sz w:val="21"/>
              </w:rPr>
            </w:pPr>
            <w:r>
              <w:rPr>
                <w:rFonts w:ascii="Times New Roman"/>
                <w:sz w:val="21"/>
              </w:rPr>
              <w:t>ND</w:t>
            </w:r>
          </w:p>
        </w:tc>
        <w:tc>
          <w:tcPr>
            <w:tcW w:w="1010" w:type="dxa"/>
          </w:tcPr>
          <w:p w14:paraId="2781CC07">
            <w:pPr>
              <w:pStyle w:val="17"/>
              <w:spacing w:before="77"/>
              <w:ind w:left="7"/>
              <w:rPr>
                <w:rFonts w:ascii="Times New Roman"/>
                <w:sz w:val="21"/>
              </w:rPr>
            </w:pPr>
            <w:r>
              <w:rPr>
                <w:rFonts w:ascii="Times New Roman"/>
                <w:w w:val="99"/>
                <w:sz w:val="21"/>
              </w:rPr>
              <w:t>/</w:t>
            </w:r>
          </w:p>
        </w:tc>
        <w:tc>
          <w:tcPr>
            <w:tcW w:w="1167" w:type="dxa"/>
          </w:tcPr>
          <w:p w14:paraId="680D009D">
            <w:pPr>
              <w:pStyle w:val="17"/>
              <w:spacing w:before="77"/>
              <w:ind w:left="142" w:right="133"/>
              <w:rPr>
                <w:rFonts w:ascii="Times New Roman"/>
                <w:sz w:val="21"/>
              </w:rPr>
            </w:pPr>
            <w:r>
              <w:rPr>
                <w:rFonts w:ascii="Times New Roman"/>
                <w:sz w:val="21"/>
              </w:rPr>
              <w:t>ND</w:t>
            </w:r>
          </w:p>
        </w:tc>
        <w:tc>
          <w:tcPr>
            <w:tcW w:w="1204" w:type="dxa"/>
          </w:tcPr>
          <w:p w14:paraId="50AD40F9">
            <w:pPr>
              <w:pStyle w:val="17"/>
              <w:spacing w:before="77"/>
              <w:ind w:left="10"/>
              <w:rPr>
                <w:rFonts w:ascii="Times New Roman"/>
                <w:sz w:val="21"/>
              </w:rPr>
            </w:pPr>
            <w:r>
              <w:rPr>
                <w:rFonts w:ascii="Times New Roman"/>
                <w:w w:val="99"/>
                <w:sz w:val="21"/>
              </w:rPr>
              <w:t>/</w:t>
            </w:r>
          </w:p>
        </w:tc>
        <w:tc>
          <w:tcPr>
            <w:tcW w:w="1167" w:type="dxa"/>
          </w:tcPr>
          <w:p w14:paraId="2D9CAF5B">
            <w:pPr>
              <w:pStyle w:val="17"/>
              <w:spacing w:before="77"/>
              <w:ind w:left="432"/>
              <w:jc w:val="left"/>
              <w:rPr>
                <w:rFonts w:ascii="Times New Roman"/>
                <w:sz w:val="21"/>
              </w:rPr>
            </w:pPr>
            <w:r>
              <w:rPr>
                <w:rFonts w:ascii="Times New Roman"/>
                <w:sz w:val="21"/>
              </w:rPr>
              <w:t>ND</w:t>
            </w:r>
          </w:p>
        </w:tc>
        <w:tc>
          <w:tcPr>
            <w:tcW w:w="1204" w:type="dxa"/>
          </w:tcPr>
          <w:p w14:paraId="579D00E8">
            <w:pPr>
              <w:pStyle w:val="17"/>
              <w:spacing w:before="77"/>
              <w:ind w:left="10"/>
              <w:rPr>
                <w:rFonts w:ascii="Times New Roman"/>
                <w:sz w:val="21"/>
              </w:rPr>
            </w:pPr>
            <w:r>
              <w:rPr>
                <w:rFonts w:ascii="Times New Roman"/>
                <w:w w:val="99"/>
                <w:sz w:val="21"/>
              </w:rPr>
              <w:t>/</w:t>
            </w:r>
          </w:p>
        </w:tc>
        <w:tc>
          <w:tcPr>
            <w:tcW w:w="1173" w:type="dxa"/>
          </w:tcPr>
          <w:p w14:paraId="1CF8B49C">
            <w:pPr>
              <w:pStyle w:val="17"/>
              <w:spacing w:before="77"/>
              <w:ind w:left="7"/>
              <w:rPr>
                <w:rFonts w:ascii="Times New Roman"/>
                <w:sz w:val="21"/>
              </w:rPr>
            </w:pPr>
            <w:r>
              <w:rPr>
                <w:rFonts w:ascii="Times New Roman"/>
                <w:w w:val="99"/>
                <w:sz w:val="21"/>
              </w:rPr>
              <w:t>1</w:t>
            </w:r>
          </w:p>
        </w:tc>
        <w:tc>
          <w:tcPr>
            <w:tcW w:w="1173" w:type="dxa"/>
            <w:tcBorders>
              <w:right w:val="nil"/>
            </w:tcBorders>
          </w:tcPr>
          <w:p w14:paraId="133B031A">
            <w:pPr>
              <w:pStyle w:val="17"/>
              <w:spacing w:before="63"/>
              <w:ind w:left="356" w:right="351"/>
              <w:rPr>
                <w:sz w:val="21"/>
              </w:rPr>
            </w:pPr>
            <w:r>
              <w:rPr>
                <w:sz w:val="21"/>
              </w:rPr>
              <w:t>达标</w:t>
            </w:r>
          </w:p>
        </w:tc>
      </w:tr>
      <w:tr w14:paraId="04A9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48C66545">
            <w:pPr>
              <w:pStyle w:val="17"/>
              <w:spacing w:before="64"/>
              <w:ind w:left="9"/>
              <w:rPr>
                <w:sz w:val="21"/>
              </w:rPr>
            </w:pPr>
            <w:r>
              <w:rPr>
                <w:w w:val="99"/>
                <w:sz w:val="21"/>
              </w:rPr>
              <w:t>镍</w:t>
            </w:r>
          </w:p>
        </w:tc>
        <w:tc>
          <w:tcPr>
            <w:tcW w:w="1188" w:type="dxa"/>
          </w:tcPr>
          <w:p w14:paraId="0CF242EB">
            <w:pPr>
              <w:pStyle w:val="17"/>
              <w:spacing w:before="78"/>
              <w:ind w:left="152" w:right="144"/>
              <w:rPr>
                <w:rFonts w:ascii="Times New Roman"/>
                <w:sz w:val="21"/>
              </w:rPr>
            </w:pPr>
            <w:r>
              <w:rPr>
                <w:rFonts w:ascii="Times New Roman"/>
                <w:sz w:val="21"/>
              </w:rPr>
              <w:t>ND</w:t>
            </w:r>
          </w:p>
        </w:tc>
        <w:tc>
          <w:tcPr>
            <w:tcW w:w="1019" w:type="dxa"/>
          </w:tcPr>
          <w:p w14:paraId="32A3B623">
            <w:pPr>
              <w:pStyle w:val="17"/>
              <w:spacing w:before="78"/>
              <w:ind w:left="10"/>
              <w:rPr>
                <w:rFonts w:ascii="Times New Roman"/>
                <w:sz w:val="21"/>
              </w:rPr>
            </w:pPr>
            <w:r>
              <w:rPr>
                <w:rFonts w:ascii="Times New Roman"/>
                <w:w w:val="99"/>
                <w:sz w:val="21"/>
              </w:rPr>
              <w:t>/</w:t>
            </w:r>
          </w:p>
        </w:tc>
        <w:tc>
          <w:tcPr>
            <w:tcW w:w="1200" w:type="dxa"/>
          </w:tcPr>
          <w:p w14:paraId="37FDB268">
            <w:pPr>
              <w:pStyle w:val="17"/>
              <w:spacing w:before="78"/>
              <w:ind w:left="158" w:right="150"/>
              <w:rPr>
                <w:rFonts w:ascii="Times New Roman"/>
                <w:sz w:val="21"/>
              </w:rPr>
            </w:pPr>
            <w:r>
              <w:rPr>
                <w:rFonts w:ascii="Times New Roman"/>
                <w:sz w:val="21"/>
              </w:rPr>
              <w:t>ND</w:t>
            </w:r>
          </w:p>
        </w:tc>
        <w:tc>
          <w:tcPr>
            <w:tcW w:w="1010" w:type="dxa"/>
          </w:tcPr>
          <w:p w14:paraId="146EA748">
            <w:pPr>
              <w:pStyle w:val="17"/>
              <w:spacing w:before="78"/>
              <w:ind w:left="11"/>
              <w:rPr>
                <w:rFonts w:ascii="Times New Roman"/>
                <w:sz w:val="21"/>
              </w:rPr>
            </w:pPr>
            <w:r>
              <w:rPr>
                <w:rFonts w:ascii="Times New Roman"/>
                <w:w w:val="99"/>
                <w:sz w:val="21"/>
              </w:rPr>
              <w:t>/</w:t>
            </w:r>
          </w:p>
        </w:tc>
        <w:tc>
          <w:tcPr>
            <w:tcW w:w="1200" w:type="dxa"/>
          </w:tcPr>
          <w:p w14:paraId="482D2BD0">
            <w:pPr>
              <w:pStyle w:val="17"/>
              <w:spacing w:before="78"/>
              <w:ind w:left="448"/>
              <w:jc w:val="left"/>
              <w:rPr>
                <w:rFonts w:ascii="Times New Roman"/>
                <w:sz w:val="21"/>
              </w:rPr>
            </w:pPr>
            <w:r>
              <w:rPr>
                <w:rFonts w:ascii="Times New Roman"/>
                <w:sz w:val="21"/>
              </w:rPr>
              <w:t>ND</w:t>
            </w:r>
          </w:p>
        </w:tc>
        <w:tc>
          <w:tcPr>
            <w:tcW w:w="1010" w:type="dxa"/>
          </w:tcPr>
          <w:p w14:paraId="12D854D4">
            <w:pPr>
              <w:pStyle w:val="17"/>
              <w:spacing w:before="78"/>
              <w:ind w:left="7"/>
              <w:rPr>
                <w:rFonts w:ascii="Times New Roman"/>
                <w:sz w:val="21"/>
              </w:rPr>
            </w:pPr>
            <w:r>
              <w:rPr>
                <w:rFonts w:ascii="Times New Roman"/>
                <w:w w:val="99"/>
                <w:sz w:val="21"/>
              </w:rPr>
              <w:t>/</w:t>
            </w:r>
          </w:p>
        </w:tc>
        <w:tc>
          <w:tcPr>
            <w:tcW w:w="1167" w:type="dxa"/>
          </w:tcPr>
          <w:p w14:paraId="4B914911">
            <w:pPr>
              <w:pStyle w:val="17"/>
              <w:spacing w:before="78"/>
              <w:ind w:left="142" w:right="133"/>
              <w:rPr>
                <w:rFonts w:ascii="Times New Roman"/>
                <w:sz w:val="21"/>
              </w:rPr>
            </w:pPr>
            <w:r>
              <w:rPr>
                <w:rFonts w:ascii="Times New Roman"/>
                <w:sz w:val="21"/>
              </w:rPr>
              <w:t>ND</w:t>
            </w:r>
          </w:p>
        </w:tc>
        <w:tc>
          <w:tcPr>
            <w:tcW w:w="1204" w:type="dxa"/>
          </w:tcPr>
          <w:p w14:paraId="02C90A18">
            <w:pPr>
              <w:pStyle w:val="17"/>
              <w:spacing w:before="78"/>
              <w:ind w:left="10"/>
              <w:rPr>
                <w:rFonts w:ascii="Times New Roman"/>
                <w:sz w:val="21"/>
              </w:rPr>
            </w:pPr>
            <w:r>
              <w:rPr>
                <w:rFonts w:ascii="Times New Roman"/>
                <w:w w:val="99"/>
                <w:sz w:val="21"/>
              </w:rPr>
              <w:t>/</w:t>
            </w:r>
          </w:p>
        </w:tc>
        <w:tc>
          <w:tcPr>
            <w:tcW w:w="1167" w:type="dxa"/>
          </w:tcPr>
          <w:p w14:paraId="630ECE09">
            <w:pPr>
              <w:pStyle w:val="17"/>
              <w:spacing w:before="78"/>
              <w:ind w:left="432"/>
              <w:jc w:val="left"/>
              <w:rPr>
                <w:rFonts w:ascii="Times New Roman"/>
                <w:sz w:val="21"/>
              </w:rPr>
            </w:pPr>
            <w:r>
              <w:rPr>
                <w:rFonts w:ascii="Times New Roman"/>
                <w:sz w:val="21"/>
              </w:rPr>
              <w:t>ND</w:t>
            </w:r>
          </w:p>
        </w:tc>
        <w:tc>
          <w:tcPr>
            <w:tcW w:w="1204" w:type="dxa"/>
          </w:tcPr>
          <w:p w14:paraId="5B84E521">
            <w:pPr>
              <w:pStyle w:val="17"/>
              <w:spacing w:before="78"/>
              <w:ind w:left="10"/>
              <w:rPr>
                <w:rFonts w:ascii="Times New Roman"/>
                <w:sz w:val="21"/>
              </w:rPr>
            </w:pPr>
            <w:r>
              <w:rPr>
                <w:rFonts w:ascii="Times New Roman"/>
                <w:w w:val="99"/>
                <w:sz w:val="21"/>
              </w:rPr>
              <w:t>/</w:t>
            </w:r>
          </w:p>
        </w:tc>
        <w:tc>
          <w:tcPr>
            <w:tcW w:w="1173" w:type="dxa"/>
          </w:tcPr>
          <w:p w14:paraId="62DC6CCD">
            <w:pPr>
              <w:pStyle w:val="17"/>
              <w:spacing w:before="78"/>
              <w:ind w:left="244" w:right="237"/>
              <w:rPr>
                <w:rFonts w:ascii="Times New Roman"/>
                <w:sz w:val="21"/>
              </w:rPr>
            </w:pPr>
            <w:r>
              <w:rPr>
                <w:rFonts w:ascii="Times New Roman"/>
                <w:sz w:val="21"/>
              </w:rPr>
              <w:t>0.02</w:t>
            </w:r>
          </w:p>
        </w:tc>
        <w:tc>
          <w:tcPr>
            <w:tcW w:w="1173" w:type="dxa"/>
            <w:tcBorders>
              <w:right w:val="nil"/>
            </w:tcBorders>
          </w:tcPr>
          <w:p w14:paraId="7B40C23E">
            <w:pPr>
              <w:pStyle w:val="17"/>
              <w:spacing w:before="64"/>
              <w:ind w:left="356" w:right="351"/>
              <w:rPr>
                <w:sz w:val="21"/>
              </w:rPr>
            </w:pPr>
            <w:r>
              <w:rPr>
                <w:sz w:val="21"/>
              </w:rPr>
              <w:t>达标</w:t>
            </w:r>
          </w:p>
        </w:tc>
      </w:tr>
      <w:tr w14:paraId="6E973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4B7FAE4F">
            <w:pPr>
              <w:pStyle w:val="17"/>
              <w:spacing w:before="63"/>
              <w:ind w:left="76" w:right="70"/>
              <w:rPr>
                <w:sz w:val="21"/>
              </w:rPr>
            </w:pPr>
            <w:r>
              <w:rPr>
                <w:sz w:val="21"/>
              </w:rPr>
              <w:t>氟化物</w:t>
            </w:r>
          </w:p>
        </w:tc>
        <w:tc>
          <w:tcPr>
            <w:tcW w:w="1188" w:type="dxa"/>
          </w:tcPr>
          <w:p w14:paraId="059FBA0F">
            <w:pPr>
              <w:pStyle w:val="17"/>
              <w:spacing w:before="76"/>
              <w:ind w:left="152" w:right="145"/>
              <w:rPr>
                <w:rFonts w:ascii="Times New Roman"/>
                <w:sz w:val="21"/>
              </w:rPr>
            </w:pPr>
            <w:r>
              <w:rPr>
                <w:rFonts w:ascii="Times New Roman"/>
                <w:sz w:val="21"/>
              </w:rPr>
              <w:t>0.228</w:t>
            </w:r>
          </w:p>
        </w:tc>
        <w:tc>
          <w:tcPr>
            <w:tcW w:w="1019" w:type="dxa"/>
          </w:tcPr>
          <w:p w14:paraId="7355D906">
            <w:pPr>
              <w:pStyle w:val="17"/>
              <w:spacing w:before="76"/>
              <w:ind w:left="68" w:right="60"/>
              <w:rPr>
                <w:rFonts w:ascii="Times New Roman"/>
                <w:sz w:val="21"/>
              </w:rPr>
            </w:pPr>
            <w:r>
              <w:rPr>
                <w:rFonts w:ascii="Times New Roman"/>
                <w:sz w:val="21"/>
              </w:rPr>
              <w:t>0.228</w:t>
            </w:r>
          </w:p>
        </w:tc>
        <w:tc>
          <w:tcPr>
            <w:tcW w:w="1200" w:type="dxa"/>
          </w:tcPr>
          <w:p w14:paraId="3070B38A">
            <w:pPr>
              <w:pStyle w:val="17"/>
              <w:spacing w:before="76"/>
              <w:ind w:left="158" w:right="151"/>
              <w:rPr>
                <w:rFonts w:ascii="Times New Roman"/>
                <w:sz w:val="21"/>
              </w:rPr>
            </w:pPr>
            <w:r>
              <w:rPr>
                <w:rFonts w:ascii="Times New Roman"/>
                <w:sz w:val="21"/>
              </w:rPr>
              <w:t>0.227</w:t>
            </w:r>
          </w:p>
        </w:tc>
        <w:tc>
          <w:tcPr>
            <w:tcW w:w="1010" w:type="dxa"/>
          </w:tcPr>
          <w:p w14:paraId="795B8263">
            <w:pPr>
              <w:pStyle w:val="17"/>
              <w:spacing w:before="76"/>
              <w:ind w:left="62" w:right="52"/>
              <w:rPr>
                <w:rFonts w:ascii="Times New Roman"/>
                <w:sz w:val="21"/>
              </w:rPr>
            </w:pPr>
            <w:r>
              <w:rPr>
                <w:rFonts w:ascii="Times New Roman"/>
                <w:sz w:val="21"/>
              </w:rPr>
              <w:t>0.227</w:t>
            </w:r>
          </w:p>
        </w:tc>
        <w:tc>
          <w:tcPr>
            <w:tcW w:w="1200" w:type="dxa"/>
          </w:tcPr>
          <w:p w14:paraId="54A3AAD1">
            <w:pPr>
              <w:pStyle w:val="17"/>
              <w:spacing w:before="76"/>
              <w:ind w:left="361"/>
              <w:jc w:val="left"/>
              <w:rPr>
                <w:rFonts w:ascii="Times New Roman"/>
                <w:sz w:val="21"/>
              </w:rPr>
            </w:pPr>
            <w:r>
              <w:rPr>
                <w:rFonts w:ascii="Times New Roman"/>
                <w:sz w:val="21"/>
              </w:rPr>
              <w:t>0.235</w:t>
            </w:r>
          </w:p>
        </w:tc>
        <w:tc>
          <w:tcPr>
            <w:tcW w:w="1010" w:type="dxa"/>
          </w:tcPr>
          <w:p w14:paraId="308FDC1F">
            <w:pPr>
              <w:pStyle w:val="17"/>
              <w:spacing w:before="76"/>
              <w:ind w:left="62" w:right="54"/>
              <w:rPr>
                <w:rFonts w:ascii="Times New Roman"/>
                <w:sz w:val="21"/>
              </w:rPr>
            </w:pPr>
            <w:r>
              <w:rPr>
                <w:rFonts w:ascii="Times New Roman"/>
                <w:sz w:val="21"/>
              </w:rPr>
              <w:t>0.235</w:t>
            </w:r>
          </w:p>
        </w:tc>
        <w:tc>
          <w:tcPr>
            <w:tcW w:w="1167" w:type="dxa"/>
          </w:tcPr>
          <w:p w14:paraId="1ED30645">
            <w:pPr>
              <w:pStyle w:val="17"/>
              <w:spacing w:before="76"/>
              <w:ind w:left="142" w:right="133"/>
              <w:rPr>
                <w:rFonts w:ascii="Times New Roman"/>
                <w:sz w:val="21"/>
              </w:rPr>
            </w:pPr>
            <w:r>
              <w:rPr>
                <w:rFonts w:ascii="Times New Roman"/>
                <w:sz w:val="21"/>
              </w:rPr>
              <w:t>ND</w:t>
            </w:r>
          </w:p>
        </w:tc>
        <w:tc>
          <w:tcPr>
            <w:tcW w:w="1204" w:type="dxa"/>
          </w:tcPr>
          <w:p w14:paraId="549DFF24">
            <w:pPr>
              <w:pStyle w:val="17"/>
              <w:spacing w:before="76"/>
              <w:ind w:left="10"/>
              <w:rPr>
                <w:rFonts w:ascii="Times New Roman"/>
                <w:sz w:val="21"/>
              </w:rPr>
            </w:pPr>
            <w:r>
              <w:rPr>
                <w:rFonts w:ascii="Times New Roman"/>
                <w:w w:val="99"/>
                <w:sz w:val="21"/>
              </w:rPr>
              <w:t>/</w:t>
            </w:r>
          </w:p>
        </w:tc>
        <w:tc>
          <w:tcPr>
            <w:tcW w:w="1167" w:type="dxa"/>
          </w:tcPr>
          <w:p w14:paraId="572AF5E2">
            <w:pPr>
              <w:pStyle w:val="17"/>
              <w:spacing w:before="76"/>
              <w:ind w:left="345"/>
              <w:jc w:val="left"/>
              <w:rPr>
                <w:rFonts w:ascii="Times New Roman"/>
                <w:sz w:val="21"/>
              </w:rPr>
            </w:pPr>
            <w:r>
              <w:rPr>
                <w:rFonts w:ascii="Times New Roman"/>
                <w:sz w:val="21"/>
              </w:rPr>
              <w:t>0.430</w:t>
            </w:r>
          </w:p>
        </w:tc>
        <w:tc>
          <w:tcPr>
            <w:tcW w:w="1204" w:type="dxa"/>
          </w:tcPr>
          <w:p w14:paraId="444F4D51">
            <w:pPr>
              <w:pStyle w:val="17"/>
              <w:spacing w:before="76"/>
              <w:ind w:left="160" w:right="152"/>
              <w:rPr>
                <w:rFonts w:ascii="Times New Roman"/>
                <w:sz w:val="21"/>
              </w:rPr>
            </w:pPr>
            <w:r>
              <w:rPr>
                <w:rFonts w:ascii="Times New Roman"/>
                <w:sz w:val="21"/>
              </w:rPr>
              <w:t>0.430</w:t>
            </w:r>
          </w:p>
        </w:tc>
        <w:tc>
          <w:tcPr>
            <w:tcW w:w="1173" w:type="dxa"/>
          </w:tcPr>
          <w:p w14:paraId="7A867D24">
            <w:pPr>
              <w:pStyle w:val="17"/>
              <w:spacing w:before="76"/>
              <w:ind w:left="7"/>
              <w:rPr>
                <w:rFonts w:ascii="Times New Roman"/>
                <w:sz w:val="21"/>
              </w:rPr>
            </w:pPr>
            <w:r>
              <w:rPr>
                <w:rFonts w:ascii="Times New Roman"/>
                <w:w w:val="99"/>
                <w:sz w:val="21"/>
              </w:rPr>
              <w:t>1</w:t>
            </w:r>
          </w:p>
        </w:tc>
        <w:tc>
          <w:tcPr>
            <w:tcW w:w="1173" w:type="dxa"/>
            <w:tcBorders>
              <w:right w:val="nil"/>
            </w:tcBorders>
          </w:tcPr>
          <w:p w14:paraId="5E9AA4AD">
            <w:pPr>
              <w:pStyle w:val="17"/>
              <w:spacing w:before="63"/>
              <w:ind w:left="356" w:right="351"/>
              <w:rPr>
                <w:sz w:val="21"/>
              </w:rPr>
            </w:pPr>
            <w:r>
              <w:rPr>
                <w:sz w:val="21"/>
              </w:rPr>
              <w:t>达标</w:t>
            </w:r>
          </w:p>
        </w:tc>
      </w:tr>
      <w:tr w14:paraId="58A3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32D95E36">
            <w:pPr>
              <w:pStyle w:val="17"/>
              <w:spacing w:before="63"/>
              <w:ind w:left="9"/>
              <w:rPr>
                <w:sz w:val="21"/>
              </w:rPr>
            </w:pPr>
            <w:r>
              <w:rPr>
                <w:w w:val="99"/>
                <w:sz w:val="21"/>
              </w:rPr>
              <w:t>镉</w:t>
            </w:r>
          </w:p>
        </w:tc>
        <w:tc>
          <w:tcPr>
            <w:tcW w:w="1188" w:type="dxa"/>
          </w:tcPr>
          <w:p w14:paraId="28E83380">
            <w:pPr>
              <w:pStyle w:val="17"/>
              <w:spacing w:before="77"/>
              <w:ind w:left="152" w:right="144"/>
              <w:rPr>
                <w:rFonts w:ascii="Times New Roman"/>
                <w:sz w:val="21"/>
              </w:rPr>
            </w:pPr>
            <w:r>
              <w:rPr>
                <w:rFonts w:ascii="Times New Roman"/>
                <w:sz w:val="21"/>
              </w:rPr>
              <w:t>ND</w:t>
            </w:r>
          </w:p>
        </w:tc>
        <w:tc>
          <w:tcPr>
            <w:tcW w:w="1019" w:type="dxa"/>
          </w:tcPr>
          <w:p w14:paraId="4D097F5F">
            <w:pPr>
              <w:pStyle w:val="17"/>
              <w:spacing w:before="77"/>
              <w:ind w:left="10"/>
              <w:rPr>
                <w:rFonts w:ascii="Times New Roman"/>
                <w:sz w:val="21"/>
              </w:rPr>
            </w:pPr>
            <w:r>
              <w:rPr>
                <w:rFonts w:ascii="Times New Roman"/>
                <w:w w:val="99"/>
                <w:sz w:val="21"/>
              </w:rPr>
              <w:t>/</w:t>
            </w:r>
          </w:p>
        </w:tc>
        <w:tc>
          <w:tcPr>
            <w:tcW w:w="1200" w:type="dxa"/>
          </w:tcPr>
          <w:p w14:paraId="19190E15">
            <w:pPr>
              <w:pStyle w:val="17"/>
              <w:spacing w:before="77"/>
              <w:ind w:left="158" w:right="150"/>
              <w:rPr>
                <w:rFonts w:ascii="Times New Roman"/>
                <w:sz w:val="21"/>
              </w:rPr>
            </w:pPr>
            <w:r>
              <w:rPr>
                <w:rFonts w:ascii="Times New Roman"/>
                <w:sz w:val="21"/>
              </w:rPr>
              <w:t>ND</w:t>
            </w:r>
          </w:p>
        </w:tc>
        <w:tc>
          <w:tcPr>
            <w:tcW w:w="1010" w:type="dxa"/>
          </w:tcPr>
          <w:p w14:paraId="645CBBD1">
            <w:pPr>
              <w:pStyle w:val="17"/>
              <w:spacing w:before="77"/>
              <w:ind w:left="11"/>
              <w:rPr>
                <w:rFonts w:ascii="Times New Roman"/>
                <w:sz w:val="21"/>
              </w:rPr>
            </w:pPr>
            <w:r>
              <w:rPr>
                <w:rFonts w:ascii="Times New Roman"/>
                <w:w w:val="99"/>
                <w:sz w:val="21"/>
              </w:rPr>
              <w:t>/</w:t>
            </w:r>
          </w:p>
        </w:tc>
        <w:tc>
          <w:tcPr>
            <w:tcW w:w="1200" w:type="dxa"/>
          </w:tcPr>
          <w:p w14:paraId="51993F8E">
            <w:pPr>
              <w:pStyle w:val="17"/>
              <w:spacing w:before="77"/>
              <w:ind w:left="448"/>
              <w:jc w:val="left"/>
              <w:rPr>
                <w:rFonts w:ascii="Times New Roman"/>
                <w:sz w:val="21"/>
              </w:rPr>
            </w:pPr>
            <w:r>
              <w:rPr>
                <w:rFonts w:ascii="Times New Roman"/>
                <w:sz w:val="21"/>
              </w:rPr>
              <w:t>ND</w:t>
            </w:r>
          </w:p>
        </w:tc>
        <w:tc>
          <w:tcPr>
            <w:tcW w:w="1010" w:type="dxa"/>
          </w:tcPr>
          <w:p w14:paraId="3BB78AB7">
            <w:pPr>
              <w:pStyle w:val="17"/>
              <w:spacing w:before="77"/>
              <w:ind w:left="7"/>
              <w:rPr>
                <w:rFonts w:ascii="Times New Roman"/>
                <w:sz w:val="21"/>
              </w:rPr>
            </w:pPr>
            <w:r>
              <w:rPr>
                <w:rFonts w:ascii="Times New Roman"/>
                <w:w w:val="99"/>
                <w:sz w:val="21"/>
              </w:rPr>
              <w:t>/</w:t>
            </w:r>
          </w:p>
        </w:tc>
        <w:tc>
          <w:tcPr>
            <w:tcW w:w="1167" w:type="dxa"/>
          </w:tcPr>
          <w:p w14:paraId="20E290CE">
            <w:pPr>
              <w:pStyle w:val="17"/>
              <w:spacing w:before="77"/>
              <w:ind w:left="142" w:right="133"/>
              <w:rPr>
                <w:rFonts w:ascii="Times New Roman"/>
                <w:sz w:val="21"/>
              </w:rPr>
            </w:pPr>
            <w:r>
              <w:rPr>
                <w:rFonts w:ascii="Times New Roman"/>
                <w:sz w:val="21"/>
              </w:rPr>
              <w:t>ND</w:t>
            </w:r>
          </w:p>
        </w:tc>
        <w:tc>
          <w:tcPr>
            <w:tcW w:w="1204" w:type="dxa"/>
          </w:tcPr>
          <w:p w14:paraId="6AB74390">
            <w:pPr>
              <w:pStyle w:val="17"/>
              <w:spacing w:before="77"/>
              <w:ind w:left="10"/>
              <w:rPr>
                <w:rFonts w:ascii="Times New Roman"/>
                <w:sz w:val="21"/>
              </w:rPr>
            </w:pPr>
            <w:r>
              <w:rPr>
                <w:rFonts w:ascii="Times New Roman"/>
                <w:w w:val="99"/>
                <w:sz w:val="21"/>
              </w:rPr>
              <w:t>/</w:t>
            </w:r>
          </w:p>
        </w:tc>
        <w:tc>
          <w:tcPr>
            <w:tcW w:w="1167" w:type="dxa"/>
          </w:tcPr>
          <w:p w14:paraId="0D3CFB7D">
            <w:pPr>
              <w:pStyle w:val="17"/>
              <w:spacing w:before="77"/>
              <w:ind w:left="432"/>
              <w:jc w:val="left"/>
              <w:rPr>
                <w:rFonts w:ascii="Times New Roman"/>
                <w:sz w:val="21"/>
              </w:rPr>
            </w:pPr>
            <w:r>
              <w:rPr>
                <w:rFonts w:ascii="Times New Roman"/>
                <w:sz w:val="21"/>
              </w:rPr>
              <w:t>ND</w:t>
            </w:r>
          </w:p>
        </w:tc>
        <w:tc>
          <w:tcPr>
            <w:tcW w:w="1204" w:type="dxa"/>
          </w:tcPr>
          <w:p w14:paraId="0CE5D437">
            <w:pPr>
              <w:pStyle w:val="17"/>
              <w:spacing w:before="77"/>
              <w:ind w:left="10"/>
              <w:rPr>
                <w:rFonts w:ascii="Times New Roman"/>
                <w:sz w:val="21"/>
              </w:rPr>
            </w:pPr>
            <w:r>
              <w:rPr>
                <w:rFonts w:ascii="Times New Roman"/>
                <w:w w:val="99"/>
                <w:sz w:val="21"/>
              </w:rPr>
              <w:t>/</w:t>
            </w:r>
          </w:p>
        </w:tc>
        <w:tc>
          <w:tcPr>
            <w:tcW w:w="1173" w:type="dxa"/>
          </w:tcPr>
          <w:p w14:paraId="084BED45">
            <w:pPr>
              <w:pStyle w:val="17"/>
              <w:spacing w:before="77"/>
              <w:ind w:left="247" w:right="237"/>
              <w:rPr>
                <w:rFonts w:ascii="Times New Roman"/>
                <w:sz w:val="21"/>
              </w:rPr>
            </w:pPr>
            <w:r>
              <w:rPr>
                <w:rFonts w:ascii="Times New Roman"/>
                <w:sz w:val="21"/>
              </w:rPr>
              <w:t>0.005</w:t>
            </w:r>
          </w:p>
        </w:tc>
        <w:tc>
          <w:tcPr>
            <w:tcW w:w="1173" w:type="dxa"/>
            <w:tcBorders>
              <w:right w:val="nil"/>
            </w:tcBorders>
          </w:tcPr>
          <w:p w14:paraId="392693DC">
            <w:pPr>
              <w:pStyle w:val="17"/>
              <w:spacing w:before="63"/>
              <w:ind w:left="356" w:right="351"/>
              <w:rPr>
                <w:sz w:val="21"/>
              </w:rPr>
            </w:pPr>
            <w:r>
              <w:rPr>
                <w:sz w:val="21"/>
              </w:rPr>
              <w:t>达标</w:t>
            </w:r>
          </w:p>
        </w:tc>
      </w:tr>
      <w:tr w14:paraId="07E7F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6F472429">
            <w:pPr>
              <w:pStyle w:val="17"/>
              <w:spacing w:before="62"/>
              <w:ind w:left="9"/>
              <w:rPr>
                <w:sz w:val="21"/>
              </w:rPr>
            </w:pPr>
            <w:r>
              <w:rPr>
                <w:w w:val="99"/>
                <w:sz w:val="21"/>
              </w:rPr>
              <w:t>锰</w:t>
            </w:r>
          </w:p>
        </w:tc>
        <w:tc>
          <w:tcPr>
            <w:tcW w:w="1188" w:type="dxa"/>
          </w:tcPr>
          <w:p w14:paraId="6A8B17A0">
            <w:pPr>
              <w:pStyle w:val="17"/>
              <w:spacing w:before="76"/>
              <w:ind w:left="152" w:right="144"/>
              <w:rPr>
                <w:rFonts w:ascii="Times New Roman"/>
                <w:sz w:val="21"/>
              </w:rPr>
            </w:pPr>
            <w:r>
              <w:rPr>
                <w:rFonts w:ascii="Times New Roman"/>
                <w:sz w:val="21"/>
              </w:rPr>
              <w:t>ND</w:t>
            </w:r>
          </w:p>
        </w:tc>
        <w:tc>
          <w:tcPr>
            <w:tcW w:w="1019" w:type="dxa"/>
          </w:tcPr>
          <w:p w14:paraId="2A4AA209">
            <w:pPr>
              <w:pStyle w:val="17"/>
              <w:spacing w:before="76"/>
              <w:ind w:left="10"/>
              <w:rPr>
                <w:rFonts w:ascii="Times New Roman"/>
                <w:sz w:val="21"/>
              </w:rPr>
            </w:pPr>
            <w:r>
              <w:rPr>
                <w:rFonts w:ascii="Times New Roman"/>
                <w:w w:val="99"/>
                <w:sz w:val="21"/>
              </w:rPr>
              <w:t>/</w:t>
            </w:r>
          </w:p>
        </w:tc>
        <w:tc>
          <w:tcPr>
            <w:tcW w:w="1200" w:type="dxa"/>
          </w:tcPr>
          <w:p w14:paraId="4F51FD03">
            <w:pPr>
              <w:pStyle w:val="17"/>
              <w:spacing w:before="76"/>
              <w:ind w:left="158" w:right="150"/>
              <w:rPr>
                <w:rFonts w:ascii="Times New Roman"/>
                <w:sz w:val="21"/>
              </w:rPr>
            </w:pPr>
            <w:r>
              <w:rPr>
                <w:rFonts w:ascii="Times New Roman"/>
                <w:sz w:val="21"/>
              </w:rPr>
              <w:t>ND</w:t>
            </w:r>
          </w:p>
        </w:tc>
        <w:tc>
          <w:tcPr>
            <w:tcW w:w="1010" w:type="dxa"/>
          </w:tcPr>
          <w:p w14:paraId="69ACF802">
            <w:pPr>
              <w:pStyle w:val="17"/>
              <w:spacing w:before="76"/>
              <w:ind w:left="11"/>
              <w:rPr>
                <w:rFonts w:ascii="Times New Roman"/>
                <w:sz w:val="21"/>
              </w:rPr>
            </w:pPr>
            <w:r>
              <w:rPr>
                <w:rFonts w:ascii="Times New Roman"/>
                <w:w w:val="99"/>
                <w:sz w:val="21"/>
              </w:rPr>
              <w:t>/</w:t>
            </w:r>
          </w:p>
        </w:tc>
        <w:tc>
          <w:tcPr>
            <w:tcW w:w="1200" w:type="dxa"/>
          </w:tcPr>
          <w:p w14:paraId="186F9706">
            <w:pPr>
              <w:pStyle w:val="17"/>
              <w:spacing w:before="76"/>
              <w:ind w:left="448"/>
              <w:jc w:val="left"/>
              <w:rPr>
                <w:rFonts w:ascii="Times New Roman"/>
                <w:sz w:val="21"/>
              </w:rPr>
            </w:pPr>
            <w:r>
              <w:rPr>
                <w:rFonts w:ascii="Times New Roman"/>
                <w:sz w:val="21"/>
              </w:rPr>
              <w:t>ND</w:t>
            </w:r>
          </w:p>
        </w:tc>
        <w:tc>
          <w:tcPr>
            <w:tcW w:w="1010" w:type="dxa"/>
          </w:tcPr>
          <w:p w14:paraId="317A25FE">
            <w:pPr>
              <w:pStyle w:val="17"/>
              <w:spacing w:before="76"/>
              <w:ind w:left="7"/>
              <w:rPr>
                <w:rFonts w:ascii="Times New Roman"/>
                <w:sz w:val="21"/>
              </w:rPr>
            </w:pPr>
            <w:r>
              <w:rPr>
                <w:rFonts w:ascii="Times New Roman"/>
                <w:w w:val="99"/>
                <w:sz w:val="21"/>
              </w:rPr>
              <w:t>/</w:t>
            </w:r>
          </w:p>
        </w:tc>
        <w:tc>
          <w:tcPr>
            <w:tcW w:w="1167" w:type="dxa"/>
          </w:tcPr>
          <w:p w14:paraId="78E753FB">
            <w:pPr>
              <w:pStyle w:val="17"/>
              <w:spacing w:before="76"/>
              <w:ind w:left="142" w:right="133"/>
              <w:rPr>
                <w:rFonts w:ascii="Times New Roman"/>
                <w:sz w:val="21"/>
              </w:rPr>
            </w:pPr>
            <w:r>
              <w:rPr>
                <w:rFonts w:ascii="Times New Roman"/>
                <w:sz w:val="21"/>
              </w:rPr>
              <w:t>ND</w:t>
            </w:r>
          </w:p>
        </w:tc>
        <w:tc>
          <w:tcPr>
            <w:tcW w:w="1204" w:type="dxa"/>
          </w:tcPr>
          <w:p w14:paraId="2FF1C2CA">
            <w:pPr>
              <w:pStyle w:val="17"/>
              <w:spacing w:before="76"/>
              <w:ind w:left="10"/>
              <w:rPr>
                <w:rFonts w:ascii="Times New Roman"/>
                <w:sz w:val="21"/>
              </w:rPr>
            </w:pPr>
            <w:r>
              <w:rPr>
                <w:rFonts w:ascii="Times New Roman"/>
                <w:w w:val="99"/>
                <w:sz w:val="21"/>
              </w:rPr>
              <w:t>/</w:t>
            </w:r>
          </w:p>
        </w:tc>
        <w:tc>
          <w:tcPr>
            <w:tcW w:w="1167" w:type="dxa"/>
          </w:tcPr>
          <w:p w14:paraId="301D152F">
            <w:pPr>
              <w:pStyle w:val="17"/>
              <w:spacing w:before="76"/>
              <w:ind w:left="432"/>
              <w:jc w:val="left"/>
              <w:rPr>
                <w:rFonts w:ascii="Times New Roman"/>
                <w:sz w:val="21"/>
              </w:rPr>
            </w:pPr>
            <w:r>
              <w:rPr>
                <w:rFonts w:ascii="Times New Roman"/>
                <w:sz w:val="21"/>
              </w:rPr>
              <w:t>ND</w:t>
            </w:r>
          </w:p>
        </w:tc>
        <w:tc>
          <w:tcPr>
            <w:tcW w:w="1204" w:type="dxa"/>
          </w:tcPr>
          <w:p w14:paraId="39D3FFFE">
            <w:pPr>
              <w:pStyle w:val="17"/>
              <w:spacing w:before="76"/>
              <w:ind w:left="10"/>
              <w:rPr>
                <w:rFonts w:ascii="Times New Roman"/>
                <w:sz w:val="21"/>
              </w:rPr>
            </w:pPr>
            <w:r>
              <w:rPr>
                <w:rFonts w:ascii="Times New Roman"/>
                <w:w w:val="99"/>
                <w:sz w:val="21"/>
              </w:rPr>
              <w:t>/</w:t>
            </w:r>
          </w:p>
        </w:tc>
        <w:tc>
          <w:tcPr>
            <w:tcW w:w="1173" w:type="dxa"/>
          </w:tcPr>
          <w:p w14:paraId="6C1B84C8">
            <w:pPr>
              <w:pStyle w:val="17"/>
              <w:spacing w:before="76"/>
              <w:ind w:left="244" w:right="237"/>
              <w:rPr>
                <w:rFonts w:ascii="Times New Roman"/>
                <w:sz w:val="21"/>
              </w:rPr>
            </w:pPr>
            <w:r>
              <w:rPr>
                <w:rFonts w:ascii="Times New Roman"/>
                <w:sz w:val="21"/>
              </w:rPr>
              <w:t>0.10</w:t>
            </w:r>
          </w:p>
        </w:tc>
        <w:tc>
          <w:tcPr>
            <w:tcW w:w="1173" w:type="dxa"/>
            <w:tcBorders>
              <w:right w:val="nil"/>
            </w:tcBorders>
          </w:tcPr>
          <w:p w14:paraId="70B52F39">
            <w:pPr>
              <w:pStyle w:val="17"/>
              <w:spacing w:before="62"/>
              <w:ind w:left="356" w:right="351"/>
              <w:rPr>
                <w:sz w:val="21"/>
              </w:rPr>
            </w:pPr>
            <w:r>
              <w:rPr>
                <w:sz w:val="21"/>
              </w:rPr>
              <w:t>达标</w:t>
            </w:r>
          </w:p>
        </w:tc>
      </w:tr>
      <w:tr w14:paraId="1F246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644E7858">
            <w:pPr>
              <w:pStyle w:val="17"/>
              <w:spacing w:before="63"/>
              <w:ind w:left="76" w:right="67"/>
              <w:rPr>
                <w:sz w:val="21"/>
              </w:rPr>
            </w:pPr>
            <w:r>
              <w:rPr>
                <w:sz w:val="21"/>
              </w:rPr>
              <w:t>挥发性酚类</w:t>
            </w:r>
          </w:p>
        </w:tc>
        <w:tc>
          <w:tcPr>
            <w:tcW w:w="1188" w:type="dxa"/>
          </w:tcPr>
          <w:p w14:paraId="676C08B1">
            <w:pPr>
              <w:pStyle w:val="17"/>
              <w:spacing w:before="77"/>
              <w:ind w:left="152" w:right="144"/>
              <w:rPr>
                <w:rFonts w:ascii="Times New Roman"/>
                <w:sz w:val="21"/>
              </w:rPr>
            </w:pPr>
            <w:r>
              <w:rPr>
                <w:rFonts w:ascii="Times New Roman"/>
                <w:sz w:val="21"/>
              </w:rPr>
              <w:t>ND</w:t>
            </w:r>
          </w:p>
        </w:tc>
        <w:tc>
          <w:tcPr>
            <w:tcW w:w="1019" w:type="dxa"/>
          </w:tcPr>
          <w:p w14:paraId="6CABC6FC">
            <w:pPr>
              <w:pStyle w:val="17"/>
              <w:spacing w:before="77"/>
              <w:ind w:left="10"/>
              <w:rPr>
                <w:rFonts w:ascii="Times New Roman"/>
                <w:sz w:val="21"/>
              </w:rPr>
            </w:pPr>
            <w:r>
              <w:rPr>
                <w:rFonts w:ascii="Times New Roman"/>
                <w:w w:val="99"/>
                <w:sz w:val="21"/>
              </w:rPr>
              <w:t>/</w:t>
            </w:r>
          </w:p>
        </w:tc>
        <w:tc>
          <w:tcPr>
            <w:tcW w:w="1200" w:type="dxa"/>
          </w:tcPr>
          <w:p w14:paraId="245B7985">
            <w:pPr>
              <w:pStyle w:val="17"/>
              <w:spacing w:before="77"/>
              <w:ind w:left="158" w:right="150"/>
              <w:rPr>
                <w:rFonts w:ascii="Times New Roman"/>
                <w:sz w:val="21"/>
              </w:rPr>
            </w:pPr>
            <w:r>
              <w:rPr>
                <w:rFonts w:ascii="Times New Roman"/>
                <w:sz w:val="21"/>
              </w:rPr>
              <w:t>ND</w:t>
            </w:r>
          </w:p>
        </w:tc>
        <w:tc>
          <w:tcPr>
            <w:tcW w:w="1010" w:type="dxa"/>
          </w:tcPr>
          <w:p w14:paraId="609C7A9F">
            <w:pPr>
              <w:pStyle w:val="17"/>
              <w:spacing w:before="77"/>
              <w:ind w:left="11"/>
              <w:rPr>
                <w:rFonts w:ascii="Times New Roman"/>
                <w:sz w:val="21"/>
              </w:rPr>
            </w:pPr>
            <w:r>
              <w:rPr>
                <w:rFonts w:ascii="Times New Roman"/>
                <w:w w:val="99"/>
                <w:sz w:val="21"/>
              </w:rPr>
              <w:t>/</w:t>
            </w:r>
          </w:p>
        </w:tc>
        <w:tc>
          <w:tcPr>
            <w:tcW w:w="1200" w:type="dxa"/>
          </w:tcPr>
          <w:p w14:paraId="54057509">
            <w:pPr>
              <w:pStyle w:val="17"/>
              <w:spacing w:before="77"/>
              <w:ind w:left="448"/>
              <w:jc w:val="left"/>
              <w:rPr>
                <w:rFonts w:ascii="Times New Roman"/>
                <w:sz w:val="21"/>
              </w:rPr>
            </w:pPr>
            <w:r>
              <w:rPr>
                <w:rFonts w:ascii="Times New Roman"/>
                <w:sz w:val="21"/>
              </w:rPr>
              <w:t>ND</w:t>
            </w:r>
          </w:p>
        </w:tc>
        <w:tc>
          <w:tcPr>
            <w:tcW w:w="1010" w:type="dxa"/>
          </w:tcPr>
          <w:p w14:paraId="12FE4746">
            <w:pPr>
              <w:pStyle w:val="17"/>
              <w:spacing w:before="77"/>
              <w:ind w:left="7"/>
              <w:rPr>
                <w:rFonts w:ascii="Times New Roman"/>
                <w:sz w:val="21"/>
              </w:rPr>
            </w:pPr>
            <w:r>
              <w:rPr>
                <w:rFonts w:ascii="Times New Roman"/>
                <w:w w:val="99"/>
                <w:sz w:val="21"/>
              </w:rPr>
              <w:t>/</w:t>
            </w:r>
          </w:p>
        </w:tc>
        <w:tc>
          <w:tcPr>
            <w:tcW w:w="1167" w:type="dxa"/>
          </w:tcPr>
          <w:p w14:paraId="38015DD8">
            <w:pPr>
              <w:pStyle w:val="17"/>
              <w:spacing w:before="77"/>
              <w:ind w:left="142" w:right="133"/>
              <w:rPr>
                <w:rFonts w:ascii="Times New Roman"/>
                <w:sz w:val="21"/>
              </w:rPr>
            </w:pPr>
            <w:r>
              <w:rPr>
                <w:rFonts w:ascii="Times New Roman"/>
                <w:sz w:val="21"/>
              </w:rPr>
              <w:t>ND</w:t>
            </w:r>
          </w:p>
        </w:tc>
        <w:tc>
          <w:tcPr>
            <w:tcW w:w="1204" w:type="dxa"/>
          </w:tcPr>
          <w:p w14:paraId="70FA4CB3">
            <w:pPr>
              <w:pStyle w:val="17"/>
              <w:spacing w:before="77"/>
              <w:ind w:left="10"/>
              <w:rPr>
                <w:rFonts w:ascii="Times New Roman"/>
                <w:sz w:val="21"/>
              </w:rPr>
            </w:pPr>
            <w:r>
              <w:rPr>
                <w:rFonts w:ascii="Times New Roman"/>
                <w:w w:val="99"/>
                <w:sz w:val="21"/>
              </w:rPr>
              <w:t>/</w:t>
            </w:r>
          </w:p>
        </w:tc>
        <w:tc>
          <w:tcPr>
            <w:tcW w:w="1167" w:type="dxa"/>
          </w:tcPr>
          <w:p w14:paraId="14876078">
            <w:pPr>
              <w:pStyle w:val="17"/>
              <w:spacing w:before="77"/>
              <w:ind w:left="432"/>
              <w:jc w:val="left"/>
              <w:rPr>
                <w:rFonts w:ascii="Times New Roman"/>
                <w:sz w:val="21"/>
              </w:rPr>
            </w:pPr>
            <w:r>
              <w:rPr>
                <w:rFonts w:ascii="Times New Roman"/>
                <w:sz w:val="21"/>
              </w:rPr>
              <w:t>ND</w:t>
            </w:r>
          </w:p>
        </w:tc>
        <w:tc>
          <w:tcPr>
            <w:tcW w:w="1204" w:type="dxa"/>
          </w:tcPr>
          <w:p w14:paraId="0885FBB1">
            <w:pPr>
              <w:pStyle w:val="17"/>
              <w:spacing w:before="77"/>
              <w:ind w:left="10"/>
              <w:rPr>
                <w:rFonts w:ascii="Times New Roman"/>
                <w:sz w:val="21"/>
              </w:rPr>
            </w:pPr>
            <w:r>
              <w:rPr>
                <w:rFonts w:ascii="Times New Roman"/>
                <w:w w:val="99"/>
                <w:sz w:val="21"/>
              </w:rPr>
              <w:t>/</w:t>
            </w:r>
          </w:p>
        </w:tc>
        <w:tc>
          <w:tcPr>
            <w:tcW w:w="1173" w:type="dxa"/>
          </w:tcPr>
          <w:p w14:paraId="0EA480D3">
            <w:pPr>
              <w:pStyle w:val="17"/>
              <w:spacing w:before="77"/>
              <w:ind w:left="247" w:right="237"/>
              <w:rPr>
                <w:rFonts w:ascii="Times New Roman"/>
                <w:sz w:val="21"/>
              </w:rPr>
            </w:pPr>
            <w:r>
              <w:rPr>
                <w:rFonts w:ascii="Times New Roman"/>
                <w:sz w:val="21"/>
              </w:rPr>
              <w:t>0.002</w:t>
            </w:r>
          </w:p>
        </w:tc>
        <w:tc>
          <w:tcPr>
            <w:tcW w:w="1173" w:type="dxa"/>
            <w:tcBorders>
              <w:right w:val="nil"/>
            </w:tcBorders>
          </w:tcPr>
          <w:p w14:paraId="0E4F7070">
            <w:pPr>
              <w:pStyle w:val="17"/>
              <w:spacing w:before="63"/>
              <w:ind w:left="356" w:right="351"/>
              <w:rPr>
                <w:sz w:val="21"/>
              </w:rPr>
            </w:pPr>
            <w:r>
              <w:rPr>
                <w:sz w:val="21"/>
              </w:rPr>
              <w:t>达标</w:t>
            </w:r>
          </w:p>
        </w:tc>
      </w:tr>
      <w:tr w14:paraId="0B2F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293D2CBA">
            <w:pPr>
              <w:pStyle w:val="17"/>
              <w:spacing w:before="62"/>
              <w:ind w:left="9"/>
              <w:rPr>
                <w:sz w:val="21"/>
              </w:rPr>
            </w:pPr>
            <w:r>
              <w:rPr>
                <w:w w:val="99"/>
                <w:sz w:val="21"/>
              </w:rPr>
              <w:t>铝</w:t>
            </w:r>
          </w:p>
        </w:tc>
        <w:tc>
          <w:tcPr>
            <w:tcW w:w="1188" w:type="dxa"/>
          </w:tcPr>
          <w:p w14:paraId="217DEDFA">
            <w:pPr>
              <w:pStyle w:val="17"/>
              <w:spacing w:before="76"/>
              <w:ind w:left="9"/>
              <w:rPr>
                <w:rFonts w:ascii="Times New Roman"/>
                <w:sz w:val="21"/>
              </w:rPr>
            </w:pPr>
            <w:r>
              <w:rPr>
                <w:rFonts w:ascii="Times New Roman"/>
                <w:w w:val="99"/>
                <w:sz w:val="21"/>
              </w:rPr>
              <w:t>/</w:t>
            </w:r>
          </w:p>
        </w:tc>
        <w:tc>
          <w:tcPr>
            <w:tcW w:w="1019" w:type="dxa"/>
          </w:tcPr>
          <w:p w14:paraId="13DA103D">
            <w:pPr>
              <w:pStyle w:val="17"/>
              <w:spacing w:before="76"/>
              <w:ind w:left="10"/>
              <w:rPr>
                <w:rFonts w:ascii="Times New Roman"/>
                <w:sz w:val="21"/>
              </w:rPr>
            </w:pPr>
            <w:r>
              <w:rPr>
                <w:rFonts w:ascii="Times New Roman"/>
                <w:w w:val="99"/>
                <w:sz w:val="21"/>
              </w:rPr>
              <w:t>/</w:t>
            </w:r>
          </w:p>
        </w:tc>
        <w:tc>
          <w:tcPr>
            <w:tcW w:w="1200" w:type="dxa"/>
          </w:tcPr>
          <w:p w14:paraId="6797C18D">
            <w:pPr>
              <w:pStyle w:val="17"/>
              <w:spacing w:before="76"/>
              <w:ind w:left="8"/>
              <w:rPr>
                <w:rFonts w:ascii="Times New Roman"/>
                <w:sz w:val="21"/>
              </w:rPr>
            </w:pPr>
            <w:r>
              <w:rPr>
                <w:rFonts w:ascii="Times New Roman"/>
                <w:w w:val="99"/>
                <w:sz w:val="21"/>
              </w:rPr>
              <w:t>/</w:t>
            </w:r>
          </w:p>
        </w:tc>
        <w:tc>
          <w:tcPr>
            <w:tcW w:w="1010" w:type="dxa"/>
          </w:tcPr>
          <w:p w14:paraId="4A8A5A84">
            <w:pPr>
              <w:pStyle w:val="17"/>
              <w:spacing w:before="76"/>
              <w:ind w:left="11"/>
              <w:rPr>
                <w:rFonts w:ascii="Times New Roman"/>
                <w:sz w:val="21"/>
              </w:rPr>
            </w:pPr>
            <w:r>
              <w:rPr>
                <w:rFonts w:ascii="Times New Roman"/>
                <w:w w:val="99"/>
                <w:sz w:val="21"/>
              </w:rPr>
              <w:t>/</w:t>
            </w:r>
          </w:p>
        </w:tc>
        <w:tc>
          <w:tcPr>
            <w:tcW w:w="1200" w:type="dxa"/>
          </w:tcPr>
          <w:p w14:paraId="2E793F30">
            <w:pPr>
              <w:pStyle w:val="17"/>
              <w:spacing w:before="76"/>
              <w:ind w:left="9"/>
              <w:rPr>
                <w:rFonts w:ascii="Times New Roman"/>
                <w:sz w:val="21"/>
              </w:rPr>
            </w:pPr>
            <w:r>
              <w:rPr>
                <w:rFonts w:ascii="Times New Roman"/>
                <w:w w:val="99"/>
                <w:sz w:val="21"/>
              </w:rPr>
              <w:t>/</w:t>
            </w:r>
          </w:p>
        </w:tc>
        <w:tc>
          <w:tcPr>
            <w:tcW w:w="1010" w:type="dxa"/>
          </w:tcPr>
          <w:p w14:paraId="5429EF42">
            <w:pPr>
              <w:pStyle w:val="17"/>
              <w:spacing w:before="76"/>
              <w:ind w:left="7"/>
              <w:rPr>
                <w:rFonts w:ascii="Times New Roman"/>
                <w:sz w:val="21"/>
              </w:rPr>
            </w:pPr>
            <w:r>
              <w:rPr>
                <w:rFonts w:ascii="Times New Roman"/>
                <w:w w:val="99"/>
                <w:sz w:val="21"/>
              </w:rPr>
              <w:t>/</w:t>
            </w:r>
          </w:p>
        </w:tc>
        <w:tc>
          <w:tcPr>
            <w:tcW w:w="1167" w:type="dxa"/>
          </w:tcPr>
          <w:p w14:paraId="6436E6F6">
            <w:pPr>
              <w:pStyle w:val="17"/>
              <w:spacing w:before="76"/>
              <w:ind w:left="140" w:right="135"/>
              <w:rPr>
                <w:rFonts w:ascii="Times New Roman"/>
                <w:sz w:val="21"/>
              </w:rPr>
            </w:pPr>
            <w:r>
              <w:rPr>
                <w:rFonts w:ascii="Times New Roman"/>
                <w:sz w:val="21"/>
              </w:rPr>
              <w:t>0.0071</w:t>
            </w:r>
          </w:p>
        </w:tc>
        <w:tc>
          <w:tcPr>
            <w:tcW w:w="1204" w:type="dxa"/>
          </w:tcPr>
          <w:p w14:paraId="3689902E">
            <w:pPr>
              <w:pStyle w:val="17"/>
              <w:spacing w:before="76"/>
              <w:ind w:left="160" w:right="152"/>
              <w:rPr>
                <w:rFonts w:ascii="Times New Roman"/>
                <w:sz w:val="21"/>
              </w:rPr>
            </w:pPr>
            <w:r>
              <w:rPr>
                <w:rFonts w:ascii="Times New Roman"/>
                <w:sz w:val="21"/>
              </w:rPr>
              <w:t>0.036</w:t>
            </w:r>
          </w:p>
        </w:tc>
        <w:tc>
          <w:tcPr>
            <w:tcW w:w="1167" w:type="dxa"/>
          </w:tcPr>
          <w:p w14:paraId="2F9D17C9">
            <w:pPr>
              <w:pStyle w:val="17"/>
              <w:spacing w:before="76"/>
              <w:ind w:left="345"/>
              <w:jc w:val="left"/>
              <w:rPr>
                <w:rFonts w:ascii="Times New Roman"/>
                <w:sz w:val="21"/>
              </w:rPr>
            </w:pPr>
            <w:r>
              <w:rPr>
                <w:rFonts w:ascii="Times New Roman"/>
                <w:sz w:val="21"/>
              </w:rPr>
              <w:t>0.039</w:t>
            </w:r>
          </w:p>
        </w:tc>
        <w:tc>
          <w:tcPr>
            <w:tcW w:w="1204" w:type="dxa"/>
          </w:tcPr>
          <w:p w14:paraId="0D16115B">
            <w:pPr>
              <w:pStyle w:val="17"/>
              <w:spacing w:before="76"/>
              <w:ind w:left="160" w:right="152"/>
              <w:rPr>
                <w:rFonts w:ascii="Times New Roman"/>
                <w:sz w:val="21"/>
              </w:rPr>
            </w:pPr>
            <w:r>
              <w:rPr>
                <w:rFonts w:ascii="Times New Roman"/>
                <w:sz w:val="21"/>
              </w:rPr>
              <w:t>0.195</w:t>
            </w:r>
          </w:p>
        </w:tc>
        <w:tc>
          <w:tcPr>
            <w:tcW w:w="1173" w:type="dxa"/>
          </w:tcPr>
          <w:p w14:paraId="2F8AB28B">
            <w:pPr>
              <w:pStyle w:val="17"/>
              <w:spacing w:before="76"/>
              <w:ind w:left="244" w:right="237"/>
              <w:rPr>
                <w:rFonts w:ascii="Times New Roman"/>
                <w:sz w:val="21"/>
              </w:rPr>
            </w:pPr>
            <w:r>
              <w:rPr>
                <w:rFonts w:ascii="Times New Roman"/>
                <w:sz w:val="21"/>
              </w:rPr>
              <w:t>0.2</w:t>
            </w:r>
          </w:p>
        </w:tc>
        <w:tc>
          <w:tcPr>
            <w:tcW w:w="1173" w:type="dxa"/>
            <w:tcBorders>
              <w:right w:val="nil"/>
            </w:tcBorders>
          </w:tcPr>
          <w:p w14:paraId="796E319F">
            <w:pPr>
              <w:pStyle w:val="17"/>
              <w:spacing w:before="62"/>
              <w:ind w:left="356" w:right="351"/>
              <w:rPr>
                <w:sz w:val="21"/>
              </w:rPr>
            </w:pPr>
            <w:r>
              <w:rPr>
                <w:sz w:val="21"/>
              </w:rPr>
              <w:t>达标</w:t>
            </w:r>
          </w:p>
        </w:tc>
      </w:tr>
      <w:tr w14:paraId="09CC6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7B8E3251">
            <w:pPr>
              <w:pStyle w:val="17"/>
              <w:spacing w:before="63"/>
              <w:ind w:left="76" w:right="67"/>
              <w:rPr>
                <w:sz w:val="21"/>
              </w:rPr>
            </w:pPr>
            <w:r>
              <w:rPr>
                <w:sz w:val="21"/>
              </w:rPr>
              <w:t>总大肠菌群</w:t>
            </w:r>
          </w:p>
        </w:tc>
        <w:tc>
          <w:tcPr>
            <w:tcW w:w="1188" w:type="dxa"/>
          </w:tcPr>
          <w:p w14:paraId="189E9B06">
            <w:pPr>
              <w:pStyle w:val="17"/>
              <w:spacing w:before="77"/>
              <w:ind w:left="152" w:right="144"/>
              <w:rPr>
                <w:rFonts w:ascii="Times New Roman"/>
                <w:sz w:val="21"/>
              </w:rPr>
            </w:pPr>
            <w:r>
              <w:rPr>
                <w:rFonts w:ascii="Times New Roman"/>
                <w:sz w:val="21"/>
              </w:rPr>
              <w:t>ND</w:t>
            </w:r>
          </w:p>
        </w:tc>
        <w:tc>
          <w:tcPr>
            <w:tcW w:w="1019" w:type="dxa"/>
          </w:tcPr>
          <w:p w14:paraId="03E44203">
            <w:pPr>
              <w:pStyle w:val="17"/>
              <w:spacing w:before="77"/>
              <w:ind w:left="10"/>
              <w:rPr>
                <w:rFonts w:ascii="Times New Roman"/>
                <w:sz w:val="21"/>
              </w:rPr>
            </w:pPr>
            <w:r>
              <w:rPr>
                <w:rFonts w:ascii="Times New Roman"/>
                <w:w w:val="99"/>
                <w:sz w:val="21"/>
              </w:rPr>
              <w:t>/</w:t>
            </w:r>
          </w:p>
        </w:tc>
        <w:tc>
          <w:tcPr>
            <w:tcW w:w="1200" w:type="dxa"/>
          </w:tcPr>
          <w:p w14:paraId="149D47E8">
            <w:pPr>
              <w:pStyle w:val="17"/>
              <w:spacing w:before="77"/>
              <w:ind w:left="158" w:right="150"/>
              <w:rPr>
                <w:rFonts w:ascii="Times New Roman"/>
                <w:sz w:val="21"/>
              </w:rPr>
            </w:pPr>
            <w:r>
              <w:rPr>
                <w:rFonts w:ascii="Times New Roman"/>
                <w:sz w:val="21"/>
              </w:rPr>
              <w:t>ND</w:t>
            </w:r>
          </w:p>
        </w:tc>
        <w:tc>
          <w:tcPr>
            <w:tcW w:w="1010" w:type="dxa"/>
          </w:tcPr>
          <w:p w14:paraId="684FA509">
            <w:pPr>
              <w:pStyle w:val="17"/>
              <w:spacing w:before="77"/>
              <w:ind w:left="11"/>
              <w:rPr>
                <w:rFonts w:ascii="Times New Roman"/>
                <w:sz w:val="21"/>
              </w:rPr>
            </w:pPr>
            <w:r>
              <w:rPr>
                <w:rFonts w:ascii="Times New Roman"/>
                <w:w w:val="99"/>
                <w:sz w:val="21"/>
              </w:rPr>
              <w:t>/</w:t>
            </w:r>
          </w:p>
        </w:tc>
        <w:tc>
          <w:tcPr>
            <w:tcW w:w="1200" w:type="dxa"/>
          </w:tcPr>
          <w:p w14:paraId="75ED0AF4">
            <w:pPr>
              <w:pStyle w:val="17"/>
              <w:spacing w:before="77"/>
              <w:ind w:left="448"/>
              <w:jc w:val="left"/>
              <w:rPr>
                <w:rFonts w:ascii="Times New Roman"/>
                <w:sz w:val="21"/>
              </w:rPr>
            </w:pPr>
            <w:r>
              <w:rPr>
                <w:rFonts w:ascii="Times New Roman"/>
                <w:sz w:val="21"/>
              </w:rPr>
              <w:t>ND</w:t>
            </w:r>
          </w:p>
        </w:tc>
        <w:tc>
          <w:tcPr>
            <w:tcW w:w="1010" w:type="dxa"/>
          </w:tcPr>
          <w:p w14:paraId="1AD8484A">
            <w:pPr>
              <w:pStyle w:val="17"/>
              <w:spacing w:before="77"/>
              <w:ind w:left="7"/>
              <w:rPr>
                <w:rFonts w:ascii="Times New Roman"/>
                <w:sz w:val="21"/>
              </w:rPr>
            </w:pPr>
            <w:r>
              <w:rPr>
                <w:rFonts w:ascii="Times New Roman"/>
                <w:w w:val="99"/>
                <w:sz w:val="21"/>
              </w:rPr>
              <w:t>/</w:t>
            </w:r>
          </w:p>
        </w:tc>
        <w:tc>
          <w:tcPr>
            <w:tcW w:w="1167" w:type="dxa"/>
          </w:tcPr>
          <w:p w14:paraId="63678502">
            <w:pPr>
              <w:pStyle w:val="17"/>
              <w:spacing w:before="77"/>
              <w:ind w:left="142" w:right="133"/>
              <w:rPr>
                <w:rFonts w:ascii="Times New Roman"/>
                <w:sz w:val="21"/>
              </w:rPr>
            </w:pPr>
            <w:r>
              <w:rPr>
                <w:rFonts w:ascii="Times New Roman"/>
                <w:sz w:val="21"/>
              </w:rPr>
              <w:t>ND</w:t>
            </w:r>
          </w:p>
        </w:tc>
        <w:tc>
          <w:tcPr>
            <w:tcW w:w="1204" w:type="dxa"/>
          </w:tcPr>
          <w:p w14:paraId="04A8790A">
            <w:pPr>
              <w:pStyle w:val="17"/>
              <w:spacing w:before="77"/>
              <w:ind w:left="10"/>
              <w:rPr>
                <w:rFonts w:ascii="Times New Roman"/>
                <w:sz w:val="21"/>
              </w:rPr>
            </w:pPr>
            <w:r>
              <w:rPr>
                <w:rFonts w:ascii="Times New Roman"/>
                <w:w w:val="99"/>
                <w:sz w:val="21"/>
              </w:rPr>
              <w:t>/</w:t>
            </w:r>
          </w:p>
        </w:tc>
        <w:tc>
          <w:tcPr>
            <w:tcW w:w="1167" w:type="dxa"/>
          </w:tcPr>
          <w:p w14:paraId="28F1498A">
            <w:pPr>
              <w:pStyle w:val="17"/>
              <w:spacing w:before="77"/>
              <w:ind w:left="432"/>
              <w:jc w:val="left"/>
              <w:rPr>
                <w:rFonts w:ascii="Times New Roman"/>
                <w:sz w:val="21"/>
              </w:rPr>
            </w:pPr>
            <w:r>
              <w:rPr>
                <w:rFonts w:ascii="Times New Roman"/>
                <w:sz w:val="21"/>
              </w:rPr>
              <w:t>ND</w:t>
            </w:r>
          </w:p>
        </w:tc>
        <w:tc>
          <w:tcPr>
            <w:tcW w:w="1204" w:type="dxa"/>
          </w:tcPr>
          <w:p w14:paraId="487756E4">
            <w:pPr>
              <w:pStyle w:val="17"/>
              <w:spacing w:before="77"/>
              <w:ind w:left="10"/>
              <w:rPr>
                <w:rFonts w:ascii="Times New Roman"/>
                <w:sz w:val="21"/>
              </w:rPr>
            </w:pPr>
            <w:r>
              <w:rPr>
                <w:rFonts w:ascii="Times New Roman"/>
                <w:w w:val="99"/>
                <w:sz w:val="21"/>
              </w:rPr>
              <w:t>/</w:t>
            </w:r>
          </w:p>
        </w:tc>
        <w:tc>
          <w:tcPr>
            <w:tcW w:w="1173" w:type="dxa"/>
          </w:tcPr>
          <w:p w14:paraId="7610B57A">
            <w:pPr>
              <w:pStyle w:val="17"/>
              <w:spacing w:before="77"/>
              <w:ind w:left="244" w:right="237"/>
              <w:rPr>
                <w:rFonts w:ascii="Times New Roman"/>
                <w:sz w:val="21"/>
              </w:rPr>
            </w:pPr>
            <w:r>
              <w:rPr>
                <w:rFonts w:ascii="Times New Roman"/>
                <w:sz w:val="21"/>
              </w:rPr>
              <w:t>3.0</w:t>
            </w:r>
          </w:p>
        </w:tc>
        <w:tc>
          <w:tcPr>
            <w:tcW w:w="1173" w:type="dxa"/>
            <w:tcBorders>
              <w:right w:val="nil"/>
            </w:tcBorders>
          </w:tcPr>
          <w:p w14:paraId="4EB63095">
            <w:pPr>
              <w:pStyle w:val="17"/>
              <w:spacing w:before="63"/>
              <w:ind w:left="356" w:right="351"/>
              <w:rPr>
                <w:sz w:val="21"/>
              </w:rPr>
            </w:pPr>
            <w:r>
              <w:rPr>
                <w:sz w:val="21"/>
              </w:rPr>
              <w:t>达标</w:t>
            </w:r>
          </w:p>
        </w:tc>
      </w:tr>
      <w:tr w14:paraId="34244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2A053C76">
            <w:pPr>
              <w:pStyle w:val="17"/>
              <w:spacing w:before="64"/>
              <w:ind w:left="76" w:right="67"/>
              <w:rPr>
                <w:sz w:val="21"/>
              </w:rPr>
            </w:pPr>
            <w:r>
              <w:rPr>
                <w:sz w:val="21"/>
              </w:rPr>
              <w:t>菌落总数</w:t>
            </w:r>
          </w:p>
        </w:tc>
        <w:tc>
          <w:tcPr>
            <w:tcW w:w="1188" w:type="dxa"/>
          </w:tcPr>
          <w:p w14:paraId="0C501D68">
            <w:pPr>
              <w:pStyle w:val="17"/>
              <w:spacing w:before="78"/>
              <w:ind w:left="9"/>
              <w:rPr>
                <w:rFonts w:ascii="Times New Roman"/>
                <w:sz w:val="21"/>
              </w:rPr>
            </w:pPr>
            <w:r>
              <w:rPr>
                <w:rFonts w:ascii="Times New Roman"/>
                <w:w w:val="99"/>
                <w:sz w:val="21"/>
              </w:rPr>
              <w:t>/</w:t>
            </w:r>
          </w:p>
        </w:tc>
        <w:tc>
          <w:tcPr>
            <w:tcW w:w="1019" w:type="dxa"/>
          </w:tcPr>
          <w:p w14:paraId="283366E8">
            <w:pPr>
              <w:pStyle w:val="17"/>
              <w:spacing w:before="78"/>
              <w:ind w:left="10"/>
              <w:rPr>
                <w:rFonts w:ascii="Times New Roman"/>
                <w:sz w:val="21"/>
              </w:rPr>
            </w:pPr>
            <w:r>
              <w:rPr>
                <w:rFonts w:ascii="Times New Roman"/>
                <w:w w:val="99"/>
                <w:sz w:val="21"/>
              </w:rPr>
              <w:t>/</w:t>
            </w:r>
          </w:p>
        </w:tc>
        <w:tc>
          <w:tcPr>
            <w:tcW w:w="1200" w:type="dxa"/>
          </w:tcPr>
          <w:p w14:paraId="7FEB8DE6">
            <w:pPr>
              <w:pStyle w:val="17"/>
              <w:spacing w:before="78"/>
              <w:ind w:left="8"/>
              <w:rPr>
                <w:rFonts w:ascii="Times New Roman"/>
                <w:sz w:val="21"/>
              </w:rPr>
            </w:pPr>
            <w:r>
              <w:rPr>
                <w:rFonts w:ascii="Times New Roman"/>
                <w:w w:val="99"/>
                <w:sz w:val="21"/>
              </w:rPr>
              <w:t>/</w:t>
            </w:r>
          </w:p>
        </w:tc>
        <w:tc>
          <w:tcPr>
            <w:tcW w:w="1010" w:type="dxa"/>
          </w:tcPr>
          <w:p w14:paraId="6D87ABC6">
            <w:pPr>
              <w:pStyle w:val="17"/>
              <w:spacing w:before="78"/>
              <w:ind w:left="11"/>
              <w:rPr>
                <w:rFonts w:ascii="Times New Roman"/>
                <w:sz w:val="21"/>
              </w:rPr>
            </w:pPr>
            <w:r>
              <w:rPr>
                <w:rFonts w:ascii="Times New Roman"/>
                <w:w w:val="99"/>
                <w:sz w:val="21"/>
              </w:rPr>
              <w:t>/</w:t>
            </w:r>
          </w:p>
        </w:tc>
        <w:tc>
          <w:tcPr>
            <w:tcW w:w="1200" w:type="dxa"/>
          </w:tcPr>
          <w:p w14:paraId="165FA0DA">
            <w:pPr>
              <w:pStyle w:val="17"/>
              <w:spacing w:before="78"/>
              <w:ind w:left="9"/>
              <w:rPr>
                <w:rFonts w:ascii="Times New Roman"/>
                <w:sz w:val="21"/>
              </w:rPr>
            </w:pPr>
            <w:r>
              <w:rPr>
                <w:rFonts w:ascii="Times New Roman"/>
                <w:w w:val="99"/>
                <w:sz w:val="21"/>
              </w:rPr>
              <w:t>/</w:t>
            </w:r>
          </w:p>
        </w:tc>
        <w:tc>
          <w:tcPr>
            <w:tcW w:w="1010" w:type="dxa"/>
          </w:tcPr>
          <w:p w14:paraId="1FC40FA1">
            <w:pPr>
              <w:pStyle w:val="17"/>
              <w:spacing w:before="78"/>
              <w:ind w:left="7"/>
              <w:rPr>
                <w:rFonts w:ascii="Times New Roman"/>
                <w:sz w:val="21"/>
              </w:rPr>
            </w:pPr>
            <w:r>
              <w:rPr>
                <w:rFonts w:ascii="Times New Roman"/>
                <w:w w:val="99"/>
                <w:sz w:val="21"/>
              </w:rPr>
              <w:t>/</w:t>
            </w:r>
          </w:p>
        </w:tc>
        <w:tc>
          <w:tcPr>
            <w:tcW w:w="1167" w:type="dxa"/>
          </w:tcPr>
          <w:p w14:paraId="7AE9BC8B">
            <w:pPr>
              <w:pStyle w:val="17"/>
              <w:spacing w:before="78"/>
              <w:ind w:left="142" w:right="134"/>
              <w:rPr>
                <w:rFonts w:ascii="Times New Roman"/>
                <w:sz w:val="21"/>
              </w:rPr>
            </w:pPr>
            <w:r>
              <w:rPr>
                <w:rFonts w:ascii="Times New Roman"/>
                <w:sz w:val="21"/>
              </w:rPr>
              <w:t>10</w:t>
            </w:r>
          </w:p>
        </w:tc>
        <w:tc>
          <w:tcPr>
            <w:tcW w:w="1204" w:type="dxa"/>
          </w:tcPr>
          <w:p w14:paraId="25609455">
            <w:pPr>
              <w:pStyle w:val="17"/>
              <w:spacing w:before="78"/>
              <w:ind w:left="160" w:right="152"/>
              <w:rPr>
                <w:rFonts w:ascii="Times New Roman"/>
                <w:sz w:val="21"/>
              </w:rPr>
            </w:pPr>
            <w:r>
              <w:rPr>
                <w:rFonts w:ascii="Times New Roman"/>
                <w:sz w:val="21"/>
              </w:rPr>
              <w:t>0.1</w:t>
            </w:r>
          </w:p>
        </w:tc>
        <w:tc>
          <w:tcPr>
            <w:tcW w:w="1167" w:type="dxa"/>
          </w:tcPr>
          <w:p w14:paraId="0B48BF73">
            <w:pPr>
              <w:pStyle w:val="17"/>
              <w:spacing w:before="78"/>
              <w:ind w:left="8"/>
              <w:rPr>
                <w:rFonts w:ascii="Times New Roman"/>
                <w:sz w:val="21"/>
              </w:rPr>
            </w:pPr>
            <w:r>
              <w:rPr>
                <w:rFonts w:ascii="Times New Roman"/>
                <w:w w:val="99"/>
                <w:sz w:val="21"/>
              </w:rPr>
              <w:t>9</w:t>
            </w:r>
          </w:p>
        </w:tc>
        <w:tc>
          <w:tcPr>
            <w:tcW w:w="1204" w:type="dxa"/>
          </w:tcPr>
          <w:p w14:paraId="6E0915DC">
            <w:pPr>
              <w:pStyle w:val="17"/>
              <w:spacing w:before="78"/>
              <w:ind w:left="160" w:right="152"/>
              <w:rPr>
                <w:rFonts w:ascii="Times New Roman"/>
                <w:sz w:val="21"/>
              </w:rPr>
            </w:pPr>
            <w:r>
              <w:rPr>
                <w:rFonts w:ascii="Times New Roman"/>
                <w:sz w:val="21"/>
              </w:rPr>
              <w:t>0.09</w:t>
            </w:r>
          </w:p>
        </w:tc>
        <w:tc>
          <w:tcPr>
            <w:tcW w:w="1173" w:type="dxa"/>
          </w:tcPr>
          <w:p w14:paraId="198ECB55">
            <w:pPr>
              <w:pStyle w:val="17"/>
              <w:spacing w:before="78"/>
              <w:ind w:left="244" w:right="237"/>
              <w:rPr>
                <w:rFonts w:ascii="Times New Roman"/>
                <w:sz w:val="21"/>
              </w:rPr>
            </w:pPr>
            <w:r>
              <w:rPr>
                <w:rFonts w:ascii="Times New Roman"/>
                <w:sz w:val="21"/>
              </w:rPr>
              <w:t>100</w:t>
            </w:r>
          </w:p>
        </w:tc>
        <w:tc>
          <w:tcPr>
            <w:tcW w:w="1173" w:type="dxa"/>
            <w:tcBorders>
              <w:right w:val="nil"/>
            </w:tcBorders>
          </w:tcPr>
          <w:p w14:paraId="3B47ECA4">
            <w:pPr>
              <w:pStyle w:val="17"/>
              <w:spacing w:before="64"/>
              <w:ind w:left="356" w:right="351"/>
              <w:rPr>
                <w:sz w:val="21"/>
              </w:rPr>
            </w:pPr>
            <w:r>
              <w:rPr>
                <w:sz w:val="21"/>
              </w:rPr>
              <w:t>达标</w:t>
            </w:r>
          </w:p>
        </w:tc>
      </w:tr>
      <w:tr w14:paraId="520CC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1" w:type="dxa"/>
            <w:tcBorders>
              <w:left w:val="nil"/>
            </w:tcBorders>
          </w:tcPr>
          <w:p w14:paraId="6D327093">
            <w:pPr>
              <w:pStyle w:val="17"/>
              <w:spacing w:before="62"/>
              <w:ind w:left="9"/>
              <w:rPr>
                <w:sz w:val="21"/>
              </w:rPr>
            </w:pPr>
            <w:r>
              <w:rPr>
                <w:w w:val="99"/>
                <w:sz w:val="21"/>
              </w:rPr>
              <w:t>钴</w:t>
            </w:r>
          </w:p>
        </w:tc>
        <w:tc>
          <w:tcPr>
            <w:tcW w:w="1188" w:type="dxa"/>
          </w:tcPr>
          <w:p w14:paraId="4F812492">
            <w:pPr>
              <w:pStyle w:val="17"/>
              <w:spacing w:before="76"/>
              <w:ind w:left="152" w:right="144"/>
              <w:rPr>
                <w:rFonts w:ascii="Times New Roman"/>
                <w:sz w:val="21"/>
              </w:rPr>
            </w:pPr>
            <w:r>
              <w:rPr>
                <w:rFonts w:ascii="Times New Roman"/>
                <w:sz w:val="21"/>
              </w:rPr>
              <w:t>ND</w:t>
            </w:r>
          </w:p>
        </w:tc>
        <w:tc>
          <w:tcPr>
            <w:tcW w:w="1019" w:type="dxa"/>
          </w:tcPr>
          <w:p w14:paraId="63B6D8D7">
            <w:pPr>
              <w:pStyle w:val="17"/>
              <w:spacing w:before="76"/>
              <w:ind w:left="10"/>
              <w:rPr>
                <w:rFonts w:ascii="Times New Roman"/>
                <w:sz w:val="21"/>
              </w:rPr>
            </w:pPr>
            <w:r>
              <w:rPr>
                <w:rFonts w:ascii="Times New Roman"/>
                <w:w w:val="99"/>
                <w:sz w:val="21"/>
              </w:rPr>
              <w:t>/</w:t>
            </w:r>
          </w:p>
        </w:tc>
        <w:tc>
          <w:tcPr>
            <w:tcW w:w="1200" w:type="dxa"/>
          </w:tcPr>
          <w:p w14:paraId="2917495B">
            <w:pPr>
              <w:pStyle w:val="17"/>
              <w:spacing w:before="76"/>
              <w:ind w:left="158" w:right="150"/>
              <w:rPr>
                <w:rFonts w:ascii="Times New Roman"/>
                <w:sz w:val="21"/>
              </w:rPr>
            </w:pPr>
            <w:r>
              <w:rPr>
                <w:rFonts w:ascii="Times New Roman"/>
                <w:sz w:val="21"/>
              </w:rPr>
              <w:t>ND</w:t>
            </w:r>
          </w:p>
        </w:tc>
        <w:tc>
          <w:tcPr>
            <w:tcW w:w="1010" w:type="dxa"/>
          </w:tcPr>
          <w:p w14:paraId="3D296ABD">
            <w:pPr>
              <w:pStyle w:val="17"/>
              <w:spacing w:before="76"/>
              <w:ind w:left="11"/>
              <w:rPr>
                <w:rFonts w:ascii="Times New Roman"/>
                <w:sz w:val="21"/>
              </w:rPr>
            </w:pPr>
            <w:r>
              <w:rPr>
                <w:rFonts w:ascii="Times New Roman"/>
                <w:w w:val="99"/>
                <w:sz w:val="21"/>
              </w:rPr>
              <w:t>/</w:t>
            </w:r>
          </w:p>
        </w:tc>
        <w:tc>
          <w:tcPr>
            <w:tcW w:w="1200" w:type="dxa"/>
          </w:tcPr>
          <w:p w14:paraId="3E06EE27">
            <w:pPr>
              <w:pStyle w:val="17"/>
              <w:spacing w:before="76"/>
              <w:ind w:left="448"/>
              <w:jc w:val="left"/>
              <w:rPr>
                <w:rFonts w:ascii="Times New Roman"/>
                <w:sz w:val="21"/>
              </w:rPr>
            </w:pPr>
            <w:r>
              <w:rPr>
                <w:rFonts w:ascii="Times New Roman"/>
                <w:sz w:val="21"/>
              </w:rPr>
              <w:t>ND</w:t>
            </w:r>
          </w:p>
        </w:tc>
        <w:tc>
          <w:tcPr>
            <w:tcW w:w="1010" w:type="dxa"/>
          </w:tcPr>
          <w:p w14:paraId="471A28FB">
            <w:pPr>
              <w:pStyle w:val="17"/>
              <w:spacing w:before="76"/>
              <w:ind w:left="7"/>
              <w:rPr>
                <w:rFonts w:ascii="Times New Roman"/>
                <w:sz w:val="21"/>
              </w:rPr>
            </w:pPr>
            <w:r>
              <w:rPr>
                <w:rFonts w:ascii="Times New Roman"/>
                <w:w w:val="99"/>
                <w:sz w:val="21"/>
              </w:rPr>
              <w:t>/</w:t>
            </w:r>
          </w:p>
        </w:tc>
        <w:tc>
          <w:tcPr>
            <w:tcW w:w="1167" w:type="dxa"/>
          </w:tcPr>
          <w:p w14:paraId="2A72851F">
            <w:pPr>
              <w:pStyle w:val="17"/>
              <w:spacing w:before="76"/>
              <w:ind w:left="142" w:right="133"/>
              <w:rPr>
                <w:rFonts w:ascii="Times New Roman"/>
                <w:sz w:val="21"/>
              </w:rPr>
            </w:pPr>
            <w:r>
              <w:rPr>
                <w:rFonts w:ascii="Times New Roman"/>
                <w:sz w:val="21"/>
              </w:rPr>
              <w:t>ND</w:t>
            </w:r>
          </w:p>
        </w:tc>
        <w:tc>
          <w:tcPr>
            <w:tcW w:w="1204" w:type="dxa"/>
          </w:tcPr>
          <w:p w14:paraId="043BE93C">
            <w:pPr>
              <w:pStyle w:val="17"/>
              <w:spacing w:before="76"/>
              <w:ind w:left="10"/>
              <w:rPr>
                <w:rFonts w:ascii="Times New Roman"/>
                <w:sz w:val="21"/>
              </w:rPr>
            </w:pPr>
            <w:r>
              <w:rPr>
                <w:rFonts w:ascii="Times New Roman"/>
                <w:w w:val="99"/>
                <w:sz w:val="21"/>
              </w:rPr>
              <w:t>/</w:t>
            </w:r>
          </w:p>
        </w:tc>
        <w:tc>
          <w:tcPr>
            <w:tcW w:w="1167" w:type="dxa"/>
          </w:tcPr>
          <w:p w14:paraId="6F60FF07">
            <w:pPr>
              <w:pStyle w:val="17"/>
              <w:spacing w:before="76"/>
              <w:ind w:left="432"/>
              <w:jc w:val="left"/>
              <w:rPr>
                <w:rFonts w:ascii="Times New Roman"/>
                <w:sz w:val="21"/>
              </w:rPr>
            </w:pPr>
            <w:r>
              <w:rPr>
                <w:rFonts w:ascii="Times New Roman"/>
                <w:sz w:val="21"/>
              </w:rPr>
              <w:t>ND</w:t>
            </w:r>
          </w:p>
        </w:tc>
        <w:tc>
          <w:tcPr>
            <w:tcW w:w="1204" w:type="dxa"/>
          </w:tcPr>
          <w:p w14:paraId="0674E411">
            <w:pPr>
              <w:pStyle w:val="17"/>
              <w:spacing w:before="76"/>
              <w:ind w:left="10"/>
              <w:rPr>
                <w:rFonts w:ascii="Times New Roman"/>
                <w:sz w:val="21"/>
              </w:rPr>
            </w:pPr>
            <w:r>
              <w:rPr>
                <w:rFonts w:ascii="Times New Roman"/>
                <w:w w:val="99"/>
                <w:sz w:val="21"/>
              </w:rPr>
              <w:t>/</w:t>
            </w:r>
          </w:p>
        </w:tc>
        <w:tc>
          <w:tcPr>
            <w:tcW w:w="1173" w:type="dxa"/>
          </w:tcPr>
          <w:p w14:paraId="3AC1B1CE">
            <w:pPr>
              <w:pStyle w:val="17"/>
              <w:spacing w:before="76"/>
              <w:ind w:left="244" w:right="237"/>
              <w:rPr>
                <w:rFonts w:ascii="Times New Roman"/>
                <w:sz w:val="21"/>
              </w:rPr>
            </w:pPr>
            <w:r>
              <w:rPr>
                <w:rFonts w:ascii="Times New Roman"/>
                <w:sz w:val="21"/>
              </w:rPr>
              <w:t>0.05</w:t>
            </w:r>
          </w:p>
        </w:tc>
        <w:tc>
          <w:tcPr>
            <w:tcW w:w="1173" w:type="dxa"/>
            <w:tcBorders>
              <w:right w:val="nil"/>
            </w:tcBorders>
          </w:tcPr>
          <w:p w14:paraId="78D7ABA7">
            <w:pPr>
              <w:pStyle w:val="17"/>
              <w:spacing w:before="62"/>
              <w:ind w:left="356" w:right="351"/>
              <w:rPr>
                <w:sz w:val="21"/>
              </w:rPr>
            </w:pPr>
            <w:r>
              <w:rPr>
                <w:sz w:val="21"/>
              </w:rPr>
              <w:t>达标</w:t>
            </w:r>
          </w:p>
        </w:tc>
      </w:tr>
      <w:tr w14:paraId="359C5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19363C7F">
            <w:pPr>
              <w:pStyle w:val="17"/>
              <w:spacing w:before="63"/>
              <w:ind w:left="9"/>
              <w:rPr>
                <w:sz w:val="21"/>
              </w:rPr>
            </w:pPr>
            <w:r>
              <w:rPr>
                <w:w w:val="99"/>
                <w:sz w:val="21"/>
              </w:rPr>
              <w:t>锂</w:t>
            </w:r>
          </w:p>
        </w:tc>
        <w:tc>
          <w:tcPr>
            <w:tcW w:w="1188" w:type="dxa"/>
          </w:tcPr>
          <w:p w14:paraId="78447670">
            <w:pPr>
              <w:pStyle w:val="17"/>
              <w:spacing w:before="77"/>
              <w:ind w:left="152" w:right="144"/>
              <w:rPr>
                <w:rFonts w:ascii="Times New Roman"/>
                <w:sz w:val="21"/>
              </w:rPr>
            </w:pPr>
            <w:r>
              <w:rPr>
                <w:rFonts w:ascii="Times New Roman"/>
                <w:sz w:val="21"/>
              </w:rPr>
              <w:t>ND</w:t>
            </w:r>
          </w:p>
        </w:tc>
        <w:tc>
          <w:tcPr>
            <w:tcW w:w="1019" w:type="dxa"/>
          </w:tcPr>
          <w:p w14:paraId="59261253">
            <w:pPr>
              <w:pStyle w:val="17"/>
              <w:spacing w:before="77"/>
              <w:ind w:left="10"/>
              <w:rPr>
                <w:rFonts w:ascii="Times New Roman"/>
                <w:sz w:val="21"/>
              </w:rPr>
            </w:pPr>
            <w:r>
              <w:rPr>
                <w:rFonts w:ascii="Times New Roman"/>
                <w:w w:val="99"/>
                <w:sz w:val="21"/>
              </w:rPr>
              <w:t>/</w:t>
            </w:r>
          </w:p>
        </w:tc>
        <w:tc>
          <w:tcPr>
            <w:tcW w:w="1200" w:type="dxa"/>
          </w:tcPr>
          <w:p w14:paraId="6A2F7761">
            <w:pPr>
              <w:pStyle w:val="17"/>
              <w:spacing w:before="77"/>
              <w:ind w:left="158" w:right="150"/>
              <w:rPr>
                <w:rFonts w:ascii="Times New Roman"/>
                <w:sz w:val="21"/>
              </w:rPr>
            </w:pPr>
            <w:r>
              <w:rPr>
                <w:rFonts w:ascii="Times New Roman"/>
                <w:sz w:val="21"/>
              </w:rPr>
              <w:t>ND</w:t>
            </w:r>
          </w:p>
        </w:tc>
        <w:tc>
          <w:tcPr>
            <w:tcW w:w="1010" w:type="dxa"/>
          </w:tcPr>
          <w:p w14:paraId="7E34823D">
            <w:pPr>
              <w:pStyle w:val="17"/>
              <w:spacing w:before="77"/>
              <w:ind w:left="11"/>
              <w:rPr>
                <w:rFonts w:ascii="Times New Roman"/>
                <w:sz w:val="21"/>
              </w:rPr>
            </w:pPr>
            <w:r>
              <w:rPr>
                <w:rFonts w:ascii="Times New Roman"/>
                <w:w w:val="99"/>
                <w:sz w:val="21"/>
              </w:rPr>
              <w:t>/</w:t>
            </w:r>
          </w:p>
        </w:tc>
        <w:tc>
          <w:tcPr>
            <w:tcW w:w="1200" w:type="dxa"/>
          </w:tcPr>
          <w:p w14:paraId="77483A7F">
            <w:pPr>
              <w:pStyle w:val="17"/>
              <w:spacing w:before="77"/>
              <w:ind w:left="448"/>
              <w:jc w:val="left"/>
              <w:rPr>
                <w:rFonts w:ascii="Times New Roman"/>
                <w:sz w:val="21"/>
              </w:rPr>
            </w:pPr>
            <w:r>
              <w:rPr>
                <w:rFonts w:ascii="Times New Roman"/>
                <w:sz w:val="21"/>
              </w:rPr>
              <w:t>ND</w:t>
            </w:r>
          </w:p>
        </w:tc>
        <w:tc>
          <w:tcPr>
            <w:tcW w:w="1010" w:type="dxa"/>
          </w:tcPr>
          <w:p w14:paraId="31912A73">
            <w:pPr>
              <w:pStyle w:val="17"/>
              <w:spacing w:before="77"/>
              <w:ind w:left="7"/>
              <w:rPr>
                <w:rFonts w:ascii="Times New Roman"/>
                <w:sz w:val="21"/>
              </w:rPr>
            </w:pPr>
            <w:r>
              <w:rPr>
                <w:rFonts w:ascii="Times New Roman"/>
                <w:w w:val="99"/>
                <w:sz w:val="21"/>
              </w:rPr>
              <w:t>/</w:t>
            </w:r>
          </w:p>
        </w:tc>
        <w:tc>
          <w:tcPr>
            <w:tcW w:w="1167" w:type="dxa"/>
          </w:tcPr>
          <w:p w14:paraId="76A59CF0">
            <w:pPr>
              <w:pStyle w:val="17"/>
              <w:spacing w:before="77"/>
              <w:ind w:left="142" w:right="133"/>
              <w:rPr>
                <w:rFonts w:ascii="Times New Roman"/>
                <w:sz w:val="21"/>
              </w:rPr>
            </w:pPr>
            <w:r>
              <w:rPr>
                <w:rFonts w:ascii="Times New Roman"/>
                <w:sz w:val="21"/>
              </w:rPr>
              <w:t>ND</w:t>
            </w:r>
          </w:p>
        </w:tc>
        <w:tc>
          <w:tcPr>
            <w:tcW w:w="1204" w:type="dxa"/>
          </w:tcPr>
          <w:p w14:paraId="540FFF75">
            <w:pPr>
              <w:pStyle w:val="17"/>
              <w:spacing w:before="77"/>
              <w:ind w:left="10"/>
              <w:rPr>
                <w:rFonts w:ascii="Times New Roman"/>
                <w:sz w:val="21"/>
              </w:rPr>
            </w:pPr>
            <w:r>
              <w:rPr>
                <w:rFonts w:ascii="Times New Roman"/>
                <w:w w:val="99"/>
                <w:sz w:val="21"/>
              </w:rPr>
              <w:t>/</w:t>
            </w:r>
          </w:p>
        </w:tc>
        <w:tc>
          <w:tcPr>
            <w:tcW w:w="1167" w:type="dxa"/>
          </w:tcPr>
          <w:p w14:paraId="0AC09FE7">
            <w:pPr>
              <w:pStyle w:val="17"/>
              <w:spacing w:before="77"/>
              <w:ind w:left="432"/>
              <w:jc w:val="left"/>
              <w:rPr>
                <w:rFonts w:ascii="Times New Roman"/>
                <w:sz w:val="21"/>
              </w:rPr>
            </w:pPr>
            <w:r>
              <w:rPr>
                <w:rFonts w:ascii="Times New Roman"/>
                <w:sz w:val="21"/>
              </w:rPr>
              <w:t>ND</w:t>
            </w:r>
          </w:p>
        </w:tc>
        <w:tc>
          <w:tcPr>
            <w:tcW w:w="1204" w:type="dxa"/>
          </w:tcPr>
          <w:p w14:paraId="70CFF715">
            <w:pPr>
              <w:pStyle w:val="17"/>
              <w:spacing w:before="77"/>
              <w:ind w:left="10"/>
              <w:rPr>
                <w:rFonts w:ascii="Times New Roman"/>
                <w:sz w:val="21"/>
              </w:rPr>
            </w:pPr>
            <w:r>
              <w:rPr>
                <w:rFonts w:ascii="Times New Roman"/>
                <w:w w:val="99"/>
                <w:sz w:val="21"/>
              </w:rPr>
              <w:t>/</w:t>
            </w:r>
          </w:p>
        </w:tc>
        <w:tc>
          <w:tcPr>
            <w:tcW w:w="1173" w:type="dxa"/>
          </w:tcPr>
          <w:p w14:paraId="372C7D32">
            <w:pPr>
              <w:pStyle w:val="17"/>
              <w:spacing w:before="77"/>
              <w:ind w:left="9"/>
              <w:rPr>
                <w:rFonts w:ascii="Times New Roman"/>
                <w:sz w:val="21"/>
              </w:rPr>
            </w:pPr>
            <w:r>
              <w:rPr>
                <w:rFonts w:ascii="Times New Roman"/>
                <w:w w:val="99"/>
                <w:sz w:val="21"/>
              </w:rPr>
              <w:t>/</w:t>
            </w:r>
          </w:p>
        </w:tc>
        <w:tc>
          <w:tcPr>
            <w:tcW w:w="1173" w:type="dxa"/>
            <w:tcBorders>
              <w:right w:val="nil"/>
            </w:tcBorders>
          </w:tcPr>
          <w:p w14:paraId="0627B60A">
            <w:pPr>
              <w:pStyle w:val="17"/>
              <w:spacing w:before="63"/>
              <w:ind w:left="356" w:right="351"/>
              <w:rPr>
                <w:sz w:val="21"/>
              </w:rPr>
            </w:pPr>
            <w:r>
              <w:rPr>
                <w:sz w:val="21"/>
              </w:rPr>
              <w:t>达标</w:t>
            </w:r>
          </w:p>
        </w:tc>
      </w:tr>
      <w:tr w14:paraId="56207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1" w:type="dxa"/>
            <w:tcBorders>
              <w:left w:val="nil"/>
            </w:tcBorders>
          </w:tcPr>
          <w:p w14:paraId="6057FF54">
            <w:pPr>
              <w:pStyle w:val="17"/>
              <w:spacing w:before="62"/>
              <w:ind w:left="76" w:right="70"/>
              <w:rPr>
                <w:sz w:val="21"/>
              </w:rPr>
            </w:pPr>
            <w:r>
              <w:rPr>
                <w:sz w:val="21"/>
              </w:rPr>
              <w:t>氰化物</w:t>
            </w:r>
          </w:p>
        </w:tc>
        <w:tc>
          <w:tcPr>
            <w:tcW w:w="1188" w:type="dxa"/>
          </w:tcPr>
          <w:p w14:paraId="53A369C5">
            <w:pPr>
              <w:pStyle w:val="17"/>
              <w:spacing w:before="76"/>
              <w:ind w:left="9"/>
              <w:rPr>
                <w:rFonts w:ascii="Times New Roman"/>
                <w:sz w:val="21"/>
              </w:rPr>
            </w:pPr>
            <w:r>
              <w:rPr>
                <w:rFonts w:ascii="Times New Roman"/>
                <w:w w:val="99"/>
                <w:sz w:val="21"/>
              </w:rPr>
              <w:t>/</w:t>
            </w:r>
          </w:p>
        </w:tc>
        <w:tc>
          <w:tcPr>
            <w:tcW w:w="1019" w:type="dxa"/>
          </w:tcPr>
          <w:p w14:paraId="6EBC985E">
            <w:pPr>
              <w:pStyle w:val="17"/>
              <w:spacing w:before="76"/>
              <w:ind w:left="10"/>
              <w:rPr>
                <w:rFonts w:ascii="Times New Roman"/>
                <w:sz w:val="21"/>
              </w:rPr>
            </w:pPr>
            <w:r>
              <w:rPr>
                <w:rFonts w:ascii="Times New Roman"/>
                <w:w w:val="99"/>
                <w:sz w:val="21"/>
              </w:rPr>
              <w:t>/</w:t>
            </w:r>
          </w:p>
        </w:tc>
        <w:tc>
          <w:tcPr>
            <w:tcW w:w="1200" w:type="dxa"/>
          </w:tcPr>
          <w:p w14:paraId="2D97428D">
            <w:pPr>
              <w:pStyle w:val="17"/>
              <w:spacing w:before="76"/>
              <w:ind w:left="8"/>
              <w:rPr>
                <w:rFonts w:ascii="Times New Roman"/>
                <w:sz w:val="21"/>
              </w:rPr>
            </w:pPr>
            <w:r>
              <w:rPr>
                <w:rFonts w:ascii="Times New Roman"/>
                <w:w w:val="99"/>
                <w:sz w:val="21"/>
              </w:rPr>
              <w:t>/</w:t>
            </w:r>
          </w:p>
        </w:tc>
        <w:tc>
          <w:tcPr>
            <w:tcW w:w="1010" w:type="dxa"/>
          </w:tcPr>
          <w:p w14:paraId="3982EF02">
            <w:pPr>
              <w:pStyle w:val="17"/>
              <w:spacing w:before="76"/>
              <w:ind w:left="11"/>
              <w:rPr>
                <w:rFonts w:ascii="Times New Roman"/>
                <w:sz w:val="21"/>
              </w:rPr>
            </w:pPr>
            <w:r>
              <w:rPr>
                <w:rFonts w:ascii="Times New Roman"/>
                <w:w w:val="99"/>
                <w:sz w:val="21"/>
              </w:rPr>
              <w:t>/</w:t>
            </w:r>
          </w:p>
        </w:tc>
        <w:tc>
          <w:tcPr>
            <w:tcW w:w="1200" w:type="dxa"/>
          </w:tcPr>
          <w:p w14:paraId="327EC765">
            <w:pPr>
              <w:pStyle w:val="17"/>
              <w:spacing w:before="76"/>
              <w:ind w:left="9"/>
              <w:rPr>
                <w:rFonts w:ascii="Times New Roman"/>
                <w:sz w:val="21"/>
              </w:rPr>
            </w:pPr>
            <w:r>
              <w:rPr>
                <w:rFonts w:ascii="Times New Roman"/>
                <w:w w:val="99"/>
                <w:sz w:val="21"/>
              </w:rPr>
              <w:t>/</w:t>
            </w:r>
          </w:p>
        </w:tc>
        <w:tc>
          <w:tcPr>
            <w:tcW w:w="1010" w:type="dxa"/>
          </w:tcPr>
          <w:p w14:paraId="3909F195">
            <w:pPr>
              <w:pStyle w:val="17"/>
              <w:spacing w:before="76"/>
              <w:ind w:left="7"/>
              <w:rPr>
                <w:rFonts w:ascii="Times New Roman"/>
                <w:sz w:val="21"/>
              </w:rPr>
            </w:pPr>
            <w:r>
              <w:rPr>
                <w:rFonts w:ascii="Times New Roman"/>
                <w:w w:val="99"/>
                <w:sz w:val="21"/>
              </w:rPr>
              <w:t>/</w:t>
            </w:r>
          </w:p>
        </w:tc>
        <w:tc>
          <w:tcPr>
            <w:tcW w:w="1167" w:type="dxa"/>
          </w:tcPr>
          <w:p w14:paraId="3E7814A2">
            <w:pPr>
              <w:pStyle w:val="17"/>
              <w:spacing w:before="76"/>
              <w:ind w:left="142" w:right="133"/>
              <w:rPr>
                <w:rFonts w:ascii="Times New Roman"/>
                <w:sz w:val="21"/>
              </w:rPr>
            </w:pPr>
            <w:r>
              <w:rPr>
                <w:rFonts w:ascii="Times New Roman"/>
                <w:sz w:val="21"/>
              </w:rPr>
              <w:t>ND</w:t>
            </w:r>
          </w:p>
        </w:tc>
        <w:tc>
          <w:tcPr>
            <w:tcW w:w="1204" w:type="dxa"/>
          </w:tcPr>
          <w:p w14:paraId="06C07CE2">
            <w:pPr>
              <w:pStyle w:val="17"/>
              <w:spacing w:before="76"/>
              <w:ind w:left="10"/>
              <w:rPr>
                <w:rFonts w:ascii="Times New Roman"/>
                <w:sz w:val="21"/>
              </w:rPr>
            </w:pPr>
            <w:r>
              <w:rPr>
                <w:rFonts w:ascii="Times New Roman"/>
                <w:w w:val="99"/>
                <w:sz w:val="21"/>
              </w:rPr>
              <w:t>/</w:t>
            </w:r>
          </w:p>
        </w:tc>
        <w:tc>
          <w:tcPr>
            <w:tcW w:w="1167" w:type="dxa"/>
          </w:tcPr>
          <w:p w14:paraId="49B1D8A6">
            <w:pPr>
              <w:pStyle w:val="17"/>
              <w:spacing w:before="76"/>
              <w:ind w:left="432"/>
              <w:jc w:val="left"/>
              <w:rPr>
                <w:rFonts w:ascii="Times New Roman"/>
                <w:sz w:val="21"/>
              </w:rPr>
            </w:pPr>
            <w:r>
              <w:rPr>
                <w:rFonts w:ascii="Times New Roman"/>
                <w:sz w:val="21"/>
              </w:rPr>
              <w:t>ND</w:t>
            </w:r>
          </w:p>
        </w:tc>
        <w:tc>
          <w:tcPr>
            <w:tcW w:w="1204" w:type="dxa"/>
          </w:tcPr>
          <w:p w14:paraId="46481C8C">
            <w:pPr>
              <w:pStyle w:val="17"/>
              <w:spacing w:before="76"/>
              <w:ind w:left="10"/>
              <w:rPr>
                <w:rFonts w:ascii="Times New Roman"/>
                <w:sz w:val="21"/>
              </w:rPr>
            </w:pPr>
            <w:r>
              <w:rPr>
                <w:rFonts w:ascii="Times New Roman"/>
                <w:w w:val="99"/>
                <w:sz w:val="21"/>
              </w:rPr>
              <w:t>/</w:t>
            </w:r>
          </w:p>
        </w:tc>
        <w:tc>
          <w:tcPr>
            <w:tcW w:w="1173" w:type="dxa"/>
          </w:tcPr>
          <w:p w14:paraId="44213765">
            <w:pPr>
              <w:pStyle w:val="17"/>
              <w:spacing w:before="76"/>
              <w:ind w:left="244" w:right="237"/>
              <w:rPr>
                <w:rFonts w:ascii="Times New Roman"/>
                <w:sz w:val="21"/>
              </w:rPr>
            </w:pPr>
            <w:r>
              <w:rPr>
                <w:rFonts w:ascii="Times New Roman"/>
                <w:sz w:val="21"/>
              </w:rPr>
              <w:t>0.05</w:t>
            </w:r>
          </w:p>
        </w:tc>
        <w:tc>
          <w:tcPr>
            <w:tcW w:w="1173" w:type="dxa"/>
            <w:tcBorders>
              <w:right w:val="nil"/>
            </w:tcBorders>
          </w:tcPr>
          <w:p w14:paraId="2D615BD4">
            <w:pPr>
              <w:pStyle w:val="17"/>
              <w:spacing w:before="62"/>
              <w:ind w:left="356" w:right="351"/>
              <w:rPr>
                <w:sz w:val="21"/>
              </w:rPr>
            </w:pPr>
            <w:r>
              <w:rPr>
                <w:sz w:val="21"/>
              </w:rPr>
              <w:t>达标</w:t>
            </w:r>
          </w:p>
        </w:tc>
      </w:tr>
    </w:tbl>
    <w:p w14:paraId="27DA493E">
      <w:pPr>
        <w:pStyle w:val="10"/>
        <w:spacing w:before="81" w:line="364" w:lineRule="auto"/>
        <w:ind w:left="820" w:right="817" w:firstLine="480"/>
      </w:pPr>
      <w:r>
        <w:t>从上表监测结果可知，项目评价区域内地下水各监测点的各监测因子均能达到《地下水质量标准》（</w:t>
      </w:r>
      <w:r>
        <w:rPr>
          <w:rFonts w:ascii="Times New Roman" w:hAnsi="Times New Roman" w:eastAsia="Times New Roman"/>
        </w:rPr>
        <w:t>GB/T14848-93</w:t>
      </w:r>
      <w:r>
        <w:t>）</w:t>
      </w:r>
      <w:r>
        <w:rPr>
          <w:rFonts w:ascii="Times New Roman" w:hAnsi="Times New Roman" w:eastAsia="Times New Roman"/>
        </w:rPr>
        <w:t>Ⅲ</w:t>
      </w:r>
      <w:r>
        <w:t>类水质标准。项目地下水质量状况良好。</w:t>
      </w:r>
    </w:p>
    <w:p w14:paraId="52AD4FE8">
      <w:pPr>
        <w:spacing w:after="0" w:line="364" w:lineRule="auto"/>
        <w:sectPr>
          <w:pgSz w:w="16840" w:h="11910" w:orient="landscape"/>
          <w:pgMar w:top="1100" w:right="620" w:bottom="1220" w:left="620" w:header="0" w:footer="1024" w:gutter="0"/>
          <w:cols w:space="720" w:num="1"/>
        </w:sectPr>
      </w:pPr>
    </w:p>
    <w:p w14:paraId="4A014842">
      <w:pPr>
        <w:pStyle w:val="16"/>
        <w:numPr>
          <w:ilvl w:val="2"/>
          <w:numId w:val="15"/>
        </w:numPr>
        <w:tabs>
          <w:tab w:val="left" w:pos="869"/>
        </w:tabs>
        <w:spacing w:before="55" w:after="0" w:line="240" w:lineRule="auto"/>
        <w:ind w:left="868" w:right="0" w:hanging="628"/>
        <w:jc w:val="left"/>
        <w:rPr>
          <w:b/>
          <w:sz w:val="28"/>
        </w:rPr>
      </w:pPr>
      <w:r>
        <w:rPr>
          <w:b/>
          <w:sz w:val="28"/>
        </w:rPr>
        <w:t>声环境现状监测与评价</w:t>
      </w:r>
    </w:p>
    <w:p w14:paraId="6A78162B">
      <w:pPr>
        <w:pStyle w:val="10"/>
        <w:spacing w:before="212" w:line="364" w:lineRule="auto"/>
        <w:ind w:left="240" w:right="257" w:firstLine="480"/>
        <w:jc w:val="both"/>
      </w:pPr>
      <w:r>
        <w:rPr>
          <w:spacing w:val="-5"/>
        </w:rPr>
        <w:t>为了解项目所在区域内的声环境质量现状，委托国检测试控股集团湖南华科</w:t>
      </w:r>
      <w:r>
        <w:rPr>
          <w:spacing w:val="-13"/>
        </w:rPr>
        <w:t xml:space="preserve">科技有限公司于 </w:t>
      </w:r>
      <w:r>
        <w:rPr>
          <w:rFonts w:ascii="Times New Roman" w:eastAsia="Times New Roman"/>
        </w:rPr>
        <w:t xml:space="preserve">2024 </w:t>
      </w:r>
      <w:r>
        <w:rPr>
          <w:spacing w:val="-35"/>
        </w:rPr>
        <w:t xml:space="preserve">年 </w:t>
      </w:r>
      <w:r>
        <w:rPr>
          <w:rFonts w:ascii="Times New Roman" w:eastAsia="Times New Roman"/>
        </w:rPr>
        <w:t xml:space="preserve">6 </w:t>
      </w:r>
      <w:r>
        <w:rPr>
          <w:spacing w:val="-36"/>
        </w:rPr>
        <w:t xml:space="preserve">月 </w:t>
      </w:r>
      <w:r>
        <w:rPr>
          <w:rFonts w:ascii="Times New Roman" w:eastAsia="Times New Roman"/>
          <w:spacing w:val="-4"/>
        </w:rPr>
        <w:t xml:space="preserve">11 </w:t>
      </w:r>
      <w:r>
        <w:t>日</w:t>
      </w:r>
      <w:r>
        <w:rPr>
          <w:rFonts w:ascii="Times New Roman" w:eastAsia="Times New Roman"/>
        </w:rPr>
        <w:t xml:space="preserve">~2024 </w:t>
      </w:r>
      <w:r>
        <w:rPr>
          <w:spacing w:val="-35"/>
        </w:rPr>
        <w:t xml:space="preserve">年 </w:t>
      </w:r>
      <w:r>
        <w:rPr>
          <w:rFonts w:ascii="Times New Roman" w:eastAsia="Times New Roman"/>
        </w:rPr>
        <w:t xml:space="preserve">6 </w:t>
      </w:r>
      <w:r>
        <w:rPr>
          <w:spacing w:val="-36"/>
        </w:rPr>
        <w:t xml:space="preserve">月 </w:t>
      </w:r>
      <w:r>
        <w:rPr>
          <w:rFonts w:ascii="Times New Roman" w:eastAsia="Times New Roman"/>
        </w:rPr>
        <w:t xml:space="preserve">12 </w:t>
      </w:r>
      <w:r>
        <w:rPr>
          <w:spacing w:val="-7"/>
        </w:rPr>
        <w:t xml:space="preserve">日在本项目场址周围外 </w:t>
      </w:r>
      <w:r>
        <w:rPr>
          <w:rFonts w:ascii="Times New Roman" w:eastAsia="Times New Roman"/>
        </w:rPr>
        <w:t xml:space="preserve">1m </w:t>
      </w:r>
      <w:r>
        <w:t>处进行了噪声现场监测。</w:t>
      </w:r>
    </w:p>
    <w:p w14:paraId="7961EAF7">
      <w:pPr>
        <w:pStyle w:val="10"/>
        <w:spacing w:before="2"/>
        <w:ind w:left="720"/>
      </w:pPr>
      <w:r>
        <w:t>（</w:t>
      </w:r>
      <w:r>
        <w:rPr>
          <w:rFonts w:ascii="Times New Roman" w:eastAsia="Times New Roman"/>
        </w:rPr>
        <w:t>1</w:t>
      </w:r>
      <w:r>
        <w:t>）监测布点</w:t>
      </w:r>
    </w:p>
    <w:p w14:paraId="531EFB4B">
      <w:pPr>
        <w:pStyle w:val="10"/>
        <w:spacing w:before="160" w:line="364" w:lineRule="auto"/>
        <w:ind w:left="240" w:right="137" w:firstLine="480"/>
      </w:pPr>
      <w:r>
        <w:rPr>
          <w:spacing w:val="-5"/>
        </w:rPr>
        <w:t xml:space="preserve">本次噪声现状监测共布设 </w:t>
      </w:r>
      <w:r>
        <w:rPr>
          <w:rFonts w:ascii="Times New Roman" w:eastAsia="Times New Roman"/>
        </w:rPr>
        <w:t xml:space="preserve">4 </w:t>
      </w:r>
      <w:r>
        <w:rPr>
          <w:spacing w:val="-16"/>
        </w:rPr>
        <w:t>个监测点，分别位于项目拟建地厂界西、北、东、</w:t>
      </w:r>
      <w:r>
        <w:rPr>
          <w:spacing w:val="-31"/>
        </w:rPr>
        <w:t xml:space="preserve">南外 </w:t>
      </w:r>
      <w:r>
        <w:rPr>
          <w:rFonts w:ascii="Times New Roman" w:eastAsia="Times New Roman"/>
        </w:rPr>
        <w:t xml:space="preserve">1m </w:t>
      </w:r>
      <w:r>
        <w:t>处。</w:t>
      </w:r>
    </w:p>
    <w:p w14:paraId="361D6D68">
      <w:pPr>
        <w:pStyle w:val="10"/>
        <w:spacing w:before="2"/>
        <w:ind w:left="720"/>
      </w:pPr>
      <w:r>
        <w:t>（</w:t>
      </w:r>
      <w:r>
        <w:rPr>
          <w:rFonts w:ascii="Times New Roman" w:eastAsia="Times New Roman"/>
        </w:rPr>
        <w:t>2</w:t>
      </w:r>
      <w:r>
        <w:t>）噪声监测方法</w:t>
      </w:r>
    </w:p>
    <w:p w14:paraId="6AB6C85D">
      <w:pPr>
        <w:pStyle w:val="10"/>
        <w:spacing w:before="160" w:line="364" w:lineRule="auto"/>
        <w:ind w:left="240" w:right="257" w:firstLine="480"/>
        <w:jc w:val="both"/>
      </w:pPr>
      <w:r>
        <w:rPr>
          <w:spacing w:val="-3"/>
        </w:rPr>
        <w:t>测量方法与仪器噪声测量按照《声环境质量标准》</w:t>
      </w:r>
      <w:r>
        <w:t>（</w:t>
      </w:r>
      <w:r>
        <w:rPr>
          <w:rFonts w:ascii="Times New Roman" w:eastAsia="Times New Roman"/>
        </w:rPr>
        <w:t>GB3096-2008</w:t>
      </w:r>
      <w:r>
        <w:t>）中相关</w:t>
      </w:r>
      <w:r>
        <w:rPr>
          <w:spacing w:val="-7"/>
        </w:rPr>
        <w:t xml:space="preserve">要求进行测量，测量仪器为 </w:t>
      </w:r>
      <w:r>
        <w:rPr>
          <w:rFonts w:ascii="Times New Roman" w:eastAsia="Times New Roman"/>
          <w:spacing w:val="-7"/>
        </w:rPr>
        <w:t xml:space="preserve">AWA5688 </w:t>
      </w:r>
      <w:r>
        <w:rPr>
          <w:spacing w:val="-3"/>
        </w:rPr>
        <w:t>多功能声级计。测量前后均经校正，前后</w:t>
      </w:r>
      <w:r>
        <w:rPr>
          <w:spacing w:val="-8"/>
        </w:rPr>
        <w:t xml:space="preserve">两次校正灵敏度之差小于 </w:t>
      </w:r>
      <w:r>
        <w:rPr>
          <w:rFonts w:ascii="Times New Roman" w:eastAsia="Times New Roman"/>
        </w:rPr>
        <w:t>0.5dB</w:t>
      </w:r>
      <w:r>
        <w:t>。</w:t>
      </w:r>
    </w:p>
    <w:p w14:paraId="637C400B">
      <w:pPr>
        <w:pStyle w:val="10"/>
        <w:spacing w:before="2"/>
        <w:ind w:left="720"/>
      </w:pPr>
      <w:r>
        <w:t>（</w:t>
      </w:r>
      <w:r>
        <w:rPr>
          <w:rFonts w:ascii="Times New Roman" w:eastAsia="Times New Roman"/>
        </w:rPr>
        <w:t>3</w:t>
      </w:r>
      <w:r>
        <w:t>）监测时间和频次</w:t>
      </w:r>
    </w:p>
    <w:p w14:paraId="7FC57BD6">
      <w:pPr>
        <w:pStyle w:val="10"/>
        <w:spacing w:before="160"/>
        <w:ind w:left="720"/>
      </w:pPr>
      <w:r>
        <w:t xml:space="preserve">连续监测 </w:t>
      </w:r>
      <w:r>
        <w:rPr>
          <w:rFonts w:ascii="Times New Roman" w:eastAsia="Times New Roman"/>
        </w:rPr>
        <w:t xml:space="preserve">2 </w:t>
      </w:r>
      <w:r>
        <w:t>天，分昼夜和夜间两个时段，各测一次。</w:t>
      </w:r>
    </w:p>
    <w:p w14:paraId="2F093CCC">
      <w:pPr>
        <w:pStyle w:val="10"/>
        <w:spacing w:before="161"/>
        <w:ind w:left="720"/>
      </w:pPr>
      <w:r>
        <w:t>（</w:t>
      </w:r>
      <w:r>
        <w:rPr>
          <w:rFonts w:ascii="Times New Roman" w:eastAsia="Times New Roman"/>
        </w:rPr>
        <w:t>4</w:t>
      </w:r>
      <w:r>
        <w:t>）监测结果</w:t>
      </w:r>
    </w:p>
    <w:p w14:paraId="75FE7090">
      <w:pPr>
        <w:pStyle w:val="10"/>
        <w:spacing w:before="160"/>
        <w:ind w:left="720"/>
      </w:pPr>
      <w:r>
        <w:t>项目所在区域环境噪声监测结果见下表。</w:t>
      </w:r>
    </w:p>
    <w:p w14:paraId="242A9F62">
      <w:pPr>
        <w:pStyle w:val="9"/>
        <w:tabs>
          <w:tab w:val="left" w:pos="5642"/>
        </w:tabs>
        <w:spacing w:before="161"/>
        <w:ind w:left="1471"/>
      </w:pPr>
      <w:r>
        <w:t>表</w:t>
      </w:r>
      <w:r>
        <w:rPr>
          <w:spacing w:val="-62"/>
        </w:rPr>
        <w:t xml:space="preserve"> </w:t>
      </w:r>
      <w:r>
        <w:rPr>
          <w:rFonts w:ascii="Times New Roman" w:eastAsia="Times New Roman"/>
        </w:rPr>
        <w:t>3.3-10</w:t>
      </w:r>
      <w:r>
        <w:rPr>
          <w:rFonts w:ascii="Times New Roman" w:eastAsia="Times New Roman"/>
          <w:spacing w:val="57"/>
        </w:rPr>
        <w:t xml:space="preserve"> </w:t>
      </w:r>
      <w:r>
        <w:t>项目区域环境噪声监测数据</w:t>
      </w:r>
      <w:r>
        <w:tab/>
      </w:r>
      <w:r>
        <w:t>单位：</w:t>
      </w:r>
      <w:r>
        <w:rPr>
          <w:rFonts w:ascii="Times New Roman" w:eastAsia="Times New Roman"/>
        </w:rPr>
        <w:t>dB</w:t>
      </w:r>
      <w:r>
        <w:t>（</w:t>
      </w:r>
      <w:r>
        <w:rPr>
          <w:rFonts w:ascii="Times New Roman" w:eastAsia="Times New Roman"/>
        </w:rPr>
        <w:t>A</w:t>
      </w:r>
      <w:r>
        <w:t>）</w:t>
      </w:r>
    </w:p>
    <w:p w14:paraId="504F7506">
      <w:pPr>
        <w:pStyle w:val="10"/>
        <w:spacing w:before="3"/>
        <w:rPr>
          <w:b/>
          <w:sz w:val="6"/>
        </w:rPr>
      </w:pPr>
    </w:p>
    <w:tbl>
      <w:tblPr>
        <w:tblStyle w:val="13"/>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1995"/>
        <w:gridCol w:w="961"/>
        <w:gridCol w:w="1204"/>
        <w:gridCol w:w="864"/>
        <w:gridCol w:w="837"/>
        <w:gridCol w:w="1497"/>
      </w:tblGrid>
      <w:tr w14:paraId="315F0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restart"/>
            <w:tcBorders>
              <w:left w:val="nil"/>
            </w:tcBorders>
          </w:tcPr>
          <w:p w14:paraId="0CD6A098">
            <w:pPr>
              <w:pStyle w:val="17"/>
              <w:spacing w:before="5"/>
              <w:jc w:val="left"/>
              <w:rPr>
                <w:b/>
                <w:sz w:val="16"/>
              </w:rPr>
            </w:pPr>
          </w:p>
          <w:p w14:paraId="680C4162">
            <w:pPr>
              <w:pStyle w:val="17"/>
              <w:ind w:left="164"/>
              <w:jc w:val="left"/>
              <w:rPr>
                <w:sz w:val="21"/>
              </w:rPr>
            </w:pPr>
            <w:r>
              <w:rPr>
                <w:sz w:val="21"/>
              </w:rPr>
              <w:t>采样时间</w:t>
            </w:r>
          </w:p>
        </w:tc>
        <w:tc>
          <w:tcPr>
            <w:tcW w:w="1995" w:type="dxa"/>
            <w:vMerge w:val="restart"/>
          </w:tcPr>
          <w:p w14:paraId="49384715">
            <w:pPr>
              <w:pStyle w:val="17"/>
              <w:spacing w:before="5"/>
              <w:jc w:val="left"/>
              <w:rPr>
                <w:b/>
                <w:sz w:val="16"/>
              </w:rPr>
            </w:pPr>
          </w:p>
          <w:p w14:paraId="22BBDAC1">
            <w:pPr>
              <w:pStyle w:val="17"/>
              <w:ind w:left="577"/>
              <w:jc w:val="left"/>
              <w:rPr>
                <w:sz w:val="21"/>
              </w:rPr>
            </w:pPr>
            <w:r>
              <w:rPr>
                <w:sz w:val="21"/>
              </w:rPr>
              <w:t>采样地点</w:t>
            </w:r>
          </w:p>
        </w:tc>
        <w:tc>
          <w:tcPr>
            <w:tcW w:w="2165" w:type="dxa"/>
            <w:gridSpan w:val="2"/>
          </w:tcPr>
          <w:p w14:paraId="117059E1">
            <w:pPr>
              <w:pStyle w:val="17"/>
              <w:spacing w:before="35"/>
              <w:ind w:left="226"/>
              <w:jc w:val="left"/>
              <w:rPr>
                <w:sz w:val="21"/>
              </w:rPr>
            </w:pPr>
            <w:r>
              <w:rPr>
                <w:sz w:val="21"/>
              </w:rPr>
              <w:t xml:space="preserve">检测结果 </w:t>
            </w:r>
            <w:r>
              <w:rPr>
                <w:rFonts w:ascii="Times New Roman" w:eastAsia="Times New Roman"/>
                <w:sz w:val="21"/>
              </w:rPr>
              <w:t>dB</w:t>
            </w:r>
            <w:r>
              <w:rPr>
                <w:sz w:val="21"/>
              </w:rPr>
              <w:t>（</w:t>
            </w:r>
            <w:r>
              <w:rPr>
                <w:rFonts w:ascii="Times New Roman" w:eastAsia="Times New Roman"/>
                <w:sz w:val="21"/>
              </w:rPr>
              <w:t>A</w:t>
            </w:r>
            <w:r>
              <w:rPr>
                <w:sz w:val="21"/>
              </w:rPr>
              <w:t>）</w:t>
            </w:r>
          </w:p>
        </w:tc>
        <w:tc>
          <w:tcPr>
            <w:tcW w:w="1701" w:type="dxa"/>
            <w:gridSpan w:val="2"/>
          </w:tcPr>
          <w:p w14:paraId="468D011D">
            <w:pPr>
              <w:pStyle w:val="17"/>
              <w:spacing w:before="35"/>
              <w:ind w:left="106" w:right="-15"/>
              <w:jc w:val="left"/>
              <w:rPr>
                <w:sz w:val="21"/>
              </w:rPr>
            </w:pPr>
            <w:r>
              <w:rPr>
                <w:w w:val="99"/>
                <w:sz w:val="21"/>
              </w:rPr>
              <w:t>标准限值</w:t>
            </w:r>
            <w:r>
              <w:rPr>
                <w:spacing w:val="-67"/>
                <w:sz w:val="21"/>
              </w:rPr>
              <w:t xml:space="preserve"> </w:t>
            </w:r>
            <w:r>
              <w:rPr>
                <w:rFonts w:ascii="Times New Roman" w:eastAsia="Times New Roman"/>
                <w:spacing w:val="0"/>
                <w:w w:val="99"/>
                <w:sz w:val="21"/>
              </w:rPr>
              <w:t>d</w:t>
            </w:r>
            <w:r>
              <w:rPr>
                <w:rFonts w:ascii="Times New Roman" w:eastAsia="Times New Roman"/>
                <w:spacing w:val="-104"/>
                <w:w w:val="99"/>
                <w:sz w:val="21"/>
              </w:rPr>
              <w:t>B</w:t>
            </w:r>
            <w:r>
              <w:rPr>
                <w:spacing w:val="-1"/>
                <w:w w:val="99"/>
                <w:sz w:val="21"/>
              </w:rPr>
              <w:t>（</w:t>
            </w:r>
            <w:r>
              <w:rPr>
                <w:rFonts w:ascii="Times New Roman" w:eastAsia="Times New Roman"/>
                <w:w w:val="99"/>
                <w:sz w:val="21"/>
              </w:rPr>
              <w:t>A</w:t>
            </w:r>
            <w:r>
              <w:rPr>
                <w:w w:val="99"/>
                <w:sz w:val="21"/>
              </w:rPr>
              <w:t>）</w:t>
            </w:r>
          </w:p>
        </w:tc>
        <w:tc>
          <w:tcPr>
            <w:tcW w:w="1497" w:type="dxa"/>
            <w:vMerge w:val="restart"/>
            <w:tcBorders>
              <w:right w:val="nil"/>
            </w:tcBorders>
          </w:tcPr>
          <w:p w14:paraId="68634FBB">
            <w:pPr>
              <w:pStyle w:val="17"/>
              <w:spacing w:before="5"/>
              <w:jc w:val="left"/>
              <w:rPr>
                <w:b/>
                <w:sz w:val="16"/>
              </w:rPr>
            </w:pPr>
          </w:p>
          <w:p w14:paraId="4D1A35E3">
            <w:pPr>
              <w:pStyle w:val="17"/>
              <w:ind w:left="327"/>
              <w:jc w:val="left"/>
              <w:rPr>
                <w:sz w:val="21"/>
              </w:rPr>
            </w:pPr>
            <w:r>
              <w:rPr>
                <w:sz w:val="21"/>
              </w:rPr>
              <w:t>是否达标</w:t>
            </w:r>
          </w:p>
        </w:tc>
      </w:tr>
      <w:tr w14:paraId="7F27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63B6D932">
            <w:pPr>
              <w:rPr>
                <w:sz w:val="2"/>
                <w:szCs w:val="2"/>
              </w:rPr>
            </w:pPr>
          </w:p>
        </w:tc>
        <w:tc>
          <w:tcPr>
            <w:tcW w:w="1995" w:type="dxa"/>
            <w:vMerge w:val="continue"/>
            <w:tcBorders>
              <w:top w:val="nil"/>
            </w:tcBorders>
          </w:tcPr>
          <w:p w14:paraId="6F62B1DF">
            <w:pPr>
              <w:rPr>
                <w:sz w:val="2"/>
                <w:szCs w:val="2"/>
              </w:rPr>
            </w:pPr>
          </w:p>
        </w:tc>
        <w:tc>
          <w:tcPr>
            <w:tcW w:w="961" w:type="dxa"/>
          </w:tcPr>
          <w:p w14:paraId="27927496">
            <w:pPr>
              <w:pStyle w:val="17"/>
              <w:spacing w:before="36"/>
              <w:ind w:left="248" w:right="242"/>
              <w:rPr>
                <w:sz w:val="21"/>
              </w:rPr>
            </w:pPr>
            <w:r>
              <w:rPr>
                <w:sz w:val="21"/>
              </w:rPr>
              <w:t>昼间</w:t>
            </w:r>
          </w:p>
        </w:tc>
        <w:tc>
          <w:tcPr>
            <w:tcW w:w="1204" w:type="dxa"/>
          </w:tcPr>
          <w:p w14:paraId="2B6ED0E3">
            <w:pPr>
              <w:pStyle w:val="17"/>
              <w:spacing w:before="36"/>
              <w:ind w:left="159" w:right="153"/>
              <w:rPr>
                <w:sz w:val="21"/>
              </w:rPr>
            </w:pPr>
            <w:r>
              <w:rPr>
                <w:sz w:val="21"/>
              </w:rPr>
              <w:t>夜间</w:t>
            </w:r>
          </w:p>
        </w:tc>
        <w:tc>
          <w:tcPr>
            <w:tcW w:w="864" w:type="dxa"/>
          </w:tcPr>
          <w:p w14:paraId="628C1111">
            <w:pPr>
              <w:pStyle w:val="17"/>
              <w:spacing w:before="36"/>
              <w:ind w:left="7"/>
              <w:rPr>
                <w:sz w:val="21"/>
              </w:rPr>
            </w:pPr>
            <w:r>
              <w:rPr>
                <w:sz w:val="21"/>
              </w:rPr>
              <w:t>昼间</w:t>
            </w:r>
          </w:p>
        </w:tc>
        <w:tc>
          <w:tcPr>
            <w:tcW w:w="837" w:type="dxa"/>
          </w:tcPr>
          <w:p w14:paraId="2C48C759">
            <w:pPr>
              <w:pStyle w:val="17"/>
              <w:spacing w:before="36"/>
              <w:ind w:left="186" w:right="181"/>
              <w:rPr>
                <w:sz w:val="21"/>
              </w:rPr>
            </w:pPr>
            <w:r>
              <w:rPr>
                <w:sz w:val="21"/>
              </w:rPr>
              <w:t>夜间</w:t>
            </w:r>
          </w:p>
        </w:tc>
        <w:tc>
          <w:tcPr>
            <w:tcW w:w="1497" w:type="dxa"/>
            <w:vMerge w:val="continue"/>
            <w:tcBorders>
              <w:top w:val="nil"/>
              <w:right w:val="nil"/>
            </w:tcBorders>
          </w:tcPr>
          <w:p w14:paraId="0BA7EFA5">
            <w:pPr>
              <w:rPr>
                <w:sz w:val="2"/>
                <w:szCs w:val="2"/>
              </w:rPr>
            </w:pPr>
          </w:p>
        </w:tc>
      </w:tr>
      <w:tr w14:paraId="52F39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restart"/>
            <w:tcBorders>
              <w:left w:val="nil"/>
            </w:tcBorders>
          </w:tcPr>
          <w:p w14:paraId="3C75253C">
            <w:pPr>
              <w:pStyle w:val="17"/>
              <w:jc w:val="left"/>
              <w:rPr>
                <w:b/>
                <w:sz w:val="22"/>
              </w:rPr>
            </w:pPr>
          </w:p>
          <w:p w14:paraId="461FDD68">
            <w:pPr>
              <w:pStyle w:val="17"/>
              <w:spacing w:before="8"/>
              <w:jc w:val="left"/>
              <w:rPr>
                <w:b/>
                <w:sz w:val="21"/>
              </w:rPr>
            </w:pPr>
          </w:p>
          <w:p w14:paraId="213F4D31">
            <w:pPr>
              <w:pStyle w:val="17"/>
              <w:ind w:left="116"/>
              <w:jc w:val="left"/>
              <w:rPr>
                <w:rFonts w:ascii="Times New Roman"/>
                <w:sz w:val="21"/>
              </w:rPr>
            </w:pPr>
            <w:r>
              <w:rPr>
                <w:rFonts w:ascii="Times New Roman"/>
                <w:sz w:val="21"/>
              </w:rPr>
              <w:t>2024.06.11</w:t>
            </w:r>
          </w:p>
        </w:tc>
        <w:tc>
          <w:tcPr>
            <w:tcW w:w="1995" w:type="dxa"/>
          </w:tcPr>
          <w:p w14:paraId="54256D08">
            <w:pPr>
              <w:pStyle w:val="17"/>
              <w:spacing w:before="34"/>
              <w:ind w:left="577"/>
              <w:jc w:val="left"/>
              <w:rPr>
                <w:sz w:val="21"/>
              </w:rPr>
            </w:pPr>
            <w:r>
              <w:rPr>
                <w:sz w:val="21"/>
              </w:rPr>
              <w:t>厂界东侧</w:t>
            </w:r>
          </w:p>
        </w:tc>
        <w:tc>
          <w:tcPr>
            <w:tcW w:w="961" w:type="dxa"/>
          </w:tcPr>
          <w:p w14:paraId="709D9480">
            <w:pPr>
              <w:pStyle w:val="17"/>
              <w:spacing w:before="48"/>
              <w:ind w:left="248" w:right="238"/>
              <w:rPr>
                <w:rFonts w:ascii="Times New Roman"/>
                <w:sz w:val="21"/>
              </w:rPr>
            </w:pPr>
            <w:r>
              <w:rPr>
                <w:rFonts w:ascii="Times New Roman"/>
                <w:sz w:val="21"/>
              </w:rPr>
              <w:t>48</w:t>
            </w:r>
          </w:p>
        </w:tc>
        <w:tc>
          <w:tcPr>
            <w:tcW w:w="1204" w:type="dxa"/>
          </w:tcPr>
          <w:p w14:paraId="4CBD39CB">
            <w:pPr>
              <w:pStyle w:val="17"/>
              <w:spacing w:before="48"/>
              <w:ind w:left="160" w:right="150"/>
              <w:rPr>
                <w:rFonts w:ascii="Times New Roman"/>
                <w:sz w:val="21"/>
              </w:rPr>
            </w:pPr>
            <w:r>
              <w:rPr>
                <w:rFonts w:ascii="Times New Roman"/>
                <w:sz w:val="21"/>
              </w:rPr>
              <w:t>48</w:t>
            </w:r>
          </w:p>
        </w:tc>
        <w:tc>
          <w:tcPr>
            <w:tcW w:w="864" w:type="dxa"/>
          </w:tcPr>
          <w:p w14:paraId="670F80BB">
            <w:pPr>
              <w:pStyle w:val="17"/>
              <w:spacing w:before="48"/>
              <w:ind w:left="10"/>
              <w:rPr>
                <w:rFonts w:ascii="Times New Roman"/>
                <w:sz w:val="21"/>
              </w:rPr>
            </w:pPr>
            <w:r>
              <w:rPr>
                <w:rFonts w:ascii="Times New Roman"/>
                <w:sz w:val="21"/>
              </w:rPr>
              <w:t>65</w:t>
            </w:r>
          </w:p>
        </w:tc>
        <w:tc>
          <w:tcPr>
            <w:tcW w:w="837" w:type="dxa"/>
          </w:tcPr>
          <w:p w14:paraId="709256D8">
            <w:pPr>
              <w:pStyle w:val="17"/>
              <w:spacing w:before="48"/>
              <w:ind w:left="186" w:right="177"/>
              <w:rPr>
                <w:rFonts w:ascii="Times New Roman"/>
                <w:sz w:val="21"/>
              </w:rPr>
            </w:pPr>
            <w:r>
              <w:rPr>
                <w:rFonts w:ascii="Times New Roman"/>
                <w:sz w:val="21"/>
              </w:rPr>
              <w:t>55</w:t>
            </w:r>
          </w:p>
        </w:tc>
        <w:tc>
          <w:tcPr>
            <w:tcW w:w="1497" w:type="dxa"/>
            <w:tcBorders>
              <w:right w:val="nil"/>
            </w:tcBorders>
          </w:tcPr>
          <w:p w14:paraId="3B3D5853">
            <w:pPr>
              <w:pStyle w:val="17"/>
              <w:spacing w:before="34"/>
              <w:ind w:left="516" w:right="516"/>
              <w:rPr>
                <w:sz w:val="21"/>
              </w:rPr>
            </w:pPr>
            <w:r>
              <w:rPr>
                <w:sz w:val="21"/>
              </w:rPr>
              <w:t>达标</w:t>
            </w:r>
          </w:p>
        </w:tc>
      </w:tr>
      <w:tr w14:paraId="3018F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1" w:type="dxa"/>
            <w:vMerge w:val="continue"/>
            <w:tcBorders>
              <w:top w:val="nil"/>
              <w:left w:val="nil"/>
            </w:tcBorders>
          </w:tcPr>
          <w:p w14:paraId="6932AEF9">
            <w:pPr>
              <w:rPr>
                <w:sz w:val="2"/>
                <w:szCs w:val="2"/>
              </w:rPr>
            </w:pPr>
          </w:p>
        </w:tc>
        <w:tc>
          <w:tcPr>
            <w:tcW w:w="1995" w:type="dxa"/>
          </w:tcPr>
          <w:p w14:paraId="31D5A959">
            <w:pPr>
              <w:pStyle w:val="17"/>
              <w:spacing w:before="20"/>
              <w:ind w:left="577"/>
              <w:jc w:val="left"/>
              <w:rPr>
                <w:sz w:val="21"/>
              </w:rPr>
            </w:pPr>
            <w:r>
              <w:rPr>
                <w:sz w:val="21"/>
              </w:rPr>
              <w:t>厂界南侧</w:t>
            </w:r>
          </w:p>
        </w:tc>
        <w:tc>
          <w:tcPr>
            <w:tcW w:w="961" w:type="dxa"/>
          </w:tcPr>
          <w:p w14:paraId="04A9F7F4">
            <w:pPr>
              <w:pStyle w:val="17"/>
              <w:spacing w:before="34"/>
              <w:ind w:left="248" w:right="238"/>
              <w:rPr>
                <w:rFonts w:ascii="Times New Roman"/>
                <w:sz w:val="21"/>
              </w:rPr>
            </w:pPr>
            <w:r>
              <w:rPr>
                <w:rFonts w:ascii="Times New Roman"/>
                <w:sz w:val="21"/>
              </w:rPr>
              <w:t>62</w:t>
            </w:r>
          </w:p>
        </w:tc>
        <w:tc>
          <w:tcPr>
            <w:tcW w:w="1204" w:type="dxa"/>
          </w:tcPr>
          <w:p w14:paraId="0E1B2976">
            <w:pPr>
              <w:pStyle w:val="17"/>
              <w:spacing w:before="34"/>
              <w:ind w:left="160" w:right="150"/>
              <w:rPr>
                <w:rFonts w:ascii="Times New Roman"/>
                <w:sz w:val="21"/>
              </w:rPr>
            </w:pPr>
            <w:r>
              <w:rPr>
                <w:rFonts w:ascii="Times New Roman"/>
                <w:sz w:val="21"/>
              </w:rPr>
              <w:t>52</w:t>
            </w:r>
          </w:p>
        </w:tc>
        <w:tc>
          <w:tcPr>
            <w:tcW w:w="864" w:type="dxa"/>
          </w:tcPr>
          <w:p w14:paraId="7BE294D1">
            <w:pPr>
              <w:pStyle w:val="17"/>
              <w:spacing w:before="34"/>
              <w:ind w:left="10"/>
              <w:rPr>
                <w:rFonts w:ascii="Times New Roman"/>
                <w:sz w:val="21"/>
              </w:rPr>
            </w:pPr>
            <w:r>
              <w:rPr>
                <w:rFonts w:ascii="Times New Roman"/>
                <w:sz w:val="21"/>
              </w:rPr>
              <w:t>70</w:t>
            </w:r>
          </w:p>
        </w:tc>
        <w:tc>
          <w:tcPr>
            <w:tcW w:w="837" w:type="dxa"/>
          </w:tcPr>
          <w:p w14:paraId="7D3B90A6">
            <w:pPr>
              <w:pStyle w:val="17"/>
              <w:spacing w:before="34"/>
              <w:ind w:left="186" w:right="177"/>
              <w:rPr>
                <w:rFonts w:ascii="Times New Roman"/>
                <w:sz w:val="21"/>
              </w:rPr>
            </w:pPr>
            <w:r>
              <w:rPr>
                <w:rFonts w:ascii="Times New Roman"/>
                <w:sz w:val="21"/>
              </w:rPr>
              <w:t>55</w:t>
            </w:r>
          </w:p>
        </w:tc>
        <w:tc>
          <w:tcPr>
            <w:tcW w:w="1497" w:type="dxa"/>
            <w:tcBorders>
              <w:right w:val="nil"/>
            </w:tcBorders>
          </w:tcPr>
          <w:p w14:paraId="7F8BE992">
            <w:pPr>
              <w:pStyle w:val="17"/>
              <w:spacing w:before="20"/>
              <w:ind w:left="516" w:right="516"/>
              <w:rPr>
                <w:sz w:val="21"/>
              </w:rPr>
            </w:pPr>
            <w:r>
              <w:rPr>
                <w:sz w:val="21"/>
              </w:rPr>
              <w:t>达标</w:t>
            </w:r>
          </w:p>
        </w:tc>
      </w:tr>
      <w:tr w14:paraId="6CADA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7A5E9A50">
            <w:pPr>
              <w:rPr>
                <w:sz w:val="2"/>
                <w:szCs w:val="2"/>
              </w:rPr>
            </w:pPr>
          </w:p>
        </w:tc>
        <w:tc>
          <w:tcPr>
            <w:tcW w:w="1995" w:type="dxa"/>
          </w:tcPr>
          <w:p w14:paraId="5AEF55D2">
            <w:pPr>
              <w:pStyle w:val="17"/>
              <w:spacing w:before="34"/>
              <w:ind w:left="577"/>
              <w:jc w:val="left"/>
              <w:rPr>
                <w:sz w:val="21"/>
              </w:rPr>
            </w:pPr>
            <w:r>
              <w:rPr>
                <w:sz w:val="21"/>
              </w:rPr>
              <w:t>厂界西侧</w:t>
            </w:r>
          </w:p>
        </w:tc>
        <w:tc>
          <w:tcPr>
            <w:tcW w:w="961" w:type="dxa"/>
          </w:tcPr>
          <w:p w14:paraId="0365E130">
            <w:pPr>
              <w:pStyle w:val="17"/>
              <w:spacing w:before="48"/>
              <w:ind w:left="248" w:right="238"/>
              <w:rPr>
                <w:rFonts w:ascii="Times New Roman"/>
                <w:sz w:val="21"/>
              </w:rPr>
            </w:pPr>
            <w:r>
              <w:rPr>
                <w:rFonts w:ascii="Times New Roman"/>
                <w:sz w:val="21"/>
              </w:rPr>
              <w:t>52</w:t>
            </w:r>
          </w:p>
        </w:tc>
        <w:tc>
          <w:tcPr>
            <w:tcW w:w="1204" w:type="dxa"/>
          </w:tcPr>
          <w:p w14:paraId="607917BD">
            <w:pPr>
              <w:pStyle w:val="17"/>
              <w:spacing w:before="48"/>
              <w:ind w:left="160" w:right="150"/>
              <w:rPr>
                <w:rFonts w:ascii="Times New Roman"/>
                <w:sz w:val="21"/>
              </w:rPr>
            </w:pPr>
            <w:r>
              <w:rPr>
                <w:rFonts w:ascii="Times New Roman"/>
                <w:sz w:val="21"/>
              </w:rPr>
              <w:t>51</w:t>
            </w:r>
          </w:p>
        </w:tc>
        <w:tc>
          <w:tcPr>
            <w:tcW w:w="864" w:type="dxa"/>
          </w:tcPr>
          <w:p w14:paraId="0F982C98">
            <w:pPr>
              <w:pStyle w:val="17"/>
              <w:spacing w:before="48"/>
              <w:ind w:left="10"/>
              <w:rPr>
                <w:rFonts w:ascii="Times New Roman"/>
                <w:sz w:val="21"/>
              </w:rPr>
            </w:pPr>
            <w:r>
              <w:rPr>
                <w:rFonts w:ascii="Times New Roman"/>
                <w:sz w:val="21"/>
              </w:rPr>
              <w:t>65</w:t>
            </w:r>
          </w:p>
        </w:tc>
        <w:tc>
          <w:tcPr>
            <w:tcW w:w="837" w:type="dxa"/>
          </w:tcPr>
          <w:p w14:paraId="5410FBB7">
            <w:pPr>
              <w:pStyle w:val="17"/>
              <w:spacing w:before="48"/>
              <w:ind w:left="186" w:right="177"/>
              <w:rPr>
                <w:rFonts w:ascii="Times New Roman"/>
                <w:sz w:val="21"/>
              </w:rPr>
            </w:pPr>
            <w:r>
              <w:rPr>
                <w:rFonts w:ascii="Times New Roman"/>
                <w:sz w:val="21"/>
              </w:rPr>
              <w:t>55</w:t>
            </w:r>
          </w:p>
        </w:tc>
        <w:tc>
          <w:tcPr>
            <w:tcW w:w="1497" w:type="dxa"/>
            <w:tcBorders>
              <w:right w:val="nil"/>
            </w:tcBorders>
          </w:tcPr>
          <w:p w14:paraId="73B82943">
            <w:pPr>
              <w:pStyle w:val="17"/>
              <w:spacing w:before="34"/>
              <w:ind w:left="516" w:right="516"/>
              <w:rPr>
                <w:sz w:val="21"/>
              </w:rPr>
            </w:pPr>
            <w:r>
              <w:rPr>
                <w:sz w:val="21"/>
              </w:rPr>
              <w:t>达标</w:t>
            </w:r>
          </w:p>
        </w:tc>
      </w:tr>
      <w:tr w14:paraId="1508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64CFDC36">
            <w:pPr>
              <w:rPr>
                <w:sz w:val="2"/>
                <w:szCs w:val="2"/>
              </w:rPr>
            </w:pPr>
          </w:p>
        </w:tc>
        <w:tc>
          <w:tcPr>
            <w:tcW w:w="1995" w:type="dxa"/>
          </w:tcPr>
          <w:p w14:paraId="16F27FEA">
            <w:pPr>
              <w:pStyle w:val="17"/>
              <w:spacing w:before="34"/>
              <w:ind w:left="577"/>
              <w:jc w:val="left"/>
              <w:rPr>
                <w:sz w:val="21"/>
              </w:rPr>
            </w:pPr>
            <w:r>
              <w:rPr>
                <w:sz w:val="21"/>
              </w:rPr>
              <w:t>厂界北侧</w:t>
            </w:r>
          </w:p>
        </w:tc>
        <w:tc>
          <w:tcPr>
            <w:tcW w:w="961" w:type="dxa"/>
          </w:tcPr>
          <w:p w14:paraId="6EA21C94">
            <w:pPr>
              <w:pStyle w:val="17"/>
              <w:spacing w:before="48"/>
              <w:ind w:left="248" w:right="238"/>
              <w:rPr>
                <w:rFonts w:ascii="Times New Roman"/>
                <w:sz w:val="21"/>
              </w:rPr>
            </w:pPr>
            <w:r>
              <w:rPr>
                <w:rFonts w:ascii="Times New Roman"/>
                <w:sz w:val="21"/>
              </w:rPr>
              <w:t>59</w:t>
            </w:r>
          </w:p>
        </w:tc>
        <w:tc>
          <w:tcPr>
            <w:tcW w:w="1204" w:type="dxa"/>
          </w:tcPr>
          <w:p w14:paraId="130A2769">
            <w:pPr>
              <w:pStyle w:val="17"/>
              <w:spacing w:before="48"/>
              <w:ind w:left="160" w:right="150"/>
              <w:rPr>
                <w:rFonts w:ascii="Times New Roman"/>
                <w:sz w:val="21"/>
              </w:rPr>
            </w:pPr>
            <w:r>
              <w:rPr>
                <w:rFonts w:ascii="Times New Roman"/>
                <w:sz w:val="21"/>
              </w:rPr>
              <w:t>52</w:t>
            </w:r>
          </w:p>
        </w:tc>
        <w:tc>
          <w:tcPr>
            <w:tcW w:w="864" w:type="dxa"/>
          </w:tcPr>
          <w:p w14:paraId="0D31CFF8">
            <w:pPr>
              <w:pStyle w:val="17"/>
              <w:spacing w:before="48"/>
              <w:ind w:left="10"/>
              <w:rPr>
                <w:rFonts w:ascii="Times New Roman"/>
                <w:sz w:val="21"/>
              </w:rPr>
            </w:pPr>
            <w:r>
              <w:rPr>
                <w:rFonts w:ascii="Times New Roman"/>
                <w:sz w:val="21"/>
              </w:rPr>
              <w:t>65</w:t>
            </w:r>
          </w:p>
        </w:tc>
        <w:tc>
          <w:tcPr>
            <w:tcW w:w="837" w:type="dxa"/>
          </w:tcPr>
          <w:p w14:paraId="07B2361E">
            <w:pPr>
              <w:pStyle w:val="17"/>
              <w:spacing w:before="48"/>
              <w:ind w:left="186" w:right="177"/>
              <w:rPr>
                <w:rFonts w:ascii="Times New Roman"/>
                <w:sz w:val="21"/>
              </w:rPr>
            </w:pPr>
            <w:r>
              <w:rPr>
                <w:rFonts w:ascii="Times New Roman"/>
                <w:sz w:val="21"/>
              </w:rPr>
              <w:t>55</w:t>
            </w:r>
          </w:p>
        </w:tc>
        <w:tc>
          <w:tcPr>
            <w:tcW w:w="1497" w:type="dxa"/>
            <w:tcBorders>
              <w:right w:val="nil"/>
            </w:tcBorders>
          </w:tcPr>
          <w:p w14:paraId="3BF1BEB7">
            <w:pPr>
              <w:pStyle w:val="17"/>
              <w:spacing w:before="34"/>
              <w:ind w:left="516" w:right="516"/>
              <w:rPr>
                <w:sz w:val="21"/>
              </w:rPr>
            </w:pPr>
            <w:r>
              <w:rPr>
                <w:sz w:val="21"/>
              </w:rPr>
              <w:t>达标</w:t>
            </w:r>
          </w:p>
        </w:tc>
      </w:tr>
      <w:tr w14:paraId="2840E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restart"/>
            <w:tcBorders>
              <w:left w:val="nil"/>
            </w:tcBorders>
          </w:tcPr>
          <w:p w14:paraId="40FEC3DA">
            <w:pPr>
              <w:pStyle w:val="17"/>
              <w:jc w:val="left"/>
              <w:rPr>
                <w:b/>
                <w:sz w:val="22"/>
              </w:rPr>
            </w:pPr>
          </w:p>
          <w:p w14:paraId="24CDDCD7">
            <w:pPr>
              <w:pStyle w:val="17"/>
              <w:spacing w:before="10"/>
              <w:jc w:val="left"/>
              <w:rPr>
                <w:b/>
                <w:sz w:val="22"/>
              </w:rPr>
            </w:pPr>
          </w:p>
          <w:p w14:paraId="11F7C263">
            <w:pPr>
              <w:pStyle w:val="17"/>
              <w:ind w:left="111"/>
              <w:jc w:val="left"/>
              <w:rPr>
                <w:rFonts w:ascii="Times New Roman"/>
                <w:sz w:val="21"/>
              </w:rPr>
            </w:pPr>
            <w:r>
              <w:rPr>
                <w:rFonts w:ascii="Times New Roman"/>
                <w:sz w:val="21"/>
              </w:rPr>
              <w:t>2024.06.12</w:t>
            </w:r>
          </w:p>
        </w:tc>
        <w:tc>
          <w:tcPr>
            <w:tcW w:w="1995" w:type="dxa"/>
          </w:tcPr>
          <w:p w14:paraId="4BCE1784">
            <w:pPr>
              <w:pStyle w:val="17"/>
              <w:spacing w:before="35"/>
              <w:ind w:left="577"/>
              <w:jc w:val="left"/>
              <w:rPr>
                <w:sz w:val="21"/>
              </w:rPr>
            </w:pPr>
            <w:r>
              <w:rPr>
                <w:sz w:val="21"/>
              </w:rPr>
              <w:t>厂界东侧</w:t>
            </w:r>
          </w:p>
        </w:tc>
        <w:tc>
          <w:tcPr>
            <w:tcW w:w="961" w:type="dxa"/>
          </w:tcPr>
          <w:p w14:paraId="0892CB1C">
            <w:pPr>
              <w:pStyle w:val="17"/>
              <w:spacing w:before="48"/>
              <w:ind w:left="248" w:right="238"/>
              <w:rPr>
                <w:rFonts w:ascii="Times New Roman"/>
                <w:sz w:val="21"/>
              </w:rPr>
            </w:pPr>
            <w:r>
              <w:rPr>
                <w:rFonts w:ascii="Times New Roman"/>
                <w:sz w:val="21"/>
              </w:rPr>
              <w:t>62</w:t>
            </w:r>
          </w:p>
        </w:tc>
        <w:tc>
          <w:tcPr>
            <w:tcW w:w="1204" w:type="dxa"/>
          </w:tcPr>
          <w:p w14:paraId="354E7423">
            <w:pPr>
              <w:pStyle w:val="17"/>
              <w:spacing w:before="48"/>
              <w:ind w:left="160" w:right="150"/>
              <w:rPr>
                <w:rFonts w:ascii="Times New Roman"/>
                <w:sz w:val="21"/>
              </w:rPr>
            </w:pPr>
            <w:r>
              <w:rPr>
                <w:rFonts w:ascii="Times New Roman"/>
                <w:sz w:val="21"/>
              </w:rPr>
              <w:t>49</w:t>
            </w:r>
          </w:p>
        </w:tc>
        <w:tc>
          <w:tcPr>
            <w:tcW w:w="864" w:type="dxa"/>
          </w:tcPr>
          <w:p w14:paraId="225FA6FF">
            <w:pPr>
              <w:pStyle w:val="17"/>
              <w:spacing w:before="48"/>
              <w:ind w:left="10"/>
              <w:rPr>
                <w:rFonts w:ascii="Times New Roman"/>
                <w:sz w:val="21"/>
              </w:rPr>
            </w:pPr>
            <w:r>
              <w:rPr>
                <w:rFonts w:ascii="Times New Roman"/>
                <w:sz w:val="21"/>
              </w:rPr>
              <w:t>65</w:t>
            </w:r>
          </w:p>
        </w:tc>
        <w:tc>
          <w:tcPr>
            <w:tcW w:w="837" w:type="dxa"/>
          </w:tcPr>
          <w:p w14:paraId="1377FE11">
            <w:pPr>
              <w:pStyle w:val="17"/>
              <w:spacing w:before="48"/>
              <w:ind w:left="186" w:right="177"/>
              <w:rPr>
                <w:rFonts w:ascii="Times New Roman"/>
                <w:sz w:val="21"/>
              </w:rPr>
            </w:pPr>
            <w:r>
              <w:rPr>
                <w:rFonts w:ascii="Times New Roman"/>
                <w:sz w:val="21"/>
              </w:rPr>
              <w:t>55</w:t>
            </w:r>
          </w:p>
        </w:tc>
        <w:tc>
          <w:tcPr>
            <w:tcW w:w="1497" w:type="dxa"/>
            <w:tcBorders>
              <w:right w:val="nil"/>
            </w:tcBorders>
          </w:tcPr>
          <w:p w14:paraId="07CA4178">
            <w:pPr>
              <w:pStyle w:val="17"/>
              <w:spacing w:before="35"/>
              <w:ind w:left="516" w:right="516"/>
              <w:rPr>
                <w:sz w:val="21"/>
              </w:rPr>
            </w:pPr>
            <w:r>
              <w:rPr>
                <w:sz w:val="21"/>
              </w:rPr>
              <w:t>达标</w:t>
            </w:r>
          </w:p>
        </w:tc>
      </w:tr>
      <w:tr w14:paraId="2193E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7A0EE0BE">
            <w:pPr>
              <w:rPr>
                <w:sz w:val="2"/>
                <w:szCs w:val="2"/>
              </w:rPr>
            </w:pPr>
          </w:p>
        </w:tc>
        <w:tc>
          <w:tcPr>
            <w:tcW w:w="1995" w:type="dxa"/>
          </w:tcPr>
          <w:p w14:paraId="434AFE32">
            <w:pPr>
              <w:pStyle w:val="17"/>
              <w:spacing w:before="35"/>
              <w:ind w:left="577"/>
              <w:jc w:val="left"/>
              <w:rPr>
                <w:sz w:val="21"/>
              </w:rPr>
            </w:pPr>
            <w:r>
              <w:rPr>
                <w:sz w:val="21"/>
              </w:rPr>
              <w:t>厂界南侧</w:t>
            </w:r>
          </w:p>
        </w:tc>
        <w:tc>
          <w:tcPr>
            <w:tcW w:w="961" w:type="dxa"/>
          </w:tcPr>
          <w:p w14:paraId="54D0E0CC">
            <w:pPr>
              <w:pStyle w:val="17"/>
              <w:spacing w:before="49"/>
              <w:ind w:left="248" w:right="238"/>
              <w:rPr>
                <w:rFonts w:ascii="Times New Roman"/>
                <w:sz w:val="21"/>
              </w:rPr>
            </w:pPr>
            <w:r>
              <w:rPr>
                <w:rFonts w:ascii="Times New Roman"/>
                <w:sz w:val="21"/>
              </w:rPr>
              <w:t>56</w:t>
            </w:r>
          </w:p>
        </w:tc>
        <w:tc>
          <w:tcPr>
            <w:tcW w:w="1204" w:type="dxa"/>
          </w:tcPr>
          <w:p w14:paraId="76479C2D">
            <w:pPr>
              <w:pStyle w:val="17"/>
              <w:spacing w:before="49"/>
              <w:ind w:left="160" w:right="150"/>
              <w:rPr>
                <w:rFonts w:ascii="Times New Roman"/>
                <w:sz w:val="21"/>
              </w:rPr>
            </w:pPr>
            <w:r>
              <w:rPr>
                <w:rFonts w:ascii="Times New Roman"/>
                <w:sz w:val="21"/>
              </w:rPr>
              <w:t>52</w:t>
            </w:r>
          </w:p>
        </w:tc>
        <w:tc>
          <w:tcPr>
            <w:tcW w:w="864" w:type="dxa"/>
          </w:tcPr>
          <w:p w14:paraId="74551D0D">
            <w:pPr>
              <w:pStyle w:val="17"/>
              <w:spacing w:before="49"/>
              <w:ind w:left="10"/>
              <w:rPr>
                <w:rFonts w:ascii="Times New Roman"/>
                <w:sz w:val="21"/>
              </w:rPr>
            </w:pPr>
            <w:r>
              <w:rPr>
                <w:rFonts w:ascii="Times New Roman"/>
                <w:sz w:val="21"/>
              </w:rPr>
              <w:t>70</w:t>
            </w:r>
          </w:p>
        </w:tc>
        <w:tc>
          <w:tcPr>
            <w:tcW w:w="837" w:type="dxa"/>
          </w:tcPr>
          <w:p w14:paraId="23121166">
            <w:pPr>
              <w:pStyle w:val="17"/>
              <w:spacing w:before="49"/>
              <w:ind w:left="186" w:right="177"/>
              <w:rPr>
                <w:rFonts w:ascii="Times New Roman"/>
                <w:sz w:val="21"/>
              </w:rPr>
            </w:pPr>
            <w:r>
              <w:rPr>
                <w:rFonts w:ascii="Times New Roman"/>
                <w:sz w:val="21"/>
              </w:rPr>
              <w:t>55</w:t>
            </w:r>
          </w:p>
        </w:tc>
        <w:tc>
          <w:tcPr>
            <w:tcW w:w="1497" w:type="dxa"/>
            <w:tcBorders>
              <w:right w:val="nil"/>
            </w:tcBorders>
          </w:tcPr>
          <w:p w14:paraId="58A71A30">
            <w:pPr>
              <w:pStyle w:val="17"/>
              <w:spacing w:before="35"/>
              <w:ind w:left="516" w:right="516"/>
              <w:rPr>
                <w:sz w:val="21"/>
              </w:rPr>
            </w:pPr>
            <w:r>
              <w:rPr>
                <w:sz w:val="21"/>
              </w:rPr>
              <w:t>达标</w:t>
            </w:r>
          </w:p>
        </w:tc>
      </w:tr>
      <w:tr w14:paraId="3B6D5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237392A7">
            <w:pPr>
              <w:rPr>
                <w:sz w:val="2"/>
                <w:szCs w:val="2"/>
              </w:rPr>
            </w:pPr>
          </w:p>
        </w:tc>
        <w:tc>
          <w:tcPr>
            <w:tcW w:w="1995" w:type="dxa"/>
          </w:tcPr>
          <w:p w14:paraId="3D1FBDCB">
            <w:pPr>
              <w:pStyle w:val="17"/>
              <w:spacing w:before="35"/>
              <w:ind w:left="577"/>
              <w:jc w:val="left"/>
              <w:rPr>
                <w:sz w:val="21"/>
              </w:rPr>
            </w:pPr>
            <w:r>
              <w:rPr>
                <w:sz w:val="21"/>
              </w:rPr>
              <w:t>厂界西侧</w:t>
            </w:r>
          </w:p>
        </w:tc>
        <w:tc>
          <w:tcPr>
            <w:tcW w:w="961" w:type="dxa"/>
          </w:tcPr>
          <w:p w14:paraId="7523EEC5">
            <w:pPr>
              <w:pStyle w:val="17"/>
              <w:spacing w:before="49"/>
              <w:ind w:left="248" w:right="238"/>
              <w:rPr>
                <w:rFonts w:ascii="Times New Roman"/>
                <w:sz w:val="21"/>
              </w:rPr>
            </w:pPr>
            <w:r>
              <w:rPr>
                <w:rFonts w:ascii="Times New Roman"/>
                <w:sz w:val="21"/>
              </w:rPr>
              <w:t>59</w:t>
            </w:r>
          </w:p>
        </w:tc>
        <w:tc>
          <w:tcPr>
            <w:tcW w:w="1204" w:type="dxa"/>
          </w:tcPr>
          <w:p w14:paraId="131956A9">
            <w:pPr>
              <w:pStyle w:val="17"/>
              <w:spacing w:before="49"/>
              <w:ind w:left="160" w:right="150"/>
              <w:rPr>
                <w:rFonts w:ascii="Times New Roman"/>
                <w:sz w:val="21"/>
              </w:rPr>
            </w:pPr>
            <w:r>
              <w:rPr>
                <w:rFonts w:ascii="Times New Roman"/>
                <w:sz w:val="21"/>
              </w:rPr>
              <w:t>54</w:t>
            </w:r>
          </w:p>
        </w:tc>
        <w:tc>
          <w:tcPr>
            <w:tcW w:w="864" w:type="dxa"/>
          </w:tcPr>
          <w:p w14:paraId="43C0902D">
            <w:pPr>
              <w:pStyle w:val="17"/>
              <w:spacing w:before="49"/>
              <w:ind w:left="10"/>
              <w:rPr>
                <w:rFonts w:ascii="Times New Roman"/>
                <w:sz w:val="21"/>
              </w:rPr>
            </w:pPr>
            <w:r>
              <w:rPr>
                <w:rFonts w:ascii="Times New Roman"/>
                <w:sz w:val="21"/>
              </w:rPr>
              <w:t>65</w:t>
            </w:r>
          </w:p>
        </w:tc>
        <w:tc>
          <w:tcPr>
            <w:tcW w:w="837" w:type="dxa"/>
          </w:tcPr>
          <w:p w14:paraId="45935925">
            <w:pPr>
              <w:pStyle w:val="17"/>
              <w:spacing w:before="49"/>
              <w:ind w:left="186" w:right="177"/>
              <w:rPr>
                <w:rFonts w:ascii="Times New Roman"/>
                <w:sz w:val="21"/>
              </w:rPr>
            </w:pPr>
            <w:r>
              <w:rPr>
                <w:rFonts w:ascii="Times New Roman"/>
                <w:sz w:val="21"/>
              </w:rPr>
              <w:t>55</w:t>
            </w:r>
          </w:p>
        </w:tc>
        <w:tc>
          <w:tcPr>
            <w:tcW w:w="1497" w:type="dxa"/>
            <w:tcBorders>
              <w:right w:val="nil"/>
            </w:tcBorders>
          </w:tcPr>
          <w:p w14:paraId="48E7D63C">
            <w:pPr>
              <w:pStyle w:val="17"/>
              <w:spacing w:before="33"/>
              <w:ind w:left="516" w:right="516"/>
              <w:rPr>
                <w:sz w:val="21"/>
              </w:rPr>
            </w:pPr>
            <w:r>
              <w:rPr>
                <w:sz w:val="21"/>
              </w:rPr>
              <w:t>达标</w:t>
            </w:r>
          </w:p>
        </w:tc>
      </w:tr>
      <w:tr w14:paraId="2D5CA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1" w:type="dxa"/>
            <w:vMerge w:val="continue"/>
            <w:tcBorders>
              <w:top w:val="nil"/>
              <w:left w:val="nil"/>
            </w:tcBorders>
          </w:tcPr>
          <w:p w14:paraId="0160D102">
            <w:pPr>
              <w:rPr>
                <w:sz w:val="2"/>
                <w:szCs w:val="2"/>
              </w:rPr>
            </w:pPr>
          </w:p>
        </w:tc>
        <w:tc>
          <w:tcPr>
            <w:tcW w:w="1995" w:type="dxa"/>
          </w:tcPr>
          <w:p w14:paraId="7D58411C">
            <w:pPr>
              <w:pStyle w:val="17"/>
              <w:spacing w:before="36"/>
              <w:ind w:left="577"/>
              <w:jc w:val="left"/>
              <w:rPr>
                <w:sz w:val="21"/>
              </w:rPr>
            </w:pPr>
            <w:r>
              <w:rPr>
                <w:sz w:val="21"/>
              </w:rPr>
              <w:t>厂界北侧</w:t>
            </w:r>
          </w:p>
        </w:tc>
        <w:tc>
          <w:tcPr>
            <w:tcW w:w="961" w:type="dxa"/>
          </w:tcPr>
          <w:p w14:paraId="4E46316A">
            <w:pPr>
              <w:pStyle w:val="17"/>
              <w:spacing w:before="50"/>
              <w:ind w:left="248" w:right="238"/>
              <w:rPr>
                <w:rFonts w:ascii="Times New Roman"/>
                <w:sz w:val="21"/>
              </w:rPr>
            </w:pPr>
            <w:r>
              <w:rPr>
                <w:rFonts w:ascii="Times New Roman"/>
                <w:sz w:val="21"/>
              </w:rPr>
              <w:t>60</w:t>
            </w:r>
          </w:p>
        </w:tc>
        <w:tc>
          <w:tcPr>
            <w:tcW w:w="1204" w:type="dxa"/>
          </w:tcPr>
          <w:p w14:paraId="1F964D9E">
            <w:pPr>
              <w:pStyle w:val="17"/>
              <w:spacing w:before="50"/>
              <w:ind w:left="160" w:right="150"/>
              <w:rPr>
                <w:rFonts w:ascii="Times New Roman"/>
                <w:sz w:val="21"/>
              </w:rPr>
            </w:pPr>
            <w:r>
              <w:rPr>
                <w:rFonts w:ascii="Times New Roman"/>
                <w:sz w:val="21"/>
              </w:rPr>
              <w:t>51</w:t>
            </w:r>
          </w:p>
        </w:tc>
        <w:tc>
          <w:tcPr>
            <w:tcW w:w="864" w:type="dxa"/>
          </w:tcPr>
          <w:p w14:paraId="74BC6978">
            <w:pPr>
              <w:pStyle w:val="17"/>
              <w:spacing w:before="50"/>
              <w:ind w:left="10"/>
              <w:rPr>
                <w:rFonts w:ascii="Times New Roman"/>
                <w:sz w:val="21"/>
              </w:rPr>
            </w:pPr>
            <w:r>
              <w:rPr>
                <w:rFonts w:ascii="Times New Roman"/>
                <w:sz w:val="21"/>
              </w:rPr>
              <w:t>65</w:t>
            </w:r>
          </w:p>
        </w:tc>
        <w:tc>
          <w:tcPr>
            <w:tcW w:w="837" w:type="dxa"/>
          </w:tcPr>
          <w:p w14:paraId="1381BBFC">
            <w:pPr>
              <w:pStyle w:val="17"/>
              <w:spacing w:before="50"/>
              <w:ind w:left="186" w:right="177"/>
              <w:rPr>
                <w:rFonts w:ascii="Times New Roman"/>
                <w:sz w:val="21"/>
              </w:rPr>
            </w:pPr>
            <w:r>
              <w:rPr>
                <w:rFonts w:ascii="Times New Roman"/>
                <w:sz w:val="21"/>
              </w:rPr>
              <w:t>55</w:t>
            </w:r>
          </w:p>
        </w:tc>
        <w:tc>
          <w:tcPr>
            <w:tcW w:w="1497" w:type="dxa"/>
            <w:tcBorders>
              <w:right w:val="nil"/>
            </w:tcBorders>
          </w:tcPr>
          <w:p w14:paraId="071A7F71">
            <w:pPr>
              <w:pStyle w:val="17"/>
              <w:spacing w:before="33"/>
              <w:ind w:left="516" w:right="516"/>
              <w:rPr>
                <w:sz w:val="21"/>
              </w:rPr>
            </w:pPr>
            <w:r>
              <w:rPr>
                <w:sz w:val="21"/>
              </w:rPr>
              <w:t>达标</w:t>
            </w:r>
          </w:p>
        </w:tc>
      </w:tr>
    </w:tbl>
    <w:p w14:paraId="7297FE5F">
      <w:pPr>
        <w:spacing w:before="44" w:after="3" w:line="278" w:lineRule="auto"/>
        <w:ind w:left="240" w:right="3378" w:firstLine="0"/>
        <w:jc w:val="left"/>
        <w:rPr>
          <w:sz w:val="21"/>
        </w:rPr>
      </w:pPr>
      <w:r>
        <w:rPr>
          <w:sz w:val="21"/>
        </w:rPr>
        <w:t>项目所在区域厂界执行（</w:t>
      </w:r>
      <w:r>
        <w:rPr>
          <w:rFonts w:ascii="Times New Roman" w:eastAsia="Times New Roman"/>
          <w:sz w:val="21"/>
        </w:rPr>
        <w:t>GB3096</w:t>
      </w:r>
      <w:r>
        <w:rPr>
          <w:sz w:val="21"/>
        </w:rPr>
        <w:t>－</w:t>
      </w:r>
      <w:r>
        <w:rPr>
          <w:rFonts w:ascii="Times New Roman" w:eastAsia="Times New Roman"/>
          <w:sz w:val="21"/>
        </w:rPr>
        <w:t>2008</w:t>
      </w:r>
      <w:r>
        <w:rPr>
          <w:sz w:val="21"/>
        </w:rPr>
        <w:t xml:space="preserve">）中的 </w:t>
      </w:r>
      <w:r>
        <w:rPr>
          <w:rFonts w:ascii="Times New Roman" w:eastAsia="Times New Roman"/>
          <w:sz w:val="21"/>
        </w:rPr>
        <w:t xml:space="preserve">3 </w:t>
      </w:r>
      <w:r>
        <w:rPr>
          <w:sz w:val="21"/>
        </w:rPr>
        <w:t xml:space="preserve">类标准即：昼间 </w:t>
      </w:r>
      <w:r>
        <w:rPr>
          <w:rFonts w:ascii="Times New Roman" w:eastAsia="Times New Roman"/>
          <w:sz w:val="21"/>
        </w:rPr>
        <w:t>65dB</w:t>
      </w:r>
      <w:r>
        <w:rPr>
          <w:sz w:val="21"/>
        </w:rPr>
        <w:t>（</w:t>
      </w:r>
      <w:r>
        <w:rPr>
          <w:rFonts w:ascii="Times New Roman" w:eastAsia="Times New Roman"/>
          <w:sz w:val="21"/>
        </w:rPr>
        <w:t>A</w:t>
      </w:r>
      <w:r>
        <w:rPr>
          <w:sz w:val="21"/>
        </w:rPr>
        <w:t xml:space="preserve">），夜间 </w:t>
      </w:r>
      <w:r>
        <w:rPr>
          <w:rFonts w:ascii="Times New Roman" w:eastAsia="Times New Roman"/>
          <w:sz w:val="21"/>
        </w:rPr>
        <w:t>55dB</w:t>
      </w:r>
      <w:r>
        <w:rPr>
          <w:sz w:val="21"/>
        </w:rPr>
        <w:t>（</w:t>
      </w:r>
      <w:r>
        <w:rPr>
          <w:rFonts w:ascii="Times New Roman" w:eastAsia="Times New Roman"/>
          <w:sz w:val="21"/>
        </w:rPr>
        <w:t>A</w:t>
      </w:r>
      <w:r>
        <w:rPr>
          <w:sz w:val="21"/>
        </w:rPr>
        <w:t>）</w:t>
      </w:r>
    </w:p>
    <w:p w14:paraId="395EF1D3">
      <w:pPr>
        <w:pStyle w:val="10"/>
        <w:spacing w:line="20" w:lineRule="exact"/>
        <w:ind w:left="128"/>
        <w:rPr>
          <w:sz w:val="2"/>
        </w:rPr>
      </w:pPr>
      <w:r>
        <w:rPr>
          <w:sz w:val="2"/>
        </w:rPr>
        <w:pict>
          <v:group id="_x0000_s1231" o:spid="_x0000_s1231" o:spt="203" style="height:0.5pt;width:425.95pt;" coordsize="8519,10">
            <o:lock v:ext="edit"/>
            <v:line id="_x0000_s1232" o:spid="_x0000_s1232" o:spt="20" style="position:absolute;left:0;top:5;height:0;width:8519;" stroked="t" coordsize="21600,21600">
              <v:path arrowok="t"/>
              <v:fill focussize="0,0"/>
              <v:stroke weight="0.48pt" color="#000000"/>
              <v:imagedata o:title=""/>
              <o:lock v:ext="edit"/>
            </v:line>
            <w10:wrap type="none"/>
            <w10:anchorlock/>
          </v:group>
        </w:pict>
      </w:r>
    </w:p>
    <w:p w14:paraId="363E78F6">
      <w:pPr>
        <w:pStyle w:val="10"/>
        <w:spacing w:before="70" w:line="364" w:lineRule="auto"/>
        <w:ind w:left="240" w:right="257" w:firstLine="480"/>
      </w:pPr>
      <w:r>
        <w:rPr>
          <w:spacing w:val="-8"/>
        </w:rPr>
        <w:t>从上表可知：项目所在地厂界东侧、西侧、北侧的声环境质量能达到《声环境质量标准》（</w:t>
      </w:r>
      <w:r>
        <w:rPr>
          <w:rFonts w:ascii="Times New Roman" w:eastAsia="Times New Roman"/>
          <w:spacing w:val="-8"/>
        </w:rPr>
        <w:t>GB3096</w:t>
      </w:r>
      <w:r>
        <w:rPr>
          <w:spacing w:val="-8"/>
        </w:rPr>
        <w:t>－</w:t>
      </w:r>
      <w:r>
        <w:rPr>
          <w:rFonts w:ascii="Times New Roman" w:eastAsia="Times New Roman"/>
          <w:spacing w:val="-8"/>
        </w:rPr>
        <w:t>2008</w:t>
      </w:r>
      <w:r>
        <w:rPr>
          <w:spacing w:val="-8"/>
        </w:rPr>
        <w:t>）</w:t>
      </w:r>
      <w:r>
        <w:rPr>
          <w:spacing w:val="-20"/>
        </w:rPr>
        <w:t xml:space="preserve">中的 </w:t>
      </w:r>
      <w:r>
        <w:rPr>
          <w:rFonts w:ascii="Times New Roman" w:eastAsia="Times New Roman"/>
        </w:rPr>
        <w:t xml:space="preserve">3 </w:t>
      </w:r>
      <w:r>
        <w:t>类标准要求，南侧的声环境质量能达到</w:t>
      </w:r>
    </w:p>
    <w:p w14:paraId="51F85DAE">
      <w:pPr>
        <w:pStyle w:val="10"/>
        <w:spacing w:before="1"/>
        <w:ind w:left="240"/>
      </w:pPr>
      <w:r>
        <w:t>《声环境质量标准》（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4a </w:t>
      </w:r>
      <w:r>
        <w:t>类标准。</w:t>
      </w:r>
    </w:p>
    <w:p w14:paraId="7E9C6CEA">
      <w:pPr>
        <w:spacing w:after="0"/>
        <w:sectPr>
          <w:footerReference r:id="rId21" w:type="default"/>
          <w:pgSz w:w="11910" w:h="16840"/>
          <w:pgMar w:top="1500" w:right="1540" w:bottom="1220" w:left="1560" w:header="0" w:footer="1024" w:gutter="0"/>
          <w:pgNumType w:start="86"/>
          <w:cols w:space="720" w:num="1"/>
        </w:sectPr>
      </w:pPr>
    </w:p>
    <w:p w14:paraId="52B20693">
      <w:pPr>
        <w:pStyle w:val="16"/>
        <w:numPr>
          <w:ilvl w:val="2"/>
          <w:numId w:val="15"/>
        </w:numPr>
        <w:tabs>
          <w:tab w:val="left" w:pos="869"/>
        </w:tabs>
        <w:spacing w:before="55" w:after="0" w:line="240" w:lineRule="auto"/>
        <w:ind w:left="868" w:right="0" w:hanging="628"/>
        <w:jc w:val="left"/>
        <w:rPr>
          <w:b/>
          <w:sz w:val="28"/>
        </w:rPr>
      </w:pPr>
      <w:r>
        <w:rPr>
          <w:b/>
          <w:sz w:val="28"/>
        </w:rPr>
        <w:t>土壤环境现状监测与评价</w:t>
      </w:r>
    </w:p>
    <w:p w14:paraId="248E4191">
      <w:pPr>
        <w:pStyle w:val="10"/>
        <w:spacing w:before="212" w:line="364" w:lineRule="auto"/>
        <w:ind w:left="240" w:right="137" w:firstLine="480"/>
      </w:pPr>
      <w:r>
        <w:rPr>
          <w:spacing w:val="-9"/>
        </w:rPr>
        <w:t>根据前文土壤环境影响评价等级判定，本项目土壤环境影响评价等级为“</w:t>
      </w:r>
      <w:r>
        <w:rPr>
          <w:rFonts w:ascii="Times New Roman" w:hAnsi="Times New Roman" w:eastAsia="Times New Roman"/>
          <w:spacing w:val="0"/>
        </w:rPr>
        <w:t>-</w:t>
      </w:r>
      <w:r>
        <w:rPr>
          <w:spacing w:val="-60"/>
        </w:rPr>
        <w:t>”，</w:t>
      </w:r>
      <w:r>
        <w:rPr>
          <w:spacing w:val="-21"/>
        </w:rPr>
        <w:t>根据《环境影响评价技术导则</w:t>
      </w:r>
      <w:r>
        <w:rPr>
          <w:rFonts w:ascii="Times New Roman" w:hAnsi="Times New Roman" w:eastAsia="Times New Roman"/>
        </w:rPr>
        <w:t>-</w:t>
      </w:r>
      <w:r>
        <w:t>土壤环境》</w:t>
      </w:r>
      <w:r>
        <w:rPr>
          <w:rFonts w:ascii="Times New Roman" w:hAnsi="Times New Roman" w:eastAsia="Times New Roman"/>
        </w:rPr>
        <w:t xml:space="preserve">(HJ964-2018)6.2.2.3 </w:t>
      </w:r>
      <w:r>
        <w:t>规定，“</w:t>
      </w:r>
      <w:r>
        <w:rPr>
          <w:rFonts w:ascii="Times New Roman" w:hAnsi="Times New Roman" w:eastAsia="Times New Roman"/>
        </w:rPr>
        <w:t>-</w:t>
      </w:r>
      <w:r>
        <w:t>”表示可不开展土壤环境影响评价工作。故本次评价不开展土壤环境现状监测。</w:t>
      </w:r>
    </w:p>
    <w:p w14:paraId="34D1497E">
      <w:pPr>
        <w:pStyle w:val="16"/>
        <w:numPr>
          <w:ilvl w:val="2"/>
          <w:numId w:val="15"/>
        </w:numPr>
        <w:tabs>
          <w:tab w:val="left" w:pos="869"/>
        </w:tabs>
        <w:spacing w:before="56" w:after="0" w:line="240" w:lineRule="auto"/>
        <w:ind w:left="868" w:right="0" w:hanging="628"/>
        <w:jc w:val="left"/>
        <w:rPr>
          <w:b/>
          <w:sz w:val="28"/>
        </w:rPr>
      </w:pPr>
      <w:r>
        <w:rPr>
          <w:b/>
          <w:sz w:val="28"/>
        </w:rPr>
        <w:t>生态环境现状监测与评价</w:t>
      </w:r>
    </w:p>
    <w:p w14:paraId="4BFCEFAC">
      <w:pPr>
        <w:pStyle w:val="10"/>
        <w:spacing w:before="211" w:line="364" w:lineRule="auto"/>
        <w:ind w:left="240" w:right="257" w:firstLine="480"/>
      </w:pPr>
      <w:r>
        <w:rPr>
          <w:spacing w:val="-10"/>
        </w:rPr>
        <w:t>本项目为新建项目，位于湖南汨罗市高新技术产业开发区新市片区中塑新材</w:t>
      </w:r>
      <w:r>
        <w:rPr>
          <w:spacing w:val="-20"/>
        </w:rPr>
        <w:t xml:space="preserve">料公司内 </w:t>
      </w:r>
      <w:r>
        <w:rPr>
          <w:rFonts w:ascii="Times New Roman" w:eastAsia="Times New Roman"/>
        </w:rPr>
        <w:t xml:space="preserve">16 </w:t>
      </w:r>
      <w:r>
        <w:t>栋厂房，租赁已建标准厂房，位于湖南汨罗市高新技术产业开发区</w:t>
      </w:r>
      <w:r>
        <w:rPr>
          <w:spacing w:val="-10"/>
        </w:rPr>
        <w:t xml:space="preserve">内，厂房地面已完全硬化，周边主要为中塑新材料公司内工业厂房和宿舍楼，南侧主要为空地，周边 </w:t>
      </w:r>
      <w:r>
        <w:rPr>
          <w:rFonts w:ascii="Times New Roman" w:eastAsia="Times New Roman"/>
          <w:spacing w:val="-10"/>
        </w:rPr>
        <w:t>200m</w:t>
      </w:r>
      <w:r>
        <w:rPr>
          <w:rFonts w:ascii="Times New Roman" w:eastAsia="Times New Roman"/>
          <w:spacing w:val="57"/>
        </w:rPr>
        <w:t xml:space="preserve"> </w:t>
      </w:r>
      <w:r>
        <w:t>范围内无基本农田、自然保护区、风景名胜区、森</w:t>
      </w:r>
      <w:r>
        <w:rPr>
          <w:spacing w:val="-7"/>
        </w:rPr>
        <w:t>林公园等生态保护目标，项目营运期虽有一定污染排放，但经采取相应的防治措</w:t>
      </w:r>
      <w:r>
        <w:rPr>
          <w:spacing w:val="-11"/>
        </w:rPr>
        <w:t>施后，污染物排放达标，排放量小，预测表明，其对区域地表水环境质量、声环</w:t>
      </w:r>
      <w:r>
        <w:rPr>
          <w:spacing w:val="-15"/>
        </w:rPr>
        <w:t>境质量和大气环境质量均不会产生大的影响，因此，项目营运期对生态环境的影响极小。</w:t>
      </w:r>
    </w:p>
    <w:p w14:paraId="2CCCEB4C">
      <w:pPr>
        <w:spacing w:after="0" w:line="364" w:lineRule="auto"/>
        <w:sectPr>
          <w:pgSz w:w="11910" w:h="16840"/>
          <w:pgMar w:top="1500" w:right="1540" w:bottom="1220" w:left="1560" w:header="0" w:footer="1024" w:gutter="0"/>
          <w:cols w:space="720" w:num="1"/>
        </w:sectPr>
      </w:pPr>
    </w:p>
    <w:p w14:paraId="0EFE10F5">
      <w:pPr>
        <w:pStyle w:val="16"/>
        <w:numPr>
          <w:ilvl w:val="0"/>
          <w:numId w:val="15"/>
        </w:numPr>
        <w:tabs>
          <w:tab w:val="left" w:pos="509"/>
        </w:tabs>
        <w:spacing w:before="42" w:after="0" w:line="240" w:lineRule="auto"/>
        <w:ind w:left="508" w:right="0" w:hanging="268"/>
        <w:jc w:val="left"/>
        <w:rPr>
          <w:rFonts w:ascii="Times New Roman" w:eastAsia="Times New Roman"/>
          <w:b/>
          <w:sz w:val="36"/>
        </w:rPr>
      </w:pPr>
      <w:bookmarkStart w:id="23" w:name="_TOC_250032"/>
      <w:bookmarkEnd w:id="23"/>
      <w:r>
        <w:rPr>
          <w:b/>
          <w:sz w:val="36"/>
        </w:rPr>
        <w:t>环境影响预测与评价</w:t>
      </w:r>
    </w:p>
    <w:p w14:paraId="2E085016">
      <w:pPr>
        <w:pStyle w:val="10"/>
        <w:spacing w:before="163" w:line="364" w:lineRule="auto"/>
        <w:ind w:left="240" w:right="257" w:firstLine="482"/>
      </w:pPr>
      <w:r>
        <w:rPr>
          <w:spacing w:val="-5"/>
        </w:rPr>
        <w:t>本项目施工期仅进行少量设备安装，对环境影响相对较小，本次评价不对施工期环境影响进行分析，重点考虑运营期环境影响情况。</w:t>
      </w:r>
    </w:p>
    <w:p w14:paraId="4F00B906">
      <w:pPr>
        <w:pStyle w:val="3"/>
        <w:numPr>
          <w:ilvl w:val="1"/>
          <w:numId w:val="16"/>
        </w:numPr>
        <w:tabs>
          <w:tab w:val="left" w:pos="689"/>
        </w:tabs>
        <w:spacing w:before="42" w:after="0" w:line="240" w:lineRule="auto"/>
        <w:ind w:left="688" w:right="0" w:hanging="448"/>
        <w:jc w:val="left"/>
      </w:pPr>
      <w:bookmarkStart w:id="24" w:name="_TOC_250031"/>
      <w:bookmarkEnd w:id="24"/>
      <w:r>
        <w:t>大气环境影响预测与评价</w:t>
      </w:r>
    </w:p>
    <w:p w14:paraId="5262A68B">
      <w:pPr>
        <w:pStyle w:val="10"/>
        <w:spacing w:before="198" w:line="364" w:lineRule="auto"/>
        <w:ind w:left="240" w:right="137" w:firstLine="482"/>
      </w:pPr>
      <w:r>
        <w:t>本项目无组织排放的非甲烷总烃最大占标率</w:t>
      </w:r>
      <w:r>
        <w:rPr>
          <w:rFonts w:ascii="Times New Roman" w:hAnsi="Times New Roman" w:eastAsia="Times New Roman"/>
        </w:rPr>
        <w:t>Pmax=13.43%</w:t>
      </w:r>
      <w:r>
        <w:t>大于</w:t>
      </w:r>
      <w:r>
        <w:rPr>
          <w:rFonts w:ascii="Times New Roman" w:hAnsi="Times New Roman" w:eastAsia="Times New Roman"/>
          <w:spacing w:val="-10"/>
        </w:rPr>
        <w:t>10%</w:t>
      </w:r>
      <w:r>
        <w:rPr>
          <w:spacing w:val="-3"/>
        </w:rPr>
        <w:t>，大气评</w:t>
      </w:r>
      <w:r>
        <w:rPr>
          <w:spacing w:val="-17"/>
        </w:rPr>
        <w:t>价工作等级结果为一级。根据《环境影响评价技术导则 大气环境》</w:t>
      </w:r>
      <w:r>
        <w:t>（</w:t>
      </w:r>
      <w:r>
        <w:rPr>
          <w:rFonts w:ascii="Times New Roman" w:hAnsi="Times New Roman" w:eastAsia="Times New Roman"/>
        </w:rPr>
        <w:t>HJ2.2-2018</w:t>
      </w:r>
      <w:r>
        <w:t>） 中评价等级的判定还应遵守的规定</w:t>
      </w:r>
      <w:r>
        <w:rPr>
          <w:rFonts w:ascii="Times New Roman" w:hAnsi="Times New Roman" w:eastAsia="Times New Roman"/>
        </w:rPr>
        <w:t>“5.3.3.2</w:t>
      </w:r>
      <w:r>
        <w:rPr>
          <w:rFonts w:ascii="Times New Roman" w:hAnsi="Times New Roman" w:eastAsia="Times New Roman"/>
          <w:spacing w:val="58"/>
        </w:rPr>
        <w:t xml:space="preserve"> </w:t>
      </w:r>
      <w:r>
        <w:t>对电力、钢铁、水泥、石化、化工、平板玻璃、有色等高耗能行业的多源项目或以使用高污染燃料为主的多源项目， 并且编制环境影响报告书的项目评价等级提高一级</w:t>
      </w:r>
      <w:r>
        <w:rPr>
          <w:rFonts w:ascii="Times New Roman" w:hAnsi="Times New Roman" w:eastAsia="Times New Roman"/>
        </w:rPr>
        <w:t>”</w:t>
      </w:r>
      <w:r>
        <w:t>，本项目不属于高耗能行业</w:t>
      </w:r>
      <w:r>
        <w:rPr>
          <w:spacing w:val="-9"/>
        </w:rPr>
        <w:t>的多源项目，不使用高污染燃料，因此本项目无需提高评价等级，最终确定本项</w:t>
      </w:r>
      <w:r>
        <w:rPr>
          <w:spacing w:val="-14"/>
        </w:rPr>
        <w:t>目大气环境影响评价工作等级为一级，根据导则要求，一级评价项目应采用进一步预测模型开展大气环境影响预测与评价。</w:t>
      </w:r>
    </w:p>
    <w:p w14:paraId="5F155DB2">
      <w:pPr>
        <w:pStyle w:val="16"/>
        <w:numPr>
          <w:ilvl w:val="2"/>
          <w:numId w:val="16"/>
        </w:numPr>
        <w:tabs>
          <w:tab w:val="left" w:pos="869"/>
        </w:tabs>
        <w:spacing w:before="59" w:after="0" w:line="240" w:lineRule="auto"/>
        <w:ind w:left="868" w:right="0" w:hanging="628"/>
        <w:jc w:val="left"/>
        <w:rPr>
          <w:rFonts w:ascii="Times New Roman" w:eastAsia="Times New Roman"/>
          <w:b/>
          <w:sz w:val="28"/>
        </w:rPr>
      </w:pPr>
      <w:r>
        <w:rPr>
          <w:b/>
          <w:sz w:val="28"/>
        </w:rPr>
        <w:t>大气环境影响预测气象条件</w:t>
      </w:r>
    </w:p>
    <w:p w14:paraId="28439BBB">
      <w:pPr>
        <w:pStyle w:val="10"/>
        <w:spacing w:before="212"/>
        <w:ind w:left="720"/>
      </w:pPr>
      <w:r>
        <w:t>（一）多年常规气象数据分析</w:t>
      </w:r>
    </w:p>
    <w:p w14:paraId="43499523">
      <w:pPr>
        <w:pStyle w:val="10"/>
        <w:spacing w:before="160" w:line="364" w:lineRule="auto"/>
        <w:ind w:left="240" w:right="257" w:firstLine="480"/>
        <w:jc w:val="both"/>
      </w:pPr>
      <w:r>
        <w:rPr>
          <w:spacing w:val="-3"/>
        </w:rPr>
        <w:t>本评价利用汨罗气象站（</w:t>
      </w:r>
      <w:r>
        <w:rPr>
          <w:rFonts w:ascii="Times New Roman" w:eastAsia="Times New Roman"/>
          <w:spacing w:val="-3"/>
        </w:rPr>
        <w:t>57680</w:t>
      </w:r>
      <w:r>
        <w:rPr>
          <w:spacing w:val="-3"/>
        </w:rPr>
        <w:t>）</w:t>
      </w:r>
      <w:r>
        <w:rPr>
          <w:rFonts w:ascii="Times New Roman" w:eastAsia="Times New Roman"/>
          <w:spacing w:val="-3"/>
        </w:rPr>
        <w:t xml:space="preserve">2004 </w:t>
      </w:r>
      <w:r>
        <w:t>年</w:t>
      </w:r>
      <w:r>
        <w:rPr>
          <w:rFonts w:ascii="Times New Roman" w:eastAsia="Times New Roman"/>
        </w:rPr>
        <w:t xml:space="preserve">-2023 </w:t>
      </w:r>
      <w:r>
        <w:rPr>
          <w:spacing w:val="-20"/>
        </w:rPr>
        <w:t xml:space="preserve">年近 </w:t>
      </w:r>
      <w:r>
        <w:rPr>
          <w:rFonts w:ascii="Times New Roman" w:eastAsia="Times New Roman"/>
        </w:rPr>
        <w:t xml:space="preserve">20 </w:t>
      </w:r>
      <w:r>
        <w:t>年的常规气象统计资</w:t>
      </w:r>
      <w:r>
        <w:rPr>
          <w:spacing w:val="-5"/>
        </w:rPr>
        <w:t xml:space="preserve">料，站点地理坐标为东经 </w:t>
      </w:r>
      <w:r>
        <w:rPr>
          <w:rFonts w:ascii="Times New Roman" w:eastAsia="Times New Roman"/>
        </w:rPr>
        <w:t xml:space="preserve">113.1069 </w:t>
      </w:r>
      <w:r>
        <w:rPr>
          <w:spacing w:val="-12"/>
        </w:rPr>
        <w:t xml:space="preserve">度，北纬 </w:t>
      </w:r>
      <w:r>
        <w:rPr>
          <w:rFonts w:ascii="Times New Roman" w:eastAsia="Times New Roman"/>
        </w:rPr>
        <w:t xml:space="preserve">28.8564 </w:t>
      </w:r>
      <w:r>
        <w:rPr>
          <w:spacing w:val="-8"/>
        </w:rPr>
        <w:t xml:space="preserve">度，海拔高度 </w:t>
      </w:r>
      <w:r>
        <w:rPr>
          <w:rFonts w:ascii="Times New Roman" w:eastAsia="Times New Roman"/>
        </w:rPr>
        <w:t xml:space="preserve">82.5 </w:t>
      </w:r>
      <w:r>
        <w:t>米。该</w:t>
      </w:r>
      <w:r>
        <w:rPr>
          <w:spacing w:val="-3"/>
        </w:rPr>
        <w:t xml:space="preserve">气象站位于拟建厂区西北侧，距离约 </w:t>
      </w:r>
      <w:r>
        <w:rPr>
          <w:rFonts w:ascii="Times New Roman" w:eastAsia="Times New Roman"/>
        </w:rPr>
        <w:t>13km</w:t>
      </w:r>
      <w:r>
        <w:t>，根据环评技术导则，本环评可直接引用该站的气象资料。</w:t>
      </w:r>
    </w:p>
    <w:p w14:paraId="7753031C">
      <w:pPr>
        <w:pStyle w:val="10"/>
        <w:spacing w:before="2" w:line="364" w:lineRule="auto"/>
        <w:ind w:left="240" w:right="204" w:firstLine="720"/>
      </w:pPr>
      <w:r>
        <w:t xml:space="preserve">按全国气候区划，汨罗属亚热带季风湿润区。据近 </w:t>
      </w:r>
      <w:r>
        <w:rPr>
          <w:rFonts w:ascii="Times New Roman" w:eastAsia="Times New Roman"/>
        </w:rPr>
        <w:t xml:space="preserve">20 </w:t>
      </w:r>
      <w:r>
        <w:t xml:space="preserve">年汨罗气象站气候资料统计，区域常年气候特征见表 </w:t>
      </w:r>
      <w:r>
        <w:rPr>
          <w:rFonts w:ascii="Times New Roman" w:eastAsia="Times New Roman"/>
        </w:rPr>
        <w:t>4.1-1</w:t>
      </w:r>
      <w:r>
        <w:t>。</w:t>
      </w:r>
    </w:p>
    <w:p w14:paraId="0DC04964">
      <w:pPr>
        <w:spacing w:before="0" w:after="22" w:line="211" w:lineRule="exact"/>
        <w:ind w:left="1953" w:right="0" w:firstLine="0"/>
        <w:jc w:val="left"/>
        <w:rPr>
          <w:b/>
          <w:sz w:val="21"/>
        </w:rPr>
      </w:pPr>
      <w:r>
        <w:rPr>
          <w:b/>
          <w:sz w:val="21"/>
        </w:rPr>
        <w:t xml:space="preserve">表 </w:t>
      </w:r>
      <w:r>
        <w:rPr>
          <w:rFonts w:ascii="Times New Roman" w:eastAsia="Times New Roman"/>
          <w:b/>
          <w:sz w:val="21"/>
        </w:rPr>
        <w:t xml:space="preserve">4.1-1 </w:t>
      </w:r>
      <w:r>
        <w:rPr>
          <w:b/>
          <w:sz w:val="21"/>
        </w:rPr>
        <w:t>汨罗气象站常规气象项目统计（</w:t>
      </w:r>
      <w:r>
        <w:rPr>
          <w:rFonts w:ascii="Times New Roman" w:eastAsia="Times New Roman"/>
          <w:b/>
          <w:sz w:val="21"/>
        </w:rPr>
        <w:t>2004-2023</w:t>
      </w:r>
      <w:r>
        <w:rPr>
          <w:b/>
          <w:sz w:val="21"/>
        </w:rPr>
        <w:t>）</w:t>
      </w:r>
    </w:p>
    <w:tbl>
      <w:tblPr>
        <w:tblStyle w:val="13"/>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66"/>
        <w:gridCol w:w="3038"/>
      </w:tblGrid>
      <w:tr w14:paraId="40B0DC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left w:val="nil"/>
              <w:bottom w:val="single" w:color="000000" w:sz="4" w:space="0"/>
              <w:right w:val="single" w:color="000000" w:sz="4" w:space="0"/>
            </w:tcBorders>
          </w:tcPr>
          <w:p w14:paraId="0FA6BD74">
            <w:pPr>
              <w:pStyle w:val="17"/>
              <w:spacing w:before="102"/>
              <w:ind w:left="1465" w:right="1436"/>
              <w:rPr>
                <w:sz w:val="21"/>
              </w:rPr>
            </w:pPr>
            <w:r>
              <w:rPr>
                <w:sz w:val="21"/>
              </w:rPr>
              <w:t>统计项目</w:t>
            </w:r>
          </w:p>
        </w:tc>
        <w:tc>
          <w:tcPr>
            <w:tcW w:w="3038" w:type="dxa"/>
            <w:tcBorders>
              <w:left w:val="single" w:color="000000" w:sz="4" w:space="0"/>
              <w:bottom w:val="single" w:color="000000" w:sz="4" w:space="0"/>
              <w:right w:val="nil"/>
            </w:tcBorders>
          </w:tcPr>
          <w:p w14:paraId="2E7CA35A">
            <w:pPr>
              <w:pStyle w:val="17"/>
              <w:spacing w:before="102"/>
              <w:ind w:right="1188"/>
              <w:jc w:val="right"/>
              <w:rPr>
                <w:sz w:val="21"/>
              </w:rPr>
            </w:pPr>
            <w:r>
              <w:rPr>
                <w:w w:val="95"/>
                <w:sz w:val="21"/>
              </w:rPr>
              <w:t>统计值</w:t>
            </w:r>
          </w:p>
        </w:tc>
      </w:tr>
      <w:tr w14:paraId="020E09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57918AC1">
            <w:pPr>
              <w:pStyle w:val="17"/>
              <w:spacing w:before="100"/>
              <w:ind w:left="1465" w:right="1434"/>
              <w:rPr>
                <w:sz w:val="21"/>
              </w:rPr>
            </w:pPr>
            <w:r>
              <w:rPr>
                <w:sz w:val="21"/>
              </w:rPr>
              <w:t>多年平均气压（</w:t>
            </w:r>
            <w:r>
              <w:rPr>
                <w:rFonts w:ascii="Times New Roman" w:eastAsia="Times New Roman"/>
                <w:sz w:val="21"/>
              </w:rPr>
              <w:t>hPa</w:t>
            </w:r>
            <w:r>
              <w:rPr>
                <w:sz w:val="21"/>
              </w:rPr>
              <w:t>）</w:t>
            </w:r>
          </w:p>
        </w:tc>
        <w:tc>
          <w:tcPr>
            <w:tcW w:w="3038" w:type="dxa"/>
            <w:tcBorders>
              <w:top w:val="single" w:color="000000" w:sz="4" w:space="0"/>
              <w:left w:val="single" w:color="000000" w:sz="4" w:space="0"/>
              <w:bottom w:val="single" w:color="000000" w:sz="4" w:space="0"/>
              <w:right w:val="nil"/>
            </w:tcBorders>
          </w:tcPr>
          <w:p w14:paraId="184CF1A1">
            <w:pPr>
              <w:pStyle w:val="17"/>
              <w:spacing w:before="114"/>
              <w:ind w:right="1213"/>
              <w:jc w:val="right"/>
              <w:rPr>
                <w:rFonts w:ascii="Times New Roman"/>
                <w:sz w:val="21"/>
              </w:rPr>
            </w:pPr>
            <w:r>
              <w:rPr>
                <w:rFonts w:ascii="Times New Roman"/>
                <w:w w:val="95"/>
                <w:sz w:val="21"/>
              </w:rPr>
              <w:t>1008.1</w:t>
            </w:r>
          </w:p>
        </w:tc>
      </w:tr>
      <w:tr w14:paraId="4A69B6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698E8C6E">
            <w:pPr>
              <w:pStyle w:val="17"/>
              <w:spacing w:before="100"/>
              <w:ind w:left="1465" w:right="1434"/>
              <w:rPr>
                <w:rFonts w:ascii="Times New Roman" w:eastAsia="Times New Roman"/>
                <w:sz w:val="21"/>
              </w:rPr>
            </w:pPr>
            <w:r>
              <w:rPr>
                <w:sz w:val="21"/>
              </w:rPr>
              <w:t>多年平均相对湿度</w:t>
            </w:r>
            <w:r>
              <w:rPr>
                <w:rFonts w:ascii="Times New Roman" w:eastAsia="Times New Roman"/>
                <w:sz w:val="21"/>
              </w:rPr>
              <w:t>(%)</w:t>
            </w:r>
          </w:p>
        </w:tc>
        <w:tc>
          <w:tcPr>
            <w:tcW w:w="3038" w:type="dxa"/>
            <w:tcBorders>
              <w:top w:val="single" w:color="000000" w:sz="4" w:space="0"/>
              <w:left w:val="single" w:color="000000" w:sz="4" w:space="0"/>
              <w:bottom w:val="single" w:color="000000" w:sz="4" w:space="0"/>
              <w:right w:val="nil"/>
            </w:tcBorders>
          </w:tcPr>
          <w:p w14:paraId="6B3D1B42">
            <w:pPr>
              <w:pStyle w:val="17"/>
              <w:spacing w:before="114"/>
              <w:ind w:right="1266"/>
              <w:jc w:val="right"/>
              <w:rPr>
                <w:rFonts w:ascii="Times New Roman"/>
                <w:sz w:val="21"/>
              </w:rPr>
            </w:pPr>
            <w:r>
              <w:rPr>
                <w:rFonts w:ascii="Times New Roman"/>
                <w:sz w:val="21"/>
              </w:rPr>
              <w:t>78.43</w:t>
            </w:r>
          </w:p>
        </w:tc>
      </w:tr>
      <w:tr w14:paraId="0599474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080C7F65">
            <w:pPr>
              <w:pStyle w:val="17"/>
              <w:spacing w:before="100"/>
              <w:ind w:left="1465" w:right="1434"/>
              <w:rPr>
                <w:sz w:val="21"/>
              </w:rPr>
            </w:pPr>
            <w:r>
              <w:rPr>
                <w:sz w:val="21"/>
              </w:rPr>
              <w:t>多年平均风速（</w:t>
            </w:r>
            <w:r>
              <w:rPr>
                <w:rFonts w:ascii="Times New Roman" w:eastAsia="Times New Roman"/>
                <w:sz w:val="21"/>
              </w:rPr>
              <w:t>m/s</w:t>
            </w:r>
            <w:r>
              <w:rPr>
                <w:sz w:val="21"/>
              </w:rPr>
              <w:t>）</w:t>
            </w:r>
          </w:p>
        </w:tc>
        <w:tc>
          <w:tcPr>
            <w:tcW w:w="3038" w:type="dxa"/>
            <w:tcBorders>
              <w:top w:val="single" w:color="000000" w:sz="4" w:space="0"/>
              <w:left w:val="single" w:color="000000" w:sz="4" w:space="0"/>
              <w:bottom w:val="single" w:color="000000" w:sz="4" w:space="0"/>
              <w:right w:val="nil"/>
            </w:tcBorders>
          </w:tcPr>
          <w:p w14:paraId="3BFACC37">
            <w:pPr>
              <w:pStyle w:val="17"/>
              <w:spacing w:before="114"/>
              <w:ind w:left="455" w:right="434"/>
              <w:rPr>
                <w:rFonts w:ascii="Times New Roman"/>
                <w:sz w:val="21"/>
              </w:rPr>
            </w:pPr>
            <w:r>
              <w:rPr>
                <w:rFonts w:ascii="Times New Roman"/>
                <w:sz w:val="21"/>
              </w:rPr>
              <w:t>2.14</w:t>
            </w:r>
          </w:p>
        </w:tc>
      </w:tr>
      <w:tr w14:paraId="65173B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494969F5">
            <w:pPr>
              <w:pStyle w:val="17"/>
              <w:spacing w:before="101"/>
              <w:ind w:left="1465" w:right="1434"/>
              <w:rPr>
                <w:sz w:val="21"/>
              </w:rPr>
            </w:pPr>
            <w:r>
              <w:rPr>
                <w:sz w:val="21"/>
              </w:rPr>
              <w:t>多年平均气温（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19061DBC">
            <w:pPr>
              <w:pStyle w:val="17"/>
              <w:spacing w:before="115"/>
              <w:ind w:left="453" w:right="434"/>
              <w:rPr>
                <w:rFonts w:ascii="Times New Roman"/>
                <w:sz w:val="21"/>
              </w:rPr>
            </w:pPr>
            <w:r>
              <w:rPr>
                <w:rFonts w:ascii="Times New Roman"/>
                <w:sz w:val="21"/>
              </w:rPr>
              <w:t>17.88</w:t>
            </w:r>
          </w:p>
        </w:tc>
      </w:tr>
      <w:tr w14:paraId="6AA7A8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73D64041">
            <w:pPr>
              <w:pStyle w:val="17"/>
              <w:spacing w:before="101"/>
              <w:ind w:left="1465" w:right="1434"/>
              <w:rPr>
                <w:rFonts w:ascii="Times New Roman" w:eastAsia="Times New Roman"/>
                <w:sz w:val="21"/>
              </w:rPr>
            </w:pPr>
            <w:r>
              <w:rPr>
                <w:sz w:val="21"/>
              </w:rPr>
              <w:t>多年平均降雨量</w:t>
            </w:r>
            <w:r>
              <w:rPr>
                <w:rFonts w:ascii="Times New Roman" w:eastAsia="Times New Roman"/>
                <w:sz w:val="21"/>
              </w:rPr>
              <w:t>(mm)</w:t>
            </w:r>
          </w:p>
        </w:tc>
        <w:tc>
          <w:tcPr>
            <w:tcW w:w="3038" w:type="dxa"/>
            <w:tcBorders>
              <w:top w:val="single" w:color="000000" w:sz="4" w:space="0"/>
              <w:left w:val="single" w:color="000000" w:sz="4" w:space="0"/>
              <w:bottom w:val="single" w:color="000000" w:sz="4" w:space="0"/>
              <w:right w:val="nil"/>
            </w:tcBorders>
          </w:tcPr>
          <w:p w14:paraId="3F34AE32">
            <w:pPr>
              <w:pStyle w:val="17"/>
              <w:spacing w:before="115"/>
              <w:ind w:right="1160"/>
              <w:jc w:val="right"/>
              <w:rPr>
                <w:rFonts w:ascii="Times New Roman"/>
                <w:sz w:val="21"/>
              </w:rPr>
            </w:pPr>
            <w:r>
              <w:rPr>
                <w:rFonts w:ascii="Times New Roman"/>
                <w:w w:val="95"/>
                <w:sz w:val="21"/>
              </w:rPr>
              <w:t>1366.65</w:t>
            </w:r>
          </w:p>
        </w:tc>
      </w:tr>
      <w:tr w14:paraId="71FA3D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trPr>
        <w:tc>
          <w:tcPr>
            <w:tcW w:w="5466" w:type="dxa"/>
            <w:tcBorders>
              <w:top w:val="single" w:color="000000" w:sz="4" w:space="0"/>
              <w:left w:val="nil"/>
              <w:right w:val="single" w:color="000000" w:sz="4" w:space="0"/>
            </w:tcBorders>
          </w:tcPr>
          <w:p w14:paraId="5CBB2E68">
            <w:pPr>
              <w:pStyle w:val="17"/>
              <w:spacing w:before="102"/>
              <w:ind w:left="1465" w:right="1436"/>
              <w:rPr>
                <w:sz w:val="21"/>
              </w:rPr>
            </w:pPr>
            <w:r>
              <w:rPr>
                <w:sz w:val="21"/>
              </w:rPr>
              <w:t>静风频率（</w:t>
            </w:r>
            <w:r>
              <w:rPr>
                <w:rFonts w:ascii="Times New Roman" w:eastAsia="Times New Roman"/>
                <w:sz w:val="21"/>
              </w:rPr>
              <w:t>%</w:t>
            </w:r>
            <w:r>
              <w:rPr>
                <w:sz w:val="21"/>
              </w:rPr>
              <w:t>）</w:t>
            </w:r>
          </w:p>
        </w:tc>
        <w:tc>
          <w:tcPr>
            <w:tcW w:w="3038" w:type="dxa"/>
            <w:tcBorders>
              <w:top w:val="single" w:color="000000" w:sz="4" w:space="0"/>
              <w:left w:val="single" w:color="000000" w:sz="4" w:space="0"/>
              <w:right w:val="nil"/>
            </w:tcBorders>
          </w:tcPr>
          <w:p w14:paraId="76E2422A">
            <w:pPr>
              <w:pStyle w:val="17"/>
              <w:spacing w:before="116"/>
              <w:ind w:left="455" w:right="434"/>
              <w:rPr>
                <w:rFonts w:ascii="Times New Roman"/>
                <w:sz w:val="21"/>
              </w:rPr>
            </w:pPr>
            <w:r>
              <w:rPr>
                <w:rFonts w:ascii="Times New Roman"/>
                <w:sz w:val="21"/>
              </w:rPr>
              <w:t>4.8</w:t>
            </w:r>
          </w:p>
        </w:tc>
      </w:tr>
    </w:tbl>
    <w:p w14:paraId="0A4BF00F">
      <w:pPr>
        <w:spacing w:after="0"/>
        <w:rPr>
          <w:rFonts w:ascii="Times New Roman"/>
          <w:sz w:val="21"/>
        </w:rPr>
        <w:sectPr>
          <w:pgSz w:w="11910" w:h="16840"/>
          <w:pgMar w:top="1460" w:right="1540" w:bottom="1220" w:left="1560" w:header="0" w:footer="1024" w:gutter="0"/>
          <w:cols w:space="720" w:num="1"/>
        </w:sectPr>
      </w:pPr>
    </w:p>
    <w:tbl>
      <w:tblPr>
        <w:tblStyle w:val="13"/>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66"/>
        <w:gridCol w:w="3038"/>
      </w:tblGrid>
      <w:tr w14:paraId="07A3DF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left w:val="nil"/>
              <w:bottom w:val="single" w:color="000000" w:sz="4" w:space="0"/>
              <w:right w:val="single" w:color="000000" w:sz="4" w:space="0"/>
            </w:tcBorders>
          </w:tcPr>
          <w:p w14:paraId="70754C77">
            <w:pPr>
              <w:pStyle w:val="17"/>
              <w:spacing w:before="102"/>
              <w:ind w:left="1465" w:right="1434"/>
              <w:rPr>
                <w:sz w:val="21"/>
              </w:rPr>
            </w:pPr>
            <w:r>
              <w:rPr>
                <w:sz w:val="21"/>
              </w:rPr>
              <w:t>雷暴日数（</w:t>
            </w:r>
            <w:r>
              <w:rPr>
                <w:rFonts w:ascii="Times New Roman" w:eastAsia="Times New Roman"/>
                <w:sz w:val="21"/>
              </w:rPr>
              <w:t>d</w:t>
            </w:r>
            <w:r>
              <w:rPr>
                <w:sz w:val="21"/>
              </w:rPr>
              <w:t>）</w:t>
            </w:r>
          </w:p>
        </w:tc>
        <w:tc>
          <w:tcPr>
            <w:tcW w:w="3038" w:type="dxa"/>
            <w:tcBorders>
              <w:left w:val="single" w:color="000000" w:sz="4" w:space="0"/>
              <w:bottom w:val="single" w:color="000000" w:sz="4" w:space="0"/>
              <w:right w:val="nil"/>
            </w:tcBorders>
          </w:tcPr>
          <w:p w14:paraId="017B5B23">
            <w:pPr>
              <w:pStyle w:val="17"/>
              <w:spacing w:before="116"/>
              <w:ind w:left="455" w:right="434"/>
              <w:rPr>
                <w:rFonts w:ascii="Times New Roman"/>
                <w:sz w:val="21"/>
              </w:rPr>
            </w:pPr>
            <w:r>
              <w:rPr>
                <w:rFonts w:ascii="Times New Roman"/>
                <w:sz w:val="21"/>
              </w:rPr>
              <w:t>32.05</w:t>
            </w:r>
          </w:p>
        </w:tc>
      </w:tr>
      <w:tr w14:paraId="4BBF3D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4C657062">
            <w:pPr>
              <w:pStyle w:val="17"/>
              <w:spacing w:before="100"/>
              <w:ind w:left="1465" w:right="1434"/>
              <w:rPr>
                <w:sz w:val="21"/>
              </w:rPr>
            </w:pPr>
            <w:r>
              <w:rPr>
                <w:sz w:val="21"/>
              </w:rPr>
              <w:t>大风日数（</w:t>
            </w:r>
            <w:r>
              <w:rPr>
                <w:rFonts w:ascii="Times New Roman" w:eastAsia="Times New Roman"/>
                <w:sz w:val="21"/>
              </w:rPr>
              <w:t>d</w:t>
            </w:r>
            <w:r>
              <w:rPr>
                <w:sz w:val="21"/>
              </w:rPr>
              <w:t>）</w:t>
            </w:r>
          </w:p>
        </w:tc>
        <w:tc>
          <w:tcPr>
            <w:tcW w:w="3038" w:type="dxa"/>
            <w:tcBorders>
              <w:top w:val="single" w:color="000000" w:sz="4" w:space="0"/>
              <w:left w:val="single" w:color="000000" w:sz="4" w:space="0"/>
              <w:bottom w:val="single" w:color="000000" w:sz="4" w:space="0"/>
              <w:right w:val="nil"/>
            </w:tcBorders>
          </w:tcPr>
          <w:p w14:paraId="2D7DB6E8">
            <w:pPr>
              <w:pStyle w:val="17"/>
              <w:spacing w:before="114"/>
              <w:ind w:left="455" w:right="434"/>
              <w:rPr>
                <w:rFonts w:ascii="Times New Roman"/>
                <w:sz w:val="21"/>
              </w:rPr>
            </w:pPr>
            <w:r>
              <w:rPr>
                <w:rFonts w:ascii="Times New Roman"/>
                <w:sz w:val="21"/>
              </w:rPr>
              <w:t>2.25</w:t>
            </w:r>
          </w:p>
        </w:tc>
      </w:tr>
      <w:tr w14:paraId="64DC55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236ED832">
            <w:pPr>
              <w:pStyle w:val="17"/>
              <w:spacing w:before="100"/>
              <w:ind w:left="1465" w:right="1434"/>
              <w:rPr>
                <w:sz w:val="21"/>
              </w:rPr>
            </w:pPr>
            <w:r>
              <w:rPr>
                <w:sz w:val="21"/>
              </w:rPr>
              <w:t>冰雹日数（</w:t>
            </w:r>
            <w:r>
              <w:rPr>
                <w:rFonts w:ascii="Times New Roman" w:eastAsia="Times New Roman"/>
                <w:sz w:val="21"/>
              </w:rPr>
              <w:t>d</w:t>
            </w:r>
            <w:r>
              <w:rPr>
                <w:sz w:val="21"/>
              </w:rPr>
              <w:t>）</w:t>
            </w:r>
          </w:p>
        </w:tc>
        <w:tc>
          <w:tcPr>
            <w:tcW w:w="3038" w:type="dxa"/>
            <w:tcBorders>
              <w:top w:val="single" w:color="000000" w:sz="4" w:space="0"/>
              <w:left w:val="single" w:color="000000" w:sz="4" w:space="0"/>
              <w:bottom w:val="single" w:color="000000" w:sz="4" w:space="0"/>
              <w:right w:val="nil"/>
            </w:tcBorders>
          </w:tcPr>
          <w:p w14:paraId="5314D37C">
            <w:pPr>
              <w:pStyle w:val="17"/>
              <w:spacing w:before="114"/>
              <w:ind w:left="455" w:right="434"/>
              <w:rPr>
                <w:rFonts w:ascii="Times New Roman"/>
                <w:sz w:val="21"/>
              </w:rPr>
            </w:pPr>
            <w:r>
              <w:rPr>
                <w:rFonts w:ascii="Times New Roman"/>
                <w:sz w:val="21"/>
              </w:rPr>
              <w:t>0.25</w:t>
            </w:r>
          </w:p>
        </w:tc>
      </w:tr>
      <w:tr w14:paraId="7110F9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199B59D1">
            <w:pPr>
              <w:pStyle w:val="17"/>
              <w:spacing w:before="100"/>
              <w:ind w:left="1465" w:right="1434"/>
              <w:rPr>
                <w:sz w:val="21"/>
              </w:rPr>
            </w:pPr>
            <w:r>
              <w:rPr>
                <w:sz w:val="21"/>
              </w:rPr>
              <w:t>多年平均最高气温（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3F6714D7">
            <w:pPr>
              <w:pStyle w:val="17"/>
              <w:spacing w:before="114"/>
              <w:ind w:left="455" w:right="434"/>
              <w:rPr>
                <w:rFonts w:ascii="Times New Roman"/>
                <w:sz w:val="21"/>
              </w:rPr>
            </w:pPr>
            <w:r>
              <w:rPr>
                <w:rFonts w:ascii="Times New Roman"/>
                <w:sz w:val="21"/>
              </w:rPr>
              <w:t>38.59</w:t>
            </w:r>
          </w:p>
        </w:tc>
      </w:tr>
      <w:tr w14:paraId="354067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5B183718">
            <w:pPr>
              <w:pStyle w:val="17"/>
              <w:spacing w:before="101"/>
              <w:ind w:left="1465" w:right="1434"/>
              <w:rPr>
                <w:sz w:val="21"/>
              </w:rPr>
            </w:pPr>
            <w:r>
              <w:rPr>
                <w:sz w:val="21"/>
              </w:rPr>
              <w:t>多年平均最低气温（</w:t>
            </w:r>
            <w:r>
              <w:rPr>
                <w:rFonts w:ascii="Times New Roman" w:hAnsi="Times New Roman" w:eastAsia="Times New Roman"/>
                <w:sz w:val="21"/>
              </w:rPr>
              <w:t>℃</w:t>
            </w:r>
            <w:r>
              <w:rPr>
                <w:sz w:val="21"/>
              </w:rPr>
              <w:t>）</w:t>
            </w:r>
          </w:p>
        </w:tc>
        <w:tc>
          <w:tcPr>
            <w:tcW w:w="3038" w:type="dxa"/>
            <w:tcBorders>
              <w:top w:val="single" w:color="000000" w:sz="4" w:space="0"/>
              <w:left w:val="single" w:color="000000" w:sz="4" w:space="0"/>
              <w:bottom w:val="single" w:color="000000" w:sz="4" w:space="0"/>
              <w:right w:val="nil"/>
            </w:tcBorders>
          </w:tcPr>
          <w:p w14:paraId="02A45AEE">
            <w:pPr>
              <w:pStyle w:val="17"/>
              <w:spacing w:before="115"/>
              <w:ind w:left="455" w:right="434"/>
              <w:rPr>
                <w:rFonts w:ascii="Times New Roman"/>
                <w:sz w:val="21"/>
              </w:rPr>
            </w:pPr>
            <w:r>
              <w:rPr>
                <w:rFonts w:ascii="Times New Roman"/>
                <w:sz w:val="21"/>
              </w:rPr>
              <w:t>-4.46</w:t>
            </w:r>
          </w:p>
        </w:tc>
      </w:tr>
      <w:tr w14:paraId="3DF160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4CD70797">
            <w:pPr>
              <w:pStyle w:val="17"/>
              <w:spacing w:before="101"/>
              <w:ind w:left="1465" w:right="1434"/>
              <w:rPr>
                <w:sz w:val="21"/>
              </w:rPr>
            </w:pPr>
            <w:r>
              <w:rPr>
                <w:sz w:val="21"/>
              </w:rPr>
              <w:t>最高气温及日期</w:t>
            </w:r>
          </w:p>
        </w:tc>
        <w:tc>
          <w:tcPr>
            <w:tcW w:w="3038" w:type="dxa"/>
            <w:tcBorders>
              <w:top w:val="single" w:color="000000" w:sz="4" w:space="0"/>
              <w:left w:val="single" w:color="000000" w:sz="4" w:space="0"/>
              <w:bottom w:val="single" w:color="000000" w:sz="4" w:space="0"/>
              <w:right w:val="nil"/>
            </w:tcBorders>
          </w:tcPr>
          <w:p w14:paraId="636F64B8">
            <w:pPr>
              <w:pStyle w:val="17"/>
              <w:spacing w:before="101"/>
              <w:ind w:left="455" w:right="434"/>
              <w:rPr>
                <w:rFonts w:ascii="Times New Roman" w:hAnsi="Times New Roman" w:eastAsia="Times New Roman"/>
                <w:sz w:val="21"/>
              </w:rPr>
            </w:pPr>
            <w:r>
              <w:rPr>
                <w:rFonts w:ascii="Times New Roman" w:hAnsi="Times New Roman" w:eastAsia="Times New Roman"/>
                <w:sz w:val="21"/>
              </w:rPr>
              <w:t>40.4℃</w:t>
            </w:r>
            <w:r>
              <w:rPr>
                <w:sz w:val="21"/>
              </w:rPr>
              <w:t>，</w:t>
            </w:r>
            <w:r>
              <w:rPr>
                <w:rFonts w:ascii="Times New Roman" w:hAnsi="Times New Roman" w:eastAsia="Times New Roman"/>
                <w:sz w:val="21"/>
              </w:rPr>
              <w:t>2013.8.10</w:t>
            </w:r>
          </w:p>
        </w:tc>
      </w:tr>
      <w:tr w14:paraId="189AAD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bottom w:val="single" w:color="000000" w:sz="4" w:space="0"/>
              <w:right w:val="single" w:color="000000" w:sz="4" w:space="0"/>
            </w:tcBorders>
          </w:tcPr>
          <w:p w14:paraId="502F68B4">
            <w:pPr>
              <w:pStyle w:val="17"/>
              <w:spacing w:before="102"/>
              <w:ind w:left="1465" w:right="1434"/>
              <w:rPr>
                <w:sz w:val="21"/>
              </w:rPr>
            </w:pPr>
            <w:r>
              <w:rPr>
                <w:sz w:val="21"/>
              </w:rPr>
              <w:t>最低气温及日期</w:t>
            </w:r>
          </w:p>
        </w:tc>
        <w:tc>
          <w:tcPr>
            <w:tcW w:w="3038" w:type="dxa"/>
            <w:tcBorders>
              <w:top w:val="single" w:color="000000" w:sz="4" w:space="0"/>
              <w:left w:val="single" w:color="000000" w:sz="4" w:space="0"/>
              <w:bottom w:val="single" w:color="000000" w:sz="4" w:space="0"/>
              <w:right w:val="nil"/>
            </w:tcBorders>
          </w:tcPr>
          <w:p w14:paraId="5922D9FF">
            <w:pPr>
              <w:pStyle w:val="17"/>
              <w:spacing w:before="102"/>
              <w:ind w:left="455" w:right="434"/>
              <w:rPr>
                <w:rFonts w:ascii="Times New Roman" w:hAnsi="Times New Roman" w:eastAsia="Times New Roman"/>
                <w:sz w:val="21"/>
              </w:rPr>
            </w:pPr>
            <w:r>
              <w:rPr>
                <w:rFonts w:ascii="Times New Roman" w:hAnsi="Times New Roman" w:eastAsia="Times New Roman"/>
                <w:sz w:val="21"/>
              </w:rPr>
              <w:t>-7.1℃</w:t>
            </w:r>
            <w:r>
              <w:rPr>
                <w:sz w:val="21"/>
              </w:rPr>
              <w:t>，</w:t>
            </w:r>
            <w:r>
              <w:rPr>
                <w:rFonts w:ascii="Times New Roman" w:hAnsi="Times New Roman" w:eastAsia="Times New Roman"/>
                <w:sz w:val="21"/>
              </w:rPr>
              <w:t>2016.1.25</w:t>
            </w:r>
          </w:p>
        </w:tc>
      </w:tr>
      <w:tr w14:paraId="5CD224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5466" w:type="dxa"/>
            <w:tcBorders>
              <w:top w:val="single" w:color="000000" w:sz="4" w:space="0"/>
              <w:left w:val="nil"/>
              <w:bottom w:val="single" w:color="000000" w:sz="4" w:space="0"/>
              <w:right w:val="single" w:color="000000" w:sz="4" w:space="0"/>
            </w:tcBorders>
          </w:tcPr>
          <w:p w14:paraId="17EC6226">
            <w:pPr>
              <w:pStyle w:val="17"/>
              <w:spacing w:before="100"/>
              <w:ind w:left="1465" w:right="1432"/>
              <w:rPr>
                <w:sz w:val="21"/>
              </w:rPr>
            </w:pPr>
            <w:r>
              <w:rPr>
                <w:sz w:val="21"/>
              </w:rPr>
              <w:t>最大日降水量及日期</w:t>
            </w:r>
          </w:p>
        </w:tc>
        <w:tc>
          <w:tcPr>
            <w:tcW w:w="3038" w:type="dxa"/>
            <w:tcBorders>
              <w:top w:val="single" w:color="000000" w:sz="4" w:space="0"/>
              <w:left w:val="single" w:color="000000" w:sz="4" w:space="0"/>
              <w:bottom w:val="single" w:color="000000" w:sz="4" w:space="0"/>
              <w:right w:val="nil"/>
            </w:tcBorders>
          </w:tcPr>
          <w:p w14:paraId="3A2892D3">
            <w:pPr>
              <w:pStyle w:val="17"/>
              <w:spacing w:before="100"/>
              <w:ind w:left="458" w:right="434"/>
              <w:rPr>
                <w:rFonts w:ascii="Times New Roman" w:eastAsia="Times New Roman"/>
                <w:sz w:val="21"/>
              </w:rPr>
            </w:pPr>
            <w:r>
              <w:rPr>
                <w:rFonts w:ascii="Times New Roman" w:eastAsia="Times New Roman"/>
                <w:sz w:val="21"/>
              </w:rPr>
              <w:t>192.7</w:t>
            </w:r>
            <w:r>
              <w:rPr>
                <w:sz w:val="21"/>
              </w:rPr>
              <w:t>，</w:t>
            </w:r>
            <w:r>
              <w:rPr>
                <w:rFonts w:ascii="Times New Roman" w:eastAsia="Times New Roman"/>
                <w:sz w:val="21"/>
              </w:rPr>
              <w:t>2010.6.19</w:t>
            </w:r>
          </w:p>
        </w:tc>
      </w:tr>
      <w:tr w14:paraId="684BD7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1" w:hRule="atLeast"/>
        </w:trPr>
        <w:tc>
          <w:tcPr>
            <w:tcW w:w="5466" w:type="dxa"/>
            <w:tcBorders>
              <w:top w:val="single" w:color="000000" w:sz="4" w:space="0"/>
              <w:left w:val="nil"/>
              <w:right w:val="single" w:color="000000" w:sz="4" w:space="0"/>
            </w:tcBorders>
          </w:tcPr>
          <w:p w14:paraId="3EF68B01">
            <w:pPr>
              <w:pStyle w:val="17"/>
              <w:spacing w:before="100"/>
              <w:ind w:left="1465" w:right="1436"/>
              <w:rPr>
                <w:sz w:val="21"/>
              </w:rPr>
            </w:pPr>
            <w:r>
              <w:rPr>
                <w:sz w:val="21"/>
              </w:rPr>
              <w:t>极大风速，对应风向，日期</w:t>
            </w:r>
          </w:p>
        </w:tc>
        <w:tc>
          <w:tcPr>
            <w:tcW w:w="3038" w:type="dxa"/>
            <w:tcBorders>
              <w:top w:val="single" w:color="000000" w:sz="4" w:space="0"/>
              <w:left w:val="single" w:color="000000" w:sz="4" w:space="0"/>
              <w:right w:val="nil"/>
            </w:tcBorders>
          </w:tcPr>
          <w:p w14:paraId="137186D3">
            <w:pPr>
              <w:pStyle w:val="17"/>
              <w:spacing w:before="100"/>
              <w:ind w:left="458" w:right="434"/>
              <w:rPr>
                <w:rFonts w:ascii="Times New Roman" w:eastAsia="Times New Roman"/>
                <w:sz w:val="21"/>
              </w:rPr>
            </w:pPr>
            <w:r>
              <w:rPr>
                <w:rFonts w:ascii="Times New Roman" w:eastAsia="Times New Roman"/>
                <w:sz w:val="21"/>
              </w:rPr>
              <w:t>28.7</w:t>
            </w:r>
            <w:r>
              <w:rPr>
                <w:sz w:val="21"/>
              </w:rPr>
              <w:t>，</w:t>
            </w:r>
            <w:r>
              <w:rPr>
                <w:rFonts w:ascii="Times New Roman" w:eastAsia="Times New Roman"/>
                <w:sz w:val="21"/>
              </w:rPr>
              <w:t>199.0</w:t>
            </w:r>
            <w:r>
              <w:rPr>
                <w:sz w:val="21"/>
              </w:rPr>
              <w:t>，</w:t>
            </w:r>
            <w:r>
              <w:rPr>
                <w:rFonts w:ascii="Times New Roman" w:eastAsia="Times New Roman"/>
                <w:sz w:val="21"/>
              </w:rPr>
              <w:t>2018.5.18</w:t>
            </w:r>
          </w:p>
        </w:tc>
      </w:tr>
    </w:tbl>
    <w:p w14:paraId="2A614399">
      <w:pPr>
        <w:pStyle w:val="10"/>
        <w:spacing w:before="83"/>
        <w:ind w:left="720"/>
      </w:pPr>
      <w:r>
        <w:rPr>
          <w:rFonts w:ascii="Times New Roman" w:eastAsia="Times New Roman"/>
        </w:rPr>
        <w:t>1</w:t>
      </w:r>
      <w:r>
        <w:t>、风速</w:t>
      </w:r>
    </w:p>
    <w:p w14:paraId="4AA5EEEB">
      <w:pPr>
        <w:pStyle w:val="10"/>
        <w:spacing w:before="160" w:line="364" w:lineRule="auto"/>
        <w:ind w:left="240" w:right="210" w:firstLine="480"/>
      </w:pPr>
      <w:r>
        <w:t>汨罗气象站月平均风速如下表，</w:t>
      </w:r>
      <w:r>
        <w:rPr>
          <w:rFonts w:ascii="Times New Roman" w:eastAsia="Times New Roman"/>
        </w:rPr>
        <w:t xml:space="preserve">07 </w:t>
      </w:r>
      <w:r>
        <w:t>月平均风速最大（</w:t>
      </w:r>
      <w:r>
        <w:rPr>
          <w:rFonts w:ascii="Times New Roman" w:eastAsia="Times New Roman"/>
        </w:rPr>
        <w:t>2.42m/s</w:t>
      </w:r>
      <w:r>
        <w:t>），</w:t>
      </w:r>
      <w:r>
        <w:rPr>
          <w:rFonts w:ascii="Times New Roman" w:eastAsia="Times New Roman"/>
        </w:rPr>
        <w:t xml:space="preserve">11 </w:t>
      </w:r>
      <w:r>
        <w:t>月风最小（</w:t>
      </w:r>
      <w:r>
        <w:rPr>
          <w:rFonts w:ascii="Times New Roman" w:eastAsia="Times New Roman"/>
        </w:rPr>
        <w:t>1.99m/s</w:t>
      </w:r>
      <w:r>
        <w:t>）。</w:t>
      </w:r>
    </w:p>
    <w:p w14:paraId="37189F28">
      <w:pPr>
        <w:tabs>
          <w:tab w:val="left" w:pos="2975"/>
        </w:tabs>
        <w:spacing w:before="0" w:after="22" w:line="210" w:lineRule="exact"/>
        <w:ind w:left="2066" w:right="0" w:firstLine="0"/>
        <w:jc w:val="left"/>
        <w:rPr>
          <w:b/>
          <w:sz w:val="21"/>
        </w:rPr>
      </w:pPr>
      <w:r>
        <w:rPr>
          <w:b/>
          <w:sz w:val="21"/>
        </w:rPr>
        <w:t>表</w:t>
      </w:r>
      <w:r>
        <w:rPr>
          <w:b/>
          <w:spacing w:val="-53"/>
          <w:sz w:val="21"/>
        </w:rPr>
        <w:t xml:space="preserve"> </w:t>
      </w:r>
      <w:r>
        <w:rPr>
          <w:rFonts w:ascii="Times New Roman" w:eastAsia="Times New Roman"/>
          <w:b/>
          <w:sz w:val="21"/>
        </w:rPr>
        <w:t>4.1-2</w:t>
      </w:r>
      <w:r>
        <w:rPr>
          <w:rFonts w:ascii="Times New Roman" w:eastAsia="Times New Roman"/>
          <w:b/>
          <w:sz w:val="21"/>
        </w:rPr>
        <w:tab/>
      </w:r>
      <w:r>
        <w:rPr>
          <w:b/>
          <w:sz w:val="21"/>
        </w:rPr>
        <w:t>汨罗气象站月平均风速统计（单位</w:t>
      </w:r>
      <w:r>
        <w:rPr>
          <w:b/>
          <w:spacing w:val="-52"/>
          <w:sz w:val="21"/>
        </w:rPr>
        <w:t xml:space="preserve"> </w:t>
      </w:r>
      <w:r>
        <w:rPr>
          <w:rFonts w:ascii="Times New Roman" w:eastAsia="Times New Roman"/>
          <w:b/>
          <w:sz w:val="21"/>
        </w:rPr>
        <w:t>m/s</w:t>
      </w:r>
      <w:r>
        <w:rPr>
          <w:b/>
          <w:sz w:val="21"/>
        </w:rPr>
        <w:t>）</w:t>
      </w:r>
    </w:p>
    <w:tbl>
      <w:tblPr>
        <w:tblStyle w:val="13"/>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8"/>
        <w:gridCol w:w="630"/>
        <w:gridCol w:w="626"/>
        <w:gridCol w:w="625"/>
        <w:gridCol w:w="627"/>
        <w:gridCol w:w="625"/>
        <w:gridCol w:w="627"/>
        <w:gridCol w:w="629"/>
        <w:gridCol w:w="625"/>
        <w:gridCol w:w="625"/>
        <w:gridCol w:w="626"/>
        <w:gridCol w:w="624"/>
        <w:gridCol w:w="627"/>
      </w:tblGrid>
      <w:tr w14:paraId="452F2E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988" w:type="dxa"/>
            <w:tcBorders>
              <w:left w:val="nil"/>
              <w:bottom w:val="single" w:color="000000" w:sz="4" w:space="0"/>
              <w:right w:val="single" w:color="000000" w:sz="4" w:space="0"/>
            </w:tcBorders>
          </w:tcPr>
          <w:p w14:paraId="06E66B1A">
            <w:pPr>
              <w:pStyle w:val="17"/>
              <w:spacing w:before="101"/>
              <w:ind w:left="298"/>
              <w:jc w:val="left"/>
              <w:rPr>
                <w:sz w:val="21"/>
              </w:rPr>
            </w:pPr>
            <w:r>
              <w:rPr>
                <w:sz w:val="21"/>
              </w:rPr>
              <w:t>月份</w:t>
            </w:r>
          </w:p>
        </w:tc>
        <w:tc>
          <w:tcPr>
            <w:tcW w:w="630" w:type="dxa"/>
            <w:tcBorders>
              <w:left w:val="single" w:color="000000" w:sz="4" w:space="0"/>
              <w:bottom w:val="single" w:color="000000" w:sz="4" w:space="0"/>
              <w:right w:val="single" w:color="000000" w:sz="4" w:space="0"/>
            </w:tcBorders>
          </w:tcPr>
          <w:p w14:paraId="5C0A70E5">
            <w:pPr>
              <w:pStyle w:val="17"/>
              <w:spacing w:before="115"/>
              <w:ind w:left="29"/>
              <w:rPr>
                <w:rFonts w:ascii="Times New Roman"/>
                <w:sz w:val="21"/>
              </w:rPr>
            </w:pPr>
            <w:r>
              <w:rPr>
                <w:rFonts w:ascii="Times New Roman"/>
                <w:w w:val="99"/>
                <w:sz w:val="21"/>
              </w:rPr>
              <w:t>1</w:t>
            </w:r>
          </w:p>
        </w:tc>
        <w:tc>
          <w:tcPr>
            <w:tcW w:w="626" w:type="dxa"/>
            <w:tcBorders>
              <w:left w:val="single" w:color="000000" w:sz="4" w:space="0"/>
              <w:bottom w:val="single" w:color="000000" w:sz="4" w:space="0"/>
              <w:right w:val="single" w:color="000000" w:sz="4" w:space="0"/>
            </w:tcBorders>
          </w:tcPr>
          <w:p w14:paraId="0316E8AF">
            <w:pPr>
              <w:pStyle w:val="17"/>
              <w:spacing w:before="115"/>
              <w:ind w:left="26"/>
              <w:rPr>
                <w:rFonts w:ascii="Times New Roman"/>
                <w:sz w:val="21"/>
              </w:rPr>
            </w:pPr>
            <w:r>
              <w:rPr>
                <w:rFonts w:ascii="Times New Roman"/>
                <w:w w:val="99"/>
                <w:sz w:val="21"/>
              </w:rPr>
              <w:t>2</w:t>
            </w:r>
          </w:p>
        </w:tc>
        <w:tc>
          <w:tcPr>
            <w:tcW w:w="625" w:type="dxa"/>
            <w:tcBorders>
              <w:left w:val="single" w:color="000000" w:sz="4" w:space="0"/>
              <w:bottom w:val="single" w:color="000000" w:sz="4" w:space="0"/>
              <w:right w:val="single" w:color="000000" w:sz="4" w:space="0"/>
            </w:tcBorders>
          </w:tcPr>
          <w:p w14:paraId="0A6504C9">
            <w:pPr>
              <w:pStyle w:val="17"/>
              <w:spacing w:before="115"/>
              <w:ind w:left="27"/>
              <w:rPr>
                <w:rFonts w:ascii="Times New Roman"/>
                <w:sz w:val="21"/>
              </w:rPr>
            </w:pPr>
            <w:r>
              <w:rPr>
                <w:rFonts w:ascii="Times New Roman"/>
                <w:w w:val="99"/>
                <w:sz w:val="21"/>
              </w:rPr>
              <w:t>3</w:t>
            </w:r>
          </w:p>
        </w:tc>
        <w:tc>
          <w:tcPr>
            <w:tcW w:w="627" w:type="dxa"/>
            <w:tcBorders>
              <w:left w:val="single" w:color="000000" w:sz="4" w:space="0"/>
              <w:bottom w:val="single" w:color="000000" w:sz="4" w:space="0"/>
              <w:right w:val="single" w:color="000000" w:sz="4" w:space="0"/>
            </w:tcBorders>
          </w:tcPr>
          <w:p w14:paraId="5D84E9D6">
            <w:pPr>
              <w:pStyle w:val="17"/>
              <w:spacing w:before="115"/>
              <w:ind w:left="28"/>
              <w:rPr>
                <w:rFonts w:ascii="Times New Roman"/>
                <w:sz w:val="21"/>
              </w:rPr>
            </w:pPr>
            <w:r>
              <w:rPr>
                <w:rFonts w:ascii="Times New Roman"/>
                <w:w w:val="99"/>
                <w:sz w:val="21"/>
              </w:rPr>
              <w:t>4</w:t>
            </w:r>
          </w:p>
        </w:tc>
        <w:tc>
          <w:tcPr>
            <w:tcW w:w="625" w:type="dxa"/>
            <w:tcBorders>
              <w:left w:val="single" w:color="000000" w:sz="4" w:space="0"/>
              <w:bottom w:val="single" w:color="000000" w:sz="4" w:space="0"/>
              <w:right w:val="single" w:color="000000" w:sz="4" w:space="0"/>
            </w:tcBorders>
          </w:tcPr>
          <w:p w14:paraId="1522053C">
            <w:pPr>
              <w:pStyle w:val="17"/>
              <w:spacing w:before="115"/>
              <w:ind w:left="29"/>
              <w:rPr>
                <w:rFonts w:ascii="Times New Roman"/>
                <w:sz w:val="21"/>
              </w:rPr>
            </w:pPr>
            <w:r>
              <w:rPr>
                <w:rFonts w:ascii="Times New Roman"/>
                <w:w w:val="99"/>
                <w:sz w:val="21"/>
              </w:rPr>
              <w:t>5</w:t>
            </w:r>
          </w:p>
        </w:tc>
        <w:tc>
          <w:tcPr>
            <w:tcW w:w="627" w:type="dxa"/>
            <w:tcBorders>
              <w:left w:val="single" w:color="000000" w:sz="4" w:space="0"/>
              <w:bottom w:val="single" w:color="000000" w:sz="4" w:space="0"/>
              <w:right w:val="single" w:color="000000" w:sz="4" w:space="0"/>
            </w:tcBorders>
          </w:tcPr>
          <w:p w14:paraId="08F76BCE">
            <w:pPr>
              <w:pStyle w:val="17"/>
              <w:spacing w:before="115"/>
              <w:ind w:left="30"/>
              <w:rPr>
                <w:rFonts w:ascii="Times New Roman"/>
                <w:sz w:val="21"/>
              </w:rPr>
            </w:pPr>
            <w:r>
              <w:rPr>
                <w:rFonts w:ascii="Times New Roman"/>
                <w:w w:val="99"/>
                <w:sz w:val="21"/>
              </w:rPr>
              <w:t>6</w:t>
            </w:r>
          </w:p>
        </w:tc>
        <w:tc>
          <w:tcPr>
            <w:tcW w:w="629" w:type="dxa"/>
            <w:tcBorders>
              <w:left w:val="single" w:color="000000" w:sz="4" w:space="0"/>
              <w:bottom w:val="single" w:color="000000" w:sz="4" w:space="0"/>
              <w:right w:val="single" w:color="000000" w:sz="4" w:space="0"/>
            </w:tcBorders>
          </w:tcPr>
          <w:p w14:paraId="061948E3">
            <w:pPr>
              <w:pStyle w:val="17"/>
              <w:spacing w:before="115"/>
              <w:ind w:left="27"/>
              <w:rPr>
                <w:rFonts w:ascii="Times New Roman"/>
                <w:sz w:val="21"/>
              </w:rPr>
            </w:pPr>
            <w:r>
              <w:rPr>
                <w:rFonts w:ascii="Times New Roman"/>
                <w:w w:val="99"/>
                <w:sz w:val="21"/>
              </w:rPr>
              <w:t>7</w:t>
            </w:r>
          </w:p>
        </w:tc>
        <w:tc>
          <w:tcPr>
            <w:tcW w:w="625" w:type="dxa"/>
            <w:tcBorders>
              <w:left w:val="single" w:color="000000" w:sz="4" w:space="0"/>
              <w:bottom w:val="single" w:color="000000" w:sz="4" w:space="0"/>
              <w:right w:val="single" w:color="000000" w:sz="4" w:space="0"/>
            </w:tcBorders>
          </w:tcPr>
          <w:p w14:paraId="065FC6D6">
            <w:pPr>
              <w:pStyle w:val="17"/>
              <w:spacing w:before="115"/>
              <w:ind w:left="25"/>
              <w:rPr>
                <w:rFonts w:ascii="Times New Roman"/>
                <w:sz w:val="21"/>
              </w:rPr>
            </w:pPr>
            <w:r>
              <w:rPr>
                <w:rFonts w:ascii="Times New Roman"/>
                <w:w w:val="99"/>
                <w:sz w:val="21"/>
              </w:rPr>
              <w:t>8</w:t>
            </w:r>
          </w:p>
        </w:tc>
        <w:tc>
          <w:tcPr>
            <w:tcW w:w="625" w:type="dxa"/>
            <w:tcBorders>
              <w:left w:val="single" w:color="000000" w:sz="4" w:space="0"/>
              <w:bottom w:val="single" w:color="000000" w:sz="4" w:space="0"/>
              <w:right w:val="single" w:color="000000" w:sz="4" w:space="0"/>
            </w:tcBorders>
          </w:tcPr>
          <w:p w14:paraId="2D976612">
            <w:pPr>
              <w:pStyle w:val="17"/>
              <w:spacing w:before="115"/>
              <w:ind w:left="28"/>
              <w:rPr>
                <w:rFonts w:ascii="Times New Roman"/>
                <w:sz w:val="21"/>
              </w:rPr>
            </w:pPr>
            <w:r>
              <w:rPr>
                <w:rFonts w:ascii="Times New Roman"/>
                <w:w w:val="99"/>
                <w:sz w:val="21"/>
              </w:rPr>
              <w:t>9</w:t>
            </w:r>
          </w:p>
        </w:tc>
        <w:tc>
          <w:tcPr>
            <w:tcW w:w="626" w:type="dxa"/>
            <w:tcBorders>
              <w:left w:val="single" w:color="000000" w:sz="4" w:space="0"/>
              <w:bottom w:val="single" w:color="000000" w:sz="4" w:space="0"/>
              <w:right w:val="single" w:color="000000" w:sz="4" w:space="0"/>
            </w:tcBorders>
          </w:tcPr>
          <w:p w14:paraId="191EE293">
            <w:pPr>
              <w:pStyle w:val="17"/>
              <w:spacing w:before="115"/>
              <w:ind w:left="119" w:right="89"/>
              <w:rPr>
                <w:rFonts w:ascii="Times New Roman"/>
                <w:sz w:val="21"/>
              </w:rPr>
            </w:pPr>
            <w:r>
              <w:rPr>
                <w:rFonts w:ascii="Times New Roman"/>
                <w:sz w:val="21"/>
              </w:rPr>
              <w:t>10</w:t>
            </w:r>
          </w:p>
        </w:tc>
        <w:tc>
          <w:tcPr>
            <w:tcW w:w="624" w:type="dxa"/>
            <w:tcBorders>
              <w:left w:val="single" w:color="000000" w:sz="4" w:space="0"/>
              <w:bottom w:val="single" w:color="000000" w:sz="4" w:space="0"/>
              <w:right w:val="single" w:color="000000" w:sz="4" w:space="0"/>
            </w:tcBorders>
          </w:tcPr>
          <w:p w14:paraId="0F564BDD">
            <w:pPr>
              <w:pStyle w:val="17"/>
              <w:spacing w:before="115"/>
              <w:ind w:left="117" w:right="84"/>
              <w:rPr>
                <w:rFonts w:ascii="Times New Roman"/>
                <w:sz w:val="21"/>
              </w:rPr>
            </w:pPr>
            <w:r>
              <w:rPr>
                <w:rFonts w:ascii="Times New Roman"/>
                <w:sz w:val="21"/>
              </w:rPr>
              <w:t>11</w:t>
            </w:r>
          </w:p>
        </w:tc>
        <w:tc>
          <w:tcPr>
            <w:tcW w:w="627" w:type="dxa"/>
            <w:tcBorders>
              <w:left w:val="single" w:color="000000" w:sz="4" w:space="0"/>
              <w:bottom w:val="single" w:color="000000" w:sz="4" w:space="0"/>
              <w:right w:val="nil"/>
            </w:tcBorders>
          </w:tcPr>
          <w:p w14:paraId="0A54858A">
            <w:pPr>
              <w:pStyle w:val="17"/>
              <w:spacing w:before="115"/>
              <w:ind w:left="122" w:right="92"/>
              <w:rPr>
                <w:rFonts w:ascii="Times New Roman"/>
                <w:sz w:val="21"/>
              </w:rPr>
            </w:pPr>
            <w:r>
              <w:rPr>
                <w:rFonts w:ascii="Times New Roman"/>
                <w:sz w:val="21"/>
              </w:rPr>
              <w:t>12</w:t>
            </w:r>
          </w:p>
        </w:tc>
      </w:tr>
      <w:tr w14:paraId="5EF3FF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83" w:hRule="atLeast"/>
        </w:trPr>
        <w:tc>
          <w:tcPr>
            <w:tcW w:w="988" w:type="dxa"/>
            <w:tcBorders>
              <w:top w:val="single" w:color="000000" w:sz="4" w:space="0"/>
              <w:left w:val="nil"/>
              <w:right w:val="single" w:color="000000" w:sz="4" w:space="0"/>
            </w:tcBorders>
          </w:tcPr>
          <w:p w14:paraId="4EC26D01">
            <w:pPr>
              <w:pStyle w:val="17"/>
              <w:spacing w:before="101" w:line="278" w:lineRule="auto"/>
              <w:ind w:left="403" w:right="159" w:hanging="212"/>
              <w:jc w:val="left"/>
              <w:rPr>
                <w:sz w:val="21"/>
              </w:rPr>
            </w:pPr>
            <w:r>
              <w:rPr>
                <w:sz w:val="21"/>
              </w:rPr>
              <w:t>平均风速</w:t>
            </w:r>
          </w:p>
        </w:tc>
        <w:tc>
          <w:tcPr>
            <w:tcW w:w="630" w:type="dxa"/>
            <w:tcBorders>
              <w:top w:val="single" w:color="000000" w:sz="4" w:space="0"/>
              <w:left w:val="single" w:color="000000" w:sz="4" w:space="0"/>
              <w:right w:val="single" w:color="000000" w:sz="4" w:space="0"/>
            </w:tcBorders>
          </w:tcPr>
          <w:p w14:paraId="0AA7BD5C">
            <w:pPr>
              <w:pStyle w:val="17"/>
              <w:spacing w:before="2"/>
              <w:jc w:val="left"/>
              <w:rPr>
                <w:b/>
                <w:sz w:val="21"/>
              </w:rPr>
            </w:pPr>
          </w:p>
          <w:p w14:paraId="28F6B865">
            <w:pPr>
              <w:pStyle w:val="17"/>
              <w:ind w:left="120" w:right="91"/>
              <w:rPr>
                <w:rFonts w:ascii="Times New Roman"/>
                <w:sz w:val="21"/>
              </w:rPr>
            </w:pPr>
            <w:r>
              <w:rPr>
                <w:rFonts w:ascii="Times New Roman"/>
                <w:sz w:val="21"/>
              </w:rPr>
              <w:t>2.05</w:t>
            </w:r>
          </w:p>
        </w:tc>
        <w:tc>
          <w:tcPr>
            <w:tcW w:w="626" w:type="dxa"/>
            <w:tcBorders>
              <w:top w:val="single" w:color="000000" w:sz="4" w:space="0"/>
              <w:left w:val="single" w:color="000000" w:sz="4" w:space="0"/>
              <w:right w:val="single" w:color="000000" w:sz="4" w:space="0"/>
            </w:tcBorders>
          </w:tcPr>
          <w:p w14:paraId="77FF2466">
            <w:pPr>
              <w:pStyle w:val="17"/>
              <w:spacing w:before="2"/>
              <w:jc w:val="left"/>
              <w:rPr>
                <w:b/>
                <w:sz w:val="21"/>
              </w:rPr>
            </w:pPr>
          </w:p>
          <w:p w14:paraId="2DFFE36D">
            <w:pPr>
              <w:pStyle w:val="17"/>
              <w:ind w:left="119" w:right="89"/>
              <w:rPr>
                <w:rFonts w:ascii="Times New Roman"/>
                <w:sz w:val="21"/>
              </w:rPr>
            </w:pPr>
            <w:r>
              <w:rPr>
                <w:rFonts w:ascii="Times New Roman"/>
                <w:sz w:val="21"/>
              </w:rPr>
              <w:t>2.11</w:t>
            </w:r>
          </w:p>
        </w:tc>
        <w:tc>
          <w:tcPr>
            <w:tcW w:w="625" w:type="dxa"/>
            <w:tcBorders>
              <w:top w:val="single" w:color="000000" w:sz="4" w:space="0"/>
              <w:left w:val="single" w:color="000000" w:sz="4" w:space="0"/>
              <w:right w:val="single" w:color="000000" w:sz="4" w:space="0"/>
            </w:tcBorders>
          </w:tcPr>
          <w:p w14:paraId="4D8B0D09">
            <w:pPr>
              <w:pStyle w:val="17"/>
              <w:spacing w:before="2"/>
              <w:jc w:val="left"/>
              <w:rPr>
                <w:b/>
                <w:sz w:val="21"/>
              </w:rPr>
            </w:pPr>
          </w:p>
          <w:p w14:paraId="01CAF82B">
            <w:pPr>
              <w:pStyle w:val="17"/>
              <w:ind w:left="45" w:right="18"/>
              <w:rPr>
                <w:rFonts w:ascii="Times New Roman"/>
                <w:sz w:val="21"/>
              </w:rPr>
            </w:pPr>
            <w:r>
              <w:rPr>
                <w:rFonts w:ascii="Times New Roman"/>
                <w:sz w:val="21"/>
              </w:rPr>
              <w:t>2.18</w:t>
            </w:r>
          </w:p>
        </w:tc>
        <w:tc>
          <w:tcPr>
            <w:tcW w:w="627" w:type="dxa"/>
            <w:tcBorders>
              <w:top w:val="single" w:color="000000" w:sz="4" w:space="0"/>
              <w:left w:val="single" w:color="000000" w:sz="4" w:space="0"/>
              <w:right w:val="single" w:color="000000" w:sz="4" w:space="0"/>
            </w:tcBorders>
          </w:tcPr>
          <w:p w14:paraId="3C78530F">
            <w:pPr>
              <w:pStyle w:val="17"/>
              <w:spacing w:before="2"/>
              <w:jc w:val="left"/>
              <w:rPr>
                <w:b/>
                <w:sz w:val="21"/>
              </w:rPr>
            </w:pPr>
          </w:p>
          <w:p w14:paraId="0AE33CC2">
            <w:pPr>
              <w:pStyle w:val="17"/>
              <w:ind w:left="118" w:right="90"/>
              <w:rPr>
                <w:rFonts w:ascii="Times New Roman"/>
                <w:sz w:val="21"/>
              </w:rPr>
            </w:pPr>
            <w:r>
              <w:rPr>
                <w:rFonts w:ascii="Times New Roman"/>
                <w:sz w:val="21"/>
              </w:rPr>
              <w:t>2.32</w:t>
            </w:r>
          </w:p>
        </w:tc>
        <w:tc>
          <w:tcPr>
            <w:tcW w:w="625" w:type="dxa"/>
            <w:tcBorders>
              <w:top w:val="single" w:color="000000" w:sz="4" w:space="0"/>
              <w:left w:val="single" w:color="000000" w:sz="4" w:space="0"/>
              <w:right w:val="single" w:color="000000" w:sz="4" w:space="0"/>
            </w:tcBorders>
          </w:tcPr>
          <w:p w14:paraId="39FB671F">
            <w:pPr>
              <w:pStyle w:val="17"/>
              <w:spacing w:before="2"/>
              <w:jc w:val="left"/>
              <w:rPr>
                <w:b/>
                <w:sz w:val="21"/>
              </w:rPr>
            </w:pPr>
          </w:p>
          <w:p w14:paraId="538277EE">
            <w:pPr>
              <w:pStyle w:val="17"/>
              <w:ind w:left="47" w:right="18"/>
              <w:rPr>
                <w:rFonts w:ascii="Times New Roman"/>
                <w:sz w:val="21"/>
              </w:rPr>
            </w:pPr>
            <w:r>
              <w:rPr>
                <w:rFonts w:ascii="Times New Roman"/>
                <w:sz w:val="21"/>
              </w:rPr>
              <w:t>2.23</w:t>
            </w:r>
          </w:p>
        </w:tc>
        <w:tc>
          <w:tcPr>
            <w:tcW w:w="627" w:type="dxa"/>
            <w:tcBorders>
              <w:top w:val="single" w:color="000000" w:sz="4" w:space="0"/>
              <w:left w:val="single" w:color="000000" w:sz="4" w:space="0"/>
              <w:right w:val="single" w:color="000000" w:sz="4" w:space="0"/>
            </w:tcBorders>
          </w:tcPr>
          <w:p w14:paraId="45AE78B3">
            <w:pPr>
              <w:pStyle w:val="17"/>
              <w:spacing w:before="2"/>
              <w:jc w:val="left"/>
              <w:rPr>
                <w:b/>
                <w:sz w:val="21"/>
              </w:rPr>
            </w:pPr>
          </w:p>
          <w:p w14:paraId="2C5E7509">
            <w:pPr>
              <w:pStyle w:val="17"/>
              <w:ind w:left="117" w:right="90"/>
              <w:rPr>
                <w:rFonts w:ascii="Times New Roman"/>
                <w:sz w:val="21"/>
              </w:rPr>
            </w:pPr>
            <w:r>
              <w:rPr>
                <w:rFonts w:ascii="Times New Roman"/>
                <w:sz w:val="21"/>
              </w:rPr>
              <w:t>2.07</w:t>
            </w:r>
          </w:p>
        </w:tc>
        <w:tc>
          <w:tcPr>
            <w:tcW w:w="629" w:type="dxa"/>
            <w:tcBorders>
              <w:top w:val="single" w:color="000000" w:sz="4" w:space="0"/>
              <w:left w:val="single" w:color="000000" w:sz="4" w:space="0"/>
              <w:right w:val="single" w:color="000000" w:sz="4" w:space="0"/>
            </w:tcBorders>
          </w:tcPr>
          <w:p w14:paraId="44FEE68C">
            <w:pPr>
              <w:pStyle w:val="17"/>
              <w:spacing w:before="2"/>
              <w:jc w:val="left"/>
              <w:rPr>
                <w:b/>
                <w:sz w:val="21"/>
              </w:rPr>
            </w:pPr>
          </w:p>
          <w:p w14:paraId="17B5D9D0">
            <w:pPr>
              <w:pStyle w:val="17"/>
              <w:ind w:left="119" w:right="92"/>
              <w:rPr>
                <w:rFonts w:ascii="Times New Roman"/>
                <w:sz w:val="21"/>
              </w:rPr>
            </w:pPr>
            <w:r>
              <w:rPr>
                <w:rFonts w:ascii="Times New Roman"/>
                <w:sz w:val="21"/>
              </w:rPr>
              <w:t>2.42</w:t>
            </w:r>
          </w:p>
        </w:tc>
        <w:tc>
          <w:tcPr>
            <w:tcW w:w="625" w:type="dxa"/>
            <w:tcBorders>
              <w:top w:val="single" w:color="000000" w:sz="4" w:space="0"/>
              <w:left w:val="single" w:color="000000" w:sz="4" w:space="0"/>
              <w:right w:val="single" w:color="000000" w:sz="4" w:space="0"/>
            </w:tcBorders>
          </w:tcPr>
          <w:p w14:paraId="5520DE62">
            <w:pPr>
              <w:pStyle w:val="17"/>
              <w:spacing w:before="2"/>
              <w:jc w:val="left"/>
              <w:rPr>
                <w:b/>
                <w:sz w:val="21"/>
              </w:rPr>
            </w:pPr>
          </w:p>
          <w:p w14:paraId="49383F01">
            <w:pPr>
              <w:pStyle w:val="17"/>
              <w:ind w:left="43" w:right="18"/>
              <w:rPr>
                <w:rFonts w:ascii="Times New Roman"/>
                <w:sz w:val="21"/>
              </w:rPr>
            </w:pPr>
            <w:r>
              <w:rPr>
                <w:rFonts w:ascii="Times New Roman"/>
                <w:sz w:val="21"/>
              </w:rPr>
              <w:t>2.22</w:t>
            </w:r>
          </w:p>
        </w:tc>
        <w:tc>
          <w:tcPr>
            <w:tcW w:w="625" w:type="dxa"/>
            <w:tcBorders>
              <w:top w:val="single" w:color="000000" w:sz="4" w:space="0"/>
              <w:left w:val="single" w:color="000000" w:sz="4" w:space="0"/>
              <w:right w:val="single" w:color="000000" w:sz="4" w:space="0"/>
            </w:tcBorders>
          </w:tcPr>
          <w:p w14:paraId="253C218F">
            <w:pPr>
              <w:pStyle w:val="17"/>
              <w:spacing w:before="2"/>
              <w:jc w:val="left"/>
              <w:rPr>
                <w:b/>
                <w:sz w:val="21"/>
              </w:rPr>
            </w:pPr>
          </w:p>
          <w:p w14:paraId="21F34DA2">
            <w:pPr>
              <w:pStyle w:val="17"/>
              <w:ind w:left="49" w:right="18"/>
              <w:rPr>
                <w:rFonts w:ascii="Times New Roman"/>
                <w:sz w:val="21"/>
              </w:rPr>
            </w:pPr>
            <w:r>
              <w:rPr>
                <w:rFonts w:ascii="Times New Roman"/>
                <w:sz w:val="21"/>
              </w:rPr>
              <w:t>2.11</w:t>
            </w:r>
          </w:p>
        </w:tc>
        <w:tc>
          <w:tcPr>
            <w:tcW w:w="626" w:type="dxa"/>
            <w:tcBorders>
              <w:top w:val="single" w:color="000000" w:sz="4" w:space="0"/>
              <w:left w:val="single" w:color="000000" w:sz="4" w:space="0"/>
              <w:right w:val="single" w:color="000000" w:sz="4" w:space="0"/>
            </w:tcBorders>
          </w:tcPr>
          <w:p w14:paraId="1621D87A">
            <w:pPr>
              <w:pStyle w:val="17"/>
              <w:spacing w:before="2"/>
              <w:jc w:val="left"/>
              <w:rPr>
                <w:b/>
                <w:sz w:val="21"/>
              </w:rPr>
            </w:pPr>
          </w:p>
          <w:p w14:paraId="66E40AE1">
            <w:pPr>
              <w:pStyle w:val="17"/>
              <w:ind w:left="119" w:right="89"/>
              <w:rPr>
                <w:rFonts w:ascii="Times New Roman"/>
                <w:sz w:val="21"/>
              </w:rPr>
            </w:pPr>
            <w:r>
              <w:rPr>
                <w:rFonts w:ascii="Times New Roman"/>
                <w:sz w:val="21"/>
              </w:rPr>
              <w:t>2.03</w:t>
            </w:r>
          </w:p>
        </w:tc>
        <w:tc>
          <w:tcPr>
            <w:tcW w:w="624" w:type="dxa"/>
            <w:tcBorders>
              <w:top w:val="single" w:color="000000" w:sz="4" w:space="0"/>
              <w:left w:val="single" w:color="000000" w:sz="4" w:space="0"/>
              <w:right w:val="single" w:color="000000" w:sz="4" w:space="0"/>
            </w:tcBorders>
          </w:tcPr>
          <w:p w14:paraId="032237E4">
            <w:pPr>
              <w:pStyle w:val="17"/>
              <w:spacing w:before="2"/>
              <w:jc w:val="left"/>
              <w:rPr>
                <w:b/>
                <w:sz w:val="21"/>
              </w:rPr>
            </w:pPr>
          </w:p>
          <w:p w14:paraId="1AA4B45C">
            <w:pPr>
              <w:pStyle w:val="17"/>
              <w:ind w:left="117" w:right="89"/>
              <w:rPr>
                <w:rFonts w:ascii="Times New Roman"/>
                <w:sz w:val="21"/>
              </w:rPr>
            </w:pPr>
            <w:r>
              <w:rPr>
                <w:rFonts w:ascii="Times New Roman"/>
                <w:sz w:val="21"/>
              </w:rPr>
              <w:t>1.99</w:t>
            </w:r>
          </w:p>
        </w:tc>
        <w:tc>
          <w:tcPr>
            <w:tcW w:w="627" w:type="dxa"/>
            <w:tcBorders>
              <w:top w:val="single" w:color="000000" w:sz="4" w:space="0"/>
              <w:left w:val="single" w:color="000000" w:sz="4" w:space="0"/>
              <w:right w:val="nil"/>
            </w:tcBorders>
          </w:tcPr>
          <w:p w14:paraId="75DDB0EE">
            <w:pPr>
              <w:pStyle w:val="17"/>
              <w:spacing w:before="2"/>
              <w:jc w:val="left"/>
              <w:rPr>
                <w:b/>
                <w:sz w:val="21"/>
              </w:rPr>
            </w:pPr>
          </w:p>
          <w:p w14:paraId="2E96EBD3">
            <w:pPr>
              <w:pStyle w:val="17"/>
              <w:ind w:left="122" w:right="92"/>
              <w:rPr>
                <w:rFonts w:ascii="Times New Roman"/>
                <w:sz w:val="21"/>
              </w:rPr>
            </w:pPr>
            <w:r>
              <w:rPr>
                <w:rFonts w:ascii="Times New Roman"/>
                <w:sz w:val="21"/>
              </w:rPr>
              <w:t>2.01</w:t>
            </w:r>
          </w:p>
        </w:tc>
      </w:tr>
    </w:tbl>
    <w:p w14:paraId="2B6E04B6">
      <w:pPr>
        <w:pStyle w:val="10"/>
        <w:spacing w:before="82"/>
        <w:ind w:left="720"/>
      </w:pPr>
      <w:r>
        <w:rPr>
          <w:rFonts w:ascii="Times New Roman" w:eastAsia="Times New Roman"/>
        </w:rPr>
        <w:t>2</w:t>
      </w:r>
      <w:r>
        <w:t>、风向</w:t>
      </w:r>
    </w:p>
    <w:p w14:paraId="060A8202">
      <w:pPr>
        <w:pStyle w:val="10"/>
        <w:spacing w:before="160" w:line="364" w:lineRule="auto"/>
        <w:ind w:left="240" w:right="216" w:firstLine="480"/>
      </w:pPr>
      <w:r>
        <w:t xml:space="preserve">近 </w:t>
      </w:r>
      <w:r>
        <w:rPr>
          <w:rFonts w:ascii="Times New Roman" w:eastAsia="Times New Roman"/>
        </w:rPr>
        <w:t xml:space="preserve">20 </w:t>
      </w:r>
      <w:r>
        <w:t xml:space="preserve">年资料分析的风向玫瑰图下图所示，汨罗气象站主导风向为 </w:t>
      </w:r>
      <w:r>
        <w:rPr>
          <w:rFonts w:ascii="Times New Roman" w:eastAsia="Times New Roman"/>
        </w:rPr>
        <w:t>NNW</w:t>
      </w:r>
      <w:r>
        <w:t xml:space="preserve">， 占到全年 </w:t>
      </w:r>
      <w:r>
        <w:rPr>
          <w:rFonts w:ascii="Times New Roman" w:eastAsia="Times New Roman"/>
        </w:rPr>
        <w:t>12.54</w:t>
      </w:r>
      <w:r>
        <w:t>％左右。</w:t>
      </w:r>
    </w:p>
    <w:p w14:paraId="29934E6A">
      <w:pPr>
        <w:spacing w:after="0" w:line="364" w:lineRule="auto"/>
        <w:sectPr>
          <w:pgSz w:w="11910" w:h="16840"/>
          <w:pgMar w:top="1420" w:right="1540" w:bottom="1220" w:left="1560" w:header="0" w:footer="1024" w:gutter="0"/>
          <w:cols w:space="720" w:num="1"/>
        </w:sectPr>
      </w:pPr>
    </w:p>
    <w:p w14:paraId="6BF61336">
      <w:pPr>
        <w:pStyle w:val="10"/>
        <w:ind w:left="724"/>
        <w:rPr>
          <w:sz w:val="20"/>
        </w:rPr>
      </w:pPr>
      <w:r>
        <w:rPr>
          <w:sz w:val="20"/>
        </w:rPr>
        <w:pict>
          <v:group id="_x0000_s1233" o:spid="_x0000_s1233" o:spt="203" style="height:417pt;width:364.55pt;" coordsize="7291,8340">
            <o:lock v:ext="edit"/>
            <v:rect id="_x0000_s1234" o:spid="_x0000_s1234" o:spt="1" style="position:absolute;left:6;top:6;height:8323;width:7277;" fillcolor="#00FFFF" filled="t" stroked="f" coordsize="21600,21600">
              <v:path/>
              <v:fill on="t" focussize="0,0"/>
              <v:stroke on="f"/>
              <v:imagedata o:title=""/>
              <o:lock v:ext="edit"/>
            </v:rect>
            <v:rect id="_x0000_s1235" o:spid="_x0000_s1235" o:spt="1" style="position:absolute;left:6;top:6;height:8323;width:7277;" filled="f" stroked="t" coordsize="21600,21600">
              <v:path/>
              <v:fill on="f" focussize="0,0"/>
              <v:stroke weight="0.688031496062992pt" color="#000000"/>
              <v:imagedata o:title=""/>
              <o:lock v:ext="edit"/>
            </v:rect>
            <v:line id="_x0000_s1236" o:spid="_x0000_s1236" o:spt="20" style="position:absolute;left:7;top:2084;height:0;width:7277;" stroked="t" coordsize="21600,21600">
              <v:path arrowok="t"/>
              <v:fill focussize="0,0"/>
              <v:stroke weight="0pt" color="#959595"/>
              <v:imagedata o:title=""/>
              <o:lock v:ext="edit"/>
            </v:line>
            <v:line id="_x0000_s1237" o:spid="_x0000_s1237" o:spt="20" style="position:absolute;left:7;top:4161;height:0;width:7277;" stroked="t" coordsize="21600,21600">
              <v:path arrowok="t"/>
              <v:fill focussize="0,0"/>
              <v:stroke weight="0pt" color="#959595"/>
              <v:imagedata o:title=""/>
              <o:lock v:ext="edit"/>
            </v:line>
            <v:line id="_x0000_s1238" o:spid="_x0000_s1238" o:spt="20" style="position:absolute;left:7;top:6252;height:0;width:7277;" stroked="t" coordsize="21600,21600">
              <v:path arrowok="t"/>
              <v:fill focussize="0,0"/>
              <v:stroke weight="0pt" color="#959595"/>
              <v:imagedata o:title=""/>
              <o:lock v:ext="edit"/>
            </v:line>
            <v:line id="_x0000_s1239" o:spid="_x0000_s1239" o:spt="20" style="position:absolute;left:1823;top:7;height:8323;width:0;" stroked="t" coordsize="21600,21600">
              <v:path arrowok="t"/>
              <v:fill focussize="0,0"/>
              <v:stroke weight="0pt" color="#959595"/>
              <v:imagedata o:title=""/>
              <o:lock v:ext="edit"/>
            </v:line>
            <v:line id="_x0000_s1240" o:spid="_x0000_s1240" o:spt="20" style="position:absolute;left:3638;top:7;height:8323;width:0;" stroked="t" coordsize="21600,21600">
              <v:path arrowok="t"/>
              <v:fill focussize="0,0"/>
              <v:stroke weight="0pt" color="#959595"/>
              <v:imagedata o:title=""/>
              <o:lock v:ext="edit"/>
            </v:line>
            <v:line id="_x0000_s1241" o:spid="_x0000_s1241" o:spt="20" style="position:absolute;left:5468;top:7;height:8323;width:0;" stroked="t" coordsize="21600,21600">
              <v:path arrowok="t"/>
              <v:fill focussize="0,0"/>
              <v:stroke weight="0pt" color="#959595"/>
              <v:imagedata o:title=""/>
              <o:lock v:ext="edit"/>
            </v:line>
            <v:shape id="_x0000_s1242" o:spid="_x0000_s1242" style="position:absolute;left:392;top:433;height:1046;width:1032;" fillcolor="#00FF00" filled="t" stroked="f" coordorigin="392,433" coordsize="1032,1046" path="m908,1479l832,1473,759,1457,690,1430,627,1395,569,1351,519,1299,475,1241,440,1176,414,1107,398,1033,392,956,398,879,414,805,440,736,475,671,519,613,569,562,627,518,690,482,759,455,832,439,908,433,984,439,1057,455,1125,482,1189,518,1246,562,1297,613,1341,671,1376,736,1402,805,1418,879,1424,956,1418,1033,1402,1107,1376,1176,1341,1241,1297,1299,1246,1351,1189,1395,1125,1430,1057,1457,984,1473,908,1479xe">
              <v:path arrowok="t"/>
              <v:fill on="t" focussize="0,0"/>
              <v:stroke on="f"/>
              <v:imagedata o:title=""/>
              <o:lock v:ext="edit"/>
            </v:shape>
            <v:shape id="_x0000_s1243" o:spid="_x0000_s1243" style="position:absolute;left:392;top:433;height:1046;width:1032;" filled="f" stroked="t" coordorigin="392,433" coordsize="1032,1046" path="m1424,956l1418,1033,1402,1107,1376,1176,1341,1241,1297,1299,1246,1351,1189,1395,1125,1430,1057,1457,984,1473,908,1479,832,1473,759,1457,690,1430,627,1395,569,1351,519,1299,475,1241,440,1176,414,1107,398,1033,392,956,398,879,414,805,440,736,475,671,519,613,569,562,627,518,690,482,759,455,832,439,908,433,984,439,1057,455,1125,482,1189,518,1246,562,1297,613,1341,671,1376,736,1402,805,1418,879,1424,956e">
              <v:path arrowok="t"/>
              <v:fill on="f" focussize="0,0"/>
              <v:stroke weight="0.688031496062992pt" color="#636363"/>
              <v:imagedata o:title=""/>
              <o:lock v:ext="edit"/>
            </v:shape>
            <v:shape id="_x0000_s1244" o:spid="_x0000_s1244" style="position:absolute;left:914;top:543;height:427;width:83;" fillcolor="#F99595" filled="t" stroked="f" coordorigin="915,543" coordsize="83,427" path="m915,970l915,543,997,763,915,970xe">
              <v:path arrowok="t"/>
              <v:fill on="t" focussize="0,0"/>
              <v:stroke on="f"/>
              <v:imagedata o:title=""/>
              <o:lock v:ext="edit"/>
            </v:shape>
            <v:shape id="_x0000_s1245" o:spid="_x0000_s1245" style="position:absolute;left:914;top:543;height:427;width:83;" filled="f" stroked="t" coordorigin="915,543" coordsize="83,427" path="m915,970l915,543,997,763,915,970e">
              <v:path arrowok="t"/>
              <v:fill on="f" focussize="0,0"/>
              <v:stroke weight="0.688031496062992pt" color="#000000"/>
              <v:imagedata o:title=""/>
              <o:lock v:ext="edit"/>
            </v:shape>
            <v:shape id="_x0000_s1246" o:spid="_x0000_s1246" o:spt="75" type="#_x0000_t75" style="position:absolute;left:591;top:646;height:496;width:496;" filled="f" stroked="f" coordsize="21600,21600">
              <v:path/>
              <v:fill on="f" focussize="0,0"/>
              <v:stroke on="f"/>
              <v:imagedata r:id="rId62" o:title=""/>
              <o:lock v:ext="edit" aspectratio="t"/>
            </v:shape>
            <v:shape id="_x0000_s1247" o:spid="_x0000_s1247" style="position:absolute;left:598;top:474;height:496;width:317;" fillcolor="#F99595" filled="t" stroked="f" coordorigin="598,475" coordsize="317,496" path="m915,970l598,653,722,475,915,970xe">
              <v:path arrowok="t"/>
              <v:fill on="t" focussize="0,0"/>
              <v:stroke on="f"/>
              <v:imagedata o:title=""/>
              <o:lock v:ext="edit"/>
            </v:shape>
            <v:shape id="_x0000_s1248" o:spid="_x0000_s1248" style="position:absolute;left:598;top:474;height:496;width:317;" filled="f" stroked="t" coordorigin="598,475" coordsize="317,496" path="m915,970l598,653,722,475,915,970e">
              <v:path arrowok="t"/>
              <v:fill on="f" focussize="0,0"/>
              <v:stroke weight="0.688031496062992pt" color="#000000"/>
              <v:imagedata o:title=""/>
              <o:lock v:ext="edit"/>
            </v:shape>
            <v:shape id="_x0000_s1249" o:spid="_x0000_s1249" style="position:absolute;left:722;top:474;height:496;width:193;" fillcolor="#C7C7C7" filled="t" stroked="f" coordorigin="722,475" coordsize="193,496" path="m915,970l722,475,915,543,915,970xe">
              <v:path arrowok="t"/>
              <v:fill on="t" focussize="0,0"/>
              <v:stroke on="f"/>
              <v:imagedata o:title=""/>
              <o:lock v:ext="edit"/>
            </v:shape>
            <v:shape id="_x0000_s1250" o:spid="_x0000_s1250" style="position:absolute;left:722;top:474;height:496;width:193;" filled="f" stroked="t" coordorigin="722,475" coordsize="193,496" path="m915,970l722,475,915,543,915,970e">
              <v:path arrowok="t"/>
              <v:fill on="f" focussize="0,0"/>
              <v:stroke weight="0.688031496062992pt" color="#000000"/>
              <v:imagedata o:title=""/>
              <o:lock v:ext="edit"/>
            </v:shape>
            <v:line id="_x0000_s1251" o:spid="_x0000_s1251" o:spt="20" style="position:absolute;left:915;top:433;height:1060;width:0;" stroked="t" coordsize="21600,21600">
              <v:path arrowok="t"/>
              <v:fill focussize="0,0"/>
              <v:stroke weight="0.688031496062992pt" color="#636363"/>
              <v:imagedata o:title=""/>
              <o:lock v:ext="edit"/>
            </v:line>
            <v:line id="_x0000_s1252" o:spid="_x0000_s1252" o:spt="20" style="position:absolute;left:708;top:475;flip:x;height:976;width:413;" stroked="t" coordsize="21600,21600">
              <v:path arrowok="t"/>
              <v:fill focussize="0,0"/>
              <v:stroke weight="0.688031496062992pt" color="#636363"/>
              <v:imagedata o:title=""/>
              <o:lock v:ext="edit"/>
            </v:line>
            <v:line id="_x0000_s1253" o:spid="_x0000_s1253" o:spt="20" style="position:absolute;left:543;top:585;flip:x;height:756;width:743;" stroked="t" coordsize="21600,21600">
              <v:path arrowok="t"/>
              <v:fill focussize="0,0"/>
              <v:stroke weight="0.688031496062992pt" color="#636363"/>
              <v:imagedata o:title=""/>
              <o:lock v:ext="edit"/>
            </v:line>
            <v:line id="_x0000_s1254" o:spid="_x0000_s1254" o:spt="20" style="position:absolute;left:433;top:763;flip:x;height:399;width:963;" stroked="t" coordsize="21600,21600">
              <v:path arrowok="t"/>
              <v:fill focussize="0,0"/>
              <v:stroke weight="0.688031496062992pt" color="#636363"/>
              <v:imagedata o:title=""/>
              <o:lock v:ext="edit"/>
            </v:line>
            <v:line id="_x0000_s1255" o:spid="_x0000_s1255" o:spt="20" style="position:absolute;left:392;top:970;flip:x;height:0;width:1045;" stroked="t" coordsize="21600,21600">
              <v:path arrowok="t"/>
              <v:fill focussize="0,0"/>
              <v:stroke weight="0.688031496062992pt" color="#636363"/>
              <v:imagedata o:title=""/>
              <o:lock v:ext="edit"/>
            </v:line>
            <v:line id="_x0000_s1256" o:spid="_x0000_s1256" o:spt="20" style="position:absolute;left:433;top:763;flip:x y;height:399;width:963;" stroked="t" coordsize="21600,21600">
              <v:path arrowok="t"/>
              <v:fill focussize="0,0"/>
              <v:stroke weight="0.688031496062992pt" color="#636363"/>
              <v:imagedata o:title=""/>
              <o:lock v:ext="edit"/>
            </v:line>
            <v:line id="_x0000_s1257" o:spid="_x0000_s1257" o:spt="20" style="position:absolute;left:543;top:585;flip:x y;height:756;width:743;" stroked="t" coordsize="21600,21600">
              <v:path arrowok="t"/>
              <v:fill focussize="0,0"/>
              <v:stroke weight="0.688031496062992pt" color="#636363"/>
              <v:imagedata o:title=""/>
              <o:lock v:ext="edit"/>
            </v:line>
            <v:line id="_x0000_s1258" o:spid="_x0000_s1258" o:spt="20" style="position:absolute;left:708;top:475;flip:x y;height:976;width:413;" stroked="t" coordsize="21600,21600">
              <v:path arrowok="t"/>
              <v:fill focussize="0,0"/>
              <v:stroke weight="0.688031496062992pt" color="#636363"/>
              <v:imagedata o:title=""/>
              <o:lock v:ext="edit"/>
            </v:line>
            <v:shape id="_x0000_s1259" o:spid="_x0000_s1259" o:spt="75" type="#_x0000_t75" style="position:absolute;left:729;top:784;height:344;width:358;" filled="f" stroked="f" coordsize="21600,21600">
              <v:path/>
              <v:fill on="f" focussize="0,0"/>
              <v:stroke on="f"/>
              <v:imagedata r:id="rId63" o:title=""/>
              <o:lock v:ext="edit" aspectratio="t"/>
            </v:shape>
            <v:shape id="_x0000_s1260" o:spid="_x0000_s1260" style="position:absolute;left:570;top:612;height:688;width:675;" filled="f" stroked="t" coordorigin="571,612" coordsize="675,688" path="m1245,956l1236,1035,1211,1107,1171,1171,1119,1224,1056,1265,985,1291,908,1300,831,1291,760,1265,697,1224,645,1171,605,1107,580,1035,571,956,580,877,605,805,645,741,697,688,760,647,831,621,908,612,985,621,1056,647,1119,688,1171,741,1211,805,1236,877,1245,956e">
              <v:path arrowok="t"/>
              <v:fill on="f" focussize="0,0"/>
              <v:stroke weight="0.688031496062992pt" color="#636363"/>
              <v:imagedata o:title=""/>
              <o:lock v:ext="edit"/>
            </v:shape>
            <v:shape id="_x0000_s1261" o:spid="_x0000_s1261" style="position:absolute;left:2207;top:433;height:1046;width:1032;" fillcolor="#00FF00" filled="t" stroked="f" coordorigin="2208,433" coordsize="1032,1046" path="m2724,1479l2647,1473,2575,1457,2506,1430,2443,1395,2385,1351,2334,1299,2291,1241,2256,1176,2230,1107,2213,1033,2208,956,2213,879,2230,805,2256,736,2291,671,2334,613,2385,562,2443,518,2506,482,2575,455,2647,439,2724,433,2800,439,2873,455,2941,482,3004,518,3062,562,3113,613,3156,671,3192,736,3218,805,3234,879,3239,956,3234,1033,3218,1107,3192,1176,3156,1241,3113,1299,3062,1351,3004,1395,2941,1430,2873,1457,2800,1473,2724,1479xe">
              <v:path arrowok="t"/>
              <v:fill on="t" focussize="0,0"/>
              <v:stroke on="f"/>
              <v:imagedata o:title=""/>
              <o:lock v:ext="edit"/>
            </v:shape>
            <v:shape id="_x0000_s1262" o:spid="_x0000_s1262" style="position:absolute;left:2207;top:433;height:1046;width:1032;" filled="f" stroked="t" coordorigin="2208,433" coordsize="1032,1046" path="m3239,956l3234,1033,3218,1107,3192,1176,3156,1241,3113,1299,3062,1351,3004,1395,2941,1430,2873,1457,2800,1473,2724,1479,2647,1473,2575,1457,2506,1430,2443,1395,2385,1351,2334,1299,2291,1241,2256,1176,2230,1107,2213,1033,2208,956,2213,879,2230,805,2256,736,2291,671,2334,613,2385,562,2443,518,2506,482,2575,455,2647,439,2724,433,2800,439,2873,455,2941,482,3004,518,3062,562,3113,613,3156,671,3192,736,3218,805,3234,879,3239,956e">
              <v:path arrowok="t"/>
              <v:fill on="f" focussize="0,0"/>
              <v:stroke weight="0.688031496062992pt" color="#636363"/>
              <v:imagedata o:title=""/>
              <o:lock v:ext="edit"/>
            </v:shape>
            <v:shape id="_x0000_s1263" o:spid="_x0000_s1263" style="position:absolute;left:2730;top:529;height:441;width:69;" fillcolor="#F99595" filled="t" stroked="f" coordorigin="2730,530" coordsize="69,441" path="m2730,970l2730,530,2799,777,2730,970xe">
              <v:path arrowok="t"/>
              <v:fill on="t" focussize="0,0"/>
              <v:stroke on="f"/>
              <v:imagedata o:title=""/>
              <o:lock v:ext="edit"/>
            </v:shape>
            <v:shape id="_x0000_s1264" o:spid="_x0000_s1264" style="position:absolute;left:2730;top:529;height:441;width:69;" filled="f" stroked="t" coordorigin="2730,530" coordsize="69,441" path="m2730,970l2730,530,2799,777,2730,970e">
              <v:path arrowok="t"/>
              <v:fill on="f" focussize="0,0"/>
              <v:stroke weight="0.688031496062992pt" color="#000000"/>
              <v:imagedata o:title=""/>
              <o:lock v:ext="edit"/>
            </v:shape>
            <v:shape id="_x0000_s1265" o:spid="_x0000_s1265" o:spt="75" type="#_x0000_t75" style="position:absolute;left:2434;top:660;height:496;width:482;" filled="f" stroked="f" coordsize="21600,21600">
              <v:path/>
              <v:fill on="f" focussize="0,0"/>
              <v:stroke on="f"/>
              <v:imagedata r:id="rId64" o:title=""/>
              <o:lock v:ext="edit" aspectratio="t"/>
            </v:shape>
            <v:shape id="_x0000_s1266" o:spid="_x0000_s1266" style="position:absolute;left:2441;top:447;height:523;width:289;" fillcolor="#F99595" filled="t" stroked="f" coordorigin="2442,447" coordsize="289,523" path="m2731,970l2442,667,2510,447,2731,970xe">
              <v:path arrowok="t"/>
              <v:fill on="t" focussize="0,0"/>
              <v:stroke on="f"/>
              <v:imagedata o:title=""/>
              <o:lock v:ext="edit"/>
            </v:shape>
            <v:shape id="_x0000_s1267" o:spid="_x0000_s1267" style="position:absolute;left:2441;top:447;height:523;width:289;" filled="f" stroked="t" coordorigin="2442,447" coordsize="289,523" path="m2731,970l2442,667,2510,447,2731,970e">
              <v:path arrowok="t"/>
              <v:fill on="f" focussize="0,0"/>
              <v:stroke weight="0.688031496062992pt" color="#000000"/>
              <v:imagedata o:title=""/>
              <o:lock v:ext="edit"/>
            </v:shape>
            <v:shape id="_x0000_s1268" o:spid="_x0000_s1268" style="position:absolute;left:2510;top:447;height:523;width:221;" fillcolor="#C7C7C7" filled="t" stroked="f" coordorigin="2510,447" coordsize="221,523" path="m2730,970l2510,447,2730,530,2730,970xe">
              <v:path arrowok="t"/>
              <v:fill on="t" focussize="0,0"/>
              <v:stroke on="f"/>
              <v:imagedata o:title=""/>
              <o:lock v:ext="edit"/>
            </v:shape>
            <v:shape id="_x0000_s1269" o:spid="_x0000_s1269" style="position:absolute;left:2510;top:447;height:523;width:221;" filled="f" stroked="t" coordorigin="2510,447" coordsize="221,523" path="m2730,970l2510,447,2730,530,2730,970e">
              <v:path arrowok="t"/>
              <v:fill on="f" focussize="0,0"/>
              <v:stroke weight="0.688031496062992pt" color="#000000"/>
              <v:imagedata o:title=""/>
              <o:lock v:ext="edit"/>
            </v:shape>
            <v:line id="_x0000_s1270" o:spid="_x0000_s1270" o:spt="20" style="position:absolute;left:2730;top:433;height:1060;width:0;" stroked="t" coordsize="21600,21600">
              <v:path arrowok="t"/>
              <v:fill focussize="0,0"/>
              <v:stroke weight="0.688031496062992pt" color="#636363"/>
              <v:imagedata o:title=""/>
              <o:lock v:ext="edit"/>
            </v:line>
            <v:line id="_x0000_s1271" o:spid="_x0000_s1271" o:spt="20" style="position:absolute;left:2524;top:475;flip:x;height:976;width:413;" stroked="t" coordsize="21600,21600">
              <v:path arrowok="t"/>
              <v:fill focussize="0,0"/>
              <v:stroke weight="0.688031496062992pt" color="#636363"/>
              <v:imagedata o:title=""/>
              <o:lock v:ext="edit"/>
            </v:line>
            <v:line id="_x0000_s1272" o:spid="_x0000_s1272" o:spt="20" style="position:absolute;left:2359;top:585;flip:x;height:756;width:743;" stroked="t" coordsize="21600,21600">
              <v:path arrowok="t"/>
              <v:fill focussize="0,0"/>
              <v:stroke weight="0.688031496062992pt" color="#636363"/>
              <v:imagedata o:title=""/>
              <o:lock v:ext="edit"/>
            </v:line>
            <v:line id="_x0000_s1273" o:spid="_x0000_s1273" o:spt="20" style="position:absolute;left:2249;top:763;flip:x;height:399;width:963;" stroked="t" coordsize="21600,21600">
              <v:path arrowok="t"/>
              <v:fill focussize="0,0"/>
              <v:stroke weight="0.688031496062992pt" color="#636363"/>
              <v:imagedata o:title=""/>
              <o:lock v:ext="edit"/>
            </v:line>
            <v:line id="_x0000_s1274" o:spid="_x0000_s1274" o:spt="20" style="position:absolute;left:2208;top:970;flip:x;height:0;width:1045;" stroked="t" coordsize="21600,21600">
              <v:path arrowok="t"/>
              <v:fill focussize="0,0"/>
              <v:stroke weight="0.688031496062992pt" color="#636363"/>
              <v:imagedata o:title=""/>
              <o:lock v:ext="edit"/>
            </v:line>
            <v:line id="_x0000_s1275" o:spid="_x0000_s1275" o:spt="20" style="position:absolute;left:2249;top:763;flip:x y;height:399;width:963;" stroked="t" coordsize="21600,21600">
              <v:path arrowok="t"/>
              <v:fill focussize="0,0"/>
              <v:stroke weight="0.688031496062992pt" color="#636363"/>
              <v:imagedata o:title=""/>
              <o:lock v:ext="edit"/>
            </v:line>
            <v:line id="_x0000_s1276" o:spid="_x0000_s1276" o:spt="20" style="position:absolute;left:2359;top:585;flip:x y;height:756;width:743;" stroked="t" coordsize="21600,21600">
              <v:path arrowok="t"/>
              <v:fill focussize="0,0"/>
              <v:stroke weight="0.688031496062992pt" color="#636363"/>
              <v:imagedata o:title=""/>
              <o:lock v:ext="edit"/>
            </v:line>
            <v:line id="_x0000_s1277" o:spid="_x0000_s1277" o:spt="20" style="position:absolute;left:2524;top:475;flip:x y;height:976;width:413;" stroked="t" coordsize="21600,21600">
              <v:path arrowok="t"/>
              <v:fill focussize="0,0"/>
              <v:stroke weight="0.688031496062992pt" color="#636363"/>
              <v:imagedata o:title=""/>
              <o:lock v:ext="edit"/>
            </v:line>
            <v:shape id="_x0000_s1278" o:spid="_x0000_s1278" o:spt="75" type="#_x0000_t75" style="position:absolute;left:2544;top:784;height:344;width:358;" filled="f" stroked="f" coordsize="21600,21600">
              <v:path/>
              <v:fill on="f" focussize="0,0"/>
              <v:stroke on="f"/>
              <v:imagedata r:id="rId65" o:title=""/>
              <o:lock v:ext="edit" aspectratio="t"/>
            </v:shape>
            <v:shape id="_x0000_s1279" o:spid="_x0000_s1279" style="position:absolute;left:2386;top:612;height:688;width:675;" filled="f" stroked="t" coordorigin="2387,612" coordsize="675,688" path="m3061,956l3052,1035,3026,1107,2987,1171,2934,1224,2872,1265,2801,1291,2724,1300,2646,1291,2575,1265,2513,1224,2461,1171,2421,1107,2396,1035,2387,956,2396,877,2421,805,2461,741,2513,688,2575,647,2646,621,2724,612,2801,621,2872,647,2934,688,2987,741,3026,805,3052,877,3061,956e">
              <v:path arrowok="t"/>
              <v:fill on="f" focussize="0,0"/>
              <v:stroke weight="0.688031496062992pt" color="#636363"/>
              <v:imagedata o:title=""/>
              <o:lock v:ext="edit"/>
            </v:shape>
            <v:shape id="_x0000_s1280" o:spid="_x0000_s1280" style="position:absolute;left:4023;top:433;height:1046;width:1032;" fillcolor="#00FF00" filled="t" stroked="f" coordorigin="4024,433" coordsize="1032,1046" path="m4539,1479l4463,1473,4390,1457,4322,1430,4258,1395,4201,1351,4150,1299,4107,1241,4071,1176,4045,1107,4029,1033,4024,956,4029,879,4045,805,4071,736,4107,671,4150,613,4201,562,4258,518,4322,482,4390,455,4463,439,4539,433,4616,439,4688,455,4757,482,4820,518,4878,562,4929,613,4972,671,5007,736,5033,805,5050,879,5055,956,5050,1033,5033,1107,5007,1176,4972,1241,4929,1299,4878,1351,4820,1395,4757,1430,4688,1457,4616,1473,4539,1479xe">
              <v:path arrowok="t"/>
              <v:fill on="t" focussize="0,0"/>
              <v:stroke on="f"/>
              <v:imagedata o:title=""/>
              <o:lock v:ext="edit"/>
            </v:shape>
            <v:shape id="_x0000_s1281" o:spid="_x0000_s1281" style="position:absolute;left:4023;top:433;height:1046;width:1032;" filled="f" stroked="t" coordorigin="4024,433" coordsize="1032,1046" path="m5055,956l5050,1033,5033,1107,5007,1176,4972,1241,4929,1299,4878,1351,4820,1395,4757,1430,4688,1457,4616,1473,4539,1479,4463,1473,4390,1457,4322,1430,4258,1395,4201,1351,4150,1299,4107,1241,4071,1176,4045,1107,4029,1033,4024,956,4029,879,4045,805,4071,736,4107,671,4150,613,4201,562,4258,518,4322,482,4390,455,4463,439,4539,433,4616,439,4688,455,4757,482,4820,518,4878,562,4929,613,4972,671,5007,736,5033,805,5050,879,5055,956e">
              <v:path arrowok="t"/>
              <v:fill on="f" focussize="0,0"/>
              <v:stroke weight="0.688031496062992pt" color="#636363"/>
              <v:imagedata o:title=""/>
              <o:lock v:ext="edit"/>
            </v:shape>
            <v:shape id="_x0000_s1282" o:spid="_x0000_s1282" style="position:absolute;left:4546;top:570;height:399;width:83;" fillcolor="#F99595" filled="t" stroked="f" coordorigin="4546,571" coordsize="83,399" path="m4546,970l4546,571,4629,777,4546,970xe">
              <v:path arrowok="t"/>
              <v:fill on="t" focussize="0,0"/>
              <v:stroke on="f"/>
              <v:imagedata o:title=""/>
              <o:lock v:ext="edit"/>
            </v:shape>
            <v:shape id="_x0000_s1283" o:spid="_x0000_s1283" style="position:absolute;left:4546;top:570;height:399;width:83;" filled="f" stroked="t" coordorigin="4546,571" coordsize="83,399" path="m4546,970l4546,571,4629,777,4546,970e">
              <v:path arrowok="t"/>
              <v:fill on="f" focussize="0,0"/>
              <v:stroke weight="0.688031496062992pt" color="#000000"/>
              <v:imagedata o:title=""/>
              <o:lock v:ext="edit"/>
            </v:shape>
            <v:shape id="_x0000_s1284" o:spid="_x0000_s1284" o:spt="75" type="#_x0000_t75" style="position:absolute;left:4319;top:742;height:482;width:468;" filled="f" stroked="f" coordsize="21600,21600">
              <v:path/>
              <v:fill on="f" focussize="0,0"/>
              <v:stroke on="f"/>
              <v:imagedata r:id="rId66" o:title=""/>
              <o:lock v:ext="edit" aspectratio="t"/>
            </v:shape>
            <v:shape id="_x0000_s1285" o:spid="_x0000_s1285" style="position:absolute;left:4326;top:543;height:427;width:221;" fillcolor="#F99595" filled="t" stroked="f" coordorigin="4326,543" coordsize="221,427" path="m4546,970l4326,750,4367,543,4546,970xe">
              <v:path arrowok="t"/>
              <v:fill on="t" focussize="0,0"/>
              <v:stroke on="f"/>
              <v:imagedata o:title=""/>
              <o:lock v:ext="edit"/>
            </v:shape>
            <v:shape id="_x0000_s1286" o:spid="_x0000_s1286" style="position:absolute;left:4326;top:543;height:427;width:221;" filled="f" stroked="t" coordorigin="4326,543" coordsize="221,427" path="m4546,970l4326,750,4367,543,4546,970e">
              <v:path arrowok="t"/>
              <v:fill on="f" focussize="0,0"/>
              <v:stroke weight="0.688031496062992pt" color="#000000"/>
              <v:imagedata o:title=""/>
              <o:lock v:ext="edit"/>
            </v:shape>
            <v:shape id="_x0000_s1287" o:spid="_x0000_s1287" style="position:absolute;left:4367;top:543;height:427;width:179;" fillcolor="#C7C7C7" filled="t" stroked="f" coordorigin="4367,543" coordsize="179,427" path="m4546,970l4367,543,4546,571,4546,970xe">
              <v:path arrowok="t"/>
              <v:fill on="t" focussize="0,0"/>
              <v:stroke on="f"/>
              <v:imagedata o:title=""/>
              <o:lock v:ext="edit"/>
            </v:shape>
            <v:shape id="_x0000_s1288" o:spid="_x0000_s1288" style="position:absolute;left:4367;top:543;height:427;width:179;" filled="f" stroked="t" coordorigin="4367,543" coordsize="179,427" path="m4546,970l4367,543,4546,571,4546,970e">
              <v:path arrowok="t"/>
              <v:fill on="f" focussize="0,0"/>
              <v:stroke weight="0.688031496062992pt" color="#000000"/>
              <v:imagedata o:title=""/>
              <o:lock v:ext="edit"/>
            </v:shape>
            <v:line id="_x0000_s1289" o:spid="_x0000_s1289" o:spt="20" style="position:absolute;left:4546;top:433;height:1060;width:0;" stroked="t" coordsize="21600,21600">
              <v:path arrowok="t"/>
              <v:fill focussize="0,0"/>
              <v:stroke weight="0.688031496062992pt" color="#636363"/>
              <v:imagedata o:title=""/>
              <o:lock v:ext="edit"/>
            </v:line>
            <v:line id="_x0000_s1290" o:spid="_x0000_s1290" o:spt="20" style="position:absolute;left:4340;top:475;flip:x;height:976;width:413;" stroked="t" coordsize="21600,21600">
              <v:path arrowok="t"/>
              <v:fill focussize="0,0"/>
              <v:stroke weight="0.688031496062992pt" color="#636363"/>
              <v:imagedata o:title=""/>
              <o:lock v:ext="edit"/>
            </v:line>
            <v:line id="_x0000_s1291" o:spid="_x0000_s1291" o:spt="20" style="position:absolute;left:4175;top:585;flip:x;height:756;width:743;" stroked="t" coordsize="21600,21600">
              <v:path arrowok="t"/>
              <v:fill focussize="0,0"/>
              <v:stroke weight="0.688031496062992pt" color="#636363"/>
              <v:imagedata o:title=""/>
              <o:lock v:ext="edit"/>
            </v:line>
            <v:line id="_x0000_s1292" o:spid="_x0000_s1292" o:spt="20" style="position:absolute;left:4065;top:763;flip:x;height:399;width:963;" stroked="t" coordsize="21600,21600">
              <v:path arrowok="t"/>
              <v:fill focussize="0,0"/>
              <v:stroke weight="0.688031496062992pt" color="#636363"/>
              <v:imagedata o:title=""/>
              <o:lock v:ext="edit"/>
            </v:line>
            <v:line id="_x0000_s1293" o:spid="_x0000_s1293" o:spt="20" style="position:absolute;left:4024;top:970;flip:x;height:0;width:1045;" stroked="t" coordsize="21600,21600">
              <v:path arrowok="t"/>
              <v:fill focussize="0,0"/>
              <v:stroke weight="0.688031496062992pt" color="#636363"/>
              <v:imagedata o:title=""/>
              <o:lock v:ext="edit"/>
            </v:line>
            <v:line id="_x0000_s1294" o:spid="_x0000_s1294" o:spt="20" style="position:absolute;left:4065;top:763;flip:x y;height:399;width:963;" stroked="t" coordsize="21600,21600">
              <v:path arrowok="t"/>
              <v:fill focussize="0,0"/>
              <v:stroke weight="0.688031496062992pt" color="#636363"/>
              <v:imagedata o:title=""/>
              <o:lock v:ext="edit"/>
            </v:line>
            <v:line id="_x0000_s1295" o:spid="_x0000_s1295" o:spt="20" style="position:absolute;left:4175;top:585;flip:x y;height:756;width:743;" stroked="t" coordsize="21600,21600">
              <v:path arrowok="t"/>
              <v:fill focussize="0,0"/>
              <v:stroke weight="0.688031496062992pt" color="#636363"/>
              <v:imagedata o:title=""/>
              <o:lock v:ext="edit"/>
            </v:line>
            <v:line id="_x0000_s1296" o:spid="_x0000_s1296" o:spt="20" style="position:absolute;left:4340;top:475;flip:x y;height:976;width:413;" stroked="t" coordsize="21600,21600">
              <v:path arrowok="t"/>
              <v:fill focussize="0,0"/>
              <v:stroke weight="0.688031496062992pt" color="#636363"/>
              <v:imagedata o:title=""/>
              <o:lock v:ext="edit"/>
            </v:line>
            <v:shape id="_x0000_s1297" o:spid="_x0000_s1297" o:spt="75" type="#_x0000_t75" style="position:absolute;left:4360;top:784;height:344;width:358;" filled="f" stroked="f" coordsize="21600,21600">
              <v:path/>
              <v:fill on="f" focussize="0,0"/>
              <v:stroke on="f"/>
              <v:imagedata r:id="rId67" o:title=""/>
              <o:lock v:ext="edit" aspectratio="t"/>
            </v:shape>
            <v:shape id="_x0000_s1298" o:spid="_x0000_s1298" style="position:absolute;left:4202;top:612;height:688;width:675;" filled="f" stroked="t" coordorigin="4202,612" coordsize="675,688" path="m4876,956l4867,1035,4842,1107,4802,1171,4750,1224,4688,1265,4617,1291,4539,1300,4462,1291,4391,1265,4329,1224,4276,1171,4237,1107,4211,1035,4202,956,4211,877,4237,805,4276,741,4329,688,4391,647,4462,621,4539,612,4617,621,4688,647,4750,688,4802,741,4842,805,4867,877,4876,956e">
              <v:path arrowok="t"/>
              <v:fill on="f" focussize="0,0"/>
              <v:stroke weight="0.688031496062992pt" color="#636363"/>
              <v:imagedata o:title=""/>
              <o:lock v:ext="edit"/>
            </v:shape>
            <v:shape id="_x0000_s1299" o:spid="_x0000_s1299" style="position:absolute;left:5853;top:433;height:1046;width:1032;" fillcolor="#00FF00" filled="t" stroked="f" coordorigin="5853,433" coordsize="1032,1046" path="m6369,1479l6293,1473,6220,1457,6151,1430,6088,1395,6030,1351,5980,1299,5936,1241,5901,1176,5875,1107,5859,1033,5853,956,5859,879,5875,805,5901,736,5936,671,5980,613,6030,562,6088,518,6151,482,6220,455,6293,439,6369,433,6445,439,6518,455,6586,482,6650,518,6707,562,6758,613,6802,671,6837,736,6863,805,6879,879,6885,956,6879,1033,6863,1107,6837,1176,6802,1241,6758,1299,6707,1351,6650,1395,6586,1430,6518,1457,6445,1473,6369,1479xe">
              <v:path arrowok="t"/>
              <v:fill on="t" focussize="0,0"/>
              <v:stroke on="f"/>
              <v:imagedata o:title=""/>
              <o:lock v:ext="edit"/>
            </v:shape>
            <v:shape id="_x0000_s1300" o:spid="_x0000_s1300" style="position:absolute;left:5853;top:433;height:1046;width:1032;" filled="f" stroked="t" coordorigin="5853,433" coordsize="1032,1046" path="m6885,956l6879,1033,6863,1107,6837,1176,6802,1241,6758,1299,6707,1351,6650,1395,6586,1430,6518,1457,6445,1473,6369,1479,6293,1473,6220,1457,6151,1430,6088,1395,6030,1351,5980,1299,5936,1241,5901,1176,5875,1107,5859,1033,5853,956,5859,879,5875,805,5901,736,5936,671,5980,613,6030,562,6088,518,6151,482,6220,455,6293,439,6369,433,6445,439,6518,455,6586,482,6650,518,6707,562,6758,613,6802,671,6837,736,6863,805,6879,879,6885,956e">
              <v:path arrowok="t"/>
              <v:fill on="f" focussize="0,0"/>
              <v:stroke weight="0.688031496062992pt" color="#636363"/>
              <v:imagedata o:title=""/>
              <o:lock v:ext="edit"/>
            </v:shape>
            <v:shape id="_x0000_s1301" o:spid="_x0000_s1301" o:spt="75" type="#_x0000_t75" style="position:absolute;left:6148;top:591;height:661;width:496;" filled="f" stroked="f" coordsize="21600,21600">
              <v:path/>
              <v:fill on="f" focussize="0,0"/>
              <v:stroke on="f"/>
              <v:imagedata r:id="rId68" o:title=""/>
              <o:lock v:ext="edit" aspectratio="t"/>
            </v:shape>
            <v:line id="_x0000_s1302" o:spid="_x0000_s1302" o:spt="20" style="position:absolute;left:6376;top:433;height:1060;width:0;" stroked="t" coordsize="21600,21600">
              <v:path arrowok="t"/>
              <v:fill focussize="0,0"/>
              <v:stroke weight="0.688031496062992pt" color="#636363"/>
              <v:imagedata o:title=""/>
              <o:lock v:ext="edit"/>
            </v:line>
            <v:line id="_x0000_s1303" o:spid="_x0000_s1303" o:spt="20" style="position:absolute;left:6169;top:475;flip:x;height:976;width:413;" stroked="t" coordsize="21600,21600">
              <v:path arrowok="t"/>
              <v:fill focussize="0,0"/>
              <v:stroke weight="0.688031496062992pt" color="#636363"/>
              <v:imagedata o:title=""/>
              <o:lock v:ext="edit"/>
            </v:line>
            <v:line id="_x0000_s1304" o:spid="_x0000_s1304" o:spt="20" style="position:absolute;left:6004;top:585;flip:x;height:756;width:743;" stroked="t" coordsize="21600,21600">
              <v:path arrowok="t"/>
              <v:fill focussize="0,0"/>
              <v:stroke weight="0.688031496062992pt" color="#636363"/>
              <v:imagedata o:title=""/>
              <o:lock v:ext="edit"/>
            </v:line>
            <v:line id="_x0000_s1305" o:spid="_x0000_s1305" o:spt="20" style="position:absolute;left:5894;top:763;flip:x;height:399;width:963;" stroked="t" coordsize="21600,21600">
              <v:path arrowok="t"/>
              <v:fill focussize="0,0"/>
              <v:stroke weight="0.688031496062992pt" color="#636363"/>
              <v:imagedata o:title=""/>
              <o:lock v:ext="edit"/>
            </v:line>
            <v:line id="_x0000_s1306" o:spid="_x0000_s1306" o:spt="20" style="position:absolute;left:5853;top:970;flip:x;height:0;width:1045;" stroked="t" coordsize="21600,21600">
              <v:path arrowok="t"/>
              <v:fill focussize="0,0"/>
              <v:stroke weight="0.688031496062992pt" color="#636363"/>
              <v:imagedata o:title=""/>
              <o:lock v:ext="edit"/>
            </v:line>
            <v:line id="_x0000_s1307" o:spid="_x0000_s1307" o:spt="20" style="position:absolute;left:5894;top:763;flip:x y;height:399;width:963;" stroked="t" coordsize="21600,21600">
              <v:path arrowok="t"/>
              <v:fill focussize="0,0"/>
              <v:stroke weight="0.688031496062992pt" color="#636363"/>
              <v:imagedata o:title=""/>
              <o:lock v:ext="edit"/>
            </v:line>
            <v:line id="_x0000_s1308" o:spid="_x0000_s1308" o:spt="20" style="position:absolute;left:6004;top:585;flip:x y;height:756;width:743;" stroked="t" coordsize="21600,21600">
              <v:path arrowok="t"/>
              <v:fill focussize="0,0"/>
              <v:stroke weight="0.688031496062992pt" color="#636363"/>
              <v:imagedata o:title=""/>
              <o:lock v:ext="edit"/>
            </v:line>
            <v:line id="_x0000_s1309" o:spid="_x0000_s1309" o:spt="20" style="position:absolute;left:6169;top:475;flip:x y;height:976;width:413;" stroked="t" coordsize="21600,21600">
              <v:path arrowok="t"/>
              <v:fill focussize="0,0"/>
              <v:stroke weight="0.688031496062992pt" color="#636363"/>
              <v:imagedata o:title=""/>
              <o:lock v:ext="edit"/>
            </v:line>
            <v:shape id="_x0000_s1310" o:spid="_x0000_s1310" o:spt="75" type="#_x0000_t75" style="position:absolute;left:6190;top:784;height:344;width:358;" filled="f" stroked="f" coordsize="21600,21600">
              <v:path/>
              <v:fill on="f" focussize="0,0"/>
              <v:stroke on="f"/>
              <v:imagedata r:id="rId67" o:title=""/>
              <o:lock v:ext="edit" aspectratio="t"/>
            </v:shape>
            <v:shape id="_x0000_s1311" o:spid="_x0000_s1311" style="position:absolute;left:6031;top:612;height:688;width:675;" filled="f" stroked="t" coordorigin="6032,612" coordsize="675,688" path="m6706,956l6697,1035,6672,1107,6632,1171,6580,1224,6517,1265,6446,1291,6369,1300,6292,1291,6221,1265,6158,1224,6106,1171,6066,1107,6041,1035,6032,956,6041,877,6066,805,6106,741,6158,688,6221,647,6292,621,6369,612,6446,621,6517,647,6580,688,6632,741,6672,805,6697,877,6706,956e">
              <v:path arrowok="t"/>
              <v:fill on="f" focussize="0,0"/>
              <v:stroke weight="0.688031496062992pt" color="#636363"/>
              <v:imagedata o:title=""/>
              <o:lock v:ext="edit"/>
            </v:shape>
            <v:shape id="_x0000_s1312" o:spid="_x0000_s1312" style="position:absolute;left:392;top:2510;height:1046;width:1032;" fillcolor="#00FF00" filled="t" stroked="f" coordorigin="392,2511" coordsize="1032,1046" path="m908,3556l832,3550,759,3534,690,3507,627,3472,569,3428,519,3376,475,3318,440,3254,414,3184,398,3111,392,3033,398,2956,414,2882,440,2813,475,2749,519,2690,569,2639,627,2595,690,2559,759,2533,832,2516,908,2511,984,2516,1057,2533,1125,2559,1189,2595,1246,2639,1297,2690,1341,2749,1376,2813,1402,2882,1418,2956,1424,3033,1418,3111,1402,3184,1376,3254,1341,3318,1297,3376,1246,3428,1189,3472,1125,3507,1057,3534,984,3550,908,3556xe">
              <v:path arrowok="t"/>
              <v:fill on="t" focussize="0,0"/>
              <v:stroke on="f"/>
              <v:imagedata o:title=""/>
              <o:lock v:ext="edit"/>
            </v:shape>
            <v:shape id="_x0000_s1313" o:spid="_x0000_s1313" style="position:absolute;left:392;top:2510;height:1046;width:1032;" filled="f" stroked="t" coordorigin="392,2511" coordsize="1032,1046" path="m1424,3033l1418,3111,1402,3184,1376,3254,1341,3318,1297,3376,1246,3428,1189,3472,1125,3507,1057,3534,984,3550,908,3556,832,3550,759,3534,690,3507,627,3472,569,3428,519,3376,475,3318,440,3254,414,3184,398,3111,392,3033,398,2956,414,2882,440,2813,475,2749,519,2690,569,2639,627,2595,690,2559,759,2533,832,2516,908,2511,984,2516,1057,2533,1125,2559,1189,2595,1246,2639,1297,2690,1341,2749,1376,2813,1402,2882,1418,2956,1424,3033e">
              <v:path arrowok="t"/>
              <v:fill on="f" focussize="0,0"/>
              <v:stroke weight="0.688031496062992pt" color="#636363"/>
              <v:imagedata o:title=""/>
              <o:lock v:ext="edit"/>
            </v:shape>
            <v:shape id="_x0000_s1314" o:spid="_x0000_s1314" o:spt="75" type="#_x0000_t75" style="position:absolute;left:674;top:2668;height:688;width:482;" filled="f" stroked="f" coordsize="21600,21600">
              <v:path/>
              <v:fill on="f" focussize="0,0"/>
              <v:stroke on="f"/>
              <v:imagedata r:id="rId69" o:title=""/>
              <o:lock v:ext="edit" aspectratio="t"/>
            </v:shape>
            <v:line id="_x0000_s1315" o:spid="_x0000_s1315" o:spt="20" style="position:absolute;left:915;top:2511;height:1059;width:0;" stroked="t" coordsize="21600,21600">
              <v:path arrowok="t"/>
              <v:fill focussize="0,0"/>
              <v:stroke weight="0.688031496062992pt" color="#636363"/>
              <v:imagedata o:title=""/>
              <o:lock v:ext="edit"/>
            </v:line>
            <v:line id="_x0000_s1316" o:spid="_x0000_s1316" o:spt="20" style="position:absolute;left:708;top:2552;flip:x;height:977;width:413;" stroked="t" coordsize="21600,21600">
              <v:path arrowok="t"/>
              <v:fill focussize="0,0"/>
              <v:stroke weight="0.688031496062992pt" color="#636363"/>
              <v:imagedata o:title=""/>
              <o:lock v:ext="edit"/>
            </v:line>
            <v:line id="_x0000_s1317" o:spid="_x0000_s1317" o:spt="20" style="position:absolute;left:543;top:2662;flip:x;height:757;width:743;" stroked="t" coordsize="21600,21600">
              <v:path arrowok="t"/>
              <v:fill focussize="0,0"/>
              <v:stroke weight="0.688031496062992pt" color="#636363"/>
              <v:imagedata o:title=""/>
              <o:lock v:ext="edit"/>
            </v:line>
            <v:line id="_x0000_s1318" o:spid="_x0000_s1318" o:spt="20" style="position:absolute;left:433;top:2841;flip:x;height:399;width:963;" stroked="t" coordsize="21600,21600">
              <v:path arrowok="t"/>
              <v:fill focussize="0,0"/>
              <v:stroke weight="0.688031496062992pt" color="#636363"/>
              <v:imagedata o:title=""/>
              <o:lock v:ext="edit"/>
            </v:line>
            <v:line id="_x0000_s1319" o:spid="_x0000_s1319" o:spt="20" style="position:absolute;left:392;top:3033;flip:x;height:0;width:1045;" stroked="t" coordsize="21600,21600">
              <v:path arrowok="t"/>
              <v:fill focussize="0,0"/>
              <v:stroke weight="0.688031496062992pt" color="#636363"/>
              <v:imagedata o:title=""/>
              <o:lock v:ext="edit"/>
            </v:line>
            <v:line id="_x0000_s1320" o:spid="_x0000_s1320" o:spt="20" style="position:absolute;left:433;top:2841;flip:x y;height:399;width:963;" stroked="t" coordsize="21600,21600">
              <v:path arrowok="t"/>
              <v:fill focussize="0,0"/>
              <v:stroke weight="0.688031496062992pt" color="#636363"/>
              <v:imagedata o:title=""/>
              <o:lock v:ext="edit"/>
            </v:line>
            <v:line id="_x0000_s1321" o:spid="_x0000_s1321" o:spt="20" style="position:absolute;left:543;top:2662;flip:x y;height:757;width:743;" stroked="t" coordsize="21600,21600">
              <v:path arrowok="t"/>
              <v:fill focussize="0,0"/>
              <v:stroke weight="0.688031496062992pt" color="#636363"/>
              <v:imagedata o:title=""/>
              <o:lock v:ext="edit"/>
            </v:line>
            <v:line id="_x0000_s1322" o:spid="_x0000_s1322" o:spt="20" style="position:absolute;left:708;top:2552;flip:x y;height:977;width:413;" stroked="t" coordsize="21600,21600">
              <v:path arrowok="t"/>
              <v:fill focussize="0,0"/>
              <v:stroke weight="0.688031496062992pt" color="#636363"/>
              <v:imagedata o:title=""/>
              <o:lock v:ext="edit"/>
            </v:line>
            <v:shape id="_x0000_s1323" o:spid="_x0000_s1323" o:spt="75" type="#_x0000_t75" style="position:absolute;left:729;top:2861;height:344;width:358;" filled="f" stroked="f" coordsize="21600,21600">
              <v:path/>
              <v:fill on="f" focussize="0,0"/>
              <v:stroke on="f"/>
              <v:imagedata r:id="rId70" o:title=""/>
              <o:lock v:ext="edit" aspectratio="t"/>
            </v:shape>
            <v:shape id="_x0000_s1324" o:spid="_x0000_s1324" style="position:absolute;left:570;top:2689;height:688;width:675;" filled="f" stroked="t" coordorigin="571,2689" coordsize="675,688" path="m1245,3033l1236,3112,1211,3185,1171,3248,1119,3302,1056,3342,985,3368,908,3377,831,3368,760,3342,697,3302,645,3248,605,3185,580,3112,571,3033,580,2954,605,2882,645,2818,697,2765,760,2724,831,2698,908,2689,985,2698,1056,2724,1119,2765,1171,2818,1211,2882,1236,2954,1245,3033e">
              <v:path arrowok="t"/>
              <v:fill on="f" focussize="0,0"/>
              <v:stroke weight="0.688031496062992pt" color="#636363"/>
              <v:imagedata o:title=""/>
              <o:lock v:ext="edit"/>
            </v:shape>
            <v:shape id="_x0000_s1325" o:spid="_x0000_s1325" style="position:absolute;left:2207;top:2510;height:1046;width:1032;" fillcolor="#00FF00" filled="t" stroked="f" coordorigin="2208,2511" coordsize="1032,1046" path="m2724,3556l2647,3550,2575,3534,2506,3507,2443,3472,2385,3428,2334,3376,2291,3318,2256,3254,2230,3184,2213,3111,2208,3033,2213,2956,2230,2882,2256,2813,2291,2749,2334,2690,2385,2639,2443,2595,2506,2559,2575,2533,2647,2516,2724,2511,2800,2516,2873,2533,2941,2559,3004,2595,3062,2639,3113,2690,3156,2749,3192,2813,3218,2882,3234,2956,3239,3033,3234,3111,3218,3184,3192,3254,3156,3318,3113,3376,3062,3428,3004,3472,2941,3507,2873,3534,2800,3550,2724,3556xe">
              <v:path arrowok="t"/>
              <v:fill on="t" focussize="0,0"/>
              <v:stroke on="f"/>
              <v:imagedata o:title=""/>
              <o:lock v:ext="edit"/>
            </v:shape>
            <v:shape id="_x0000_s1326" o:spid="_x0000_s1326" style="position:absolute;left:2207;top:2510;height:1046;width:1032;" filled="f" stroked="t" coordorigin="2208,2511" coordsize="1032,1046" path="m3239,3033l3234,3111,3218,3184,3192,3254,3156,3318,3113,3376,3062,3428,3004,3472,2941,3507,2873,3534,2800,3550,2724,3556,2647,3550,2575,3534,2506,3507,2443,3472,2385,3428,2334,3376,2291,3318,2256,3254,2230,3184,2213,3111,2208,3033,2213,2956,2230,2882,2256,2813,2291,2749,2334,2690,2385,2639,2443,2595,2506,2559,2575,2533,2647,2516,2724,2511,2800,2516,2873,2533,2941,2559,3004,2595,3062,2639,3113,2690,3156,2749,3192,2813,3218,2882,3234,2956,3239,3033e">
              <v:path arrowok="t"/>
              <v:fill on="f" focussize="0,0"/>
              <v:stroke weight="0.688031496062992pt" color="#636363"/>
              <v:imagedata o:title=""/>
              <o:lock v:ext="edit"/>
            </v:shape>
            <v:shape id="_x0000_s1327" o:spid="_x0000_s1327" o:spt="75" type="#_x0000_t75" style="position:absolute;left:2503;top:2737;height:688;width:496;" filled="f" stroked="f" coordsize="21600,21600">
              <v:path/>
              <v:fill on="f" focussize="0,0"/>
              <v:stroke on="f"/>
              <v:imagedata r:id="rId71" o:title=""/>
              <o:lock v:ext="edit" aspectratio="t"/>
            </v:shape>
            <v:line id="_x0000_s1328" o:spid="_x0000_s1328" o:spt="20" style="position:absolute;left:2730;top:2511;height:1059;width:0;" stroked="t" coordsize="21600,21600">
              <v:path arrowok="t"/>
              <v:fill focussize="0,0"/>
              <v:stroke weight="0.688031496062992pt" color="#636363"/>
              <v:imagedata o:title=""/>
              <o:lock v:ext="edit"/>
            </v:line>
            <v:line id="_x0000_s1329" o:spid="_x0000_s1329" o:spt="20" style="position:absolute;left:2524;top:2552;flip:x;height:977;width:413;" stroked="t" coordsize="21600,21600">
              <v:path arrowok="t"/>
              <v:fill focussize="0,0"/>
              <v:stroke weight="0.688031496062992pt" color="#636363"/>
              <v:imagedata o:title=""/>
              <o:lock v:ext="edit"/>
            </v:line>
            <v:line id="_x0000_s1330" o:spid="_x0000_s1330" o:spt="20" style="position:absolute;left:2359;top:2662;flip:x;height:757;width:743;" stroked="t" coordsize="21600,21600">
              <v:path arrowok="t"/>
              <v:fill focussize="0,0"/>
              <v:stroke weight="0.688031496062992pt" color="#636363"/>
              <v:imagedata o:title=""/>
              <o:lock v:ext="edit"/>
            </v:line>
            <v:line id="_x0000_s1331" o:spid="_x0000_s1331" o:spt="20" style="position:absolute;left:2249;top:2841;flip:x;height:399;width:963;" stroked="t" coordsize="21600,21600">
              <v:path arrowok="t"/>
              <v:fill focussize="0,0"/>
              <v:stroke weight="0.688031496062992pt" color="#636363"/>
              <v:imagedata o:title=""/>
              <o:lock v:ext="edit"/>
            </v:line>
            <v:line id="_x0000_s1332" o:spid="_x0000_s1332" o:spt="20" style="position:absolute;left:2208;top:3033;flip:x;height:0;width:1045;" stroked="t" coordsize="21600,21600">
              <v:path arrowok="t"/>
              <v:fill focussize="0,0"/>
              <v:stroke weight="0.688031496062992pt" color="#636363"/>
              <v:imagedata o:title=""/>
              <o:lock v:ext="edit"/>
            </v:line>
            <v:line id="_x0000_s1333" o:spid="_x0000_s1333" o:spt="20" style="position:absolute;left:2249;top:2841;flip:x y;height:399;width:963;" stroked="t" coordsize="21600,21600">
              <v:path arrowok="t"/>
              <v:fill focussize="0,0"/>
              <v:stroke weight="0.688031496062992pt" color="#636363"/>
              <v:imagedata o:title=""/>
              <o:lock v:ext="edit"/>
            </v:line>
            <v:line id="_x0000_s1334" o:spid="_x0000_s1334" o:spt="20" style="position:absolute;left:2359;top:2662;flip:x y;height:757;width:743;" stroked="t" coordsize="21600,21600">
              <v:path arrowok="t"/>
              <v:fill focussize="0,0"/>
              <v:stroke weight="0.688031496062992pt" color="#636363"/>
              <v:imagedata o:title=""/>
              <o:lock v:ext="edit"/>
            </v:line>
            <v:line id="_x0000_s1335" o:spid="_x0000_s1335" o:spt="20" style="position:absolute;left:2524;top:2552;flip:x y;height:977;width:413;" stroked="t" coordsize="21600,21600">
              <v:path arrowok="t"/>
              <v:fill focussize="0,0"/>
              <v:stroke weight="0.688031496062992pt" color="#636363"/>
              <v:imagedata o:title=""/>
              <o:lock v:ext="edit"/>
            </v:line>
            <v:shape id="_x0000_s1336" o:spid="_x0000_s1336" o:spt="75" type="#_x0000_t75" style="position:absolute;left:2544;top:2861;height:344;width:358;" filled="f" stroked="f" coordsize="21600,21600">
              <v:path/>
              <v:fill on="f" focussize="0,0"/>
              <v:stroke on="f"/>
              <v:imagedata r:id="rId72" o:title=""/>
              <o:lock v:ext="edit" aspectratio="t"/>
            </v:shape>
            <v:shape id="_x0000_s1337" o:spid="_x0000_s1337" style="position:absolute;left:2386;top:2689;height:688;width:675;" filled="f" stroked="t" coordorigin="2387,2689" coordsize="675,688" path="m3061,3033l3052,3112,3026,3185,2987,3248,2934,3302,2872,3342,2801,3368,2724,3377,2646,3368,2575,3342,2513,3302,2461,3248,2421,3185,2396,3112,2387,3033,2396,2954,2421,2882,2461,2818,2513,2765,2575,2724,2646,2698,2724,2689,2801,2698,2872,2724,2934,2765,2987,2818,3026,2882,3052,2954,3061,3033e">
              <v:path arrowok="t"/>
              <v:fill on="f" focussize="0,0"/>
              <v:stroke weight="0.688031496062992pt" color="#636363"/>
              <v:imagedata o:title=""/>
              <o:lock v:ext="edit"/>
            </v:shape>
            <v:shape id="_x0000_s1338" o:spid="_x0000_s1338" style="position:absolute;left:4023;top:2510;height:1046;width:1032;" fillcolor="#00FF00" filled="t" stroked="f" coordorigin="4024,2511" coordsize="1032,1046" path="m4539,3556l4463,3550,4390,3534,4322,3507,4258,3472,4201,3428,4150,3376,4107,3318,4071,3254,4045,3184,4029,3111,4024,3033,4029,2956,4045,2882,4071,2813,4107,2749,4150,2690,4201,2639,4258,2595,4322,2559,4390,2533,4463,2516,4539,2511,4616,2516,4688,2533,4757,2559,4820,2595,4878,2639,4929,2690,4972,2749,5007,2813,5033,2882,5050,2956,5055,3033,5050,3111,5033,3184,5007,3254,4972,3318,4929,3376,4878,3428,4820,3472,4757,3507,4688,3534,4616,3550,4539,3556xe">
              <v:path arrowok="t"/>
              <v:fill on="t" focussize="0,0"/>
              <v:stroke on="f"/>
              <v:imagedata o:title=""/>
              <o:lock v:ext="edit"/>
            </v:shape>
            <v:shape id="_x0000_s1339" o:spid="_x0000_s1339" style="position:absolute;left:4023;top:2510;height:1046;width:1032;" filled="f" stroked="t" coordorigin="4024,2511" coordsize="1032,1046" path="m5055,3033l5050,3111,5033,3184,5007,3254,4972,3318,4929,3376,4878,3428,4820,3472,4757,3507,4688,3534,4616,3550,4539,3556,4463,3550,4390,3534,4322,3507,4258,3472,4201,3428,4150,3376,4107,3318,4071,3254,4045,3184,4029,3111,4024,3033,4029,2956,4045,2882,4071,2813,4107,2749,4150,2690,4201,2639,4258,2595,4322,2559,4390,2533,4463,2516,4539,2511,4616,2516,4688,2533,4757,2559,4820,2595,4878,2639,4929,2690,4972,2749,5007,2813,5033,2882,5050,2956,5055,3033e">
              <v:path arrowok="t"/>
              <v:fill on="f" focussize="0,0"/>
              <v:stroke weight="0.688031496062992pt" color="#636363"/>
              <v:imagedata o:title=""/>
              <o:lock v:ext="edit"/>
            </v:shape>
            <v:shape id="_x0000_s1340" o:spid="_x0000_s1340" o:spt="75" type="#_x0000_t75" style="position:absolute;left:4539;top:2792;height:578;width:331;" filled="f" stroked="f" coordsize="21600,21600">
              <v:path/>
              <v:fill on="f" focussize="0,0"/>
              <v:stroke on="f"/>
              <v:imagedata r:id="rId73" o:title=""/>
              <o:lock v:ext="edit" aspectratio="t"/>
            </v:shape>
            <v:shape id="_x0000_s1341" o:spid="_x0000_s1341" style="position:absolute;left:4546;top:3033;height:454;width:317;" fillcolor="#F99595" filled="t" stroked="f" coordorigin="4546,3033" coordsize="317,454" path="m4739,3487l4546,3033,4863,3363,4739,3487xe">
              <v:path arrowok="t"/>
              <v:fill on="t" focussize="0,0"/>
              <v:stroke on="f"/>
              <v:imagedata o:title=""/>
              <o:lock v:ext="edit"/>
            </v:shape>
            <v:shape id="_x0000_s1342" o:spid="_x0000_s1342" style="position:absolute;left:4546;top:3033;height:454;width:317;" filled="f" stroked="t" coordorigin="4546,3033" coordsize="317,454" path="m4546,3033l4863,3363,4739,3487,4546,3033e">
              <v:path arrowok="t"/>
              <v:fill on="f" focussize="0,0"/>
              <v:stroke weight="0.688031496062992pt" color="#000000"/>
              <v:imagedata o:title=""/>
              <o:lock v:ext="edit"/>
            </v:shape>
            <v:shape id="_x0000_s1343" o:spid="_x0000_s1343" style="position:absolute;left:4546;top:3033;height:454;width:193;" fillcolor="#C7C7C7" filled="t" stroked="f" coordorigin="4546,3033" coordsize="193,454" path="m4739,3487l4546,3377,4546,3033,4739,3487xe">
              <v:path arrowok="t"/>
              <v:fill on="t" focussize="0,0"/>
              <v:stroke on="f"/>
              <v:imagedata o:title=""/>
              <o:lock v:ext="edit"/>
            </v:shape>
            <v:shape id="_x0000_s1344" o:spid="_x0000_s1344" style="position:absolute;left:4546;top:3033;height:454;width:193;" filled="f" stroked="t" coordorigin="4546,3033" coordsize="193,454" path="m4546,3033l4739,3487,4546,3377,4546,3033e">
              <v:path arrowok="t"/>
              <v:fill on="f" focussize="0,0"/>
              <v:stroke weight="0.688031496062992pt" color="#000000"/>
              <v:imagedata o:title=""/>
              <o:lock v:ext="edit"/>
            </v:shape>
            <v:shape id="_x0000_s1345" o:spid="_x0000_s1345" o:spt="75" type="#_x0000_t75" style="position:absolute;left:4374;top:2792;height:592;width:179;" filled="f" stroked="f" coordsize="21600,21600">
              <v:path/>
              <v:fill on="f" focussize="0,0"/>
              <v:stroke on="f"/>
              <v:imagedata r:id="rId74" o:title=""/>
              <o:lock v:ext="edit" aspectratio="t"/>
            </v:shape>
            <v:line id="_x0000_s1346" o:spid="_x0000_s1346" o:spt="20" style="position:absolute;left:4546;top:2511;height:1059;width:0;" stroked="t" coordsize="21600,21600">
              <v:path arrowok="t"/>
              <v:fill focussize="0,0"/>
              <v:stroke weight="0.688031496062992pt" color="#636363"/>
              <v:imagedata o:title=""/>
              <o:lock v:ext="edit"/>
            </v:line>
            <v:line id="_x0000_s1347" o:spid="_x0000_s1347" o:spt="20" style="position:absolute;left:4340;top:2552;flip:x;height:977;width:413;" stroked="t" coordsize="21600,21600">
              <v:path arrowok="t"/>
              <v:fill focussize="0,0"/>
              <v:stroke weight="0.688031496062992pt" color="#636363"/>
              <v:imagedata o:title=""/>
              <o:lock v:ext="edit"/>
            </v:line>
            <v:line id="_x0000_s1348" o:spid="_x0000_s1348" o:spt="20" style="position:absolute;left:4175;top:2662;flip:x;height:757;width:743;" stroked="t" coordsize="21600,21600">
              <v:path arrowok="t"/>
              <v:fill focussize="0,0"/>
              <v:stroke weight="0.688031496062992pt" color="#636363"/>
              <v:imagedata o:title=""/>
              <o:lock v:ext="edit"/>
            </v:line>
            <v:line id="_x0000_s1349" o:spid="_x0000_s1349" o:spt="20" style="position:absolute;left:4065;top:2841;flip:x;height:399;width:963;" stroked="t" coordsize="21600,21600">
              <v:path arrowok="t"/>
              <v:fill focussize="0,0"/>
              <v:stroke weight="0.688031496062992pt" color="#636363"/>
              <v:imagedata o:title=""/>
              <o:lock v:ext="edit"/>
            </v:line>
            <v:line id="_x0000_s1350" o:spid="_x0000_s1350" o:spt="20" style="position:absolute;left:4024;top:3033;flip:x;height:0;width:1045;" stroked="t" coordsize="21600,21600">
              <v:path arrowok="t"/>
              <v:fill focussize="0,0"/>
              <v:stroke weight="0.688031496062992pt" color="#636363"/>
              <v:imagedata o:title=""/>
              <o:lock v:ext="edit"/>
            </v:line>
            <v:line id="_x0000_s1351" o:spid="_x0000_s1351" o:spt="20" style="position:absolute;left:4065;top:2841;flip:x y;height:399;width:963;" stroked="t" coordsize="21600,21600">
              <v:path arrowok="t"/>
              <v:fill focussize="0,0"/>
              <v:stroke weight="0.688031496062992pt" color="#636363"/>
              <v:imagedata o:title=""/>
              <o:lock v:ext="edit"/>
            </v:line>
            <v:line id="_x0000_s1352" o:spid="_x0000_s1352" o:spt="20" style="position:absolute;left:4175;top:2662;flip:x y;height:757;width:743;" stroked="t" coordsize="21600,21600">
              <v:path arrowok="t"/>
              <v:fill focussize="0,0"/>
              <v:stroke weight="0.688031496062992pt" color="#636363"/>
              <v:imagedata o:title=""/>
              <o:lock v:ext="edit"/>
            </v:line>
            <v:line id="_x0000_s1353" o:spid="_x0000_s1353" o:spt="20" style="position:absolute;left:4340;top:2552;flip:x y;height:977;width:413;" stroked="t" coordsize="21600,21600">
              <v:path arrowok="t"/>
              <v:fill focussize="0,0"/>
              <v:stroke weight="0.688031496062992pt" color="#636363"/>
              <v:imagedata o:title=""/>
              <o:lock v:ext="edit"/>
            </v:line>
            <v:shape id="_x0000_s1354" o:spid="_x0000_s1354" o:spt="75" type="#_x0000_t75" style="position:absolute;left:4360;top:2861;height:344;width:358;" filled="f" stroked="f" coordsize="21600,21600">
              <v:path/>
              <v:fill on="f" focussize="0,0"/>
              <v:stroke on="f"/>
              <v:imagedata r:id="rId75" o:title=""/>
              <o:lock v:ext="edit" aspectratio="t"/>
            </v:shape>
            <v:shape id="_x0000_s1355" o:spid="_x0000_s1355" style="position:absolute;left:4202;top:2689;height:688;width:675;" filled="f" stroked="t" coordorigin="4202,2689" coordsize="675,688" path="m4876,3033l4867,3112,4842,3185,4802,3248,4750,3302,4688,3342,4617,3368,4539,3377,4462,3368,4391,3342,4329,3302,4276,3248,4237,3185,4211,3112,4202,3033,4211,2954,4237,2882,4276,2818,4329,2765,4391,2724,4462,2698,4539,2689,4617,2698,4688,2724,4750,2765,4802,2818,4842,2882,4867,2954,4876,3033e">
              <v:path arrowok="t"/>
              <v:fill on="f" focussize="0,0"/>
              <v:stroke weight="0.688031496062992pt" color="#636363"/>
              <v:imagedata o:title=""/>
              <o:lock v:ext="edit"/>
            </v:shape>
            <v:shape id="_x0000_s1356" o:spid="_x0000_s1356" style="position:absolute;left:5853;top:2510;height:1046;width:1032;" fillcolor="#00FF00" filled="t" stroked="f" coordorigin="5853,2511" coordsize="1032,1046" path="m6369,3556l6293,3550,6220,3534,6151,3507,6088,3472,6030,3428,5980,3376,5936,3318,5901,3254,5875,3184,5859,3111,5853,3033,5859,2956,5875,2882,5901,2813,5936,2749,5980,2690,6030,2639,6088,2595,6151,2559,6220,2533,6293,2516,6369,2511,6445,2516,6518,2533,6586,2559,6650,2595,6707,2639,6758,2690,6802,2749,6837,2813,6863,2882,6879,2956,6885,3033,6879,3111,6863,3184,6837,3254,6802,3318,6758,3376,6707,3428,6650,3472,6586,3507,6518,3534,6445,3550,6369,3556xe">
              <v:path arrowok="t"/>
              <v:fill on="t" focussize="0,0"/>
              <v:stroke on="f"/>
              <v:imagedata o:title=""/>
              <o:lock v:ext="edit"/>
            </v:shape>
            <v:shape id="_x0000_s1357" o:spid="_x0000_s1357" style="position:absolute;left:5853;top:2510;height:1046;width:1032;" filled="f" stroked="t" coordorigin="5853,2511" coordsize="1032,1046" path="m6885,3033l6879,3111,6863,3184,6837,3254,6802,3318,6758,3376,6707,3428,6650,3472,6586,3507,6518,3534,6445,3550,6369,3556,6293,3550,6220,3534,6151,3507,6088,3472,6030,3428,5980,3376,5936,3318,5901,3254,5875,3184,5859,3111,5853,3033,5859,2956,5875,2882,5901,2813,5936,2749,5980,2690,6030,2639,6088,2595,6151,2559,6220,2533,6293,2516,6369,2511,6445,2516,6518,2533,6586,2559,6650,2595,6707,2639,6758,2690,6802,2749,6837,2813,6863,2882,6879,2956,6885,3033e">
              <v:path arrowok="t"/>
              <v:fill on="f" focussize="0,0"/>
              <v:stroke weight="0.688031496062992pt" color="#636363"/>
              <v:imagedata o:title=""/>
              <o:lock v:ext="edit"/>
            </v:shape>
            <v:shape id="_x0000_s1358" o:spid="_x0000_s1358" o:spt="75" type="#_x0000_t75" style="position:absolute;left:6162;top:2682;height:675;width:468;" filled="f" stroked="f" coordsize="21600,21600">
              <v:path/>
              <v:fill on="f" focussize="0,0"/>
              <v:stroke on="f"/>
              <v:imagedata r:id="rId76" o:title=""/>
              <o:lock v:ext="edit" aspectratio="t"/>
            </v:shape>
            <v:line id="_x0000_s1359" o:spid="_x0000_s1359" o:spt="20" style="position:absolute;left:6376;top:2511;height:1059;width:0;" stroked="t" coordsize="21600,21600">
              <v:path arrowok="t"/>
              <v:fill focussize="0,0"/>
              <v:stroke weight="0.688031496062992pt" color="#636363"/>
              <v:imagedata o:title=""/>
              <o:lock v:ext="edit"/>
            </v:line>
            <v:line id="_x0000_s1360" o:spid="_x0000_s1360" o:spt="20" style="position:absolute;left:6169;top:2552;flip:x;height:977;width:413;" stroked="t" coordsize="21600,21600">
              <v:path arrowok="t"/>
              <v:fill focussize="0,0"/>
              <v:stroke weight="0.688031496062992pt" color="#636363"/>
              <v:imagedata o:title=""/>
              <o:lock v:ext="edit"/>
            </v:line>
            <v:line id="_x0000_s1361" o:spid="_x0000_s1361" o:spt="20" style="position:absolute;left:6004;top:2662;flip:x;height:757;width:743;" stroked="t" coordsize="21600,21600">
              <v:path arrowok="t"/>
              <v:fill focussize="0,0"/>
              <v:stroke weight="0.688031496062992pt" color="#636363"/>
              <v:imagedata o:title=""/>
              <o:lock v:ext="edit"/>
            </v:line>
            <v:line id="_x0000_s1362" o:spid="_x0000_s1362" o:spt="20" style="position:absolute;left:5894;top:2841;flip:x;height:399;width:963;" stroked="t" coordsize="21600,21600">
              <v:path arrowok="t"/>
              <v:fill focussize="0,0"/>
              <v:stroke weight="0.688031496062992pt" color="#636363"/>
              <v:imagedata o:title=""/>
              <o:lock v:ext="edit"/>
            </v:line>
            <v:line id="_x0000_s1363" o:spid="_x0000_s1363" o:spt="20" style="position:absolute;left:5853;top:3033;flip:x;height:0;width:1045;" stroked="t" coordsize="21600,21600">
              <v:path arrowok="t"/>
              <v:fill focussize="0,0"/>
              <v:stroke weight="0.688031496062992pt" color="#636363"/>
              <v:imagedata o:title=""/>
              <o:lock v:ext="edit"/>
            </v:line>
            <v:line id="_x0000_s1364" o:spid="_x0000_s1364" o:spt="20" style="position:absolute;left:5894;top:2841;flip:x y;height:399;width:963;" stroked="t" coordsize="21600,21600">
              <v:path arrowok="t"/>
              <v:fill focussize="0,0"/>
              <v:stroke weight="0.688031496062992pt" color="#636363"/>
              <v:imagedata o:title=""/>
              <o:lock v:ext="edit"/>
            </v:line>
            <v:line id="_x0000_s1365" o:spid="_x0000_s1365" o:spt="20" style="position:absolute;left:6004;top:2662;flip:x y;height:757;width:743;" stroked="t" coordsize="21600,21600">
              <v:path arrowok="t"/>
              <v:fill focussize="0,0"/>
              <v:stroke weight="0.688031496062992pt" color="#636363"/>
              <v:imagedata o:title=""/>
              <o:lock v:ext="edit"/>
            </v:line>
            <v:line id="_x0000_s1366" o:spid="_x0000_s1366" o:spt="20" style="position:absolute;left:6169;top:2552;flip:x y;height:977;width:413;" stroked="t" coordsize="21600,21600">
              <v:path arrowok="t"/>
              <v:fill focussize="0,0"/>
              <v:stroke weight="0.688031496062992pt" color="#636363"/>
              <v:imagedata o:title=""/>
              <o:lock v:ext="edit"/>
            </v:line>
            <v:shape id="_x0000_s1367" o:spid="_x0000_s1367" o:spt="75" type="#_x0000_t75" style="position:absolute;left:6190;top:2861;height:344;width:358;" filled="f" stroked="f" coordsize="21600,21600">
              <v:path/>
              <v:fill on="f" focussize="0,0"/>
              <v:stroke on="f"/>
              <v:imagedata r:id="rId75" o:title=""/>
              <o:lock v:ext="edit" aspectratio="t"/>
            </v:shape>
            <v:shape id="_x0000_s1368" o:spid="_x0000_s1368" style="position:absolute;left:6031;top:2689;height:688;width:675;" filled="f" stroked="t" coordorigin="6032,2689" coordsize="675,688" path="m6706,3033l6697,3112,6672,3185,6632,3248,6580,3302,6517,3342,6446,3368,6369,3377,6292,3368,6221,3342,6158,3302,6106,3248,6066,3185,6041,3112,6032,3033,6041,2954,6066,2882,6106,2818,6158,2765,6221,2724,6292,2698,6369,2689,6446,2698,6517,2724,6580,2765,6632,2818,6672,2882,6697,2954,6706,3033e">
              <v:path arrowok="t"/>
              <v:fill on="f" focussize="0,0"/>
              <v:stroke weight="0.688031496062992pt" color="#636363"/>
              <v:imagedata o:title=""/>
              <o:lock v:ext="edit"/>
            </v:shape>
            <v:shape id="_x0000_s1369" o:spid="_x0000_s1369" style="position:absolute;left:392;top:4587;height:1046;width:1032;" fillcolor="#00FF00" filled="t" stroked="f" coordorigin="392,4588" coordsize="1032,1046" path="m908,5633l832,5628,759,5611,690,5585,627,5549,569,5505,519,5454,475,5395,440,5331,414,5262,398,5188,392,5111,398,5033,414,4960,440,4890,475,4826,519,4768,569,4716,627,4672,690,4636,759,4610,832,4593,908,4588,984,4593,1057,4610,1125,4636,1189,4672,1246,4716,1297,4768,1341,4826,1376,4890,1402,4960,1418,5033,1424,5111,1418,5188,1402,5262,1376,5331,1341,5395,1297,5454,1246,5505,1189,5549,1125,5585,1057,5611,984,5628,908,5633xe">
              <v:path arrowok="t"/>
              <v:fill on="t" focussize="0,0"/>
              <v:stroke on="f"/>
              <v:imagedata o:title=""/>
              <o:lock v:ext="edit"/>
            </v:shape>
            <v:shape id="_x0000_s1370" o:spid="_x0000_s1370" style="position:absolute;left:392;top:4587;height:1046;width:1032;" filled="f" stroked="t" coordorigin="392,4588" coordsize="1032,1046" path="m1424,5111l1418,5188,1402,5262,1376,5331,1341,5395,1297,5454,1246,5505,1189,5549,1125,5585,1057,5611,984,5628,908,5633,832,5628,759,5611,690,5585,627,5549,569,5505,519,5454,475,5395,440,5331,414,5262,398,5188,392,5111,398,5033,414,4960,440,4890,475,4826,519,4768,569,4716,627,4672,690,4636,759,4610,832,4593,908,4588,984,4593,1057,4610,1125,4636,1189,4672,1246,4716,1297,4768,1341,4826,1376,4890,1402,4960,1418,5033,1424,5111e">
              <v:path arrowok="t"/>
              <v:fill on="f" focussize="0,0"/>
              <v:stroke weight="0.688031496062992pt" color="#636363"/>
              <v:imagedata o:title=""/>
              <o:lock v:ext="edit"/>
            </v:shape>
            <v:shape id="_x0000_s1371" o:spid="_x0000_s1371" style="position:absolute;left:914;top:4670;height:454;width:111;" fillcolor="#F99595" filled="t" stroked="f" coordorigin="915,4670" coordsize="111,454" path="m915,5124l915,4670,1025,4863,915,5124xe">
              <v:path arrowok="t"/>
              <v:fill on="t" focussize="0,0"/>
              <v:stroke on="f"/>
              <v:imagedata o:title=""/>
              <o:lock v:ext="edit"/>
            </v:shape>
            <v:shape id="_x0000_s1372" o:spid="_x0000_s1372" style="position:absolute;left:914;top:4670;height:454;width:111;" filled="f" stroked="t" coordorigin="915,4670" coordsize="111,454" path="m915,5124l915,4670,1025,4863,915,5124e">
              <v:path arrowok="t"/>
              <v:fill on="f" focussize="0,0"/>
              <v:stroke weight="0.688031496062992pt" color="#000000"/>
              <v:imagedata o:title=""/>
              <o:lock v:ext="edit"/>
            </v:shape>
            <v:shape id="_x0000_s1373" o:spid="_x0000_s1373" o:spt="75" type="#_x0000_t75" style="position:absolute;left:660;top:4856;height:441;width:427;" filled="f" stroked="f" coordsize="21600,21600">
              <v:path/>
              <v:fill on="f" focussize="0,0"/>
              <v:stroke on="f"/>
              <v:imagedata r:id="rId77" o:title=""/>
              <o:lock v:ext="edit" aspectratio="t"/>
            </v:shape>
            <v:shape id="_x0000_s1374" o:spid="_x0000_s1374" style="position:absolute;left:667;top:4670;height:454;width:248;" fillcolor="#F99595" filled="t" stroked="f" coordorigin="667,4670" coordsize="248,454" path="m915,5124l667,4877,736,4670,915,5124xe">
              <v:path arrowok="t"/>
              <v:fill on="t" focussize="0,0"/>
              <v:stroke on="f"/>
              <v:imagedata o:title=""/>
              <o:lock v:ext="edit"/>
            </v:shape>
            <v:shape id="_x0000_s1375" o:spid="_x0000_s1375" style="position:absolute;left:667;top:4670;height:454;width:248;" filled="f" stroked="t" coordorigin="667,4670" coordsize="248,454" path="m915,5124l667,4877,736,4670,915,5124e">
              <v:path arrowok="t"/>
              <v:fill on="f" focussize="0,0"/>
              <v:stroke weight="0.688031496062992pt" color="#000000"/>
              <v:imagedata o:title=""/>
              <o:lock v:ext="edit"/>
            </v:shape>
            <v:shape id="_x0000_s1376" o:spid="_x0000_s1376" style="position:absolute;left:735;top:4670;height:454;width:179;" fillcolor="#C7C7C7" filled="t" stroked="f" coordorigin="736,4670" coordsize="179,454" path="m915,5124l736,4670,915,4670,915,5124xe">
              <v:path arrowok="t"/>
              <v:fill on="t" focussize="0,0"/>
              <v:stroke on="f"/>
              <v:imagedata o:title=""/>
              <o:lock v:ext="edit"/>
            </v:shape>
            <v:shape id="_x0000_s1377" o:spid="_x0000_s1377" style="position:absolute;left:735;top:4670;height:454;width:179;" filled="f" stroked="t" coordorigin="736,4670" coordsize="179,454" path="m915,5124l736,4670,915,4670,915,5124e">
              <v:path arrowok="t"/>
              <v:fill on="f" focussize="0,0"/>
              <v:stroke weight="0.688031496062992pt" color="#000000"/>
              <v:imagedata o:title=""/>
              <o:lock v:ext="edit"/>
            </v:shape>
            <v:line id="_x0000_s1378" o:spid="_x0000_s1378" o:spt="20" style="position:absolute;left:915;top:4588;height:1059;width:0;" stroked="t" coordsize="21600,21600">
              <v:path arrowok="t"/>
              <v:fill focussize="0,0"/>
              <v:stroke weight="0.688031496062992pt" color="#636363"/>
              <v:imagedata o:title=""/>
              <o:lock v:ext="edit"/>
            </v:line>
            <v:line id="_x0000_s1379" o:spid="_x0000_s1379" o:spt="20" style="position:absolute;left:708;top:4629;flip:x;height:977;width:413;" stroked="t" coordsize="21600,21600">
              <v:path arrowok="t"/>
              <v:fill focussize="0,0"/>
              <v:stroke weight="0.688031496062992pt" color="#636363"/>
              <v:imagedata o:title=""/>
              <o:lock v:ext="edit"/>
            </v:line>
            <v:line id="_x0000_s1380" o:spid="_x0000_s1380" o:spt="20" style="position:absolute;left:543;top:4739;flip:x;height:757;width:743;" stroked="t" coordsize="21600,21600">
              <v:path arrowok="t"/>
              <v:fill focussize="0,0"/>
              <v:stroke weight="0.688031496062992pt" color="#636363"/>
              <v:imagedata o:title=""/>
              <o:lock v:ext="edit"/>
            </v:line>
            <v:line id="_x0000_s1381" o:spid="_x0000_s1381" o:spt="20" style="position:absolute;left:433;top:4918;flip:x;height:399;width:963;" stroked="t" coordsize="21600,21600">
              <v:path arrowok="t"/>
              <v:fill focussize="0,0"/>
              <v:stroke weight="0.688031496062992pt" color="#636363"/>
              <v:imagedata o:title=""/>
              <o:lock v:ext="edit"/>
            </v:line>
            <v:line id="_x0000_s1382" o:spid="_x0000_s1382" o:spt="20" style="position:absolute;left:392;top:5124;flip:x;height:0;width:1045;" stroked="t" coordsize="21600,21600">
              <v:path arrowok="t"/>
              <v:fill focussize="0,0"/>
              <v:stroke weight="0.688031496062992pt" color="#636363"/>
              <v:imagedata o:title=""/>
              <o:lock v:ext="edit"/>
            </v:line>
            <v:line id="_x0000_s1383" o:spid="_x0000_s1383" o:spt="20" style="position:absolute;left:433;top:4918;flip:x y;height:399;width:963;" stroked="t" coordsize="21600,21600">
              <v:path arrowok="t"/>
              <v:fill focussize="0,0"/>
              <v:stroke weight="0.688031496062992pt" color="#636363"/>
              <v:imagedata o:title=""/>
              <o:lock v:ext="edit"/>
            </v:line>
            <v:line id="_x0000_s1384" o:spid="_x0000_s1384" o:spt="20" style="position:absolute;left:543;top:4739;flip:x y;height:757;width:743;" stroked="t" coordsize="21600,21600">
              <v:path arrowok="t"/>
              <v:fill focussize="0,0"/>
              <v:stroke weight="0.688031496062992pt" color="#636363"/>
              <v:imagedata o:title=""/>
              <o:lock v:ext="edit"/>
            </v:line>
            <v:line id="_x0000_s1385" o:spid="_x0000_s1385" o:spt="20" style="position:absolute;left:708;top:4629;flip:x y;height:977;width:413;" stroked="t" coordsize="21600,21600">
              <v:path arrowok="t"/>
              <v:fill focussize="0,0"/>
              <v:stroke weight="0.688031496062992pt" color="#636363"/>
              <v:imagedata o:title=""/>
              <o:lock v:ext="edit"/>
            </v:line>
            <v:shape id="_x0000_s1386" o:spid="_x0000_s1386" o:spt="75" type="#_x0000_t75" style="position:absolute;left:729;top:4938;height:344;width:358;" filled="f" stroked="f" coordsize="21600,21600">
              <v:path/>
              <v:fill on="f" focussize="0,0"/>
              <v:stroke on="f"/>
              <v:imagedata r:id="rId70" o:title=""/>
              <o:lock v:ext="edit" aspectratio="t"/>
            </v:shape>
            <v:shape id="_x0000_s1387" o:spid="_x0000_s1387" style="position:absolute;left:570;top:4766;height:688;width:675;" filled="f" stroked="t" coordorigin="571,4767" coordsize="675,688" path="m1245,5111l1236,5189,1211,5262,1171,5326,1119,5379,1056,5420,985,5445,908,5454,831,5445,760,5420,697,5379,645,5326,605,5262,580,5189,571,5111,580,5032,605,4959,645,4895,697,4842,760,4802,831,4776,908,4767,985,4776,1056,4802,1119,4842,1171,4895,1211,4959,1236,5032,1245,5111e">
              <v:path arrowok="t"/>
              <v:fill on="f" focussize="0,0"/>
              <v:stroke weight="0.688031496062992pt" color="#636363"/>
              <v:imagedata o:title=""/>
              <o:lock v:ext="edit"/>
            </v:shape>
            <v:shape id="_x0000_s1388" o:spid="_x0000_s1388" style="position:absolute;left:2207;top:4587;height:1046;width:1032;" fillcolor="#00FF00" filled="t" stroked="f" coordorigin="2208,4588" coordsize="1032,1046" path="m2724,5633l2647,5628,2575,5611,2506,5585,2443,5549,2385,5505,2334,5454,2291,5395,2256,5331,2230,5262,2213,5188,2208,5111,2213,5033,2230,4960,2256,4890,2291,4826,2334,4768,2385,4716,2443,4672,2506,4636,2575,4610,2647,4593,2724,4588,2800,4593,2873,4610,2941,4636,3004,4672,3062,4716,3113,4768,3156,4826,3192,4890,3218,4960,3234,5033,3239,5111,3234,5188,3218,5262,3192,5331,3156,5395,3113,5454,3062,5505,3004,5549,2941,5585,2873,5611,2800,5628,2724,5633xe">
              <v:path arrowok="t"/>
              <v:fill on="t" focussize="0,0"/>
              <v:stroke on="f"/>
              <v:imagedata o:title=""/>
              <o:lock v:ext="edit"/>
            </v:shape>
            <v:shape id="_x0000_s1389" o:spid="_x0000_s1389" style="position:absolute;left:2207;top:4587;height:1046;width:1032;" filled="f" stroked="t" coordorigin="2208,4588" coordsize="1032,1046" path="m3239,5111l3234,5188,3218,5262,3192,5331,3156,5395,3113,5454,3062,5505,3004,5549,2941,5585,2873,5611,2800,5628,2724,5633,2647,5628,2575,5611,2506,5585,2443,5549,2385,5505,2334,5454,2291,5395,2256,5331,2230,5262,2213,5188,2208,5111,2213,5033,2230,4960,2256,4890,2291,4826,2334,4768,2385,4716,2443,4672,2506,4636,2575,4610,2647,4593,2724,4588,2800,4593,2873,4610,2941,4636,3004,4672,3062,4716,3113,4768,3156,4826,3192,4890,3218,4960,3234,5033,3239,5111e">
              <v:path arrowok="t"/>
              <v:fill on="f" focussize="0,0"/>
              <v:stroke weight="0.688031496062992pt" color="#636363"/>
              <v:imagedata o:title=""/>
              <o:lock v:ext="edit"/>
            </v:shape>
            <v:shape id="_x0000_s1390" o:spid="_x0000_s1390" style="position:absolute;left:2730;top:4615;height:509;width:111;" fillcolor="#F99595" filled="t" stroked="f" coordorigin="2730,4615" coordsize="111,509" path="m2730,5124l2730,4615,2841,4849,2730,5124xe">
              <v:path arrowok="t"/>
              <v:fill on="t" focussize="0,0"/>
              <v:stroke on="f"/>
              <v:imagedata o:title=""/>
              <o:lock v:ext="edit"/>
            </v:shape>
            <v:shape id="_x0000_s1391" o:spid="_x0000_s1391" style="position:absolute;left:2730;top:4615;height:509;width:111;" filled="f" stroked="t" coordorigin="2730,4615" coordsize="111,509" path="m2730,5124l2730,4615,2841,4849,2730,5124e">
              <v:path arrowok="t"/>
              <v:fill on="f" focussize="0,0"/>
              <v:stroke weight="0.688031496062992pt" color="#000000"/>
              <v:imagedata o:title=""/>
              <o:lock v:ext="edit"/>
            </v:shape>
            <v:shape id="_x0000_s1392" o:spid="_x0000_s1392" o:spt="75" type="#_x0000_t75" style="position:absolute;left:2448;top:4842;height:427;width:427;" filled="f" stroked="f" coordsize="21600,21600">
              <v:path/>
              <v:fill on="f" focussize="0,0"/>
              <v:stroke on="f"/>
              <v:imagedata r:id="rId78" o:title=""/>
              <o:lock v:ext="edit" aspectratio="t"/>
            </v:shape>
            <v:shape id="_x0000_s1393" o:spid="_x0000_s1393" style="position:absolute;left:2455;top:4629;height:496;width:276;" fillcolor="#F99595" filled="t" stroked="f" coordorigin="2455,4629" coordsize="276,496" path="m2730,5124l2455,4849,2524,4629,2730,5124xe">
              <v:path arrowok="t"/>
              <v:fill on="t" focussize="0,0"/>
              <v:stroke on="f"/>
              <v:imagedata o:title=""/>
              <o:lock v:ext="edit"/>
            </v:shape>
            <v:shape id="_x0000_s1394" o:spid="_x0000_s1394" style="position:absolute;left:2455;top:4629;height:496;width:276;" filled="f" stroked="t" coordorigin="2455,4629" coordsize="276,496" path="m2730,5124l2455,4849,2524,4629,2730,5124e">
              <v:path arrowok="t"/>
              <v:fill on="f" focussize="0,0"/>
              <v:stroke weight="0.688031496062992pt" color="#000000"/>
              <v:imagedata o:title=""/>
              <o:lock v:ext="edit"/>
            </v:shape>
            <v:shape id="_x0000_s1395" o:spid="_x0000_s1395" style="position:absolute;left:2524;top:4615;height:509;width:207;" fillcolor="#C7C7C7" filled="t" stroked="f" coordorigin="2524,4615" coordsize="207,509" path="m2731,5124l2524,4629,2731,4615,2731,5124xe">
              <v:path arrowok="t"/>
              <v:fill on="t" focussize="0,0"/>
              <v:stroke on="f"/>
              <v:imagedata o:title=""/>
              <o:lock v:ext="edit"/>
            </v:shape>
            <v:shape id="_x0000_s1396" o:spid="_x0000_s1396" style="position:absolute;left:2524;top:4615;height:509;width:207;" filled="f" stroked="t" coordorigin="2524,4615" coordsize="207,509" path="m2731,5124l2524,4629,2731,4615,2731,5124e">
              <v:path arrowok="t"/>
              <v:fill on="f" focussize="0,0"/>
              <v:stroke weight="0.688031496062992pt" color="#000000"/>
              <v:imagedata o:title=""/>
              <o:lock v:ext="edit"/>
            </v:shape>
            <v:line id="_x0000_s1397" o:spid="_x0000_s1397" o:spt="20" style="position:absolute;left:2730;top:4588;height:1059;width:0;" stroked="t" coordsize="21600,21600">
              <v:path arrowok="t"/>
              <v:fill focussize="0,0"/>
              <v:stroke weight="0.688031496062992pt" color="#636363"/>
              <v:imagedata o:title=""/>
              <o:lock v:ext="edit"/>
            </v:line>
            <v:line id="_x0000_s1398" o:spid="_x0000_s1398" o:spt="20" style="position:absolute;left:2524;top:4629;flip:x;height:977;width:413;" stroked="t" coordsize="21600,21600">
              <v:path arrowok="t"/>
              <v:fill focussize="0,0"/>
              <v:stroke weight="0.688031496062992pt" color="#636363"/>
              <v:imagedata o:title=""/>
              <o:lock v:ext="edit"/>
            </v:line>
            <v:line id="_x0000_s1399" o:spid="_x0000_s1399" o:spt="20" style="position:absolute;left:2359;top:4739;flip:x;height:757;width:743;" stroked="t" coordsize="21600,21600">
              <v:path arrowok="t"/>
              <v:fill focussize="0,0"/>
              <v:stroke weight="0.688031496062992pt" color="#636363"/>
              <v:imagedata o:title=""/>
              <o:lock v:ext="edit"/>
            </v:line>
            <v:line id="_x0000_s1400" o:spid="_x0000_s1400" o:spt="20" style="position:absolute;left:2249;top:4918;flip:x;height:399;width:963;" stroked="t" coordsize="21600,21600">
              <v:path arrowok="t"/>
              <v:fill focussize="0,0"/>
              <v:stroke weight="0.688031496062992pt" color="#636363"/>
              <v:imagedata o:title=""/>
              <o:lock v:ext="edit"/>
            </v:line>
            <v:line id="_x0000_s1401" o:spid="_x0000_s1401" o:spt="20" style="position:absolute;left:2208;top:5124;flip:x;height:0;width:1045;" stroked="t" coordsize="21600,21600">
              <v:path arrowok="t"/>
              <v:fill focussize="0,0"/>
              <v:stroke weight="0.688031496062992pt" color="#636363"/>
              <v:imagedata o:title=""/>
              <o:lock v:ext="edit"/>
            </v:line>
            <v:line id="_x0000_s1402" o:spid="_x0000_s1402" o:spt="20" style="position:absolute;left:2249;top:4918;flip:x y;height:399;width:963;" stroked="t" coordsize="21600,21600">
              <v:path arrowok="t"/>
              <v:fill focussize="0,0"/>
              <v:stroke weight="0.688031496062992pt" color="#636363"/>
              <v:imagedata o:title=""/>
              <o:lock v:ext="edit"/>
            </v:line>
            <v:line id="_x0000_s1403" o:spid="_x0000_s1403" o:spt="20" style="position:absolute;left:2359;top:4739;flip:x y;height:757;width:743;" stroked="t" coordsize="21600,21600">
              <v:path arrowok="t"/>
              <v:fill focussize="0,0"/>
              <v:stroke weight="0.688031496062992pt" color="#636363"/>
              <v:imagedata o:title=""/>
              <o:lock v:ext="edit"/>
            </v:line>
            <v:line id="_x0000_s1404" o:spid="_x0000_s1404" o:spt="20" style="position:absolute;left:2524;top:4629;flip:x y;height:977;width:413;" stroked="t" coordsize="21600,21600">
              <v:path arrowok="t"/>
              <v:fill focussize="0,0"/>
              <v:stroke weight="0.688031496062992pt" color="#636363"/>
              <v:imagedata o:title=""/>
              <o:lock v:ext="edit"/>
            </v:line>
            <v:shape id="_x0000_s1405" o:spid="_x0000_s1405" o:spt="75" type="#_x0000_t75" style="position:absolute;left:2544;top:4938;height:344;width:358;" filled="f" stroked="f" coordsize="21600,21600">
              <v:path/>
              <v:fill on="f" focussize="0,0"/>
              <v:stroke on="f"/>
              <v:imagedata r:id="rId72" o:title=""/>
              <o:lock v:ext="edit" aspectratio="t"/>
            </v:shape>
            <v:shape id="_x0000_s1406" o:spid="_x0000_s1406" style="position:absolute;left:2386;top:4766;height:688;width:675;" filled="f" stroked="t" coordorigin="2387,4767" coordsize="675,688" path="m3061,5111l3052,5189,3026,5262,2987,5326,2934,5379,2872,5420,2801,5445,2724,5454,2646,5445,2575,5420,2513,5379,2461,5326,2421,5262,2396,5189,2387,5111,2396,5032,2421,4959,2461,4895,2513,4842,2575,4802,2646,4776,2724,4767,2801,4776,2872,4802,2934,4842,2987,4895,3026,4959,3052,5032,3061,5111e">
              <v:path arrowok="t"/>
              <v:fill on="f" focussize="0,0"/>
              <v:stroke weight="0.688031496062992pt" color="#636363"/>
              <v:imagedata o:title=""/>
              <o:lock v:ext="edit"/>
            </v:shape>
            <v:shape id="_x0000_s1407" o:spid="_x0000_s1407" style="position:absolute;left:4023;top:4587;height:1046;width:1032;" fillcolor="#00FF00" filled="t" stroked="f" coordorigin="4024,4588" coordsize="1032,1046" path="m4539,5633l4463,5628,4390,5611,4322,5585,4258,5549,4201,5505,4150,5454,4107,5395,4071,5331,4045,5262,4029,5188,4024,5111,4029,5033,4045,4960,4071,4890,4107,4826,4150,4768,4201,4716,4258,4672,4322,4636,4390,4610,4463,4593,4539,4588,4616,4593,4688,4610,4757,4636,4820,4672,4878,4716,4929,4768,4972,4826,5007,4890,5033,4960,5050,5033,5055,5111,5050,5188,5033,5262,5007,5331,4972,5395,4929,5454,4878,5505,4820,5549,4757,5585,4688,5611,4616,5628,4539,5633xe">
              <v:path arrowok="t"/>
              <v:fill on="t" focussize="0,0"/>
              <v:stroke on="f"/>
              <v:imagedata o:title=""/>
              <o:lock v:ext="edit"/>
            </v:shape>
            <v:shape id="_x0000_s1408" o:spid="_x0000_s1408" style="position:absolute;left:4023;top:4587;height:1046;width:1032;" filled="f" stroked="t" coordorigin="4024,4588" coordsize="1032,1046" path="m5055,5111l5050,5188,5033,5262,5007,5331,4972,5395,4929,5454,4878,5505,4820,5549,4757,5585,4688,5611,4616,5628,4539,5633,4463,5628,4390,5611,4322,5585,4258,5549,4201,5505,4150,5454,4107,5395,4071,5331,4045,5262,4029,5188,4024,5111,4029,5033,4045,4960,4071,4890,4107,4826,4150,4768,4201,4716,4258,4672,4322,4636,4390,4610,4463,4593,4539,4588,4616,4593,4688,4610,4757,4636,4820,4672,4878,4716,4929,4768,4972,4826,5007,4890,5033,4960,5050,5033,5055,5111e">
              <v:path arrowok="t"/>
              <v:fill on="f" focussize="0,0"/>
              <v:stroke weight="0.688031496062992pt" color="#636363"/>
              <v:imagedata o:title=""/>
              <o:lock v:ext="edit"/>
            </v:shape>
            <v:shape id="_x0000_s1409" o:spid="_x0000_s1409" style="position:absolute;left:4546;top:4670;height:454;width:97;" fillcolor="#F99595" filled="t" stroked="f" coordorigin="4546,4670" coordsize="97,454" path="m4546,5124l4546,4670,4643,4904,4546,5124xe">
              <v:path arrowok="t"/>
              <v:fill on="t" focussize="0,0"/>
              <v:stroke on="f"/>
              <v:imagedata o:title=""/>
              <o:lock v:ext="edit"/>
            </v:shape>
            <v:shape id="_x0000_s1410" o:spid="_x0000_s1410" style="position:absolute;left:4546;top:4670;height:454;width:97;" filled="f" stroked="t" coordorigin="4546,4670" coordsize="97,454" path="m4546,5124l4546,4670,4643,4904,4546,5124e">
              <v:path arrowok="t"/>
              <v:fill on="f" focussize="0,0"/>
              <v:stroke weight="0.688031496062992pt" color="#000000"/>
              <v:imagedata o:title=""/>
              <o:lock v:ext="edit"/>
            </v:shape>
            <v:shape id="_x0000_s1411" o:spid="_x0000_s1411" o:spt="75" type="#_x0000_t75" style="position:absolute;left:4291;top:4856;height:454;width:454;" filled="f" stroked="f" coordsize="21600,21600">
              <v:path/>
              <v:fill on="f" focussize="0,0"/>
              <v:stroke on="f"/>
              <v:imagedata r:id="rId79" o:title=""/>
              <o:lock v:ext="edit" aspectratio="t"/>
            </v:shape>
            <v:shape id="_x0000_s1412" o:spid="_x0000_s1412" style="position:absolute;left:4298;top:4656;height:468;width:248;" fillcolor="#F99595" filled="t" stroked="f" coordorigin="4299,4657" coordsize="248,468" path="m4546,5124l4299,4863,4354,4657,4546,5124xe">
              <v:path arrowok="t"/>
              <v:fill on="t" focussize="0,0"/>
              <v:stroke on="f"/>
              <v:imagedata o:title=""/>
              <o:lock v:ext="edit"/>
            </v:shape>
            <v:shape id="_x0000_s1413" o:spid="_x0000_s1413" style="position:absolute;left:4298;top:4656;height:468;width:248;" filled="f" stroked="t" coordorigin="4299,4657" coordsize="248,468" path="m4546,5124l4299,4863,4354,4657,4546,5124e">
              <v:path arrowok="t"/>
              <v:fill on="f" focussize="0,0"/>
              <v:stroke weight="0.688031496062992pt" color="#000000"/>
              <v:imagedata o:title=""/>
              <o:lock v:ext="edit"/>
            </v:shape>
            <v:shape id="_x0000_s1414" o:spid="_x0000_s1414" style="position:absolute;left:4353;top:4656;height:468;width:193;" fillcolor="#C7C7C7" filled="t" stroked="f" coordorigin="4354,4657" coordsize="193,468" path="m4546,5124l4354,4657,4546,4670,4546,5124xe">
              <v:path arrowok="t"/>
              <v:fill on="t" focussize="0,0"/>
              <v:stroke on="f"/>
              <v:imagedata o:title=""/>
              <o:lock v:ext="edit"/>
            </v:shape>
            <v:shape id="_x0000_s1415" o:spid="_x0000_s1415" style="position:absolute;left:4353;top:4656;height:468;width:193;" filled="f" stroked="t" coordorigin="4354,4657" coordsize="193,468" path="m4546,5124l4354,4657,4546,4670,4546,5124e">
              <v:path arrowok="t"/>
              <v:fill on="f" focussize="0,0"/>
              <v:stroke weight="0.688031496062992pt" color="#000000"/>
              <v:imagedata o:title=""/>
              <o:lock v:ext="edit"/>
            </v:shape>
            <v:line id="_x0000_s1416" o:spid="_x0000_s1416" o:spt="20" style="position:absolute;left:4546;top:4588;height:1059;width:0;" stroked="t" coordsize="21600,21600">
              <v:path arrowok="t"/>
              <v:fill focussize="0,0"/>
              <v:stroke weight="0.688031496062992pt" color="#636363"/>
              <v:imagedata o:title=""/>
              <o:lock v:ext="edit"/>
            </v:line>
            <v:line id="_x0000_s1417" o:spid="_x0000_s1417" o:spt="20" style="position:absolute;left:4340;top:4629;flip:x;height:977;width:413;" stroked="t" coordsize="21600,21600">
              <v:path arrowok="t"/>
              <v:fill focussize="0,0"/>
              <v:stroke weight="0.688031496062992pt" color="#636363"/>
              <v:imagedata o:title=""/>
              <o:lock v:ext="edit"/>
            </v:line>
            <v:line id="_x0000_s1418" o:spid="_x0000_s1418" o:spt="20" style="position:absolute;left:4175;top:4739;flip:x;height:757;width:743;" stroked="t" coordsize="21600,21600">
              <v:path arrowok="t"/>
              <v:fill focussize="0,0"/>
              <v:stroke weight="0.688031496062992pt" color="#636363"/>
              <v:imagedata o:title=""/>
              <o:lock v:ext="edit"/>
            </v:line>
            <v:line id="_x0000_s1419" o:spid="_x0000_s1419" o:spt="20" style="position:absolute;left:4065;top:4918;flip:x;height:399;width:963;" stroked="t" coordsize="21600,21600">
              <v:path arrowok="t"/>
              <v:fill focussize="0,0"/>
              <v:stroke weight="0.688031496062992pt" color="#636363"/>
              <v:imagedata o:title=""/>
              <o:lock v:ext="edit"/>
            </v:line>
            <v:line id="_x0000_s1420" o:spid="_x0000_s1420" o:spt="20" style="position:absolute;left:4024;top:5124;flip:x;height:0;width:1045;" stroked="t" coordsize="21600,21600">
              <v:path arrowok="t"/>
              <v:fill focussize="0,0"/>
              <v:stroke weight="0.688031496062992pt" color="#636363"/>
              <v:imagedata o:title=""/>
              <o:lock v:ext="edit"/>
            </v:line>
            <v:line id="_x0000_s1421" o:spid="_x0000_s1421" o:spt="20" style="position:absolute;left:4065;top:4918;flip:x y;height:399;width:963;" stroked="t" coordsize="21600,21600">
              <v:path arrowok="t"/>
              <v:fill focussize="0,0"/>
              <v:stroke weight="0.688031496062992pt" color="#636363"/>
              <v:imagedata o:title=""/>
              <o:lock v:ext="edit"/>
            </v:line>
            <v:line id="_x0000_s1422" o:spid="_x0000_s1422" o:spt="20" style="position:absolute;left:4175;top:4739;flip:x y;height:757;width:743;" stroked="t" coordsize="21600,21600">
              <v:path arrowok="t"/>
              <v:fill focussize="0,0"/>
              <v:stroke weight="0.688031496062992pt" color="#636363"/>
              <v:imagedata o:title=""/>
              <o:lock v:ext="edit"/>
            </v:line>
            <v:line id="_x0000_s1423" o:spid="_x0000_s1423" o:spt="20" style="position:absolute;left:4340;top:4629;flip:x y;height:977;width:413;" stroked="t" coordsize="21600,21600">
              <v:path arrowok="t"/>
              <v:fill focussize="0,0"/>
              <v:stroke weight="0.688031496062992pt" color="#636363"/>
              <v:imagedata o:title=""/>
              <o:lock v:ext="edit"/>
            </v:line>
            <v:shape id="_x0000_s1424" o:spid="_x0000_s1424" o:spt="75" type="#_x0000_t75" style="position:absolute;left:4360;top:4938;height:344;width:358;" filled="f" stroked="f" coordsize="21600,21600">
              <v:path/>
              <v:fill on="f" focussize="0,0"/>
              <v:stroke on="f"/>
              <v:imagedata r:id="rId75" o:title=""/>
              <o:lock v:ext="edit" aspectratio="t"/>
            </v:shape>
            <v:shape id="_x0000_s1425" o:spid="_x0000_s1425" style="position:absolute;left:4202;top:4766;height:688;width:675;" filled="f" stroked="t" coordorigin="4202,4767" coordsize="675,688" path="m4876,5111l4867,5189,4842,5262,4802,5326,4750,5379,4688,5420,4617,5445,4539,5454,4462,5445,4391,5420,4329,5379,4276,5326,4237,5262,4211,5189,4202,5111,4211,5032,4237,4959,4276,4895,4329,4842,4391,4802,4462,4776,4539,4767,4617,4776,4688,4802,4750,4842,4802,4895,4842,4959,4867,5032,4876,5111e">
              <v:path arrowok="t"/>
              <v:fill on="f" focussize="0,0"/>
              <v:stroke weight="0.688031496062992pt" color="#636363"/>
              <v:imagedata o:title=""/>
              <o:lock v:ext="edit"/>
            </v:shape>
            <v:shape id="_x0000_s1426" o:spid="_x0000_s1426" style="position:absolute;left:5853;top:4587;height:1046;width:1032;" fillcolor="#00FF00" filled="t" stroked="f" coordorigin="5853,4588" coordsize="1032,1046" path="m6369,5633l6293,5628,6220,5611,6151,5585,6088,5549,6030,5505,5980,5454,5936,5395,5901,5331,5875,5262,5859,5188,5853,5111,5859,5033,5875,4960,5901,4890,5936,4826,5980,4768,6030,4716,6088,4672,6151,4636,6220,4610,6293,4593,6369,4588,6445,4593,6518,4610,6586,4636,6650,4672,6707,4716,6758,4768,6802,4826,6837,4890,6863,4960,6879,5033,6885,5111,6879,5188,6863,5262,6837,5331,6802,5395,6758,5454,6707,5505,6650,5549,6586,5585,6518,5611,6445,5628,6369,5633xe">
              <v:path arrowok="t"/>
              <v:fill on="t" focussize="0,0"/>
              <v:stroke on="f"/>
              <v:imagedata o:title=""/>
              <o:lock v:ext="edit"/>
            </v:shape>
            <v:shape id="_x0000_s1427" o:spid="_x0000_s1427" style="position:absolute;left:5853;top:4587;height:1046;width:1032;" filled="f" stroked="t" coordorigin="5853,4588" coordsize="1032,1046" path="m6885,5111l6879,5188,6863,5262,6837,5331,6802,5395,6758,5454,6707,5505,6650,5549,6586,5585,6518,5611,6445,5628,6369,5633,6293,5628,6220,5611,6151,5585,6088,5549,6030,5505,5980,5454,5936,5395,5901,5331,5875,5262,5859,5188,5853,5111,5859,5033,5875,4960,5901,4890,5936,4826,5980,4768,6030,4716,6088,4672,6151,4636,6220,4610,6293,4593,6369,4588,6445,4593,6518,4610,6586,4636,6650,4672,6707,4716,6758,4768,6802,4826,6837,4890,6863,4960,6879,5033,6885,5111e">
              <v:path arrowok="t"/>
              <v:fill on="f" focussize="0,0"/>
              <v:stroke weight="0.688031496062992pt" color="#636363"/>
              <v:imagedata o:title=""/>
              <o:lock v:ext="edit"/>
            </v:shape>
            <v:shape id="_x0000_s1428" o:spid="_x0000_s1428" style="position:absolute;left:6375;top:4670;height:454;width:97;" fillcolor="#F99595" filled="t" stroked="f" coordorigin="6376,4670" coordsize="97,454" path="m6376,5124l6376,4670,6472,4890,6376,5124xe">
              <v:path arrowok="t"/>
              <v:fill on="t" focussize="0,0"/>
              <v:stroke on="f"/>
              <v:imagedata o:title=""/>
              <o:lock v:ext="edit"/>
            </v:shape>
            <v:shape id="_x0000_s1429" o:spid="_x0000_s1429" style="position:absolute;left:6375;top:4670;height:454;width:97;" filled="f" stroked="t" coordorigin="6376,4670" coordsize="97,454" path="m6376,5124l6376,4670,6472,4890,6376,5124e">
              <v:path arrowok="t"/>
              <v:fill on="f" focussize="0,0"/>
              <v:stroke weight="0.688031496062992pt" color="#000000"/>
              <v:imagedata o:title=""/>
              <o:lock v:ext="edit"/>
            </v:shape>
            <v:shape id="_x0000_s1430" o:spid="_x0000_s1430" o:spt="75" type="#_x0000_t75" style="position:absolute;left:6121;top:4856;height:441;width:454;" filled="f" stroked="f" coordsize="21600,21600">
              <v:path/>
              <v:fill on="f" focussize="0,0"/>
              <v:stroke on="f"/>
              <v:imagedata r:id="rId80" o:title=""/>
              <o:lock v:ext="edit" aspectratio="t"/>
            </v:shape>
            <v:shape id="_x0000_s1431" o:spid="_x0000_s1431" style="position:absolute;left:6128;top:4629;height:496;width:248;" fillcolor="#F99595" filled="t" stroked="f" coordorigin="6128,4629" coordsize="248,496" path="m6376,5124l6128,4863,6169,4629,6376,5124xe">
              <v:path arrowok="t"/>
              <v:fill on="t" focussize="0,0"/>
              <v:stroke on="f"/>
              <v:imagedata o:title=""/>
              <o:lock v:ext="edit"/>
            </v:shape>
            <v:shape id="_x0000_s1432" o:spid="_x0000_s1432" style="position:absolute;left:6128;top:4629;height:496;width:248;" filled="f" stroked="t" coordorigin="6128,4629" coordsize="248,496" path="m6376,5124l6128,4863,6169,4629,6376,5124e">
              <v:path arrowok="t"/>
              <v:fill on="f" focussize="0,0"/>
              <v:stroke weight="0.688031496062992pt" color="#000000"/>
              <v:imagedata o:title=""/>
              <o:lock v:ext="edit"/>
            </v:shape>
            <v:shape id="_x0000_s1433" o:spid="_x0000_s1433" style="position:absolute;left:6169;top:4629;height:496;width:207;" fillcolor="#C7C7C7" filled="t" stroked="f" coordorigin="6169,4629" coordsize="207,496" path="m6376,5124l6169,4629,6376,4670,6376,5124xe">
              <v:path arrowok="t"/>
              <v:fill on="t" focussize="0,0"/>
              <v:stroke on="f"/>
              <v:imagedata o:title=""/>
              <o:lock v:ext="edit"/>
            </v:shape>
            <v:shape id="_x0000_s1434" o:spid="_x0000_s1434" style="position:absolute;left:6169;top:4629;height:496;width:207;" filled="f" stroked="t" coordorigin="6169,4629" coordsize="207,496" path="m6376,5124l6169,4629,6376,4670,6376,5124e">
              <v:path arrowok="t"/>
              <v:fill on="f" focussize="0,0"/>
              <v:stroke weight="0.688031496062992pt" color="#000000"/>
              <v:imagedata o:title=""/>
              <o:lock v:ext="edit"/>
            </v:shape>
            <v:line id="_x0000_s1435" o:spid="_x0000_s1435" o:spt="20" style="position:absolute;left:6376;top:4588;height:1059;width:0;" stroked="t" coordsize="21600,21600">
              <v:path arrowok="t"/>
              <v:fill focussize="0,0"/>
              <v:stroke weight="0.688031496062992pt" color="#636363"/>
              <v:imagedata o:title=""/>
              <o:lock v:ext="edit"/>
            </v:line>
            <v:line id="_x0000_s1436" o:spid="_x0000_s1436" o:spt="20" style="position:absolute;left:6169;top:4629;flip:x;height:977;width:413;" stroked="t" coordsize="21600,21600">
              <v:path arrowok="t"/>
              <v:fill focussize="0,0"/>
              <v:stroke weight="0.688031496062992pt" color="#636363"/>
              <v:imagedata o:title=""/>
              <o:lock v:ext="edit"/>
            </v:line>
            <v:line id="_x0000_s1437" o:spid="_x0000_s1437" o:spt="20" style="position:absolute;left:6004;top:4739;flip:x;height:757;width:743;" stroked="t" coordsize="21600,21600">
              <v:path arrowok="t"/>
              <v:fill focussize="0,0"/>
              <v:stroke weight="0.688031496062992pt" color="#636363"/>
              <v:imagedata o:title=""/>
              <o:lock v:ext="edit"/>
            </v:line>
            <v:line id="_x0000_s1438" o:spid="_x0000_s1438" o:spt="20" style="position:absolute;left:5894;top:4918;flip:x;height:399;width:963;" stroked="t" coordsize="21600,21600">
              <v:path arrowok="t"/>
              <v:fill focussize="0,0"/>
              <v:stroke weight="0.688031496062992pt" color="#636363"/>
              <v:imagedata o:title=""/>
              <o:lock v:ext="edit"/>
            </v:line>
            <v:line id="_x0000_s1439" o:spid="_x0000_s1439" o:spt="20" style="position:absolute;left:5853;top:5124;flip:x;height:0;width:1045;" stroked="t" coordsize="21600,21600">
              <v:path arrowok="t"/>
              <v:fill focussize="0,0"/>
              <v:stroke weight="0.688031496062992pt" color="#636363"/>
              <v:imagedata o:title=""/>
              <o:lock v:ext="edit"/>
            </v:line>
            <v:line id="_x0000_s1440" o:spid="_x0000_s1440" o:spt="20" style="position:absolute;left:5894;top:4918;flip:x y;height:399;width:963;" stroked="t" coordsize="21600,21600">
              <v:path arrowok="t"/>
              <v:fill focussize="0,0"/>
              <v:stroke weight="0.688031496062992pt" color="#636363"/>
              <v:imagedata o:title=""/>
              <o:lock v:ext="edit"/>
            </v:line>
            <v:line id="_x0000_s1441" o:spid="_x0000_s1441" o:spt="20" style="position:absolute;left:6004;top:4739;flip:x y;height:757;width:743;" stroked="t" coordsize="21600,21600">
              <v:path arrowok="t"/>
              <v:fill focussize="0,0"/>
              <v:stroke weight="0.688031496062992pt" color="#636363"/>
              <v:imagedata o:title=""/>
              <o:lock v:ext="edit"/>
            </v:line>
            <v:line id="_x0000_s1442" o:spid="_x0000_s1442" o:spt="20" style="position:absolute;left:6169;top:4629;flip:x y;height:977;width:413;" stroked="t" coordsize="21600,21600">
              <v:path arrowok="t"/>
              <v:fill focussize="0,0"/>
              <v:stroke weight="0.688031496062992pt" color="#636363"/>
              <v:imagedata o:title=""/>
              <o:lock v:ext="edit"/>
            </v:line>
            <v:shape id="_x0000_s1443" o:spid="_x0000_s1443" o:spt="75" type="#_x0000_t75" style="position:absolute;left:6190;top:4938;height:344;width:358;" filled="f" stroked="f" coordsize="21600,21600">
              <v:path/>
              <v:fill on="f" focussize="0,0"/>
              <v:stroke on="f"/>
              <v:imagedata r:id="rId75" o:title=""/>
              <o:lock v:ext="edit" aspectratio="t"/>
            </v:shape>
            <v:shape id="_x0000_s1444" o:spid="_x0000_s1444" style="position:absolute;left:6031;top:4766;height:688;width:675;" filled="f" stroked="t" coordorigin="6032,4767" coordsize="675,688" path="m6706,5111l6697,5189,6672,5262,6632,5326,6580,5379,6517,5420,6446,5445,6369,5454,6292,5445,6221,5420,6158,5379,6106,5326,6066,5262,6041,5189,6032,5111,6041,5032,6066,4959,6106,4895,6158,4842,6221,4802,6292,4776,6369,4767,6446,4776,6517,4802,6580,4842,6632,4895,6672,4959,6697,5032,6706,5111e">
              <v:path arrowok="t"/>
              <v:fill on="f" focussize="0,0"/>
              <v:stroke weight="0.688031496062992pt" color="#636363"/>
              <v:imagedata o:title=""/>
              <o:lock v:ext="edit"/>
            </v:shape>
            <v:shape id="_x0000_s1445" o:spid="_x0000_s1445" style="position:absolute;left:392;top:6678;height:1046;width:1032;" fillcolor="#00FF00" filled="t" stroked="f" coordorigin="392,6679" coordsize="1032,1046" path="m908,7724l832,7719,759,7702,690,7676,627,7640,569,7596,519,7545,475,7486,440,7422,414,7353,398,7279,392,7202,398,7124,414,7051,440,6981,475,6917,519,6859,569,6807,627,6763,690,6727,759,6701,832,6684,908,6679,984,6684,1057,6701,1125,6727,1189,6763,1246,6807,1297,6859,1341,6917,1376,6981,1402,7051,1418,7124,1424,7202,1418,7279,1402,7353,1376,7422,1341,7486,1297,7545,1246,7596,1189,7640,1125,7676,1057,7702,984,7719,908,7724xe">
              <v:path arrowok="t"/>
              <v:fill on="t" focussize="0,0"/>
              <v:stroke on="f"/>
              <v:imagedata o:title=""/>
              <o:lock v:ext="edit"/>
            </v:shape>
            <v:shape id="_x0000_s1446" o:spid="_x0000_s1446" style="position:absolute;left:392;top:6678;height:1046;width:1032;" filled="f" stroked="t" coordorigin="392,6679" coordsize="1032,1046" path="m1424,7202l1418,7279,1402,7353,1376,7422,1341,7486,1297,7545,1246,7596,1189,7640,1125,7676,1057,7702,984,7719,908,7724,832,7719,759,7702,690,7676,627,7640,569,7596,519,7545,475,7486,440,7422,414,7353,398,7279,392,7202,398,7124,414,7051,440,6981,475,6917,519,6859,569,6807,627,6763,690,6727,759,6701,832,6684,908,6679,984,6684,1057,6701,1125,6727,1189,6763,1246,6807,1297,6859,1341,6917,1376,6981,1402,7051,1418,7124,1424,7202e">
              <v:path arrowok="t"/>
              <v:fill on="f" focussize="0,0"/>
              <v:stroke weight="0.688031496062992pt" color="#636363"/>
              <v:imagedata o:title=""/>
              <o:lock v:ext="edit"/>
            </v:shape>
            <v:shape id="_x0000_s1447" o:spid="_x0000_s1447" style="position:absolute;left:914;top:6802;height:413;width:83;" fillcolor="#F99595" filled="t" stroked="f" coordorigin="915,6803" coordsize="83,413" path="m915,7215l915,6803,997,7009,915,7215xe">
              <v:path arrowok="t"/>
              <v:fill on="t" focussize="0,0"/>
              <v:stroke on="f"/>
              <v:imagedata o:title=""/>
              <o:lock v:ext="edit"/>
            </v:shape>
            <v:shape id="_x0000_s1448" o:spid="_x0000_s1448" style="position:absolute;left:914;top:6802;height:413;width:83;" filled="f" stroked="t" coordorigin="915,6803" coordsize="83,413" path="m915,7215l915,6803,997,7009,915,7215e">
              <v:path arrowok="t"/>
              <v:fill on="f" focussize="0,0"/>
              <v:stroke weight="0.688031496062992pt" color="#000000"/>
              <v:imagedata o:title=""/>
              <o:lock v:ext="edit"/>
            </v:shape>
            <v:shape id="_x0000_s1449" o:spid="_x0000_s1449" o:spt="75" type="#_x0000_t75" style="position:absolute;left:687;top:6974;height:496;width:441;" filled="f" stroked="f" coordsize="21600,21600">
              <v:path/>
              <v:fill on="f" focussize="0,0"/>
              <v:stroke on="f"/>
              <v:imagedata r:id="rId81" o:title=""/>
              <o:lock v:ext="edit" aspectratio="t"/>
            </v:shape>
            <v:shape id="_x0000_s1450" o:spid="_x0000_s1450" style="position:absolute;left:694;top:6802;height:413;width:221;" fillcolor="#F99595" filled="t" stroked="f" coordorigin="695,6803" coordsize="221,413" path="m915,7215l695,6981,750,6803,915,7215xe">
              <v:path arrowok="t"/>
              <v:fill on="t" focussize="0,0"/>
              <v:stroke on="f"/>
              <v:imagedata o:title=""/>
              <o:lock v:ext="edit"/>
            </v:shape>
            <v:shape id="_x0000_s1451" o:spid="_x0000_s1451" style="position:absolute;left:694;top:6802;height:413;width:221;" filled="f" stroked="t" coordorigin="695,6803" coordsize="221,413" path="m915,7215l695,6981,750,6803,915,7215e">
              <v:path arrowok="t"/>
              <v:fill on="f" focussize="0,0"/>
              <v:stroke weight="0.688031496062992pt" color="#000000"/>
              <v:imagedata o:title=""/>
              <o:lock v:ext="edit"/>
            </v:shape>
            <v:shape id="_x0000_s1452" o:spid="_x0000_s1452" style="position:absolute;left:749;top:6802;height:413;width:166;" fillcolor="#C7C7C7" filled="t" stroked="f" coordorigin="750,6803" coordsize="166,413" path="m915,7215l750,6803,915,6803,915,7215xe">
              <v:path arrowok="t"/>
              <v:fill on="t" focussize="0,0"/>
              <v:stroke on="f"/>
              <v:imagedata o:title=""/>
              <o:lock v:ext="edit"/>
            </v:shape>
            <v:shape id="_x0000_s1453" o:spid="_x0000_s1453" style="position:absolute;left:749;top:6802;height:413;width:166;" filled="f" stroked="t" coordorigin="750,6803" coordsize="166,413" path="m915,7215l750,6803,915,6803,915,7215e">
              <v:path arrowok="t"/>
              <v:fill on="f" focussize="0,0"/>
              <v:stroke weight="0.688031496062992pt" color="#000000"/>
              <v:imagedata o:title=""/>
              <o:lock v:ext="edit"/>
            </v:shape>
            <v:line id="_x0000_s1454" o:spid="_x0000_s1454" o:spt="20" style="position:absolute;left:915;top:6679;height:1059;width:0;" stroked="t" coordsize="21600,21600">
              <v:path arrowok="t"/>
              <v:fill focussize="0,0"/>
              <v:stroke weight="0.688031496062992pt" color="#636363"/>
              <v:imagedata o:title=""/>
              <o:lock v:ext="edit"/>
            </v:line>
            <v:line id="_x0000_s1455" o:spid="_x0000_s1455" o:spt="20" style="position:absolute;left:708;top:6720;flip:x;height:977;width:413;" stroked="t" coordsize="21600,21600">
              <v:path arrowok="t"/>
              <v:fill focussize="0,0"/>
              <v:stroke weight="0.688031496062992pt" color="#636363"/>
              <v:imagedata o:title=""/>
              <o:lock v:ext="edit"/>
            </v:line>
            <v:line id="_x0000_s1456" o:spid="_x0000_s1456" o:spt="20" style="position:absolute;left:543;top:6830;flip:x;height:757;width:743;" stroked="t" coordsize="21600,21600">
              <v:path arrowok="t"/>
              <v:fill focussize="0,0"/>
              <v:stroke weight="0.688031496062992pt" color="#636363"/>
              <v:imagedata o:title=""/>
              <o:lock v:ext="edit"/>
            </v:line>
            <v:line id="_x0000_s1457" o:spid="_x0000_s1457" o:spt="20" style="position:absolute;left:433;top:7009;flip:x;height:399;width:963;" stroked="t" coordsize="21600,21600">
              <v:path arrowok="t"/>
              <v:fill focussize="0,0"/>
              <v:stroke weight="0.688031496062992pt" color="#636363"/>
              <v:imagedata o:title=""/>
              <o:lock v:ext="edit"/>
            </v:line>
            <v:line id="_x0000_s1458" o:spid="_x0000_s1458" o:spt="20" style="position:absolute;left:392;top:7215;flip:x;height:0;width:1045;" stroked="t" coordsize="21600,21600">
              <v:path arrowok="t"/>
              <v:fill focussize="0,0"/>
              <v:stroke weight="0.688031496062992pt" color="#636363"/>
              <v:imagedata o:title=""/>
              <o:lock v:ext="edit"/>
            </v:line>
            <v:line id="_x0000_s1459" o:spid="_x0000_s1459" o:spt="20" style="position:absolute;left:433;top:7009;flip:x y;height:399;width:963;" stroked="t" coordsize="21600,21600">
              <v:path arrowok="t"/>
              <v:fill focussize="0,0"/>
              <v:stroke weight="0.688031496062992pt" color="#636363"/>
              <v:imagedata o:title=""/>
              <o:lock v:ext="edit"/>
            </v:line>
            <v:line id="_x0000_s1460" o:spid="_x0000_s1460" o:spt="20" style="position:absolute;left:543;top:6830;flip:x y;height:757;width:743;" stroked="t" coordsize="21600,21600">
              <v:path arrowok="t"/>
              <v:fill focussize="0,0"/>
              <v:stroke weight="0.688031496062992pt" color="#636363"/>
              <v:imagedata o:title=""/>
              <o:lock v:ext="edit"/>
            </v:line>
            <v:line id="_x0000_s1461" o:spid="_x0000_s1461" o:spt="20" style="position:absolute;left:708;top:6720;flip:x y;height:977;width:413;" stroked="t" coordsize="21600,21600">
              <v:path arrowok="t"/>
              <v:fill focussize="0,0"/>
              <v:stroke weight="0.688031496062992pt" color="#636363"/>
              <v:imagedata o:title=""/>
              <o:lock v:ext="edit"/>
            </v:line>
            <v:shape id="_x0000_s1462" o:spid="_x0000_s1462" o:spt="75" type="#_x0000_t75" style="position:absolute;left:729;top:7029;height:344;width:358;" filled="f" stroked="f" coordsize="21600,21600">
              <v:path/>
              <v:fill on="f" focussize="0,0"/>
              <v:stroke on="f"/>
              <v:imagedata r:id="rId70" o:title=""/>
              <o:lock v:ext="edit" aspectratio="t"/>
            </v:shape>
            <v:shape id="_x0000_s1463" o:spid="_x0000_s1463" style="position:absolute;left:570;top:6857;height:688;width:675;" filled="f" stroked="t" coordorigin="571,6858" coordsize="675,688" path="m1245,7202l1236,7280,1211,7353,1171,7417,1119,7470,1056,7511,985,7536,908,7545,831,7536,760,7511,697,7470,645,7417,605,7353,580,7280,571,7202,580,7123,605,7050,645,6986,697,6933,760,6893,831,6867,908,6858,985,6867,1056,6893,1119,6933,1171,6986,1211,7050,1236,7123,1245,7202e">
              <v:path arrowok="t"/>
              <v:fill on="f" focussize="0,0"/>
              <v:stroke weight="0.688031496062992pt" color="#636363"/>
              <v:imagedata o:title=""/>
              <o:lock v:ext="edit"/>
            </v:shape>
            <v:shape id="_x0000_s1464" o:spid="_x0000_s1464" style="position:absolute;left:5853;top:6678;height:1046;width:1032;" fillcolor="#00FF00" filled="t" stroked="f" coordorigin="5853,6679" coordsize="1032,1046" path="m6369,7724l6293,7719,6220,7702,6151,7676,6088,7640,6030,7596,5980,7545,5936,7486,5901,7422,5875,7353,5859,7279,5853,7202,5859,7124,5875,7051,5901,6981,5936,6917,5980,6859,6030,6807,6088,6763,6151,6727,6220,6701,6293,6684,6369,6679,6445,6684,6518,6701,6586,6727,6650,6763,6707,6807,6758,6859,6802,6917,6837,6981,6863,7051,6879,7124,6885,7202,6879,7279,6863,7353,6837,7422,6802,7486,6758,7545,6707,7596,6650,7640,6586,7676,6518,7702,6445,7719,6369,7724xe">
              <v:path arrowok="t"/>
              <v:fill on="t" focussize="0,0"/>
              <v:stroke on="f"/>
              <v:imagedata o:title=""/>
              <o:lock v:ext="edit"/>
            </v:shape>
            <v:shape id="_x0000_s1465" o:spid="_x0000_s1465" style="position:absolute;left:5853;top:6678;height:1046;width:1032;" filled="f" stroked="t" coordorigin="5853,6679" coordsize="1032,1046" path="m6885,7202l6879,7279,6863,7353,6837,7422,6802,7486,6758,7545,6707,7596,6650,7640,6586,7676,6518,7702,6445,7719,6369,7724,6293,7719,6220,7702,6151,7676,6088,7640,6030,7596,5980,7545,5936,7486,5901,7422,5875,7353,5859,7279,5853,7202,5859,7124,5875,7051,5901,6981,5936,6917,5980,6859,6030,6807,6088,6763,6151,6727,6220,6701,6293,6684,6369,6679,6445,6684,6518,6701,6586,6727,6650,6763,6707,6807,6758,6859,6802,6917,6837,6981,6863,7051,6879,7124,6885,7202e">
              <v:path arrowok="t"/>
              <v:fill on="f" focussize="0,0"/>
              <v:stroke weight="0.688031496062992pt" color="#636363"/>
              <v:imagedata o:title=""/>
              <o:lock v:ext="edit"/>
            </v:shape>
            <v:line id="_x0000_s1466" o:spid="_x0000_s1466" o:spt="20" style="position:absolute;left:6376;top:6679;height:1059;width:0;" stroked="t" coordsize="21600,21600">
              <v:path arrowok="t"/>
              <v:fill focussize="0,0"/>
              <v:stroke weight="0.688031496062992pt" color="#636363"/>
              <v:imagedata o:title=""/>
              <o:lock v:ext="edit"/>
            </v:line>
            <v:line id="_x0000_s1467" o:spid="_x0000_s1467" o:spt="20" style="position:absolute;left:5853;top:7215;flip:x;height:0;width:1045;" stroked="t" coordsize="21600,21600">
              <v:path arrowok="t"/>
              <v:fill focussize="0,0"/>
              <v:stroke weight="0.688031496062992pt" color="#636363"/>
              <v:imagedata o:title=""/>
              <o:lock v:ext="edit"/>
            </v:line>
            <v:shape id="_x0000_s1468" o:spid="_x0000_s1468" o:spt="75" type="#_x0000_t75" style="position:absolute;left:6190;top:7029;height:344;width:358;" filled="f" stroked="f" coordsize="21600,21600">
              <v:path/>
              <v:fill on="f" focussize="0,0"/>
              <v:stroke on="f"/>
              <v:imagedata r:id="rId75" o:title=""/>
              <o:lock v:ext="edit" aspectratio="t"/>
            </v:shape>
            <v:shape id="_x0000_s1469" o:spid="_x0000_s1469" style="position:absolute;left:6031;top:6857;height:688;width:675;" filled="f" stroked="t" coordorigin="6032,6858" coordsize="675,688" path="m6706,7202l6697,7280,6672,7353,6632,7417,6580,7470,6517,7511,6446,7536,6369,7545,6292,7536,6221,7511,6158,7470,6106,7417,6066,7353,6041,7280,6032,7202,6041,7123,6066,7050,6106,6986,6158,6933,6221,6893,6292,6867,6369,6858,6446,6867,6517,6893,6580,6933,6632,6986,6672,7050,6697,7123,6706,7202e">
              <v:path arrowok="t"/>
              <v:fill on="f" focussize="0,0"/>
              <v:stroke weight="0.688031496062992pt" color="#636363"/>
              <v:imagedata o:title=""/>
              <o:lock v:ext="edit"/>
            </v:shape>
            <v:shape id="_x0000_s1470" o:spid="_x0000_s1470" o:spt="202" type="#_x0000_t202" style="position:absolute;left:6086;top:8173;height:166;width:598;" filled="f" stroked="f" coordsize="21600,21600">
              <v:path/>
              <v:fill on="f" focussize="0,0"/>
              <v:stroke on="f" joinstyle="miter"/>
              <v:imagedata o:title=""/>
              <o:lock v:ext="edit"/>
              <v:textbox inset="0mm,0mm,0mm,0mm">
                <w:txbxContent>
                  <w:p w14:paraId="52B3C18B">
                    <w:pPr>
                      <w:spacing w:before="0" w:line="165" w:lineRule="exact"/>
                      <w:ind w:left="0" w:right="0" w:firstLine="0"/>
                      <w:jc w:val="left"/>
                      <w:rPr>
                        <w:sz w:val="16"/>
                      </w:rPr>
                    </w:pPr>
                    <w:r>
                      <w:rPr>
                        <w:w w:val="105"/>
                        <w:sz w:val="16"/>
                      </w:rPr>
                      <w:t>图例(%)</w:t>
                    </w:r>
                  </w:p>
                </w:txbxContent>
              </v:textbox>
            </v:shape>
            <v:shape id="_x0000_s1471" o:spid="_x0000_s1471" o:spt="202" type="#_x0000_t202" style="position:absolute;left:6334;top:7747;height:166;width:103;" filled="f" stroked="f" coordsize="21600,21600">
              <v:path/>
              <v:fill on="f" focussize="0,0"/>
              <v:stroke on="f" joinstyle="miter"/>
              <v:imagedata o:title=""/>
              <o:lock v:ext="edit"/>
              <v:textbox inset="0mm,0mm,0mm,0mm">
                <w:txbxContent>
                  <w:p w14:paraId="744EB016">
                    <w:pPr>
                      <w:spacing w:before="0" w:line="165" w:lineRule="exact"/>
                      <w:ind w:left="0" w:right="0" w:firstLine="0"/>
                      <w:jc w:val="left"/>
                      <w:rPr>
                        <w:sz w:val="16"/>
                      </w:rPr>
                    </w:pPr>
                    <w:r>
                      <w:rPr>
                        <w:w w:val="103"/>
                        <w:sz w:val="16"/>
                      </w:rPr>
                      <w:t>S</w:t>
                    </w:r>
                  </w:p>
                </w:txbxContent>
              </v:textbox>
            </v:shape>
            <v:shape id="_x0000_s1472" o:spid="_x0000_s1472" o:spt="202" type="#_x0000_t202" style="position:absolute;left:6898;top:7142;height:166;width:103;" filled="f" stroked="f" coordsize="21600,21600">
              <v:path/>
              <v:fill on="f" focussize="0,0"/>
              <v:stroke on="f" joinstyle="miter"/>
              <v:imagedata o:title=""/>
              <o:lock v:ext="edit"/>
              <v:textbox inset="0mm,0mm,0mm,0mm">
                <w:txbxContent>
                  <w:p w14:paraId="17E1A68F">
                    <w:pPr>
                      <w:spacing w:before="0" w:line="165" w:lineRule="exact"/>
                      <w:ind w:left="0" w:right="0" w:firstLine="0"/>
                      <w:jc w:val="left"/>
                      <w:rPr>
                        <w:sz w:val="16"/>
                      </w:rPr>
                    </w:pPr>
                    <w:r>
                      <w:rPr>
                        <w:w w:val="103"/>
                        <w:sz w:val="16"/>
                      </w:rPr>
                      <w:t>E</w:t>
                    </w:r>
                  </w:p>
                </w:txbxContent>
              </v:textbox>
            </v:shape>
            <v:shape id="_x0000_s1473" o:spid="_x0000_s1473" o:spt="202" type="#_x0000_t202" style="position:absolute;left:5770;top:7142;height:166;width:103;" filled="f" stroked="f" coordsize="21600,21600">
              <v:path/>
              <v:fill on="f" focussize="0,0"/>
              <v:stroke on="f" joinstyle="miter"/>
              <v:imagedata o:title=""/>
              <o:lock v:ext="edit"/>
              <v:textbox inset="0mm,0mm,0mm,0mm">
                <w:txbxContent>
                  <w:p w14:paraId="1B6BFB1C">
                    <w:pPr>
                      <w:spacing w:before="0" w:line="165" w:lineRule="exact"/>
                      <w:ind w:left="0" w:right="0" w:firstLine="0"/>
                      <w:jc w:val="left"/>
                      <w:rPr>
                        <w:sz w:val="16"/>
                      </w:rPr>
                    </w:pPr>
                    <w:r>
                      <w:rPr>
                        <w:w w:val="103"/>
                        <w:sz w:val="16"/>
                      </w:rPr>
                      <w:t>W</w:t>
                    </w:r>
                  </w:p>
                </w:txbxContent>
              </v:textbox>
            </v:shape>
            <v:shape id="_x0000_s1474" o:spid="_x0000_s1474" o:spt="202" type="#_x0000_t202" style="position:absolute;left:6210;top:6796;height:317;width:344;" filled="f" stroked="f" coordsize="21600,21600">
              <v:path/>
              <v:fill on="f" focussize="0,0"/>
              <v:stroke on="f" joinstyle="miter"/>
              <v:imagedata o:title=""/>
              <o:lock v:ext="edit"/>
              <v:textbox inset="0mm,0mm,0mm,0mm">
                <w:txbxContent>
                  <w:p w14:paraId="1E9B943C">
                    <w:pPr>
                      <w:spacing w:before="0" w:line="159" w:lineRule="exact"/>
                      <w:ind w:left="0" w:right="0" w:firstLine="0"/>
                      <w:jc w:val="left"/>
                      <w:rPr>
                        <w:sz w:val="15"/>
                      </w:rPr>
                    </w:pPr>
                    <w:r>
                      <w:rPr>
                        <w:sz w:val="15"/>
                      </w:rPr>
                      <w:t>10.0</w:t>
                    </w:r>
                  </w:p>
                  <w:p w14:paraId="64311357">
                    <w:pPr>
                      <w:spacing w:before="0" w:line="158" w:lineRule="exact"/>
                      <w:ind w:left="41" w:right="0" w:firstLine="0"/>
                      <w:jc w:val="left"/>
                      <w:rPr>
                        <w:sz w:val="15"/>
                      </w:rPr>
                    </w:pPr>
                    <w:r>
                      <w:rPr>
                        <w:sz w:val="15"/>
                      </w:rPr>
                      <w:t>5.0</w:t>
                    </w:r>
                  </w:p>
                </w:txbxContent>
              </v:textbox>
            </v:shape>
            <v:shape id="_x0000_s1475" o:spid="_x0000_s1475" o:spt="202" type="#_x0000_t202" style="position:absolute;left:6293;top:6617;height:152;width:179;" filled="f" stroked="f" coordsize="21600,21600">
              <v:path/>
              <v:fill on="f" focussize="0,0"/>
              <v:stroke on="f" joinstyle="miter"/>
              <v:imagedata o:title=""/>
              <o:lock v:ext="edit"/>
              <v:textbox inset="0mm,0mm,0mm,0mm">
                <w:txbxContent>
                  <w:p w14:paraId="2617FA65">
                    <w:pPr>
                      <w:spacing w:before="0" w:line="151" w:lineRule="exact"/>
                      <w:ind w:left="0" w:right="0" w:firstLine="0"/>
                      <w:jc w:val="left"/>
                      <w:rPr>
                        <w:sz w:val="15"/>
                      </w:rPr>
                    </w:pPr>
                    <w:r>
                      <w:rPr>
                        <w:sz w:val="15"/>
                      </w:rPr>
                      <w:t>5.</w:t>
                    </w:r>
                  </w:p>
                </w:txbxContent>
              </v:textbox>
            </v:shape>
            <v:shape id="_x0000_s1476" o:spid="_x0000_s1476" o:spt="202" type="#_x0000_t202" style="position:absolute;left:6210;top:6523;height:246;width:344;" filled="f" stroked="f" coordsize="21600,21600">
              <v:path/>
              <v:fill on="f" focussize="0,0"/>
              <v:stroke on="f" joinstyle="miter"/>
              <v:imagedata o:title=""/>
              <o:lock v:ext="edit"/>
              <v:textbox inset="0mm,0mm,0mm,0mm">
                <w:txbxContent>
                  <w:p w14:paraId="1273A465">
                    <w:pPr>
                      <w:spacing w:before="0" w:line="246" w:lineRule="exact"/>
                      <w:ind w:left="0" w:right="0" w:firstLine="0"/>
                      <w:jc w:val="left"/>
                      <w:rPr>
                        <w:sz w:val="15"/>
                      </w:rPr>
                    </w:pPr>
                    <w:r>
                      <w:rPr>
                        <w:sz w:val="15"/>
                      </w:rPr>
                      <w:t xml:space="preserve">1 </w:t>
                    </w:r>
                    <w:r>
                      <w:rPr>
                        <w:position w:val="8"/>
                        <w:sz w:val="16"/>
                      </w:rPr>
                      <w:t>N</w:t>
                    </w:r>
                    <w:r>
                      <w:rPr>
                        <w:spacing w:val="-63"/>
                        <w:position w:val="8"/>
                        <w:sz w:val="16"/>
                      </w:rPr>
                      <w:t xml:space="preserve"> </w:t>
                    </w:r>
                    <w:r>
                      <w:rPr>
                        <w:sz w:val="15"/>
                      </w:rPr>
                      <w:t>0</w:t>
                    </w:r>
                  </w:p>
                </w:txbxContent>
              </v:textbox>
            </v:shape>
            <v:shape id="_x0000_s1477" o:spid="_x0000_s1477" o:spt="202" type="#_x0000_t202" style="position:absolute;left:337;top:8173;height:166;width:1176;" filled="f" stroked="f" coordsize="21600,21600">
              <v:path/>
              <v:fill on="f" focussize="0,0"/>
              <v:stroke on="f" joinstyle="miter"/>
              <v:imagedata o:title=""/>
              <o:lock v:ext="edit"/>
              <v:textbox inset="0mm,0mm,0mm,0mm">
                <w:txbxContent>
                  <w:p w14:paraId="0D54E1D6">
                    <w:pPr>
                      <w:spacing w:before="0" w:line="165" w:lineRule="exact"/>
                      <w:ind w:left="0" w:right="0" w:firstLine="0"/>
                      <w:jc w:val="left"/>
                      <w:rPr>
                        <w:sz w:val="16"/>
                      </w:rPr>
                    </w:pPr>
                    <w:r>
                      <w:rPr>
                        <w:sz w:val="16"/>
                      </w:rPr>
                      <w:t>全年,静风4.81%</w:t>
                    </w:r>
                  </w:p>
                </w:txbxContent>
              </v:textbox>
            </v:shape>
            <v:shape id="_x0000_s1478" o:spid="_x0000_s1478" o:spt="202" type="#_x0000_t202" style="position:absolute;left:873;top:7747;height:166;width:103;" filled="f" stroked="f" coordsize="21600,21600">
              <v:path/>
              <v:fill on="f" focussize="0,0"/>
              <v:stroke on="f" joinstyle="miter"/>
              <v:imagedata o:title=""/>
              <o:lock v:ext="edit"/>
              <v:textbox inset="0mm,0mm,0mm,0mm">
                <w:txbxContent>
                  <w:p w14:paraId="67DE6E19">
                    <w:pPr>
                      <w:spacing w:before="0" w:line="165" w:lineRule="exact"/>
                      <w:ind w:left="0" w:right="0" w:firstLine="0"/>
                      <w:jc w:val="left"/>
                      <w:rPr>
                        <w:sz w:val="16"/>
                      </w:rPr>
                    </w:pPr>
                    <w:r>
                      <w:rPr>
                        <w:w w:val="103"/>
                        <w:sz w:val="16"/>
                      </w:rPr>
                      <w:t>S</w:t>
                    </w:r>
                  </w:p>
                </w:txbxContent>
              </v:textbox>
            </v:shape>
            <v:shape id="_x0000_s1479" o:spid="_x0000_s1479" o:spt="202" type="#_x0000_t202" style="position:absolute;left:1258;top:7568;height:166;width:186;" filled="f" stroked="f" coordsize="21600,21600">
              <v:path/>
              <v:fill on="f" focussize="0,0"/>
              <v:stroke on="f" joinstyle="miter"/>
              <v:imagedata o:title=""/>
              <o:lock v:ext="edit"/>
              <v:textbox inset="0mm,0mm,0mm,0mm">
                <w:txbxContent>
                  <w:p w14:paraId="19E5DA64">
                    <w:pPr>
                      <w:spacing w:before="0" w:line="165" w:lineRule="exact"/>
                      <w:ind w:left="0" w:right="0" w:firstLine="0"/>
                      <w:jc w:val="left"/>
                      <w:rPr>
                        <w:sz w:val="16"/>
                      </w:rPr>
                    </w:pPr>
                    <w:r>
                      <w:rPr>
                        <w:w w:val="105"/>
                        <w:sz w:val="16"/>
                      </w:rPr>
                      <w:t>SE</w:t>
                    </w:r>
                  </w:p>
                </w:txbxContent>
              </v:textbox>
            </v:shape>
            <v:shape id="_x0000_s1480" o:spid="_x0000_s1480" o:spt="202" type="#_x0000_t202" style="position:absolute;left:405;top:7568;height:166;width:186;" filled="f" stroked="f" coordsize="21600,21600">
              <v:path/>
              <v:fill on="f" focussize="0,0"/>
              <v:stroke on="f" joinstyle="miter"/>
              <v:imagedata o:title=""/>
              <o:lock v:ext="edit"/>
              <v:textbox inset="0mm,0mm,0mm,0mm">
                <w:txbxContent>
                  <w:p w14:paraId="2819697A">
                    <w:pPr>
                      <w:spacing w:before="0" w:line="165" w:lineRule="exact"/>
                      <w:ind w:left="0" w:right="0" w:firstLine="0"/>
                      <w:jc w:val="left"/>
                      <w:rPr>
                        <w:sz w:val="16"/>
                      </w:rPr>
                    </w:pPr>
                    <w:r>
                      <w:rPr>
                        <w:w w:val="105"/>
                        <w:sz w:val="16"/>
                      </w:rPr>
                      <w:t>SW</w:t>
                    </w:r>
                  </w:p>
                </w:txbxContent>
              </v:textbox>
            </v:shape>
            <v:shape id="_x0000_s1481" o:spid="_x0000_s1481" o:spt="202" type="#_x0000_t202" style="position:absolute;left:1437;top:7142;height:166;width:103;" filled="f" stroked="f" coordsize="21600,21600">
              <v:path/>
              <v:fill on="f" focussize="0,0"/>
              <v:stroke on="f" joinstyle="miter"/>
              <v:imagedata o:title=""/>
              <o:lock v:ext="edit"/>
              <v:textbox inset="0mm,0mm,0mm,0mm">
                <w:txbxContent>
                  <w:p w14:paraId="1AF1D63D">
                    <w:pPr>
                      <w:spacing w:before="0" w:line="165" w:lineRule="exact"/>
                      <w:ind w:left="0" w:right="0" w:firstLine="0"/>
                      <w:jc w:val="left"/>
                      <w:rPr>
                        <w:sz w:val="16"/>
                      </w:rPr>
                    </w:pPr>
                    <w:r>
                      <w:rPr>
                        <w:w w:val="103"/>
                        <w:sz w:val="16"/>
                      </w:rPr>
                      <w:t>E</w:t>
                    </w:r>
                  </w:p>
                </w:txbxContent>
              </v:textbox>
            </v:shape>
            <v:shape id="_x0000_s1482" o:spid="_x0000_s1482" o:spt="202" type="#_x0000_t202" style="position:absolute;left:309;top:7142;height:166;width:103;" filled="f" stroked="f" coordsize="21600,21600">
              <v:path/>
              <v:fill on="f" focussize="0,0"/>
              <v:stroke on="f" joinstyle="miter"/>
              <v:imagedata o:title=""/>
              <o:lock v:ext="edit"/>
              <v:textbox inset="0mm,0mm,0mm,0mm">
                <w:txbxContent>
                  <w:p w14:paraId="4821207A">
                    <w:pPr>
                      <w:spacing w:before="0" w:line="165" w:lineRule="exact"/>
                      <w:ind w:left="0" w:right="0" w:firstLine="0"/>
                      <w:jc w:val="left"/>
                      <w:rPr>
                        <w:sz w:val="16"/>
                      </w:rPr>
                    </w:pPr>
                    <w:r>
                      <w:rPr>
                        <w:w w:val="103"/>
                        <w:sz w:val="16"/>
                      </w:rPr>
                      <w:t>W</w:t>
                    </w:r>
                  </w:p>
                </w:txbxContent>
              </v:textbox>
            </v:shape>
            <v:shape id="_x0000_s1483" o:spid="_x0000_s1483" o:spt="202" type="#_x0000_t202" style="position:absolute;left:1258;top:6702;height:166;width:186;" filled="f" stroked="f" coordsize="21600,21600">
              <v:path/>
              <v:fill on="f" focussize="0,0"/>
              <v:stroke on="f" joinstyle="miter"/>
              <v:imagedata o:title=""/>
              <o:lock v:ext="edit"/>
              <v:textbox inset="0mm,0mm,0mm,0mm">
                <w:txbxContent>
                  <w:p w14:paraId="3ECC31C5">
                    <w:pPr>
                      <w:spacing w:before="0" w:line="165" w:lineRule="exact"/>
                      <w:ind w:left="0" w:right="0" w:firstLine="0"/>
                      <w:jc w:val="left"/>
                      <w:rPr>
                        <w:sz w:val="16"/>
                      </w:rPr>
                    </w:pPr>
                    <w:r>
                      <w:rPr>
                        <w:w w:val="105"/>
                        <w:sz w:val="16"/>
                      </w:rPr>
                      <w:t>NE</w:t>
                    </w:r>
                  </w:p>
                </w:txbxContent>
              </v:textbox>
            </v:shape>
            <v:shape id="_x0000_s1484" o:spid="_x0000_s1484" o:spt="202" type="#_x0000_t202" style="position:absolute;left:405;top:6702;height:166;width:186;" filled="f" stroked="f" coordsize="21600,21600">
              <v:path/>
              <v:fill on="f" focussize="0,0"/>
              <v:stroke on="f" joinstyle="miter"/>
              <v:imagedata o:title=""/>
              <o:lock v:ext="edit"/>
              <v:textbox inset="0mm,0mm,0mm,0mm">
                <w:txbxContent>
                  <w:p w14:paraId="6EF5C841">
                    <w:pPr>
                      <w:spacing w:before="0" w:line="165" w:lineRule="exact"/>
                      <w:ind w:left="0" w:right="0" w:firstLine="0"/>
                      <w:jc w:val="left"/>
                      <w:rPr>
                        <w:sz w:val="16"/>
                      </w:rPr>
                    </w:pPr>
                    <w:r>
                      <w:rPr>
                        <w:w w:val="105"/>
                        <w:sz w:val="16"/>
                      </w:rPr>
                      <w:t>NW</w:t>
                    </w:r>
                  </w:p>
                </w:txbxContent>
              </v:textbox>
            </v:shape>
            <v:shape id="_x0000_s1485" o:spid="_x0000_s1485" o:spt="202" type="#_x0000_t202" style="position:absolute;left:873;top:6523;height:166;width:103;" filled="f" stroked="f" coordsize="21600,21600">
              <v:path/>
              <v:fill on="f" focussize="0,0"/>
              <v:stroke on="f" joinstyle="miter"/>
              <v:imagedata o:title=""/>
              <o:lock v:ext="edit"/>
              <v:textbox inset="0mm,0mm,0mm,0mm">
                <w:txbxContent>
                  <w:p w14:paraId="3F6C51EC">
                    <w:pPr>
                      <w:spacing w:before="0" w:line="165" w:lineRule="exact"/>
                      <w:ind w:left="0" w:right="0" w:firstLine="0"/>
                      <w:jc w:val="left"/>
                      <w:rPr>
                        <w:sz w:val="16"/>
                      </w:rPr>
                    </w:pPr>
                    <w:r>
                      <w:rPr>
                        <w:w w:val="103"/>
                        <w:sz w:val="16"/>
                      </w:rPr>
                      <w:t>N</w:t>
                    </w:r>
                  </w:p>
                </w:txbxContent>
              </v:textbox>
            </v:shape>
            <v:shape id="_x0000_s1486" o:spid="_x0000_s1486" o:spt="202" type="#_x0000_t202" style="position:absolute;left:5715;top:6082;height:166;width:1341;" filled="f" stroked="f" coordsize="21600,21600">
              <v:path/>
              <v:fill on="f" focussize="0,0"/>
              <v:stroke on="f" joinstyle="miter"/>
              <v:imagedata o:title=""/>
              <o:lock v:ext="edit"/>
              <v:textbox inset="0mm,0mm,0mm,0mm">
                <w:txbxContent>
                  <w:p w14:paraId="36EDFBBC">
                    <w:pPr>
                      <w:spacing w:before="0" w:line="165" w:lineRule="exact"/>
                      <w:ind w:left="0" w:right="0" w:firstLine="0"/>
                      <w:jc w:val="left"/>
                      <w:rPr>
                        <w:sz w:val="16"/>
                      </w:rPr>
                    </w:pPr>
                    <w:r>
                      <w:rPr>
                        <w:sz w:val="16"/>
                      </w:rPr>
                      <w:t>十二月,静风5.68%</w:t>
                    </w:r>
                  </w:p>
                </w:txbxContent>
              </v:textbox>
            </v:shape>
            <v:shape id="_x0000_s1487" o:spid="_x0000_s1487" o:spt="202" type="#_x0000_t202" style="position:absolute;left:6334;top:5656;height:166;width:103;" filled="f" stroked="f" coordsize="21600,21600">
              <v:path/>
              <v:fill on="f" focussize="0,0"/>
              <v:stroke on="f" joinstyle="miter"/>
              <v:imagedata o:title=""/>
              <o:lock v:ext="edit"/>
              <v:textbox inset="0mm,0mm,0mm,0mm">
                <w:txbxContent>
                  <w:p w14:paraId="78D42ED5">
                    <w:pPr>
                      <w:spacing w:before="0" w:line="165" w:lineRule="exact"/>
                      <w:ind w:left="0" w:right="0" w:firstLine="0"/>
                      <w:jc w:val="left"/>
                      <w:rPr>
                        <w:sz w:val="16"/>
                      </w:rPr>
                    </w:pPr>
                    <w:r>
                      <w:rPr>
                        <w:w w:val="103"/>
                        <w:sz w:val="16"/>
                      </w:rPr>
                      <w:t>S</w:t>
                    </w:r>
                  </w:p>
                </w:txbxContent>
              </v:textbox>
            </v:shape>
            <v:shape id="_x0000_s1488" o:spid="_x0000_s1488" o:spt="202" type="#_x0000_t202" style="position:absolute;left:6719;top:5477;height:166;width:186;" filled="f" stroked="f" coordsize="21600,21600">
              <v:path/>
              <v:fill on="f" focussize="0,0"/>
              <v:stroke on="f" joinstyle="miter"/>
              <v:imagedata o:title=""/>
              <o:lock v:ext="edit"/>
              <v:textbox inset="0mm,0mm,0mm,0mm">
                <w:txbxContent>
                  <w:p w14:paraId="19F051A6">
                    <w:pPr>
                      <w:spacing w:before="0" w:line="165" w:lineRule="exact"/>
                      <w:ind w:left="0" w:right="0" w:firstLine="0"/>
                      <w:jc w:val="left"/>
                      <w:rPr>
                        <w:sz w:val="16"/>
                      </w:rPr>
                    </w:pPr>
                    <w:r>
                      <w:rPr>
                        <w:w w:val="105"/>
                        <w:sz w:val="16"/>
                      </w:rPr>
                      <w:t>SE</w:t>
                    </w:r>
                  </w:p>
                </w:txbxContent>
              </v:textbox>
            </v:shape>
            <v:shape id="_x0000_s1489" o:spid="_x0000_s1489" o:spt="202" type="#_x0000_t202" style="position:absolute;left:5866;top:5477;height:166;width:186;" filled="f" stroked="f" coordsize="21600,21600">
              <v:path/>
              <v:fill on="f" focussize="0,0"/>
              <v:stroke on="f" joinstyle="miter"/>
              <v:imagedata o:title=""/>
              <o:lock v:ext="edit"/>
              <v:textbox inset="0mm,0mm,0mm,0mm">
                <w:txbxContent>
                  <w:p w14:paraId="24B0E9CA">
                    <w:pPr>
                      <w:spacing w:before="0" w:line="165" w:lineRule="exact"/>
                      <w:ind w:left="0" w:right="0" w:firstLine="0"/>
                      <w:jc w:val="left"/>
                      <w:rPr>
                        <w:sz w:val="16"/>
                      </w:rPr>
                    </w:pPr>
                    <w:r>
                      <w:rPr>
                        <w:w w:val="105"/>
                        <w:sz w:val="16"/>
                      </w:rPr>
                      <w:t>SW</w:t>
                    </w:r>
                  </w:p>
                </w:txbxContent>
              </v:textbox>
            </v:shape>
            <v:shape id="_x0000_s1490" o:spid="_x0000_s1490" o:spt="202" type="#_x0000_t202" style="position:absolute;left:6898;top:5051;height:166;width:103;" filled="f" stroked="f" coordsize="21600,21600">
              <v:path/>
              <v:fill on="f" focussize="0,0"/>
              <v:stroke on="f" joinstyle="miter"/>
              <v:imagedata o:title=""/>
              <o:lock v:ext="edit"/>
              <v:textbox inset="0mm,0mm,0mm,0mm">
                <w:txbxContent>
                  <w:p w14:paraId="237088C6">
                    <w:pPr>
                      <w:spacing w:before="0" w:line="165" w:lineRule="exact"/>
                      <w:ind w:left="0" w:right="0" w:firstLine="0"/>
                      <w:jc w:val="left"/>
                      <w:rPr>
                        <w:sz w:val="16"/>
                      </w:rPr>
                    </w:pPr>
                    <w:r>
                      <w:rPr>
                        <w:w w:val="103"/>
                        <w:sz w:val="16"/>
                      </w:rPr>
                      <w:t>E</w:t>
                    </w:r>
                  </w:p>
                </w:txbxContent>
              </v:textbox>
            </v:shape>
            <v:shape id="_x0000_s1491" o:spid="_x0000_s1491" o:spt="202" type="#_x0000_t202" style="position:absolute;left:5770;top:5051;height:166;width:103;" filled="f" stroked="f" coordsize="21600,21600">
              <v:path/>
              <v:fill on="f" focussize="0,0"/>
              <v:stroke on="f" joinstyle="miter"/>
              <v:imagedata o:title=""/>
              <o:lock v:ext="edit"/>
              <v:textbox inset="0mm,0mm,0mm,0mm">
                <w:txbxContent>
                  <w:p w14:paraId="7A60D879">
                    <w:pPr>
                      <w:spacing w:before="0" w:line="165" w:lineRule="exact"/>
                      <w:ind w:left="0" w:right="0" w:firstLine="0"/>
                      <w:jc w:val="left"/>
                      <w:rPr>
                        <w:sz w:val="16"/>
                      </w:rPr>
                    </w:pPr>
                    <w:r>
                      <w:rPr>
                        <w:w w:val="103"/>
                        <w:sz w:val="16"/>
                      </w:rPr>
                      <w:t>W</w:t>
                    </w:r>
                  </w:p>
                </w:txbxContent>
              </v:textbox>
            </v:shape>
            <v:shape id="_x0000_s1492" o:spid="_x0000_s1492" o:spt="202" type="#_x0000_t202" style="position:absolute;left:6719;top:4611;height:166;width:186;" filled="f" stroked="f" coordsize="21600,21600">
              <v:path/>
              <v:fill on="f" focussize="0,0"/>
              <v:stroke on="f" joinstyle="miter"/>
              <v:imagedata o:title=""/>
              <o:lock v:ext="edit"/>
              <v:textbox inset="0mm,0mm,0mm,0mm">
                <w:txbxContent>
                  <w:p w14:paraId="5F3CC14D">
                    <w:pPr>
                      <w:spacing w:before="0" w:line="165" w:lineRule="exact"/>
                      <w:ind w:left="0" w:right="0" w:firstLine="0"/>
                      <w:jc w:val="left"/>
                      <w:rPr>
                        <w:sz w:val="16"/>
                      </w:rPr>
                    </w:pPr>
                    <w:r>
                      <w:rPr>
                        <w:w w:val="105"/>
                        <w:sz w:val="16"/>
                      </w:rPr>
                      <w:t>NE</w:t>
                    </w:r>
                  </w:p>
                </w:txbxContent>
              </v:textbox>
            </v:shape>
            <v:shape id="_x0000_s1493" o:spid="_x0000_s1493" o:spt="202" type="#_x0000_t202" style="position:absolute;left:5866;top:4611;height:166;width:186;" filled="f" stroked="f" coordsize="21600,21600">
              <v:path/>
              <v:fill on="f" focussize="0,0"/>
              <v:stroke on="f" joinstyle="miter"/>
              <v:imagedata o:title=""/>
              <o:lock v:ext="edit"/>
              <v:textbox inset="0mm,0mm,0mm,0mm">
                <w:txbxContent>
                  <w:p w14:paraId="123883BF">
                    <w:pPr>
                      <w:spacing w:before="0" w:line="165" w:lineRule="exact"/>
                      <w:ind w:left="0" w:right="0" w:firstLine="0"/>
                      <w:jc w:val="left"/>
                      <w:rPr>
                        <w:sz w:val="16"/>
                      </w:rPr>
                    </w:pPr>
                    <w:r>
                      <w:rPr>
                        <w:w w:val="105"/>
                        <w:sz w:val="16"/>
                      </w:rPr>
                      <w:t>NW</w:t>
                    </w:r>
                  </w:p>
                </w:txbxContent>
              </v:textbox>
            </v:shape>
            <v:shape id="_x0000_s1494" o:spid="_x0000_s1494" o:spt="202" type="#_x0000_t202" style="position:absolute;left:6334;top:4432;height:166;width:103;" filled="f" stroked="f" coordsize="21600,21600">
              <v:path/>
              <v:fill on="f" focussize="0,0"/>
              <v:stroke on="f" joinstyle="miter"/>
              <v:imagedata o:title=""/>
              <o:lock v:ext="edit"/>
              <v:textbox inset="0mm,0mm,0mm,0mm">
                <w:txbxContent>
                  <w:p w14:paraId="46A7D7DB">
                    <w:pPr>
                      <w:spacing w:before="0" w:line="165" w:lineRule="exact"/>
                      <w:ind w:left="0" w:right="0" w:firstLine="0"/>
                      <w:jc w:val="left"/>
                      <w:rPr>
                        <w:sz w:val="16"/>
                      </w:rPr>
                    </w:pPr>
                    <w:r>
                      <w:rPr>
                        <w:w w:val="103"/>
                        <w:sz w:val="16"/>
                      </w:rPr>
                      <w:t>N</w:t>
                    </w:r>
                  </w:p>
                </w:txbxContent>
              </v:textbox>
            </v:shape>
            <v:shape id="_x0000_s1495" o:spid="_x0000_s1495" o:spt="202" type="#_x0000_t202" style="position:absolute;left:3885;top:6082;height:166;width:1341;" filled="f" stroked="f" coordsize="21600,21600">
              <v:path/>
              <v:fill on="f" focussize="0,0"/>
              <v:stroke on="f" joinstyle="miter"/>
              <v:imagedata o:title=""/>
              <o:lock v:ext="edit"/>
              <v:textbox inset="0mm,0mm,0mm,0mm">
                <w:txbxContent>
                  <w:p w14:paraId="28887FF8">
                    <w:pPr>
                      <w:spacing w:before="0" w:line="165" w:lineRule="exact"/>
                      <w:ind w:left="0" w:right="0" w:firstLine="0"/>
                      <w:jc w:val="left"/>
                      <w:rPr>
                        <w:sz w:val="16"/>
                      </w:rPr>
                    </w:pPr>
                    <w:r>
                      <w:rPr>
                        <w:sz w:val="16"/>
                      </w:rPr>
                      <w:t>十一月,静风5.79%</w:t>
                    </w:r>
                  </w:p>
                </w:txbxContent>
              </v:textbox>
            </v:shape>
            <v:shape id="_x0000_s1496" o:spid="_x0000_s1496" o:spt="202" type="#_x0000_t202" style="position:absolute;left:4504;top:5656;height:166;width:103;" filled="f" stroked="f" coordsize="21600,21600">
              <v:path/>
              <v:fill on="f" focussize="0,0"/>
              <v:stroke on="f" joinstyle="miter"/>
              <v:imagedata o:title=""/>
              <o:lock v:ext="edit"/>
              <v:textbox inset="0mm,0mm,0mm,0mm">
                <w:txbxContent>
                  <w:p w14:paraId="45BA52FE">
                    <w:pPr>
                      <w:spacing w:before="0" w:line="165" w:lineRule="exact"/>
                      <w:ind w:left="0" w:right="0" w:firstLine="0"/>
                      <w:jc w:val="left"/>
                      <w:rPr>
                        <w:sz w:val="16"/>
                      </w:rPr>
                    </w:pPr>
                    <w:r>
                      <w:rPr>
                        <w:w w:val="103"/>
                        <w:sz w:val="16"/>
                      </w:rPr>
                      <w:t>S</w:t>
                    </w:r>
                  </w:p>
                </w:txbxContent>
              </v:textbox>
            </v:shape>
            <v:shape id="_x0000_s1497" o:spid="_x0000_s1497" o:spt="202" type="#_x0000_t202" style="position:absolute;left:4890;top:5477;height:166;width:186;" filled="f" stroked="f" coordsize="21600,21600">
              <v:path/>
              <v:fill on="f" focussize="0,0"/>
              <v:stroke on="f" joinstyle="miter"/>
              <v:imagedata o:title=""/>
              <o:lock v:ext="edit"/>
              <v:textbox inset="0mm,0mm,0mm,0mm">
                <w:txbxContent>
                  <w:p w14:paraId="5692FC48">
                    <w:pPr>
                      <w:spacing w:before="0" w:line="165" w:lineRule="exact"/>
                      <w:ind w:left="0" w:right="0" w:firstLine="0"/>
                      <w:jc w:val="left"/>
                      <w:rPr>
                        <w:sz w:val="16"/>
                      </w:rPr>
                    </w:pPr>
                    <w:r>
                      <w:rPr>
                        <w:w w:val="105"/>
                        <w:sz w:val="16"/>
                      </w:rPr>
                      <w:t>SE</w:t>
                    </w:r>
                  </w:p>
                </w:txbxContent>
              </v:textbox>
            </v:shape>
            <v:shape id="_x0000_s1498" o:spid="_x0000_s1498" o:spt="202" type="#_x0000_t202" style="position:absolute;left:4037;top:5477;height:166;width:186;" filled="f" stroked="f" coordsize="21600,21600">
              <v:path/>
              <v:fill on="f" focussize="0,0"/>
              <v:stroke on="f" joinstyle="miter"/>
              <v:imagedata o:title=""/>
              <o:lock v:ext="edit"/>
              <v:textbox inset="0mm,0mm,0mm,0mm">
                <w:txbxContent>
                  <w:p w14:paraId="3E614AB6">
                    <w:pPr>
                      <w:spacing w:before="0" w:line="165" w:lineRule="exact"/>
                      <w:ind w:left="0" w:right="0" w:firstLine="0"/>
                      <w:jc w:val="left"/>
                      <w:rPr>
                        <w:sz w:val="16"/>
                      </w:rPr>
                    </w:pPr>
                    <w:r>
                      <w:rPr>
                        <w:w w:val="105"/>
                        <w:sz w:val="16"/>
                      </w:rPr>
                      <w:t>SW</w:t>
                    </w:r>
                  </w:p>
                </w:txbxContent>
              </v:textbox>
            </v:shape>
            <v:shape id="_x0000_s1499" o:spid="_x0000_s1499" o:spt="202" type="#_x0000_t202" style="position:absolute;left:5068;top:5051;height:166;width:103;" filled="f" stroked="f" coordsize="21600,21600">
              <v:path/>
              <v:fill on="f" focussize="0,0"/>
              <v:stroke on="f" joinstyle="miter"/>
              <v:imagedata o:title=""/>
              <o:lock v:ext="edit"/>
              <v:textbox inset="0mm,0mm,0mm,0mm">
                <w:txbxContent>
                  <w:p w14:paraId="0D8CAC31">
                    <w:pPr>
                      <w:spacing w:before="0" w:line="165" w:lineRule="exact"/>
                      <w:ind w:left="0" w:right="0" w:firstLine="0"/>
                      <w:jc w:val="left"/>
                      <w:rPr>
                        <w:sz w:val="16"/>
                      </w:rPr>
                    </w:pPr>
                    <w:r>
                      <w:rPr>
                        <w:w w:val="103"/>
                        <w:sz w:val="16"/>
                      </w:rPr>
                      <w:t>E</w:t>
                    </w:r>
                  </w:p>
                </w:txbxContent>
              </v:textbox>
            </v:shape>
            <v:shape id="_x0000_s1500" o:spid="_x0000_s1500" o:spt="202" type="#_x0000_t202" style="position:absolute;left:3940;top:5051;height:166;width:103;" filled="f" stroked="f" coordsize="21600,21600">
              <v:path/>
              <v:fill on="f" focussize="0,0"/>
              <v:stroke on="f" joinstyle="miter"/>
              <v:imagedata o:title=""/>
              <o:lock v:ext="edit"/>
              <v:textbox inset="0mm,0mm,0mm,0mm">
                <w:txbxContent>
                  <w:p w14:paraId="6C4A1EAC">
                    <w:pPr>
                      <w:spacing w:before="0" w:line="165" w:lineRule="exact"/>
                      <w:ind w:left="0" w:right="0" w:firstLine="0"/>
                      <w:jc w:val="left"/>
                      <w:rPr>
                        <w:sz w:val="16"/>
                      </w:rPr>
                    </w:pPr>
                    <w:r>
                      <w:rPr>
                        <w:w w:val="103"/>
                        <w:sz w:val="16"/>
                      </w:rPr>
                      <w:t>W</w:t>
                    </w:r>
                  </w:p>
                </w:txbxContent>
              </v:textbox>
            </v:shape>
            <v:shape id="_x0000_s1501" o:spid="_x0000_s1501" o:spt="202" type="#_x0000_t202" style="position:absolute;left:4890;top:4611;height:166;width:186;" filled="f" stroked="f" coordsize="21600,21600">
              <v:path/>
              <v:fill on="f" focussize="0,0"/>
              <v:stroke on="f" joinstyle="miter"/>
              <v:imagedata o:title=""/>
              <o:lock v:ext="edit"/>
              <v:textbox inset="0mm,0mm,0mm,0mm">
                <w:txbxContent>
                  <w:p w14:paraId="68E29808">
                    <w:pPr>
                      <w:spacing w:before="0" w:line="165" w:lineRule="exact"/>
                      <w:ind w:left="0" w:right="0" w:firstLine="0"/>
                      <w:jc w:val="left"/>
                      <w:rPr>
                        <w:sz w:val="16"/>
                      </w:rPr>
                    </w:pPr>
                    <w:r>
                      <w:rPr>
                        <w:w w:val="105"/>
                        <w:sz w:val="16"/>
                      </w:rPr>
                      <w:t>NE</w:t>
                    </w:r>
                  </w:p>
                </w:txbxContent>
              </v:textbox>
            </v:shape>
            <v:shape id="_x0000_s1502" o:spid="_x0000_s1502" o:spt="202" type="#_x0000_t202" style="position:absolute;left:4037;top:4611;height:166;width:186;" filled="f" stroked="f" coordsize="21600,21600">
              <v:path/>
              <v:fill on="f" focussize="0,0"/>
              <v:stroke on="f" joinstyle="miter"/>
              <v:imagedata o:title=""/>
              <o:lock v:ext="edit"/>
              <v:textbox inset="0mm,0mm,0mm,0mm">
                <w:txbxContent>
                  <w:p w14:paraId="036E1997">
                    <w:pPr>
                      <w:spacing w:before="0" w:line="165" w:lineRule="exact"/>
                      <w:ind w:left="0" w:right="0" w:firstLine="0"/>
                      <w:jc w:val="left"/>
                      <w:rPr>
                        <w:sz w:val="16"/>
                      </w:rPr>
                    </w:pPr>
                    <w:r>
                      <w:rPr>
                        <w:w w:val="105"/>
                        <w:sz w:val="16"/>
                      </w:rPr>
                      <w:t>NW</w:t>
                    </w:r>
                  </w:p>
                </w:txbxContent>
              </v:textbox>
            </v:shape>
            <v:shape id="_x0000_s1503" o:spid="_x0000_s1503" o:spt="202" type="#_x0000_t202" style="position:absolute;left:4504;top:4432;height:166;width:103;" filled="f" stroked="f" coordsize="21600,21600">
              <v:path/>
              <v:fill on="f" focussize="0,0"/>
              <v:stroke on="f" joinstyle="miter"/>
              <v:imagedata o:title=""/>
              <o:lock v:ext="edit"/>
              <v:textbox inset="0mm,0mm,0mm,0mm">
                <w:txbxContent>
                  <w:p w14:paraId="0F4D47B9">
                    <w:pPr>
                      <w:spacing w:before="0" w:line="165" w:lineRule="exact"/>
                      <w:ind w:left="0" w:right="0" w:firstLine="0"/>
                      <w:jc w:val="left"/>
                      <w:rPr>
                        <w:sz w:val="16"/>
                      </w:rPr>
                    </w:pPr>
                    <w:r>
                      <w:rPr>
                        <w:w w:val="103"/>
                        <w:sz w:val="16"/>
                      </w:rPr>
                      <w:t>N</w:t>
                    </w:r>
                  </w:p>
                </w:txbxContent>
              </v:textbox>
            </v:shape>
            <v:shape id="_x0000_s1504" o:spid="_x0000_s1504" o:spt="202" type="#_x0000_t202" style="position:absolute;left:2152;top:6082;height:166;width:1176;" filled="f" stroked="f" coordsize="21600,21600">
              <v:path/>
              <v:fill on="f" focussize="0,0"/>
              <v:stroke on="f" joinstyle="miter"/>
              <v:imagedata o:title=""/>
              <o:lock v:ext="edit"/>
              <v:textbox inset="0mm,0mm,0mm,0mm">
                <w:txbxContent>
                  <w:p w14:paraId="32DA9087">
                    <w:pPr>
                      <w:spacing w:before="0" w:line="165" w:lineRule="exact"/>
                      <w:ind w:left="0" w:right="0" w:firstLine="0"/>
                      <w:jc w:val="left"/>
                      <w:rPr>
                        <w:sz w:val="16"/>
                      </w:rPr>
                    </w:pPr>
                    <w:r>
                      <w:rPr>
                        <w:sz w:val="16"/>
                      </w:rPr>
                      <w:t>十月,静风5.98%</w:t>
                    </w:r>
                  </w:p>
                </w:txbxContent>
              </v:textbox>
            </v:shape>
            <v:shape id="_x0000_s1505" o:spid="_x0000_s1505" o:spt="202" type="#_x0000_t202" style="position:absolute;left:2689;top:5656;height:166;width:103;" filled="f" stroked="f" coordsize="21600,21600">
              <v:path/>
              <v:fill on="f" focussize="0,0"/>
              <v:stroke on="f" joinstyle="miter"/>
              <v:imagedata o:title=""/>
              <o:lock v:ext="edit"/>
              <v:textbox inset="0mm,0mm,0mm,0mm">
                <w:txbxContent>
                  <w:p w14:paraId="56CF4E65">
                    <w:pPr>
                      <w:spacing w:before="0" w:line="165" w:lineRule="exact"/>
                      <w:ind w:left="0" w:right="0" w:firstLine="0"/>
                      <w:jc w:val="left"/>
                      <w:rPr>
                        <w:sz w:val="16"/>
                      </w:rPr>
                    </w:pPr>
                    <w:r>
                      <w:rPr>
                        <w:w w:val="103"/>
                        <w:sz w:val="16"/>
                      </w:rPr>
                      <w:t>S</w:t>
                    </w:r>
                  </w:p>
                </w:txbxContent>
              </v:textbox>
            </v:shape>
            <v:shape id="_x0000_s1506" o:spid="_x0000_s1506" o:spt="202" type="#_x0000_t202" style="position:absolute;left:3074;top:5477;height:166;width:186;" filled="f" stroked="f" coordsize="21600,21600">
              <v:path/>
              <v:fill on="f" focussize="0,0"/>
              <v:stroke on="f" joinstyle="miter"/>
              <v:imagedata o:title=""/>
              <o:lock v:ext="edit"/>
              <v:textbox inset="0mm,0mm,0mm,0mm">
                <w:txbxContent>
                  <w:p w14:paraId="4A87D5AA">
                    <w:pPr>
                      <w:spacing w:before="0" w:line="165" w:lineRule="exact"/>
                      <w:ind w:left="0" w:right="0" w:firstLine="0"/>
                      <w:jc w:val="left"/>
                      <w:rPr>
                        <w:sz w:val="16"/>
                      </w:rPr>
                    </w:pPr>
                    <w:r>
                      <w:rPr>
                        <w:w w:val="105"/>
                        <w:sz w:val="16"/>
                      </w:rPr>
                      <w:t>SE</w:t>
                    </w:r>
                  </w:p>
                </w:txbxContent>
              </v:textbox>
            </v:shape>
            <v:shape id="_x0000_s1507" o:spid="_x0000_s1507" o:spt="202" type="#_x0000_t202" style="position:absolute;left:2221;top:5477;height:166;width:186;" filled="f" stroked="f" coordsize="21600,21600">
              <v:path/>
              <v:fill on="f" focussize="0,0"/>
              <v:stroke on="f" joinstyle="miter"/>
              <v:imagedata o:title=""/>
              <o:lock v:ext="edit"/>
              <v:textbox inset="0mm,0mm,0mm,0mm">
                <w:txbxContent>
                  <w:p w14:paraId="2BD1AEBD">
                    <w:pPr>
                      <w:spacing w:before="0" w:line="165" w:lineRule="exact"/>
                      <w:ind w:left="0" w:right="0" w:firstLine="0"/>
                      <w:jc w:val="left"/>
                      <w:rPr>
                        <w:sz w:val="16"/>
                      </w:rPr>
                    </w:pPr>
                    <w:r>
                      <w:rPr>
                        <w:w w:val="105"/>
                        <w:sz w:val="16"/>
                      </w:rPr>
                      <w:t>SW</w:t>
                    </w:r>
                  </w:p>
                </w:txbxContent>
              </v:textbox>
            </v:shape>
            <v:shape id="_x0000_s1508" o:spid="_x0000_s1508" o:spt="202" type="#_x0000_t202" style="position:absolute;left:3253;top:5051;height:166;width:103;" filled="f" stroked="f" coordsize="21600,21600">
              <v:path/>
              <v:fill on="f" focussize="0,0"/>
              <v:stroke on="f" joinstyle="miter"/>
              <v:imagedata o:title=""/>
              <o:lock v:ext="edit"/>
              <v:textbox inset="0mm,0mm,0mm,0mm">
                <w:txbxContent>
                  <w:p w14:paraId="42A071A5">
                    <w:pPr>
                      <w:spacing w:before="0" w:line="165" w:lineRule="exact"/>
                      <w:ind w:left="0" w:right="0" w:firstLine="0"/>
                      <w:jc w:val="left"/>
                      <w:rPr>
                        <w:sz w:val="16"/>
                      </w:rPr>
                    </w:pPr>
                    <w:r>
                      <w:rPr>
                        <w:w w:val="103"/>
                        <w:sz w:val="16"/>
                      </w:rPr>
                      <w:t>E</w:t>
                    </w:r>
                  </w:p>
                </w:txbxContent>
              </v:textbox>
            </v:shape>
            <v:shape id="_x0000_s1509" o:spid="_x0000_s1509" o:spt="202" type="#_x0000_t202" style="position:absolute;left:2125;top:5051;height:166;width:103;" filled="f" stroked="f" coordsize="21600,21600">
              <v:path/>
              <v:fill on="f" focussize="0,0"/>
              <v:stroke on="f" joinstyle="miter"/>
              <v:imagedata o:title=""/>
              <o:lock v:ext="edit"/>
              <v:textbox inset="0mm,0mm,0mm,0mm">
                <w:txbxContent>
                  <w:p w14:paraId="6E82220E">
                    <w:pPr>
                      <w:spacing w:before="0" w:line="165" w:lineRule="exact"/>
                      <w:ind w:left="0" w:right="0" w:firstLine="0"/>
                      <w:jc w:val="left"/>
                      <w:rPr>
                        <w:sz w:val="16"/>
                      </w:rPr>
                    </w:pPr>
                    <w:r>
                      <w:rPr>
                        <w:w w:val="103"/>
                        <w:sz w:val="16"/>
                      </w:rPr>
                      <w:t>W</w:t>
                    </w:r>
                  </w:p>
                </w:txbxContent>
              </v:textbox>
            </v:shape>
            <v:shape id="_x0000_s1510" o:spid="_x0000_s1510" o:spt="202" type="#_x0000_t202" style="position:absolute;left:3074;top:4611;height:166;width:186;" filled="f" stroked="f" coordsize="21600,21600">
              <v:path/>
              <v:fill on="f" focussize="0,0"/>
              <v:stroke on="f" joinstyle="miter"/>
              <v:imagedata o:title=""/>
              <o:lock v:ext="edit"/>
              <v:textbox inset="0mm,0mm,0mm,0mm">
                <w:txbxContent>
                  <w:p w14:paraId="3B24423A">
                    <w:pPr>
                      <w:spacing w:before="0" w:line="165" w:lineRule="exact"/>
                      <w:ind w:left="0" w:right="0" w:firstLine="0"/>
                      <w:jc w:val="left"/>
                      <w:rPr>
                        <w:sz w:val="16"/>
                      </w:rPr>
                    </w:pPr>
                    <w:r>
                      <w:rPr>
                        <w:w w:val="105"/>
                        <w:sz w:val="16"/>
                      </w:rPr>
                      <w:t>NE</w:t>
                    </w:r>
                  </w:p>
                </w:txbxContent>
              </v:textbox>
            </v:shape>
            <v:shape id="_x0000_s1511" o:spid="_x0000_s1511" o:spt="202" type="#_x0000_t202" style="position:absolute;left:2221;top:4611;height:166;width:186;" filled="f" stroked="f" coordsize="21600,21600">
              <v:path/>
              <v:fill on="f" focussize="0,0"/>
              <v:stroke on="f" joinstyle="miter"/>
              <v:imagedata o:title=""/>
              <o:lock v:ext="edit"/>
              <v:textbox inset="0mm,0mm,0mm,0mm">
                <w:txbxContent>
                  <w:p w14:paraId="6C1FD750">
                    <w:pPr>
                      <w:spacing w:before="0" w:line="165" w:lineRule="exact"/>
                      <w:ind w:left="0" w:right="0" w:firstLine="0"/>
                      <w:jc w:val="left"/>
                      <w:rPr>
                        <w:sz w:val="16"/>
                      </w:rPr>
                    </w:pPr>
                    <w:r>
                      <w:rPr>
                        <w:w w:val="105"/>
                        <w:sz w:val="16"/>
                      </w:rPr>
                      <w:t>NW</w:t>
                    </w:r>
                  </w:p>
                </w:txbxContent>
              </v:textbox>
            </v:shape>
            <v:shape id="_x0000_s1512" o:spid="_x0000_s1512" o:spt="202" type="#_x0000_t202" style="position:absolute;left:2689;top:4432;height:166;width:103;" filled="f" stroked="f" coordsize="21600,21600">
              <v:path/>
              <v:fill on="f" focussize="0,0"/>
              <v:stroke on="f" joinstyle="miter"/>
              <v:imagedata o:title=""/>
              <o:lock v:ext="edit"/>
              <v:textbox inset="0mm,0mm,0mm,0mm">
                <w:txbxContent>
                  <w:p w14:paraId="14CCB1BA">
                    <w:pPr>
                      <w:spacing w:before="0" w:line="165" w:lineRule="exact"/>
                      <w:ind w:left="0" w:right="0" w:firstLine="0"/>
                      <w:jc w:val="left"/>
                      <w:rPr>
                        <w:sz w:val="16"/>
                      </w:rPr>
                    </w:pPr>
                    <w:r>
                      <w:rPr>
                        <w:w w:val="103"/>
                        <w:sz w:val="16"/>
                      </w:rPr>
                      <w:t>N</w:t>
                    </w:r>
                  </w:p>
                </w:txbxContent>
              </v:textbox>
            </v:shape>
            <v:shape id="_x0000_s1513" o:spid="_x0000_s1513" o:spt="202" type="#_x0000_t202" style="position:absolute;left:337;top:6082;height:166;width:1176;" filled="f" stroked="f" coordsize="21600,21600">
              <v:path/>
              <v:fill on="f" focussize="0,0"/>
              <v:stroke on="f" joinstyle="miter"/>
              <v:imagedata o:title=""/>
              <o:lock v:ext="edit"/>
              <v:textbox inset="0mm,0mm,0mm,0mm">
                <w:txbxContent>
                  <w:p w14:paraId="63ACBEC0">
                    <w:pPr>
                      <w:spacing w:before="0" w:line="165" w:lineRule="exact"/>
                      <w:ind w:left="0" w:right="0" w:firstLine="0"/>
                      <w:jc w:val="left"/>
                      <w:rPr>
                        <w:sz w:val="16"/>
                      </w:rPr>
                    </w:pPr>
                    <w:r>
                      <w:rPr>
                        <w:sz w:val="16"/>
                      </w:rPr>
                      <w:t>九月,静风5.39%</w:t>
                    </w:r>
                  </w:p>
                </w:txbxContent>
              </v:textbox>
            </v:shape>
            <v:shape id="_x0000_s1514" o:spid="_x0000_s1514" o:spt="202" type="#_x0000_t202" style="position:absolute;left:873;top:5656;height:166;width:103;" filled="f" stroked="f" coordsize="21600,21600">
              <v:path/>
              <v:fill on="f" focussize="0,0"/>
              <v:stroke on="f" joinstyle="miter"/>
              <v:imagedata o:title=""/>
              <o:lock v:ext="edit"/>
              <v:textbox inset="0mm,0mm,0mm,0mm">
                <w:txbxContent>
                  <w:p w14:paraId="73545A54">
                    <w:pPr>
                      <w:spacing w:before="0" w:line="165" w:lineRule="exact"/>
                      <w:ind w:left="0" w:right="0" w:firstLine="0"/>
                      <w:jc w:val="left"/>
                      <w:rPr>
                        <w:sz w:val="16"/>
                      </w:rPr>
                    </w:pPr>
                    <w:r>
                      <w:rPr>
                        <w:w w:val="103"/>
                        <w:sz w:val="16"/>
                      </w:rPr>
                      <w:t>S</w:t>
                    </w:r>
                  </w:p>
                </w:txbxContent>
              </v:textbox>
            </v:shape>
            <v:shape id="_x0000_s1515" o:spid="_x0000_s1515" o:spt="202" type="#_x0000_t202" style="position:absolute;left:1258;top:5477;height:166;width:186;" filled="f" stroked="f" coordsize="21600,21600">
              <v:path/>
              <v:fill on="f" focussize="0,0"/>
              <v:stroke on="f" joinstyle="miter"/>
              <v:imagedata o:title=""/>
              <o:lock v:ext="edit"/>
              <v:textbox inset="0mm,0mm,0mm,0mm">
                <w:txbxContent>
                  <w:p w14:paraId="6108C53C">
                    <w:pPr>
                      <w:spacing w:before="0" w:line="165" w:lineRule="exact"/>
                      <w:ind w:left="0" w:right="0" w:firstLine="0"/>
                      <w:jc w:val="left"/>
                      <w:rPr>
                        <w:sz w:val="16"/>
                      </w:rPr>
                    </w:pPr>
                    <w:r>
                      <w:rPr>
                        <w:w w:val="105"/>
                        <w:sz w:val="16"/>
                      </w:rPr>
                      <w:t>SE</w:t>
                    </w:r>
                  </w:p>
                </w:txbxContent>
              </v:textbox>
            </v:shape>
            <v:shape id="_x0000_s1516" o:spid="_x0000_s1516" o:spt="202" type="#_x0000_t202" style="position:absolute;left:405;top:5477;height:166;width:186;" filled="f" stroked="f" coordsize="21600,21600">
              <v:path/>
              <v:fill on="f" focussize="0,0"/>
              <v:stroke on="f" joinstyle="miter"/>
              <v:imagedata o:title=""/>
              <o:lock v:ext="edit"/>
              <v:textbox inset="0mm,0mm,0mm,0mm">
                <w:txbxContent>
                  <w:p w14:paraId="245D0A3C">
                    <w:pPr>
                      <w:spacing w:before="0" w:line="165" w:lineRule="exact"/>
                      <w:ind w:left="0" w:right="0" w:firstLine="0"/>
                      <w:jc w:val="left"/>
                      <w:rPr>
                        <w:sz w:val="16"/>
                      </w:rPr>
                    </w:pPr>
                    <w:r>
                      <w:rPr>
                        <w:w w:val="105"/>
                        <w:sz w:val="16"/>
                      </w:rPr>
                      <w:t>SW</w:t>
                    </w:r>
                  </w:p>
                </w:txbxContent>
              </v:textbox>
            </v:shape>
            <v:shape id="_x0000_s1517" o:spid="_x0000_s1517" o:spt="202" type="#_x0000_t202" style="position:absolute;left:1437;top:5051;height:166;width:103;" filled="f" stroked="f" coordsize="21600,21600">
              <v:path/>
              <v:fill on="f" focussize="0,0"/>
              <v:stroke on="f" joinstyle="miter"/>
              <v:imagedata o:title=""/>
              <o:lock v:ext="edit"/>
              <v:textbox inset="0mm,0mm,0mm,0mm">
                <w:txbxContent>
                  <w:p w14:paraId="5AF9769A">
                    <w:pPr>
                      <w:spacing w:before="0" w:line="165" w:lineRule="exact"/>
                      <w:ind w:left="0" w:right="0" w:firstLine="0"/>
                      <w:jc w:val="left"/>
                      <w:rPr>
                        <w:sz w:val="16"/>
                      </w:rPr>
                    </w:pPr>
                    <w:r>
                      <w:rPr>
                        <w:w w:val="103"/>
                        <w:sz w:val="16"/>
                      </w:rPr>
                      <w:t>E</w:t>
                    </w:r>
                  </w:p>
                </w:txbxContent>
              </v:textbox>
            </v:shape>
            <v:shape id="_x0000_s1518" o:spid="_x0000_s1518" o:spt="202" type="#_x0000_t202" style="position:absolute;left:309;top:5051;height:166;width:103;" filled="f" stroked="f" coordsize="21600,21600">
              <v:path/>
              <v:fill on="f" focussize="0,0"/>
              <v:stroke on="f" joinstyle="miter"/>
              <v:imagedata o:title=""/>
              <o:lock v:ext="edit"/>
              <v:textbox inset="0mm,0mm,0mm,0mm">
                <w:txbxContent>
                  <w:p w14:paraId="1DB9490A">
                    <w:pPr>
                      <w:spacing w:before="0" w:line="165" w:lineRule="exact"/>
                      <w:ind w:left="0" w:right="0" w:firstLine="0"/>
                      <w:jc w:val="left"/>
                      <w:rPr>
                        <w:sz w:val="16"/>
                      </w:rPr>
                    </w:pPr>
                    <w:r>
                      <w:rPr>
                        <w:w w:val="103"/>
                        <w:sz w:val="16"/>
                      </w:rPr>
                      <w:t>W</w:t>
                    </w:r>
                  </w:p>
                </w:txbxContent>
              </v:textbox>
            </v:shape>
            <v:shape id="_x0000_s1519" o:spid="_x0000_s1519" o:spt="202" type="#_x0000_t202" style="position:absolute;left:1258;top:4611;height:166;width:186;" filled="f" stroked="f" coordsize="21600,21600">
              <v:path/>
              <v:fill on="f" focussize="0,0"/>
              <v:stroke on="f" joinstyle="miter"/>
              <v:imagedata o:title=""/>
              <o:lock v:ext="edit"/>
              <v:textbox inset="0mm,0mm,0mm,0mm">
                <w:txbxContent>
                  <w:p w14:paraId="21393EEE">
                    <w:pPr>
                      <w:spacing w:before="0" w:line="165" w:lineRule="exact"/>
                      <w:ind w:left="0" w:right="0" w:firstLine="0"/>
                      <w:jc w:val="left"/>
                      <w:rPr>
                        <w:sz w:val="16"/>
                      </w:rPr>
                    </w:pPr>
                    <w:r>
                      <w:rPr>
                        <w:w w:val="105"/>
                        <w:sz w:val="16"/>
                      </w:rPr>
                      <w:t>NE</w:t>
                    </w:r>
                  </w:p>
                </w:txbxContent>
              </v:textbox>
            </v:shape>
            <v:shape id="_x0000_s1520" o:spid="_x0000_s1520" o:spt="202" type="#_x0000_t202" style="position:absolute;left:405;top:4611;height:166;width:186;" filled="f" stroked="f" coordsize="21600,21600">
              <v:path/>
              <v:fill on="f" focussize="0,0"/>
              <v:stroke on="f" joinstyle="miter"/>
              <v:imagedata o:title=""/>
              <o:lock v:ext="edit"/>
              <v:textbox inset="0mm,0mm,0mm,0mm">
                <w:txbxContent>
                  <w:p w14:paraId="0503889D">
                    <w:pPr>
                      <w:spacing w:before="0" w:line="165" w:lineRule="exact"/>
                      <w:ind w:left="0" w:right="0" w:firstLine="0"/>
                      <w:jc w:val="left"/>
                      <w:rPr>
                        <w:sz w:val="16"/>
                      </w:rPr>
                    </w:pPr>
                    <w:r>
                      <w:rPr>
                        <w:w w:val="105"/>
                        <w:sz w:val="16"/>
                      </w:rPr>
                      <w:t>NW</w:t>
                    </w:r>
                  </w:p>
                </w:txbxContent>
              </v:textbox>
            </v:shape>
            <v:shape id="_x0000_s1521" o:spid="_x0000_s1521" o:spt="202" type="#_x0000_t202" style="position:absolute;left:873;top:4432;height:166;width:103;" filled="f" stroked="f" coordsize="21600,21600">
              <v:path/>
              <v:fill on="f" focussize="0,0"/>
              <v:stroke on="f" joinstyle="miter"/>
              <v:imagedata o:title=""/>
              <o:lock v:ext="edit"/>
              <v:textbox inset="0mm,0mm,0mm,0mm">
                <w:txbxContent>
                  <w:p w14:paraId="04C41097">
                    <w:pPr>
                      <w:spacing w:before="0" w:line="165" w:lineRule="exact"/>
                      <w:ind w:left="0" w:right="0" w:firstLine="0"/>
                      <w:jc w:val="left"/>
                      <w:rPr>
                        <w:sz w:val="16"/>
                      </w:rPr>
                    </w:pPr>
                    <w:r>
                      <w:rPr>
                        <w:w w:val="103"/>
                        <w:sz w:val="16"/>
                      </w:rPr>
                      <w:t>N</w:t>
                    </w:r>
                  </w:p>
                </w:txbxContent>
              </v:textbox>
            </v:shape>
            <v:shape id="_x0000_s1522" o:spid="_x0000_s1522" o:spt="202" type="#_x0000_t202" style="position:absolute;left:5798;top:4005;height:166;width:1176;" filled="f" stroked="f" coordsize="21600,21600">
              <v:path/>
              <v:fill on="f" focussize="0,0"/>
              <v:stroke on="f" joinstyle="miter"/>
              <v:imagedata o:title=""/>
              <o:lock v:ext="edit"/>
              <v:textbox inset="0mm,0mm,0mm,0mm">
                <w:txbxContent>
                  <w:p w14:paraId="7A188AB3">
                    <w:pPr>
                      <w:spacing w:before="0" w:line="165" w:lineRule="exact"/>
                      <w:ind w:left="0" w:right="0" w:firstLine="0"/>
                      <w:jc w:val="left"/>
                      <w:rPr>
                        <w:sz w:val="16"/>
                      </w:rPr>
                    </w:pPr>
                    <w:r>
                      <w:rPr>
                        <w:sz w:val="16"/>
                      </w:rPr>
                      <w:t>八月,静风4.56%</w:t>
                    </w:r>
                  </w:p>
                </w:txbxContent>
              </v:textbox>
            </v:shape>
            <v:shape id="_x0000_s1523" o:spid="_x0000_s1523" o:spt="202" type="#_x0000_t202" style="position:absolute;left:6334;top:3579;height:166;width:103;" filled="f" stroked="f" coordsize="21600,21600">
              <v:path/>
              <v:fill on="f" focussize="0,0"/>
              <v:stroke on="f" joinstyle="miter"/>
              <v:imagedata o:title=""/>
              <o:lock v:ext="edit"/>
              <v:textbox inset="0mm,0mm,0mm,0mm">
                <w:txbxContent>
                  <w:p w14:paraId="4F12F081">
                    <w:pPr>
                      <w:spacing w:before="0" w:line="165" w:lineRule="exact"/>
                      <w:ind w:left="0" w:right="0" w:firstLine="0"/>
                      <w:jc w:val="left"/>
                      <w:rPr>
                        <w:sz w:val="16"/>
                      </w:rPr>
                    </w:pPr>
                    <w:r>
                      <w:rPr>
                        <w:w w:val="103"/>
                        <w:sz w:val="16"/>
                      </w:rPr>
                      <w:t>S</w:t>
                    </w:r>
                  </w:p>
                </w:txbxContent>
              </v:textbox>
            </v:shape>
            <v:shape id="_x0000_s1524" o:spid="_x0000_s1524" o:spt="202" type="#_x0000_t202" style="position:absolute;left:6719;top:3400;height:166;width:186;" filled="f" stroked="f" coordsize="21600,21600">
              <v:path/>
              <v:fill on="f" focussize="0,0"/>
              <v:stroke on="f" joinstyle="miter"/>
              <v:imagedata o:title=""/>
              <o:lock v:ext="edit"/>
              <v:textbox inset="0mm,0mm,0mm,0mm">
                <w:txbxContent>
                  <w:p w14:paraId="5C57BB7B">
                    <w:pPr>
                      <w:spacing w:before="0" w:line="165" w:lineRule="exact"/>
                      <w:ind w:left="0" w:right="0" w:firstLine="0"/>
                      <w:jc w:val="left"/>
                      <w:rPr>
                        <w:sz w:val="16"/>
                      </w:rPr>
                    </w:pPr>
                    <w:r>
                      <w:rPr>
                        <w:w w:val="105"/>
                        <w:sz w:val="16"/>
                      </w:rPr>
                      <w:t>SE</w:t>
                    </w:r>
                  </w:p>
                </w:txbxContent>
              </v:textbox>
            </v:shape>
            <v:shape id="_x0000_s1525" o:spid="_x0000_s1525" o:spt="202" type="#_x0000_t202" style="position:absolute;left:5866;top:3400;height:166;width:186;" filled="f" stroked="f" coordsize="21600,21600">
              <v:path/>
              <v:fill on="f" focussize="0,0"/>
              <v:stroke on="f" joinstyle="miter"/>
              <v:imagedata o:title=""/>
              <o:lock v:ext="edit"/>
              <v:textbox inset="0mm,0mm,0mm,0mm">
                <w:txbxContent>
                  <w:p w14:paraId="5C157C72">
                    <w:pPr>
                      <w:spacing w:before="0" w:line="165" w:lineRule="exact"/>
                      <w:ind w:left="0" w:right="0" w:firstLine="0"/>
                      <w:jc w:val="left"/>
                      <w:rPr>
                        <w:sz w:val="16"/>
                      </w:rPr>
                    </w:pPr>
                    <w:r>
                      <w:rPr>
                        <w:w w:val="105"/>
                        <w:sz w:val="16"/>
                      </w:rPr>
                      <w:t>SW</w:t>
                    </w:r>
                  </w:p>
                </w:txbxContent>
              </v:textbox>
            </v:shape>
            <v:shape id="_x0000_s1526" o:spid="_x0000_s1526" o:spt="202" type="#_x0000_t202" style="position:absolute;left:6898;top:2960;height:166;width:103;" filled="f" stroked="f" coordsize="21600,21600">
              <v:path/>
              <v:fill on="f" focussize="0,0"/>
              <v:stroke on="f" joinstyle="miter"/>
              <v:imagedata o:title=""/>
              <o:lock v:ext="edit"/>
              <v:textbox inset="0mm,0mm,0mm,0mm">
                <w:txbxContent>
                  <w:p w14:paraId="526E1B04">
                    <w:pPr>
                      <w:spacing w:before="0" w:line="165" w:lineRule="exact"/>
                      <w:ind w:left="0" w:right="0" w:firstLine="0"/>
                      <w:jc w:val="left"/>
                      <w:rPr>
                        <w:sz w:val="16"/>
                      </w:rPr>
                    </w:pPr>
                    <w:r>
                      <w:rPr>
                        <w:w w:val="103"/>
                        <w:sz w:val="16"/>
                      </w:rPr>
                      <w:t>E</w:t>
                    </w:r>
                  </w:p>
                </w:txbxContent>
              </v:textbox>
            </v:shape>
            <v:shape id="_x0000_s1527" o:spid="_x0000_s1527" o:spt="202" type="#_x0000_t202" style="position:absolute;left:5770;top:2960;height:166;width:103;" filled="f" stroked="f" coordsize="21600,21600">
              <v:path/>
              <v:fill on="f" focussize="0,0"/>
              <v:stroke on="f" joinstyle="miter"/>
              <v:imagedata o:title=""/>
              <o:lock v:ext="edit"/>
              <v:textbox inset="0mm,0mm,0mm,0mm">
                <w:txbxContent>
                  <w:p w14:paraId="1D1DDAC8">
                    <w:pPr>
                      <w:spacing w:before="0" w:line="165" w:lineRule="exact"/>
                      <w:ind w:left="0" w:right="0" w:firstLine="0"/>
                      <w:jc w:val="left"/>
                      <w:rPr>
                        <w:sz w:val="16"/>
                      </w:rPr>
                    </w:pPr>
                    <w:r>
                      <w:rPr>
                        <w:w w:val="103"/>
                        <w:sz w:val="16"/>
                      </w:rPr>
                      <w:t>W</w:t>
                    </w:r>
                  </w:p>
                </w:txbxContent>
              </v:textbox>
            </v:shape>
            <v:shape id="_x0000_s1528" o:spid="_x0000_s1528" o:spt="202" type="#_x0000_t202" style="position:absolute;left:6719;top:2533;height:166;width:186;" filled="f" stroked="f" coordsize="21600,21600">
              <v:path/>
              <v:fill on="f" focussize="0,0"/>
              <v:stroke on="f" joinstyle="miter"/>
              <v:imagedata o:title=""/>
              <o:lock v:ext="edit"/>
              <v:textbox inset="0mm,0mm,0mm,0mm">
                <w:txbxContent>
                  <w:p w14:paraId="79361757">
                    <w:pPr>
                      <w:spacing w:before="0" w:line="165" w:lineRule="exact"/>
                      <w:ind w:left="0" w:right="0" w:firstLine="0"/>
                      <w:jc w:val="left"/>
                      <w:rPr>
                        <w:sz w:val="16"/>
                      </w:rPr>
                    </w:pPr>
                    <w:r>
                      <w:rPr>
                        <w:w w:val="105"/>
                        <w:sz w:val="16"/>
                      </w:rPr>
                      <w:t>NE</w:t>
                    </w:r>
                  </w:p>
                </w:txbxContent>
              </v:textbox>
            </v:shape>
            <v:shape id="_x0000_s1529" o:spid="_x0000_s1529" o:spt="202" type="#_x0000_t202" style="position:absolute;left:5866;top:2533;height:166;width:186;" filled="f" stroked="f" coordsize="21600,21600">
              <v:path/>
              <v:fill on="f" focussize="0,0"/>
              <v:stroke on="f" joinstyle="miter"/>
              <v:imagedata o:title=""/>
              <o:lock v:ext="edit"/>
              <v:textbox inset="0mm,0mm,0mm,0mm">
                <w:txbxContent>
                  <w:p w14:paraId="41CF2B79">
                    <w:pPr>
                      <w:spacing w:before="0" w:line="165" w:lineRule="exact"/>
                      <w:ind w:left="0" w:right="0" w:firstLine="0"/>
                      <w:jc w:val="left"/>
                      <w:rPr>
                        <w:sz w:val="16"/>
                      </w:rPr>
                    </w:pPr>
                    <w:r>
                      <w:rPr>
                        <w:w w:val="105"/>
                        <w:sz w:val="16"/>
                      </w:rPr>
                      <w:t>NW</w:t>
                    </w:r>
                  </w:p>
                </w:txbxContent>
              </v:textbox>
            </v:shape>
            <v:shape id="_x0000_s1530" o:spid="_x0000_s1530" o:spt="202" type="#_x0000_t202" style="position:absolute;left:6334;top:2354;height:166;width:103;" filled="f" stroked="f" coordsize="21600,21600">
              <v:path/>
              <v:fill on="f" focussize="0,0"/>
              <v:stroke on="f" joinstyle="miter"/>
              <v:imagedata o:title=""/>
              <o:lock v:ext="edit"/>
              <v:textbox inset="0mm,0mm,0mm,0mm">
                <w:txbxContent>
                  <w:p w14:paraId="68F1EAB9">
                    <w:pPr>
                      <w:spacing w:before="0" w:line="165" w:lineRule="exact"/>
                      <w:ind w:left="0" w:right="0" w:firstLine="0"/>
                      <w:jc w:val="left"/>
                      <w:rPr>
                        <w:sz w:val="16"/>
                      </w:rPr>
                    </w:pPr>
                    <w:r>
                      <w:rPr>
                        <w:w w:val="103"/>
                        <w:sz w:val="16"/>
                      </w:rPr>
                      <w:t>N</w:t>
                    </w:r>
                  </w:p>
                </w:txbxContent>
              </v:textbox>
            </v:shape>
            <v:shape id="_x0000_s1531" o:spid="_x0000_s1531" o:spt="202" type="#_x0000_t202" style="position:absolute;left:3968;top:4005;height:166;width:1176;" filled="f" stroked="f" coordsize="21600,21600">
              <v:path/>
              <v:fill on="f" focussize="0,0"/>
              <v:stroke on="f" joinstyle="miter"/>
              <v:imagedata o:title=""/>
              <o:lock v:ext="edit"/>
              <v:textbox inset="0mm,0mm,0mm,0mm">
                <w:txbxContent>
                  <w:p w14:paraId="6DB87B53">
                    <w:pPr>
                      <w:spacing w:before="0" w:line="165" w:lineRule="exact"/>
                      <w:ind w:left="0" w:right="0" w:firstLine="0"/>
                      <w:jc w:val="left"/>
                      <w:rPr>
                        <w:sz w:val="16"/>
                      </w:rPr>
                    </w:pPr>
                    <w:r>
                      <w:rPr>
                        <w:sz w:val="16"/>
                      </w:rPr>
                      <w:t>七月,静风4.14%</w:t>
                    </w:r>
                  </w:p>
                </w:txbxContent>
              </v:textbox>
            </v:shape>
            <v:shape id="_x0000_s1532" o:spid="_x0000_s1532" o:spt="202" type="#_x0000_t202" style="position:absolute;left:4504;top:3579;height:166;width:103;" filled="f" stroked="f" coordsize="21600,21600">
              <v:path/>
              <v:fill on="f" focussize="0,0"/>
              <v:stroke on="f" joinstyle="miter"/>
              <v:imagedata o:title=""/>
              <o:lock v:ext="edit"/>
              <v:textbox inset="0mm,0mm,0mm,0mm">
                <w:txbxContent>
                  <w:p w14:paraId="64BEF3AC">
                    <w:pPr>
                      <w:spacing w:before="0" w:line="165" w:lineRule="exact"/>
                      <w:ind w:left="0" w:right="0" w:firstLine="0"/>
                      <w:jc w:val="left"/>
                      <w:rPr>
                        <w:sz w:val="16"/>
                      </w:rPr>
                    </w:pPr>
                    <w:r>
                      <w:rPr>
                        <w:w w:val="103"/>
                        <w:sz w:val="16"/>
                      </w:rPr>
                      <w:t>S</w:t>
                    </w:r>
                  </w:p>
                </w:txbxContent>
              </v:textbox>
            </v:shape>
            <v:shape id="_x0000_s1533" o:spid="_x0000_s1533" o:spt="202" type="#_x0000_t202" style="position:absolute;left:4890;top:3400;height:166;width:186;" filled="f" stroked="f" coordsize="21600,21600">
              <v:path/>
              <v:fill on="f" focussize="0,0"/>
              <v:stroke on="f" joinstyle="miter"/>
              <v:imagedata o:title=""/>
              <o:lock v:ext="edit"/>
              <v:textbox inset="0mm,0mm,0mm,0mm">
                <w:txbxContent>
                  <w:p w14:paraId="1F34A26E">
                    <w:pPr>
                      <w:spacing w:before="0" w:line="165" w:lineRule="exact"/>
                      <w:ind w:left="0" w:right="0" w:firstLine="0"/>
                      <w:jc w:val="left"/>
                      <w:rPr>
                        <w:sz w:val="16"/>
                      </w:rPr>
                    </w:pPr>
                    <w:r>
                      <w:rPr>
                        <w:w w:val="105"/>
                        <w:sz w:val="16"/>
                      </w:rPr>
                      <w:t>SE</w:t>
                    </w:r>
                  </w:p>
                </w:txbxContent>
              </v:textbox>
            </v:shape>
            <v:shape id="_x0000_s1534" o:spid="_x0000_s1534" o:spt="202" type="#_x0000_t202" style="position:absolute;left:4037;top:3400;height:166;width:186;" filled="f" stroked="f" coordsize="21600,21600">
              <v:path/>
              <v:fill on="f" focussize="0,0"/>
              <v:stroke on="f" joinstyle="miter"/>
              <v:imagedata o:title=""/>
              <o:lock v:ext="edit"/>
              <v:textbox inset="0mm,0mm,0mm,0mm">
                <w:txbxContent>
                  <w:p w14:paraId="22821E7F">
                    <w:pPr>
                      <w:spacing w:before="0" w:line="165" w:lineRule="exact"/>
                      <w:ind w:left="0" w:right="0" w:firstLine="0"/>
                      <w:jc w:val="left"/>
                      <w:rPr>
                        <w:sz w:val="16"/>
                      </w:rPr>
                    </w:pPr>
                    <w:r>
                      <w:rPr>
                        <w:w w:val="105"/>
                        <w:sz w:val="16"/>
                      </w:rPr>
                      <w:t>SW</w:t>
                    </w:r>
                  </w:p>
                </w:txbxContent>
              </v:textbox>
            </v:shape>
            <v:shape id="_x0000_s1535" o:spid="_x0000_s1535" o:spt="202" type="#_x0000_t202" style="position:absolute;left:5068;top:2960;height:166;width:103;" filled="f" stroked="f" coordsize="21600,21600">
              <v:path/>
              <v:fill on="f" focussize="0,0"/>
              <v:stroke on="f" joinstyle="miter"/>
              <v:imagedata o:title=""/>
              <o:lock v:ext="edit"/>
              <v:textbox inset="0mm,0mm,0mm,0mm">
                <w:txbxContent>
                  <w:p w14:paraId="748CA854">
                    <w:pPr>
                      <w:spacing w:before="0" w:line="165" w:lineRule="exact"/>
                      <w:ind w:left="0" w:right="0" w:firstLine="0"/>
                      <w:jc w:val="left"/>
                      <w:rPr>
                        <w:sz w:val="16"/>
                      </w:rPr>
                    </w:pPr>
                    <w:r>
                      <w:rPr>
                        <w:w w:val="103"/>
                        <w:sz w:val="16"/>
                      </w:rPr>
                      <w:t>E</w:t>
                    </w:r>
                  </w:p>
                </w:txbxContent>
              </v:textbox>
            </v:shape>
            <v:shape id="_x0000_s1536" o:spid="_x0000_s1536" o:spt="202" type="#_x0000_t202" style="position:absolute;left:3940;top:2960;height:166;width:103;" filled="f" stroked="f" coordsize="21600,21600">
              <v:path/>
              <v:fill on="f" focussize="0,0"/>
              <v:stroke on="f" joinstyle="miter"/>
              <v:imagedata o:title=""/>
              <o:lock v:ext="edit"/>
              <v:textbox inset="0mm,0mm,0mm,0mm">
                <w:txbxContent>
                  <w:p w14:paraId="497D1715">
                    <w:pPr>
                      <w:spacing w:before="0" w:line="165" w:lineRule="exact"/>
                      <w:ind w:left="0" w:right="0" w:firstLine="0"/>
                      <w:jc w:val="left"/>
                      <w:rPr>
                        <w:sz w:val="16"/>
                      </w:rPr>
                    </w:pPr>
                    <w:r>
                      <w:rPr>
                        <w:w w:val="103"/>
                        <w:sz w:val="16"/>
                      </w:rPr>
                      <w:t>W</w:t>
                    </w:r>
                  </w:p>
                </w:txbxContent>
              </v:textbox>
            </v:shape>
            <v:shape id="_x0000_s1537" o:spid="_x0000_s1537" o:spt="202" type="#_x0000_t202" style="position:absolute;left:4890;top:2533;height:166;width:186;" filled="f" stroked="f" coordsize="21600,21600">
              <v:path/>
              <v:fill on="f" focussize="0,0"/>
              <v:stroke on="f" joinstyle="miter"/>
              <v:imagedata o:title=""/>
              <o:lock v:ext="edit"/>
              <v:textbox inset="0mm,0mm,0mm,0mm">
                <w:txbxContent>
                  <w:p w14:paraId="495766A3">
                    <w:pPr>
                      <w:spacing w:before="0" w:line="165" w:lineRule="exact"/>
                      <w:ind w:left="0" w:right="0" w:firstLine="0"/>
                      <w:jc w:val="left"/>
                      <w:rPr>
                        <w:sz w:val="16"/>
                      </w:rPr>
                    </w:pPr>
                    <w:r>
                      <w:rPr>
                        <w:w w:val="105"/>
                        <w:sz w:val="16"/>
                      </w:rPr>
                      <w:t>NE</w:t>
                    </w:r>
                  </w:p>
                </w:txbxContent>
              </v:textbox>
            </v:shape>
            <v:shape id="_x0000_s1538" o:spid="_x0000_s1538" o:spt="202" type="#_x0000_t202" style="position:absolute;left:4037;top:2533;height:166;width:186;" filled="f" stroked="f" coordsize="21600,21600">
              <v:path/>
              <v:fill on="f" focussize="0,0"/>
              <v:stroke on="f" joinstyle="miter"/>
              <v:imagedata o:title=""/>
              <o:lock v:ext="edit"/>
              <v:textbox inset="0mm,0mm,0mm,0mm">
                <w:txbxContent>
                  <w:p w14:paraId="750307AC">
                    <w:pPr>
                      <w:spacing w:before="0" w:line="165" w:lineRule="exact"/>
                      <w:ind w:left="0" w:right="0" w:firstLine="0"/>
                      <w:jc w:val="left"/>
                      <w:rPr>
                        <w:sz w:val="16"/>
                      </w:rPr>
                    </w:pPr>
                    <w:r>
                      <w:rPr>
                        <w:w w:val="105"/>
                        <w:sz w:val="16"/>
                      </w:rPr>
                      <w:t>NW</w:t>
                    </w:r>
                  </w:p>
                </w:txbxContent>
              </v:textbox>
            </v:shape>
            <v:shape id="_x0000_s1539" o:spid="_x0000_s1539" o:spt="202" type="#_x0000_t202" style="position:absolute;left:4504;top:2354;height:166;width:103;" filled="f" stroked="f" coordsize="21600,21600">
              <v:path/>
              <v:fill on="f" focussize="0,0"/>
              <v:stroke on="f" joinstyle="miter"/>
              <v:imagedata o:title=""/>
              <o:lock v:ext="edit"/>
              <v:textbox inset="0mm,0mm,0mm,0mm">
                <w:txbxContent>
                  <w:p w14:paraId="2B444D0A">
                    <w:pPr>
                      <w:spacing w:before="0" w:line="165" w:lineRule="exact"/>
                      <w:ind w:left="0" w:right="0" w:firstLine="0"/>
                      <w:jc w:val="left"/>
                      <w:rPr>
                        <w:sz w:val="16"/>
                      </w:rPr>
                    </w:pPr>
                    <w:r>
                      <w:rPr>
                        <w:w w:val="103"/>
                        <w:sz w:val="16"/>
                      </w:rPr>
                      <w:t>N</w:t>
                    </w:r>
                  </w:p>
                </w:txbxContent>
              </v:textbox>
            </v:shape>
            <v:shape id="_x0000_s1540" o:spid="_x0000_s1540" o:spt="202" type="#_x0000_t202" style="position:absolute;left:2152;top:4005;height:166;width:1176;" filled="f" stroked="f" coordsize="21600,21600">
              <v:path/>
              <v:fill on="f" focussize="0,0"/>
              <v:stroke on="f" joinstyle="miter"/>
              <v:imagedata o:title=""/>
              <o:lock v:ext="edit"/>
              <v:textbox inset="0mm,0mm,0mm,0mm">
                <w:txbxContent>
                  <w:p w14:paraId="24B3C5BC">
                    <w:pPr>
                      <w:spacing w:before="0" w:line="165" w:lineRule="exact"/>
                      <w:ind w:left="0" w:right="0" w:firstLine="0"/>
                      <w:jc w:val="left"/>
                      <w:rPr>
                        <w:sz w:val="16"/>
                      </w:rPr>
                    </w:pPr>
                    <w:r>
                      <w:rPr>
                        <w:sz w:val="16"/>
                      </w:rPr>
                      <w:t>六月,静风5.50%</w:t>
                    </w:r>
                  </w:p>
                </w:txbxContent>
              </v:textbox>
            </v:shape>
            <v:shape id="_x0000_s1541" o:spid="_x0000_s1541" o:spt="202" type="#_x0000_t202" style="position:absolute;left:2689;top:3579;height:166;width:103;" filled="f" stroked="f" coordsize="21600,21600">
              <v:path/>
              <v:fill on="f" focussize="0,0"/>
              <v:stroke on="f" joinstyle="miter"/>
              <v:imagedata o:title=""/>
              <o:lock v:ext="edit"/>
              <v:textbox inset="0mm,0mm,0mm,0mm">
                <w:txbxContent>
                  <w:p w14:paraId="4AC10CE1">
                    <w:pPr>
                      <w:spacing w:before="0" w:line="165" w:lineRule="exact"/>
                      <w:ind w:left="0" w:right="0" w:firstLine="0"/>
                      <w:jc w:val="left"/>
                      <w:rPr>
                        <w:sz w:val="16"/>
                      </w:rPr>
                    </w:pPr>
                    <w:r>
                      <w:rPr>
                        <w:w w:val="103"/>
                        <w:sz w:val="16"/>
                      </w:rPr>
                      <w:t>S</w:t>
                    </w:r>
                  </w:p>
                </w:txbxContent>
              </v:textbox>
            </v:shape>
            <v:shape id="_x0000_s1542" o:spid="_x0000_s1542" o:spt="202" type="#_x0000_t202" style="position:absolute;left:3074;top:3400;height:166;width:186;" filled="f" stroked="f" coordsize="21600,21600">
              <v:path/>
              <v:fill on="f" focussize="0,0"/>
              <v:stroke on="f" joinstyle="miter"/>
              <v:imagedata o:title=""/>
              <o:lock v:ext="edit"/>
              <v:textbox inset="0mm,0mm,0mm,0mm">
                <w:txbxContent>
                  <w:p w14:paraId="1C573693">
                    <w:pPr>
                      <w:spacing w:before="0" w:line="165" w:lineRule="exact"/>
                      <w:ind w:left="0" w:right="0" w:firstLine="0"/>
                      <w:jc w:val="left"/>
                      <w:rPr>
                        <w:sz w:val="16"/>
                      </w:rPr>
                    </w:pPr>
                    <w:r>
                      <w:rPr>
                        <w:w w:val="105"/>
                        <w:sz w:val="16"/>
                      </w:rPr>
                      <w:t>SE</w:t>
                    </w:r>
                  </w:p>
                </w:txbxContent>
              </v:textbox>
            </v:shape>
            <v:shape id="_x0000_s1543" o:spid="_x0000_s1543" o:spt="202" type="#_x0000_t202" style="position:absolute;left:2221;top:3400;height:166;width:186;" filled="f" stroked="f" coordsize="21600,21600">
              <v:path/>
              <v:fill on="f" focussize="0,0"/>
              <v:stroke on="f" joinstyle="miter"/>
              <v:imagedata o:title=""/>
              <o:lock v:ext="edit"/>
              <v:textbox inset="0mm,0mm,0mm,0mm">
                <w:txbxContent>
                  <w:p w14:paraId="50368678">
                    <w:pPr>
                      <w:spacing w:before="0" w:line="165" w:lineRule="exact"/>
                      <w:ind w:left="0" w:right="0" w:firstLine="0"/>
                      <w:jc w:val="left"/>
                      <w:rPr>
                        <w:sz w:val="16"/>
                      </w:rPr>
                    </w:pPr>
                    <w:r>
                      <w:rPr>
                        <w:w w:val="105"/>
                        <w:sz w:val="16"/>
                      </w:rPr>
                      <w:t>SW</w:t>
                    </w:r>
                  </w:p>
                </w:txbxContent>
              </v:textbox>
            </v:shape>
            <v:shape id="_x0000_s1544" o:spid="_x0000_s1544" o:spt="202" type="#_x0000_t202" style="position:absolute;left:3253;top:2960;height:166;width:103;" filled="f" stroked="f" coordsize="21600,21600">
              <v:path/>
              <v:fill on="f" focussize="0,0"/>
              <v:stroke on="f" joinstyle="miter"/>
              <v:imagedata o:title=""/>
              <o:lock v:ext="edit"/>
              <v:textbox inset="0mm,0mm,0mm,0mm">
                <w:txbxContent>
                  <w:p w14:paraId="68FD2789">
                    <w:pPr>
                      <w:spacing w:before="0" w:line="165" w:lineRule="exact"/>
                      <w:ind w:left="0" w:right="0" w:firstLine="0"/>
                      <w:jc w:val="left"/>
                      <w:rPr>
                        <w:sz w:val="16"/>
                      </w:rPr>
                    </w:pPr>
                    <w:r>
                      <w:rPr>
                        <w:w w:val="103"/>
                        <w:sz w:val="16"/>
                      </w:rPr>
                      <w:t>E</w:t>
                    </w:r>
                  </w:p>
                </w:txbxContent>
              </v:textbox>
            </v:shape>
            <v:shape id="_x0000_s1545" o:spid="_x0000_s1545" o:spt="202" type="#_x0000_t202" style="position:absolute;left:2125;top:2960;height:166;width:103;" filled="f" stroked="f" coordsize="21600,21600">
              <v:path/>
              <v:fill on="f" focussize="0,0"/>
              <v:stroke on="f" joinstyle="miter"/>
              <v:imagedata o:title=""/>
              <o:lock v:ext="edit"/>
              <v:textbox inset="0mm,0mm,0mm,0mm">
                <w:txbxContent>
                  <w:p w14:paraId="0DEAD4EC">
                    <w:pPr>
                      <w:spacing w:before="0" w:line="165" w:lineRule="exact"/>
                      <w:ind w:left="0" w:right="0" w:firstLine="0"/>
                      <w:jc w:val="left"/>
                      <w:rPr>
                        <w:sz w:val="16"/>
                      </w:rPr>
                    </w:pPr>
                    <w:r>
                      <w:rPr>
                        <w:w w:val="103"/>
                        <w:sz w:val="16"/>
                      </w:rPr>
                      <w:t>W</w:t>
                    </w:r>
                  </w:p>
                </w:txbxContent>
              </v:textbox>
            </v:shape>
            <v:shape id="_x0000_s1546" o:spid="_x0000_s1546" o:spt="202" type="#_x0000_t202" style="position:absolute;left:3074;top:2533;height:166;width:186;" filled="f" stroked="f" coordsize="21600,21600">
              <v:path/>
              <v:fill on="f" focussize="0,0"/>
              <v:stroke on="f" joinstyle="miter"/>
              <v:imagedata o:title=""/>
              <o:lock v:ext="edit"/>
              <v:textbox inset="0mm,0mm,0mm,0mm">
                <w:txbxContent>
                  <w:p w14:paraId="58E39C5B">
                    <w:pPr>
                      <w:spacing w:before="0" w:line="165" w:lineRule="exact"/>
                      <w:ind w:left="0" w:right="0" w:firstLine="0"/>
                      <w:jc w:val="left"/>
                      <w:rPr>
                        <w:sz w:val="16"/>
                      </w:rPr>
                    </w:pPr>
                    <w:r>
                      <w:rPr>
                        <w:w w:val="105"/>
                        <w:sz w:val="16"/>
                      </w:rPr>
                      <w:t>NE</w:t>
                    </w:r>
                  </w:p>
                </w:txbxContent>
              </v:textbox>
            </v:shape>
            <v:shape id="_x0000_s1547" o:spid="_x0000_s1547" o:spt="202" type="#_x0000_t202" style="position:absolute;left:2221;top:2533;height:166;width:186;" filled="f" stroked="f" coordsize="21600,21600">
              <v:path/>
              <v:fill on="f" focussize="0,0"/>
              <v:stroke on="f" joinstyle="miter"/>
              <v:imagedata o:title=""/>
              <o:lock v:ext="edit"/>
              <v:textbox inset="0mm,0mm,0mm,0mm">
                <w:txbxContent>
                  <w:p w14:paraId="4B49A000">
                    <w:pPr>
                      <w:spacing w:before="0" w:line="165" w:lineRule="exact"/>
                      <w:ind w:left="0" w:right="0" w:firstLine="0"/>
                      <w:jc w:val="left"/>
                      <w:rPr>
                        <w:sz w:val="16"/>
                      </w:rPr>
                    </w:pPr>
                    <w:r>
                      <w:rPr>
                        <w:w w:val="105"/>
                        <w:sz w:val="16"/>
                      </w:rPr>
                      <w:t>NW</w:t>
                    </w:r>
                  </w:p>
                </w:txbxContent>
              </v:textbox>
            </v:shape>
            <v:shape id="_x0000_s1548" o:spid="_x0000_s1548" o:spt="202" type="#_x0000_t202" style="position:absolute;left:2689;top:2354;height:166;width:103;" filled="f" stroked="f" coordsize="21600,21600">
              <v:path/>
              <v:fill on="f" focussize="0,0"/>
              <v:stroke on="f" joinstyle="miter"/>
              <v:imagedata o:title=""/>
              <o:lock v:ext="edit"/>
              <v:textbox inset="0mm,0mm,0mm,0mm">
                <w:txbxContent>
                  <w:p w14:paraId="1EFF6E60">
                    <w:pPr>
                      <w:spacing w:before="0" w:line="165" w:lineRule="exact"/>
                      <w:ind w:left="0" w:right="0" w:firstLine="0"/>
                      <w:jc w:val="left"/>
                      <w:rPr>
                        <w:sz w:val="16"/>
                      </w:rPr>
                    </w:pPr>
                    <w:r>
                      <w:rPr>
                        <w:w w:val="103"/>
                        <w:sz w:val="16"/>
                      </w:rPr>
                      <w:t>N</w:t>
                    </w:r>
                  </w:p>
                </w:txbxContent>
              </v:textbox>
            </v:shape>
            <v:shape id="_x0000_s1549" o:spid="_x0000_s1549" o:spt="202" type="#_x0000_t202" style="position:absolute;left:337;top:4005;height:166;width:1176;" filled="f" stroked="f" coordsize="21600,21600">
              <v:path/>
              <v:fill on="f" focussize="0,0"/>
              <v:stroke on="f" joinstyle="miter"/>
              <v:imagedata o:title=""/>
              <o:lock v:ext="edit"/>
              <v:textbox inset="0mm,0mm,0mm,0mm">
                <w:txbxContent>
                  <w:p w14:paraId="12FE5936">
                    <w:pPr>
                      <w:spacing w:before="0" w:line="165" w:lineRule="exact"/>
                      <w:ind w:left="0" w:right="0" w:firstLine="0"/>
                      <w:jc w:val="left"/>
                      <w:rPr>
                        <w:sz w:val="16"/>
                      </w:rPr>
                    </w:pPr>
                    <w:r>
                      <w:rPr>
                        <w:sz w:val="16"/>
                      </w:rPr>
                      <w:t>五月,静风5.42%</w:t>
                    </w:r>
                  </w:p>
                </w:txbxContent>
              </v:textbox>
            </v:shape>
            <v:shape id="_x0000_s1550" o:spid="_x0000_s1550" o:spt="202" type="#_x0000_t202" style="position:absolute;left:873;top:3579;height:166;width:103;" filled="f" stroked="f" coordsize="21600,21600">
              <v:path/>
              <v:fill on="f" focussize="0,0"/>
              <v:stroke on="f" joinstyle="miter"/>
              <v:imagedata o:title=""/>
              <o:lock v:ext="edit"/>
              <v:textbox inset="0mm,0mm,0mm,0mm">
                <w:txbxContent>
                  <w:p w14:paraId="6B9C3EDB">
                    <w:pPr>
                      <w:spacing w:before="0" w:line="165" w:lineRule="exact"/>
                      <w:ind w:left="0" w:right="0" w:firstLine="0"/>
                      <w:jc w:val="left"/>
                      <w:rPr>
                        <w:sz w:val="16"/>
                      </w:rPr>
                    </w:pPr>
                    <w:r>
                      <w:rPr>
                        <w:w w:val="103"/>
                        <w:sz w:val="16"/>
                      </w:rPr>
                      <w:t>S</w:t>
                    </w:r>
                  </w:p>
                </w:txbxContent>
              </v:textbox>
            </v:shape>
            <v:shape id="_x0000_s1551" o:spid="_x0000_s1551" o:spt="202" type="#_x0000_t202" style="position:absolute;left:1258;top:3400;height:166;width:186;" filled="f" stroked="f" coordsize="21600,21600">
              <v:path/>
              <v:fill on="f" focussize="0,0"/>
              <v:stroke on="f" joinstyle="miter"/>
              <v:imagedata o:title=""/>
              <o:lock v:ext="edit"/>
              <v:textbox inset="0mm,0mm,0mm,0mm">
                <w:txbxContent>
                  <w:p w14:paraId="287AB00F">
                    <w:pPr>
                      <w:spacing w:before="0" w:line="165" w:lineRule="exact"/>
                      <w:ind w:left="0" w:right="0" w:firstLine="0"/>
                      <w:jc w:val="left"/>
                      <w:rPr>
                        <w:sz w:val="16"/>
                      </w:rPr>
                    </w:pPr>
                    <w:r>
                      <w:rPr>
                        <w:w w:val="105"/>
                        <w:sz w:val="16"/>
                      </w:rPr>
                      <w:t>SE</w:t>
                    </w:r>
                  </w:p>
                </w:txbxContent>
              </v:textbox>
            </v:shape>
            <v:shape id="_x0000_s1552" o:spid="_x0000_s1552" o:spt="202" type="#_x0000_t202" style="position:absolute;left:405;top:3400;height:166;width:186;" filled="f" stroked="f" coordsize="21600,21600">
              <v:path/>
              <v:fill on="f" focussize="0,0"/>
              <v:stroke on="f" joinstyle="miter"/>
              <v:imagedata o:title=""/>
              <o:lock v:ext="edit"/>
              <v:textbox inset="0mm,0mm,0mm,0mm">
                <w:txbxContent>
                  <w:p w14:paraId="23615701">
                    <w:pPr>
                      <w:spacing w:before="0" w:line="165" w:lineRule="exact"/>
                      <w:ind w:left="0" w:right="0" w:firstLine="0"/>
                      <w:jc w:val="left"/>
                      <w:rPr>
                        <w:sz w:val="16"/>
                      </w:rPr>
                    </w:pPr>
                    <w:r>
                      <w:rPr>
                        <w:w w:val="105"/>
                        <w:sz w:val="16"/>
                      </w:rPr>
                      <w:t>SW</w:t>
                    </w:r>
                  </w:p>
                </w:txbxContent>
              </v:textbox>
            </v:shape>
            <v:shape id="_x0000_s1553" o:spid="_x0000_s1553" o:spt="202" type="#_x0000_t202" style="position:absolute;left:1437;top:2960;height:166;width:103;" filled="f" stroked="f" coordsize="21600,21600">
              <v:path/>
              <v:fill on="f" focussize="0,0"/>
              <v:stroke on="f" joinstyle="miter"/>
              <v:imagedata o:title=""/>
              <o:lock v:ext="edit"/>
              <v:textbox inset="0mm,0mm,0mm,0mm">
                <w:txbxContent>
                  <w:p w14:paraId="4C0FFA81">
                    <w:pPr>
                      <w:spacing w:before="0" w:line="165" w:lineRule="exact"/>
                      <w:ind w:left="0" w:right="0" w:firstLine="0"/>
                      <w:jc w:val="left"/>
                      <w:rPr>
                        <w:sz w:val="16"/>
                      </w:rPr>
                    </w:pPr>
                    <w:r>
                      <w:rPr>
                        <w:w w:val="103"/>
                        <w:sz w:val="16"/>
                      </w:rPr>
                      <w:t>E</w:t>
                    </w:r>
                  </w:p>
                </w:txbxContent>
              </v:textbox>
            </v:shape>
            <v:shape id="_x0000_s1554" o:spid="_x0000_s1554" o:spt="202" type="#_x0000_t202" style="position:absolute;left:309;top:2960;height:166;width:103;" filled="f" stroked="f" coordsize="21600,21600">
              <v:path/>
              <v:fill on="f" focussize="0,0"/>
              <v:stroke on="f" joinstyle="miter"/>
              <v:imagedata o:title=""/>
              <o:lock v:ext="edit"/>
              <v:textbox inset="0mm,0mm,0mm,0mm">
                <w:txbxContent>
                  <w:p w14:paraId="36A51170">
                    <w:pPr>
                      <w:spacing w:before="0" w:line="165" w:lineRule="exact"/>
                      <w:ind w:left="0" w:right="0" w:firstLine="0"/>
                      <w:jc w:val="left"/>
                      <w:rPr>
                        <w:sz w:val="16"/>
                      </w:rPr>
                    </w:pPr>
                    <w:r>
                      <w:rPr>
                        <w:w w:val="103"/>
                        <w:sz w:val="16"/>
                      </w:rPr>
                      <w:t>W</w:t>
                    </w:r>
                  </w:p>
                </w:txbxContent>
              </v:textbox>
            </v:shape>
            <v:shape id="_x0000_s1555" o:spid="_x0000_s1555" o:spt="202" type="#_x0000_t202" style="position:absolute;left:1258;top:2533;height:166;width:186;" filled="f" stroked="f" coordsize="21600,21600">
              <v:path/>
              <v:fill on="f" focussize="0,0"/>
              <v:stroke on="f" joinstyle="miter"/>
              <v:imagedata o:title=""/>
              <o:lock v:ext="edit"/>
              <v:textbox inset="0mm,0mm,0mm,0mm">
                <w:txbxContent>
                  <w:p w14:paraId="72DCA676">
                    <w:pPr>
                      <w:spacing w:before="0" w:line="165" w:lineRule="exact"/>
                      <w:ind w:left="0" w:right="0" w:firstLine="0"/>
                      <w:jc w:val="left"/>
                      <w:rPr>
                        <w:sz w:val="16"/>
                      </w:rPr>
                    </w:pPr>
                    <w:r>
                      <w:rPr>
                        <w:w w:val="105"/>
                        <w:sz w:val="16"/>
                      </w:rPr>
                      <w:t>NE</w:t>
                    </w:r>
                  </w:p>
                </w:txbxContent>
              </v:textbox>
            </v:shape>
            <v:shape id="_x0000_s1556" o:spid="_x0000_s1556" o:spt="202" type="#_x0000_t202" style="position:absolute;left:405;top:2533;height:166;width:186;" filled="f" stroked="f" coordsize="21600,21600">
              <v:path/>
              <v:fill on="f" focussize="0,0"/>
              <v:stroke on="f" joinstyle="miter"/>
              <v:imagedata o:title=""/>
              <o:lock v:ext="edit"/>
              <v:textbox inset="0mm,0mm,0mm,0mm">
                <w:txbxContent>
                  <w:p w14:paraId="17B7EB5E">
                    <w:pPr>
                      <w:spacing w:before="0" w:line="165" w:lineRule="exact"/>
                      <w:ind w:left="0" w:right="0" w:firstLine="0"/>
                      <w:jc w:val="left"/>
                      <w:rPr>
                        <w:sz w:val="16"/>
                      </w:rPr>
                    </w:pPr>
                    <w:r>
                      <w:rPr>
                        <w:w w:val="105"/>
                        <w:sz w:val="16"/>
                      </w:rPr>
                      <w:t>NW</w:t>
                    </w:r>
                  </w:p>
                </w:txbxContent>
              </v:textbox>
            </v:shape>
            <v:shape id="_x0000_s1557" o:spid="_x0000_s1557" o:spt="202" type="#_x0000_t202" style="position:absolute;left:873;top:2354;height:166;width:103;" filled="f" stroked="f" coordsize="21600,21600">
              <v:path/>
              <v:fill on="f" focussize="0,0"/>
              <v:stroke on="f" joinstyle="miter"/>
              <v:imagedata o:title=""/>
              <o:lock v:ext="edit"/>
              <v:textbox inset="0mm,0mm,0mm,0mm">
                <w:txbxContent>
                  <w:p w14:paraId="38D1BBAE">
                    <w:pPr>
                      <w:spacing w:before="0" w:line="165" w:lineRule="exact"/>
                      <w:ind w:left="0" w:right="0" w:firstLine="0"/>
                      <w:jc w:val="left"/>
                      <w:rPr>
                        <w:sz w:val="16"/>
                      </w:rPr>
                    </w:pPr>
                    <w:r>
                      <w:rPr>
                        <w:w w:val="103"/>
                        <w:sz w:val="16"/>
                      </w:rPr>
                      <w:t>N</w:t>
                    </w:r>
                  </w:p>
                </w:txbxContent>
              </v:textbox>
            </v:shape>
            <v:shape id="_x0000_s1558" o:spid="_x0000_s1558" o:spt="202" type="#_x0000_t202" style="position:absolute;left:5798;top:1928;height:166;width:1176;" filled="f" stroked="f" coordsize="21600,21600">
              <v:path/>
              <v:fill on="f" focussize="0,0"/>
              <v:stroke on="f" joinstyle="miter"/>
              <v:imagedata o:title=""/>
              <o:lock v:ext="edit"/>
              <v:textbox inset="0mm,0mm,0mm,0mm">
                <w:txbxContent>
                  <w:p w14:paraId="499BCF3F">
                    <w:pPr>
                      <w:spacing w:before="0" w:line="165" w:lineRule="exact"/>
                      <w:ind w:left="0" w:right="0" w:firstLine="0"/>
                      <w:jc w:val="left"/>
                      <w:rPr>
                        <w:sz w:val="16"/>
                      </w:rPr>
                    </w:pPr>
                    <w:r>
                      <w:rPr>
                        <w:sz w:val="16"/>
                      </w:rPr>
                      <w:t>四月,静风5.53%</w:t>
                    </w:r>
                  </w:p>
                </w:txbxContent>
              </v:textbox>
            </v:shape>
            <v:shape id="_x0000_s1559" o:spid="_x0000_s1559" o:spt="202" type="#_x0000_t202" style="position:absolute;left:6334;top:1502;height:166;width:103;" filled="f" stroked="f" coordsize="21600,21600">
              <v:path/>
              <v:fill on="f" focussize="0,0"/>
              <v:stroke on="f" joinstyle="miter"/>
              <v:imagedata o:title=""/>
              <o:lock v:ext="edit"/>
              <v:textbox inset="0mm,0mm,0mm,0mm">
                <w:txbxContent>
                  <w:p w14:paraId="49E0A7F6">
                    <w:pPr>
                      <w:spacing w:before="0" w:line="165" w:lineRule="exact"/>
                      <w:ind w:left="0" w:right="0" w:firstLine="0"/>
                      <w:jc w:val="left"/>
                      <w:rPr>
                        <w:sz w:val="16"/>
                      </w:rPr>
                    </w:pPr>
                    <w:r>
                      <w:rPr>
                        <w:w w:val="103"/>
                        <w:sz w:val="16"/>
                      </w:rPr>
                      <w:t>S</w:t>
                    </w:r>
                  </w:p>
                </w:txbxContent>
              </v:textbox>
            </v:shape>
            <v:shape id="_x0000_s1560" o:spid="_x0000_s1560" o:spt="202" type="#_x0000_t202" style="position:absolute;left:6719;top:1323;height:166;width:186;" filled="f" stroked="f" coordsize="21600,21600">
              <v:path/>
              <v:fill on="f" focussize="0,0"/>
              <v:stroke on="f" joinstyle="miter"/>
              <v:imagedata o:title=""/>
              <o:lock v:ext="edit"/>
              <v:textbox inset="0mm,0mm,0mm,0mm">
                <w:txbxContent>
                  <w:p w14:paraId="08238152">
                    <w:pPr>
                      <w:spacing w:before="0" w:line="165" w:lineRule="exact"/>
                      <w:ind w:left="0" w:right="0" w:firstLine="0"/>
                      <w:jc w:val="left"/>
                      <w:rPr>
                        <w:sz w:val="16"/>
                      </w:rPr>
                    </w:pPr>
                    <w:r>
                      <w:rPr>
                        <w:w w:val="105"/>
                        <w:sz w:val="16"/>
                      </w:rPr>
                      <w:t>SE</w:t>
                    </w:r>
                  </w:p>
                </w:txbxContent>
              </v:textbox>
            </v:shape>
            <v:shape id="_x0000_s1561" o:spid="_x0000_s1561" o:spt="202" type="#_x0000_t202" style="position:absolute;left:5866;top:1323;height:166;width:186;" filled="f" stroked="f" coordsize="21600,21600">
              <v:path/>
              <v:fill on="f" focussize="0,0"/>
              <v:stroke on="f" joinstyle="miter"/>
              <v:imagedata o:title=""/>
              <o:lock v:ext="edit"/>
              <v:textbox inset="0mm,0mm,0mm,0mm">
                <w:txbxContent>
                  <w:p w14:paraId="686BB90D">
                    <w:pPr>
                      <w:spacing w:before="0" w:line="165" w:lineRule="exact"/>
                      <w:ind w:left="0" w:right="0" w:firstLine="0"/>
                      <w:jc w:val="left"/>
                      <w:rPr>
                        <w:sz w:val="16"/>
                      </w:rPr>
                    </w:pPr>
                    <w:r>
                      <w:rPr>
                        <w:w w:val="105"/>
                        <w:sz w:val="16"/>
                      </w:rPr>
                      <w:t>SW</w:t>
                    </w:r>
                  </w:p>
                </w:txbxContent>
              </v:textbox>
            </v:shape>
            <v:shape id="_x0000_s1562" o:spid="_x0000_s1562" o:spt="202" type="#_x0000_t202" style="position:absolute;left:6898;top:896;height:166;width:103;" filled="f" stroked="f" coordsize="21600,21600">
              <v:path/>
              <v:fill on="f" focussize="0,0"/>
              <v:stroke on="f" joinstyle="miter"/>
              <v:imagedata o:title=""/>
              <o:lock v:ext="edit"/>
              <v:textbox inset="0mm,0mm,0mm,0mm">
                <w:txbxContent>
                  <w:p w14:paraId="563BD2DB">
                    <w:pPr>
                      <w:spacing w:before="0" w:line="165" w:lineRule="exact"/>
                      <w:ind w:left="0" w:right="0" w:firstLine="0"/>
                      <w:jc w:val="left"/>
                      <w:rPr>
                        <w:sz w:val="16"/>
                      </w:rPr>
                    </w:pPr>
                    <w:r>
                      <w:rPr>
                        <w:w w:val="103"/>
                        <w:sz w:val="16"/>
                      </w:rPr>
                      <w:t>E</w:t>
                    </w:r>
                  </w:p>
                </w:txbxContent>
              </v:textbox>
            </v:shape>
            <v:shape id="_x0000_s1563" o:spid="_x0000_s1563" o:spt="202" type="#_x0000_t202" style="position:absolute;left:5770;top:896;height:166;width:103;" filled="f" stroked="f" coordsize="21600,21600">
              <v:path/>
              <v:fill on="f" focussize="0,0"/>
              <v:stroke on="f" joinstyle="miter"/>
              <v:imagedata o:title=""/>
              <o:lock v:ext="edit"/>
              <v:textbox inset="0mm,0mm,0mm,0mm">
                <w:txbxContent>
                  <w:p w14:paraId="60D741C7">
                    <w:pPr>
                      <w:spacing w:before="0" w:line="165" w:lineRule="exact"/>
                      <w:ind w:left="0" w:right="0" w:firstLine="0"/>
                      <w:jc w:val="left"/>
                      <w:rPr>
                        <w:sz w:val="16"/>
                      </w:rPr>
                    </w:pPr>
                    <w:r>
                      <w:rPr>
                        <w:w w:val="103"/>
                        <w:sz w:val="16"/>
                      </w:rPr>
                      <w:t>W</w:t>
                    </w:r>
                  </w:p>
                </w:txbxContent>
              </v:textbox>
            </v:shape>
            <v:shape id="_x0000_s1564" o:spid="_x0000_s1564" o:spt="202" type="#_x0000_t202" style="position:absolute;left:6719;top:456;height:166;width:186;" filled="f" stroked="f" coordsize="21600,21600">
              <v:path/>
              <v:fill on="f" focussize="0,0"/>
              <v:stroke on="f" joinstyle="miter"/>
              <v:imagedata o:title=""/>
              <o:lock v:ext="edit"/>
              <v:textbox inset="0mm,0mm,0mm,0mm">
                <w:txbxContent>
                  <w:p w14:paraId="3270CA7F">
                    <w:pPr>
                      <w:spacing w:before="0" w:line="165" w:lineRule="exact"/>
                      <w:ind w:left="0" w:right="0" w:firstLine="0"/>
                      <w:jc w:val="left"/>
                      <w:rPr>
                        <w:sz w:val="16"/>
                      </w:rPr>
                    </w:pPr>
                    <w:r>
                      <w:rPr>
                        <w:w w:val="105"/>
                        <w:sz w:val="16"/>
                      </w:rPr>
                      <w:t>NE</w:t>
                    </w:r>
                  </w:p>
                </w:txbxContent>
              </v:textbox>
            </v:shape>
            <v:shape id="_x0000_s1565" o:spid="_x0000_s1565" o:spt="202" type="#_x0000_t202" style="position:absolute;left:5866;top:456;height:166;width:186;" filled="f" stroked="f" coordsize="21600,21600">
              <v:path/>
              <v:fill on="f" focussize="0,0"/>
              <v:stroke on="f" joinstyle="miter"/>
              <v:imagedata o:title=""/>
              <o:lock v:ext="edit"/>
              <v:textbox inset="0mm,0mm,0mm,0mm">
                <w:txbxContent>
                  <w:p w14:paraId="17F56451">
                    <w:pPr>
                      <w:spacing w:before="0" w:line="165" w:lineRule="exact"/>
                      <w:ind w:left="0" w:right="0" w:firstLine="0"/>
                      <w:jc w:val="left"/>
                      <w:rPr>
                        <w:sz w:val="16"/>
                      </w:rPr>
                    </w:pPr>
                    <w:r>
                      <w:rPr>
                        <w:w w:val="105"/>
                        <w:sz w:val="16"/>
                      </w:rPr>
                      <w:t>NW</w:t>
                    </w:r>
                  </w:p>
                </w:txbxContent>
              </v:textbox>
            </v:shape>
            <v:shape id="_x0000_s1566" o:spid="_x0000_s1566" o:spt="202" type="#_x0000_t202" style="position:absolute;left:6334;top:277;height:166;width:103;" filled="f" stroked="f" coordsize="21600,21600">
              <v:path/>
              <v:fill on="f" focussize="0,0"/>
              <v:stroke on="f" joinstyle="miter"/>
              <v:imagedata o:title=""/>
              <o:lock v:ext="edit"/>
              <v:textbox inset="0mm,0mm,0mm,0mm">
                <w:txbxContent>
                  <w:p w14:paraId="16EBE502">
                    <w:pPr>
                      <w:spacing w:before="0" w:line="165" w:lineRule="exact"/>
                      <w:ind w:left="0" w:right="0" w:firstLine="0"/>
                      <w:jc w:val="left"/>
                      <w:rPr>
                        <w:sz w:val="16"/>
                      </w:rPr>
                    </w:pPr>
                    <w:r>
                      <w:rPr>
                        <w:w w:val="103"/>
                        <w:sz w:val="16"/>
                      </w:rPr>
                      <w:t>N</w:t>
                    </w:r>
                  </w:p>
                </w:txbxContent>
              </v:textbox>
            </v:shape>
            <v:shape id="_x0000_s1567" o:spid="_x0000_s1567" o:spt="202" type="#_x0000_t202" style="position:absolute;left:3968;top:1928;height:166;width:1176;" filled="f" stroked="f" coordsize="21600,21600">
              <v:path/>
              <v:fill on="f" focussize="0,0"/>
              <v:stroke on="f" joinstyle="miter"/>
              <v:imagedata o:title=""/>
              <o:lock v:ext="edit"/>
              <v:textbox inset="0mm,0mm,0mm,0mm">
                <w:txbxContent>
                  <w:p w14:paraId="59862483">
                    <w:pPr>
                      <w:spacing w:before="0" w:line="165" w:lineRule="exact"/>
                      <w:ind w:left="0" w:right="0" w:firstLine="0"/>
                      <w:jc w:val="left"/>
                      <w:rPr>
                        <w:sz w:val="16"/>
                      </w:rPr>
                    </w:pPr>
                    <w:r>
                      <w:rPr>
                        <w:sz w:val="16"/>
                      </w:rPr>
                      <w:t>三月,静风5.50%</w:t>
                    </w:r>
                  </w:p>
                </w:txbxContent>
              </v:textbox>
            </v:shape>
            <v:shape id="_x0000_s1568" o:spid="_x0000_s1568" o:spt="202" type="#_x0000_t202" style="position:absolute;left:4504;top:1502;height:166;width:103;" filled="f" stroked="f" coordsize="21600,21600">
              <v:path/>
              <v:fill on="f" focussize="0,0"/>
              <v:stroke on="f" joinstyle="miter"/>
              <v:imagedata o:title=""/>
              <o:lock v:ext="edit"/>
              <v:textbox inset="0mm,0mm,0mm,0mm">
                <w:txbxContent>
                  <w:p w14:paraId="3146039F">
                    <w:pPr>
                      <w:spacing w:before="0" w:line="165" w:lineRule="exact"/>
                      <w:ind w:left="0" w:right="0" w:firstLine="0"/>
                      <w:jc w:val="left"/>
                      <w:rPr>
                        <w:sz w:val="16"/>
                      </w:rPr>
                    </w:pPr>
                    <w:r>
                      <w:rPr>
                        <w:w w:val="103"/>
                        <w:sz w:val="16"/>
                      </w:rPr>
                      <w:t>S</w:t>
                    </w:r>
                  </w:p>
                </w:txbxContent>
              </v:textbox>
            </v:shape>
            <v:shape id="_x0000_s1569" o:spid="_x0000_s1569" o:spt="202" type="#_x0000_t202" style="position:absolute;left:4890;top:1323;height:166;width:186;" filled="f" stroked="f" coordsize="21600,21600">
              <v:path/>
              <v:fill on="f" focussize="0,0"/>
              <v:stroke on="f" joinstyle="miter"/>
              <v:imagedata o:title=""/>
              <o:lock v:ext="edit"/>
              <v:textbox inset="0mm,0mm,0mm,0mm">
                <w:txbxContent>
                  <w:p w14:paraId="3D7E94DD">
                    <w:pPr>
                      <w:spacing w:before="0" w:line="165" w:lineRule="exact"/>
                      <w:ind w:left="0" w:right="0" w:firstLine="0"/>
                      <w:jc w:val="left"/>
                      <w:rPr>
                        <w:sz w:val="16"/>
                      </w:rPr>
                    </w:pPr>
                    <w:r>
                      <w:rPr>
                        <w:w w:val="105"/>
                        <w:sz w:val="16"/>
                      </w:rPr>
                      <w:t>SE</w:t>
                    </w:r>
                  </w:p>
                </w:txbxContent>
              </v:textbox>
            </v:shape>
            <v:shape id="_x0000_s1570" o:spid="_x0000_s1570" o:spt="202" type="#_x0000_t202" style="position:absolute;left:4037;top:1323;height:166;width:186;" filled="f" stroked="f" coordsize="21600,21600">
              <v:path/>
              <v:fill on="f" focussize="0,0"/>
              <v:stroke on="f" joinstyle="miter"/>
              <v:imagedata o:title=""/>
              <o:lock v:ext="edit"/>
              <v:textbox inset="0mm,0mm,0mm,0mm">
                <w:txbxContent>
                  <w:p w14:paraId="62CC7EB5">
                    <w:pPr>
                      <w:spacing w:before="0" w:line="165" w:lineRule="exact"/>
                      <w:ind w:left="0" w:right="0" w:firstLine="0"/>
                      <w:jc w:val="left"/>
                      <w:rPr>
                        <w:sz w:val="16"/>
                      </w:rPr>
                    </w:pPr>
                    <w:r>
                      <w:rPr>
                        <w:w w:val="105"/>
                        <w:sz w:val="16"/>
                      </w:rPr>
                      <w:t>SW</w:t>
                    </w:r>
                  </w:p>
                </w:txbxContent>
              </v:textbox>
            </v:shape>
            <v:shape id="_x0000_s1571" o:spid="_x0000_s1571" o:spt="202" type="#_x0000_t202" style="position:absolute;left:5068;top:896;height:166;width:103;" filled="f" stroked="f" coordsize="21600,21600">
              <v:path/>
              <v:fill on="f" focussize="0,0"/>
              <v:stroke on="f" joinstyle="miter"/>
              <v:imagedata o:title=""/>
              <o:lock v:ext="edit"/>
              <v:textbox inset="0mm,0mm,0mm,0mm">
                <w:txbxContent>
                  <w:p w14:paraId="6D3687CA">
                    <w:pPr>
                      <w:spacing w:before="0" w:line="165" w:lineRule="exact"/>
                      <w:ind w:left="0" w:right="0" w:firstLine="0"/>
                      <w:jc w:val="left"/>
                      <w:rPr>
                        <w:sz w:val="16"/>
                      </w:rPr>
                    </w:pPr>
                    <w:r>
                      <w:rPr>
                        <w:w w:val="103"/>
                        <w:sz w:val="16"/>
                      </w:rPr>
                      <w:t>E</w:t>
                    </w:r>
                  </w:p>
                </w:txbxContent>
              </v:textbox>
            </v:shape>
            <v:shape id="_x0000_s1572" o:spid="_x0000_s1572" o:spt="202" type="#_x0000_t202" style="position:absolute;left:3940;top:896;height:166;width:103;" filled="f" stroked="f" coordsize="21600,21600">
              <v:path/>
              <v:fill on="f" focussize="0,0"/>
              <v:stroke on="f" joinstyle="miter"/>
              <v:imagedata o:title=""/>
              <o:lock v:ext="edit"/>
              <v:textbox inset="0mm,0mm,0mm,0mm">
                <w:txbxContent>
                  <w:p w14:paraId="726B57D7">
                    <w:pPr>
                      <w:spacing w:before="0" w:line="165" w:lineRule="exact"/>
                      <w:ind w:left="0" w:right="0" w:firstLine="0"/>
                      <w:jc w:val="left"/>
                      <w:rPr>
                        <w:sz w:val="16"/>
                      </w:rPr>
                    </w:pPr>
                    <w:r>
                      <w:rPr>
                        <w:w w:val="103"/>
                        <w:sz w:val="16"/>
                      </w:rPr>
                      <w:t>W</w:t>
                    </w:r>
                  </w:p>
                </w:txbxContent>
              </v:textbox>
            </v:shape>
            <v:shape id="_x0000_s1573" o:spid="_x0000_s1573" o:spt="202" type="#_x0000_t202" style="position:absolute;left:4890;top:456;height:166;width:186;" filled="f" stroked="f" coordsize="21600,21600">
              <v:path/>
              <v:fill on="f" focussize="0,0"/>
              <v:stroke on="f" joinstyle="miter"/>
              <v:imagedata o:title=""/>
              <o:lock v:ext="edit"/>
              <v:textbox inset="0mm,0mm,0mm,0mm">
                <w:txbxContent>
                  <w:p w14:paraId="3A31647D">
                    <w:pPr>
                      <w:spacing w:before="0" w:line="165" w:lineRule="exact"/>
                      <w:ind w:left="0" w:right="0" w:firstLine="0"/>
                      <w:jc w:val="left"/>
                      <w:rPr>
                        <w:sz w:val="16"/>
                      </w:rPr>
                    </w:pPr>
                    <w:r>
                      <w:rPr>
                        <w:w w:val="105"/>
                        <w:sz w:val="16"/>
                      </w:rPr>
                      <w:t>NE</w:t>
                    </w:r>
                  </w:p>
                </w:txbxContent>
              </v:textbox>
            </v:shape>
            <v:shape id="_x0000_s1574" o:spid="_x0000_s1574" o:spt="202" type="#_x0000_t202" style="position:absolute;left:4037;top:456;height:166;width:186;" filled="f" stroked="f" coordsize="21600,21600">
              <v:path/>
              <v:fill on="f" focussize="0,0"/>
              <v:stroke on="f" joinstyle="miter"/>
              <v:imagedata o:title=""/>
              <o:lock v:ext="edit"/>
              <v:textbox inset="0mm,0mm,0mm,0mm">
                <w:txbxContent>
                  <w:p w14:paraId="78F8686D">
                    <w:pPr>
                      <w:spacing w:before="0" w:line="165" w:lineRule="exact"/>
                      <w:ind w:left="0" w:right="0" w:firstLine="0"/>
                      <w:jc w:val="left"/>
                      <w:rPr>
                        <w:sz w:val="16"/>
                      </w:rPr>
                    </w:pPr>
                    <w:r>
                      <w:rPr>
                        <w:w w:val="105"/>
                        <w:sz w:val="16"/>
                      </w:rPr>
                      <w:t>NW</w:t>
                    </w:r>
                  </w:p>
                </w:txbxContent>
              </v:textbox>
            </v:shape>
            <v:shape id="_x0000_s1575" o:spid="_x0000_s1575" o:spt="202" type="#_x0000_t202" style="position:absolute;left:4504;top:277;height:166;width:103;" filled="f" stroked="f" coordsize="21600,21600">
              <v:path/>
              <v:fill on="f" focussize="0,0"/>
              <v:stroke on="f" joinstyle="miter"/>
              <v:imagedata o:title=""/>
              <o:lock v:ext="edit"/>
              <v:textbox inset="0mm,0mm,0mm,0mm">
                <w:txbxContent>
                  <w:p w14:paraId="6C9A4505">
                    <w:pPr>
                      <w:spacing w:before="0" w:line="165" w:lineRule="exact"/>
                      <w:ind w:left="0" w:right="0" w:firstLine="0"/>
                      <w:jc w:val="left"/>
                      <w:rPr>
                        <w:sz w:val="16"/>
                      </w:rPr>
                    </w:pPr>
                    <w:r>
                      <w:rPr>
                        <w:w w:val="103"/>
                        <w:sz w:val="16"/>
                      </w:rPr>
                      <w:t>N</w:t>
                    </w:r>
                  </w:p>
                </w:txbxContent>
              </v:textbox>
            </v:shape>
            <v:shape id="_x0000_s1576" o:spid="_x0000_s1576" o:spt="202" type="#_x0000_t202" style="position:absolute;left:2152;top:1928;height:166;width:1176;" filled="f" stroked="f" coordsize="21600,21600">
              <v:path/>
              <v:fill on="f" focussize="0,0"/>
              <v:stroke on="f" joinstyle="miter"/>
              <v:imagedata o:title=""/>
              <o:lock v:ext="edit"/>
              <v:textbox inset="0mm,0mm,0mm,0mm">
                <w:txbxContent>
                  <w:p w14:paraId="75F18525">
                    <w:pPr>
                      <w:spacing w:before="0" w:line="165" w:lineRule="exact"/>
                      <w:ind w:left="0" w:right="0" w:firstLine="0"/>
                      <w:jc w:val="left"/>
                      <w:rPr>
                        <w:sz w:val="16"/>
                      </w:rPr>
                    </w:pPr>
                    <w:r>
                      <w:rPr>
                        <w:sz w:val="16"/>
                      </w:rPr>
                      <w:t>二月,静风5.72%</w:t>
                    </w:r>
                  </w:p>
                </w:txbxContent>
              </v:textbox>
            </v:shape>
            <v:shape id="_x0000_s1577" o:spid="_x0000_s1577" o:spt="202" type="#_x0000_t202" style="position:absolute;left:2689;top:1502;height:166;width:103;" filled="f" stroked="f" coordsize="21600,21600">
              <v:path/>
              <v:fill on="f" focussize="0,0"/>
              <v:stroke on="f" joinstyle="miter"/>
              <v:imagedata o:title=""/>
              <o:lock v:ext="edit"/>
              <v:textbox inset="0mm,0mm,0mm,0mm">
                <w:txbxContent>
                  <w:p w14:paraId="251981B1">
                    <w:pPr>
                      <w:spacing w:before="0" w:line="165" w:lineRule="exact"/>
                      <w:ind w:left="0" w:right="0" w:firstLine="0"/>
                      <w:jc w:val="left"/>
                      <w:rPr>
                        <w:sz w:val="16"/>
                      </w:rPr>
                    </w:pPr>
                    <w:r>
                      <w:rPr>
                        <w:w w:val="103"/>
                        <w:sz w:val="16"/>
                      </w:rPr>
                      <w:t>S</w:t>
                    </w:r>
                  </w:p>
                </w:txbxContent>
              </v:textbox>
            </v:shape>
            <v:shape id="_x0000_s1578" o:spid="_x0000_s1578" o:spt="202" type="#_x0000_t202" style="position:absolute;left:3074;top:1323;height:166;width:186;" filled="f" stroked="f" coordsize="21600,21600">
              <v:path/>
              <v:fill on="f" focussize="0,0"/>
              <v:stroke on="f" joinstyle="miter"/>
              <v:imagedata o:title=""/>
              <o:lock v:ext="edit"/>
              <v:textbox inset="0mm,0mm,0mm,0mm">
                <w:txbxContent>
                  <w:p w14:paraId="64677338">
                    <w:pPr>
                      <w:spacing w:before="0" w:line="165" w:lineRule="exact"/>
                      <w:ind w:left="0" w:right="0" w:firstLine="0"/>
                      <w:jc w:val="left"/>
                      <w:rPr>
                        <w:sz w:val="16"/>
                      </w:rPr>
                    </w:pPr>
                    <w:r>
                      <w:rPr>
                        <w:w w:val="105"/>
                        <w:sz w:val="16"/>
                      </w:rPr>
                      <w:t>SE</w:t>
                    </w:r>
                  </w:p>
                </w:txbxContent>
              </v:textbox>
            </v:shape>
            <v:shape id="_x0000_s1579" o:spid="_x0000_s1579" o:spt="202" type="#_x0000_t202" style="position:absolute;left:2221;top:1323;height:166;width:186;" filled="f" stroked="f" coordsize="21600,21600">
              <v:path/>
              <v:fill on="f" focussize="0,0"/>
              <v:stroke on="f" joinstyle="miter"/>
              <v:imagedata o:title=""/>
              <o:lock v:ext="edit"/>
              <v:textbox inset="0mm,0mm,0mm,0mm">
                <w:txbxContent>
                  <w:p w14:paraId="1B2A0570">
                    <w:pPr>
                      <w:spacing w:before="0" w:line="165" w:lineRule="exact"/>
                      <w:ind w:left="0" w:right="0" w:firstLine="0"/>
                      <w:jc w:val="left"/>
                      <w:rPr>
                        <w:sz w:val="16"/>
                      </w:rPr>
                    </w:pPr>
                    <w:r>
                      <w:rPr>
                        <w:w w:val="105"/>
                        <w:sz w:val="16"/>
                      </w:rPr>
                      <w:t>SW</w:t>
                    </w:r>
                  </w:p>
                </w:txbxContent>
              </v:textbox>
            </v:shape>
            <v:shape id="_x0000_s1580" o:spid="_x0000_s1580" o:spt="202" type="#_x0000_t202" style="position:absolute;left:3253;top:896;height:166;width:103;" filled="f" stroked="f" coordsize="21600,21600">
              <v:path/>
              <v:fill on="f" focussize="0,0"/>
              <v:stroke on="f" joinstyle="miter"/>
              <v:imagedata o:title=""/>
              <o:lock v:ext="edit"/>
              <v:textbox inset="0mm,0mm,0mm,0mm">
                <w:txbxContent>
                  <w:p w14:paraId="620CFCD8">
                    <w:pPr>
                      <w:spacing w:before="0" w:line="165" w:lineRule="exact"/>
                      <w:ind w:left="0" w:right="0" w:firstLine="0"/>
                      <w:jc w:val="left"/>
                      <w:rPr>
                        <w:sz w:val="16"/>
                      </w:rPr>
                    </w:pPr>
                    <w:r>
                      <w:rPr>
                        <w:w w:val="103"/>
                        <w:sz w:val="16"/>
                      </w:rPr>
                      <w:t>E</w:t>
                    </w:r>
                  </w:p>
                </w:txbxContent>
              </v:textbox>
            </v:shape>
            <v:shape id="_x0000_s1581" o:spid="_x0000_s1581" o:spt="202" type="#_x0000_t202" style="position:absolute;left:2125;top:896;height:166;width:103;" filled="f" stroked="f" coordsize="21600,21600">
              <v:path/>
              <v:fill on="f" focussize="0,0"/>
              <v:stroke on="f" joinstyle="miter"/>
              <v:imagedata o:title=""/>
              <o:lock v:ext="edit"/>
              <v:textbox inset="0mm,0mm,0mm,0mm">
                <w:txbxContent>
                  <w:p w14:paraId="65B3F795">
                    <w:pPr>
                      <w:spacing w:before="0" w:line="165" w:lineRule="exact"/>
                      <w:ind w:left="0" w:right="0" w:firstLine="0"/>
                      <w:jc w:val="left"/>
                      <w:rPr>
                        <w:sz w:val="16"/>
                      </w:rPr>
                    </w:pPr>
                    <w:r>
                      <w:rPr>
                        <w:w w:val="103"/>
                        <w:sz w:val="16"/>
                      </w:rPr>
                      <w:t>W</w:t>
                    </w:r>
                  </w:p>
                </w:txbxContent>
              </v:textbox>
            </v:shape>
            <v:shape id="_x0000_s1582" o:spid="_x0000_s1582" o:spt="202" type="#_x0000_t202" style="position:absolute;left:3074;top:456;height:166;width:186;" filled="f" stroked="f" coordsize="21600,21600">
              <v:path/>
              <v:fill on="f" focussize="0,0"/>
              <v:stroke on="f" joinstyle="miter"/>
              <v:imagedata o:title=""/>
              <o:lock v:ext="edit"/>
              <v:textbox inset="0mm,0mm,0mm,0mm">
                <w:txbxContent>
                  <w:p w14:paraId="0FF35328">
                    <w:pPr>
                      <w:spacing w:before="0" w:line="165" w:lineRule="exact"/>
                      <w:ind w:left="0" w:right="0" w:firstLine="0"/>
                      <w:jc w:val="left"/>
                      <w:rPr>
                        <w:sz w:val="16"/>
                      </w:rPr>
                    </w:pPr>
                    <w:r>
                      <w:rPr>
                        <w:w w:val="105"/>
                        <w:sz w:val="16"/>
                      </w:rPr>
                      <w:t>NE</w:t>
                    </w:r>
                  </w:p>
                </w:txbxContent>
              </v:textbox>
            </v:shape>
            <v:shape id="_x0000_s1583" o:spid="_x0000_s1583" o:spt="202" type="#_x0000_t202" style="position:absolute;left:2221;top:456;height:166;width:186;" filled="f" stroked="f" coordsize="21600,21600">
              <v:path/>
              <v:fill on="f" focussize="0,0"/>
              <v:stroke on="f" joinstyle="miter"/>
              <v:imagedata o:title=""/>
              <o:lock v:ext="edit"/>
              <v:textbox inset="0mm,0mm,0mm,0mm">
                <w:txbxContent>
                  <w:p w14:paraId="559CAB20">
                    <w:pPr>
                      <w:spacing w:before="0" w:line="165" w:lineRule="exact"/>
                      <w:ind w:left="0" w:right="0" w:firstLine="0"/>
                      <w:jc w:val="left"/>
                      <w:rPr>
                        <w:sz w:val="16"/>
                      </w:rPr>
                    </w:pPr>
                    <w:r>
                      <w:rPr>
                        <w:w w:val="105"/>
                        <w:sz w:val="16"/>
                      </w:rPr>
                      <w:t>NW</w:t>
                    </w:r>
                  </w:p>
                </w:txbxContent>
              </v:textbox>
            </v:shape>
            <v:shape id="_x0000_s1584" o:spid="_x0000_s1584" o:spt="202" type="#_x0000_t202" style="position:absolute;left:2689;top:277;height:166;width:103;" filled="f" stroked="f" coordsize="21600,21600">
              <v:path/>
              <v:fill on="f" focussize="0,0"/>
              <v:stroke on="f" joinstyle="miter"/>
              <v:imagedata o:title=""/>
              <o:lock v:ext="edit"/>
              <v:textbox inset="0mm,0mm,0mm,0mm">
                <w:txbxContent>
                  <w:p w14:paraId="0B6802FA">
                    <w:pPr>
                      <w:spacing w:before="0" w:line="165" w:lineRule="exact"/>
                      <w:ind w:left="0" w:right="0" w:firstLine="0"/>
                      <w:jc w:val="left"/>
                      <w:rPr>
                        <w:sz w:val="16"/>
                      </w:rPr>
                    </w:pPr>
                    <w:r>
                      <w:rPr>
                        <w:w w:val="103"/>
                        <w:sz w:val="16"/>
                      </w:rPr>
                      <w:t>N</w:t>
                    </w:r>
                  </w:p>
                </w:txbxContent>
              </v:textbox>
            </v:shape>
            <v:shape id="_x0000_s1585" o:spid="_x0000_s1585" o:spt="202" type="#_x0000_t202" style="position:absolute;left:337;top:1928;height:166;width:1176;" filled="f" stroked="f" coordsize="21600,21600">
              <v:path/>
              <v:fill on="f" focussize="0,0"/>
              <v:stroke on="f" joinstyle="miter"/>
              <v:imagedata o:title=""/>
              <o:lock v:ext="edit"/>
              <v:textbox inset="0mm,0mm,0mm,0mm">
                <w:txbxContent>
                  <w:p w14:paraId="2922A42B">
                    <w:pPr>
                      <w:spacing w:before="0" w:line="165" w:lineRule="exact"/>
                      <w:ind w:left="0" w:right="0" w:firstLine="0"/>
                      <w:jc w:val="left"/>
                      <w:rPr>
                        <w:sz w:val="16"/>
                      </w:rPr>
                    </w:pPr>
                    <w:r>
                      <w:rPr>
                        <w:sz w:val="16"/>
                      </w:rPr>
                      <w:t>一月,静风5.55%</w:t>
                    </w:r>
                  </w:p>
                </w:txbxContent>
              </v:textbox>
            </v:shape>
            <v:shape id="_x0000_s1586" o:spid="_x0000_s1586" o:spt="202" type="#_x0000_t202" style="position:absolute;left:873;top:1502;height:166;width:103;" filled="f" stroked="f" coordsize="21600,21600">
              <v:path/>
              <v:fill on="f" focussize="0,0"/>
              <v:stroke on="f" joinstyle="miter"/>
              <v:imagedata o:title=""/>
              <o:lock v:ext="edit"/>
              <v:textbox inset="0mm,0mm,0mm,0mm">
                <w:txbxContent>
                  <w:p w14:paraId="56DBBB31">
                    <w:pPr>
                      <w:spacing w:before="0" w:line="165" w:lineRule="exact"/>
                      <w:ind w:left="0" w:right="0" w:firstLine="0"/>
                      <w:jc w:val="left"/>
                      <w:rPr>
                        <w:sz w:val="16"/>
                      </w:rPr>
                    </w:pPr>
                    <w:r>
                      <w:rPr>
                        <w:w w:val="103"/>
                        <w:sz w:val="16"/>
                      </w:rPr>
                      <w:t>S</w:t>
                    </w:r>
                  </w:p>
                </w:txbxContent>
              </v:textbox>
            </v:shape>
            <v:shape id="_x0000_s1587" o:spid="_x0000_s1587" o:spt="202" type="#_x0000_t202" style="position:absolute;left:1258;top:1323;height:166;width:186;" filled="f" stroked="f" coordsize="21600,21600">
              <v:path/>
              <v:fill on="f" focussize="0,0"/>
              <v:stroke on="f" joinstyle="miter"/>
              <v:imagedata o:title=""/>
              <o:lock v:ext="edit"/>
              <v:textbox inset="0mm,0mm,0mm,0mm">
                <w:txbxContent>
                  <w:p w14:paraId="03BDFD14">
                    <w:pPr>
                      <w:spacing w:before="0" w:line="165" w:lineRule="exact"/>
                      <w:ind w:left="0" w:right="0" w:firstLine="0"/>
                      <w:jc w:val="left"/>
                      <w:rPr>
                        <w:sz w:val="16"/>
                      </w:rPr>
                    </w:pPr>
                    <w:r>
                      <w:rPr>
                        <w:w w:val="105"/>
                        <w:sz w:val="16"/>
                      </w:rPr>
                      <w:t>SE</w:t>
                    </w:r>
                  </w:p>
                </w:txbxContent>
              </v:textbox>
            </v:shape>
            <v:shape id="_x0000_s1588" o:spid="_x0000_s1588" o:spt="202" type="#_x0000_t202" style="position:absolute;left:405;top:1323;height:166;width:186;" filled="f" stroked="f" coordsize="21600,21600">
              <v:path/>
              <v:fill on="f" focussize="0,0"/>
              <v:stroke on="f" joinstyle="miter"/>
              <v:imagedata o:title=""/>
              <o:lock v:ext="edit"/>
              <v:textbox inset="0mm,0mm,0mm,0mm">
                <w:txbxContent>
                  <w:p w14:paraId="19A3F141">
                    <w:pPr>
                      <w:spacing w:before="0" w:line="165" w:lineRule="exact"/>
                      <w:ind w:left="0" w:right="0" w:firstLine="0"/>
                      <w:jc w:val="left"/>
                      <w:rPr>
                        <w:sz w:val="16"/>
                      </w:rPr>
                    </w:pPr>
                    <w:r>
                      <w:rPr>
                        <w:w w:val="105"/>
                        <w:sz w:val="16"/>
                      </w:rPr>
                      <w:t>SW</w:t>
                    </w:r>
                  </w:p>
                </w:txbxContent>
              </v:textbox>
            </v:shape>
            <v:shape id="_x0000_s1589" o:spid="_x0000_s1589" o:spt="202" type="#_x0000_t202" style="position:absolute;left:1437;top:896;height:166;width:103;" filled="f" stroked="f" coordsize="21600,21600">
              <v:path/>
              <v:fill on="f" focussize="0,0"/>
              <v:stroke on="f" joinstyle="miter"/>
              <v:imagedata o:title=""/>
              <o:lock v:ext="edit"/>
              <v:textbox inset="0mm,0mm,0mm,0mm">
                <w:txbxContent>
                  <w:p w14:paraId="203019BF">
                    <w:pPr>
                      <w:spacing w:before="0" w:line="165" w:lineRule="exact"/>
                      <w:ind w:left="0" w:right="0" w:firstLine="0"/>
                      <w:jc w:val="left"/>
                      <w:rPr>
                        <w:sz w:val="16"/>
                      </w:rPr>
                    </w:pPr>
                    <w:r>
                      <w:rPr>
                        <w:w w:val="103"/>
                        <w:sz w:val="16"/>
                      </w:rPr>
                      <w:t>E</w:t>
                    </w:r>
                  </w:p>
                </w:txbxContent>
              </v:textbox>
            </v:shape>
            <v:shape id="_x0000_s1590" o:spid="_x0000_s1590" o:spt="202" type="#_x0000_t202" style="position:absolute;left:309;top:896;height:166;width:103;" filled="f" stroked="f" coordsize="21600,21600">
              <v:path/>
              <v:fill on="f" focussize="0,0"/>
              <v:stroke on="f" joinstyle="miter"/>
              <v:imagedata o:title=""/>
              <o:lock v:ext="edit"/>
              <v:textbox inset="0mm,0mm,0mm,0mm">
                <w:txbxContent>
                  <w:p w14:paraId="1DD6F97E">
                    <w:pPr>
                      <w:spacing w:before="0" w:line="165" w:lineRule="exact"/>
                      <w:ind w:left="0" w:right="0" w:firstLine="0"/>
                      <w:jc w:val="left"/>
                      <w:rPr>
                        <w:sz w:val="16"/>
                      </w:rPr>
                    </w:pPr>
                    <w:r>
                      <w:rPr>
                        <w:w w:val="103"/>
                        <w:sz w:val="16"/>
                      </w:rPr>
                      <w:t>W</w:t>
                    </w:r>
                  </w:p>
                </w:txbxContent>
              </v:textbox>
            </v:shape>
            <v:shape id="_x0000_s1591" o:spid="_x0000_s1591" o:spt="202" type="#_x0000_t202" style="position:absolute;left:1258;top:456;height:166;width:186;" filled="f" stroked="f" coordsize="21600,21600">
              <v:path/>
              <v:fill on="f" focussize="0,0"/>
              <v:stroke on="f" joinstyle="miter"/>
              <v:imagedata o:title=""/>
              <o:lock v:ext="edit"/>
              <v:textbox inset="0mm,0mm,0mm,0mm">
                <w:txbxContent>
                  <w:p w14:paraId="6E172347">
                    <w:pPr>
                      <w:spacing w:before="0" w:line="165" w:lineRule="exact"/>
                      <w:ind w:left="0" w:right="0" w:firstLine="0"/>
                      <w:jc w:val="left"/>
                      <w:rPr>
                        <w:sz w:val="16"/>
                      </w:rPr>
                    </w:pPr>
                    <w:r>
                      <w:rPr>
                        <w:w w:val="105"/>
                        <w:sz w:val="16"/>
                      </w:rPr>
                      <w:t>NE</w:t>
                    </w:r>
                  </w:p>
                </w:txbxContent>
              </v:textbox>
            </v:shape>
            <v:shape id="_x0000_s1592" o:spid="_x0000_s1592" o:spt="202" type="#_x0000_t202" style="position:absolute;left:405;top:456;height:166;width:186;" filled="f" stroked="f" coordsize="21600,21600">
              <v:path/>
              <v:fill on="f" focussize="0,0"/>
              <v:stroke on="f" joinstyle="miter"/>
              <v:imagedata o:title=""/>
              <o:lock v:ext="edit"/>
              <v:textbox inset="0mm,0mm,0mm,0mm">
                <w:txbxContent>
                  <w:p w14:paraId="2A2F0FD4">
                    <w:pPr>
                      <w:spacing w:before="0" w:line="165" w:lineRule="exact"/>
                      <w:ind w:left="0" w:right="0" w:firstLine="0"/>
                      <w:jc w:val="left"/>
                      <w:rPr>
                        <w:sz w:val="16"/>
                      </w:rPr>
                    </w:pPr>
                    <w:r>
                      <w:rPr>
                        <w:w w:val="105"/>
                        <w:sz w:val="16"/>
                      </w:rPr>
                      <w:t>NW</w:t>
                    </w:r>
                  </w:p>
                </w:txbxContent>
              </v:textbox>
            </v:shape>
            <v:shape id="_x0000_s1593" o:spid="_x0000_s1593" o:spt="202" type="#_x0000_t202" style="position:absolute;left:873;top:277;height:166;width:103;" filled="f" stroked="f" coordsize="21600,21600">
              <v:path/>
              <v:fill on="f" focussize="0,0"/>
              <v:stroke on="f" joinstyle="miter"/>
              <v:imagedata o:title=""/>
              <o:lock v:ext="edit"/>
              <v:textbox inset="0mm,0mm,0mm,0mm">
                <w:txbxContent>
                  <w:p w14:paraId="05195F3C">
                    <w:pPr>
                      <w:spacing w:before="0" w:line="165" w:lineRule="exact"/>
                      <w:ind w:left="0" w:right="0" w:firstLine="0"/>
                      <w:jc w:val="left"/>
                      <w:rPr>
                        <w:sz w:val="16"/>
                      </w:rPr>
                    </w:pPr>
                    <w:r>
                      <w:rPr>
                        <w:w w:val="103"/>
                        <w:sz w:val="16"/>
                      </w:rPr>
                      <w:t>N</w:t>
                    </w:r>
                  </w:p>
                </w:txbxContent>
              </v:textbox>
            </v:shape>
            <w10:wrap type="none"/>
            <w10:anchorlock/>
          </v:group>
        </w:pict>
      </w:r>
    </w:p>
    <w:p w14:paraId="2D4B12D6">
      <w:pPr>
        <w:spacing w:after="0"/>
        <w:rPr>
          <w:sz w:val="20"/>
        </w:rPr>
        <w:sectPr>
          <w:footerReference r:id="rId22" w:type="default"/>
          <w:pgSz w:w="11910" w:h="16840"/>
          <w:pgMar w:top="1440" w:right="1540" w:bottom="1220" w:left="1560" w:header="0" w:footer="1024" w:gutter="0"/>
          <w:pgNumType w:start="90"/>
          <w:cols w:space="720" w:num="1"/>
        </w:sectPr>
      </w:pPr>
    </w:p>
    <w:p w14:paraId="5C6860C6">
      <w:pPr>
        <w:pStyle w:val="10"/>
        <w:rPr>
          <w:sz w:val="34"/>
        </w:rPr>
      </w:pPr>
    </w:p>
    <w:p w14:paraId="1CF393F5">
      <w:pPr>
        <w:pStyle w:val="10"/>
        <w:ind w:left="720"/>
      </w:pPr>
      <w:r>
        <w:rPr>
          <w:rFonts w:ascii="Times New Roman" w:eastAsia="Times New Roman"/>
        </w:rPr>
        <w:t>3</w:t>
      </w:r>
      <w:r>
        <w:t>、气温</w:t>
      </w:r>
    </w:p>
    <w:p w14:paraId="5E49D609">
      <w:pPr>
        <w:spacing w:before="65"/>
        <w:ind w:left="142" w:right="0" w:firstLine="0"/>
        <w:jc w:val="left"/>
        <w:rPr>
          <w:b/>
          <w:sz w:val="21"/>
        </w:rPr>
      </w:pPr>
      <w:r>
        <w:br w:type="column"/>
      </w:r>
      <w:r>
        <w:rPr>
          <w:b/>
          <w:sz w:val="21"/>
        </w:rPr>
        <w:t xml:space="preserve">图 </w:t>
      </w:r>
      <w:r>
        <w:rPr>
          <w:rFonts w:ascii="Times New Roman" w:eastAsia="Times New Roman"/>
          <w:b/>
          <w:sz w:val="21"/>
        </w:rPr>
        <w:t xml:space="preserve">4.1-1 </w:t>
      </w:r>
      <w:r>
        <w:rPr>
          <w:b/>
          <w:sz w:val="21"/>
        </w:rPr>
        <w:t>项目区域风向玫瑰图（统计年限：</w:t>
      </w:r>
      <w:r>
        <w:rPr>
          <w:rFonts w:ascii="Times New Roman" w:eastAsia="Times New Roman"/>
          <w:b/>
          <w:sz w:val="21"/>
        </w:rPr>
        <w:t xml:space="preserve">2004-2023 </w:t>
      </w:r>
      <w:r>
        <w:rPr>
          <w:b/>
          <w:sz w:val="21"/>
        </w:rPr>
        <w:t>年）</w:t>
      </w:r>
    </w:p>
    <w:p w14:paraId="1B1D90D3">
      <w:pPr>
        <w:spacing w:after="0"/>
        <w:jc w:val="left"/>
        <w:rPr>
          <w:sz w:val="21"/>
        </w:rPr>
        <w:sectPr>
          <w:type w:val="continuous"/>
          <w:pgSz w:w="11910" w:h="16840"/>
          <w:pgMar w:top="1600" w:right="1540" w:bottom="280" w:left="1560" w:header="720" w:footer="720" w:gutter="0"/>
          <w:cols w:equalWidth="0" w:num="2">
            <w:col w:w="1561" w:space="40"/>
            <w:col w:w="7209"/>
          </w:cols>
        </w:sectPr>
      </w:pPr>
    </w:p>
    <w:p w14:paraId="1168DDD4">
      <w:pPr>
        <w:pStyle w:val="10"/>
        <w:spacing w:before="161" w:line="364" w:lineRule="auto"/>
        <w:ind w:left="240" w:right="257" w:firstLine="480"/>
      </w:pPr>
      <w:r>
        <w:rPr>
          <w:spacing w:val="-11"/>
        </w:rPr>
        <w:t xml:space="preserve">汨罗气象站 </w:t>
      </w:r>
      <w:r>
        <w:rPr>
          <w:rFonts w:ascii="Times New Roman" w:hAnsi="Times New Roman" w:eastAsia="Times New Roman"/>
        </w:rPr>
        <w:t xml:space="preserve">07 </w:t>
      </w:r>
      <w:r>
        <w:rPr>
          <w:spacing w:val="-2"/>
        </w:rPr>
        <w:t>月气温最高</w:t>
      </w:r>
      <w:r>
        <w:t>（</w:t>
      </w:r>
      <w:r>
        <w:rPr>
          <w:rFonts w:ascii="Times New Roman" w:hAnsi="Times New Roman" w:eastAsia="Times New Roman"/>
        </w:rPr>
        <w:t>29.4℃</w:t>
      </w:r>
      <w:r>
        <w:t>），</w:t>
      </w:r>
      <w:r>
        <w:rPr>
          <w:rFonts w:ascii="Times New Roman" w:hAnsi="Times New Roman" w:eastAsia="Times New Roman"/>
        </w:rPr>
        <w:t xml:space="preserve">01 </w:t>
      </w:r>
      <w:r>
        <w:rPr>
          <w:spacing w:val="-2"/>
        </w:rPr>
        <w:t>月气温最低</w:t>
      </w:r>
      <w:r>
        <w:rPr>
          <w:spacing w:val="-3"/>
        </w:rPr>
        <w:t>（</w:t>
      </w:r>
      <w:r>
        <w:rPr>
          <w:rFonts w:ascii="Times New Roman" w:hAnsi="Times New Roman" w:eastAsia="Times New Roman"/>
          <w:spacing w:val="-3"/>
        </w:rPr>
        <w:t>4.99℃</w:t>
      </w:r>
      <w:r>
        <w:rPr>
          <w:spacing w:val="-3"/>
        </w:rPr>
        <w:t>），</w:t>
      </w:r>
      <w:r>
        <w:rPr>
          <w:spacing w:val="-31"/>
        </w:rPr>
        <w:t xml:space="preserve">近 </w:t>
      </w:r>
      <w:r>
        <w:rPr>
          <w:rFonts w:ascii="Times New Roman" w:hAnsi="Times New Roman" w:eastAsia="Times New Roman"/>
        </w:rPr>
        <w:t xml:space="preserve">20 </w:t>
      </w:r>
      <w:r>
        <w:t>年</w:t>
      </w:r>
      <w:r>
        <w:rPr>
          <w:spacing w:val="-9"/>
        </w:rPr>
        <w:t xml:space="preserve">极端最高气温 </w:t>
      </w:r>
      <w:r>
        <w:rPr>
          <w:rFonts w:ascii="Times New Roman" w:hAnsi="Times New Roman" w:eastAsia="Times New Roman"/>
        </w:rPr>
        <w:t>40.4℃</w:t>
      </w:r>
      <w:r>
        <w:rPr>
          <w:spacing w:val="-21"/>
        </w:rPr>
        <w:t xml:space="preserve">，近 </w:t>
      </w:r>
      <w:r>
        <w:rPr>
          <w:rFonts w:ascii="Times New Roman" w:hAnsi="Times New Roman" w:eastAsia="Times New Roman"/>
        </w:rPr>
        <w:t xml:space="preserve">20 </w:t>
      </w:r>
      <w:r>
        <w:t>年极端最低气温</w:t>
      </w:r>
      <w:r>
        <w:rPr>
          <w:rFonts w:ascii="Times New Roman" w:hAnsi="Times New Roman" w:eastAsia="Times New Roman"/>
        </w:rPr>
        <w:t>-7.1℃</w:t>
      </w:r>
      <w:r>
        <w:t>。</w:t>
      </w:r>
    </w:p>
    <w:p w14:paraId="2B422606">
      <w:pPr>
        <w:pStyle w:val="10"/>
        <w:spacing w:before="1"/>
        <w:ind w:left="720"/>
      </w:pPr>
      <w:r>
        <w:t>（二）</w:t>
      </w:r>
      <w:r>
        <w:rPr>
          <w:rFonts w:ascii="Times New Roman" w:eastAsia="Times New Roman"/>
        </w:rPr>
        <w:t xml:space="preserve">2023 </w:t>
      </w:r>
      <w:r>
        <w:t>年地面气象数据</w:t>
      </w:r>
    </w:p>
    <w:p w14:paraId="1D514F1B">
      <w:pPr>
        <w:pStyle w:val="10"/>
        <w:spacing w:before="160"/>
        <w:ind w:left="720"/>
      </w:pPr>
      <w:r>
        <w:t>（</w:t>
      </w:r>
      <w:r>
        <w:rPr>
          <w:rFonts w:ascii="Times New Roman" w:eastAsia="Times New Roman"/>
        </w:rPr>
        <w:t>1</w:t>
      </w:r>
      <w:r>
        <w:t>）温度</w:t>
      </w:r>
    </w:p>
    <w:p w14:paraId="3ACF75FA">
      <w:pPr>
        <w:pStyle w:val="10"/>
        <w:spacing w:before="161"/>
        <w:ind w:left="720"/>
      </w:pPr>
      <w:r>
        <w:t xml:space="preserve">汨罗气象站 </w:t>
      </w:r>
      <w:r>
        <w:rPr>
          <w:rFonts w:ascii="Times New Roman" w:eastAsia="Times New Roman"/>
        </w:rPr>
        <w:t xml:space="preserve">2023 </w:t>
      </w:r>
      <w:r>
        <w:t>年温度观测记录统计的平均温度月变化情况见下表。</w:t>
      </w:r>
    </w:p>
    <w:p w14:paraId="3B414C50">
      <w:pPr>
        <w:pStyle w:val="10"/>
        <w:spacing w:before="5"/>
        <w:rPr>
          <w:sz w:val="18"/>
        </w:rPr>
      </w:pPr>
    </w:p>
    <w:p w14:paraId="49E334E1">
      <w:pPr>
        <w:spacing w:before="0" w:after="4"/>
        <w:ind w:left="2207" w:right="2226" w:firstLine="0"/>
        <w:jc w:val="center"/>
        <w:rPr>
          <w:b/>
          <w:sz w:val="21"/>
        </w:rPr>
      </w:pPr>
      <w:r>
        <w:rPr>
          <w:b/>
          <w:sz w:val="21"/>
        </w:rPr>
        <w:t xml:space="preserve">表 </w:t>
      </w:r>
      <w:r>
        <w:rPr>
          <w:rFonts w:ascii="Times New Roman" w:eastAsia="Times New Roman"/>
          <w:b/>
          <w:sz w:val="21"/>
        </w:rPr>
        <w:t xml:space="preserve">4.1-3 </w:t>
      </w:r>
      <w:r>
        <w:rPr>
          <w:b/>
          <w:sz w:val="21"/>
        </w:rPr>
        <w:t xml:space="preserve">汨罗气象站 </w:t>
      </w:r>
      <w:r>
        <w:rPr>
          <w:rFonts w:ascii="Times New Roman" w:eastAsia="Times New Roman"/>
          <w:b/>
          <w:sz w:val="21"/>
        </w:rPr>
        <w:t xml:space="preserve">2023 </w:t>
      </w:r>
      <w:r>
        <w:rPr>
          <w:b/>
          <w:sz w:val="21"/>
        </w:rPr>
        <w:t>年平均温度月变化表</w:t>
      </w:r>
    </w:p>
    <w:tbl>
      <w:tblPr>
        <w:tblStyle w:val="13"/>
        <w:tblW w:w="0" w:type="auto"/>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0"/>
        <w:gridCol w:w="575"/>
        <w:gridCol w:w="575"/>
        <w:gridCol w:w="676"/>
        <w:gridCol w:w="676"/>
        <w:gridCol w:w="676"/>
        <w:gridCol w:w="676"/>
        <w:gridCol w:w="596"/>
        <w:gridCol w:w="602"/>
        <w:gridCol w:w="627"/>
        <w:gridCol w:w="702"/>
        <w:gridCol w:w="598"/>
        <w:gridCol w:w="517"/>
        <w:gridCol w:w="637"/>
      </w:tblGrid>
      <w:tr w14:paraId="205C27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8" w:hRule="atLeast"/>
        </w:trPr>
        <w:tc>
          <w:tcPr>
            <w:tcW w:w="420" w:type="dxa"/>
            <w:tcBorders>
              <w:left w:val="nil"/>
              <w:bottom w:val="single" w:color="000000" w:sz="4" w:space="0"/>
              <w:right w:val="single" w:color="000000" w:sz="4" w:space="0"/>
            </w:tcBorders>
          </w:tcPr>
          <w:p w14:paraId="0495F6EC">
            <w:pPr>
              <w:pStyle w:val="17"/>
              <w:spacing w:before="34"/>
              <w:ind w:left="121"/>
              <w:jc w:val="left"/>
              <w:rPr>
                <w:sz w:val="21"/>
              </w:rPr>
            </w:pPr>
            <w:r>
              <w:rPr>
                <w:w w:val="99"/>
                <w:sz w:val="21"/>
              </w:rPr>
              <w:t>月</w:t>
            </w:r>
          </w:p>
          <w:p w14:paraId="29F0F58F">
            <w:pPr>
              <w:pStyle w:val="17"/>
              <w:spacing w:before="43"/>
              <w:ind w:left="121"/>
              <w:jc w:val="left"/>
              <w:rPr>
                <w:sz w:val="21"/>
              </w:rPr>
            </w:pPr>
            <w:r>
              <w:rPr>
                <w:w w:val="99"/>
                <w:sz w:val="21"/>
              </w:rPr>
              <w:t>份</w:t>
            </w:r>
          </w:p>
        </w:tc>
        <w:tc>
          <w:tcPr>
            <w:tcW w:w="575" w:type="dxa"/>
            <w:tcBorders>
              <w:left w:val="single" w:color="000000" w:sz="4" w:space="0"/>
              <w:bottom w:val="single" w:color="000000" w:sz="4" w:space="0"/>
              <w:right w:val="single" w:color="000000" w:sz="4" w:space="0"/>
            </w:tcBorders>
          </w:tcPr>
          <w:p w14:paraId="254BD513">
            <w:pPr>
              <w:pStyle w:val="17"/>
              <w:spacing w:before="190"/>
              <w:ind w:left="116"/>
              <w:jc w:val="left"/>
              <w:rPr>
                <w:sz w:val="21"/>
              </w:rPr>
            </w:pPr>
            <w:r>
              <w:rPr>
                <w:rFonts w:ascii="Times New Roman" w:eastAsia="Times New Roman"/>
                <w:sz w:val="21"/>
              </w:rPr>
              <w:t xml:space="preserve">1 </w:t>
            </w:r>
            <w:r>
              <w:rPr>
                <w:sz w:val="21"/>
              </w:rPr>
              <w:t>月</w:t>
            </w:r>
          </w:p>
        </w:tc>
        <w:tc>
          <w:tcPr>
            <w:tcW w:w="575" w:type="dxa"/>
            <w:tcBorders>
              <w:left w:val="single" w:color="000000" w:sz="4" w:space="0"/>
              <w:bottom w:val="single" w:color="000000" w:sz="4" w:space="0"/>
              <w:right w:val="single" w:color="000000" w:sz="4" w:space="0"/>
            </w:tcBorders>
          </w:tcPr>
          <w:p w14:paraId="5411D3C1">
            <w:pPr>
              <w:pStyle w:val="17"/>
              <w:spacing w:before="190"/>
              <w:ind w:left="117"/>
              <w:jc w:val="left"/>
              <w:rPr>
                <w:sz w:val="21"/>
              </w:rPr>
            </w:pPr>
            <w:r>
              <w:rPr>
                <w:rFonts w:ascii="Times New Roman" w:eastAsia="Times New Roman"/>
                <w:sz w:val="21"/>
              </w:rPr>
              <w:t xml:space="preserve">2 </w:t>
            </w:r>
            <w:r>
              <w:rPr>
                <w:sz w:val="21"/>
              </w:rPr>
              <w:t>月</w:t>
            </w:r>
          </w:p>
        </w:tc>
        <w:tc>
          <w:tcPr>
            <w:tcW w:w="676" w:type="dxa"/>
            <w:tcBorders>
              <w:left w:val="single" w:color="000000" w:sz="4" w:space="0"/>
              <w:bottom w:val="single" w:color="000000" w:sz="4" w:space="0"/>
              <w:right w:val="single" w:color="000000" w:sz="4" w:space="0"/>
            </w:tcBorders>
          </w:tcPr>
          <w:p w14:paraId="107383B7">
            <w:pPr>
              <w:pStyle w:val="17"/>
              <w:spacing w:before="190"/>
              <w:ind w:left="164"/>
              <w:jc w:val="left"/>
              <w:rPr>
                <w:sz w:val="21"/>
              </w:rPr>
            </w:pPr>
            <w:r>
              <w:rPr>
                <w:rFonts w:ascii="Times New Roman" w:eastAsia="Times New Roman"/>
                <w:sz w:val="21"/>
              </w:rPr>
              <w:t xml:space="preserve">3 </w:t>
            </w:r>
            <w:r>
              <w:rPr>
                <w:sz w:val="21"/>
              </w:rPr>
              <w:t>月</w:t>
            </w:r>
          </w:p>
        </w:tc>
        <w:tc>
          <w:tcPr>
            <w:tcW w:w="676" w:type="dxa"/>
            <w:tcBorders>
              <w:left w:val="single" w:color="000000" w:sz="4" w:space="0"/>
              <w:bottom w:val="single" w:color="000000" w:sz="4" w:space="0"/>
              <w:right w:val="single" w:color="000000" w:sz="4" w:space="0"/>
            </w:tcBorders>
          </w:tcPr>
          <w:p w14:paraId="73F7D682">
            <w:pPr>
              <w:pStyle w:val="17"/>
              <w:spacing w:before="190"/>
              <w:ind w:left="162"/>
              <w:jc w:val="left"/>
              <w:rPr>
                <w:sz w:val="21"/>
              </w:rPr>
            </w:pPr>
            <w:r>
              <w:rPr>
                <w:rFonts w:ascii="Times New Roman" w:eastAsia="Times New Roman"/>
                <w:sz w:val="21"/>
              </w:rPr>
              <w:t xml:space="preserve">4 </w:t>
            </w:r>
            <w:r>
              <w:rPr>
                <w:sz w:val="21"/>
              </w:rPr>
              <w:t>月</w:t>
            </w:r>
          </w:p>
        </w:tc>
        <w:tc>
          <w:tcPr>
            <w:tcW w:w="676" w:type="dxa"/>
            <w:tcBorders>
              <w:left w:val="single" w:color="000000" w:sz="4" w:space="0"/>
              <w:bottom w:val="single" w:color="000000" w:sz="4" w:space="0"/>
              <w:right w:val="single" w:color="000000" w:sz="4" w:space="0"/>
            </w:tcBorders>
          </w:tcPr>
          <w:p w14:paraId="12D06E0A">
            <w:pPr>
              <w:pStyle w:val="17"/>
              <w:spacing w:before="190"/>
              <w:ind w:left="163"/>
              <w:jc w:val="left"/>
              <w:rPr>
                <w:sz w:val="21"/>
              </w:rPr>
            </w:pPr>
            <w:r>
              <w:rPr>
                <w:rFonts w:ascii="Times New Roman" w:eastAsia="Times New Roman"/>
                <w:sz w:val="21"/>
              </w:rPr>
              <w:t xml:space="preserve">5 </w:t>
            </w:r>
            <w:r>
              <w:rPr>
                <w:sz w:val="21"/>
              </w:rPr>
              <w:t>月</w:t>
            </w:r>
          </w:p>
        </w:tc>
        <w:tc>
          <w:tcPr>
            <w:tcW w:w="676" w:type="dxa"/>
            <w:tcBorders>
              <w:left w:val="single" w:color="000000" w:sz="4" w:space="0"/>
              <w:bottom w:val="single" w:color="000000" w:sz="4" w:space="0"/>
              <w:right w:val="single" w:color="000000" w:sz="4" w:space="0"/>
            </w:tcBorders>
          </w:tcPr>
          <w:p w14:paraId="037663CE">
            <w:pPr>
              <w:pStyle w:val="17"/>
              <w:spacing w:before="190"/>
              <w:ind w:left="164"/>
              <w:jc w:val="left"/>
              <w:rPr>
                <w:sz w:val="21"/>
              </w:rPr>
            </w:pPr>
            <w:r>
              <w:rPr>
                <w:rFonts w:ascii="Times New Roman" w:eastAsia="Times New Roman"/>
                <w:sz w:val="21"/>
              </w:rPr>
              <w:t xml:space="preserve">6 </w:t>
            </w:r>
            <w:r>
              <w:rPr>
                <w:sz w:val="21"/>
              </w:rPr>
              <w:t>月</w:t>
            </w:r>
          </w:p>
        </w:tc>
        <w:tc>
          <w:tcPr>
            <w:tcW w:w="596" w:type="dxa"/>
            <w:tcBorders>
              <w:left w:val="single" w:color="000000" w:sz="4" w:space="0"/>
              <w:bottom w:val="single" w:color="000000" w:sz="4" w:space="0"/>
              <w:right w:val="single" w:color="000000" w:sz="4" w:space="0"/>
            </w:tcBorders>
          </w:tcPr>
          <w:p w14:paraId="270DB855">
            <w:pPr>
              <w:pStyle w:val="17"/>
              <w:spacing w:before="190"/>
              <w:ind w:left="124"/>
              <w:jc w:val="left"/>
              <w:rPr>
                <w:sz w:val="21"/>
              </w:rPr>
            </w:pPr>
            <w:r>
              <w:rPr>
                <w:rFonts w:ascii="Times New Roman" w:eastAsia="Times New Roman"/>
                <w:sz w:val="21"/>
              </w:rPr>
              <w:t xml:space="preserve">7 </w:t>
            </w:r>
            <w:r>
              <w:rPr>
                <w:sz w:val="21"/>
              </w:rPr>
              <w:t>月</w:t>
            </w:r>
          </w:p>
        </w:tc>
        <w:tc>
          <w:tcPr>
            <w:tcW w:w="602" w:type="dxa"/>
            <w:tcBorders>
              <w:left w:val="single" w:color="000000" w:sz="4" w:space="0"/>
              <w:bottom w:val="single" w:color="000000" w:sz="4" w:space="0"/>
              <w:right w:val="single" w:color="000000" w:sz="4" w:space="0"/>
            </w:tcBorders>
          </w:tcPr>
          <w:p w14:paraId="6C721215">
            <w:pPr>
              <w:pStyle w:val="17"/>
              <w:spacing w:before="190"/>
              <w:ind w:left="125"/>
              <w:jc w:val="left"/>
              <w:rPr>
                <w:sz w:val="21"/>
              </w:rPr>
            </w:pPr>
            <w:r>
              <w:rPr>
                <w:rFonts w:ascii="Times New Roman" w:eastAsia="Times New Roman"/>
                <w:sz w:val="21"/>
              </w:rPr>
              <w:t xml:space="preserve">8 </w:t>
            </w:r>
            <w:r>
              <w:rPr>
                <w:sz w:val="21"/>
              </w:rPr>
              <w:t>月</w:t>
            </w:r>
          </w:p>
        </w:tc>
        <w:tc>
          <w:tcPr>
            <w:tcW w:w="627" w:type="dxa"/>
            <w:tcBorders>
              <w:left w:val="single" w:color="000000" w:sz="4" w:space="0"/>
              <w:bottom w:val="single" w:color="000000" w:sz="4" w:space="0"/>
              <w:right w:val="single" w:color="000000" w:sz="4" w:space="0"/>
            </w:tcBorders>
          </w:tcPr>
          <w:p w14:paraId="6265AEBD">
            <w:pPr>
              <w:pStyle w:val="17"/>
              <w:spacing w:before="190"/>
              <w:ind w:left="138"/>
              <w:jc w:val="left"/>
              <w:rPr>
                <w:sz w:val="21"/>
              </w:rPr>
            </w:pPr>
            <w:r>
              <w:rPr>
                <w:rFonts w:ascii="Times New Roman" w:eastAsia="Times New Roman"/>
                <w:sz w:val="21"/>
              </w:rPr>
              <w:t xml:space="preserve">9 </w:t>
            </w:r>
            <w:r>
              <w:rPr>
                <w:sz w:val="21"/>
              </w:rPr>
              <w:t>月</w:t>
            </w:r>
          </w:p>
        </w:tc>
        <w:tc>
          <w:tcPr>
            <w:tcW w:w="702" w:type="dxa"/>
            <w:tcBorders>
              <w:left w:val="single" w:color="000000" w:sz="4" w:space="0"/>
              <w:bottom w:val="single" w:color="000000" w:sz="4" w:space="0"/>
              <w:right w:val="single" w:color="000000" w:sz="4" w:space="0"/>
            </w:tcBorders>
          </w:tcPr>
          <w:p w14:paraId="1194B9E9">
            <w:pPr>
              <w:pStyle w:val="17"/>
              <w:spacing w:before="190"/>
              <w:ind w:left="100" w:right="75"/>
              <w:rPr>
                <w:sz w:val="21"/>
              </w:rPr>
            </w:pPr>
            <w:r>
              <w:rPr>
                <w:rFonts w:ascii="Times New Roman" w:eastAsia="Times New Roman"/>
                <w:sz w:val="21"/>
              </w:rPr>
              <w:t xml:space="preserve">10 </w:t>
            </w:r>
            <w:r>
              <w:rPr>
                <w:sz w:val="21"/>
              </w:rPr>
              <w:t>月</w:t>
            </w:r>
          </w:p>
        </w:tc>
        <w:tc>
          <w:tcPr>
            <w:tcW w:w="598" w:type="dxa"/>
            <w:tcBorders>
              <w:left w:val="single" w:color="000000" w:sz="4" w:space="0"/>
              <w:bottom w:val="single" w:color="000000" w:sz="4" w:space="0"/>
              <w:right w:val="single" w:color="000000" w:sz="4" w:space="0"/>
            </w:tcBorders>
          </w:tcPr>
          <w:p w14:paraId="2CCCA2AA">
            <w:pPr>
              <w:pStyle w:val="17"/>
              <w:spacing w:before="48"/>
              <w:ind w:left="208"/>
              <w:jc w:val="left"/>
              <w:rPr>
                <w:rFonts w:ascii="Times New Roman"/>
                <w:sz w:val="21"/>
              </w:rPr>
            </w:pPr>
            <w:r>
              <w:rPr>
                <w:rFonts w:ascii="Times New Roman"/>
                <w:sz w:val="21"/>
              </w:rPr>
              <w:t>11</w:t>
            </w:r>
          </w:p>
          <w:p w14:paraId="5F90BE96">
            <w:pPr>
              <w:pStyle w:val="17"/>
              <w:spacing w:before="57"/>
              <w:ind w:left="203"/>
              <w:jc w:val="left"/>
              <w:rPr>
                <w:sz w:val="21"/>
              </w:rPr>
            </w:pPr>
            <w:r>
              <w:rPr>
                <w:w w:val="99"/>
                <w:sz w:val="21"/>
              </w:rPr>
              <w:t>月</w:t>
            </w:r>
          </w:p>
        </w:tc>
        <w:tc>
          <w:tcPr>
            <w:tcW w:w="517" w:type="dxa"/>
            <w:tcBorders>
              <w:left w:val="single" w:color="000000" w:sz="4" w:space="0"/>
              <w:bottom w:val="single" w:color="000000" w:sz="4" w:space="0"/>
              <w:right w:val="single" w:color="000000" w:sz="4" w:space="0"/>
            </w:tcBorders>
          </w:tcPr>
          <w:p w14:paraId="09E2ADC0">
            <w:pPr>
              <w:pStyle w:val="17"/>
              <w:spacing w:before="48"/>
              <w:ind w:left="162"/>
              <w:jc w:val="left"/>
              <w:rPr>
                <w:rFonts w:ascii="Times New Roman"/>
                <w:sz w:val="21"/>
              </w:rPr>
            </w:pPr>
            <w:r>
              <w:rPr>
                <w:rFonts w:ascii="Times New Roman"/>
                <w:sz w:val="21"/>
              </w:rPr>
              <w:t>12</w:t>
            </w:r>
          </w:p>
          <w:p w14:paraId="1F04FE46">
            <w:pPr>
              <w:pStyle w:val="17"/>
              <w:spacing w:before="57"/>
              <w:ind w:left="162"/>
              <w:jc w:val="left"/>
              <w:rPr>
                <w:sz w:val="21"/>
              </w:rPr>
            </w:pPr>
            <w:r>
              <w:rPr>
                <w:w w:val="99"/>
                <w:sz w:val="21"/>
              </w:rPr>
              <w:t>月</w:t>
            </w:r>
          </w:p>
        </w:tc>
        <w:tc>
          <w:tcPr>
            <w:tcW w:w="637" w:type="dxa"/>
            <w:tcBorders>
              <w:left w:val="single" w:color="000000" w:sz="4" w:space="0"/>
              <w:bottom w:val="single" w:color="000000" w:sz="4" w:space="0"/>
              <w:right w:val="nil"/>
            </w:tcBorders>
          </w:tcPr>
          <w:p w14:paraId="50C87853">
            <w:pPr>
              <w:pStyle w:val="17"/>
              <w:spacing w:before="11"/>
              <w:jc w:val="left"/>
              <w:rPr>
                <w:b/>
                <w:sz w:val="14"/>
              </w:rPr>
            </w:pPr>
          </w:p>
          <w:p w14:paraId="54C7790E">
            <w:pPr>
              <w:pStyle w:val="17"/>
              <w:ind w:left="118"/>
              <w:jc w:val="left"/>
              <w:rPr>
                <w:sz w:val="21"/>
              </w:rPr>
            </w:pPr>
            <w:r>
              <w:rPr>
                <w:sz w:val="21"/>
              </w:rPr>
              <w:t>全年</w:t>
            </w:r>
          </w:p>
        </w:tc>
      </w:tr>
      <w:tr w14:paraId="5C7B5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7" w:hRule="atLeast"/>
        </w:trPr>
        <w:tc>
          <w:tcPr>
            <w:tcW w:w="420" w:type="dxa"/>
            <w:tcBorders>
              <w:top w:val="single" w:color="000000" w:sz="4" w:space="0"/>
              <w:left w:val="nil"/>
              <w:right w:val="single" w:color="000000" w:sz="4" w:space="0"/>
            </w:tcBorders>
          </w:tcPr>
          <w:p w14:paraId="5D512A31">
            <w:pPr>
              <w:pStyle w:val="17"/>
              <w:spacing w:before="38"/>
              <w:ind w:left="121"/>
              <w:jc w:val="left"/>
              <w:rPr>
                <w:sz w:val="21"/>
              </w:rPr>
            </w:pPr>
            <w:r>
              <w:rPr>
                <w:w w:val="99"/>
                <w:sz w:val="21"/>
              </w:rPr>
              <w:t>温</w:t>
            </w:r>
          </w:p>
          <w:p w14:paraId="2397E1F5">
            <w:pPr>
              <w:pStyle w:val="17"/>
              <w:spacing w:before="43"/>
              <w:ind w:left="121"/>
              <w:jc w:val="left"/>
              <w:rPr>
                <w:sz w:val="21"/>
              </w:rPr>
            </w:pPr>
            <w:r>
              <w:rPr>
                <w:w w:val="99"/>
                <w:sz w:val="21"/>
              </w:rPr>
              <w:t>度</w:t>
            </w:r>
          </w:p>
        </w:tc>
        <w:tc>
          <w:tcPr>
            <w:tcW w:w="575" w:type="dxa"/>
            <w:tcBorders>
              <w:top w:val="single" w:color="000000" w:sz="4" w:space="0"/>
              <w:left w:val="single" w:color="000000" w:sz="4" w:space="0"/>
              <w:right w:val="single" w:color="000000" w:sz="4" w:space="0"/>
            </w:tcBorders>
          </w:tcPr>
          <w:p w14:paraId="7080E8E4">
            <w:pPr>
              <w:pStyle w:val="17"/>
              <w:spacing w:before="52"/>
              <w:ind w:left="143" w:right="116"/>
              <w:rPr>
                <w:rFonts w:ascii="Times New Roman"/>
                <w:sz w:val="21"/>
              </w:rPr>
            </w:pPr>
            <w:r>
              <w:rPr>
                <w:rFonts w:ascii="Times New Roman"/>
                <w:sz w:val="21"/>
              </w:rPr>
              <w:t>7.0</w:t>
            </w:r>
          </w:p>
          <w:p w14:paraId="1118C007">
            <w:pPr>
              <w:pStyle w:val="17"/>
              <w:spacing w:before="71"/>
              <w:ind w:left="27"/>
              <w:rPr>
                <w:rFonts w:ascii="Times New Roman"/>
                <w:sz w:val="21"/>
              </w:rPr>
            </w:pPr>
            <w:r>
              <w:rPr>
                <w:rFonts w:ascii="Times New Roman"/>
                <w:w w:val="99"/>
                <w:sz w:val="21"/>
              </w:rPr>
              <w:t>8</w:t>
            </w:r>
          </w:p>
        </w:tc>
        <w:tc>
          <w:tcPr>
            <w:tcW w:w="575" w:type="dxa"/>
            <w:tcBorders>
              <w:top w:val="single" w:color="000000" w:sz="4" w:space="0"/>
              <w:left w:val="single" w:color="000000" w:sz="4" w:space="0"/>
              <w:right w:val="single" w:color="000000" w:sz="4" w:space="0"/>
            </w:tcBorders>
          </w:tcPr>
          <w:p w14:paraId="61AD5489">
            <w:pPr>
              <w:pStyle w:val="17"/>
              <w:spacing w:before="52"/>
              <w:ind w:left="144" w:right="115"/>
              <w:rPr>
                <w:rFonts w:ascii="Times New Roman"/>
                <w:sz w:val="21"/>
              </w:rPr>
            </w:pPr>
            <w:r>
              <w:rPr>
                <w:rFonts w:ascii="Times New Roman"/>
                <w:sz w:val="21"/>
              </w:rPr>
              <w:t>7.7</w:t>
            </w:r>
          </w:p>
          <w:p w14:paraId="345164DC">
            <w:pPr>
              <w:pStyle w:val="17"/>
              <w:spacing w:before="71"/>
              <w:ind w:left="29"/>
              <w:rPr>
                <w:rFonts w:ascii="Times New Roman"/>
                <w:sz w:val="21"/>
              </w:rPr>
            </w:pPr>
            <w:r>
              <w:rPr>
                <w:rFonts w:ascii="Times New Roman"/>
                <w:w w:val="99"/>
                <w:sz w:val="21"/>
              </w:rPr>
              <w:t>3</w:t>
            </w:r>
          </w:p>
        </w:tc>
        <w:tc>
          <w:tcPr>
            <w:tcW w:w="676" w:type="dxa"/>
            <w:tcBorders>
              <w:top w:val="single" w:color="000000" w:sz="4" w:space="0"/>
              <w:left w:val="single" w:color="000000" w:sz="4" w:space="0"/>
              <w:right w:val="single" w:color="000000" w:sz="4" w:space="0"/>
            </w:tcBorders>
          </w:tcPr>
          <w:p w14:paraId="17274D76">
            <w:pPr>
              <w:pStyle w:val="17"/>
              <w:spacing w:before="52"/>
              <w:ind w:left="142" w:right="112"/>
              <w:rPr>
                <w:rFonts w:ascii="Times New Roman"/>
                <w:sz w:val="21"/>
              </w:rPr>
            </w:pPr>
            <w:r>
              <w:rPr>
                <w:rFonts w:ascii="Times New Roman"/>
                <w:sz w:val="21"/>
              </w:rPr>
              <w:t>13.9</w:t>
            </w:r>
          </w:p>
          <w:p w14:paraId="37BD43ED">
            <w:pPr>
              <w:pStyle w:val="17"/>
              <w:spacing w:before="71"/>
              <w:ind w:left="26"/>
              <w:rPr>
                <w:rFonts w:ascii="Times New Roman"/>
                <w:sz w:val="21"/>
              </w:rPr>
            </w:pPr>
            <w:r>
              <w:rPr>
                <w:rFonts w:ascii="Times New Roman"/>
                <w:w w:val="99"/>
                <w:sz w:val="21"/>
              </w:rPr>
              <w:t>4</w:t>
            </w:r>
          </w:p>
        </w:tc>
        <w:tc>
          <w:tcPr>
            <w:tcW w:w="676" w:type="dxa"/>
            <w:tcBorders>
              <w:top w:val="single" w:color="000000" w:sz="4" w:space="0"/>
              <w:left w:val="single" w:color="000000" w:sz="4" w:space="0"/>
              <w:right w:val="single" w:color="000000" w:sz="4" w:space="0"/>
            </w:tcBorders>
          </w:tcPr>
          <w:p w14:paraId="4693039E">
            <w:pPr>
              <w:pStyle w:val="17"/>
              <w:spacing w:before="52"/>
              <w:ind w:left="141" w:right="114"/>
              <w:rPr>
                <w:rFonts w:ascii="Times New Roman"/>
                <w:sz w:val="21"/>
              </w:rPr>
            </w:pPr>
            <w:r>
              <w:rPr>
                <w:rFonts w:ascii="Times New Roman"/>
                <w:sz w:val="21"/>
              </w:rPr>
              <w:t>18.9</w:t>
            </w:r>
          </w:p>
          <w:p w14:paraId="4F8A5A4F">
            <w:pPr>
              <w:pStyle w:val="17"/>
              <w:spacing w:before="71"/>
              <w:ind w:left="27"/>
              <w:rPr>
                <w:rFonts w:ascii="Times New Roman"/>
                <w:sz w:val="21"/>
              </w:rPr>
            </w:pPr>
            <w:r>
              <w:rPr>
                <w:rFonts w:ascii="Times New Roman"/>
                <w:w w:val="99"/>
                <w:sz w:val="21"/>
              </w:rPr>
              <w:t>0</w:t>
            </w:r>
          </w:p>
        </w:tc>
        <w:tc>
          <w:tcPr>
            <w:tcW w:w="676" w:type="dxa"/>
            <w:tcBorders>
              <w:top w:val="single" w:color="000000" w:sz="4" w:space="0"/>
              <w:left w:val="single" w:color="000000" w:sz="4" w:space="0"/>
              <w:right w:val="single" w:color="000000" w:sz="4" w:space="0"/>
            </w:tcBorders>
          </w:tcPr>
          <w:p w14:paraId="46DA77A0">
            <w:pPr>
              <w:pStyle w:val="17"/>
              <w:spacing w:before="52"/>
              <w:ind w:left="142" w:right="113"/>
              <w:rPr>
                <w:rFonts w:ascii="Times New Roman"/>
                <w:sz w:val="21"/>
              </w:rPr>
            </w:pPr>
            <w:r>
              <w:rPr>
                <w:rFonts w:ascii="Times New Roman"/>
                <w:sz w:val="21"/>
              </w:rPr>
              <w:t>23.0</w:t>
            </w:r>
          </w:p>
          <w:p w14:paraId="004FDCC2">
            <w:pPr>
              <w:pStyle w:val="17"/>
              <w:spacing w:before="71"/>
              <w:ind w:left="29"/>
              <w:rPr>
                <w:rFonts w:ascii="Times New Roman"/>
                <w:sz w:val="21"/>
              </w:rPr>
            </w:pPr>
            <w:r>
              <w:rPr>
                <w:rFonts w:ascii="Times New Roman"/>
                <w:w w:val="99"/>
                <w:sz w:val="21"/>
              </w:rPr>
              <w:t>6</w:t>
            </w:r>
          </w:p>
        </w:tc>
        <w:tc>
          <w:tcPr>
            <w:tcW w:w="676" w:type="dxa"/>
            <w:tcBorders>
              <w:top w:val="single" w:color="000000" w:sz="4" w:space="0"/>
              <w:left w:val="single" w:color="000000" w:sz="4" w:space="0"/>
              <w:right w:val="single" w:color="000000" w:sz="4" w:space="0"/>
            </w:tcBorders>
          </w:tcPr>
          <w:p w14:paraId="717B68A2">
            <w:pPr>
              <w:pStyle w:val="17"/>
              <w:spacing w:before="52"/>
              <w:ind w:left="142" w:right="112"/>
              <w:rPr>
                <w:rFonts w:ascii="Times New Roman"/>
                <w:sz w:val="21"/>
              </w:rPr>
            </w:pPr>
            <w:r>
              <w:rPr>
                <w:rFonts w:ascii="Times New Roman"/>
                <w:sz w:val="21"/>
              </w:rPr>
              <w:t>26.2</w:t>
            </w:r>
          </w:p>
          <w:p w14:paraId="1C60F228">
            <w:pPr>
              <w:pStyle w:val="17"/>
              <w:spacing w:before="71"/>
              <w:ind w:left="26"/>
              <w:rPr>
                <w:rFonts w:ascii="Times New Roman"/>
                <w:sz w:val="21"/>
              </w:rPr>
            </w:pPr>
            <w:r>
              <w:rPr>
                <w:rFonts w:ascii="Times New Roman"/>
                <w:w w:val="99"/>
                <w:sz w:val="21"/>
              </w:rPr>
              <w:t>8</w:t>
            </w:r>
          </w:p>
        </w:tc>
        <w:tc>
          <w:tcPr>
            <w:tcW w:w="596" w:type="dxa"/>
            <w:tcBorders>
              <w:top w:val="single" w:color="000000" w:sz="4" w:space="0"/>
              <w:left w:val="single" w:color="000000" w:sz="4" w:space="0"/>
              <w:right w:val="single" w:color="000000" w:sz="4" w:space="0"/>
            </w:tcBorders>
          </w:tcPr>
          <w:p w14:paraId="37E039D9">
            <w:pPr>
              <w:pStyle w:val="17"/>
              <w:spacing w:before="52"/>
              <w:ind w:left="101" w:right="71"/>
              <w:rPr>
                <w:rFonts w:ascii="Times New Roman"/>
                <w:sz w:val="21"/>
              </w:rPr>
            </w:pPr>
            <w:r>
              <w:rPr>
                <w:rFonts w:ascii="Times New Roman"/>
                <w:sz w:val="21"/>
              </w:rPr>
              <w:t>29.8</w:t>
            </w:r>
          </w:p>
          <w:p w14:paraId="6CF87AD9">
            <w:pPr>
              <w:pStyle w:val="17"/>
              <w:spacing w:before="71"/>
              <w:ind w:left="26"/>
              <w:rPr>
                <w:rFonts w:ascii="Times New Roman"/>
                <w:sz w:val="21"/>
              </w:rPr>
            </w:pPr>
            <w:r>
              <w:rPr>
                <w:rFonts w:ascii="Times New Roman"/>
                <w:w w:val="99"/>
                <w:sz w:val="21"/>
              </w:rPr>
              <w:t>4</w:t>
            </w:r>
          </w:p>
        </w:tc>
        <w:tc>
          <w:tcPr>
            <w:tcW w:w="602" w:type="dxa"/>
            <w:tcBorders>
              <w:top w:val="single" w:color="000000" w:sz="4" w:space="0"/>
              <w:left w:val="single" w:color="000000" w:sz="4" w:space="0"/>
              <w:right w:val="single" w:color="000000" w:sz="4" w:space="0"/>
            </w:tcBorders>
          </w:tcPr>
          <w:p w14:paraId="5DDA0D39">
            <w:pPr>
              <w:pStyle w:val="17"/>
              <w:spacing w:before="52"/>
              <w:ind w:left="106" w:right="78"/>
              <w:rPr>
                <w:rFonts w:ascii="Times New Roman"/>
                <w:sz w:val="21"/>
              </w:rPr>
            </w:pPr>
            <w:r>
              <w:rPr>
                <w:rFonts w:ascii="Times New Roman"/>
                <w:sz w:val="21"/>
              </w:rPr>
              <w:t>28.7</w:t>
            </w:r>
          </w:p>
          <w:p w14:paraId="7ACCB23C">
            <w:pPr>
              <w:pStyle w:val="17"/>
              <w:spacing w:before="71"/>
              <w:ind w:left="28"/>
              <w:rPr>
                <w:rFonts w:ascii="Times New Roman"/>
                <w:sz w:val="21"/>
              </w:rPr>
            </w:pPr>
            <w:r>
              <w:rPr>
                <w:rFonts w:ascii="Times New Roman"/>
                <w:w w:val="99"/>
                <w:sz w:val="21"/>
              </w:rPr>
              <w:t>1</w:t>
            </w:r>
          </w:p>
        </w:tc>
        <w:tc>
          <w:tcPr>
            <w:tcW w:w="627" w:type="dxa"/>
            <w:tcBorders>
              <w:top w:val="single" w:color="000000" w:sz="4" w:space="0"/>
              <w:left w:val="single" w:color="000000" w:sz="4" w:space="0"/>
              <w:right w:val="single" w:color="000000" w:sz="4" w:space="0"/>
            </w:tcBorders>
          </w:tcPr>
          <w:p w14:paraId="6E452AA6">
            <w:pPr>
              <w:pStyle w:val="17"/>
              <w:spacing w:before="52"/>
              <w:ind w:left="117" w:right="90"/>
              <w:rPr>
                <w:rFonts w:ascii="Times New Roman"/>
                <w:sz w:val="21"/>
              </w:rPr>
            </w:pPr>
            <w:r>
              <w:rPr>
                <w:rFonts w:ascii="Times New Roman"/>
                <w:sz w:val="21"/>
              </w:rPr>
              <w:t>25.2</w:t>
            </w:r>
          </w:p>
          <w:p w14:paraId="1F16813E">
            <w:pPr>
              <w:pStyle w:val="17"/>
              <w:spacing w:before="71"/>
              <w:ind w:left="27"/>
              <w:rPr>
                <w:rFonts w:ascii="Times New Roman"/>
                <w:sz w:val="21"/>
              </w:rPr>
            </w:pPr>
            <w:r>
              <w:rPr>
                <w:rFonts w:ascii="Times New Roman"/>
                <w:w w:val="99"/>
                <w:sz w:val="21"/>
              </w:rPr>
              <w:t>8</w:t>
            </w:r>
          </w:p>
        </w:tc>
        <w:tc>
          <w:tcPr>
            <w:tcW w:w="702" w:type="dxa"/>
            <w:tcBorders>
              <w:top w:val="single" w:color="000000" w:sz="4" w:space="0"/>
              <w:left w:val="single" w:color="000000" w:sz="4" w:space="0"/>
              <w:right w:val="single" w:color="000000" w:sz="4" w:space="0"/>
            </w:tcBorders>
          </w:tcPr>
          <w:p w14:paraId="5A0B3D57">
            <w:pPr>
              <w:pStyle w:val="17"/>
              <w:spacing w:before="3"/>
              <w:jc w:val="left"/>
              <w:rPr>
                <w:b/>
                <w:sz w:val="16"/>
              </w:rPr>
            </w:pPr>
          </w:p>
          <w:p w14:paraId="1E0F1622">
            <w:pPr>
              <w:pStyle w:val="17"/>
              <w:ind w:left="102" w:right="74"/>
              <w:rPr>
                <w:rFonts w:ascii="Times New Roman"/>
                <w:sz w:val="21"/>
              </w:rPr>
            </w:pPr>
            <w:r>
              <w:rPr>
                <w:rFonts w:ascii="Times New Roman"/>
                <w:sz w:val="21"/>
              </w:rPr>
              <w:t>20.03</w:t>
            </w:r>
          </w:p>
        </w:tc>
        <w:tc>
          <w:tcPr>
            <w:tcW w:w="598" w:type="dxa"/>
            <w:tcBorders>
              <w:top w:val="single" w:color="000000" w:sz="4" w:space="0"/>
              <w:left w:val="single" w:color="000000" w:sz="4" w:space="0"/>
              <w:right w:val="single" w:color="000000" w:sz="4" w:space="0"/>
            </w:tcBorders>
          </w:tcPr>
          <w:p w14:paraId="5DF74750">
            <w:pPr>
              <w:pStyle w:val="17"/>
              <w:spacing w:before="52"/>
              <w:ind w:left="104" w:right="75"/>
              <w:rPr>
                <w:rFonts w:ascii="Times New Roman"/>
                <w:sz w:val="21"/>
              </w:rPr>
            </w:pPr>
            <w:r>
              <w:rPr>
                <w:rFonts w:ascii="Times New Roman"/>
                <w:sz w:val="21"/>
              </w:rPr>
              <w:t>14.2</w:t>
            </w:r>
          </w:p>
          <w:p w14:paraId="739C3634">
            <w:pPr>
              <w:pStyle w:val="17"/>
              <w:spacing w:before="71"/>
              <w:ind w:left="29"/>
              <w:rPr>
                <w:rFonts w:ascii="Times New Roman"/>
                <w:sz w:val="21"/>
              </w:rPr>
            </w:pPr>
            <w:r>
              <w:rPr>
                <w:rFonts w:ascii="Times New Roman"/>
                <w:w w:val="99"/>
                <w:sz w:val="21"/>
              </w:rPr>
              <w:t>5</w:t>
            </w:r>
          </w:p>
        </w:tc>
        <w:tc>
          <w:tcPr>
            <w:tcW w:w="517" w:type="dxa"/>
            <w:tcBorders>
              <w:top w:val="single" w:color="000000" w:sz="4" w:space="0"/>
              <w:left w:val="single" w:color="000000" w:sz="4" w:space="0"/>
              <w:right w:val="single" w:color="000000" w:sz="4" w:space="0"/>
            </w:tcBorders>
          </w:tcPr>
          <w:p w14:paraId="592443F1">
            <w:pPr>
              <w:pStyle w:val="17"/>
              <w:spacing w:before="52"/>
              <w:ind w:left="115" w:right="88"/>
              <w:rPr>
                <w:rFonts w:ascii="Times New Roman"/>
                <w:sz w:val="21"/>
              </w:rPr>
            </w:pPr>
            <w:r>
              <w:rPr>
                <w:rFonts w:ascii="Times New Roman"/>
                <w:sz w:val="21"/>
              </w:rPr>
              <w:t>7.2</w:t>
            </w:r>
          </w:p>
          <w:p w14:paraId="26131EA6">
            <w:pPr>
              <w:pStyle w:val="17"/>
              <w:spacing w:before="71"/>
              <w:ind w:left="27"/>
              <w:rPr>
                <w:rFonts w:ascii="Times New Roman"/>
                <w:sz w:val="21"/>
              </w:rPr>
            </w:pPr>
            <w:r>
              <w:rPr>
                <w:rFonts w:ascii="Times New Roman"/>
                <w:w w:val="99"/>
                <w:sz w:val="21"/>
              </w:rPr>
              <w:t>8</w:t>
            </w:r>
          </w:p>
        </w:tc>
        <w:tc>
          <w:tcPr>
            <w:tcW w:w="637" w:type="dxa"/>
            <w:tcBorders>
              <w:top w:val="single" w:color="000000" w:sz="4" w:space="0"/>
              <w:left w:val="single" w:color="000000" w:sz="4" w:space="0"/>
              <w:right w:val="nil"/>
            </w:tcBorders>
          </w:tcPr>
          <w:p w14:paraId="35FB4480">
            <w:pPr>
              <w:pStyle w:val="17"/>
              <w:spacing w:before="52"/>
              <w:ind w:left="122" w:right="102"/>
              <w:rPr>
                <w:rFonts w:ascii="Times New Roman"/>
                <w:sz w:val="21"/>
              </w:rPr>
            </w:pPr>
            <w:r>
              <w:rPr>
                <w:rFonts w:ascii="Times New Roman"/>
                <w:sz w:val="21"/>
              </w:rPr>
              <w:t>18.5</w:t>
            </w:r>
          </w:p>
          <w:p w14:paraId="3AC1F3E7">
            <w:pPr>
              <w:pStyle w:val="17"/>
              <w:spacing w:before="71"/>
              <w:ind w:left="20"/>
              <w:rPr>
                <w:rFonts w:ascii="Times New Roman"/>
                <w:sz w:val="21"/>
              </w:rPr>
            </w:pPr>
            <w:r>
              <w:rPr>
                <w:rFonts w:ascii="Times New Roman"/>
                <w:w w:val="99"/>
                <w:sz w:val="21"/>
              </w:rPr>
              <w:t>3</w:t>
            </w:r>
          </w:p>
        </w:tc>
      </w:tr>
    </w:tbl>
    <w:p w14:paraId="021AC9BF">
      <w:pPr>
        <w:spacing w:after="0"/>
        <w:rPr>
          <w:rFonts w:ascii="Times New Roman"/>
          <w:sz w:val="21"/>
        </w:rPr>
        <w:sectPr>
          <w:type w:val="continuous"/>
          <w:pgSz w:w="11910" w:h="16840"/>
          <w:pgMar w:top="1600" w:right="1540" w:bottom="280" w:left="1560" w:header="720" w:footer="720" w:gutter="0"/>
          <w:cols w:space="720" w:num="1"/>
        </w:sectPr>
      </w:pPr>
    </w:p>
    <w:p w14:paraId="1418A49A">
      <w:pPr>
        <w:pStyle w:val="10"/>
        <w:ind w:left="240"/>
        <w:rPr>
          <w:sz w:val="20"/>
        </w:rPr>
      </w:pPr>
      <w:r>
        <w:rPr>
          <w:sz w:val="20"/>
        </w:rPr>
        <w:drawing>
          <wp:inline distT="0" distB="0" distL="0" distR="0">
            <wp:extent cx="5229860" cy="2051685"/>
            <wp:effectExtent l="0" t="0" r="0" b="0"/>
            <wp:docPr id="3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2.jpeg"/>
                    <pic:cNvPicPr>
                      <a:picLocks noChangeAspect="1"/>
                    </pic:cNvPicPr>
                  </pic:nvPicPr>
                  <pic:blipFill>
                    <a:blip r:embed="rId82" cstate="print"/>
                    <a:stretch>
                      <a:fillRect/>
                    </a:stretch>
                  </pic:blipFill>
                  <pic:spPr>
                    <a:xfrm>
                      <a:off x="0" y="0"/>
                      <a:ext cx="5230382" cy="2052256"/>
                    </a:xfrm>
                    <a:prstGeom prst="rect">
                      <a:avLst/>
                    </a:prstGeom>
                  </pic:spPr>
                </pic:pic>
              </a:graphicData>
            </a:graphic>
          </wp:inline>
        </w:drawing>
      </w:r>
    </w:p>
    <w:p w14:paraId="5D6E977C">
      <w:pPr>
        <w:spacing w:before="143"/>
        <w:ind w:left="2251" w:right="0" w:firstLine="0"/>
        <w:jc w:val="left"/>
        <w:rPr>
          <w:b/>
          <w:sz w:val="21"/>
        </w:rPr>
      </w:pPr>
      <w:r>
        <w:rPr>
          <w:b/>
          <w:sz w:val="21"/>
        </w:rPr>
        <w:t xml:space="preserve">图 </w:t>
      </w:r>
      <w:r>
        <w:rPr>
          <w:rFonts w:ascii="Times New Roman" w:eastAsia="Times New Roman"/>
          <w:b/>
          <w:sz w:val="21"/>
        </w:rPr>
        <w:t xml:space="preserve">4.1-2 </w:t>
      </w:r>
      <w:r>
        <w:rPr>
          <w:b/>
          <w:sz w:val="21"/>
        </w:rPr>
        <w:t xml:space="preserve">汨罗气象站 </w:t>
      </w:r>
      <w:r>
        <w:rPr>
          <w:rFonts w:ascii="Times New Roman" w:eastAsia="Times New Roman"/>
          <w:b/>
          <w:sz w:val="21"/>
        </w:rPr>
        <w:t xml:space="preserve">2023 </w:t>
      </w:r>
      <w:r>
        <w:rPr>
          <w:b/>
          <w:sz w:val="21"/>
        </w:rPr>
        <w:t>年平均温度月变化图</w:t>
      </w:r>
    </w:p>
    <w:p w14:paraId="0E5FE975">
      <w:pPr>
        <w:pStyle w:val="10"/>
        <w:spacing w:before="102" w:line="364" w:lineRule="auto"/>
        <w:ind w:left="240" w:right="257" w:firstLine="480"/>
      </w:pPr>
      <w:r>
        <w:rPr>
          <w:spacing w:val="-7"/>
        </w:rPr>
        <w:t xml:space="preserve">从统计结果可以看出：项目区 </w:t>
      </w:r>
      <w:r>
        <w:rPr>
          <w:rFonts w:ascii="Times New Roman" w:hAnsi="Times New Roman" w:eastAsia="Times New Roman"/>
        </w:rPr>
        <w:t xml:space="preserve">2023 </w:t>
      </w:r>
      <w:r>
        <w:rPr>
          <w:spacing w:val="-9"/>
        </w:rPr>
        <w:t xml:space="preserve">年年平均气温 </w:t>
      </w:r>
      <w:r>
        <w:rPr>
          <w:rFonts w:ascii="Times New Roman" w:hAnsi="Times New Roman" w:eastAsia="Times New Roman"/>
          <w:spacing w:val="-3"/>
        </w:rPr>
        <w:t>18.53℃</w:t>
      </w:r>
      <w:r>
        <w:rPr>
          <w:spacing w:val="-3"/>
        </w:rPr>
        <w:t>，</w:t>
      </w:r>
      <w:r>
        <w:rPr>
          <w:rFonts w:ascii="Times New Roman" w:hAnsi="Times New Roman" w:eastAsia="Times New Roman"/>
          <w:spacing w:val="-3"/>
        </w:rPr>
        <w:t xml:space="preserve">1 </w:t>
      </w:r>
      <w:r>
        <w:rPr>
          <w:spacing w:val="-3"/>
        </w:rPr>
        <w:t>月平均气温最低，</w:t>
      </w:r>
      <w:r>
        <w:rPr>
          <w:rFonts w:ascii="Times New Roman" w:hAnsi="Times New Roman" w:eastAsia="Times New Roman"/>
          <w:spacing w:val="-3"/>
        </w:rPr>
        <w:t>7</w:t>
      </w:r>
      <w:r>
        <w:rPr>
          <w:rFonts w:ascii="Times New Roman" w:hAnsi="Times New Roman" w:eastAsia="Times New Roman"/>
        </w:rPr>
        <w:t xml:space="preserve"> </w:t>
      </w:r>
      <w:r>
        <w:t>月平均气温最高，</w:t>
      </w:r>
      <w:r>
        <w:rPr>
          <w:rFonts w:ascii="Times New Roman" w:hAnsi="Times New Roman" w:eastAsia="Times New Roman"/>
        </w:rPr>
        <w:t>5</w:t>
      </w:r>
      <w:r>
        <w:t>～</w:t>
      </w:r>
      <w:r>
        <w:rPr>
          <w:rFonts w:ascii="Times New Roman" w:hAnsi="Times New Roman" w:eastAsia="Times New Roman"/>
        </w:rPr>
        <w:t xml:space="preserve">10 </w:t>
      </w:r>
      <w:r>
        <w:rPr>
          <w:spacing w:val="-6"/>
        </w:rPr>
        <w:t xml:space="preserve">月平均气温较高，都在 </w:t>
      </w:r>
      <w:r>
        <w:rPr>
          <w:rFonts w:ascii="Times New Roman" w:hAnsi="Times New Roman" w:eastAsia="Times New Roman"/>
        </w:rPr>
        <w:t>20℃</w:t>
      </w:r>
      <w:r>
        <w:t>以上。</w:t>
      </w:r>
    </w:p>
    <w:p w14:paraId="779F6C13">
      <w:pPr>
        <w:pStyle w:val="10"/>
        <w:spacing w:before="1"/>
        <w:ind w:left="720"/>
      </w:pPr>
      <w:r>
        <w:t>（</w:t>
      </w:r>
      <w:r>
        <w:rPr>
          <w:rFonts w:ascii="Times New Roman" w:eastAsia="Times New Roman"/>
        </w:rPr>
        <w:t>2</w:t>
      </w:r>
      <w:r>
        <w:t>）风速</w:t>
      </w:r>
    </w:p>
    <w:p w14:paraId="593740FA">
      <w:pPr>
        <w:pStyle w:val="10"/>
        <w:spacing w:before="161" w:line="364" w:lineRule="auto"/>
        <w:ind w:left="240" w:right="257" w:firstLine="480"/>
      </w:pPr>
      <w:r>
        <w:rPr>
          <w:spacing w:val="-8"/>
        </w:rPr>
        <w:t xml:space="preserve">项目所在区域 </w:t>
      </w:r>
      <w:r>
        <w:rPr>
          <w:rFonts w:ascii="Times New Roman" w:eastAsia="Times New Roman"/>
        </w:rPr>
        <w:t xml:space="preserve">2023 </w:t>
      </w:r>
      <w:r>
        <w:rPr>
          <w:spacing w:val="-5"/>
        </w:rPr>
        <w:t xml:space="preserve">年各月平均风速统计见表 </w:t>
      </w:r>
      <w:r>
        <w:rPr>
          <w:rFonts w:ascii="Times New Roman" w:eastAsia="Times New Roman"/>
        </w:rPr>
        <w:t xml:space="preserve">5.1-4 </w:t>
      </w:r>
      <w:r>
        <w:rPr>
          <w:spacing w:val="-19"/>
        </w:rPr>
        <w:t xml:space="preserve">和图 </w:t>
      </w:r>
      <w:r>
        <w:rPr>
          <w:rFonts w:ascii="Times New Roman" w:eastAsia="Times New Roman"/>
        </w:rPr>
        <w:t>5.1-3</w:t>
      </w:r>
      <w:r>
        <w:t>，各季平均风</w:t>
      </w:r>
      <w:r>
        <w:rPr>
          <w:spacing w:val="-8"/>
        </w:rPr>
        <w:t xml:space="preserve">速的日变化见表 </w:t>
      </w:r>
      <w:r>
        <w:rPr>
          <w:rFonts w:ascii="Times New Roman" w:eastAsia="Times New Roman"/>
        </w:rPr>
        <w:t xml:space="preserve">4.1-4 </w:t>
      </w:r>
      <w:r>
        <w:rPr>
          <w:spacing w:val="-21"/>
        </w:rPr>
        <w:t xml:space="preserve">和图 </w:t>
      </w:r>
      <w:r>
        <w:rPr>
          <w:rFonts w:ascii="Times New Roman" w:eastAsia="Times New Roman"/>
        </w:rPr>
        <w:t>4.1-3</w:t>
      </w:r>
      <w:r>
        <w:t>。</w:t>
      </w:r>
    </w:p>
    <w:p w14:paraId="090F45EE">
      <w:pPr>
        <w:tabs>
          <w:tab w:val="left" w:pos="3107"/>
        </w:tabs>
        <w:spacing w:before="0" w:after="21" w:line="211" w:lineRule="exact"/>
        <w:ind w:left="2198" w:right="0" w:firstLine="0"/>
        <w:jc w:val="left"/>
        <w:rPr>
          <w:b/>
          <w:sz w:val="21"/>
        </w:rPr>
      </w:pPr>
      <w:r>
        <w:rPr>
          <w:b/>
          <w:sz w:val="21"/>
        </w:rPr>
        <w:t>表</w:t>
      </w:r>
      <w:r>
        <w:rPr>
          <w:b/>
          <w:spacing w:val="-53"/>
          <w:sz w:val="21"/>
        </w:rPr>
        <w:t xml:space="preserve"> </w:t>
      </w:r>
      <w:r>
        <w:rPr>
          <w:rFonts w:ascii="Times New Roman" w:eastAsia="Times New Roman"/>
          <w:b/>
          <w:sz w:val="21"/>
        </w:rPr>
        <w:t>4.1-4</w:t>
      </w:r>
      <w:r>
        <w:rPr>
          <w:rFonts w:ascii="Times New Roman" w:eastAsia="Times New Roman"/>
          <w:b/>
          <w:sz w:val="21"/>
        </w:rPr>
        <w:tab/>
      </w:r>
      <w:r>
        <w:rPr>
          <w:b/>
          <w:sz w:val="21"/>
        </w:rPr>
        <w:t>汨罗气象站</w:t>
      </w:r>
      <w:r>
        <w:rPr>
          <w:b/>
          <w:spacing w:val="-50"/>
          <w:sz w:val="21"/>
        </w:rPr>
        <w:t xml:space="preserve"> </w:t>
      </w:r>
      <w:r>
        <w:rPr>
          <w:rFonts w:ascii="Times New Roman" w:eastAsia="Times New Roman"/>
          <w:b/>
          <w:sz w:val="21"/>
        </w:rPr>
        <w:t>2023</w:t>
      </w:r>
      <w:r>
        <w:rPr>
          <w:rFonts w:ascii="Times New Roman" w:eastAsia="Times New Roman"/>
          <w:b/>
          <w:spacing w:val="-2"/>
          <w:sz w:val="21"/>
        </w:rPr>
        <w:t xml:space="preserve"> </w:t>
      </w:r>
      <w:r>
        <w:rPr>
          <w:b/>
          <w:sz w:val="21"/>
        </w:rPr>
        <w:t>年平均风速月变化表</w:t>
      </w:r>
    </w:p>
    <w:tbl>
      <w:tblPr>
        <w:tblStyle w:val="13"/>
        <w:tblW w:w="0" w:type="auto"/>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9"/>
        <w:gridCol w:w="585"/>
        <w:gridCol w:w="585"/>
        <w:gridCol w:w="585"/>
        <w:gridCol w:w="585"/>
        <w:gridCol w:w="585"/>
        <w:gridCol w:w="585"/>
        <w:gridCol w:w="585"/>
        <w:gridCol w:w="585"/>
        <w:gridCol w:w="585"/>
        <w:gridCol w:w="627"/>
        <w:gridCol w:w="627"/>
        <w:gridCol w:w="622"/>
        <w:gridCol w:w="622"/>
      </w:tblGrid>
      <w:tr w14:paraId="0615C6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769" w:type="dxa"/>
            <w:tcBorders>
              <w:left w:val="nil"/>
              <w:bottom w:val="single" w:color="000000" w:sz="4" w:space="0"/>
              <w:right w:val="single" w:color="000000" w:sz="4" w:space="0"/>
            </w:tcBorders>
          </w:tcPr>
          <w:p w14:paraId="5C050F81">
            <w:pPr>
              <w:pStyle w:val="17"/>
              <w:spacing w:before="176"/>
              <w:ind w:left="187"/>
              <w:jc w:val="left"/>
              <w:rPr>
                <w:sz w:val="21"/>
              </w:rPr>
            </w:pPr>
            <w:r>
              <w:rPr>
                <w:sz w:val="21"/>
              </w:rPr>
              <w:t>月份</w:t>
            </w:r>
          </w:p>
        </w:tc>
        <w:tc>
          <w:tcPr>
            <w:tcW w:w="585" w:type="dxa"/>
            <w:tcBorders>
              <w:left w:val="single" w:color="000000" w:sz="4" w:space="0"/>
              <w:bottom w:val="single" w:color="000000" w:sz="4" w:space="0"/>
              <w:right w:val="single" w:color="000000" w:sz="4" w:space="0"/>
            </w:tcBorders>
          </w:tcPr>
          <w:p w14:paraId="2E42F305">
            <w:pPr>
              <w:pStyle w:val="17"/>
              <w:spacing w:before="176"/>
              <w:ind w:left="94" w:right="69"/>
              <w:rPr>
                <w:sz w:val="21"/>
              </w:rPr>
            </w:pPr>
            <w:r>
              <w:rPr>
                <w:rFonts w:ascii="Times New Roman" w:eastAsia="Times New Roman"/>
                <w:sz w:val="21"/>
              </w:rPr>
              <w:t xml:space="preserve">1 </w:t>
            </w:r>
            <w:r>
              <w:rPr>
                <w:sz w:val="21"/>
              </w:rPr>
              <w:t>月</w:t>
            </w:r>
          </w:p>
        </w:tc>
        <w:tc>
          <w:tcPr>
            <w:tcW w:w="585" w:type="dxa"/>
            <w:tcBorders>
              <w:left w:val="single" w:color="000000" w:sz="4" w:space="0"/>
              <w:bottom w:val="single" w:color="000000" w:sz="4" w:space="0"/>
              <w:right w:val="single" w:color="000000" w:sz="4" w:space="0"/>
            </w:tcBorders>
          </w:tcPr>
          <w:p w14:paraId="053AA167">
            <w:pPr>
              <w:pStyle w:val="17"/>
              <w:spacing w:before="176"/>
              <w:ind w:left="93" w:right="69"/>
              <w:rPr>
                <w:sz w:val="21"/>
              </w:rPr>
            </w:pPr>
            <w:r>
              <w:rPr>
                <w:rFonts w:ascii="Times New Roman" w:eastAsia="Times New Roman"/>
                <w:sz w:val="21"/>
              </w:rPr>
              <w:t xml:space="preserve">2 </w:t>
            </w:r>
            <w:r>
              <w:rPr>
                <w:sz w:val="21"/>
              </w:rPr>
              <w:t>月</w:t>
            </w:r>
          </w:p>
        </w:tc>
        <w:tc>
          <w:tcPr>
            <w:tcW w:w="585" w:type="dxa"/>
            <w:tcBorders>
              <w:left w:val="single" w:color="000000" w:sz="4" w:space="0"/>
              <w:bottom w:val="single" w:color="000000" w:sz="4" w:space="0"/>
              <w:right w:val="single" w:color="000000" w:sz="4" w:space="0"/>
            </w:tcBorders>
          </w:tcPr>
          <w:p w14:paraId="1BC07621">
            <w:pPr>
              <w:pStyle w:val="17"/>
              <w:spacing w:before="176"/>
              <w:ind w:left="94" w:right="69"/>
              <w:rPr>
                <w:sz w:val="21"/>
              </w:rPr>
            </w:pPr>
            <w:r>
              <w:rPr>
                <w:rFonts w:ascii="Times New Roman" w:eastAsia="Times New Roman"/>
                <w:sz w:val="21"/>
              </w:rPr>
              <w:t xml:space="preserve">3 </w:t>
            </w:r>
            <w:r>
              <w:rPr>
                <w:sz w:val="21"/>
              </w:rPr>
              <w:t>月</w:t>
            </w:r>
          </w:p>
        </w:tc>
        <w:tc>
          <w:tcPr>
            <w:tcW w:w="585" w:type="dxa"/>
            <w:tcBorders>
              <w:left w:val="single" w:color="000000" w:sz="4" w:space="0"/>
              <w:bottom w:val="single" w:color="000000" w:sz="4" w:space="0"/>
              <w:right w:val="single" w:color="000000" w:sz="4" w:space="0"/>
            </w:tcBorders>
          </w:tcPr>
          <w:p w14:paraId="13D2B3C0">
            <w:pPr>
              <w:pStyle w:val="17"/>
              <w:spacing w:before="176"/>
              <w:ind w:left="95" w:right="69"/>
              <w:rPr>
                <w:sz w:val="21"/>
              </w:rPr>
            </w:pPr>
            <w:r>
              <w:rPr>
                <w:rFonts w:ascii="Times New Roman" w:eastAsia="Times New Roman"/>
                <w:sz w:val="21"/>
              </w:rPr>
              <w:t xml:space="preserve">4 </w:t>
            </w:r>
            <w:r>
              <w:rPr>
                <w:sz w:val="21"/>
              </w:rPr>
              <w:t>月</w:t>
            </w:r>
          </w:p>
        </w:tc>
        <w:tc>
          <w:tcPr>
            <w:tcW w:w="585" w:type="dxa"/>
            <w:tcBorders>
              <w:left w:val="single" w:color="000000" w:sz="4" w:space="0"/>
              <w:bottom w:val="single" w:color="000000" w:sz="4" w:space="0"/>
              <w:right w:val="single" w:color="000000" w:sz="4" w:space="0"/>
            </w:tcBorders>
          </w:tcPr>
          <w:p w14:paraId="34C65C6F">
            <w:pPr>
              <w:pStyle w:val="17"/>
              <w:spacing w:before="176"/>
              <w:ind w:left="94" w:right="69"/>
              <w:rPr>
                <w:sz w:val="21"/>
              </w:rPr>
            </w:pPr>
            <w:r>
              <w:rPr>
                <w:rFonts w:ascii="Times New Roman" w:eastAsia="Times New Roman"/>
                <w:sz w:val="21"/>
              </w:rPr>
              <w:t xml:space="preserve">5 </w:t>
            </w:r>
            <w:r>
              <w:rPr>
                <w:sz w:val="21"/>
              </w:rPr>
              <w:t>月</w:t>
            </w:r>
          </w:p>
        </w:tc>
        <w:tc>
          <w:tcPr>
            <w:tcW w:w="585" w:type="dxa"/>
            <w:tcBorders>
              <w:left w:val="single" w:color="000000" w:sz="4" w:space="0"/>
              <w:bottom w:val="single" w:color="000000" w:sz="4" w:space="0"/>
              <w:right w:val="single" w:color="000000" w:sz="4" w:space="0"/>
            </w:tcBorders>
          </w:tcPr>
          <w:p w14:paraId="198F6783">
            <w:pPr>
              <w:pStyle w:val="17"/>
              <w:spacing w:before="176"/>
              <w:ind w:left="93" w:right="69"/>
              <w:rPr>
                <w:sz w:val="21"/>
              </w:rPr>
            </w:pPr>
            <w:r>
              <w:rPr>
                <w:rFonts w:ascii="Times New Roman" w:eastAsia="Times New Roman"/>
                <w:sz w:val="21"/>
              </w:rPr>
              <w:t xml:space="preserve">6 </w:t>
            </w:r>
            <w:r>
              <w:rPr>
                <w:sz w:val="21"/>
              </w:rPr>
              <w:t>月</w:t>
            </w:r>
          </w:p>
        </w:tc>
        <w:tc>
          <w:tcPr>
            <w:tcW w:w="585" w:type="dxa"/>
            <w:tcBorders>
              <w:left w:val="single" w:color="000000" w:sz="4" w:space="0"/>
              <w:bottom w:val="single" w:color="000000" w:sz="4" w:space="0"/>
              <w:right w:val="single" w:color="000000" w:sz="4" w:space="0"/>
            </w:tcBorders>
          </w:tcPr>
          <w:p w14:paraId="458B604B">
            <w:pPr>
              <w:pStyle w:val="17"/>
              <w:spacing w:before="176"/>
              <w:ind w:left="117"/>
              <w:jc w:val="left"/>
              <w:rPr>
                <w:sz w:val="21"/>
              </w:rPr>
            </w:pPr>
            <w:r>
              <w:rPr>
                <w:rFonts w:ascii="Times New Roman" w:eastAsia="Times New Roman"/>
                <w:sz w:val="21"/>
              </w:rPr>
              <w:t xml:space="preserve">7 </w:t>
            </w:r>
            <w:r>
              <w:rPr>
                <w:sz w:val="21"/>
              </w:rPr>
              <w:t>月</w:t>
            </w:r>
          </w:p>
        </w:tc>
        <w:tc>
          <w:tcPr>
            <w:tcW w:w="585" w:type="dxa"/>
            <w:tcBorders>
              <w:left w:val="single" w:color="000000" w:sz="4" w:space="0"/>
              <w:bottom w:val="single" w:color="000000" w:sz="4" w:space="0"/>
              <w:right w:val="single" w:color="000000" w:sz="4" w:space="0"/>
            </w:tcBorders>
          </w:tcPr>
          <w:p w14:paraId="25857ACB">
            <w:pPr>
              <w:pStyle w:val="17"/>
              <w:spacing w:before="176"/>
              <w:ind w:left="95" w:right="69"/>
              <w:rPr>
                <w:sz w:val="21"/>
              </w:rPr>
            </w:pPr>
            <w:r>
              <w:rPr>
                <w:rFonts w:ascii="Times New Roman" w:eastAsia="Times New Roman"/>
                <w:sz w:val="21"/>
              </w:rPr>
              <w:t xml:space="preserve">8 </w:t>
            </w:r>
            <w:r>
              <w:rPr>
                <w:sz w:val="21"/>
              </w:rPr>
              <w:t>月</w:t>
            </w:r>
          </w:p>
        </w:tc>
        <w:tc>
          <w:tcPr>
            <w:tcW w:w="585" w:type="dxa"/>
            <w:tcBorders>
              <w:left w:val="single" w:color="000000" w:sz="4" w:space="0"/>
              <w:bottom w:val="single" w:color="000000" w:sz="4" w:space="0"/>
              <w:right w:val="single" w:color="000000" w:sz="4" w:space="0"/>
            </w:tcBorders>
          </w:tcPr>
          <w:p w14:paraId="11A6B1D6">
            <w:pPr>
              <w:pStyle w:val="17"/>
              <w:spacing w:before="176"/>
              <w:ind w:left="94" w:right="69"/>
              <w:rPr>
                <w:sz w:val="21"/>
              </w:rPr>
            </w:pPr>
            <w:r>
              <w:rPr>
                <w:rFonts w:ascii="Times New Roman" w:eastAsia="Times New Roman"/>
                <w:sz w:val="21"/>
              </w:rPr>
              <w:t xml:space="preserve">9 </w:t>
            </w:r>
            <w:r>
              <w:rPr>
                <w:sz w:val="21"/>
              </w:rPr>
              <w:t>月</w:t>
            </w:r>
          </w:p>
        </w:tc>
        <w:tc>
          <w:tcPr>
            <w:tcW w:w="627" w:type="dxa"/>
            <w:tcBorders>
              <w:left w:val="single" w:color="000000" w:sz="4" w:space="0"/>
              <w:bottom w:val="single" w:color="000000" w:sz="4" w:space="0"/>
              <w:right w:val="single" w:color="000000" w:sz="4" w:space="0"/>
            </w:tcBorders>
          </w:tcPr>
          <w:p w14:paraId="7E3B1F56">
            <w:pPr>
              <w:pStyle w:val="17"/>
              <w:spacing w:before="34"/>
              <w:ind w:left="218"/>
              <w:jc w:val="left"/>
              <w:rPr>
                <w:rFonts w:ascii="Times New Roman"/>
                <w:sz w:val="21"/>
              </w:rPr>
            </w:pPr>
            <w:r>
              <w:rPr>
                <w:rFonts w:ascii="Times New Roman"/>
                <w:sz w:val="21"/>
              </w:rPr>
              <w:t>10</w:t>
            </w:r>
          </w:p>
          <w:p w14:paraId="3605248F">
            <w:pPr>
              <w:pStyle w:val="17"/>
              <w:spacing w:before="57"/>
              <w:ind w:left="218"/>
              <w:jc w:val="left"/>
              <w:rPr>
                <w:sz w:val="21"/>
              </w:rPr>
            </w:pPr>
            <w:r>
              <w:rPr>
                <w:w w:val="99"/>
                <w:sz w:val="21"/>
              </w:rPr>
              <w:t>月</w:t>
            </w:r>
          </w:p>
        </w:tc>
        <w:tc>
          <w:tcPr>
            <w:tcW w:w="627" w:type="dxa"/>
            <w:tcBorders>
              <w:left w:val="single" w:color="000000" w:sz="4" w:space="0"/>
              <w:bottom w:val="single" w:color="000000" w:sz="4" w:space="0"/>
              <w:right w:val="single" w:color="000000" w:sz="4" w:space="0"/>
            </w:tcBorders>
          </w:tcPr>
          <w:p w14:paraId="00FA3541">
            <w:pPr>
              <w:pStyle w:val="17"/>
              <w:spacing w:before="34"/>
              <w:ind w:left="222"/>
              <w:jc w:val="left"/>
              <w:rPr>
                <w:rFonts w:ascii="Times New Roman"/>
                <w:sz w:val="21"/>
              </w:rPr>
            </w:pPr>
            <w:r>
              <w:rPr>
                <w:rFonts w:ascii="Times New Roman"/>
                <w:sz w:val="21"/>
              </w:rPr>
              <w:t>11</w:t>
            </w:r>
          </w:p>
          <w:p w14:paraId="7D7E0954">
            <w:pPr>
              <w:pStyle w:val="17"/>
              <w:spacing w:before="57"/>
              <w:ind w:left="217"/>
              <w:jc w:val="left"/>
              <w:rPr>
                <w:sz w:val="21"/>
              </w:rPr>
            </w:pPr>
            <w:r>
              <w:rPr>
                <w:w w:val="99"/>
                <w:sz w:val="21"/>
              </w:rPr>
              <w:t>月</w:t>
            </w:r>
          </w:p>
        </w:tc>
        <w:tc>
          <w:tcPr>
            <w:tcW w:w="622" w:type="dxa"/>
            <w:tcBorders>
              <w:left w:val="single" w:color="000000" w:sz="4" w:space="0"/>
              <w:bottom w:val="single" w:color="000000" w:sz="4" w:space="0"/>
              <w:right w:val="single" w:color="000000" w:sz="4" w:space="0"/>
            </w:tcBorders>
          </w:tcPr>
          <w:p w14:paraId="021AC03D">
            <w:pPr>
              <w:pStyle w:val="17"/>
              <w:spacing w:before="34"/>
              <w:ind w:left="214"/>
              <w:jc w:val="left"/>
              <w:rPr>
                <w:rFonts w:ascii="Times New Roman"/>
                <w:sz w:val="21"/>
              </w:rPr>
            </w:pPr>
            <w:r>
              <w:rPr>
                <w:rFonts w:ascii="Times New Roman"/>
                <w:sz w:val="21"/>
              </w:rPr>
              <w:t>12</w:t>
            </w:r>
          </w:p>
          <w:p w14:paraId="711E952A">
            <w:pPr>
              <w:pStyle w:val="17"/>
              <w:spacing w:before="57"/>
              <w:ind w:left="214"/>
              <w:jc w:val="left"/>
              <w:rPr>
                <w:sz w:val="21"/>
              </w:rPr>
            </w:pPr>
            <w:r>
              <w:rPr>
                <w:w w:val="99"/>
                <w:sz w:val="21"/>
              </w:rPr>
              <w:t>月</w:t>
            </w:r>
          </w:p>
        </w:tc>
        <w:tc>
          <w:tcPr>
            <w:tcW w:w="622" w:type="dxa"/>
            <w:tcBorders>
              <w:left w:val="single" w:color="000000" w:sz="4" w:space="0"/>
              <w:bottom w:val="single" w:color="000000" w:sz="4" w:space="0"/>
              <w:right w:val="nil"/>
            </w:tcBorders>
          </w:tcPr>
          <w:p w14:paraId="6E82C72E">
            <w:pPr>
              <w:pStyle w:val="17"/>
              <w:spacing w:before="20"/>
              <w:ind w:left="216"/>
              <w:jc w:val="left"/>
              <w:rPr>
                <w:sz w:val="21"/>
              </w:rPr>
            </w:pPr>
            <w:r>
              <w:rPr>
                <w:w w:val="99"/>
                <w:sz w:val="21"/>
              </w:rPr>
              <w:t>全</w:t>
            </w:r>
          </w:p>
          <w:p w14:paraId="24116E04">
            <w:pPr>
              <w:pStyle w:val="17"/>
              <w:spacing w:before="43"/>
              <w:ind w:left="216"/>
              <w:jc w:val="left"/>
              <w:rPr>
                <w:sz w:val="21"/>
              </w:rPr>
            </w:pPr>
            <w:r>
              <w:rPr>
                <w:w w:val="99"/>
                <w:sz w:val="21"/>
              </w:rPr>
              <w:t>年</w:t>
            </w:r>
          </w:p>
        </w:tc>
      </w:tr>
      <w:tr w14:paraId="71879E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769" w:type="dxa"/>
            <w:tcBorders>
              <w:top w:val="single" w:color="000000" w:sz="4" w:space="0"/>
              <w:left w:val="nil"/>
              <w:right w:val="single" w:color="000000" w:sz="4" w:space="0"/>
            </w:tcBorders>
          </w:tcPr>
          <w:p w14:paraId="2E4B2C10">
            <w:pPr>
              <w:pStyle w:val="17"/>
              <w:spacing w:before="20"/>
              <w:ind w:left="166" w:right="138"/>
              <w:rPr>
                <w:sz w:val="21"/>
              </w:rPr>
            </w:pPr>
            <w:r>
              <w:rPr>
                <w:sz w:val="21"/>
              </w:rPr>
              <w:t>平均</w:t>
            </w:r>
          </w:p>
          <w:p w14:paraId="72AD6AFC">
            <w:pPr>
              <w:pStyle w:val="17"/>
              <w:spacing w:before="43"/>
              <w:ind w:left="31"/>
              <w:rPr>
                <w:sz w:val="21"/>
              </w:rPr>
            </w:pPr>
            <w:r>
              <w:rPr>
                <w:w w:val="99"/>
                <w:sz w:val="21"/>
              </w:rPr>
              <w:t>值</w:t>
            </w:r>
          </w:p>
        </w:tc>
        <w:tc>
          <w:tcPr>
            <w:tcW w:w="585" w:type="dxa"/>
            <w:tcBorders>
              <w:top w:val="single" w:color="000000" w:sz="4" w:space="0"/>
              <w:left w:val="single" w:color="000000" w:sz="4" w:space="0"/>
              <w:right w:val="single" w:color="000000" w:sz="4" w:space="0"/>
            </w:tcBorders>
          </w:tcPr>
          <w:p w14:paraId="2720368A">
            <w:pPr>
              <w:pStyle w:val="17"/>
              <w:spacing w:before="190"/>
              <w:ind w:left="95" w:right="69"/>
              <w:rPr>
                <w:rFonts w:ascii="Times New Roman"/>
                <w:sz w:val="21"/>
              </w:rPr>
            </w:pPr>
            <w:r>
              <w:rPr>
                <w:rFonts w:ascii="Times New Roman"/>
                <w:sz w:val="21"/>
              </w:rPr>
              <w:t>2.71</w:t>
            </w:r>
          </w:p>
        </w:tc>
        <w:tc>
          <w:tcPr>
            <w:tcW w:w="585" w:type="dxa"/>
            <w:tcBorders>
              <w:top w:val="single" w:color="000000" w:sz="4" w:space="0"/>
              <w:left w:val="single" w:color="000000" w:sz="4" w:space="0"/>
              <w:right w:val="single" w:color="000000" w:sz="4" w:space="0"/>
            </w:tcBorders>
          </w:tcPr>
          <w:p w14:paraId="341EDCEC">
            <w:pPr>
              <w:pStyle w:val="17"/>
              <w:spacing w:before="190"/>
              <w:ind w:left="95" w:right="68"/>
              <w:rPr>
                <w:rFonts w:ascii="Times New Roman"/>
                <w:sz w:val="21"/>
              </w:rPr>
            </w:pPr>
            <w:r>
              <w:rPr>
                <w:rFonts w:ascii="Times New Roman"/>
                <w:sz w:val="21"/>
              </w:rPr>
              <w:t>2.28</w:t>
            </w:r>
          </w:p>
        </w:tc>
        <w:tc>
          <w:tcPr>
            <w:tcW w:w="585" w:type="dxa"/>
            <w:tcBorders>
              <w:top w:val="single" w:color="000000" w:sz="4" w:space="0"/>
              <w:left w:val="single" w:color="000000" w:sz="4" w:space="0"/>
              <w:right w:val="single" w:color="000000" w:sz="4" w:space="0"/>
            </w:tcBorders>
          </w:tcPr>
          <w:p w14:paraId="7BD56050">
            <w:pPr>
              <w:pStyle w:val="17"/>
              <w:spacing w:before="190"/>
              <w:ind w:left="95" w:right="66"/>
              <w:rPr>
                <w:rFonts w:ascii="Times New Roman"/>
                <w:sz w:val="21"/>
              </w:rPr>
            </w:pPr>
            <w:r>
              <w:rPr>
                <w:rFonts w:ascii="Times New Roman"/>
                <w:sz w:val="21"/>
              </w:rPr>
              <w:t>2.60</w:t>
            </w:r>
          </w:p>
        </w:tc>
        <w:tc>
          <w:tcPr>
            <w:tcW w:w="585" w:type="dxa"/>
            <w:tcBorders>
              <w:top w:val="single" w:color="000000" w:sz="4" w:space="0"/>
              <w:left w:val="single" w:color="000000" w:sz="4" w:space="0"/>
              <w:right w:val="single" w:color="000000" w:sz="4" w:space="0"/>
            </w:tcBorders>
          </w:tcPr>
          <w:p w14:paraId="3A99ED89">
            <w:pPr>
              <w:pStyle w:val="17"/>
              <w:spacing w:before="190"/>
              <w:ind w:left="95" w:right="68"/>
              <w:rPr>
                <w:rFonts w:ascii="Times New Roman"/>
                <w:sz w:val="21"/>
              </w:rPr>
            </w:pPr>
            <w:r>
              <w:rPr>
                <w:rFonts w:ascii="Times New Roman"/>
                <w:sz w:val="21"/>
              </w:rPr>
              <w:t>3.27</w:t>
            </w:r>
          </w:p>
        </w:tc>
        <w:tc>
          <w:tcPr>
            <w:tcW w:w="585" w:type="dxa"/>
            <w:tcBorders>
              <w:top w:val="single" w:color="000000" w:sz="4" w:space="0"/>
              <w:left w:val="single" w:color="000000" w:sz="4" w:space="0"/>
              <w:right w:val="single" w:color="000000" w:sz="4" w:space="0"/>
            </w:tcBorders>
          </w:tcPr>
          <w:p w14:paraId="25C6995B">
            <w:pPr>
              <w:pStyle w:val="17"/>
              <w:spacing w:before="190"/>
              <w:ind w:left="95" w:right="69"/>
              <w:rPr>
                <w:rFonts w:ascii="Times New Roman"/>
                <w:sz w:val="21"/>
              </w:rPr>
            </w:pPr>
            <w:r>
              <w:rPr>
                <w:rFonts w:ascii="Times New Roman"/>
                <w:sz w:val="21"/>
              </w:rPr>
              <w:t>3.16</w:t>
            </w:r>
          </w:p>
        </w:tc>
        <w:tc>
          <w:tcPr>
            <w:tcW w:w="585" w:type="dxa"/>
            <w:tcBorders>
              <w:top w:val="single" w:color="000000" w:sz="4" w:space="0"/>
              <w:left w:val="single" w:color="000000" w:sz="4" w:space="0"/>
              <w:right w:val="single" w:color="000000" w:sz="4" w:space="0"/>
            </w:tcBorders>
          </w:tcPr>
          <w:p w14:paraId="7CDBCA70">
            <w:pPr>
              <w:pStyle w:val="17"/>
              <w:spacing w:before="190"/>
              <w:ind w:left="95" w:right="68"/>
              <w:rPr>
                <w:rFonts w:ascii="Times New Roman"/>
                <w:sz w:val="21"/>
              </w:rPr>
            </w:pPr>
            <w:r>
              <w:rPr>
                <w:rFonts w:ascii="Times New Roman"/>
                <w:sz w:val="21"/>
              </w:rPr>
              <w:t>2.43</w:t>
            </w:r>
          </w:p>
        </w:tc>
        <w:tc>
          <w:tcPr>
            <w:tcW w:w="585" w:type="dxa"/>
            <w:tcBorders>
              <w:top w:val="single" w:color="000000" w:sz="4" w:space="0"/>
              <w:left w:val="single" w:color="000000" w:sz="4" w:space="0"/>
              <w:right w:val="single" w:color="000000" w:sz="4" w:space="0"/>
            </w:tcBorders>
          </w:tcPr>
          <w:p w14:paraId="6DD9D074">
            <w:pPr>
              <w:pStyle w:val="17"/>
              <w:spacing w:before="190"/>
              <w:ind w:left="117"/>
              <w:jc w:val="left"/>
              <w:rPr>
                <w:rFonts w:ascii="Times New Roman"/>
                <w:sz w:val="21"/>
              </w:rPr>
            </w:pPr>
            <w:r>
              <w:rPr>
                <w:rFonts w:ascii="Times New Roman"/>
                <w:sz w:val="21"/>
              </w:rPr>
              <w:t>3.19</w:t>
            </w:r>
          </w:p>
        </w:tc>
        <w:tc>
          <w:tcPr>
            <w:tcW w:w="585" w:type="dxa"/>
            <w:tcBorders>
              <w:top w:val="single" w:color="000000" w:sz="4" w:space="0"/>
              <w:left w:val="single" w:color="000000" w:sz="4" w:space="0"/>
              <w:right w:val="single" w:color="000000" w:sz="4" w:space="0"/>
            </w:tcBorders>
          </w:tcPr>
          <w:p w14:paraId="503D536D">
            <w:pPr>
              <w:pStyle w:val="17"/>
              <w:spacing w:before="190"/>
              <w:ind w:left="95" w:right="68"/>
              <w:rPr>
                <w:rFonts w:ascii="Times New Roman"/>
                <w:sz w:val="21"/>
              </w:rPr>
            </w:pPr>
            <w:r>
              <w:rPr>
                <w:rFonts w:ascii="Times New Roman"/>
                <w:sz w:val="21"/>
              </w:rPr>
              <w:t>2.12</w:t>
            </w:r>
          </w:p>
        </w:tc>
        <w:tc>
          <w:tcPr>
            <w:tcW w:w="585" w:type="dxa"/>
            <w:tcBorders>
              <w:top w:val="single" w:color="000000" w:sz="4" w:space="0"/>
              <w:left w:val="single" w:color="000000" w:sz="4" w:space="0"/>
              <w:right w:val="single" w:color="000000" w:sz="4" w:space="0"/>
            </w:tcBorders>
          </w:tcPr>
          <w:p w14:paraId="5C445099">
            <w:pPr>
              <w:pStyle w:val="17"/>
              <w:spacing w:before="190"/>
              <w:ind w:left="95" w:right="69"/>
              <w:rPr>
                <w:rFonts w:ascii="Times New Roman"/>
                <w:sz w:val="21"/>
              </w:rPr>
            </w:pPr>
            <w:r>
              <w:rPr>
                <w:rFonts w:ascii="Times New Roman"/>
                <w:sz w:val="21"/>
              </w:rPr>
              <w:t>2.47</w:t>
            </w:r>
          </w:p>
        </w:tc>
        <w:tc>
          <w:tcPr>
            <w:tcW w:w="627" w:type="dxa"/>
            <w:tcBorders>
              <w:top w:val="single" w:color="000000" w:sz="4" w:space="0"/>
              <w:left w:val="single" w:color="000000" w:sz="4" w:space="0"/>
              <w:right w:val="single" w:color="000000" w:sz="4" w:space="0"/>
            </w:tcBorders>
          </w:tcPr>
          <w:p w14:paraId="27953160">
            <w:pPr>
              <w:pStyle w:val="17"/>
              <w:spacing w:before="190"/>
              <w:ind w:left="138"/>
              <w:jc w:val="left"/>
              <w:rPr>
                <w:rFonts w:ascii="Times New Roman"/>
                <w:sz w:val="21"/>
              </w:rPr>
            </w:pPr>
            <w:r>
              <w:rPr>
                <w:rFonts w:ascii="Times New Roman"/>
                <w:sz w:val="21"/>
              </w:rPr>
              <w:t>2.35</w:t>
            </w:r>
          </w:p>
        </w:tc>
        <w:tc>
          <w:tcPr>
            <w:tcW w:w="627" w:type="dxa"/>
            <w:tcBorders>
              <w:top w:val="single" w:color="000000" w:sz="4" w:space="0"/>
              <w:left w:val="single" w:color="000000" w:sz="4" w:space="0"/>
              <w:right w:val="single" w:color="000000" w:sz="4" w:space="0"/>
            </w:tcBorders>
          </w:tcPr>
          <w:p w14:paraId="047988BB">
            <w:pPr>
              <w:pStyle w:val="17"/>
              <w:spacing w:before="190"/>
              <w:ind w:left="138"/>
              <w:jc w:val="left"/>
              <w:rPr>
                <w:rFonts w:ascii="Times New Roman"/>
                <w:sz w:val="21"/>
              </w:rPr>
            </w:pPr>
            <w:r>
              <w:rPr>
                <w:rFonts w:ascii="Times New Roman"/>
                <w:sz w:val="21"/>
              </w:rPr>
              <w:t>2.88</w:t>
            </w:r>
          </w:p>
        </w:tc>
        <w:tc>
          <w:tcPr>
            <w:tcW w:w="622" w:type="dxa"/>
            <w:tcBorders>
              <w:top w:val="single" w:color="000000" w:sz="4" w:space="0"/>
              <w:left w:val="single" w:color="000000" w:sz="4" w:space="0"/>
              <w:right w:val="single" w:color="000000" w:sz="4" w:space="0"/>
            </w:tcBorders>
          </w:tcPr>
          <w:p w14:paraId="2394BAA0">
            <w:pPr>
              <w:pStyle w:val="17"/>
              <w:spacing w:before="190"/>
              <w:ind w:left="135"/>
              <w:jc w:val="left"/>
              <w:rPr>
                <w:rFonts w:ascii="Times New Roman"/>
                <w:sz w:val="21"/>
              </w:rPr>
            </w:pPr>
            <w:r>
              <w:rPr>
                <w:rFonts w:ascii="Times New Roman"/>
                <w:sz w:val="21"/>
              </w:rPr>
              <w:t>2.73</w:t>
            </w:r>
          </w:p>
        </w:tc>
        <w:tc>
          <w:tcPr>
            <w:tcW w:w="622" w:type="dxa"/>
            <w:tcBorders>
              <w:top w:val="single" w:color="000000" w:sz="4" w:space="0"/>
              <w:left w:val="single" w:color="000000" w:sz="4" w:space="0"/>
              <w:right w:val="nil"/>
            </w:tcBorders>
          </w:tcPr>
          <w:p w14:paraId="4B79904D">
            <w:pPr>
              <w:pStyle w:val="17"/>
              <w:spacing w:before="190"/>
              <w:ind w:left="137"/>
              <w:jc w:val="left"/>
              <w:rPr>
                <w:rFonts w:ascii="Times New Roman"/>
                <w:sz w:val="21"/>
              </w:rPr>
            </w:pPr>
            <w:r>
              <w:rPr>
                <w:rFonts w:ascii="Times New Roman"/>
                <w:sz w:val="21"/>
              </w:rPr>
              <w:t>2.68</w:t>
            </w:r>
          </w:p>
        </w:tc>
      </w:tr>
    </w:tbl>
    <w:p w14:paraId="3E0A905E">
      <w:pPr>
        <w:pStyle w:val="10"/>
        <w:spacing w:before="3"/>
        <w:rPr>
          <w:b/>
          <w:sz w:val="5"/>
        </w:rPr>
      </w:pPr>
    </w:p>
    <w:p w14:paraId="2341C51D">
      <w:pPr>
        <w:pStyle w:val="10"/>
        <w:ind w:left="240"/>
        <w:rPr>
          <w:sz w:val="20"/>
        </w:rPr>
      </w:pPr>
      <w:r>
        <w:rPr>
          <w:sz w:val="20"/>
        </w:rPr>
        <w:drawing>
          <wp:inline distT="0" distB="0" distL="0" distR="0">
            <wp:extent cx="5236845" cy="2068195"/>
            <wp:effectExtent l="0" t="0" r="0" b="0"/>
            <wp:docPr id="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3.jpeg"/>
                    <pic:cNvPicPr>
                      <a:picLocks noChangeAspect="1"/>
                    </pic:cNvPicPr>
                  </pic:nvPicPr>
                  <pic:blipFill>
                    <a:blip r:embed="rId83" cstate="print"/>
                    <a:stretch>
                      <a:fillRect/>
                    </a:stretch>
                  </pic:blipFill>
                  <pic:spPr>
                    <a:xfrm>
                      <a:off x="0" y="0"/>
                      <a:ext cx="5237281" cy="2068544"/>
                    </a:xfrm>
                    <a:prstGeom prst="rect">
                      <a:avLst/>
                    </a:prstGeom>
                  </pic:spPr>
                </pic:pic>
              </a:graphicData>
            </a:graphic>
          </wp:inline>
        </w:drawing>
      </w:r>
    </w:p>
    <w:p w14:paraId="000C1BC5">
      <w:pPr>
        <w:spacing w:before="129"/>
        <w:ind w:left="2251" w:right="0" w:firstLine="0"/>
        <w:jc w:val="left"/>
        <w:rPr>
          <w:b/>
          <w:sz w:val="21"/>
        </w:rPr>
      </w:pPr>
      <w:r>
        <w:rPr>
          <w:b/>
          <w:sz w:val="21"/>
        </w:rPr>
        <w:t xml:space="preserve">图 </w:t>
      </w:r>
      <w:r>
        <w:rPr>
          <w:rFonts w:ascii="Times New Roman" w:eastAsia="Times New Roman"/>
          <w:b/>
          <w:sz w:val="21"/>
        </w:rPr>
        <w:t xml:space="preserve">4.1-3 </w:t>
      </w:r>
      <w:r>
        <w:rPr>
          <w:b/>
          <w:sz w:val="21"/>
        </w:rPr>
        <w:t xml:space="preserve">汨罗气象站 </w:t>
      </w:r>
      <w:r>
        <w:rPr>
          <w:rFonts w:ascii="Times New Roman" w:eastAsia="Times New Roman"/>
          <w:b/>
          <w:sz w:val="21"/>
        </w:rPr>
        <w:t xml:space="preserve">2023 </w:t>
      </w:r>
      <w:r>
        <w:rPr>
          <w:b/>
          <w:sz w:val="21"/>
        </w:rPr>
        <w:t>年平均风速月变化图</w:t>
      </w:r>
    </w:p>
    <w:p w14:paraId="5DDDF733">
      <w:pPr>
        <w:pStyle w:val="10"/>
        <w:spacing w:before="102" w:line="364" w:lineRule="auto"/>
        <w:ind w:left="240" w:right="257" w:firstLine="480"/>
      </w:pPr>
      <w:r>
        <w:rPr>
          <w:spacing w:val="-15"/>
        </w:rPr>
        <w:t xml:space="preserve">汨罗站 </w:t>
      </w:r>
      <w:r>
        <w:rPr>
          <w:rFonts w:ascii="Times New Roman" w:eastAsia="Times New Roman"/>
        </w:rPr>
        <w:t xml:space="preserve">2023 </w:t>
      </w:r>
      <w:r>
        <w:rPr>
          <w:spacing w:val="-9"/>
        </w:rPr>
        <w:t xml:space="preserve">年年均风速为 </w:t>
      </w:r>
      <w:r>
        <w:rPr>
          <w:rFonts w:ascii="Times New Roman" w:eastAsia="Times New Roman"/>
          <w:spacing w:val="-6"/>
        </w:rPr>
        <w:t>2.68m/s</w:t>
      </w:r>
      <w:r>
        <w:rPr>
          <w:spacing w:val="-7"/>
        </w:rPr>
        <w:t xml:space="preserve">，平均风速最大值出现在 </w:t>
      </w:r>
      <w:r>
        <w:rPr>
          <w:rFonts w:ascii="Times New Roman" w:eastAsia="Times New Roman"/>
        </w:rPr>
        <w:t xml:space="preserve">4 </w:t>
      </w:r>
      <w:r>
        <w:rPr>
          <w:spacing w:val="-8"/>
        </w:rPr>
        <w:t>月，平均风速</w:t>
      </w:r>
      <w:r>
        <w:rPr>
          <w:spacing w:val="-35"/>
        </w:rPr>
        <w:t xml:space="preserve">为 </w:t>
      </w:r>
      <w:r>
        <w:rPr>
          <w:rFonts w:ascii="Times New Roman" w:eastAsia="Times New Roman"/>
        </w:rPr>
        <w:t>3.27m/s</w:t>
      </w:r>
      <w:r>
        <w:rPr>
          <w:spacing w:val="-7"/>
        </w:rPr>
        <w:t xml:space="preserve">，最小平均风速出现 </w:t>
      </w:r>
      <w:r>
        <w:rPr>
          <w:rFonts w:ascii="Times New Roman" w:eastAsia="Times New Roman"/>
        </w:rPr>
        <w:t xml:space="preserve">8 </w:t>
      </w:r>
      <w:r>
        <w:rPr>
          <w:spacing w:val="-8"/>
        </w:rPr>
        <w:t xml:space="preserve">月，平均风速为 </w:t>
      </w:r>
      <w:r>
        <w:rPr>
          <w:rFonts w:ascii="Times New Roman" w:eastAsia="Times New Roman"/>
        </w:rPr>
        <w:t>2.12m/s</w:t>
      </w:r>
      <w:r>
        <w:t>。</w:t>
      </w:r>
    </w:p>
    <w:p w14:paraId="079A1193">
      <w:pPr>
        <w:spacing w:before="0" w:after="22" w:line="211" w:lineRule="exact"/>
        <w:ind w:left="2204" w:right="2226" w:firstLine="0"/>
        <w:jc w:val="center"/>
        <w:rPr>
          <w:b/>
          <w:sz w:val="21"/>
        </w:rPr>
      </w:pPr>
      <w:r>
        <w:rPr>
          <w:b/>
          <w:spacing w:val="-26"/>
          <w:sz w:val="21"/>
        </w:rPr>
        <w:t xml:space="preserve">表 </w:t>
      </w:r>
      <w:r>
        <w:rPr>
          <w:rFonts w:ascii="Times New Roman" w:eastAsia="Times New Roman"/>
          <w:b/>
          <w:sz w:val="21"/>
        </w:rPr>
        <w:t>4.1-5</w:t>
      </w:r>
      <w:r>
        <w:rPr>
          <w:rFonts w:ascii="Times New Roman" w:eastAsia="Times New Roman"/>
          <w:b/>
          <w:spacing w:val="50"/>
          <w:sz w:val="21"/>
        </w:rPr>
        <w:t xml:space="preserve"> </w:t>
      </w:r>
      <w:r>
        <w:rPr>
          <w:b/>
          <w:sz w:val="21"/>
        </w:rPr>
        <w:t>各季小时平均风速的日变化</w:t>
      </w:r>
    </w:p>
    <w:tbl>
      <w:tblPr>
        <w:tblStyle w:val="13"/>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16"/>
        <w:gridCol w:w="1338"/>
        <w:gridCol w:w="1506"/>
        <w:gridCol w:w="1469"/>
        <w:gridCol w:w="1675"/>
      </w:tblGrid>
      <w:tr w14:paraId="7994CB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2516" w:type="dxa"/>
            <w:tcBorders>
              <w:left w:val="nil"/>
              <w:bottom w:val="single" w:color="000000" w:sz="4" w:space="0"/>
              <w:right w:val="single" w:color="000000" w:sz="4" w:space="0"/>
            </w:tcBorders>
          </w:tcPr>
          <w:p w14:paraId="62F3545F">
            <w:pPr>
              <w:pStyle w:val="17"/>
              <w:spacing w:before="20"/>
              <w:ind w:left="1382" w:right="-15"/>
              <w:jc w:val="left"/>
              <w:rPr>
                <w:sz w:val="21"/>
              </w:rPr>
            </w:pPr>
            <w:r>
              <w:rPr>
                <w:w w:val="95"/>
                <w:sz w:val="21"/>
              </w:rPr>
              <w:t>风速（</w:t>
            </w:r>
            <w:r>
              <w:rPr>
                <w:rFonts w:ascii="Times New Roman" w:eastAsia="Times New Roman"/>
                <w:w w:val="95"/>
                <w:sz w:val="21"/>
              </w:rPr>
              <w:t>m/s</w:t>
            </w:r>
            <w:r>
              <w:rPr>
                <w:w w:val="95"/>
                <w:sz w:val="21"/>
              </w:rPr>
              <w:t>）</w:t>
            </w:r>
          </w:p>
          <w:p w14:paraId="6A20609E">
            <w:pPr>
              <w:pStyle w:val="17"/>
              <w:spacing w:before="43"/>
              <w:ind w:left="123"/>
              <w:jc w:val="left"/>
              <w:rPr>
                <w:sz w:val="21"/>
              </w:rPr>
            </w:pPr>
            <w:r>
              <w:rPr>
                <w:sz w:val="21"/>
              </w:rPr>
              <w:t>小时（</w:t>
            </w:r>
            <w:r>
              <w:rPr>
                <w:rFonts w:ascii="Times New Roman" w:eastAsia="Times New Roman"/>
                <w:sz w:val="21"/>
              </w:rPr>
              <w:t>h</w:t>
            </w:r>
            <w:r>
              <w:rPr>
                <w:sz w:val="21"/>
              </w:rPr>
              <w:t>）</w:t>
            </w:r>
          </w:p>
        </w:tc>
        <w:tc>
          <w:tcPr>
            <w:tcW w:w="1338" w:type="dxa"/>
            <w:tcBorders>
              <w:left w:val="single" w:color="000000" w:sz="4" w:space="0"/>
              <w:bottom w:val="single" w:color="000000" w:sz="4" w:space="0"/>
              <w:right w:val="single" w:color="000000" w:sz="4" w:space="0"/>
            </w:tcBorders>
          </w:tcPr>
          <w:p w14:paraId="36CC421B">
            <w:pPr>
              <w:pStyle w:val="17"/>
              <w:spacing w:before="176"/>
              <w:ind w:left="467"/>
              <w:jc w:val="left"/>
              <w:rPr>
                <w:sz w:val="21"/>
              </w:rPr>
            </w:pPr>
            <w:r>
              <w:rPr>
                <w:sz w:val="21"/>
              </w:rPr>
              <w:t>春季</w:t>
            </w:r>
          </w:p>
        </w:tc>
        <w:tc>
          <w:tcPr>
            <w:tcW w:w="1506" w:type="dxa"/>
            <w:tcBorders>
              <w:left w:val="single" w:color="000000" w:sz="4" w:space="0"/>
              <w:bottom w:val="single" w:color="000000" w:sz="4" w:space="0"/>
              <w:right w:val="single" w:color="000000" w:sz="4" w:space="0"/>
            </w:tcBorders>
          </w:tcPr>
          <w:p w14:paraId="6BCFBE2C">
            <w:pPr>
              <w:pStyle w:val="17"/>
              <w:spacing w:before="176"/>
              <w:ind w:left="277" w:right="250"/>
              <w:rPr>
                <w:sz w:val="21"/>
              </w:rPr>
            </w:pPr>
            <w:r>
              <w:rPr>
                <w:sz w:val="21"/>
              </w:rPr>
              <w:t>夏季</w:t>
            </w:r>
          </w:p>
        </w:tc>
        <w:tc>
          <w:tcPr>
            <w:tcW w:w="1469" w:type="dxa"/>
            <w:tcBorders>
              <w:left w:val="single" w:color="000000" w:sz="4" w:space="0"/>
              <w:bottom w:val="single" w:color="000000" w:sz="4" w:space="0"/>
              <w:right w:val="single" w:color="000000" w:sz="4" w:space="0"/>
            </w:tcBorders>
          </w:tcPr>
          <w:p w14:paraId="49FB82DE">
            <w:pPr>
              <w:pStyle w:val="17"/>
              <w:spacing w:before="176"/>
              <w:ind w:left="511" w:right="488"/>
              <w:rPr>
                <w:sz w:val="21"/>
              </w:rPr>
            </w:pPr>
            <w:r>
              <w:rPr>
                <w:sz w:val="21"/>
              </w:rPr>
              <w:t>秋季</w:t>
            </w:r>
          </w:p>
        </w:tc>
        <w:tc>
          <w:tcPr>
            <w:tcW w:w="1675" w:type="dxa"/>
            <w:tcBorders>
              <w:left w:val="single" w:color="000000" w:sz="4" w:space="0"/>
              <w:bottom w:val="single" w:color="000000" w:sz="4" w:space="0"/>
              <w:right w:val="nil"/>
            </w:tcBorders>
          </w:tcPr>
          <w:p w14:paraId="69E5BD71">
            <w:pPr>
              <w:pStyle w:val="17"/>
              <w:spacing w:before="176"/>
              <w:ind w:left="635"/>
              <w:jc w:val="left"/>
              <w:rPr>
                <w:sz w:val="21"/>
              </w:rPr>
            </w:pPr>
            <w:r>
              <w:rPr>
                <w:sz w:val="21"/>
              </w:rPr>
              <w:t>冬季</w:t>
            </w:r>
          </w:p>
        </w:tc>
      </w:tr>
      <w:tr w14:paraId="70281D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2516" w:type="dxa"/>
            <w:tcBorders>
              <w:top w:val="single" w:color="000000" w:sz="4" w:space="0"/>
              <w:left w:val="nil"/>
              <w:right w:val="single" w:color="000000" w:sz="4" w:space="0"/>
            </w:tcBorders>
          </w:tcPr>
          <w:p w14:paraId="64199CD5">
            <w:pPr>
              <w:pStyle w:val="17"/>
              <w:spacing w:before="36"/>
              <w:ind w:left="33"/>
              <w:rPr>
                <w:rFonts w:ascii="Times New Roman"/>
                <w:sz w:val="21"/>
              </w:rPr>
            </w:pPr>
            <w:r>
              <w:rPr>
                <w:rFonts w:ascii="Times New Roman"/>
                <w:w w:val="99"/>
                <w:sz w:val="21"/>
              </w:rPr>
              <w:t>1</w:t>
            </w:r>
          </w:p>
        </w:tc>
        <w:tc>
          <w:tcPr>
            <w:tcW w:w="1338" w:type="dxa"/>
            <w:tcBorders>
              <w:top w:val="single" w:color="000000" w:sz="4" w:space="0"/>
              <w:left w:val="single" w:color="000000" w:sz="4" w:space="0"/>
              <w:right w:val="single" w:color="000000" w:sz="4" w:space="0"/>
            </w:tcBorders>
          </w:tcPr>
          <w:p w14:paraId="414340B6">
            <w:pPr>
              <w:pStyle w:val="17"/>
              <w:spacing w:before="36"/>
              <w:ind w:left="494"/>
              <w:jc w:val="left"/>
              <w:rPr>
                <w:rFonts w:ascii="Times New Roman"/>
                <w:sz w:val="21"/>
              </w:rPr>
            </w:pPr>
            <w:r>
              <w:rPr>
                <w:rFonts w:ascii="Times New Roman"/>
                <w:sz w:val="21"/>
              </w:rPr>
              <w:t>2.81</w:t>
            </w:r>
          </w:p>
        </w:tc>
        <w:tc>
          <w:tcPr>
            <w:tcW w:w="1506" w:type="dxa"/>
            <w:tcBorders>
              <w:top w:val="single" w:color="000000" w:sz="4" w:space="0"/>
              <w:left w:val="single" w:color="000000" w:sz="4" w:space="0"/>
              <w:right w:val="single" w:color="000000" w:sz="4" w:space="0"/>
            </w:tcBorders>
          </w:tcPr>
          <w:p w14:paraId="571014A1">
            <w:pPr>
              <w:pStyle w:val="17"/>
              <w:spacing w:before="36"/>
              <w:ind w:left="280" w:right="250"/>
              <w:rPr>
                <w:rFonts w:ascii="Times New Roman"/>
                <w:sz w:val="21"/>
              </w:rPr>
            </w:pPr>
            <w:r>
              <w:rPr>
                <w:rFonts w:ascii="Times New Roman"/>
                <w:sz w:val="21"/>
              </w:rPr>
              <w:t>2.22</w:t>
            </w:r>
          </w:p>
        </w:tc>
        <w:tc>
          <w:tcPr>
            <w:tcW w:w="1469" w:type="dxa"/>
            <w:tcBorders>
              <w:top w:val="single" w:color="000000" w:sz="4" w:space="0"/>
              <w:left w:val="single" w:color="000000" w:sz="4" w:space="0"/>
              <w:right w:val="single" w:color="000000" w:sz="4" w:space="0"/>
            </w:tcBorders>
          </w:tcPr>
          <w:p w14:paraId="41333C11">
            <w:pPr>
              <w:pStyle w:val="17"/>
              <w:spacing w:before="36"/>
              <w:ind w:left="511" w:right="484"/>
              <w:rPr>
                <w:rFonts w:ascii="Times New Roman"/>
                <w:sz w:val="21"/>
              </w:rPr>
            </w:pPr>
            <w:r>
              <w:rPr>
                <w:rFonts w:ascii="Times New Roman"/>
                <w:sz w:val="21"/>
              </w:rPr>
              <w:t>2.40</w:t>
            </w:r>
          </w:p>
        </w:tc>
        <w:tc>
          <w:tcPr>
            <w:tcW w:w="1675" w:type="dxa"/>
            <w:tcBorders>
              <w:top w:val="single" w:color="000000" w:sz="4" w:space="0"/>
              <w:left w:val="single" w:color="000000" w:sz="4" w:space="0"/>
              <w:right w:val="nil"/>
            </w:tcBorders>
          </w:tcPr>
          <w:p w14:paraId="4B3B4ED2">
            <w:pPr>
              <w:pStyle w:val="17"/>
              <w:spacing w:before="36"/>
              <w:ind w:left="661"/>
              <w:jc w:val="left"/>
              <w:rPr>
                <w:rFonts w:ascii="Times New Roman"/>
                <w:sz w:val="21"/>
              </w:rPr>
            </w:pPr>
            <w:r>
              <w:rPr>
                <w:rFonts w:ascii="Times New Roman"/>
                <w:sz w:val="21"/>
              </w:rPr>
              <w:t>2.29</w:t>
            </w:r>
          </w:p>
        </w:tc>
      </w:tr>
    </w:tbl>
    <w:p w14:paraId="5019E11F">
      <w:pPr>
        <w:spacing w:after="0"/>
        <w:jc w:val="left"/>
        <w:rPr>
          <w:rFonts w:ascii="Times New Roman"/>
          <w:sz w:val="21"/>
        </w:rPr>
        <w:sectPr>
          <w:pgSz w:w="11910" w:h="16840"/>
          <w:pgMar w:top="1500" w:right="1540" w:bottom="1220" w:left="1560" w:header="0" w:footer="1024" w:gutter="0"/>
          <w:cols w:space="720" w:num="1"/>
        </w:sectPr>
      </w:pPr>
    </w:p>
    <w:tbl>
      <w:tblPr>
        <w:tblStyle w:val="13"/>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16"/>
        <w:gridCol w:w="1338"/>
        <w:gridCol w:w="1506"/>
        <w:gridCol w:w="1469"/>
        <w:gridCol w:w="1675"/>
      </w:tblGrid>
      <w:tr w14:paraId="094D05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left w:val="nil"/>
              <w:bottom w:val="single" w:color="000000" w:sz="4" w:space="0"/>
              <w:right w:val="single" w:color="000000" w:sz="4" w:space="0"/>
            </w:tcBorders>
          </w:tcPr>
          <w:p w14:paraId="136954BC">
            <w:pPr>
              <w:pStyle w:val="17"/>
              <w:spacing w:before="34"/>
              <w:ind w:left="33"/>
              <w:rPr>
                <w:rFonts w:ascii="Times New Roman"/>
                <w:sz w:val="21"/>
              </w:rPr>
            </w:pPr>
            <w:r>
              <w:rPr>
                <w:rFonts w:ascii="Times New Roman"/>
                <w:w w:val="99"/>
                <w:sz w:val="21"/>
              </w:rPr>
              <w:t>2</w:t>
            </w:r>
          </w:p>
        </w:tc>
        <w:tc>
          <w:tcPr>
            <w:tcW w:w="1338" w:type="dxa"/>
            <w:tcBorders>
              <w:left w:val="single" w:color="000000" w:sz="4" w:space="0"/>
              <w:bottom w:val="single" w:color="000000" w:sz="4" w:space="0"/>
              <w:right w:val="single" w:color="000000" w:sz="4" w:space="0"/>
            </w:tcBorders>
          </w:tcPr>
          <w:p w14:paraId="7CEC4076">
            <w:pPr>
              <w:pStyle w:val="17"/>
              <w:spacing w:before="34"/>
              <w:ind w:left="474" w:right="446"/>
              <w:rPr>
                <w:rFonts w:ascii="Times New Roman"/>
                <w:sz w:val="21"/>
              </w:rPr>
            </w:pPr>
            <w:r>
              <w:rPr>
                <w:rFonts w:ascii="Times New Roman"/>
                <w:sz w:val="21"/>
              </w:rPr>
              <w:t>2.84</w:t>
            </w:r>
          </w:p>
        </w:tc>
        <w:tc>
          <w:tcPr>
            <w:tcW w:w="1506" w:type="dxa"/>
            <w:tcBorders>
              <w:left w:val="single" w:color="000000" w:sz="4" w:space="0"/>
              <w:bottom w:val="single" w:color="000000" w:sz="4" w:space="0"/>
              <w:right w:val="single" w:color="000000" w:sz="4" w:space="0"/>
            </w:tcBorders>
          </w:tcPr>
          <w:p w14:paraId="54E863AD">
            <w:pPr>
              <w:pStyle w:val="17"/>
              <w:spacing w:before="34"/>
              <w:ind w:right="546"/>
              <w:jc w:val="right"/>
              <w:rPr>
                <w:rFonts w:ascii="Times New Roman"/>
                <w:sz w:val="21"/>
              </w:rPr>
            </w:pPr>
            <w:r>
              <w:rPr>
                <w:rFonts w:ascii="Times New Roman"/>
                <w:sz w:val="21"/>
              </w:rPr>
              <w:t>2.18</w:t>
            </w:r>
          </w:p>
        </w:tc>
        <w:tc>
          <w:tcPr>
            <w:tcW w:w="1469" w:type="dxa"/>
            <w:tcBorders>
              <w:left w:val="single" w:color="000000" w:sz="4" w:space="0"/>
              <w:bottom w:val="single" w:color="000000" w:sz="4" w:space="0"/>
              <w:right w:val="single" w:color="000000" w:sz="4" w:space="0"/>
            </w:tcBorders>
          </w:tcPr>
          <w:p w14:paraId="09D995A0">
            <w:pPr>
              <w:pStyle w:val="17"/>
              <w:spacing w:before="34"/>
              <w:ind w:left="511" w:right="484"/>
              <w:rPr>
                <w:rFonts w:ascii="Times New Roman"/>
                <w:sz w:val="21"/>
              </w:rPr>
            </w:pPr>
            <w:r>
              <w:rPr>
                <w:rFonts w:ascii="Times New Roman"/>
                <w:sz w:val="21"/>
              </w:rPr>
              <w:t>2.40</w:t>
            </w:r>
          </w:p>
        </w:tc>
        <w:tc>
          <w:tcPr>
            <w:tcW w:w="1675" w:type="dxa"/>
            <w:tcBorders>
              <w:left w:val="single" w:color="000000" w:sz="4" w:space="0"/>
              <w:bottom w:val="single" w:color="000000" w:sz="4" w:space="0"/>
              <w:right w:val="nil"/>
            </w:tcBorders>
          </w:tcPr>
          <w:p w14:paraId="0876A13E">
            <w:pPr>
              <w:pStyle w:val="17"/>
              <w:spacing w:before="34"/>
              <w:ind w:left="661"/>
              <w:jc w:val="left"/>
              <w:rPr>
                <w:rFonts w:ascii="Times New Roman"/>
                <w:sz w:val="21"/>
              </w:rPr>
            </w:pPr>
            <w:r>
              <w:rPr>
                <w:rFonts w:ascii="Times New Roman"/>
                <w:sz w:val="21"/>
              </w:rPr>
              <w:t>2.34</w:t>
            </w:r>
          </w:p>
        </w:tc>
      </w:tr>
      <w:tr w14:paraId="183D5C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0622245A">
            <w:pPr>
              <w:pStyle w:val="17"/>
              <w:spacing w:before="34"/>
              <w:ind w:left="33"/>
              <w:rPr>
                <w:rFonts w:ascii="Times New Roman"/>
                <w:sz w:val="21"/>
              </w:rPr>
            </w:pPr>
            <w:r>
              <w:rPr>
                <w:rFonts w:ascii="Times New Roman"/>
                <w:w w:val="99"/>
                <w:sz w:val="21"/>
              </w:rPr>
              <w:t>3</w:t>
            </w:r>
          </w:p>
        </w:tc>
        <w:tc>
          <w:tcPr>
            <w:tcW w:w="1338" w:type="dxa"/>
            <w:tcBorders>
              <w:top w:val="single" w:color="000000" w:sz="4" w:space="0"/>
              <w:left w:val="single" w:color="000000" w:sz="4" w:space="0"/>
              <w:bottom w:val="single" w:color="000000" w:sz="4" w:space="0"/>
              <w:right w:val="single" w:color="000000" w:sz="4" w:space="0"/>
            </w:tcBorders>
          </w:tcPr>
          <w:p w14:paraId="73AAB834">
            <w:pPr>
              <w:pStyle w:val="17"/>
              <w:spacing w:before="34"/>
              <w:ind w:left="474" w:right="446"/>
              <w:rPr>
                <w:rFonts w:ascii="Times New Roman"/>
                <w:sz w:val="21"/>
              </w:rPr>
            </w:pPr>
            <w:r>
              <w:rPr>
                <w:rFonts w:ascii="Times New Roman"/>
                <w:sz w:val="21"/>
              </w:rPr>
              <w:t>2.79</w:t>
            </w:r>
          </w:p>
        </w:tc>
        <w:tc>
          <w:tcPr>
            <w:tcW w:w="1506" w:type="dxa"/>
            <w:tcBorders>
              <w:top w:val="single" w:color="000000" w:sz="4" w:space="0"/>
              <w:left w:val="single" w:color="000000" w:sz="4" w:space="0"/>
              <w:bottom w:val="single" w:color="000000" w:sz="4" w:space="0"/>
              <w:right w:val="single" w:color="000000" w:sz="4" w:space="0"/>
            </w:tcBorders>
          </w:tcPr>
          <w:p w14:paraId="2D279B2B">
            <w:pPr>
              <w:pStyle w:val="17"/>
              <w:spacing w:before="34"/>
              <w:ind w:right="546"/>
              <w:jc w:val="right"/>
              <w:rPr>
                <w:rFonts w:ascii="Times New Roman"/>
                <w:sz w:val="21"/>
              </w:rPr>
            </w:pPr>
            <w:r>
              <w:rPr>
                <w:rFonts w:ascii="Times New Roman"/>
                <w:sz w:val="21"/>
              </w:rPr>
              <w:t>2.27</w:t>
            </w:r>
          </w:p>
        </w:tc>
        <w:tc>
          <w:tcPr>
            <w:tcW w:w="1469" w:type="dxa"/>
            <w:tcBorders>
              <w:top w:val="single" w:color="000000" w:sz="4" w:space="0"/>
              <w:left w:val="single" w:color="000000" w:sz="4" w:space="0"/>
              <w:bottom w:val="single" w:color="000000" w:sz="4" w:space="0"/>
              <w:right w:val="single" w:color="000000" w:sz="4" w:space="0"/>
            </w:tcBorders>
          </w:tcPr>
          <w:p w14:paraId="65E98738">
            <w:pPr>
              <w:pStyle w:val="17"/>
              <w:spacing w:before="34"/>
              <w:ind w:left="511" w:right="484"/>
              <w:rPr>
                <w:rFonts w:ascii="Times New Roman"/>
                <w:sz w:val="21"/>
              </w:rPr>
            </w:pPr>
            <w:r>
              <w:rPr>
                <w:rFonts w:ascii="Times New Roman"/>
                <w:sz w:val="21"/>
              </w:rPr>
              <w:t>2.41</w:t>
            </w:r>
          </w:p>
        </w:tc>
        <w:tc>
          <w:tcPr>
            <w:tcW w:w="1675" w:type="dxa"/>
            <w:tcBorders>
              <w:top w:val="single" w:color="000000" w:sz="4" w:space="0"/>
              <w:left w:val="single" w:color="000000" w:sz="4" w:space="0"/>
              <w:bottom w:val="single" w:color="000000" w:sz="4" w:space="0"/>
              <w:right w:val="nil"/>
            </w:tcBorders>
          </w:tcPr>
          <w:p w14:paraId="3C4408A2">
            <w:pPr>
              <w:pStyle w:val="17"/>
              <w:spacing w:before="34"/>
              <w:ind w:left="661"/>
              <w:jc w:val="left"/>
              <w:rPr>
                <w:rFonts w:ascii="Times New Roman"/>
                <w:sz w:val="21"/>
              </w:rPr>
            </w:pPr>
            <w:r>
              <w:rPr>
                <w:rFonts w:ascii="Times New Roman"/>
                <w:sz w:val="21"/>
              </w:rPr>
              <w:t>2.50</w:t>
            </w:r>
          </w:p>
        </w:tc>
      </w:tr>
      <w:tr w14:paraId="0C28A0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27750043">
            <w:pPr>
              <w:pStyle w:val="17"/>
              <w:spacing w:before="36"/>
              <w:ind w:left="33"/>
              <w:rPr>
                <w:rFonts w:ascii="Times New Roman"/>
                <w:sz w:val="21"/>
              </w:rPr>
            </w:pPr>
            <w:r>
              <w:rPr>
                <w:rFonts w:ascii="Times New Roman"/>
                <w:w w:val="99"/>
                <w:sz w:val="21"/>
              </w:rPr>
              <w:t>4</w:t>
            </w:r>
          </w:p>
        </w:tc>
        <w:tc>
          <w:tcPr>
            <w:tcW w:w="1338" w:type="dxa"/>
            <w:tcBorders>
              <w:top w:val="single" w:color="000000" w:sz="4" w:space="0"/>
              <w:left w:val="single" w:color="000000" w:sz="4" w:space="0"/>
              <w:bottom w:val="single" w:color="000000" w:sz="4" w:space="0"/>
              <w:right w:val="single" w:color="000000" w:sz="4" w:space="0"/>
            </w:tcBorders>
          </w:tcPr>
          <w:p w14:paraId="197DB5D2">
            <w:pPr>
              <w:pStyle w:val="17"/>
              <w:spacing w:before="36"/>
              <w:ind w:left="474" w:right="446"/>
              <w:rPr>
                <w:rFonts w:ascii="Times New Roman"/>
                <w:sz w:val="21"/>
              </w:rPr>
            </w:pPr>
            <w:r>
              <w:rPr>
                <w:rFonts w:ascii="Times New Roman"/>
                <w:sz w:val="21"/>
              </w:rPr>
              <w:t>2.70</w:t>
            </w:r>
          </w:p>
        </w:tc>
        <w:tc>
          <w:tcPr>
            <w:tcW w:w="1506" w:type="dxa"/>
            <w:tcBorders>
              <w:top w:val="single" w:color="000000" w:sz="4" w:space="0"/>
              <w:left w:val="single" w:color="000000" w:sz="4" w:space="0"/>
              <w:bottom w:val="single" w:color="000000" w:sz="4" w:space="0"/>
              <w:right w:val="single" w:color="000000" w:sz="4" w:space="0"/>
            </w:tcBorders>
          </w:tcPr>
          <w:p w14:paraId="62F46297">
            <w:pPr>
              <w:pStyle w:val="17"/>
              <w:spacing w:before="36"/>
              <w:ind w:right="546"/>
              <w:jc w:val="right"/>
              <w:rPr>
                <w:rFonts w:ascii="Times New Roman"/>
                <w:sz w:val="21"/>
              </w:rPr>
            </w:pPr>
            <w:r>
              <w:rPr>
                <w:rFonts w:ascii="Times New Roman"/>
                <w:sz w:val="21"/>
              </w:rPr>
              <w:t>2.12</w:t>
            </w:r>
          </w:p>
        </w:tc>
        <w:tc>
          <w:tcPr>
            <w:tcW w:w="1469" w:type="dxa"/>
            <w:tcBorders>
              <w:top w:val="single" w:color="000000" w:sz="4" w:space="0"/>
              <w:left w:val="single" w:color="000000" w:sz="4" w:space="0"/>
              <w:bottom w:val="single" w:color="000000" w:sz="4" w:space="0"/>
              <w:right w:val="single" w:color="000000" w:sz="4" w:space="0"/>
            </w:tcBorders>
          </w:tcPr>
          <w:p w14:paraId="6F55E756">
            <w:pPr>
              <w:pStyle w:val="17"/>
              <w:spacing w:before="36"/>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37B9B003">
            <w:pPr>
              <w:pStyle w:val="17"/>
              <w:spacing w:before="36"/>
              <w:ind w:left="661"/>
              <w:jc w:val="left"/>
              <w:rPr>
                <w:rFonts w:ascii="Times New Roman"/>
                <w:sz w:val="21"/>
              </w:rPr>
            </w:pPr>
            <w:r>
              <w:rPr>
                <w:rFonts w:ascii="Times New Roman"/>
                <w:sz w:val="21"/>
              </w:rPr>
              <w:t>2.40</w:t>
            </w:r>
          </w:p>
        </w:tc>
      </w:tr>
      <w:tr w14:paraId="2DB103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1C35FDB">
            <w:pPr>
              <w:pStyle w:val="17"/>
              <w:spacing w:before="35"/>
              <w:ind w:left="33"/>
              <w:rPr>
                <w:rFonts w:ascii="Times New Roman"/>
                <w:sz w:val="21"/>
              </w:rPr>
            </w:pPr>
            <w:r>
              <w:rPr>
                <w:rFonts w:ascii="Times New Roman"/>
                <w:w w:val="99"/>
                <w:sz w:val="21"/>
              </w:rPr>
              <w:t>5</w:t>
            </w:r>
          </w:p>
        </w:tc>
        <w:tc>
          <w:tcPr>
            <w:tcW w:w="1338" w:type="dxa"/>
            <w:tcBorders>
              <w:top w:val="single" w:color="000000" w:sz="4" w:space="0"/>
              <w:left w:val="single" w:color="000000" w:sz="4" w:space="0"/>
              <w:bottom w:val="single" w:color="000000" w:sz="4" w:space="0"/>
              <w:right w:val="single" w:color="000000" w:sz="4" w:space="0"/>
            </w:tcBorders>
          </w:tcPr>
          <w:p w14:paraId="12682518">
            <w:pPr>
              <w:pStyle w:val="17"/>
              <w:spacing w:before="35"/>
              <w:ind w:left="474" w:right="446"/>
              <w:rPr>
                <w:rFonts w:ascii="Times New Roman"/>
                <w:sz w:val="21"/>
              </w:rPr>
            </w:pPr>
            <w:r>
              <w:rPr>
                <w:rFonts w:ascii="Times New Roman"/>
                <w:sz w:val="21"/>
              </w:rPr>
              <w:t>2.78</w:t>
            </w:r>
          </w:p>
        </w:tc>
        <w:tc>
          <w:tcPr>
            <w:tcW w:w="1506" w:type="dxa"/>
            <w:tcBorders>
              <w:top w:val="single" w:color="000000" w:sz="4" w:space="0"/>
              <w:left w:val="single" w:color="000000" w:sz="4" w:space="0"/>
              <w:bottom w:val="single" w:color="000000" w:sz="4" w:space="0"/>
              <w:right w:val="single" w:color="000000" w:sz="4" w:space="0"/>
            </w:tcBorders>
          </w:tcPr>
          <w:p w14:paraId="03F78332">
            <w:pPr>
              <w:pStyle w:val="17"/>
              <w:spacing w:before="35"/>
              <w:ind w:right="546"/>
              <w:jc w:val="right"/>
              <w:rPr>
                <w:rFonts w:ascii="Times New Roman"/>
                <w:sz w:val="21"/>
              </w:rPr>
            </w:pPr>
            <w:r>
              <w:rPr>
                <w:rFonts w:ascii="Times New Roman"/>
                <w:sz w:val="21"/>
              </w:rPr>
              <w:t>2.28</w:t>
            </w:r>
          </w:p>
        </w:tc>
        <w:tc>
          <w:tcPr>
            <w:tcW w:w="1469" w:type="dxa"/>
            <w:tcBorders>
              <w:top w:val="single" w:color="000000" w:sz="4" w:space="0"/>
              <w:left w:val="single" w:color="000000" w:sz="4" w:space="0"/>
              <w:bottom w:val="single" w:color="000000" w:sz="4" w:space="0"/>
              <w:right w:val="single" w:color="000000" w:sz="4" w:space="0"/>
            </w:tcBorders>
          </w:tcPr>
          <w:p w14:paraId="33B1AB1A">
            <w:pPr>
              <w:pStyle w:val="17"/>
              <w:spacing w:before="35"/>
              <w:ind w:left="511" w:right="484"/>
              <w:rPr>
                <w:rFonts w:ascii="Times New Roman"/>
                <w:sz w:val="21"/>
              </w:rPr>
            </w:pPr>
            <w:r>
              <w:rPr>
                <w:rFonts w:ascii="Times New Roman"/>
                <w:sz w:val="21"/>
              </w:rPr>
              <w:t>2.40</w:t>
            </w:r>
          </w:p>
        </w:tc>
        <w:tc>
          <w:tcPr>
            <w:tcW w:w="1675" w:type="dxa"/>
            <w:tcBorders>
              <w:top w:val="single" w:color="000000" w:sz="4" w:space="0"/>
              <w:left w:val="single" w:color="000000" w:sz="4" w:space="0"/>
              <w:bottom w:val="single" w:color="000000" w:sz="4" w:space="0"/>
              <w:right w:val="nil"/>
            </w:tcBorders>
          </w:tcPr>
          <w:p w14:paraId="0A68E55A">
            <w:pPr>
              <w:pStyle w:val="17"/>
              <w:spacing w:before="35"/>
              <w:ind w:left="661"/>
              <w:jc w:val="left"/>
              <w:rPr>
                <w:rFonts w:ascii="Times New Roman"/>
                <w:sz w:val="21"/>
              </w:rPr>
            </w:pPr>
            <w:r>
              <w:rPr>
                <w:rFonts w:ascii="Times New Roman"/>
                <w:sz w:val="21"/>
              </w:rPr>
              <w:t>2.45</w:t>
            </w:r>
          </w:p>
        </w:tc>
      </w:tr>
      <w:tr w14:paraId="233B37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CD49DF2">
            <w:pPr>
              <w:pStyle w:val="17"/>
              <w:spacing w:before="35"/>
              <w:ind w:left="33"/>
              <w:rPr>
                <w:rFonts w:ascii="Times New Roman"/>
                <w:sz w:val="21"/>
              </w:rPr>
            </w:pPr>
            <w:r>
              <w:rPr>
                <w:rFonts w:ascii="Times New Roman"/>
                <w:w w:val="99"/>
                <w:sz w:val="21"/>
              </w:rPr>
              <w:t>6</w:t>
            </w:r>
          </w:p>
        </w:tc>
        <w:tc>
          <w:tcPr>
            <w:tcW w:w="1338" w:type="dxa"/>
            <w:tcBorders>
              <w:top w:val="single" w:color="000000" w:sz="4" w:space="0"/>
              <w:left w:val="single" w:color="000000" w:sz="4" w:space="0"/>
              <w:bottom w:val="single" w:color="000000" w:sz="4" w:space="0"/>
              <w:right w:val="single" w:color="000000" w:sz="4" w:space="0"/>
            </w:tcBorders>
          </w:tcPr>
          <w:p w14:paraId="7FBB1123">
            <w:pPr>
              <w:pStyle w:val="17"/>
              <w:spacing w:before="35"/>
              <w:ind w:left="474" w:right="446"/>
              <w:rPr>
                <w:rFonts w:ascii="Times New Roman"/>
                <w:sz w:val="21"/>
              </w:rPr>
            </w:pPr>
            <w:r>
              <w:rPr>
                <w:rFonts w:ascii="Times New Roman"/>
                <w:sz w:val="21"/>
              </w:rPr>
              <w:t>2.71</w:t>
            </w:r>
          </w:p>
        </w:tc>
        <w:tc>
          <w:tcPr>
            <w:tcW w:w="1506" w:type="dxa"/>
            <w:tcBorders>
              <w:top w:val="single" w:color="000000" w:sz="4" w:space="0"/>
              <w:left w:val="single" w:color="000000" w:sz="4" w:space="0"/>
              <w:bottom w:val="single" w:color="000000" w:sz="4" w:space="0"/>
              <w:right w:val="single" w:color="000000" w:sz="4" w:space="0"/>
            </w:tcBorders>
          </w:tcPr>
          <w:p w14:paraId="02A90CDF">
            <w:pPr>
              <w:pStyle w:val="17"/>
              <w:spacing w:before="35"/>
              <w:ind w:right="546"/>
              <w:jc w:val="right"/>
              <w:rPr>
                <w:rFonts w:ascii="Times New Roman"/>
                <w:sz w:val="21"/>
              </w:rPr>
            </w:pPr>
            <w:r>
              <w:rPr>
                <w:rFonts w:ascii="Times New Roman"/>
                <w:sz w:val="21"/>
              </w:rPr>
              <w:t>2.23</w:t>
            </w:r>
          </w:p>
        </w:tc>
        <w:tc>
          <w:tcPr>
            <w:tcW w:w="1469" w:type="dxa"/>
            <w:tcBorders>
              <w:top w:val="single" w:color="000000" w:sz="4" w:space="0"/>
              <w:left w:val="single" w:color="000000" w:sz="4" w:space="0"/>
              <w:bottom w:val="single" w:color="000000" w:sz="4" w:space="0"/>
              <w:right w:val="single" w:color="000000" w:sz="4" w:space="0"/>
            </w:tcBorders>
          </w:tcPr>
          <w:p w14:paraId="71150A7F">
            <w:pPr>
              <w:pStyle w:val="17"/>
              <w:spacing w:before="35"/>
              <w:ind w:left="511" w:right="484"/>
              <w:rPr>
                <w:rFonts w:ascii="Times New Roman"/>
                <w:sz w:val="21"/>
              </w:rPr>
            </w:pPr>
            <w:r>
              <w:rPr>
                <w:rFonts w:ascii="Times New Roman"/>
                <w:sz w:val="21"/>
              </w:rPr>
              <w:t>2.43</w:t>
            </w:r>
          </w:p>
        </w:tc>
        <w:tc>
          <w:tcPr>
            <w:tcW w:w="1675" w:type="dxa"/>
            <w:tcBorders>
              <w:top w:val="single" w:color="000000" w:sz="4" w:space="0"/>
              <w:left w:val="single" w:color="000000" w:sz="4" w:space="0"/>
              <w:bottom w:val="single" w:color="000000" w:sz="4" w:space="0"/>
              <w:right w:val="nil"/>
            </w:tcBorders>
          </w:tcPr>
          <w:p w14:paraId="733157CE">
            <w:pPr>
              <w:pStyle w:val="17"/>
              <w:spacing w:before="35"/>
              <w:ind w:left="661"/>
              <w:jc w:val="left"/>
              <w:rPr>
                <w:rFonts w:ascii="Times New Roman"/>
                <w:sz w:val="21"/>
              </w:rPr>
            </w:pPr>
            <w:r>
              <w:rPr>
                <w:rFonts w:ascii="Times New Roman"/>
                <w:sz w:val="21"/>
              </w:rPr>
              <w:t>2.49</w:t>
            </w:r>
          </w:p>
        </w:tc>
      </w:tr>
      <w:tr w14:paraId="709360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427AA8A8">
            <w:pPr>
              <w:pStyle w:val="17"/>
              <w:spacing w:before="34"/>
              <w:ind w:left="33"/>
              <w:rPr>
                <w:rFonts w:ascii="Times New Roman"/>
                <w:sz w:val="21"/>
              </w:rPr>
            </w:pPr>
            <w:r>
              <w:rPr>
                <w:rFonts w:ascii="Times New Roman"/>
                <w:w w:val="99"/>
                <w:sz w:val="21"/>
              </w:rPr>
              <w:t>7</w:t>
            </w:r>
          </w:p>
        </w:tc>
        <w:tc>
          <w:tcPr>
            <w:tcW w:w="1338" w:type="dxa"/>
            <w:tcBorders>
              <w:top w:val="single" w:color="000000" w:sz="4" w:space="0"/>
              <w:left w:val="single" w:color="000000" w:sz="4" w:space="0"/>
              <w:bottom w:val="single" w:color="000000" w:sz="4" w:space="0"/>
              <w:right w:val="single" w:color="000000" w:sz="4" w:space="0"/>
            </w:tcBorders>
          </w:tcPr>
          <w:p w14:paraId="31286C08">
            <w:pPr>
              <w:pStyle w:val="17"/>
              <w:spacing w:before="34"/>
              <w:ind w:left="474" w:right="446"/>
              <w:rPr>
                <w:rFonts w:ascii="Times New Roman"/>
                <w:sz w:val="21"/>
              </w:rPr>
            </w:pPr>
            <w:r>
              <w:rPr>
                <w:rFonts w:ascii="Times New Roman"/>
                <w:sz w:val="21"/>
              </w:rPr>
              <w:t>2.70</w:t>
            </w:r>
          </w:p>
        </w:tc>
        <w:tc>
          <w:tcPr>
            <w:tcW w:w="1506" w:type="dxa"/>
            <w:tcBorders>
              <w:top w:val="single" w:color="000000" w:sz="4" w:space="0"/>
              <w:left w:val="single" w:color="000000" w:sz="4" w:space="0"/>
              <w:bottom w:val="single" w:color="000000" w:sz="4" w:space="0"/>
              <w:right w:val="single" w:color="000000" w:sz="4" w:space="0"/>
            </w:tcBorders>
          </w:tcPr>
          <w:p w14:paraId="75CE0FC3">
            <w:pPr>
              <w:pStyle w:val="17"/>
              <w:spacing w:before="34"/>
              <w:ind w:right="546"/>
              <w:jc w:val="right"/>
              <w:rPr>
                <w:rFonts w:ascii="Times New Roman"/>
                <w:sz w:val="21"/>
              </w:rPr>
            </w:pPr>
            <w:r>
              <w:rPr>
                <w:rFonts w:ascii="Times New Roman"/>
                <w:sz w:val="21"/>
              </w:rPr>
              <w:t>2.29</w:t>
            </w:r>
          </w:p>
        </w:tc>
        <w:tc>
          <w:tcPr>
            <w:tcW w:w="1469" w:type="dxa"/>
            <w:tcBorders>
              <w:top w:val="single" w:color="000000" w:sz="4" w:space="0"/>
              <w:left w:val="single" w:color="000000" w:sz="4" w:space="0"/>
              <w:bottom w:val="single" w:color="000000" w:sz="4" w:space="0"/>
              <w:right w:val="single" w:color="000000" w:sz="4" w:space="0"/>
            </w:tcBorders>
          </w:tcPr>
          <w:p w14:paraId="42AF3F6A">
            <w:pPr>
              <w:pStyle w:val="17"/>
              <w:spacing w:before="34"/>
              <w:ind w:left="511" w:right="484"/>
              <w:rPr>
                <w:rFonts w:ascii="Times New Roman"/>
                <w:sz w:val="21"/>
              </w:rPr>
            </w:pPr>
            <w:r>
              <w:rPr>
                <w:rFonts w:ascii="Times New Roman"/>
                <w:sz w:val="21"/>
              </w:rPr>
              <w:t>2.35</w:t>
            </w:r>
          </w:p>
        </w:tc>
        <w:tc>
          <w:tcPr>
            <w:tcW w:w="1675" w:type="dxa"/>
            <w:tcBorders>
              <w:top w:val="single" w:color="000000" w:sz="4" w:space="0"/>
              <w:left w:val="single" w:color="000000" w:sz="4" w:space="0"/>
              <w:bottom w:val="single" w:color="000000" w:sz="4" w:space="0"/>
              <w:right w:val="nil"/>
            </w:tcBorders>
          </w:tcPr>
          <w:p w14:paraId="44D3E943">
            <w:pPr>
              <w:pStyle w:val="17"/>
              <w:spacing w:before="34"/>
              <w:ind w:left="661"/>
              <w:jc w:val="left"/>
              <w:rPr>
                <w:rFonts w:ascii="Times New Roman"/>
                <w:sz w:val="21"/>
              </w:rPr>
            </w:pPr>
            <w:r>
              <w:rPr>
                <w:rFonts w:ascii="Times New Roman"/>
                <w:sz w:val="21"/>
              </w:rPr>
              <w:t>2.37</w:t>
            </w:r>
          </w:p>
        </w:tc>
      </w:tr>
      <w:tr w14:paraId="503787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12C9C9DA">
            <w:pPr>
              <w:pStyle w:val="17"/>
              <w:spacing w:before="34"/>
              <w:ind w:left="33"/>
              <w:rPr>
                <w:rFonts w:ascii="Times New Roman"/>
                <w:sz w:val="21"/>
              </w:rPr>
            </w:pPr>
            <w:r>
              <w:rPr>
                <w:rFonts w:ascii="Times New Roman"/>
                <w:w w:val="99"/>
                <w:sz w:val="21"/>
              </w:rPr>
              <w:t>8</w:t>
            </w:r>
          </w:p>
        </w:tc>
        <w:tc>
          <w:tcPr>
            <w:tcW w:w="1338" w:type="dxa"/>
            <w:tcBorders>
              <w:top w:val="single" w:color="000000" w:sz="4" w:space="0"/>
              <w:left w:val="single" w:color="000000" w:sz="4" w:space="0"/>
              <w:bottom w:val="single" w:color="000000" w:sz="4" w:space="0"/>
              <w:right w:val="single" w:color="000000" w:sz="4" w:space="0"/>
            </w:tcBorders>
          </w:tcPr>
          <w:p w14:paraId="21CA50EF">
            <w:pPr>
              <w:pStyle w:val="17"/>
              <w:spacing w:before="34"/>
              <w:ind w:left="474" w:right="446"/>
              <w:rPr>
                <w:rFonts w:ascii="Times New Roman"/>
                <w:sz w:val="21"/>
              </w:rPr>
            </w:pPr>
            <w:r>
              <w:rPr>
                <w:rFonts w:ascii="Times New Roman"/>
                <w:sz w:val="21"/>
              </w:rPr>
              <w:t>2.95</w:t>
            </w:r>
          </w:p>
        </w:tc>
        <w:tc>
          <w:tcPr>
            <w:tcW w:w="1506" w:type="dxa"/>
            <w:tcBorders>
              <w:top w:val="single" w:color="000000" w:sz="4" w:space="0"/>
              <w:left w:val="single" w:color="000000" w:sz="4" w:space="0"/>
              <w:bottom w:val="single" w:color="000000" w:sz="4" w:space="0"/>
              <w:right w:val="single" w:color="000000" w:sz="4" w:space="0"/>
            </w:tcBorders>
          </w:tcPr>
          <w:p w14:paraId="28C33B73">
            <w:pPr>
              <w:pStyle w:val="17"/>
              <w:spacing w:before="34"/>
              <w:ind w:right="546"/>
              <w:jc w:val="right"/>
              <w:rPr>
                <w:rFonts w:ascii="Times New Roman"/>
                <w:sz w:val="21"/>
              </w:rPr>
            </w:pPr>
            <w:r>
              <w:rPr>
                <w:rFonts w:ascii="Times New Roman"/>
                <w:sz w:val="21"/>
              </w:rPr>
              <w:t>2.43</w:t>
            </w:r>
          </w:p>
        </w:tc>
        <w:tc>
          <w:tcPr>
            <w:tcW w:w="1469" w:type="dxa"/>
            <w:tcBorders>
              <w:top w:val="single" w:color="000000" w:sz="4" w:space="0"/>
              <w:left w:val="single" w:color="000000" w:sz="4" w:space="0"/>
              <w:bottom w:val="single" w:color="000000" w:sz="4" w:space="0"/>
              <w:right w:val="single" w:color="000000" w:sz="4" w:space="0"/>
            </w:tcBorders>
          </w:tcPr>
          <w:p w14:paraId="5BD03E01">
            <w:pPr>
              <w:pStyle w:val="17"/>
              <w:spacing w:before="34"/>
              <w:ind w:left="511" w:right="484"/>
              <w:rPr>
                <w:rFonts w:ascii="Times New Roman"/>
                <w:sz w:val="21"/>
              </w:rPr>
            </w:pPr>
            <w:r>
              <w:rPr>
                <w:rFonts w:ascii="Times New Roman"/>
                <w:sz w:val="21"/>
              </w:rPr>
              <w:t>2.29</w:t>
            </w:r>
          </w:p>
        </w:tc>
        <w:tc>
          <w:tcPr>
            <w:tcW w:w="1675" w:type="dxa"/>
            <w:tcBorders>
              <w:top w:val="single" w:color="000000" w:sz="4" w:space="0"/>
              <w:left w:val="single" w:color="000000" w:sz="4" w:space="0"/>
              <w:bottom w:val="single" w:color="000000" w:sz="4" w:space="0"/>
              <w:right w:val="nil"/>
            </w:tcBorders>
          </w:tcPr>
          <w:p w14:paraId="018968E1">
            <w:pPr>
              <w:pStyle w:val="17"/>
              <w:spacing w:before="34"/>
              <w:ind w:left="661"/>
              <w:jc w:val="left"/>
              <w:rPr>
                <w:rFonts w:ascii="Times New Roman"/>
                <w:sz w:val="21"/>
              </w:rPr>
            </w:pPr>
            <w:r>
              <w:rPr>
                <w:rFonts w:ascii="Times New Roman"/>
                <w:sz w:val="21"/>
              </w:rPr>
              <w:t>2.28</w:t>
            </w:r>
          </w:p>
        </w:tc>
      </w:tr>
      <w:tr w14:paraId="31BD31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9436C33">
            <w:pPr>
              <w:pStyle w:val="17"/>
              <w:spacing w:before="34"/>
              <w:ind w:left="33"/>
              <w:rPr>
                <w:rFonts w:ascii="Times New Roman"/>
                <w:sz w:val="21"/>
              </w:rPr>
            </w:pPr>
            <w:r>
              <w:rPr>
                <w:rFonts w:ascii="Times New Roman"/>
                <w:w w:val="99"/>
                <w:sz w:val="21"/>
              </w:rPr>
              <w:t>9</w:t>
            </w:r>
          </w:p>
        </w:tc>
        <w:tc>
          <w:tcPr>
            <w:tcW w:w="1338" w:type="dxa"/>
            <w:tcBorders>
              <w:top w:val="single" w:color="000000" w:sz="4" w:space="0"/>
              <w:left w:val="single" w:color="000000" w:sz="4" w:space="0"/>
              <w:bottom w:val="single" w:color="000000" w:sz="4" w:space="0"/>
              <w:right w:val="single" w:color="000000" w:sz="4" w:space="0"/>
            </w:tcBorders>
          </w:tcPr>
          <w:p w14:paraId="076AC982">
            <w:pPr>
              <w:pStyle w:val="17"/>
              <w:spacing w:before="34"/>
              <w:ind w:left="474" w:right="446"/>
              <w:rPr>
                <w:rFonts w:ascii="Times New Roman"/>
                <w:sz w:val="21"/>
              </w:rPr>
            </w:pPr>
            <w:r>
              <w:rPr>
                <w:rFonts w:ascii="Times New Roman"/>
                <w:sz w:val="21"/>
              </w:rPr>
              <w:t>3.18</w:t>
            </w:r>
          </w:p>
        </w:tc>
        <w:tc>
          <w:tcPr>
            <w:tcW w:w="1506" w:type="dxa"/>
            <w:tcBorders>
              <w:top w:val="single" w:color="000000" w:sz="4" w:space="0"/>
              <w:left w:val="single" w:color="000000" w:sz="4" w:space="0"/>
              <w:bottom w:val="single" w:color="000000" w:sz="4" w:space="0"/>
              <w:right w:val="single" w:color="000000" w:sz="4" w:space="0"/>
            </w:tcBorders>
          </w:tcPr>
          <w:p w14:paraId="41B2FBD9">
            <w:pPr>
              <w:pStyle w:val="17"/>
              <w:spacing w:before="34"/>
              <w:ind w:right="546"/>
              <w:jc w:val="right"/>
              <w:rPr>
                <w:rFonts w:ascii="Times New Roman"/>
                <w:sz w:val="21"/>
              </w:rPr>
            </w:pPr>
            <w:r>
              <w:rPr>
                <w:rFonts w:ascii="Times New Roman"/>
                <w:sz w:val="21"/>
              </w:rPr>
              <w:t>2.64</w:t>
            </w:r>
          </w:p>
        </w:tc>
        <w:tc>
          <w:tcPr>
            <w:tcW w:w="1469" w:type="dxa"/>
            <w:tcBorders>
              <w:top w:val="single" w:color="000000" w:sz="4" w:space="0"/>
              <w:left w:val="single" w:color="000000" w:sz="4" w:space="0"/>
              <w:bottom w:val="single" w:color="000000" w:sz="4" w:space="0"/>
              <w:right w:val="single" w:color="000000" w:sz="4" w:space="0"/>
            </w:tcBorders>
          </w:tcPr>
          <w:p w14:paraId="4F5561DF">
            <w:pPr>
              <w:pStyle w:val="17"/>
              <w:spacing w:before="34"/>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3DF0BD5A">
            <w:pPr>
              <w:pStyle w:val="17"/>
              <w:spacing w:before="34"/>
              <w:ind w:left="661"/>
              <w:jc w:val="left"/>
              <w:rPr>
                <w:rFonts w:ascii="Times New Roman"/>
                <w:sz w:val="21"/>
              </w:rPr>
            </w:pPr>
            <w:r>
              <w:rPr>
                <w:rFonts w:ascii="Times New Roman"/>
                <w:sz w:val="21"/>
              </w:rPr>
              <w:t>2.40</w:t>
            </w:r>
          </w:p>
        </w:tc>
      </w:tr>
      <w:tr w14:paraId="455CAC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B59DB7A">
            <w:pPr>
              <w:pStyle w:val="17"/>
              <w:spacing w:before="36"/>
              <w:ind w:left="816" w:right="783"/>
              <w:rPr>
                <w:rFonts w:ascii="Times New Roman"/>
                <w:sz w:val="21"/>
              </w:rPr>
            </w:pPr>
            <w:r>
              <w:rPr>
                <w:rFonts w:ascii="Times New Roman"/>
                <w:sz w:val="21"/>
              </w:rPr>
              <w:t>10</w:t>
            </w:r>
          </w:p>
        </w:tc>
        <w:tc>
          <w:tcPr>
            <w:tcW w:w="1338" w:type="dxa"/>
            <w:tcBorders>
              <w:top w:val="single" w:color="000000" w:sz="4" w:space="0"/>
              <w:left w:val="single" w:color="000000" w:sz="4" w:space="0"/>
              <w:bottom w:val="single" w:color="000000" w:sz="4" w:space="0"/>
              <w:right w:val="single" w:color="000000" w:sz="4" w:space="0"/>
            </w:tcBorders>
          </w:tcPr>
          <w:p w14:paraId="7C56CD87">
            <w:pPr>
              <w:pStyle w:val="17"/>
              <w:spacing w:before="36"/>
              <w:ind w:left="474" w:right="446"/>
              <w:rPr>
                <w:rFonts w:ascii="Times New Roman"/>
                <w:sz w:val="21"/>
              </w:rPr>
            </w:pPr>
            <w:r>
              <w:rPr>
                <w:rFonts w:ascii="Times New Roman"/>
                <w:sz w:val="21"/>
              </w:rPr>
              <w:t>3.24</w:t>
            </w:r>
          </w:p>
        </w:tc>
        <w:tc>
          <w:tcPr>
            <w:tcW w:w="1506" w:type="dxa"/>
            <w:tcBorders>
              <w:top w:val="single" w:color="000000" w:sz="4" w:space="0"/>
              <w:left w:val="single" w:color="000000" w:sz="4" w:space="0"/>
              <w:bottom w:val="single" w:color="000000" w:sz="4" w:space="0"/>
              <w:right w:val="single" w:color="000000" w:sz="4" w:space="0"/>
            </w:tcBorders>
          </w:tcPr>
          <w:p w14:paraId="5971B007">
            <w:pPr>
              <w:pStyle w:val="17"/>
              <w:spacing w:before="36"/>
              <w:ind w:right="546"/>
              <w:jc w:val="right"/>
              <w:rPr>
                <w:rFonts w:ascii="Times New Roman"/>
                <w:sz w:val="21"/>
              </w:rPr>
            </w:pPr>
            <w:r>
              <w:rPr>
                <w:rFonts w:ascii="Times New Roman"/>
                <w:sz w:val="21"/>
              </w:rPr>
              <w:t>2.82</w:t>
            </w:r>
          </w:p>
        </w:tc>
        <w:tc>
          <w:tcPr>
            <w:tcW w:w="1469" w:type="dxa"/>
            <w:tcBorders>
              <w:top w:val="single" w:color="000000" w:sz="4" w:space="0"/>
              <w:left w:val="single" w:color="000000" w:sz="4" w:space="0"/>
              <w:bottom w:val="single" w:color="000000" w:sz="4" w:space="0"/>
              <w:right w:val="single" w:color="000000" w:sz="4" w:space="0"/>
            </w:tcBorders>
          </w:tcPr>
          <w:p w14:paraId="468B7BAD">
            <w:pPr>
              <w:pStyle w:val="17"/>
              <w:spacing w:before="36"/>
              <w:ind w:left="511" w:right="484"/>
              <w:rPr>
                <w:rFonts w:ascii="Times New Roman"/>
                <w:sz w:val="21"/>
              </w:rPr>
            </w:pPr>
            <w:r>
              <w:rPr>
                <w:rFonts w:ascii="Times New Roman"/>
                <w:sz w:val="21"/>
              </w:rPr>
              <w:t>2.76</w:t>
            </w:r>
          </w:p>
        </w:tc>
        <w:tc>
          <w:tcPr>
            <w:tcW w:w="1675" w:type="dxa"/>
            <w:tcBorders>
              <w:top w:val="single" w:color="000000" w:sz="4" w:space="0"/>
              <w:left w:val="single" w:color="000000" w:sz="4" w:space="0"/>
              <w:bottom w:val="single" w:color="000000" w:sz="4" w:space="0"/>
              <w:right w:val="nil"/>
            </w:tcBorders>
          </w:tcPr>
          <w:p w14:paraId="13882817">
            <w:pPr>
              <w:pStyle w:val="17"/>
              <w:spacing w:before="36"/>
              <w:ind w:left="661"/>
              <w:jc w:val="left"/>
              <w:rPr>
                <w:rFonts w:ascii="Times New Roman"/>
                <w:sz w:val="21"/>
              </w:rPr>
            </w:pPr>
            <w:r>
              <w:rPr>
                <w:rFonts w:ascii="Times New Roman"/>
                <w:sz w:val="21"/>
              </w:rPr>
              <w:t>2.68</w:t>
            </w:r>
          </w:p>
        </w:tc>
      </w:tr>
      <w:tr w14:paraId="0760E2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2F9FA4D">
            <w:pPr>
              <w:pStyle w:val="17"/>
              <w:spacing w:before="35"/>
              <w:ind w:left="816" w:right="779"/>
              <w:rPr>
                <w:rFonts w:ascii="Times New Roman"/>
                <w:sz w:val="21"/>
              </w:rPr>
            </w:pPr>
            <w:r>
              <w:rPr>
                <w:rFonts w:ascii="Times New Roman"/>
                <w:sz w:val="21"/>
              </w:rPr>
              <w:t>11</w:t>
            </w:r>
          </w:p>
        </w:tc>
        <w:tc>
          <w:tcPr>
            <w:tcW w:w="1338" w:type="dxa"/>
            <w:tcBorders>
              <w:top w:val="single" w:color="000000" w:sz="4" w:space="0"/>
              <w:left w:val="single" w:color="000000" w:sz="4" w:space="0"/>
              <w:bottom w:val="single" w:color="000000" w:sz="4" w:space="0"/>
              <w:right w:val="single" w:color="000000" w:sz="4" w:space="0"/>
            </w:tcBorders>
          </w:tcPr>
          <w:p w14:paraId="7068A66C">
            <w:pPr>
              <w:pStyle w:val="17"/>
              <w:spacing w:before="35"/>
              <w:ind w:left="474" w:right="446"/>
              <w:rPr>
                <w:rFonts w:ascii="Times New Roman"/>
                <w:sz w:val="21"/>
              </w:rPr>
            </w:pPr>
            <w:r>
              <w:rPr>
                <w:rFonts w:ascii="Times New Roman"/>
                <w:sz w:val="21"/>
              </w:rPr>
              <w:t>3.33</w:t>
            </w:r>
          </w:p>
        </w:tc>
        <w:tc>
          <w:tcPr>
            <w:tcW w:w="1506" w:type="dxa"/>
            <w:tcBorders>
              <w:top w:val="single" w:color="000000" w:sz="4" w:space="0"/>
              <w:left w:val="single" w:color="000000" w:sz="4" w:space="0"/>
              <w:bottom w:val="single" w:color="000000" w:sz="4" w:space="0"/>
              <w:right w:val="single" w:color="000000" w:sz="4" w:space="0"/>
            </w:tcBorders>
          </w:tcPr>
          <w:p w14:paraId="54658C25">
            <w:pPr>
              <w:pStyle w:val="17"/>
              <w:spacing w:before="35"/>
              <w:ind w:right="546"/>
              <w:jc w:val="right"/>
              <w:rPr>
                <w:rFonts w:ascii="Times New Roman"/>
                <w:sz w:val="21"/>
              </w:rPr>
            </w:pPr>
            <w:r>
              <w:rPr>
                <w:rFonts w:ascii="Times New Roman"/>
                <w:sz w:val="21"/>
              </w:rPr>
              <w:t>2.92</w:t>
            </w:r>
          </w:p>
        </w:tc>
        <w:tc>
          <w:tcPr>
            <w:tcW w:w="1469" w:type="dxa"/>
            <w:tcBorders>
              <w:top w:val="single" w:color="000000" w:sz="4" w:space="0"/>
              <w:left w:val="single" w:color="000000" w:sz="4" w:space="0"/>
              <w:bottom w:val="single" w:color="000000" w:sz="4" w:space="0"/>
              <w:right w:val="single" w:color="000000" w:sz="4" w:space="0"/>
            </w:tcBorders>
          </w:tcPr>
          <w:p w14:paraId="035C77E3">
            <w:pPr>
              <w:pStyle w:val="17"/>
              <w:spacing w:before="35"/>
              <w:ind w:left="511" w:right="484"/>
              <w:rPr>
                <w:rFonts w:ascii="Times New Roman"/>
                <w:sz w:val="21"/>
              </w:rPr>
            </w:pPr>
            <w:r>
              <w:rPr>
                <w:rFonts w:ascii="Times New Roman"/>
                <w:sz w:val="21"/>
              </w:rPr>
              <w:t>2.62</w:t>
            </w:r>
          </w:p>
        </w:tc>
        <w:tc>
          <w:tcPr>
            <w:tcW w:w="1675" w:type="dxa"/>
            <w:tcBorders>
              <w:top w:val="single" w:color="000000" w:sz="4" w:space="0"/>
              <w:left w:val="single" w:color="000000" w:sz="4" w:space="0"/>
              <w:bottom w:val="single" w:color="000000" w:sz="4" w:space="0"/>
              <w:right w:val="nil"/>
            </w:tcBorders>
          </w:tcPr>
          <w:p w14:paraId="349EBFE1">
            <w:pPr>
              <w:pStyle w:val="17"/>
              <w:spacing w:before="35"/>
              <w:ind w:left="661"/>
              <w:jc w:val="left"/>
              <w:rPr>
                <w:rFonts w:ascii="Times New Roman"/>
                <w:sz w:val="21"/>
              </w:rPr>
            </w:pPr>
            <w:r>
              <w:rPr>
                <w:rFonts w:ascii="Times New Roman"/>
                <w:sz w:val="21"/>
              </w:rPr>
              <w:t>2.77</w:t>
            </w:r>
          </w:p>
        </w:tc>
      </w:tr>
      <w:tr w14:paraId="356BD7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609837F8">
            <w:pPr>
              <w:pStyle w:val="17"/>
              <w:spacing w:before="35"/>
              <w:ind w:left="816" w:right="783"/>
              <w:rPr>
                <w:rFonts w:ascii="Times New Roman"/>
                <w:sz w:val="21"/>
              </w:rPr>
            </w:pPr>
            <w:r>
              <w:rPr>
                <w:rFonts w:ascii="Times New Roman"/>
                <w:sz w:val="21"/>
              </w:rPr>
              <w:t>12</w:t>
            </w:r>
          </w:p>
        </w:tc>
        <w:tc>
          <w:tcPr>
            <w:tcW w:w="1338" w:type="dxa"/>
            <w:tcBorders>
              <w:top w:val="single" w:color="000000" w:sz="4" w:space="0"/>
              <w:left w:val="single" w:color="000000" w:sz="4" w:space="0"/>
              <w:bottom w:val="single" w:color="000000" w:sz="4" w:space="0"/>
              <w:right w:val="single" w:color="000000" w:sz="4" w:space="0"/>
            </w:tcBorders>
          </w:tcPr>
          <w:p w14:paraId="0203CD07">
            <w:pPr>
              <w:pStyle w:val="17"/>
              <w:spacing w:before="35"/>
              <w:ind w:left="474" w:right="446"/>
              <w:rPr>
                <w:rFonts w:ascii="Times New Roman"/>
                <w:sz w:val="21"/>
              </w:rPr>
            </w:pPr>
            <w:r>
              <w:rPr>
                <w:rFonts w:ascii="Times New Roman"/>
                <w:sz w:val="21"/>
              </w:rPr>
              <w:t>3.53</w:t>
            </w:r>
          </w:p>
        </w:tc>
        <w:tc>
          <w:tcPr>
            <w:tcW w:w="1506" w:type="dxa"/>
            <w:tcBorders>
              <w:top w:val="single" w:color="000000" w:sz="4" w:space="0"/>
              <w:left w:val="single" w:color="000000" w:sz="4" w:space="0"/>
              <w:bottom w:val="single" w:color="000000" w:sz="4" w:space="0"/>
              <w:right w:val="single" w:color="000000" w:sz="4" w:space="0"/>
            </w:tcBorders>
          </w:tcPr>
          <w:p w14:paraId="65ED2276">
            <w:pPr>
              <w:pStyle w:val="17"/>
              <w:spacing w:before="35"/>
              <w:ind w:right="546"/>
              <w:jc w:val="right"/>
              <w:rPr>
                <w:rFonts w:ascii="Times New Roman"/>
                <w:sz w:val="21"/>
              </w:rPr>
            </w:pPr>
            <w:r>
              <w:rPr>
                <w:rFonts w:ascii="Times New Roman"/>
                <w:sz w:val="21"/>
              </w:rPr>
              <w:t>3.05</w:t>
            </w:r>
          </w:p>
        </w:tc>
        <w:tc>
          <w:tcPr>
            <w:tcW w:w="1469" w:type="dxa"/>
            <w:tcBorders>
              <w:top w:val="single" w:color="000000" w:sz="4" w:space="0"/>
              <w:left w:val="single" w:color="000000" w:sz="4" w:space="0"/>
              <w:bottom w:val="single" w:color="000000" w:sz="4" w:space="0"/>
              <w:right w:val="single" w:color="000000" w:sz="4" w:space="0"/>
            </w:tcBorders>
          </w:tcPr>
          <w:p w14:paraId="17E3C436">
            <w:pPr>
              <w:pStyle w:val="17"/>
              <w:spacing w:before="35"/>
              <w:ind w:left="511" w:right="484"/>
              <w:rPr>
                <w:rFonts w:ascii="Times New Roman"/>
                <w:sz w:val="21"/>
              </w:rPr>
            </w:pPr>
            <w:r>
              <w:rPr>
                <w:rFonts w:ascii="Times New Roman"/>
                <w:sz w:val="21"/>
              </w:rPr>
              <w:t>2.78</w:t>
            </w:r>
          </w:p>
        </w:tc>
        <w:tc>
          <w:tcPr>
            <w:tcW w:w="1675" w:type="dxa"/>
            <w:tcBorders>
              <w:top w:val="single" w:color="000000" w:sz="4" w:space="0"/>
              <w:left w:val="single" w:color="000000" w:sz="4" w:space="0"/>
              <w:bottom w:val="single" w:color="000000" w:sz="4" w:space="0"/>
              <w:right w:val="nil"/>
            </w:tcBorders>
          </w:tcPr>
          <w:p w14:paraId="2749C9E2">
            <w:pPr>
              <w:pStyle w:val="17"/>
              <w:spacing w:before="35"/>
              <w:ind w:left="661"/>
              <w:jc w:val="left"/>
              <w:rPr>
                <w:rFonts w:ascii="Times New Roman"/>
                <w:sz w:val="21"/>
              </w:rPr>
            </w:pPr>
            <w:r>
              <w:rPr>
                <w:rFonts w:ascii="Times New Roman"/>
                <w:sz w:val="21"/>
              </w:rPr>
              <w:t>2.92</w:t>
            </w:r>
          </w:p>
        </w:tc>
      </w:tr>
      <w:tr w14:paraId="316046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3A66CB6A">
            <w:pPr>
              <w:pStyle w:val="17"/>
              <w:spacing w:before="34"/>
              <w:ind w:left="816" w:right="783"/>
              <w:rPr>
                <w:rFonts w:ascii="Times New Roman"/>
                <w:sz w:val="21"/>
              </w:rPr>
            </w:pPr>
            <w:r>
              <w:rPr>
                <w:rFonts w:ascii="Times New Roman"/>
                <w:sz w:val="21"/>
              </w:rPr>
              <w:t>13</w:t>
            </w:r>
          </w:p>
        </w:tc>
        <w:tc>
          <w:tcPr>
            <w:tcW w:w="1338" w:type="dxa"/>
            <w:tcBorders>
              <w:top w:val="single" w:color="000000" w:sz="4" w:space="0"/>
              <w:left w:val="single" w:color="000000" w:sz="4" w:space="0"/>
              <w:bottom w:val="single" w:color="000000" w:sz="4" w:space="0"/>
              <w:right w:val="single" w:color="000000" w:sz="4" w:space="0"/>
            </w:tcBorders>
          </w:tcPr>
          <w:p w14:paraId="2148ACC5">
            <w:pPr>
              <w:pStyle w:val="17"/>
              <w:spacing w:before="34"/>
              <w:ind w:left="474" w:right="446"/>
              <w:rPr>
                <w:rFonts w:ascii="Times New Roman"/>
                <w:sz w:val="21"/>
              </w:rPr>
            </w:pPr>
            <w:r>
              <w:rPr>
                <w:rFonts w:ascii="Times New Roman"/>
                <w:sz w:val="21"/>
              </w:rPr>
              <w:t>3.51</w:t>
            </w:r>
          </w:p>
        </w:tc>
        <w:tc>
          <w:tcPr>
            <w:tcW w:w="1506" w:type="dxa"/>
            <w:tcBorders>
              <w:top w:val="single" w:color="000000" w:sz="4" w:space="0"/>
              <w:left w:val="single" w:color="000000" w:sz="4" w:space="0"/>
              <w:bottom w:val="single" w:color="000000" w:sz="4" w:space="0"/>
              <w:right w:val="single" w:color="000000" w:sz="4" w:space="0"/>
            </w:tcBorders>
          </w:tcPr>
          <w:p w14:paraId="27DBABB9">
            <w:pPr>
              <w:pStyle w:val="17"/>
              <w:spacing w:before="34"/>
              <w:ind w:right="548"/>
              <w:jc w:val="right"/>
              <w:rPr>
                <w:rFonts w:ascii="Times New Roman"/>
                <w:sz w:val="21"/>
              </w:rPr>
            </w:pPr>
            <w:r>
              <w:rPr>
                <w:rFonts w:ascii="Times New Roman"/>
                <w:w w:val="95"/>
                <w:sz w:val="21"/>
              </w:rPr>
              <w:t>3.11</w:t>
            </w:r>
          </w:p>
        </w:tc>
        <w:tc>
          <w:tcPr>
            <w:tcW w:w="1469" w:type="dxa"/>
            <w:tcBorders>
              <w:top w:val="single" w:color="000000" w:sz="4" w:space="0"/>
              <w:left w:val="single" w:color="000000" w:sz="4" w:space="0"/>
              <w:bottom w:val="single" w:color="000000" w:sz="4" w:space="0"/>
              <w:right w:val="single" w:color="000000" w:sz="4" w:space="0"/>
            </w:tcBorders>
          </w:tcPr>
          <w:p w14:paraId="0F5D7B7B">
            <w:pPr>
              <w:pStyle w:val="17"/>
              <w:spacing w:before="34"/>
              <w:ind w:left="511" w:right="484"/>
              <w:rPr>
                <w:rFonts w:ascii="Times New Roman"/>
                <w:sz w:val="21"/>
              </w:rPr>
            </w:pPr>
            <w:r>
              <w:rPr>
                <w:rFonts w:ascii="Times New Roman"/>
                <w:sz w:val="21"/>
              </w:rPr>
              <w:t>2.85</w:t>
            </w:r>
          </w:p>
        </w:tc>
        <w:tc>
          <w:tcPr>
            <w:tcW w:w="1675" w:type="dxa"/>
            <w:tcBorders>
              <w:top w:val="single" w:color="000000" w:sz="4" w:space="0"/>
              <w:left w:val="single" w:color="000000" w:sz="4" w:space="0"/>
              <w:bottom w:val="single" w:color="000000" w:sz="4" w:space="0"/>
              <w:right w:val="nil"/>
            </w:tcBorders>
          </w:tcPr>
          <w:p w14:paraId="6386D694">
            <w:pPr>
              <w:pStyle w:val="17"/>
              <w:spacing w:before="34"/>
              <w:ind w:left="661"/>
              <w:jc w:val="left"/>
              <w:rPr>
                <w:rFonts w:ascii="Times New Roman"/>
                <w:sz w:val="21"/>
              </w:rPr>
            </w:pPr>
            <w:r>
              <w:rPr>
                <w:rFonts w:ascii="Times New Roman"/>
                <w:sz w:val="21"/>
              </w:rPr>
              <w:t>3.00</w:t>
            </w:r>
          </w:p>
        </w:tc>
      </w:tr>
      <w:tr w14:paraId="759990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2585A2F2">
            <w:pPr>
              <w:pStyle w:val="17"/>
              <w:spacing w:before="34"/>
              <w:ind w:left="816" w:right="783"/>
              <w:rPr>
                <w:rFonts w:ascii="Times New Roman"/>
                <w:sz w:val="21"/>
              </w:rPr>
            </w:pPr>
            <w:r>
              <w:rPr>
                <w:rFonts w:ascii="Times New Roman"/>
                <w:sz w:val="21"/>
              </w:rPr>
              <w:t>14</w:t>
            </w:r>
          </w:p>
        </w:tc>
        <w:tc>
          <w:tcPr>
            <w:tcW w:w="1338" w:type="dxa"/>
            <w:tcBorders>
              <w:top w:val="single" w:color="000000" w:sz="4" w:space="0"/>
              <w:left w:val="single" w:color="000000" w:sz="4" w:space="0"/>
              <w:bottom w:val="single" w:color="000000" w:sz="4" w:space="0"/>
              <w:right w:val="single" w:color="000000" w:sz="4" w:space="0"/>
            </w:tcBorders>
          </w:tcPr>
          <w:p w14:paraId="6C4853EB">
            <w:pPr>
              <w:pStyle w:val="17"/>
              <w:spacing w:before="34"/>
              <w:ind w:left="474" w:right="446"/>
              <w:rPr>
                <w:rFonts w:ascii="Times New Roman"/>
                <w:sz w:val="21"/>
              </w:rPr>
            </w:pPr>
            <w:r>
              <w:rPr>
                <w:rFonts w:ascii="Times New Roman"/>
                <w:sz w:val="21"/>
              </w:rPr>
              <w:t>3.44</w:t>
            </w:r>
          </w:p>
        </w:tc>
        <w:tc>
          <w:tcPr>
            <w:tcW w:w="1506" w:type="dxa"/>
            <w:tcBorders>
              <w:top w:val="single" w:color="000000" w:sz="4" w:space="0"/>
              <w:left w:val="single" w:color="000000" w:sz="4" w:space="0"/>
              <w:bottom w:val="single" w:color="000000" w:sz="4" w:space="0"/>
              <w:right w:val="single" w:color="000000" w:sz="4" w:space="0"/>
            </w:tcBorders>
          </w:tcPr>
          <w:p w14:paraId="1A6A4CB5">
            <w:pPr>
              <w:pStyle w:val="17"/>
              <w:spacing w:before="34"/>
              <w:ind w:right="546"/>
              <w:jc w:val="right"/>
              <w:rPr>
                <w:rFonts w:ascii="Times New Roman"/>
                <w:sz w:val="21"/>
              </w:rPr>
            </w:pPr>
            <w:r>
              <w:rPr>
                <w:rFonts w:ascii="Times New Roman"/>
                <w:sz w:val="21"/>
              </w:rPr>
              <w:t>3.24</w:t>
            </w:r>
          </w:p>
        </w:tc>
        <w:tc>
          <w:tcPr>
            <w:tcW w:w="1469" w:type="dxa"/>
            <w:tcBorders>
              <w:top w:val="single" w:color="000000" w:sz="4" w:space="0"/>
              <w:left w:val="single" w:color="000000" w:sz="4" w:space="0"/>
              <w:bottom w:val="single" w:color="000000" w:sz="4" w:space="0"/>
              <w:right w:val="single" w:color="000000" w:sz="4" w:space="0"/>
            </w:tcBorders>
          </w:tcPr>
          <w:p w14:paraId="7ED4DE48">
            <w:pPr>
              <w:pStyle w:val="17"/>
              <w:spacing w:before="34"/>
              <w:ind w:left="511" w:right="484"/>
              <w:rPr>
                <w:rFonts w:ascii="Times New Roman"/>
                <w:sz w:val="21"/>
              </w:rPr>
            </w:pPr>
            <w:r>
              <w:rPr>
                <w:rFonts w:ascii="Times New Roman"/>
                <w:sz w:val="21"/>
              </w:rPr>
              <w:t>2.96</w:t>
            </w:r>
          </w:p>
        </w:tc>
        <w:tc>
          <w:tcPr>
            <w:tcW w:w="1675" w:type="dxa"/>
            <w:tcBorders>
              <w:top w:val="single" w:color="000000" w:sz="4" w:space="0"/>
              <w:left w:val="single" w:color="000000" w:sz="4" w:space="0"/>
              <w:bottom w:val="single" w:color="000000" w:sz="4" w:space="0"/>
              <w:right w:val="nil"/>
            </w:tcBorders>
          </w:tcPr>
          <w:p w14:paraId="4491CE67">
            <w:pPr>
              <w:pStyle w:val="17"/>
              <w:spacing w:before="34"/>
              <w:ind w:left="661"/>
              <w:jc w:val="left"/>
              <w:rPr>
                <w:rFonts w:ascii="Times New Roman"/>
                <w:sz w:val="21"/>
              </w:rPr>
            </w:pPr>
            <w:r>
              <w:rPr>
                <w:rFonts w:ascii="Times New Roman"/>
                <w:sz w:val="21"/>
              </w:rPr>
              <w:t>3.04</w:t>
            </w:r>
          </w:p>
        </w:tc>
      </w:tr>
      <w:tr w14:paraId="4CACF7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4BE6F3FD">
            <w:pPr>
              <w:pStyle w:val="17"/>
              <w:spacing w:before="34"/>
              <w:ind w:left="816" w:right="783"/>
              <w:rPr>
                <w:rFonts w:ascii="Times New Roman"/>
                <w:sz w:val="21"/>
              </w:rPr>
            </w:pPr>
            <w:r>
              <w:rPr>
                <w:rFonts w:ascii="Times New Roman"/>
                <w:sz w:val="21"/>
              </w:rPr>
              <w:t>15</w:t>
            </w:r>
          </w:p>
        </w:tc>
        <w:tc>
          <w:tcPr>
            <w:tcW w:w="1338" w:type="dxa"/>
            <w:tcBorders>
              <w:top w:val="single" w:color="000000" w:sz="4" w:space="0"/>
              <w:left w:val="single" w:color="000000" w:sz="4" w:space="0"/>
              <w:bottom w:val="single" w:color="000000" w:sz="4" w:space="0"/>
              <w:right w:val="single" w:color="000000" w:sz="4" w:space="0"/>
            </w:tcBorders>
          </w:tcPr>
          <w:p w14:paraId="343831C8">
            <w:pPr>
              <w:pStyle w:val="17"/>
              <w:spacing w:before="34"/>
              <w:ind w:left="474" w:right="446"/>
              <w:rPr>
                <w:rFonts w:ascii="Times New Roman"/>
                <w:sz w:val="21"/>
              </w:rPr>
            </w:pPr>
            <w:r>
              <w:rPr>
                <w:rFonts w:ascii="Times New Roman"/>
                <w:sz w:val="21"/>
              </w:rPr>
              <w:t>3.52</w:t>
            </w:r>
          </w:p>
        </w:tc>
        <w:tc>
          <w:tcPr>
            <w:tcW w:w="1506" w:type="dxa"/>
            <w:tcBorders>
              <w:top w:val="single" w:color="000000" w:sz="4" w:space="0"/>
              <w:left w:val="single" w:color="000000" w:sz="4" w:space="0"/>
              <w:bottom w:val="single" w:color="000000" w:sz="4" w:space="0"/>
              <w:right w:val="single" w:color="000000" w:sz="4" w:space="0"/>
            </w:tcBorders>
          </w:tcPr>
          <w:p w14:paraId="6FAED741">
            <w:pPr>
              <w:pStyle w:val="17"/>
              <w:spacing w:before="34"/>
              <w:ind w:right="546"/>
              <w:jc w:val="right"/>
              <w:rPr>
                <w:rFonts w:ascii="Times New Roman"/>
                <w:sz w:val="21"/>
              </w:rPr>
            </w:pPr>
            <w:r>
              <w:rPr>
                <w:rFonts w:ascii="Times New Roman"/>
                <w:sz w:val="21"/>
              </w:rPr>
              <w:t>3.48</w:t>
            </w:r>
          </w:p>
        </w:tc>
        <w:tc>
          <w:tcPr>
            <w:tcW w:w="1469" w:type="dxa"/>
            <w:tcBorders>
              <w:top w:val="single" w:color="000000" w:sz="4" w:space="0"/>
              <w:left w:val="single" w:color="000000" w:sz="4" w:space="0"/>
              <w:bottom w:val="single" w:color="000000" w:sz="4" w:space="0"/>
              <w:right w:val="single" w:color="000000" w:sz="4" w:space="0"/>
            </w:tcBorders>
          </w:tcPr>
          <w:p w14:paraId="2CFE1C07">
            <w:pPr>
              <w:pStyle w:val="17"/>
              <w:spacing w:before="34"/>
              <w:ind w:left="511" w:right="484"/>
              <w:rPr>
                <w:rFonts w:ascii="Times New Roman"/>
                <w:sz w:val="21"/>
              </w:rPr>
            </w:pPr>
            <w:r>
              <w:rPr>
                <w:rFonts w:ascii="Times New Roman"/>
                <w:sz w:val="21"/>
              </w:rPr>
              <w:t>3.04</w:t>
            </w:r>
          </w:p>
        </w:tc>
        <w:tc>
          <w:tcPr>
            <w:tcW w:w="1675" w:type="dxa"/>
            <w:tcBorders>
              <w:top w:val="single" w:color="000000" w:sz="4" w:space="0"/>
              <w:left w:val="single" w:color="000000" w:sz="4" w:space="0"/>
              <w:bottom w:val="single" w:color="000000" w:sz="4" w:space="0"/>
              <w:right w:val="nil"/>
            </w:tcBorders>
          </w:tcPr>
          <w:p w14:paraId="73CF4210">
            <w:pPr>
              <w:pStyle w:val="17"/>
              <w:spacing w:before="34"/>
              <w:ind w:left="661"/>
              <w:jc w:val="left"/>
              <w:rPr>
                <w:rFonts w:ascii="Times New Roman"/>
                <w:sz w:val="21"/>
              </w:rPr>
            </w:pPr>
            <w:r>
              <w:rPr>
                <w:rFonts w:ascii="Times New Roman"/>
                <w:sz w:val="21"/>
              </w:rPr>
              <w:t>3.10</w:t>
            </w:r>
          </w:p>
        </w:tc>
      </w:tr>
      <w:tr w14:paraId="682FB8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08C23D04">
            <w:pPr>
              <w:pStyle w:val="17"/>
              <w:spacing w:before="36"/>
              <w:ind w:left="816" w:right="783"/>
              <w:rPr>
                <w:rFonts w:ascii="Times New Roman"/>
                <w:sz w:val="21"/>
              </w:rPr>
            </w:pPr>
            <w:r>
              <w:rPr>
                <w:rFonts w:ascii="Times New Roman"/>
                <w:sz w:val="21"/>
              </w:rPr>
              <w:t>16</w:t>
            </w:r>
          </w:p>
        </w:tc>
        <w:tc>
          <w:tcPr>
            <w:tcW w:w="1338" w:type="dxa"/>
            <w:tcBorders>
              <w:top w:val="single" w:color="000000" w:sz="4" w:space="0"/>
              <w:left w:val="single" w:color="000000" w:sz="4" w:space="0"/>
              <w:bottom w:val="single" w:color="000000" w:sz="4" w:space="0"/>
              <w:right w:val="single" w:color="000000" w:sz="4" w:space="0"/>
            </w:tcBorders>
          </w:tcPr>
          <w:p w14:paraId="07CF0ED0">
            <w:pPr>
              <w:pStyle w:val="17"/>
              <w:spacing w:before="36"/>
              <w:ind w:left="474" w:right="446"/>
              <w:rPr>
                <w:rFonts w:ascii="Times New Roman"/>
                <w:sz w:val="21"/>
              </w:rPr>
            </w:pPr>
            <w:r>
              <w:rPr>
                <w:rFonts w:ascii="Times New Roman"/>
                <w:sz w:val="21"/>
              </w:rPr>
              <w:t>3.51</w:t>
            </w:r>
          </w:p>
        </w:tc>
        <w:tc>
          <w:tcPr>
            <w:tcW w:w="1506" w:type="dxa"/>
            <w:tcBorders>
              <w:top w:val="single" w:color="000000" w:sz="4" w:space="0"/>
              <w:left w:val="single" w:color="000000" w:sz="4" w:space="0"/>
              <w:bottom w:val="single" w:color="000000" w:sz="4" w:space="0"/>
              <w:right w:val="single" w:color="000000" w:sz="4" w:space="0"/>
            </w:tcBorders>
          </w:tcPr>
          <w:p w14:paraId="45818CE9">
            <w:pPr>
              <w:pStyle w:val="17"/>
              <w:spacing w:before="36"/>
              <w:ind w:right="546"/>
              <w:jc w:val="right"/>
              <w:rPr>
                <w:rFonts w:ascii="Times New Roman"/>
                <w:sz w:val="21"/>
              </w:rPr>
            </w:pPr>
            <w:r>
              <w:rPr>
                <w:rFonts w:ascii="Times New Roman"/>
                <w:sz w:val="21"/>
              </w:rPr>
              <w:t>3.21</w:t>
            </w:r>
          </w:p>
        </w:tc>
        <w:tc>
          <w:tcPr>
            <w:tcW w:w="1469" w:type="dxa"/>
            <w:tcBorders>
              <w:top w:val="single" w:color="000000" w:sz="4" w:space="0"/>
              <w:left w:val="single" w:color="000000" w:sz="4" w:space="0"/>
              <w:bottom w:val="single" w:color="000000" w:sz="4" w:space="0"/>
              <w:right w:val="single" w:color="000000" w:sz="4" w:space="0"/>
            </w:tcBorders>
          </w:tcPr>
          <w:p w14:paraId="49AE704F">
            <w:pPr>
              <w:pStyle w:val="17"/>
              <w:spacing w:before="36"/>
              <w:ind w:left="511" w:right="484"/>
              <w:rPr>
                <w:rFonts w:ascii="Times New Roman"/>
                <w:sz w:val="21"/>
              </w:rPr>
            </w:pPr>
            <w:r>
              <w:rPr>
                <w:rFonts w:ascii="Times New Roman"/>
                <w:sz w:val="21"/>
              </w:rPr>
              <w:t>2.94</w:t>
            </w:r>
          </w:p>
        </w:tc>
        <w:tc>
          <w:tcPr>
            <w:tcW w:w="1675" w:type="dxa"/>
            <w:tcBorders>
              <w:top w:val="single" w:color="000000" w:sz="4" w:space="0"/>
              <w:left w:val="single" w:color="000000" w:sz="4" w:space="0"/>
              <w:bottom w:val="single" w:color="000000" w:sz="4" w:space="0"/>
              <w:right w:val="nil"/>
            </w:tcBorders>
          </w:tcPr>
          <w:p w14:paraId="7A1751E1">
            <w:pPr>
              <w:pStyle w:val="17"/>
              <w:spacing w:before="36"/>
              <w:ind w:left="661"/>
              <w:jc w:val="left"/>
              <w:rPr>
                <w:rFonts w:ascii="Times New Roman"/>
                <w:sz w:val="21"/>
              </w:rPr>
            </w:pPr>
            <w:r>
              <w:rPr>
                <w:rFonts w:ascii="Times New Roman"/>
                <w:sz w:val="21"/>
              </w:rPr>
              <w:t>3.00</w:t>
            </w:r>
          </w:p>
        </w:tc>
      </w:tr>
      <w:tr w14:paraId="1A931B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15B185CE">
            <w:pPr>
              <w:pStyle w:val="17"/>
              <w:spacing w:before="35"/>
              <w:ind w:left="816" w:right="783"/>
              <w:rPr>
                <w:rFonts w:ascii="Times New Roman"/>
                <w:sz w:val="21"/>
              </w:rPr>
            </w:pPr>
            <w:r>
              <w:rPr>
                <w:rFonts w:ascii="Times New Roman"/>
                <w:sz w:val="21"/>
              </w:rPr>
              <w:t>17</w:t>
            </w:r>
          </w:p>
        </w:tc>
        <w:tc>
          <w:tcPr>
            <w:tcW w:w="1338" w:type="dxa"/>
            <w:tcBorders>
              <w:top w:val="single" w:color="000000" w:sz="4" w:space="0"/>
              <w:left w:val="single" w:color="000000" w:sz="4" w:space="0"/>
              <w:bottom w:val="single" w:color="000000" w:sz="4" w:space="0"/>
              <w:right w:val="single" w:color="000000" w:sz="4" w:space="0"/>
            </w:tcBorders>
          </w:tcPr>
          <w:p w14:paraId="73B8FDDD">
            <w:pPr>
              <w:pStyle w:val="17"/>
              <w:spacing w:before="35"/>
              <w:ind w:left="474" w:right="446"/>
              <w:rPr>
                <w:rFonts w:ascii="Times New Roman"/>
                <w:sz w:val="21"/>
              </w:rPr>
            </w:pPr>
            <w:r>
              <w:rPr>
                <w:rFonts w:ascii="Times New Roman"/>
                <w:sz w:val="21"/>
              </w:rPr>
              <w:t>3.32</w:t>
            </w:r>
          </w:p>
        </w:tc>
        <w:tc>
          <w:tcPr>
            <w:tcW w:w="1506" w:type="dxa"/>
            <w:tcBorders>
              <w:top w:val="single" w:color="000000" w:sz="4" w:space="0"/>
              <w:left w:val="single" w:color="000000" w:sz="4" w:space="0"/>
              <w:bottom w:val="single" w:color="000000" w:sz="4" w:space="0"/>
              <w:right w:val="single" w:color="000000" w:sz="4" w:space="0"/>
            </w:tcBorders>
          </w:tcPr>
          <w:p w14:paraId="1239E1FE">
            <w:pPr>
              <w:pStyle w:val="17"/>
              <w:spacing w:before="35"/>
              <w:ind w:right="546"/>
              <w:jc w:val="right"/>
              <w:rPr>
                <w:rFonts w:ascii="Times New Roman"/>
                <w:sz w:val="21"/>
              </w:rPr>
            </w:pPr>
            <w:r>
              <w:rPr>
                <w:rFonts w:ascii="Times New Roman"/>
                <w:sz w:val="21"/>
              </w:rPr>
              <w:t>3.04</w:t>
            </w:r>
          </w:p>
        </w:tc>
        <w:tc>
          <w:tcPr>
            <w:tcW w:w="1469" w:type="dxa"/>
            <w:tcBorders>
              <w:top w:val="single" w:color="000000" w:sz="4" w:space="0"/>
              <w:left w:val="single" w:color="000000" w:sz="4" w:space="0"/>
              <w:bottom w:val="single" w:color="000000" w:sz="4" w:space="0"/>
              <w:right w:val="single" w:color="000000" w:sz="4" w:space="0"/>
            </w:tcBorders>
          </w:tcPr>
          <w:p w14:paraId="223175B6">
            <w:pPr>
              <w:pStyle w:val="17"/>
              <w:spacing w:before="35"/>
              <w:ind w:left="511" w:right="484"/>
              <w:rPr>
                <w:rFonts w:ascii="Times New Roman"/>
                <w:sz w:val="21"/>
              </w:rPr>
            </w:pPr>
            <w:r>
              <w:rPr>
                <w:rFonts w:ascii="Times New Roman"/>
                <w:sz w:val="21"/>
              </w:rPr>
              <w:t>2.91</w:t>
            </w:r>
          </w:p>
        </w:tc>
        <w:tc>
          <w:tcPr>
            <w:tcW w:w="1675" w:type="dxa"/>
            <w:tcBorders>
              <w:top w:val="single" w:color="000000" w:sz="4" w:space="0"/>
              <w:left w:val="single" w:color="000000" w:sz="4" w:space="0"/>
              <w:bottom w:val="single" w:color="000000" w:sz="4" w:space="0"/>
              <w:right w:val="nil"/>
            </w:tcBorders>
          </w:tcPr>
          <w:p w14:paraId="58A86310">
            <w:pPr>
              <w:pStyle w:val="17"/>
              <w:spacing w:before="35"/>
              <w:ind w:left="661"/>
              <w:jc w:val="left"/>
              <w:rPr>
                <w:rFonts w:ascii="Times New Roman"/>
                <w:sz w:val="21"/>
              </w:rPr>
            </w:pPr>
            <w:r>
              <w:rPr>
                <w:rFonts w:ascii="Times New Roman"/>
                <w:sz w:val="21"/>
              </w:rPr>
              <w:t>2.75</w:t>
            </w:r>
          </w:p>
        </w:tc>
      </w:tr>
      <w:tr w14:paraId="1616B0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3A7809DD">
            <w:pPr>
              <w:pStyle w:val="17"/>
              <w:spacing w:before="35"/>
              <w:ind w:left="816" w:right="783"/>
              <w:rPr>
                <w:rFonts w:ascii="Times New Roman"/>
                <w:sz w:val="21"/>
              </w:rPr>
            </w:pPr>
            <w:r>
              <w:rPr>
                <w:rFonts w:ascii="Times New Roman"/>
                <w:sz w:val="21"/>
              </w:rPr>
              <w:t>18</w:t>
            </w:r>
          </w:p>
        </w:tc>
        <w:tc>
          <w:tcPr>
            <w:tcW w:w="1338" w:type="dxa"/>
            <w:tcBorders>
              <w:top w:val="single" w:color="000000" w:sz="4" w:space="0"/>
              <w:left w:val="single" w:color="000000" w:sz="4" w:space="0"/>
              <w:bottom w:val="single" w:color="000000" w:sz="4" w:space="0"/>
              <w:right w:val="single" w:color="000000" w:sz="4" w:space="0"/>
            </w:tcBorders>
          </w:tcPr>
          <w:p w14:paraId="20D245F6">
            <w:pPr>
              <w:pStyle w:val="17"/>
              <w:spacing w:before="35"/>
              <w:ind w:left="474" w:right="446"/>
              <w:rPr>
                <w:rFonts w:ascii="Times New Roman"/>
                <w:sz w:val="21"/>
              </w:rPr>
            </w:pPr>
            <w:r>
              <w:rPr>
                <w:rFonts w:ascii="Times New Roman"/>
                <w:sz w:val="21"/>
              </w:rPr>
              <w:t>2.93</w:t>
            </w:r>
          </w:p>
        </w:tc>
        <w:tc>
          <w:tcPr>
            <w:tcW w:w="1506" w:type="dxa"/>
            <w:tcBorders>
              <w:top w:val="single" w:color="000000" w:sz="4" w:space="0"/>
              <w:left w:val="single" w:color="000000" w:sz="4" w:space="0"/>
              <w:bottom w:val="single" w:color="000000" w:sz="4" w:space="0"/>
              <w:right w:val="single" w:color="000000" w:sz="4" w:space="0"/>
            </w:tcBorders>
          </w:tcPr>
          <w:p w14:paraId="231FD68B">
            <w:pPr>
              <w:pStyle w:val="17"/>
              <w:spacing w:before="35"/>
              <w:ind w:right="546"/>
              <w:jc w:val="right"/>
              <w:rPr>
                <w:rFonts w:ascii="Times New Roman"/>
                <w:sz w:val="21"/>
              </w:rPr>
            </w:pPr>
            <w:r>
              <w:rPr>
                <w:rFonts w:ascii="Times New Roman"/>
                <w:sz w:val="21"/>
              </w:rPr>
              <w:t>2.75</w:t>
            </w:r>
          </w:p>
        </w:tc>
        <w:tc>
          <w:tcPr>
            <w:tcW w:w="1469" w:type="dxa"/>
            <w:tcBorders>
              <w:top w:val="single" w:color="000000" w:sz="4" w:space="0"/>
              <w:left w:val="single" w:color="000000" w:sz="4" w:space="0"/>
              <w:bottom w:val="single" w:color="000000" w:sz="4" w:space="0"/>
              <w:right w:val="single" w:color="000000" w:sz="4" w:space="0"/>
            </w:tcBorders>
          </w:tcPr>
          <w:p w14:paraId="3E26544A">
            <w:pPr>
              <w:pStyle w:val="17"/>
              <w:spacing w:before="35"/>
              <w:ind w:left="511" w:right="484"/>
              <w:rPr>
                <w:rFonts w:ascii="Times New Roman"/>
                <w:sz w:val="21"/>
              </w:rPr>
            </w:pPr>
            <w:r>
              <w:rPr>
                <w:rFonts w:ascii="Times New Roman"/>
                <w:sz w:val="21"/>
              </w:rPr>
              <w:t>2.59</w:t>
            </w:r>
          </w:p>
        </w:tc>
        <w:tc>
          <w:tcPr>
            <w:tcW w:w="1675" w:type="dxa"/>
            <w:tcBorders>
              <w:top w:val="single" w:color="000000" w:sz="4" w:space="0"/>
              <w:left w:val="single" w:color="000000" w:sz="4" w:space="0"/>
              <w:bottom w:val="single" w:color="000000" w:sz="4" w:space="0"/>
              <w:right w:val="nil"/>
            </w:tcBorders>
          </w:tcPr>
          <w:p w14:paraId="408DFBDB">
            <w:pPr>
              <w:pStyle w:val="17"/>
              <w:spacing w:before="35"/>
              <w:ind w:left="661"/>
              <w:jc w:val="left"/>
              <w:rPr>
                <w:rFonts w:ascii="Times New Roman"/>
                <w:sz w:val="21"/>
              </w:rPr>
            </w:pPr>
            <w:r>
              <w:rPr>
                <w:rFonts w:ascii="Times New Roman"/>
                <w:sz w:val="21"/>
              </w:rPr>
              <w:t>2.51</w:t>
            </w:r>
          </w:p>
        </w:tc>
      </w:tr>
      <w:tr w14:paraId="57EFC3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238CA3E5">
            <w:pPr>
              <w:pStyle w:val="17"/>
              <w:spacing w:before="34"/>
              <w:ind w:left="816" w:right="783"/>
              <w:rPr>
                <w:rFonts w:ascii="Times New Roman"/>
                <w:sz w:val="21"/>
              </w:rPr>
            </w:pPr>
            <w:r>
              <w:rPr>
                <w:rFonts w:ascii="Times New Roman"/>
                <w:sz w:val="21"/>
              </w:rPr>
              <w:t>19</w:t>
            </w:r>
          </w:p>
        </w:tc>
        <w:tc>
          <w:tcPr>
            <w:tcW w:w="1338" w:type="dxa"/>
            <w:tcBorders>
              <w:top w:val="single" w:color="000000" w:sz="4" w:space="0"/>
              <w:left w:val="single" w:color="000000" w:sz="4" w:space="0"/>
              <w:bottom w:val="single" w:color="000000" w:sz="4" w:space="0"/>
              <w:right w:val="single" w:color="000000" w:sz="4" w:space="0"/>
            </w:tcBorders>
          </w:tcPr>
          <w:p w14:paraId="5554DBD7">
            <w:pPr>
              <w:pStyle w:val="17"/>
              <w:spacing w:before="34"/>
              <w:ind w:left="474" w:right="446"/>
              <w:rPr>
                <w:rFonts w:ascii="Times New Roman"/>
                <w:sz w:val="21"/>
              </w:rPr>
            </w:pPr>
            <w:r>
              <w:rPr>
                <w:rFonts w:ascii="Times New Roman"/>
                <w:sz w:val="21"/>
              </w:rPr>
              <w:t>2.66</w:t>
            </w:r>
          </w:p>
        </w:tc>
        <w:tc>
          <w:tcPr>
            <w:tcW w:w="1506" w:type="dxa"/>
            <w:tcBorders>
              <w:top w:val="single" w:color="000000" w:sz="4" w:space="0"/>
              <w:left w:val="single" w:color="000000" w:sz="4" w:space="0"/>
              <w:bottom w:val="single" w:color="000000" w:sz="4" w:space="0"/>
              <w:right w:val="single" w:color="000000" w:sz="4" w:space="0"/>
            </w:tcBorders>
          </w:tcPr>
          <w:p w14:paraId="1DC30414">
            <w:pPr>
              <w:pStyle w:val="17"/>
              <w:spacing w:before="34"/>
              <w:ind w:right="546"/>
              <w:jc w:val="right"/>
              <w:rPr>
                <w:rFonts w:ascii="Times New Roman"/>
                <w:sz w:val="21"/>
              </w:rPr>
            </w:pPr>
            <w:r>
              <w:rPr>
                <w:rFonts w:ascii="Times New Roman"/>
                <w:sz w:val="21"/>
              </w:rPr>
              <w:t>2.37</w:t>
            </w:r>
          </w:p>
        </w:tc>
        <w:tc>
          <w:tcPr>
            <w:tcW w:w="1469" w:type="dxa"/>
            <w:tcBorders>
              <w:top w:val="single" w:color="000000" w:sz="4" w:space="0"/>
              <w:left w:val="single" w:color="000000" w:sz="4" w:space="0"/>
              <w:bottom w:val="single" w:color="000000" w:sz="4" w:space="0"/>
              <w:right w:val="single" w:color="000000" w:sz="4" w:space="0"/>
            </w:tcBorders>
          </w:tcPr>
          <w:p w14:paraId="34EC2339">
            <w:pPr>
              <w:pStyle w:val="17"/>
              <w:spacing w:before="34"/>
              <w:ind w:left="511" w:right="484"/>
              <w:rPr>
                <w:rFonts w:ascii="Times New Roman"/>
                <w:sz w:val="21"/>
              </w:rPr>
            </w:pPr>
            <w:r>
              <w:rPr>
                <w:rFonts w:ascii="Times New Roman"/>
                <w:sz w:val="21"/>
              </w:rPr>
              <w:t>2.43</w:t>
            </w:r>
          </w:p>
        </w:tc>
        <w:tc>
          <w:tcPr>
            <w:tcW w:w="1675" w:type="dxa"/>
            <w:tcBorders>
              <w:top w:val="single" w:color="000000" w:sz="4" w:space="0"/>
              <w:left w:val="single" w:color="000000" w:sz="4" w:space="0"/>
              <w:bottom w:val="single" w:color="000000" w:sz="4" w:space="0"/>
              <w:right w:val="nil"/>
            </w:tcBorders>
          </w:tcPr>
          <w:p w14:paraId="26D6F48D">
            <w:pPr>
              <w:pStyle w:val="17"/>
              <w:spacing w:before="34"/>
              <w:ind w:left="661"/>
              <w:jc w:val="left"/>
              <w:rPr>
                <w:rFonts w:ascii="Times New Roman"/>
                <w:sz w:val="21"/>
              </w:rPr>
            </w:pPr>
            <w:r>
              <w:rPr>
                <w:rFonts w:ascii="Times New Roman"/>
                <w:sz w:val="21"/>
              </w:rPr>
              <w:t>2.36</w:t>
            </w:r>
          </w:p>
        </w:tc>
      </w:tr>
      <w:tr w14:paraId="6FD962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5F706D54">
            <w:pPr>
              <w:pStyle w:val="17"/>
              <w:spacing w:before="34"/>
              <w:ind w:left="816" w:right="783"/>
              <w:rPr>
                <w:rFonts w:ascii="Times New Roman"/>
                <w:sz w:val="21"/>
              </w:rPr>
            </w:pPr>
            <w:r>
              <w:rPr>
                <w:rFonts w:ascii="Times New Roman"/>
                <w:sz w:val="21"/>
              </w:rPr>
              <w:t>20</w:t>
            </w:r>
          </w:p>
        </w:tc>
        <w:tc>
          <w:tcPr>
            <w:tcW w:w="1338" w:type="dxa"/>
            <w:tcBorders>
              <w:top w:val="single" w:color="000000" w:sz="4" w:space="0"/>
              <w:left w:val="single" w:color="000000" w:sz="4" w:space="0"/>
              <w:bottom w:val="single" w:color="000000" w:sz="4" w:space="0"/>
              <w:right w:val="single" w:color="000000" w:sz="4" w:space="0"/>
            </w:tcBorders>
          </w:tcPr>
          <w:p w14:paraId="6EC639A6">
            <w:pPr>
              <w:pStyle w:val="17"/>
              <w:spacing w:before="34"/>
              <w:ind w:left="474" w:right="446"/>
              <w:rPr>
                <w:rFonts w:ascii="Times New Roman"/>
                <w:sz w:val="21"/>
              </w:rPr>
            </w:pPr>
            <w:r>
              <w:rPr>
                <w:rFonts w:ascii="Times New Roman"/>
                <w:sz w:val="21"/>
              </w:rPr>
              <w:t>2.62</w:t>
            </w:r>
          </w:p>
        </w:tc>
        <w:tc>
          <w:tcPr>
            <w:tcW w:w="1506" w:type="dxa"/>
            <w:tcBorders>
              <w:top w:val="single" w:color="000000" w:sz="4" w:space="0"/>
              <w:left w:val="single" w:color="000000" w:sz="4" w:space="0"/>
              <w:bottom w:val="single" w:color="000000" w:sz="4" w:space="0"/>
              <w:right w:val="single" w:color="000000" w:sz="4" w:space="0"/>
            </w:tcBorders>
          </w:tcPr>
          <w:p w14:paraId="00828EF2">
            <w:pPr>
              <w:pStyle w:val="17"/>
              <w:spacing w:before="34"/>
              <w:ind w:right="546"/>
              <w:jc w:val="right"/>
              <w:rPr>
                <w:rFonts w:ascii="Times New Roman"/>
                <w:sz w:val="21"/>
              </w:rPr>
            </w:pPr>
            <w:r>
              <w:rPr>
                <w:rFonts w:ascii="Times New Roman"/>
                <w:sz w:val="21"/>
              </w:rPr>
              <w:t>2.27</w:t>
            </w:r>
          </w:p>
        </w:tc>
        <w:tc>
          <w:tcPr>
            <w:tcW w:w="1469" w:type="dxa"/>
            <w:tcBorders>
              <w:top w:val="single" w:color="000000" w:sz="4" w:space="0"/>
              <w:left w:val="single" w:color="000000" w:sz="4" w:space="0"/>
              <w:bottom w:val="single" w:color="000000" w:sz="4" w:space="0"/>
              <w:right w:val="single" w:color="000000" w:sz="4" w:space="0"/>
            </w:tcBorders>
          </w:tcPr>
          <w:p w14:paraId="60A24A95">
            <w:pPr>
              <w:pStyle w:val="17"/>
              <w:spacing w:before="34"/>
              <w:ind w:left="511" w:right="484"/>
              <w:rPr>
                <w:rFonts w:ascii="Times New Roman"/>
                <w:sz w:val="21"/>
              </w:rPr>
            </w:pPr>
            <w:r>
              <w:rPr>
                <w:rFonts w:ascii="Times New Roman"/>
                <w:sz w:val="21"/>
              </w:rPr>
              <w:t>2.35</w:t>
            </w:r>
          </w:p>
        </w:tc>
        <w:tc>
          <w:tcPr>
            <w:tcW w:w="1675" w:type="dxa"/>
            <w:tcBorders>
              <w:top w:val="single" w:color="000000" w:sz="4" w:space="0"/>
              <w:left w:val="single" w:color="000000" w:sz="4" w:space="0"/>
              <w:bottom w:val="single" w:color="000000" w:sz="4" w:space="0"/>
              <w:right w:val="nil"/>
            </w:tcBorders>
          </w:tcPr>
          <w:p w14:paraId="0D9F62E4">
            <w:pPr>
              <w:pStyle w:val="17"/>
              <w:spacing w:before="34"/>
              <w:ind w:left="661"/>
              <w:jc w:val="left"/>
              <w:rPr>
                <w:rFonts w:ascii="Times New Roman"/>
                <w:sz w:val="21"/>
              </w:rPr>
            </w:pPr>
            <w:r>
              <w:rPr>
                <w:rFonts w:ascii="Times New Roman"/>
                <w:sz w:val="21"/>
              </w:rPr>
              <w:t>2.40</w:t>
            </w:r>
          </w:p>
        </w:tc>
      </w:tr>
      <w:tr w14:paraId="671405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1C58F5BD">
            <w:pPr>
              <w:pStyle w:val="17"/>
              <w:spacing w:before="34"/>
              <w:ind w:left="816" w:right="783"/>
              <w:rPr>
                <w:rFonts w:ascii="Times New Roman"/>
                <w:sz w:val="21"/>
              </w:rPr>
            </w:pPr>
            <w:r>
              <w:rPr>
                <w:rFonts w:ascii="Times New Roman"/>
                <w:sz w:val="21"/>
              </w:rPr>
              <w:t>21</w:t>
            </w:r>
          </w:p>
        </w:tc>
        <w:tc>
          <w:tcPr>
            <w:tcW w:w="1338" w:type="dxa"/>
            <w:tcBorders>
              <w:top w:val="single" w:color="000000" w:sz="4" w:space="0"/>
              <w:left w:val="single" w:color="000000" w:sz="4" w:space="0"/>
              <w:bottom w:val="single" w:color="000000" w:sz="4" w:space="0"/>
              <w:right w:val="single" w:color="000000" w:sz="4" w:space="0"/>
            </w:tcBorders>
          </w:tcPr>
          <w:p w14:paraId="1A4FD95A">
            <w:pPr>
              <w:pStyle w:val="17"/>
              <w:spacing w:before="34"/>
              <w:ind w:left="474" w:right="446"/>
              <w:rPr>
                <w:rFonts w:ascii="Times New Roman"/>
                <w:sz w:val="21"/>
              </w:rPr>
            </w:pPr>
            <w:r>
              <w:rPr>
                <w:rFonts w:ascii="Times New Roman"/>
                <w:sz w:val="21"/>
              </w:rPr>
              <w:t>2.69</w:t>
            </w:r>
          </w:p>
        </w:tc>
        <w:tc>
          <w:tcPr>
            <w:tcW w:w="1506" w:type="dxa"/>
            <w:tcBorders>
              <w:top w:val="single" w:color="000000" w:sz="4" w:space="0"/>
              <w:left w:val="single" w:color="000000" w:sz="4" w:space="0"/>
              <w:bottom w:val="single" w:color="000000" w:sz="4" w:space="0"/>
              <w:right w:val="single" w:color="000000" w:sz="4" w:space="0"/>
            </w:tcBorders>
          </w:tcPr>
          <w:p w14:paraId="594A47AF">
            <w:pPr>
              <w:pStyle w:val="17"/>
              <w:spacing w:before="34"/>
              <w:ind w:right="546"/>
              <w:jc w:val="right"/>
              <w:rPr>
                <w:rFonts w:ascii="Times New Roman"/>
                <w:sz w:val="21"/>
              </w:rPr>
            </w:pPr>
            <w:r>
              <w:rPr>
                <w:rFonts w:ascii="Times New Roman"/>
                <w:sz w:val="21"/>
              </w:rPr>
              <w:t>2.26</w:t>
            </w:r>
          </w:p>
        </w:tc>
        <w:tc>
          <w:tcPr>
            <w:tcW w:w="1469" w:type="dxa"/>
            <w:tcBorders>
              <w:top w:val="single" w:color="000000" w:sz="4" w:space="0"/>
              <w:left w:val="single" w:color="000000" w:sz="4" w:space="0"/>
              <w:bottom w:val="single" w:color="000000" w:sz="4" w:space="0"/>
              <w:right w:val="single" w:color="000000" w:sz="4" w:space="0"/>
            </w:tcBorders>
          </w:tcPr>
          <w:p w14:paraId="2B401598">
            <w:pPr>
              <w:pStyle w:val="17"/>
              <w:spacing w:before="34"/>
              <w:ind w:left="511" w:right="484"/>
              <w:rPr>
                <w:rFonts w:ascii="Times New Roman"/>
                <w:sz w:val="21"/>
              </w:rPr>
            </w:pPr>
            <w:r>
              <w:rPr>
                <w:rFonts w:ascii="Times New Roman"/>
                <w:sz w:val="21"/>
              </w:rPr>
              <w:t>2.57</w:t>
            </w:r>
          </w:p>
        </w:tc>
        <w:tc>
          <w:tcPr>
            <w:tcW w:w="1675" w:type="dxa"/>
            <w:tcBorders>
              <w:top w:val="single" w:color="000000" w:sz="4" w:space="0"/>
              <w:left w:val="single" w:color="000000" w:sz="4" w:space="0"/>
              <w:bottom w:val="single" w:color="000000" w:sz="4" w:space="0"/>
              <w:right w:val="nil"/>
            </w:tcBorders>
          </w:tcPr>
          <w:p w14:paraId="64BAD9A5">
            <w:pPr>
              <w:pStyle w:val="17"/>
              <w:spacing w:before="34"/>
              <w:ind w:left="661"/>
              <w:jc w:val="left"/>
              <w:rPr>
                <w:rFonts w:ascii="Times New Roman"/>
                <w:sz w:val="21"/>
              </w:rPr>
            </w:pPr>
            <w:r>
              <w:rPr>
                <w:rFonts w:ascii="Times New Roman"/>
                <w:sz w:val="21"/>
              </w:rPr>
              <w:t>2.45</w:t>
            </w:r>
          </w:p>
        </w:tc>
      </w:tr>
      <w:tr w14:paraId="36827C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bottom w:val="single" w:color="000000" w:sz="4" w:space="0"/>
              <w:right w:val="single" w:color="000000" w:sz="4" w:space="0"/>
            </w:tcBorders>
          </w:tcPr>
          <w:p w14:paraId="59E41684">
            <w:pPr>
              <w:pStyle w:val="17"/>
              <w:spacing w:before="36"/>
              <w:ind w:left="816" w:right="783"/>
              <w:rPr>
                <w:rFonts w:ascii="Times New Roman"/>
                <w:sz w:val="21"/>
              </w:rPr>
            </w:pPr>
            <w:r>
              <w:rPr>
                <w:rFonts w:ascii="Times New Roman"/>
                <w:sz w:val="21"/>
              </w:rPr>
              <w:t>22</w:t>
            </w:r>
          </w:p>
        </w:tc>
        <w:tc>
          <w:tcPr>
            <w:tcW w:w="1338" w:type="dxa"/>
            <w:tcBorders>
              <w:top w:val="single" w:color="000000" w:sz="4" w:space="0"/>
              <w:left w:val="single" w:color="000000" w:sz="4" w:space="0"/>
              <w:bottom w:val="single" w:color="000000" w:sz="4" w:space="0"/>
              <w:right w:val="single" w:color="000000" w:sz="4" w:space="0"/>
            </w:tcBorders>
          </w:tcPr>
          <w:p w14:paraId="4A661EB8">
            <w:pPr>
              <w:pStyle w:val="17"/>
              <w:spacing w:before="36"/>
              <w:ind w:left="474" w:right="446"/>
              <w:rPr>
                <w:rFonts w:ascii="Times New Roman"/>
                <w:sz w:val="21"/>
              </w:rPr>
            </w:pPr>
            <w:r>
              <w:rPr>
                <w:rFonts w:ascii="Times New Roman"/>
                <w:sz w:val="21"/>
              </w:rPr>
              <w:t>2.68</w:t>
            </w:r>
          </w:p>
        </w:tc>
        <w:tc>
          <w:tcPr>
            <w:tcW w:w="1506" w:type="dxa"/>
            <w:tcBorders>
              <w:top w:val="single" w:color="000000" w:sz="4" w:space="0"/>
              <w:left w:val="single" w:color="000000" w:sz="4" w:space="0"/>
              <w:bottom w:val="single" w:color="000000" w:sz="4" w:space="0"/>
              <w:right w:val="single" w:color="000000" w:sz="4" w:space="0"/>
            </w:tcBorders>
          </w:tcPr>
          <w:p w14:paraId="0C419B53">
            <w:pPr>
              <w:pStyle w:val="17"/>
              <w:spacing w:before="36"/>
              <w:ind w:right="546"/>
              <w:jc w:val="right"/>
              <w:rPr>
                <w:rFonts w:ascii="Times New Roman"/>
                <w:sz w:val="21"/>
              </w:rPr>
            </w:pPr>
            <w:r>
              <w:rPr>
                <w:rFonts w:ascii="Times New Roman"/>
                <w:sz w:val="21"/>
              </w:rPr>
              <w:t>2.36</w:t>
            </w:r>
          </w:p>
        </w:tc>
        <w:tc>
          <w:tcPr>
            <w:tcW w:w="1469" w:type="dxa"/>
            <w:tcBorders>
              <w:top w:val="single" w:color="000000" w:sz="4" w:space="0"/>
              <w:left w:val="single" w:color="000000" w:sz="4" w:space="0"/>
              <w:bottom w:val="single" w:color="000000" w:sz="4" w:space="0"/>
              <w:right w:val="single" w:color="000000" w:sz="4" w:space="0"/>
            </w:tcBorders>
          </w:tcPr>
          <w:p w14:paraId="0169FB5B">
            <w:pPr>
              <w:pStyle w:val="17"/>
              <w:spacing w:before="36"/>
              <w:ind w:left="511" w:right="484"/>
              <w:rPr>
                <w:rFonts w:ascii="Times New Roman"/>
                <w:sz w:val="21"/>
              </w:rPr>
            </w:pPr>
            <w:r>
              <w:rPr>
                <w:rFonts w:ascii="Times New Roman"/>
                <w:sz w:val="21"/>
              </w:rPr>
              <w:t>2.42</w:t>
            </w:r>
          </w:p>
        </w:tc>
        <w:tc>
          <w:tcPr>
            <w:tcW w:w="1675" w:type="dxa"/>
            <w:tcBorders>
              <w:top w:val="single" w:color="000000" w:sz="4" w:space="0"/>
              <w:left w:val="single" w:color="000000" w:sz="4" w:space="0"/>
              <w:bottom w:val="single" w:color="000000" w:sz="4" w:space="0"/>
              <w:right w:val="nil"/>
            </w:tcBorders>
          </w:tcPr>
          <w:p w14:paraId="2BEA45B2">
            <w:pPr>
              <w:pStyle w:val="17"/>
              <w:spacing w:before="36"/>
              <w:ind w:left="661"/>
              <w:jc w:val="left"/>
              <w:rPr>
                <w:rFonts w:ascii="Times New Roman"/>
                <w:sz w:val="21"/>
              </w:rPr>
            </w:pPr>
            <w:r>
              <w:rPr>
                <w:rFonts w:ascii="Times New Roman"/>
                <w:sz w:val="21"/>
              </w:rPr>
              <w:t>2.60</w:t>
            </w:r>
          </w:p>
        </w:tc>
      </w:tr>
      <w:tr w14:paraId="7650A9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16" w:type="dxa"/>
            <w:tcBorders>
              <w:top w:val="single" w:color="000000" w:sz="4" w:space="0"/>
              <w:left w:val="nil"/>
              <w:bottom w:val="single" w:color="000000" w:sz="4" w:space="0"/>
              <w:right w:val="single" w:color="000000" w:sz="4" w:space="0"/>
            </w:tcBorders>
          </w:tcPr>
          <w:p w14:paraId="2A91FE90">
            <w:pPr>
              <w:pStyle w:val="17"/>
              <w:spacing w:before="35"/>
              <w:ind w:left="816" w:right="783"/>
              <w:rPr>
                <w:rFonts w:ascii="Times New Roman"/>
                <w:sz w:val="21"/>
              </w:rPr>
            </w:pPr>
            <w:r>
              <w:rPr>
                <w:rFonts w:ascii="Times New Roman"/>
                <w:sz w:val="21"/>
              </w:rPr>
              <w:t>23</w:t>
            </w:r>
          </w:p>
        </w:tc>
        <w:tc>
          <w:tcPr>
            <w:tcW w:w="1338" w:type="dxa"/>
            <w:tcBorders>
              <w:top w:val="single" w:color="000000" w:sz="4" w:space="0"/>
              <w:left w:val="single" w:color="000000" w:sz="4" w:space="0"/>
              <w:bottom w:val="single" w:color="000000" w:sz="4" w:space="0"/>
              <w:right w:val="single" w:color="000000" w:sz="4" w:space="0"/>
            </w:tcBorders>
          </w:tcPr>
          <w:p w14:paraId="1EC7A560">
            <w:pPr>
              <w:pStyle w:val="17"/>
              <w:spacing w:before="35"/>
              <w:ind w:left="474" w:right="446"/>
              <w:rPr>
                <w:rFonts w:ascii="Times New Roman"/>
                <w:sz w:val="21"/>
              </w:rPr>
            </w:pPr>
            <w:r>
              <w:rPr>
                <w:rFonts w:ascii="Times New Roman"/>
                <w:sz w:val="21"/>
              </w:rPr>
              <w:t>2.89</w:t>
            </w:r>
          </w:p>
        </w:tc>
        <w:tc>
          <w:tcPr>
            <w:tcW w:w="1506" w:type="dxa"/>
            <w:tcBorders>
              <w:top w:val="single" w:color="000000" w:sz="4" w:space="0"/>
              <w:left w:val="single" w:color="000000" w:sz="4" w:space="0"/>
              <w:bottom w:val="single" w:color="000000" w:sz="4" w:space="0"/>
              <w:right w:val="single" w:color="000000" w:sz="4" w:space="0"/>
            </w:tcBorders>
          </w:tcPr>
          <w:p w14:paraId="1C6FAC51">
            <w:pPr>
              <w:pStyle w:val="17"/>
              <w:spacing w:before="35"/>
              <w:ind w:right="546"/>
              <w:jc w:val="right"/>
              <w:rPr>
                <w:rFonts w:ascii="Times New Roman"/>
                <w:sz w:val="21"/>
              </w:rPr>
            </w:pPr>
            <w:r>
              <w:rPr>
                <w:rFonts w:ascii="Times New Roman"/>
                <w:sz w:val="21"/>
              </w:rPr>
              <w:t>2.18</w:t>
            </w:r>
          </w:p>
        </w:tc>
        <w:tc>
          <w:tcPr>
            <w:tcW w:w="1469" w:type="dxa"/>
            <w:tcBorders>
              <w:top w:val="single" w:color="000000" w:sz="4" w:space="0"/>
              <w:left w:val="single" w:color="000000" w:sz="4" w:space="0"/>
              <w:bottom w:val="single" w:color="000000" w:sz="4" w:space="0"/>
              <w:right w:val="single" w:color="000000" w:sz="4" w:space="0"/>
            </w:tcBorders>
          </w:tcPr>
          <w:p w14:paraId="523988AA">
            <w:pPr>
              <w:pStyle w:val="17"/>
              <w:spacing w:before="35"/>
              <w:ind w:left="511" w:right="484"/>
              <w:rPr>
                <w:rFonts w:ascii="Times New Roman"/>
                <w:sz w:val="21"/>
              </w:rPr>
            </w:pPr>
            <w:r>
              <w:rPr>
                <w:rFonts w:ascii="Times New Roman"/>
                <w:sz w:val="21"/>
              </w:rPr>
              <w:t>2.51</w:t>
            </w:r>
          </w:p>
        </w:tc>
        <w:tc>
          <w:tcPr>
            <w:tcW w:w="1675" w:type="dxa"/>
            <w:tcBorders>
              <w:top w:val="single" w:color="000000" w:sz="4" w:space="0"/>
              <w:left w:val="single" w:color="000000" w:sz="4" w:space="0"/>
              <w:bottom w:val="single" w:color="000000" w:sz="4" w:space="0"/>
              <w:right w:val="nil"/>
            </w:tcBorders>
          </w:tcPr>
          <w:p w14:paraId="5610A7C3">
            <w:pPr>
              <w:pStyle w:val="17"/>
              <w:spacing w:before="35"/>
              <w:ind w:left="661"/>
              <w:jc w:val="left"/>
              <w:rPr>
                <w:rFonts w:ascii="Times New Roman"/>
                <w:sz w:val="21"/>
              </w:rPr>
            </w:pPr>
            <w:r>
              <w:rPr>
                <w:rFonts w:ascii="Times New Roman"/>
                <w:sz w:val="21"/>
              </w:rPr>
              <w:t>2.45</w:t>
            </w:r>
          </w:p>
        </w:tc>
      </w:tr>
      <w:tr w14:paraId="0265DF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2516" w:type="dxa"/>
            <w:tcBorders>
              <w:top w:val="single" w:color="000000" w:sz="4" w:space="0"/>
              <w:left w:val="nil"/>
              <w:right w:val="single" w:color="000000" w:sz="4" w:space="0"/>
            </w:tcBorders>
          </w:tcPr>
          <w:p w14:paraId="0165DF31">
            <w:pPr>
              <w:pStyle w:val="17"/>
              <w:spacing w:before="35"/>
              <w:ind w:left="816" w:right="783"/>
              <w:rPr>
                <w:rFonts w:ascii="Times New Roman"/>
                <w:sz w:val="21"/>
              </w:rPr>
            </w:pPr>
            <w:r>
              <w:rPr>
                <w:rFonts w:ascii="Times New Roman"/>
                <w:sz w:val="21"/>
              </w:rPr>
              <w:t>24</w:t>
            </w:r>
          </w:p>
        </w:tc>
        <w:tc>
          <w:tcPr>
            <w:tcW w:w="1338" w:type="dxa"/>
            <w:tcBorders>
              <w:top w:val="single" w:color="000000" w:sz="4" w:space="0"/>
              <w:left w:val="single" w:color="000000" w:sz="4" w:space="0"/>
              <w:right w:val="single" w:color="000000" w:sz="4" w:space="0"/>
            </w:tcBorders>
          </w:tcPr>
          <w:p w14:paraId="786803A1">
            <w:pPr>
              <w:pStyle w:val="17"/>
              <w:spacing w:before="35"/>
              <w:ind w:left="474" w:right="446"/>
              <w:rPr>
                <w:rFonts w:ascii="Times New Roman"/>
                <w:sz w:val="21"/>
              </w:rPr>
            </w:pPr>
            <w:r>
              <w:rPr>
                <w:rFonts w:ascii="Times New Roman"/>
                <w:sz w:val="21"/>
              </w:rPr>
              <w:t>2.80</w:t>
            </w:r>
          </w:p>
        </w:tc>
        <w:tc>
          <w:tcPr>
            <w:tcW w:w="1506" w:type="dxa"/>
            <w:tcBorders>
              <w:top w:val="single" w:color="000000" w:sz="4" w:space="0"/>
              <w:left w:val="single" w:color="000000" w:sz="4" w:space="0"/>
              <w:right w:val="single" w:color="000000" w:sz="4" w:space="0"/>
            </w:tcBorders>
          </w:tcPr>
          <w:p w14:paraId="52947225">
            <w:pPr>
              <w:pStyle w:val="17"/>
              <w:spacing w:before="35"/>
              <w:ind w:right="546"/>
              <w:jc w:val="right"/>
              <w:rPr>
                <w:rFonts w:ascii="Times New Roman"/>
                <w:sz w:val="21"/>
              </w:rPr>
            </w:pPr>
            <w:r>
              <w:rPr>
                <w:rFonts w:ascii="Times New Roman"/>
                <w:sz w:val="21"/>
              </w:rPr>
              <w:t>2.16</w:t>
            </w:r>
          </w:p>
        </w:tc>
        <w:tc>
          <w:tcPr>
            <w:tcW w:w="1469" w:type="dxa"/>
            <w:tcBorders>
              <w:top w:val="single" w:color="000000" w:sz="4" w:space="0"/>
              <w:left w:val="single" w:color="000000" w:sz="4" w:space="0"/>
              <w:right w:val="single" w:color="000000" w:sz="4" w:space="0"/>
            </w:tcBorders>
          </w:tcPr>
          <w:p w14:paraId="404A7418">
            <w:pPr>
              <w:pStyle w:val="17"/>
              <w:spacing w:before="35"/>
              <w:ind w:left="511" w:right="484"/>
              <w:rPr>
                <w:rFonts w:ascii="Times New Roman"/>
                <w:sz w:val="21"/>
              </w:rPr>
            </w:pPr>
            <w:r>
              <w:rPr>
                <w:rFonts w:ascii="Times New Roman"/>
                <w:sz w:val="21"/>
              </w:rPr>
              <w:t>2.37</w:t>
            </w:r>
          </w:p>
        </w:tc>
        <w:tc>
          <w:tcPr>
            <w:tcW w:w="1675" w:type="dxa"/>
            <w:tcBorders>
              <w:top w:val="single" w:color="000000" w:sz="4" w:space="0"/>
              <w:left w:val="single" w:color="000000" w:sz="4" w:space="0"/>
              <w:right w:val="nil"/>
            </w:tcBorders>
          </w:tcPr>
          <w:p w14:paraId="6082E563">
            <w:pPr>
              <w:pStyle w:val="17"/>
              <w:spacing w:before="35"/>
              <w:ind w:left="661"/>
              <w:jc w:val="left"/>
              <w:rPr>
                <w:rFonts w:ascii="Times New Roman"/>
                <w:sz w:val="21"/>
              </w:rPr>
            </w:pPr>
            <w:r>
              <w:rPr>
                <w:rFonts w:ascii="Times New Roman"/>
                <w:sz w:val="21"/>
              </w:rPr>
              <w:t>2.42</w:t>
            </w:r>
          </w:p>
        </w:tc>
      </w:tr>
    </w:tbl>
    <w:p w14:paraId="4327E55C">
      <w:pPr>
        <w:pStyle w:val="10"/>
        <w:rPr>
          <w:b/>
          <w:sz w:val="8"/>
        </w:rPr>
      </w:pPr>
    </w:p>
    <w:p w14:paraId="7F7BF779">
      <w:pPr>
        <w:pStyle w:val="10"/>
        <w:ind w:left="240"/>
        <w:rPr>
          <w:sz w:val="20"/>
        </w:rPr>
      </w:pPr>
      <w:r>
        <w:rPr>
          <w:sz w:val="20"/>
        </w:rPr>
        <w:drawing>
          <wp:inline distT="0" distB="0" distL="0" distR="0">
            <wp:extent cx="5259705" cy="2231390"/>
            <wp:effectExtent l="0" t="0" r="0" b="0"/>
            <wp:docPr id="3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4.jpeg"/>
                    <pic:cNvPicPr>
                      <a:picLocks noChangeAspect="1"/>
                    </pic:cNvPicPr>
                  </pic:nvPicPr>
                  <pic:blipFill>
                    <a:blip r:embed="rId84" cstate="print"/>
                    <a:stretch>
                      <a:fillRect/>
                    </a:stretch>
                  </pic:blipFill>
                  <pic:spPr>
                    <a:xfrm>
                      <a:off x="0" y="0"/>
                      <a:ext cx="5259888" cy="2231421"/>
                    </a:xfrm>
                    <a:prstGeom prst="rect">
                      <a:avLst/>
                    </a:prstGeom>
                  </pic:spPr>
                </pic:pic>
              </a:graphicData>
            </a:graphic>
          </wp:inline>
        </w:drawing>
      </w:r>
    </w:p>
    <w:p w14:paraId="365295FE">
      <w:pPr>
        <w:pStyle w:val="10"/>
        <w:spacing w:before="7"/>
        <w:rPr>
          <w:b/>
          <w:sz w:val="5"/>
        </w:rPr>
      </w:pPr>
    </w:p>
    <w:p w14:paraId="421F450C">
      <w:pPr>
        <w:spacing w:after="0"/>
        <w:rPr>
          <w:sz w:val="5"/>
        </w:rPr>
        <w:sectPr>
          <w:pgSz w:w="11910" w:h="16840"/>
          <w:pgMar w:top="1420" w:right="1540" w:bottom="1220" w:left="1560" w:header="0" w:footer="1024" w:gutter="0"/>
          <w:cols w:space="720" w:num="1"/>
        </w:sectPr>
      </w:pPr>
    </w:p>
    <w:p w14:paraId="25146398">
      <w:pPr>
        <w:pStyle w:val="10"/>
        <w:spacing w:before="1"/>
        <w:rPr>
          <w:b/>
          <w:sz w:val="35"/>
        </w:rPr>
      </w:pPr>
    </w:p>
    <w:p w14:paraId="5BAA0E58">
      <w:pPr>
        <w:pStyle w:val="10"/>
        <w:ind w:left="720"/>
      </w:pPr>
      <w:r>
        <w:t>（</w:t>
      </w:r>
      <w:r>
        <w:rPr>
          <w:rFonts w:ascii="Times New Roman" w:eastAsia="Times New Roman"/>
        </w:rPr>
        <w:t>3</w:t>
      </w:r>
      <w:r>
        <w:t>）风向、风频</w:t>
      </w:r>
    </w:p>
    <w:p w14:paraId="2FCF0DF2">
      <w:pPr>
        <w:spacing w:before="76"/>
        <w:ind w:left="295" w:right="0" w:firstLine="0"/>
        <w:jc w:val="left"/>
        <w:rPr>
          <w:b/>
          <w:sz w:val="21"/>
        </w:rPr>
      </w:pPr>
      <w:r>
        <w:br w:type="column"/>
      </w:r>
      <w:r>
        <w:rPr>
          <w:b/>
          <w:sz w:val="21"/>
        </w:rPr>
        <w:t xml:space="preserve">图 </w:t>
      </w:r>
      <w:r>
        <w:rPr>
          <w:rFonts w:ascii="Times New Roman" w:eastAsia="Times New Roman"/>
          <w:b/>
          <w:sz w:val="21"/>
        </w:rPr>
        <w:t xml:space="preserve">4.1-4 </w:t>
      </w:r>
      <w:r>
        <w:rPr>
          <w:b/>
          <w:sz w:val="21"/>
        </w:rPr>
        <w:t>季小时平均风速的日变化</w:t>
      </w:r>
    </w:p>
    <w:p w14:paraId="3A01F9B1">
      <w:pPr>
        <w:spacing w:after="0"/>
        <w:jc w:val="left"/>
        <w:rPr>
          <w:sz w:val="21"/>
        </w:rPr>
        <w:sectPr>
          <w:type w:val="continuous"/>
          <w:pgSz w:w="11910" w:h="16840"/>
          <w:pgMar w:top="1600" w:right="1540" w:bottom="280" w:left="1560" w:header="720" w:footer="720" w:gutter="0"/>
          <w:cols w:equalWidth="0" w:num="2">
            <w:col w:w="2521" w:space="40"/>
            <w:col w:w="6249"/>
          </w:cols>
        </w:sectPr>
      </w:pPr>
    </w:p>
    <w:p w14:paraId="3653B680">
      <w:pPr>
        <w:pStyle w:val="10"/>
        <w:spacing w:before="160" w:line="364" w:lineRule="auto"/>
        <w:ind w:left="240" w:right="257" w:firstLine="480"/>
        <w:jc w:val="both"/>
      </w:pPr>
      <w:r>
        <w:t>本项目所在地地面风场主要有如下特征：</w:t>
      </w:r>
      <w:r>
        <w:rPr>
          <w:rFonts w:ascii="Times New Roman" w:eastAsia="Times New Roman"/>
        </w:rPr>
        <w:t xml:space="preserve">2023 </w:t>
      </w:r>
      <w:r>
        <w:rPr>
          <w:spacing w:val="-6"/>
        </w:rPr>
        <w:t xml:space="preserve">年最多风向频率为 </w:t>
      </w:r>
      <w:r>
        <w:rPr>
          <w:rFonts w:ascii="Times New Roman" w:eastAsia="Times New Roman"/>
        </w:rPr>
        <w:t xml:space="preserve">N </w:t>
      </w:r>
      <w:r>
        <w:t>风，所</w:t>
      </w:r>
      <w:r>
        <w:rPr>
          <w:spacing w:val="-10"/>
        </w:rPr>
        <w:t xml:space="preserve">占频率为 </w:t>
      </w:r>
      <w:r>
        <w:rPr>
          <w:rFonts w:ascii="Times New Roman" w:eastAsia="Times New Roman"/>
        </w:rPr>
        <w:t>18.11%</w:t>
      </w:r>
      <w:r>
        <w:rPr>
          <w:spacing w:val="-11"/>
        </w:rPr>
        <w:t xml:space="preserve">，其次为 </w:t>
      </w:r>
      <w:r>
        <w:rPr>
          <w:rFonts w:ascii="Times New Roman" w:eastAsia="Times New Roman"/>
        </w:rPr>
        <w:t>NNW</w:t>
      </w:r>
      <w:r>
        <w:rPr>
          <w:spacing w:val="-9"/>
        </w:rPr>
        <w:t xml:space="preserve">，风频均为 </w:t>
      </w:r>
      <w:r>
        <w:rPr>
          <w:rFonts w:ascii="Times New Roman" w:eastAsia="Times New Roman"/>
        </w:rPr>
        <w:t>11.42%</w:t>
      </w:r>
      <w:r>
        <w:t>，该地区主导风明显。</w:t>
      </w:r>
      <w:r>
        <w:rPr>
          <w:rFonts w:ascii="Times New Roman" w:eastAsia="Times New Roman"/>
        </w:rPr>
        <w:t xml:space="preserve">2023 </w:t>
      </w:r>
      <w:r>
        <w:rPr>
          <w:spacing w:val="-4"/>
        </w:rPr>
        <w:t>年气象统计资料全年风玫瑰图与累年的风玫瑰图基本吻合。各月风向频率统计结</w:t>
      </w:r>
      <w:r>
        <w:rPr>
          <w:spacing w:val="-19"/>
        </w:rPr>
        <w:t xml:space="preserve">果见表 </w:t>
      </w:r>
      <w:r>
        <w:rPr>
          <w:rFonts w:ascii="Times New Roman" w:eastAsia="Times New Roman"/>
        </w:rPr>
        <w:t>4.1-6</w:t>
      </w:r>
      <w:r>
        <w:rPr>
          <w:spacing w:val="-8"/>
        </w:rPr>
        <w:t xml:space="preserve">，风玫瑰图见图 </w:t>
      </w:r>
      <w:r>
        <w:rPr>
          <w:rFonts w:ascii="Times New Roman" w:eastAsia="Times New Roman"/>
        </w:rPr>
        <w:t>4.1-5</w:t>
      </w:r>
      <w:r>
        <w:t>。</w:t>
      </w:r>
    </w:p>
    <w:p w14:paraId="72B0DB4C">
      <w:pPr>
        <w:spacing w:after="0" w:line="364" w:lineRule="auto"/>
        <w:jc w:val="both"/>
        <w:sectPr>
          <w:type w:val="continuous"/>
          <w:pgSz w:w="11910" w:h="16840"/>
          <w:pgMar w:top="1600" w:right="1540" w:bottom="280" w:left="1560" w:header="720" w:footer="720" w:gutter="0"/>
          <w:cols w:space="720" w:num="1"/>
        </w:sectPr>
      </w:pPr>
    </w:p>
    <w:p w14:paraId="4FFEB70E">
      <w:pPr>
        <w:pStyle w:val="10"/>
        <w:rPr>
          <w:sz w:val="20"/>
        </w:rPr>
      </w:pPr>
    </w:p>
    <w:p w14:paraId="3EC48EA3">
      <w:pPr>
        <w:pStyle w:val="10"/>
        <w:spacing w:before="11"/>
        <w:rPr>
          <w:sz w:val="29"/>
        </w:rPr>
      </w:pPr>
    </w:p>
    <w:p w14:paraId="67856DC4">
      <w:pPr>
        <w:tabs>
          <w:tab w:val="left" w:pos="5198"/>
        </w:tabs>
        <w:spacing w:before="76" w:after="22"/>
        <w:ind w:left="4288" w:right="0" w:firstLine="0"/>
        <w:jc w:val="left"/>
        <w:rPr>
          <w:b/>
          <w:sz w:val="21"/>
        </w:rPr>
      </w:pPr>
      <w:r>
        <w:rPr>
          <w:b/>
          <w:sz w:val="21"/>
        </w:rPr>
        <w:t>表</w:t>
      </w:r>
      <w:r>
        <w:rPr>
          <w:b/>
          <w:spacing w:val="-55"/>
          <w:sz w:val="21"/>
        </w:rPr>
        <w:t xml:space="preserve"> </w:t>
      </w:r>
      <w:r>
        <w:rPr>
          <w:rFonts w:ascii="Times New Roman" w:eastAsia="Times New Roman"/>
          <w:b/>
          <w:sz w:val="21"/>
        </w:rPr>
        <w:t>4.1-6</w:t>
      </w:r>
      <w:r>
        <w:rPr>
          <w:rFonts w:ascii="Times New Roman" w:eastAsia="Times New Roman"/>
          <w:b/>
          <w:sz w:val="21"/>
        </w:rPr>
        <w:tab/>
      </w:r>
      <w:r>
        <w:rPr>
          <w:b/>
          <w:sz w:val="21"/>
        </w:rPr>
        <w:t>项目区域</w:t>
      </w:r>
      <w:r>
        <w:rPr>
          <w:b/>
          <w:spacing w:val="-55"/>
          <w:sz w:val="21"/>
        </w:rPr>
        <w:t xml:space="preserve"> </w:t>
      </w:r>
      <w:r>
        <w:rPr>
          <w:rFonts w:ascii="Times New Roman" w:eastAsia="Times New Roman"/>
          <w:b/>
          <w:sz w:val="21"/>
        </w:rPr>
        <w:t xml:space="preserve">2023 </w:t>
      </w:r>
      <w:r>
        <w:rPr>
          <w:b/>
          <w:sz w:val="21"/>
        </w:rPr>
        <w:t>年各月风向频率统计结果（单位：</w:t>
      </w:r>
      <w:r>
        <w:rPr>
          <w:rFonts w:ascii="Times New Roman" w:eastAsia="Times New Roman"/>
          <w:b/>
          <w:sz w:val="21"/>
        </w:rPr>
        <w:t>%</w:t>
      </w:r>
      <w:r>
        <w:rPr>
          <w:b/>
          <w:sz w:val="21"/>
        </w:rPr>
        <w:t>）</w:t>
      </w:r>
    </w:p>
    <w:tbl>
      <w:tblPr>
        <w:tblStyle w:val="13"/>
        <w:tblW w:w="0" w:type="auto"/>
        <w:tblInd w:w="1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5"/>
        <w:gridCol w:w="785"/>
        <w:gridCol w:w="787"/>
        <w:gridCol w:w="787"/>
        <w:gridCol w:w="787"/>
        <w:gridCol w:w="787"/>
        <w:gridCol w:w="787"/>
        <w:gridCol w:w="787"/>
        <w:gridCol w:w="787"/>
        <w:gridCol w:w="787"/>
        <w:gridCol w:w="787"/>
        <w:gridCol w:w="787"/>
        <w:gridCol w:w="787"/>
        <w:gridCol w:w="787"/>
        <w:gridCol w:w="787"/>
        <w:gridCol w:w="787"/>
        <w:gridCol w:w="787"/>
        <w:gridCol w:w="803"/>
      </w:tblGrid>
      <w:tr w14:paraId="5E710C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left w:val="nil"/>
              <w:bottom w:val="single" w:color="000000" w:sz="6" w:space="0"/>
              <w:right w:val="single" w:color="000000" w:sz="6" w:space="0"/>
            </w:tcBorders>
          </w:tcPr>
          <w:p w14:paraId="207A5E36">
            <w:pPr>
              <w:pStyle w:val="17"/>
              <w:spacing w:before="20"/>
              <w:ind w:left="33"/>
              <w:rPr>
                <w:sz w:val="21"/>
              </w:rPr>
            </w:pPr>
            <w:r>
              <w:rPr>
                <w:sz w:val="21"/>
              </w:rPr>
              <w:t>月份</w:t>
            </w:r>
          </w:p>
        </w:tc>
        <w:tc>
          <w:tcPr>
            <w:tcW w:w="785" w:type="dxa"/>
            <w:tcBorders>
              <w:left w:val="single" w:color="000000" w:sz="6" w:space="0"/>
              <w:bottom w:val="single" w:color="000000" w:sz="6" w:space="0"/>
              <w:right w:val="single" w:color="000000" w:sz="6" w:space="0"/>
            </w:tcBorders>
          </w:tcPr>
          <w:p w14:paraId="5123F40E">
            <w:pPr>
              <w:pStyle w:val="17"/>
              <w:spacing w:before="34"/>
              <w:ind w:left="27"/>
              <w:rPr>
                <w:rFonts w:ascii="Times New Roman"/>
                <w:sz w:val="21"/>
              </w:rPr>
            </w:pPr>
            <w:r>
              <w:rPr>
                <w:rFonts w:ascii="Times New Roman"/>
                <w:w w:val="99"/>
                <w:sz w:val="21"/>
              </w:rPr>
              <w:t>N</w:t>
            </w:r>
          </w:p>
        </w:tc>
        <w:tc>
          <w:tcPr>
            <w:tcW w:w="787" w:type="dxa"/>
            <w:tcBorders>
              <w:left w:val="single" w:color="000000" w:sz="6" w:space="0"/>
              <w:bottom w:val="single" w:color="000000" w:sz="6" w:space="0"/>
              <w:right w:val="single" w:color="000000" w:sz="6" w:space="0"/>
            </w:tcBorders>
          </w:tcPr>
          <w:p w14:paraId="76D93539">
            <w:pPr>
              <w:pStyle w:val="17"/>
              <w:spacing w:before="34"/>
              <w:ind w:left="183"/>
              <w:jc w:val="left"/>
              <w:rPr>
                <w:rFonts w:ascii="Times New Roman"/>
                <w:sz w:val="21"/>
              </w:rPr>
            </w:pPr>
            <w:r>
              <w:rPr>
                <w:rFonts w:ascii="Times New Roman"/>
                <w:sz w:val="21"/>
              </w:rPr>
              <w:t>NNE</w:t>
            </w:r>
          </w:p>
        </w:tc>
        <w:tc>
          <w:tcPr>
            <w:tcW w:w="787" w:type="dxa"/>
            <w:tcBorders>
              <w:left w:val="single" w:color="000000" w:sz="6" w:space="0"/>
              <w:bottom w:val="single" w:color="000000" w:sz="6" w:space="0"/>
              <w:right w:val="single" w:color="000000" w:sz="6" w:space="0"/>
            </w:tcBorders>
          </w:tcPr>
          <w:p w14:paraId="45E67590">
            <w:pPr>
              <w:pStyle w:val="17"/>
              <w:spacing w:before="34"/>
              <w:ind w:left="104" w:right="76"/>
              <w:rPr>
                <w:rFonts w:ascii="Times New Roman"/>
                <w:sz w:val="21"/>
              </w:rPr>
            </w:pPr>
            <w:r>
              <w:rPr>
                <w:rFonts w:ascii="Times New Roman"/>
                <w:sz w:val="21"/>
              </w:rPr>
              <w:t>NE</w:t>
            </w:r>
          </w:p>
        </w:tc>
        <w:tc>
          <w:tcPr>
            <w:tcW w:w="787" w:type="dxa"/>
            <w:tcBorders>
              <w:left w:val="single" w:color="000000" w:sz="6" w:space="0"/>
              <w:bottom w:val="single" w:color="000000" w:sz="6" w:space="0"/>
              <w:right w:val="single" w:color="000000" w:sz="6" w:space="0"/>
            </w:tcBorders>
          </w:tcPr>
          <w:p w14:paraId="50EA6654">
            <w:pPr>
              <w:pStyle w:val="17"/>
              <w:spacing w:before="34"/>
              <w:ind w:left="196"/>
              <w:jc w:val="left"/>
              <w:rPr>
                <w:rFonts w:ascii="Times New Roman"/>
                <w:sz w:val="21"/>
              </w:rPr>
            </w:pPr>
            <w:r>
              <w:rPr>
                <w:rFonts w:ascii="Times New Roman"/>
                <w:sz w:val="21"/>
              </w:rPr>
              <w:t>ENE</w:t>
            </w:r>
          </w:p>
        </w:tc>
        <w:tc>
          <w:tcPr>
            <w:tcW w:w="787" w:type="dxa"/>
            <w:tcBorders>
              <w:left w:val="single" w:color="000000" w:sz="6" w:space="0"/>
              <w:bottom w:val="single" w:color="000000" w:sz="6" w:space="0"/>
              <w:right w:val="single" w:color="000000" w:sz="6" w:space="0"/>
            </w:tcBorders>
          </w:tcPr>
          <w:p w14:paraId="2E699386">
            <w:pPr>
              <w:pStyle w:val="17"/>
              <w:spacing w:before="34"/>
              <w:ind w:left="26"/>
              <w:rPr>
                <w:rFonts w:ascii="Times New Roman"/>
                <w:sz w:val="21"/>
              </w:rPr>
            </w:pPr>
            <w:r>
              <w:rPr>
                <w:rFonts w:ascii="Times New Roman"/>
                <w:w w:val="99"/>
                <w:sz w:val="21"/>
              </w:rPr>
              <w:t>E</w:t>
            </w:r>
          </w:p>
        </w:tc>
        <w:tc>
          <w:tcPr>
            <w:tcW w:w="787" w:type="dxa"/>
            <w:tcBorders>
              <w:left w:val="single" w:color="000000" w:sz="6" w:space="0"/>
              <w:bottom w:val="single" w:color="000000" w:sz="6" w:space="0"/>
              <w:right w:val="single" w:color="000000" w:sz="6" w:space="0"/>
            </w:tcBorders>
          </w:tcPr>
          <w:p w14:paraId="09AEF0CC">
            <w:pPr>
              <w:pStyle w:val="17"/>
              <w:spacing w:before="34"/>
              <w:ind w:left="104" w:right="77"/>
              <w:rPr>
                <w:rFonts w:ascii="Times New Roman"/>
                <w:sz w:val="21"/>
              </w:rPr>
            </w:pPr>
            <w:r>
              <w:rPr>
                <w:rFonts w:ascii="Times New Roman"/>
                <w:sz w:val="21"/>
              </w:rPr>
              <w:t>ESE</w:t>
            </w:r>
          </w:p>
        </w:tc>
        <w:tc>
          <w:tcPr>
            <w:tcW w:w="787" w:type="dxa"/>
            <w:tcBorders>
              <w:left w:val="single" w:color="000000" w:sz="6" w:space="0"/>
              <w:bottom w:val="single" w:color="000000" w:sz="6" w:space="0"/>
              <w:right w:val="single" w:color="000000" w:sz="6" w:space="0"/>
            </w:tcBorders>
          </w:tcPr>
          <w:p w14:paraId="4897318D">
            <w:pPr>
              <w:pStyle w:val="17"/>
              <w:spacing w:before="34"/>
              <w:ind w:left="104" w:right="77"/>
              <w:rPr>
                <w:rFonts w:ascii="Times New Roman"/>
                <w:sz w:val="21"/>
              </w:rPr>
            </w:pPr>
            <w:r>
              <w:rPr>
                <w:rFonts w:ascii="Times New Roman"/>
                <w:sz w:val="21"/>
              </w:rPr>
              <w:t>SE</w:t>
            </w:r>
          </w:p>
        </w:tc>
        <w:tc>
          <w:tcPr>
            <w:tcW w:w="787" w:type="dxa"/>
            <w:tcBorders>
              <w:left w:val="single" w:color="000000" w:sz="6" w:space="0"/>
              <w:bottom w:val="single" w:color="000000" w:sz="6" w:space="0"/>
              <w:right w:val="single" w:color="000000" w:sz="6" w:space="0"/>
            </w:tcBorders>
          </w:tcPr>
          <w:p w14:paraId="28C7F68F">
            <w:pPr>
              <w:pStyle w:val="17"/>
              <w:spacing w:before="34"/>
              <w:ind w:left="104" w:right="79"/>
              <w:rPr>
                <w:rFonts w:ascii="Times New Roman"/>
                <w:sz w:val="21"/>
              </w:rPr>
            </w:pPr>
            <w:r>
              <w:rPr>
                <w:rFonts w:ascii="Times New Roman"/>
                <w:sz w:val="21"/>
              </w:rPr>
              <w:t>SSE</w:t>
            </w:r>
          </w:p>
        </w:tc>
        <w:tc>
          <w:tcPr>
            <w:tcW w:w="787" w:type="dxa"/>
            <w:tcBorders>
              <w:left w:val="single" w:color="000000" w:sz="6" w:space="0"/>
              <w:bottom w:val="single" w:color="000000" w:sz="6" w:space="0"/>
              <w:right w:val="single" w:color="000000" w:sz="6" w:space="0"/>
            </w:tcBorders>
          </w:tcPr>
          <w:p w14:paraId="4D561E18">
            <w:pPr>
              <w:pStyle w:val="17"/>
              <w:spacing w:before="34"/>
              <w:ind w:left="26"/>
              <w:rPr>
                <w:rFonts w:ascii="Times New Roman"/>
                <w:sz w:val="21"/>
              </w:rPr>
            </w:pPr>
            <w:r>
              <w:rPr>
                <w:rFonts w:ascii="Times New Roman"/>
                <w:w w:val="99"/>
                <w:sz w:val="21"/>
              </w:rPr>
              <w:t>S</w:t>
            </w:r>
          </w:p>
        </w:tc>
        <w:tc>
          <w:tcPr>
            <w:tcW w:w="787" w:type="dxa"/>
            <w:tcBorders>
              <w:left w:val="single" w:color="000000" w:sz="6" w:space="0"/>
              <w:bottom w:val="single" w:color="000000" w:sz="6" w:space="0"/>
              <w:right w:val="single" w:color="000000" w:sz="6" w:space="0"/>
            </w:tcBorders>
          </w:tcPr>
          <w:p w14:paraId="22150F4C">
            <w:pPr>
              <w:pStyle w:val="17"/>
              <w:spacing w:before="34"/>
              <w:ind w:left="182"/>
              <w:jc w:val="left"/>
              <w:rPr>
                <w:rFonts w:ascii="Times New Roman"/>
                <w:sz w:val="21"/>
              </w:rPr>
            </w:pPr>
            <w:r>
              <w:rPr>
                <w:rFonts w:ascii="Times New Roman"/>
                <w:sz w:val="21"/>
              </w:rPr>
              <w:t>SSW</w:t>
            </w:r>
          </w:p>
        </w:tc>
        <w:tc>
          <w:tcPr>
            <w:tcW w:w="787" w:type="dxa"/>
            <w:tcBorders>
              <w:left w:val="single" w:color="000000" w:sz="6" w:space="0"/>
              <w:bottom w:val="single" w:color="000000" w:sz="6" w:space="0"/>
              <w:right w:val="single" w:color="000000" w:sz="6" w:space="0"/>
            </w:tcBorders>
          </w:tcPr>
          <w:p w14:paraId="7BE28F34">
            <w:pPr>
              <w:pStyle w:val="17"/>
              <w:spacing w:before="34"/>
              <w:ind w:left="243"/>
              <w:jc w:val="left"/>
              <w:rPr>
                <w:rFonts w:ascii="Times New Roman"/>
                <w:sz w:val="21"/>
              </w:rPr>
            </w:pPr>
            <w:r>
              <w:rPr>
                <w:rFonts w:ascii="Times New Roman"/>
                <w:sz w:val="21"/>
              </w:rPr>
              <w:t>SW</w:t>
            </w:r>
          </w:p>
        </w:tc>
        <w:tc>
          <w:tcPr>
            <w:tcW w:w="787" w:type="dxa"/>
            <w:tcBorders>
              <w:left w:val="single" w:color="000000" w:sz="6" w:space="0"/>
              <w:bottom w:val="single" w:color="000000" w:sz="6" w:space="0"/>
              <w:right w:val="single" w:color="000000" w:sz="6" w:space="0"/>
            </w:tcBorders>
          </w:tcPr>
          <w:p w14:paraId="60B7D4FE">
            <w:pPr>
              <w:pStyle w:val="17"/>
              <w:spacing w:before="34"/>
              <w:ind w:left="104" w:right="77"/>
              <w:rPr>
                <w:rFonts w:ascii="Times New Roman"/>
                <w:sz w:val="21"/>
              </w:rPr>
            </w:pPr>
            <w:r>
              <w:rPr>
                <w:rFonts w:ascii="Times New Roman"/>
                <w:sz w:val="21"/>
              </w:rPr>
              <w:t>WSW</w:t>
            </w:r>
          </w:p>
        </w:tc>
        <w:tc>
          <w:tcPr>
            <w:tcW w:w="787" w:type="dxa"/>
            <w:tcBorders>
              <w:left w:val="single" w:color="000000" w:sz="6" w:space="0"/>
              <w:bottom w:val="single" w:color="000000" w:sz="6" w:space="0"/>
              <w:right w:val="single" w:color="000000" w:sz="6" w:space="0"/>
            </w:tcBorders>
          </w:tcPr>
          <w:p w14:paraId="30C8E2B6">
            <w:pPr>
              <w:pStyle w:val="17"/>
              <w:spacing w:before="34"/>
              <w:ind w:left="27"/>
              <w:rPr>
                <w:rFonts w:ascii="Times New Roman"/>
                <w:sz w:val="21"/>
              </w:rPr>
            </w:pPr>
            <w:r>
              <w:rPr>
                <w:rFonts w:ascii="Times New Roman"/>
                <w:w w:val="99"/>
                <w:sz w:val="21"/>
              </w:rPr>
              <w:t>W</w:t>
            </w:r>
          </w:p>
        </w:tc>
        <w:tc>
          <w:tcPr>
            <w:tcW w:w="787" w:type="dxa"/>
            <w:tcBorders>
              <w:left w:val="single" w:color="000000" w:sz="6" w:space="0"/>
              <w:bottom w:val="single" w:color="000000" w:sz="6" w:space="0"/>
              <w:right w:val="single" w:color="000000" w:sz="6" w:space="0"/>
            </w:tcBorders>
          </w:tcPr>
          <w:p w14:paraId="245F78A0">
            <w:pPr>
              <w:pStyle w:val="17"/>
              <w:spacing w:before="34"/>
              <w:ind w:left="104" w:right="79"/>
              <w:rPr>
                <w:rFonts w:ascii="Times New Roman"/>
                <w:sz w:val="21"/>
              </w:rPr>
            </w:pPr>
            <w:r>
              <w:rPr>
                <w:rFonts w:ascii="Times New Roman"/>
                <w:sz w:val="21"/>
              </w:rPr>
              <w:t>WNW</w:t>
            </w:r>
          </w:p>
        </w:tc>
        <w:tc>
          <w:tcPr>
            <w:tcW w:w="787" w:type="dxa"/>
            <w:tcBorders>
              <w:left w:val="single" w:color="000000" w:sz="6" w:space="0"/>
              <w:bottom w:val="single" w:color="000000" w:sz="6" w:space="0"/>
              <w:right w:val="single" w:color="000000" w:sz="6" w:space="0"/>
            </w:tcBorders>
          </w:tcPr>
          <w:p w14:paraId="6D57702C">
            <w:pPr>
              <w:pStyle w:val="17"/>
              <w:spacing w:before="34"/>
              <w:ind w:left="104" w:right="79"/>
              <w:rPr>
                <w:rFonts w:ascii="Times New Roman"/>
                <w:sz w:val="21"/>
              </w:rPr>
            </w:pPr>
            <w:r>
              <w:rPr>
                <w:rFonts w:ascii="Times New Roman"/>
                <w:sz w:val="21"/>
              </w:rPr>
              <w:t>NW</w:t>
            </w:r>
          </w:p>
        </w:tc>
        <w:tc>
          <w:tcPr>
            <w:tcW w:w="787" w:type="dxa"/>
            <w:tcBorders>
              <w:left w:val="single" w:color="000000" w:sz="6" w:space="0"/>
              <w:bottom w:val="single" w:color="000000" w:sz="6" w:space="0"/>
              <w:right w:val="single" w:color="000000" w:sz="6" w:space="0"/>
            </w:tcBorders>
          </w:tcPr>
          <w:p w14:paraId="0B3AB5D4">
            <w:pPr>
              <w:pStyle w:val="17"/>
              <w:spacing w:before="34"/>
              <w:ind w:right="122"/>
              <w:jc w:val="right"/>
              <w:rPr>
                <w:rFonts w:ascii="Times New Roman"/>
                <w:sz w:val="21"/>
              </w:rPr>
            </w:pPr>
            <w:r>
              <w:rPr>
                <w:rFonts w:ascii="Times New Roman"/>
                <w:w w:val="95"/>
                <w:sz w:val="21"/>
              </w:rPr>
              <w:t>NNW</w:t>
            </w:r>
          </w:p>
        </w:tc>
        <w:tc>
          <w:tcPr>
            <w:tcW w:w="803" w:type="dxa"/>
            <w:tcBorders>
              <w:left w:val="single" w:color="000000" w:sz="6" w:space="0"/>
              <w:bottom w:val="single" w:color="000000" w:sz="6" w:space="0"/>
              <w:right w:val="nil"/>
            </w:tcBorders>
          </w:tcPr>
          <w:p w14:paraId="5C08FD97">
            <w:pPr>
              <w:pStyle w:val="17"/>
              <w:spacing w:before="20"/>
              <w:ind w:left="198"/>
              <w:jc w:val="left"/>
              <w:rPr>
                <w:sz w:val="21"/>
              </w:rPr>
            </w:pPr>
            <w:r>
              <w:rPr>
                <w:sz w:val="21"/>
              </w:rPr>
              <w:t>静风</w:t>
            </w:r>
          </w:p>
        </w:tc>
      </w:tr>
      <w:tr w14:paraId="3F9C6B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0EC510E5">
            <w:pPr>
              <w:pStyle w:val="17"/>
              <w:spacing w:before="22"/>
              <w:ind w:left="33"/>
              <w:rPr>
                <w:sz w:val="21"/>
              </w:rPr>
            </w:pPr>
            <w:r>
              <w:rPr>
                <w:rFonts w:ascii="Times New Roman" w:eastAsia="Times New Roman"/>
                <w:sz w:val="21"/>
              </w:rPr>
              <w:t xml:space="preserve">1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629EB270">
            <w:pPr>
              <w:pStyle w:val="17"/>
              <w:spacing w:before="36"/>
              <w:ind w:left="141" w:right="113"/>
              <w:rPr>
                <w:rFonts w:ascii="Times New Roman"/>
                <w:sz w:val="21"/>
              </w:rPr>
            </w:pPr>
            <w:r>
              <w:rPr>
                <w:rFonts w:ascii="Times New Roman"/>
                <w:sz w:val="21"/>
              </w:rPr>
              <w:t>23.25</w:t>
            </w:r>
          </w:p>
        </w:tc>
        <w:tc>
          <w:tcPr>
            <w:tcW w:w="787" w:type="dxa"/>
            <w:tcBorders>
              <w:top w:val="single" w:color="000000" w:sz="6" w:space="0"/>
              <w:left w:val="single" w:color="000000" w:sz="6" w:space="0"/>
              <w:bottom w:val="single" w:color="000000" w:sz="6" w:space="0"/>
              <w:right w:val="single" w:color="000000" w:sz="6" w:space="0"/>
            </w:tcBorders>
          </w:tcPr>
          <w:p w14:paraId="25FF019D">
            <w:pPr>
              <w:pStyle w:val="17"/>
              <w:spacing w:before="36"/>
              <w:ind w:left="214"/>
              <w:jc w:val="left"/>
              <w:rPr>
                <w:rFonts w:ascii="Times New Roman"/>
                <w:sz w:val="21"/>
              </w:rPr>
            </w:pPr>
            <w:r>
              <w:rPr>
                <w:rFonts w:ascii="Times New Roman"/>
                <w:sz w:val="21"/>
              </w:rPr>
              <w:t>3.76</w:t>
            </w:r>
          </w:p>
        </w:tc>
        <w:tc>
          <w:tcPr>
            <w:tcW w:w="787" w:type="dxa"/>
            <w:tcBorders>
              <w:top w:val="single" w:color="000000" w:sz="6" w:space="0"/>
              <w:left w:val="single" w:color="000000" w:sz="6" w:space="0"/>
              <w:bottom w:val="single" w:color="000000" w:sz="6" w:space="0"/>
              <w:right w:val="single" w:color="000000" w:sz="6" w:space="0"/>
            </w:tcBorders>
          </w:tcPr>
          <w:p w14:paraId="45172DB1">
            <w:pPr>
              <w:pStyle w:val="17"/>
              <w:spacing w:before="36"/>
              <w:ind w:left="104" w:right="78"/>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5FC3783F">
            <w:pPr>
              <w:pStyle w:val="17"/>
              <w:spacing w:before="36"/>
              <w:ind w:left="215"/>
              <w:jc w:val="left"/>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26B15233">
            <w:pPr>
              <w:pStyle w:val="17"/>
              <w:spacing w:before="36"/>
              <w:ind w:left="104" w:right="77"/>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7D5F105E">
            <w:pPr>
              <w:pStyle w:val="17"/>
              <w:spacing w:before="36"/>
              <w:ind w:left="104" w:right="77"/>
              <w:rPr>
                <w:rFonts w:ascii="Times New Roman"/>
                <w:sz w:val="21"/>
              </w:rPr>
            </w:pPr>
            <w:r>
              <w:rPr>
                <w:rFonts w:ascii="Times New Roman"/>
                <w:sz w:val="21"/>
              </w:rPr>
              <w:t>10.75</w:t>
            </w:r>
          </w:p>
        </w:tc>
        <w:tc>
          <w:tcPr>
            <w:tcW w:w="787" w:type="dxa"/>
            <w:tcBorders>
              <w:top w:val="single" w:color="000000" w:sz="6" w:space="0"/>
              <w:left w:val="single" w:color="000000" w:sz="6" w:space="0"/>
              <w:bottom w:val="single" w:color="000000" w:sz="6" w:space="0"/>
              <w:right w:val="single" w:color="000000" w:sz="6" w:space="0"/>
            </w:tcBorders>
          </w:tcPr>
          <w:p w14:paraId="6E9490DB">
            <w:pPr>
              <w:pStyle w:val="17"/>
              <w:spacing w:before="36"/>
              <w:ind w:left="104" w:right="76"/>
              <w:rPr>
                <w:rFonts w:ascii="Times New Roman"/>
                <w:sz w:val="21"/>
              </w:rPr>
            </w:pPr>
            <w:r>
              <w:rPr>
                <w:rFonts w:ascii="Times New Roman"/>
                <w:sz w:val="21"/>
              </w:rPr>
              <w:t>10.08</w:t>
            </w:r>
          </w:p>
        </w:tc>
        <w:tc>
          <w:tcPr>
            <w:tcW w:w="787" w:type="dxa"/>
            <w:tcBorders>
              <w:top w:val="single" w:color="000000" w:sz="6" w:space="0"/>
              <w:left w:val="single" w:color="000000" w:sz="6" w:space="0"/>
              <w:bottom w:val="single" w:color="000000" w:sz="6" w:space="0"/>
              <w:right w:val="single" w:color="000000" w:sz="6" w:space="0"/>
            </w:tcBorders>
          </w:tcPr>
          <w:p w14:paraId="0B4819BF">
            <w:pPr>
              <w:pStyle w:val="17"/>
              <w:spacing w:before="36"/>
              <w:ind w:left="104" w:right="76"/>
              <w:rPr>
                <w:rFonts w:ascii="Times New Roman"/>
                <w:sz w:val="21"/>
              </w:rPr>
            </w:pPr>
            <w:r>
              <w:rPr>
                <w:rFonts w:ascii="Times New Roman"/>
                <w:sz w:val="21"/>
              </w:rPr>
              <w:t>4.97</w:t>
            </w:r>
          </w:p>
        </w:tc>
        <w:tc>
          <w:tcPr>
            <w:tcW w:w="787" w:type="dxa"/>
            <w:tcBorders>
              <w:top w:val="single" w:color="000000" w:sz="6" w:space="0"/>
              <w:left w:val="single" w:color="000000" w:sz="6" w:space="0"/>
              <w:bottom w:val="single" w:color="000000" w:sz="6" w:space="0"/>
              <w:right w:val="single" w:color="000000" w:sz="6" w:space="0"/>
            </w:tcBorders>
          </w:tcPr>
          <w:p w14:paraId="216B1863">
            <w:pPr>
              <w:pStyle w:val="17"/>
              <w:spacing w:before="36"/>
              <w:ind w:left="104" w:right="75"/>
              <w:rPr>
                <w:rFonts w:ascii="Times New Roman"/>
                <w:sz w:val="21"/>
              </w:rPr>
            </w:pPr>
            <w:r>
              <w:rPr>
                <w:rFonts w:ascii="Times New Roman"/>
                <w:sz w:val="21"/>
              </w:rPr>
              <w:t>2.55</w:t>
            </w:r>
          </w:p>
        </w:tc>
        <w:tc>
          <w:tcPr>
            <w:tcW w:w="787" w:type="dxa"/>
            <w:tcBorders>
              <w:top w:val="single" w:color="000000" w:sz="6" w:space="0"/>
              <w:left w:val="single" w:color="000000" w:sz="6" w:space="0"/>
              <w:bottom w:val="single" w:color="000000" w:sz="6" w:space="0"/>
              <w:right w:val="single" w:color="000000" w:sz="6" w:space="0"/>
            </w:tcBorders>
          </w:tcPr>
          <w:p w14:paraId="2AA659FC">
            <w:pPr>
              <w:pStyle w:val="17"/>
              <w:spacing w:before="36"/>
              <w:ind w:left="216"/>
              <w:jc w:val="left"/>
              <w:rPr>
                <w:rFonts w:ascii="Times New Roman"/>
                <w:sz w:val="21"/>
              </w:rPr>
            </w:pPr>
            <w:r>
              <w:rPr>
                <w:rFonts w:ascii="Times New Roman"/>
                <w:sz w:val="21"/>
              </w:rPr>
              <w:t>0.67</w:t>
            </w:r>
          </w:p>
        </w:tc>
        <w:tc>
          <w:tcPr>
            <w:tcW w:w="787" w:type="dxa"/>
            <w:tcBorders>
              <w:top w:val="single" w:color="000000" w:sz="6" w:space="0"/>
              <w:left w:val="single" w:color="000000" w:sz="6" w:space="0"/>
              <w:bottom w:val="single" w:color="000000" w:sz="6" w:space="0"/>
              <w:right w:val="single" w:color="000000" w:sz="6" w:space="0"/>
            </w:tcBorders>
          </w:tcPr>
          <w:p w14:paraId="6E5240A0">
            <w:pPr>
              <w:pStyle w:val="17"/>
              <w:spacing w:before="36"/>
              <w:ind w:left="216"/>
              <w:jc w:val="left"/>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74D9185F">
            <w:pPr>
              <w:pStyle w:val="17"/>
              <w:spacing w:before="36"/>
              <w:ind w:left="104" w:right="77"/>
              <w:rPr>
                <w:rFonts w:ascii="Times New Roman"/>
                <w:sz w:val="21"/>
              </w:rPr>
            </w:pPr>
            <w:r>
              <w:rPr>
                <w:rFonts w:ascii="Times New Roman"/>
                <w:sz w:val="21"/>
              </w:rPr>
              <w:t>2.82</w:t>
            </w:r>
          </w:p>
        </w:tc>
        <w:tc>
          <w:tcPr>
            <w:tcW w:w="787" w:type="dxa"/>
            <w:tcBorders>
              <w:top w:val="single" w:color="000000" w:sz="6" w:space="0"/>
              <w:left w:val="single" w:color="000000" w:sz="6" w:space="0"/>
              <w:bottom w:val="single" w:color="000000" w:sz="6" w:space="0"/>
              <w:right w:val="single" w:color="000000" w:sz="6" w:space="0"/>
            </w:tcBorders>
          </w:tcPr>
          <w:p w14:paraId="596D48B9">
            <w:pPr>
              <w:pStyle w:val="17"/>
              <w:spacing w:before="36"/>
              <w:ind w:left="104" w:right="79"/>
              <w:rPr>
                <w:rFonts w:ascii="Times New Roman"/>
                <w:sz w:val="21"/>
              </w:rPr>
            </w:pPr>
            <w:r>
              <w:rPr>
                <w:rFonts w:ascii="Times New Roman"/>
                <w:sz w:val="21"/>
              </w:rPr>
              <w:t>6.45</w:t>
            </w:r>
          </w:p>
        </w:tc>
        <w:tc>
          <w:tcPr>
            <w:tcW w:w="787" w:type="dxa"/>
            <w:tcBorders>
              <w:top w:val="single" w:color="000000" w:sz="6" w:space="0"/>
              <w:left w:val="single" w:color="000000" w:sz="6" w:space="0"/>
              <w:bottom w:val="single" w:color="000000" w:sz="6" w:space="0"/>
              <w:right w:val="single" w:color="000000" w:sz="6" w:space="0"/>
            </w:tcBorders>
          </w:tcPr>
          <w:p w14:paraId="3A8187E1">
            <w:pPr>
              <w:pStyle w:val="17"/>
              <w:spacing w:before="36"/>
              <w:ind w:left="104" w:right="78"/>
              <w:rPr>
                <w:rFonts w:ascii="Times New Roman"/>
                <w:sz w:val="21"/>
              </w:rPr>
            </w:pPr>
            <w:r>
              <w:rPr>
                <w:rFonts w:ascii="Times New Roman"/>
                <w:sz w:val="21"/>
              </w:rPr>
              <w:t>5.24</w:t>
            </w:r>
          </w:p>
        </w:tc>
        <w:tc>
          <w:tcPr>
            <w:tcW w:w="787" w:type="dxa"/>
            <w:tcBorders>
              <w:top w:val="single" w:color="000000" w:sz="6" w:space="0"/>
              <w:left w:val="single" w:color="000000" w:sz="6" w:space="0"/>
              <w:bottom w:val="single" w:color="000000" w:sz="6" w:space="0"/>
              <w:right w:val="single" w:color="000000" w:sz="6" w:space="0"/>
            </w:tcBorders>
          </w:tcPr>
          <w:p w14:paraId="25D08DAA">
            <w:pPr>
              <w:pStyle w:val="17"/>
              <w:spacing w:before="36"/>
              <w:ind w:left="104" w:right="78"/>
              <w:rPr>
                <w:rFonts w:ascii="Times New Roman"/>
                <w:sz w:val="21"/>
              </w:rPr>
            </w:pPr>
            <w:r>
              <w:rPr>
                <w:rFonts w:ascii="Times New Roman"/>
                <w:sz w:val="21"/>
              </w:rPr>
              <w:t>9.14</w:t>
            </w:r>
          </w:p>
        </w:tc>
        <w:tc>
          <w:tcPr>
            <w:tcW w:w="787" w:type="dxa"/>
            <w:tcBorders>
              <w:top w:val="single" w:color="000000" w:sz="6" w:space="0"/>
              <w:left w:val="single" w:color="000000" w:sz="6" w:space="0"/>
              <w:bottom w:val="single" w:color="000000" w:sz="6" w:space="0"/>
              <w:right w:val="single" w:color="000000" w:sz="6" w:space="0"/>
            </w:tcBorders>
          </w:tcPr>
          <w:p w14:paraId="4F5B1468">
            <w:pPr>
              <w:pStyle w:val="17"/>
              <w:spacing w:before="36"/>
              <w:ind w:right="186"/>
              <w:jc w:val="right"/>
              <w:rPr>
                <w:rFonts w:ascii="Times New Roman"/>
                <w:sz w:val="21"/>
              </w:rPr>
            </w:pPr>
            <w:r>
              <w:rPr>
                <w:rFonts w:ascii="Times New Roman"/>
                <w:sz w:val="21"/>
              </w:rPr>
              <w:t>9.81</w:t>
            </w:r>
          </w:p>
        </w:tc>
        <w:tc>
          <w:tcPr>
            <w:tcW w:w="803" w:type="dxa"/>
            <w:tcBorders>
              <w:top w:val="single" w:color="000000" w:sz="6" w:space="0"/>
              <w:left w:val="single" w:color="000000" w:sz="6" w:space="0"/>
              <w:bottom w:val="single" w:color="000000" w:sz="6" w:space="0"/>
              <w:right w:val="nil"/>
            </w:tcBorders>
          </w:tcPr>
          <w:p w14:paraId="5F9D6E21">
            <w:pPr>
              <w:pStyle w:val="17"/>
              <w:spacing w:before="36"/>
              <w:ind w:left="222"/>
              <w:jc w:val="left"/>
              <w:rPr>
                <w:rFonts w:ascii="Times New Roman"/>
                <w:sz w:val="21"/>
              </w:rPr>
            </w:pPr>
            <w:r>
              <w:rPr>
                <w:rFonts w:ascii="Times New Roman"/>
                <w:sz w:val="21"/>
              </w:rPr>
              <w:t>0.13</w:t>
            </w:r>
          </w:p>
        </w:tc>
      </w:tr>
      <w:tr w14:paraId="6D8DCB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4F84E82E">
            <w:pPr>
              <w:pStyle w:val="17"/>
              <w:spacing w:before="21"/>
              <w:ind w:left="33"/>
              <w:rPr>
                <w:sz w:val="21"/>
              </w:rPr>
            </w:pPr>
            <w:r>
              <w:rPr>
                <w:rFonts w:ascii="Times New Roman" w:eastAsia="Times New Roman"/>
                <w:sz w:val="21"/>
              </w:rPr>
              <w:t xml:space="preserve">2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49EA0AF7">
            <w:pPr>
              <w:pStyle w:val="17"/>
              <w:spacing w:before="35"/>
              <w:ind w:left="141" w:right="113"/>
              <w:rPr>
                <w:rFonts w:ascii="Times New Roman"/>
                <w:sz w:val="21"/>
              </w:rPr>
            </w:pPr>
            <w:r>
              <w:rPr>
                <w:rFonts w:ascii="Times New Roman"/>
                <w:sz w:val="21"/>
              </w:rPr>
              <w:t>21.28</w:t>
            </w:r>
          </w:p>
        </w:tc>
        <w:tc>
          <w:tcPr>
            <w:tcW w:w="787" w:type="dxa"/>
            <w:tcBorders>
              <w:top w:val="single" w:color="000000" w:sz="6" w:space="0"/>
              <w:left w:val="single" w:color="000000" w:sz="6" w:space="0"/>
              <w:bottom w:val="single" w:color="000000" w:sz="6" w:space="0"/>
              <w:right w:val="single" w:color="000000" w:sz="6" w:space="0"/>
            </w:tcBorders>
          </w:tcPr>
          <w:p w14:paraId="3E2C9914">
            <w:pPr>
              <w:pStyle w:val="17"/>
              <w:spacing w:before="35"/>
              <w:ind w:left="214"/>
              <w:jc w:val="left"/>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4996E878">
            <w:pPr>
              <w:pStyle w:val="17"/>
              <w:spacing w:before="35"/>
              <w:ind w:left="104" w:right="78"/>
              <w:rPr>
                <w:rFonts w:ascii="Times New Roman"/>
                <w:sz w:val="21"/>
              </w:rPr>
            </w:pPr>
            <w:r>
              <w:rPr>
                <w:rFonts w:ascii="Times New Roman"/>
                <w:sz w:val="21"/>
              </w:rPr>
              <w:t>2.68</w:t>
            </w:r>
          </w:p>
        </w:tc>
        <w:tc>
          <w:tcPr>
            <w:tcW w:w="787" w:type="dxa"/>
            <w:tcBorders>
              <w:top w:val="single" w:color="000000" w:sz="6" w:space="0"/>
              <w:left w:val="single" w:color="000000" w:sz="6" w:space="0"/>
              <w:bottom w:val="single" w:color="000000" w:sz="6" w:space="0"/>
              <w:right w:val="single" w:color="000000" w:sz="6" w:space="0"/>
            </w:tcBorders>
          </w:tcPr>
          <w:p w14:paraId="77B62B08">
            <w:pPr>
              <w:pStyle w:val="17"/>
              <w:spacing w:before="35"/>
              <w:ind w:left="215"/>
              <w:jc w:val="left"/>
              <w:rPr>
                <w:rFonts w:ascii="Times New Roman"/>
                <w:sz w:val="21"/>
              </w:rPr>
            </w:pPr>
            <w:r>
              <w:rPr>
                <w:rFonts w:ascii="Times New Roman"/>
                <w:sz w:val="21"/>
              </w:rPr>
              <w:t>2.23</w:t>
            </w:r>
          </w:p>
        </w:tc>
        <w:tc>
          <w:tcPr>
            <w:tcW w:w="787" w:type="dxa"/>
            <w:tcBorders>
              <w:top w:val="single" w:color="000000" w:sz="6" w:space="0"/>
              <w:left w:val="single" w:color="000000" w:sz="6" w:space="0"/>
              <w:bottom w:val="single" w:color="000000" w:sz="6" w:space="0"/>
              <w:right w:val="single" w:color="000000" w:sz="6" w:space="0"/>
            </w:tcBorders>
          </w:tcPr>
          <w:p w14:paraId="1B866F4E">
            <w:pPr>
              <w:pStyle w:val="17"/>
              <w:spacing w:before="35"/>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6B2D35DE">
            <w:pPr>
              <w:pStyle w:val="17"/>
              <w:spacing w:before="35"/>
              <w:ind w:left="104" w:right="77"/>
              <w:rPr>
                <w:rFonts w:ascii="Times New Roman"/>
                <w:sz w:val="21"/>
              </w:rPr>
            </w:pPr>
            <w:r>
              <w:rPr>
                <w:rFonts w:ascii="Times New Roman"/>
                <w:sz w:val="21"/>
              </w:rPr>
              <w:t>3.13</w:t>
            </w:r>
          </w:p>
        </w:tc>
        <w:tc>
          <w:tcPr>
            <w:tcW w:w="787" w:type="dxa"/>
            <w:tcBorders>
              <w:top w:val="single" w:color="000000" w:sz="6" w:space="0"/>
              <w:left w:val="single" w:color="000000" w:sz="6" w:space="0"/>
              <w:bottom w:val="single" w:color="000000" w:sz="6" w:space="0"/>
              <w:right w:val="single" w:color="000000" w:sz="6" w:space="0"/>
            </w:tcBorders>
          </w:tcPr>
          <w:p w14:paraId="73997A18">
            <w:pPr>
              <w:pStyle w:val="17"/>
              <w:spacing w:before="35"/>
              <w:ind w:left="104" w:right="76"/>
              <w:rPr>
                <w:rFonts w:ascii="Times New Roman"/>
                <w:sz w:val="21"/>
              </w:rPr>
            </w:pPr>
            <w:r>
              <w:rPr>
                <w:rFonts w:ascii="Times New Roman"/>
                <w:sz w:val="21"/>
              </w:rPr>
              <w:t>2.38</w:t>
            </w:r>
          </w:p>
        </w:tc>
        <w:tc>
          <w:tcPr>
            <w:tcW w:w="787" w:type="dxa"/>
            <w:tcBorders>
              <w:top w:val="single" w:color="000000" w:sz="6" w:space="0"/>
              <w:left w:val="single" w:color="000000" w:sz="6" w:space="0"/>
              <w:bottom w:val="single" w:color="000000" w:sz="6" w:space="0"/>
              <w:right w:val="single" w:color="000000" w:sz="6" w:space="0"/>
            </w:tcBorders>
          </w:tcPr>
          <w:p w14:paraId="62C7A147">
            <w:pPr>
              <w:pStyle w:val="17"/>
              <w:spacing w:before="35"/>
              <w:ind w:left="104" w:right="76"/>
              <w:rPr>
                <w:rFonts w:ascii="Times New Roman"/>
                <w:sz w:val="21"/>
              </w:rPr>
            </w:pPr>
            <w:r>
              <w:rPr>
                <w:rFonts w:ascii="Times New Roman"/>
                <w:sz w:val="21"/>
              </w:rPr>
              <w:t>2.83</w:t>
            </w:r>
          </w:p>
        </w:tc>
        <w:tc>
          <w:tcPr>
            <w:tcW w:w="787" w:type="dxa"/>
            <w:tcBorders>
              <w:top w:val="single" w:color="000000" w:sz="6" w:space="0"/>
              <w:left w:val="single" w:color="000000" w:sz="6" w:space="0"/>
              <w:bottom w:val="single" w:color="000000" w:sz="6" w:space="0"/>
              <w:right w:val="single" w:color="000000" w:sz="6" w:space="0"/>
            </w:tcBorders>
          </w:tcPr>
          <w:p w14:paraId="0B63CA5C">
            <w:pPr>
              <w:pStyle w:val="17"/>
              <w:spacing w:before="35"/>
              <w:ind w:left="104" w:right="75"/>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6C6702CE">
            <w:pPr>
              <w:pStyle w:val="17"/>
              <w:spacing w:before="35"/>
              <w:ind w:left="216"/>
              <w:jc w:val="left"/>
              <w:rPr>
                <w:rFonts w:ascii="Times New Roman"/>
                <w:sz w:val="21"/>
              </w:rPr>
            </w:pPr>
            <w:r>
              <w:rPr>
                <w:rFonts w:ascii="Times New Roman"/>
                <w:sz w:val="21"/>
              </w:rPr>
              <w:t>1.49</w:t>
            </w:r>
          </w:p>
        </w:tc>
        <w:tc>
          <w:tcPr>
            <w:tcW w:w="787" w:type="dxa"/>
            <w:tcBorders>
              <w:top w:val="single" w:color="000000" w:sz="6" w:space="0"/>
              <w:left w:val="single" w:color="000000" w:sz="6" w:space="0"/>
              <w:bottom w:val="single" w:color="000000" w:sz="6" w:space="0"/>
              <w:right w:val="single" w:color="000000" w:sz="6" w:space="0"/>
            </w:tcBorders>
          </w:tcPr>
          <w:p w14:paraId="6B64EEFE">
            <w:pPr>
              <w:pStyle w:val="17"/>
              <w:spacing w:before="35"/>
              <w:ind w:left="216"/>
              <w:jc w:val="left"/>
              <w:rPr>
                <w:rFonts w:ascii="Times New Roman"/>
                <w:sz w:val="21"/>
              </w:rPr>
            </w:pPr>
            <w:r>
              <w:rPr>
                <w:rFonts w:ascii="Times New Roman"/>
                <w:sz w:val="21"/>
              </w:rPr>
              <w:t>0.89</w:t>
            </w:r>
          </w:p>
        </w:tc>
        <w:tc>
          <w:tcPr>
            <w:tcW w:w="787" w:type="dxa"/>
            <w:tcBorders>
              <w:top w:val="single" w:color="000000" w:sz="6" w:space="0"/>
              <w:left w:val="single" w:color="000000" w:sz="6" w:space="0"/>
              <w:bottom w:val="single" w:color="000000" w:sz="6" w:space="0"/>
              <w:right w:val="single" w:color="000000" w:sz="6" w:space="0"/>
            </w:tcBorders>
          </w:tcPr>
          <w:p w14:paraId="26EDEE23">
            <w:pPr>
              <w:pStyle w:val="17"/>
              <w:spacing w:before="35"/>
              <w:ind w:left="104" w:right="77"/>
              <w:rPr>
                <w:rFonts w:ascii="Times New Roman"/>
                <w:sz w:val="21"/>
              </w:rPr>
            </w:pPr>
            <w:r>
              <w:rPr>
                <w:rFonts w:ascii="Times New Roman"/>
                <w:sz w:val="21"/>
              </w:rPr>
              <w:t>3.87</w:t>
            </w:r>
          </w:p>
        </w:tc>
        <w:tc>
          <w:tcPr>
            <w:tcW w:w="787" w:type="dxa"/>
            <w:tcBorders>
              <w:top w:val="single" w:color="000000" w:sz="6" w:space="0"/>
              <w:left w:val="single" w:color="000000" w:sz="6" w:space="0"/>
              <w:bottom w:val="single" w:color="000000" w:sz="6" w:space="0"/>
              <w:right w:val="single" w:color="000000" w:sz="6" w:space="0"/>
            </w:tcBorders>
          </w:tcPr>
          <w:p w14:paraId="2C6A2045">
            <w:pPr>
              <w:pStyle w:val="17"/>
              <w:spacing w:before="35"/>
              <w:ind w:left="104" w:right="79"/>
              <w:rPr>
                <w:rFonts w:ascii="Times New Roman"/>
                <w:sz w:val="21"/>
              </w:rPr>
            </w:pPr>
            <w:r>
              <w:rPr>
                <w:rFonts w:ascii="Times New Roman"/>
                <w:sz w:val="21"/>
              </w:rPr>
              <w:t>7.14</w:t>
            </w:r>
          </w:p>
        </w:tc>
        <w:tc>
          <w:tcPr>
            <w:tcW w:w="787" w:type="dxa"/>
            <w:tcBorders>
              <w:top w:val="single" w:color="000000" w:sz="6" w:space="0"/>
              <w:left w:val="single" w:color="000000" w:sz="6" w:space="0"/>
              <w:bottom w:val="single" w:color="000000" w:sz="6" w:space="0"/>
              <w:right w:val="single" w:color="000000" w:sz="6" w:space="0"/>
            </w:tcBorders>
          </w:tcPr>
          <w:p w14:paraId="020CF491">
            <w:pPr>
              <w:pStyle w:val="17"/>
              <w:spacing w:before="35"/>
              <w:ind w:left="104" w:right="78"/>
              <w:rPr>
                <w:rFonts w:ascii="Times New Roman"/>
                <w:sz w:val="21"/>
              </w:rPr>
            </w:pPr>
            <w:r>
              <w:rPr>
                <w:rFonts w:ascii="Times New Roman"/>
                <w:sz w:val="21"/>
              </w:rPr>
              <w:t>6.25</w:t>
            </w:r>
          </w:p>
        </w:tc>
        <w:tc>
          <w:tcPr>
            <w:tcW w:w="787" w:type="dxa"/>
            <w:tcBorders>
              <w:top w:val="single" w:color="000000" w:sz="6" w:space="0"/>
              <w:left w:val="single" w:color="000000" w:sz="6" w:space="0"/>
              <w:bottom w:val="single" w:color="000000" w:sz="6" w:space="0"/>
              <w:right w:val="single" w:color="000000" w:sz="6" w:space="0"/>
            </w:tcBorders>
          </w:tcPr>
          <w:p w14:paraId="7828F5D7">
            <w:pPr>
              <w:pStyle w:val="17"/>
              <w:spacing w:before="35"/>
              <w:ind w:left="104" w:right="75"/>
              <w:rPr>
                <w:rFonts w:ascii="Times New Roman"/>
                <w:sz w:val="21"/>
              </w:rPr>
            </w:pPr>
            <w:r>
              <w:rPr>
                <w:rFonts w:ascii="Times New Roman"/>
                <w:sz w:val="21"/>
              </w:rPr>
              <w:t>15.77</w:t>
            </w:r>
          </w:p>
        </w:tc>
        <w:tc>
          <w:tcPr>
            <w:tcW w:w="787" w:type="dxa"/>
            <w:tcBorders>
              <w:top w:val="single" w:color="000000" w:sz="6" w:space="0"/>
              <w:left w:val="single" w:color="000000" w:sz="6" w:space="0"/>
              <w:bottom w:val="single" w:color="000000" w:sz="6" w:space="0"/>
              <w:right w:val="single" w:color="000000" w:sz="6" w:space="0"/>
            </w:tcBorders>
          </w:tcPr>
          <w:p w14:paraId="3D863E00">
            <w:pPr>
              <w:pStyle w:val="17"/>
              <w:spacing w:before="35"/>
              <w:ind w:right="133"/>
              <w:jc w:val="right"/>
              <w:rPr>
                <w:rFonts w:ascii="Times New Roman"/>
                <w:sz w:val="21"/>
              </w:rPr>
            </w:pPr>
            <w:r>
              <w:rPr>
                <w:rFonts w:ascii="Times New Roman"/>
                <w:w w:val="95"/>
                <w:sz w:val="21"/>
              </w:rPr>
              <w:t>20.39</w:t>
            </w:r>
          </w:p>
        </w:tc>
        <w:tc>
          <w:tcPr>
            <w:tcW w:w="803" w:type="dxa"/>
            <w:tcBorders>
              <w:top w:val="single" w:color="000000" w:sz="6" w:space="0"/>
              <w:left w:val="single" w:color="000000" w:sz="6" w:space="0"/>
              <w:bottom w:val="single" w:color="000000" w:sz="6" w:space="0"/>
              <w:right w:val="nil"/>
            </w:tcBorders>
          </w:tcPr>
          <w:p w14:paraId="34484880">
            <w:pPr>
              <w:pStyle w:val="17"/>
              <w:spacing w:before="35"/>
              <w:ind w:left="222"/>
              <w:jc w:val="left"/>
              <w:rPr>
                <w:rFonts w:ascii="Times New Roman"/>
                <w:sz w:val="21"/>
              </w:rPr>
            </w:pPr>
            <w:r>
              <w:rPr>
                <w:rFonts w:ascii="Times New Roman"/>
                <w:sz w:val="21"/>
              </w:rPr>
              <w:t>0.00</w:t>
            </w:r>
          </w:p>
        </w:tc>
      </w:tr>
      <w:tr w14:paraId="7B6B11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475FF55A">
            <w:pPr>
              <w:pStyle w:val="17"/>
              <w:spacing w:before="21"/>
              <w:ind w:left="33"/>
              <w:rPr>
                <w:sz w:val="21"/>
              </w:rPr>
            </w:pPr>
            <w:r>
              <w:rPr>
                <w:rFonts w:ascii="Times New Roman" w:eastAsia="Times New Roman"/>
                <w:sz w:val="21"/>
              </w:rPr>
              <w:t xml:space="preserve">3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7C4F9A25">
            <w:pPr>
              <w:pStyle w:val="17"/>
              <w:spacing w:before="35"/>
              <w:ind w:left="141" w:right="113"/>
              <w:rPr>
                <w:rFonts w:ascii="Times New Roman"/>
                <w:sz w:val="21"/>
              </w:rPr>
            </w:pPr>
            <w:r>
              <w:rPr>
                <w:rFonts w:ascii="Times New Roman"/>
                <w:sz w:val="21"/>
              </w:rPr>
              <w:t>17.61</w:t>
            </w:r>
          </w:p>
        </w:tc>
        <w:tc>
          <w:tcPr>
            <w:tcW w:w="787" w:type="dxa"/>
            <w:tcBorders>
              <w:top w:val="single" w:color="000000" w:sz="6" w:space="0"/>
              <w:left w:val="single" w:color="000000" w:sz="6" w:space="0"/>
              <w:bottom w:val="single" w:color="000000" w:sz="6" w:space="0"/>
              <w:right w:val="single" w:color="000000" w:sz="6" w:space="0"/>
            </w:tcBorders>
          </w:tcPr>
          <w:p w14:paraId="45CBB41E">
            <w:pPr>
              <w:pStyle w:val="17"/>
              <w:spacing w:before="35"/>
              <w:ind w:left="214"/>
              <w:jc w:val="left"/>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5AB9DBCB">
            <w:pPr>
              <w:pStyle w:val="17"/>
              <w:spacing w:before="35"/>
              <w:ind w:left="104" w:right="78"/>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3CE6B334">
            <w:pPr>
              <w:pStyle w:val="17"/>
              <w:spacing w:before="35"/>
              <w:ind w:left="215"/>
              <w:jc w:val="left"/>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0766F3C1">
            <w:pPr>
              <w:pStyle w:val="17"/>
              <w:spacing w:before="35"/>
              <w:ind w:left="104" w:right="77"/>
              <w:rPr>
                <w:rFonts w:ascii="Times New Roman"/>
                <w:sz w:val="21"/>
              </w:rPr>
            </w:pPr>
            <w:r>
              <w:rPr>
                <w:rFonts w:ascii="Times New Roman"/>
                <w:sz w:val="21"/>
              </w:rPr>
              <w:t>2.15</w:t>
            </w:r>
          </w:p>
        </w:tc>
        <w:tc>
          <w:tcPr>
            <w:tcW w:w="787" w:type="dxa"/>
            <w:tcBorders>
              <w:top w:val="single" w:color="000000" w:sz="6" w:space="0"/>
              <w:left w:val="single" w:color="000000" w:sz="6" w:space="0"/>
              <w:bottom w:val="single" w:color="000000" w:sz="6" w:space="0"/>
              <w:right w:val="single" w:color="000000" w:sz="6" w:space="0"/>
            </w:tcBorders>
          </w:tcPr>
          <w:p w14:paraId="2EFE544B">
            <w:pPr>
              <w:pStyle w:val="17"/>
              <w:spacing w:before="35"/>
              <w:ind w:left="104" w:right="77"/>
              <w:rPr>
                <w:rFonts w:ascii="Times New Roman"/>
                <w:sz w:val="21"/>
              </w:rPr>
            </w:pPr>
            <w:r>
              <w:rPr>
                <w:rFonts w:ascii="Times New Roman"/>
                <w:sz w:val="21"/>
              </w:rPr>
              <w:t>7.80</w:t>
            </w:r>
          </w:p>
        </w:tc>
        <w:tc>
          <w:tcPr>
            <w:tcW w:w="787" w:type="dxa"/>
            <w:tcBorders>
              <w:top w:val="single" w:color="000000" w:sz="6" w:space="0"/>
              <w:left w:val="single" w:color="000000" w:sz="6" w:space="0"/>
              <w:bottom w:val="single" w:color="000000" w:sz="6" w:space="0"/>
              <w:right w:val="single" w:color="000000" w:sz="6" w:space="0"/>
            </w:tcBorders>
          </w:tcPr>
          <w:p w14:paraId="1200F2B5">
            <w:pPr>
              <w:pStyle w:val="17"/>
              <w:spacing w:before="35"/>
              <w:ind w:left="104" w:right="76"/>
              <w:rPr>
                <w:rFonts w:ascii="Times New Roman"/>
                <w:sz w:val="21"/>
              </w:rPr>
            </w:pPr>
            <w:r>
              <w:rPr>
                <w:rFonts w:ascii="Times New Roman"/>
                <w:sz w:val="21"/>
              </w:rPr>
              <w:t>12.37</w:t>
            </w:r>
          </w:p>
        </w:tc>
        <w:tc>
          <w:tcPr>
            <w:tcW w:w="787" w:type="dxa"/>
            <w:tcBorders>
              <w:top w:val="single" w:color="000000" w:sz="6" w:space="0"/>
              <w:left w:val="single" w:color="000000" w:sz="6" w:space="0"/>
              <w:bottom w:val="single" w:color="000000" w:sz="6" w:space="0"/>
              <w:right w:val="single" w:color="000000" w:sz="6" w:space="0"/>
            </w:tcBorders>
          </w:tcPr>
          <w:p w14:paraId="06741D64">
            <w:pPr>
              <w:pStyle w:val="17"/>
              <w:spacing w:before="35"/>
              <w:ind w:left="104" w:right="76"/>
              <w:rPr>
                <w:rFonts w:ascii="Times New Roman"/>
                <w:sz w:val="21"/>
              </w:rPr>
            </w:pPr>
            <w:r>
              <w:rPr>
                <w:rFonts w:ascii="Times New Roman"/>
                <w:sz w:val="21"/>
              </w:rPr>
              <w:t>6.85</w:t>
            </w:r>
          </w:p>
        </w:tc>
        <w:tc>
          <w:tcPr>
            <w:tcW w:w="787" w:type="dxa"/>
            <w:tcBorders>
              <w:top w:val="single" w:color="000000" w:sz="6" w:space="0"/>
              <w:left w:val="single" w:color="000000" w:sz="6" w:space="0"/>
              <w:bottom w:val="single" w:color="000000" w:sz="6" w:space="0"/>
              <w:right w:val="single" w:color="000000" w:sz="6" w:space="0"/>
            </w:tcBorders>
          </w:tcPr>
          <w:p w14:paraId="59775905">
            <w:pPr>
              <w:pStyle w:val="17"/>
              <w:spacing w:before="35"/>
              <w:ind w:left="104" w:right="75"/>
              <w:rPr>
                <w:rFonts w:ascii="Times New Roman"/>
                <w:sz w:val="21"/>
              </w:rPr>
            </w:pPr>
            <w:r>
              <w:rPr>
                <w:rFonts w:ascii="Times New Roman"/>
                <w:sz w:val="21"/>
              </w:rPr>
              <w:t>4.30</w:t>
            </w:r>
          </w:p>
        </w:tc>
        <w:tc>
          <w:tcPr>
            <w:tcW w:w="787" w:type="dxa"/>
            <w:tcBorders>
              <w:top w:val="single" w:color="000000" w:sz="6" w:space="0"/>
              <w:left w:val="single" w:color="000000" w:sz="6" w:space="0"/>
              <w:bottom w:val="single" w:color="000000" w:sz="6" w:space="0"/>
              <w:right w:val="single" w:color="000000" w:sz="6" w:space="0"/>
            </w:tcBorders>
          </w:tcPr>
          <w:p w14:paraId="62A59801">
            <w:pPr>
              <w:pStyle w:val="17"/>
              <w:spacing w:before="35"/>
              <w:ind w:left="216"/>
              <w:jc w:val="left"/>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5E760899">
            <w:pPr>
              <w:pStyle w:val="17"/>
              <w:spacing w:before="35"/>
              <w:ind w:left="216"/>
              <w:jc w:val="left"/>
              <w:rPr>
                <w:rFonts w:ascii="Times New Roman"/>
                <w:sz w:val="21"/>
              </w:rPr>
            </w:pPr>
            <w:r>
              <w:rPr>
                <w:rFonts w:ascii="Times New Roman"/>
                <w:sz w:val="21"/>
              </w:rPr>
              <w:t>3.23</w:t>
            </w:r>
          </w:p>
        </w:tc>
        <w:tc>
          <w:tcPr>
            <w:tcW w:w="787" w:type="dxa"/>
            <w:tcBorders>
              <w:top w:val="single" w:color="000000" w:sz="6" w:space="0"/>
              <w:left w:val="single" w:color="000000" w:sz="6" w:space="0"/>
              <w:bottom w:val="single" w:color="000000" w:sz="6" w:space="0"/>
              <w:right w:val="single" w:color="000000" w:sz="6" w:space="0"/>
            </w:tcBorders>
          </w:tcPr>
          <w:p w14:paraId="6A21AEE6">
            <w:pPr>
              <w:pStyle w:val="17"/>
              <w:spacing w:before="35"/>
              <w:ind w:left="104" w:right="77"/>
              <w:rPr>
                <w:rFonts w:ascii="Times New Roman"/>
                <w:sz w:val="21"/>
              </w:rPr>
            </w:pPr>
            <w:r>
              <w:rPr>
                <w:rFonts w:ascii="Times New Roman"/>
                <w:sz w:val="21"/>
              </w:rPr>
              <w:t>2.96</w:t>
            </w:r>
          </w:p>
        </w:tc>
        <w:tc>
          <w:tcPr>
            <w:tcW w:w="787" w:type="dxa"/>
            <w:tcBorders>
              <w:top w:val="single" w:color="000000" w:sz="6" w:space="0"/>
              <w:left w:val="single" w:color="000000" w:sz="6" w:space="0"/>
              <w:bottom w:val="single" w:color="000000" w:sz="6" w:space="0"/>
              <w:right w:val="single" w:color="000000" w:sz="6" w:space="0"/>
            </w:tcBorders>
          </w:tcPr>
          <w:p w14:paraId="56B95FD2">
            <w:pPr>
              <w:pStyle w:val="17"/>
              <w:spacing w:before="35"/>
              <w:ind w:left="104" w:right="79"/>
              <w:rPr>
                <w:rFonts w:ascii="Times New Roman"/>
                <w:sz w:val="21"/>
              </w:rPr>
            </w:pPr>
            <w:r>
              <w:rPr>
                <w:rFonts w:ascii="Times New Roman"/>
                <w:sz w:val="21"/>
              </w:rPr>
              <w:t>7.93</w:t>
            </w:r>
          </w:p>
        </w:tc>
        <w:tc>
          <w:tcPr>
            <w:tcW w:w="787" w:type="dxa"/>
            <w:tcBorders>
              <w:top w:val="single" w:color="000000" w:sz="6" w:space="0"/>
              <w:left w:val="single" w:color="000000" w:sz="6" w:space="0"/>
              <w:bottom w:val="single" w:color="000000" w:sz="6" w:space="0"/>
              <w:right w:val="single" w:color="000000" w:sz="6" w:space="0"/>
            </w:tcBorders>
          </w:tcPr>
          <w:p w14:paraId="1ECEC77A">
            <w:pPr>
              <w:pStyle w:val="17"/>
              <w:spacing w:before="35"/>
              <w:ind w:left="104" w:right="78"/>
              <w:rPr>
                <w:rFonts w:ascii="Times New Roman"/>
                <w:sz w:val="21"/>
              </w:rPr>
            </w:pPr>
            <w:r>
              <w:rPr>
                <w:rFonts w:ascii="Times New Roman"/>
                <w:sz w:val="21"/>
              </w:rPr>
              <w:t>6.59</w:t>
            </w:r>
          </w:p>
        </w:tc>
        <w:tc>
          <w:tcPr>
            <w:tcW w:w="787" w:type="dxa"/>
            <w:tcBorders>
              <w:top w:val="single" w:color="000000" w:sz="6" w:space="0"/>
              <w:left w:val="single" w:color="000000" w:sz="6" w:space="0"/>
              <w:bottom w:val="single" w:color="000000" w:sz="6" w:space="0"/>
              <w:right w:val="single" w:color="000000" w:sz="6" w:space="0"/>
            </w:tcBorders>
          </w:tcPr>
          <w:p w14:paraId="163587D7">
            <w:pPr>
              <w:pStyle w:val="17"/>
              <w:spacing w:before="35"/>
              <w:ind w:left="104" w:right="78"/>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6DE987F4">
            <w:pPr>
              <w:pStyle w:val="17"/>
              <w:spacing w:before="35"/>
              <w:ind w:right="133"/>
              <w:jc w:val="right"/>
              <w:rPr>
                <w:rFonts w:ascii="Times New Roman"/>
                <w:sz w:val="21"/>
              </w:rPr>
            </w:pPr>
            <w:r>
              <w:rPr>
                <w:rFonts w:ascii="Times New Roman"/>
                <w:w w:val="95"/>
                <w:sz w:val="21"/>
              </w:rPr>
              <w:t>12.63</w:t>
            </w:r>
          </w:p>
        </w:tc>
        <w:tc>
          <w:tcPr>
            <w:tcW w:w="803" w:type="dxa"/>
            <w:tcBorders>
              <w:top w:val="single" w:color="000000" w:sz="6" w:space="0"/>
              <w:left w:val="single" w:color="000000" w:sz="6" w:space="0"/>
              <w:bottom w:val="single" w:color="000000" w:sz="6" w:space="0"/>
              <w:right w:val="nil"/>
            </w:tcBorders>
          </w:tcPr>
          <w:p w14:paraId="445814FF">
            <w:pPr>
              <w:pStyle w:val="17"/>
              <w:spacing w:before="35"/>
              <w:ind w:left="222"/>
              <w:jc w:val="left"/>
              <w:rPr>
                <w:rFonts w:ascii="Times New Roman"/>
                <w:sz w:val="21"/>
              </w:rPr>
            </w:pPr>
            <w:r>
              <w:rPr>
                <w:rFonts w:ascii="Times New Roman"/>
                <w:sz w:val="21"/>
              </w:rPr>
              <w:t>0.27</w:t>
            </w:r>
          </w:p>
        </w:tc>
      </w:tr>
      <w:tr w14:paraId="179592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8DC72A8">
            <w:pPr>
              <w:pStyle w:val="17"/>
              <w:spacing w:before="20"/>
              <w:ind w:left="33"/>
              <w:rPr>
                <w:sz w:val="21"/>
              </w:rPr>
            </w:pPr>
            <w:r>
              <w:rPr>
                <w:rFonts w:ascii="Times New Roman" w:eastAsia="Times New Roman"/>
                <w:sz w:val="21"/>
              </w:rPr>
              <w:t xml:space="preserve">4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060FA80F">
            <w:pPr>
              <w:pStyle w:val="17"/>
              <w:spacing w:before="34"/>
              <w:ind w:left="141" w:right="113"/>
              <w:rPr>
                <w:rFonts w:ascii="Times New Roman"/>
                <w:sz w:val="21"/>
              </w:rPr>
            </w:pPr>
            <w:r>
              <w:rPr>
                <w:rFonts w:ascii="Times New Roman"/>
                <w:sz w:val="21"/>
              </w:rPr>
              <w:t>15.83</w:t>
            </w:r>
          </w:p>
        </w:tc>
        <w:tc>
          <w:tcPr>
            <w:tcW w:w="787" w:type="dxa"/>
            <w:tcBorders>
              <w:top w:val="single" w:color="000000" w:sz="6" w:space="0"/>
              <w:left w:val="single" w:color="000000" w:sz="6" w:space="0"/>
              <w:bottom w:val="single" w:color="000000" w:sz="6" w:space="0"/>
              <w:right w:val="single" w:color="000000" w:sz="6" w:space="0"/>
            </w:tcBorders>
          </w:tcPr>
          <w:p w14:paraId="7AE42389">
            <w:pPr>
              <w:pStyle w:val="17"/>
              <w:spacing w:before="34"/>
              <w:ind w:left="214"/>
              <w:jc w:val="left"/>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04A3E6DD">
            <w:pPr>
              <w:pStyle w:val="17"/>
              <w:spacing w:before="34"/>
              <w:ind w:left="104" w:right="78"/>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75689D39">
            <w:pPr>
              <w:pStyle w:val="17"/>
              <w:spacing w:before="34"/>
              <w:ind w:left="215"/>
              <w:jc w:val="left"/>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68C605E3">
            <w:pPr>
              <w:pStyle w:val="17"/>
              <w:spacing w:before="34"/>
              <w:ind w:left="104" w:right="77"/>
              <w:rPr>
                <w:rFonts w:ascii="Times New Roman"/>
                <w:sz w:val="21"/>
              </w:rPr>
            </w:pPr>
            <w:r>
              <w:rPr>
                <w:rFonts w:ascii="Times New Roman"/>
                <w:sz w:val="21"/>
              </w:rPr>
              <w:t>4.86</w:t>
            </w:r>
          </w:p>
        </w:tc>
        <w:tc>
          <w:tcPr>
            <w:tcW w:w="787" w:type="dxa"/>
            <w:tcBorders>
              <w:top w:val="single" w:color="000000" w:sz="6" w:space="0"/>
              <w:left w:val="single" w:color="000000" w:sz="6" w:space="0"/>
              <w:bottom w:val="single" w:color="000000" w:sz="6" w:space="0"/>
              <w:right w:val="single" w:color="000000" w:sz="6" w:space="0"/>
            </w:tcBorders>
          </w:tcPr>
          <w:p w14:paraId="63166C62">
            <w:pPr>
              <w:pStyle w:val="17"/>
              <w:spacing w:before="34"/>
              <w:ind w:left="104" w:right="77"/>
              <w:rPr>
                <w:rFonts w:ascii="Times New Roman"/>
                <w:sz w:val="21"/>
              </w:rPr>
            </w:pPr>
            <w:r>
              <w:rPr>
                <w:rFonts w:ascii="Times New Roman"/>
                <w:sz w:val="21"/>
              </w:rPr>
              <w:t>9.31</w:t>
            </w:r>
          </w:p>
        </w:tc>
        <w:tc>
          <w:tcPr>
            <w:tcW w:w="787" w:type="dxa"/>
            <w:tcBorders>
              <w:top w:val="single" w:color="000000" w:sz="6" w:space="0"/>
              <w:left w:val="single" w:color="000000" w:sz="6" w:space="0"/>
              <w:bottom w:val="single" w:color="000000" w:sz="6" w:space="0"/>
              <w:right w:val="single" w:color="000000" w:sz="6" w:space="0"/>
            </w:tcBorders>
          </w:tcPr>
          <w:p w14:paraId="38FAA688">
            <w:pPr>
              <w:pStyle w:val="17"/>
              <w:spacing w:before="34"/>
              <w:ind w:left="104" w:right="74"/>
              <w:rPr>
                <w:rFonts w:ascii="Times New Roman"/>
                <w:sz w:val="21"/>
              </w:rPr>
            </w:pPr>
            <w:r>
              <w:rPr>
                <w:rFonts w:ascii="Times New Roman"/>
                <w:sz w:val="21"/>
              </w:rPr>
              <w:t>16.11</w:t>
            </w:r>
          </w:p>
        </w:tc>
        <w:tc>
          <w:tcPr>
            <w:tcW w:w="787" w:type="dxa"/>
            <w:tcBorders>
              <w:top w:val="single" w:color="000000" w:sz="6" w:space="0"/>
              <w:left w:val="single" w:color="000000" w:sz="6" w:space="0"/>
              <w:bottom w:val="single" w:color="000000" w:sz="6" w:space="0"/>
              <w:right w:val="single" w:color="000000" w:sz="6" w:space="0"/>
            </w:tcBorders>
          </w:tcPr>
          <w:p w14:paraId="450710E8">
            <w:pPr>
              <w:pStyle w:val="17"/>
              <w:spacing w:before="34"/>
              <w:ind w:left="104" w:right="76"/>
              <w:rPr>
                <w:rFonts w:ascii="Times New Roman"/>
                <w:sz w:val="21"/>
              </w:rPr>
            </w:pPr>
            <w:r>
              <w:rPr>
                <w:rFonts w:ascii="Times New Roman"/>
                <w:sz w:val="21"/>
              </w:rPr>
              <w:t>12.64</w:t>
            </w:r>
          </w:p>
        </w:tc>
        <w:tc>
          <w:tcPr>
            <w:tcW w:w="787" w:type="dxa"/>
            <w:tcBorders>
              <w:top w:val="single" w:color="000000" w:sz="6" w:space="0"/>
              <w:left w:val="single" w:color="000000" w:sz="6" w:space="0"/>
              <w:bottom w:val="single" w:color="000000" w:sz="6" w:space="0"/>
              <w:right w:val="single" w:color="000000" w:sz="6" w:space="0"/>
            </w:tcBorders>
          </w:tcPr>
          <w:p w14:paraId="552D336D">
            <w:pPr>
              <w:pStyle w:val="17"/>
              <w:spacing w:before="34"/>
              <w:ind w:left="104" w:right="75"/>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71798424">
            <w:pPr>
              <w:pStyle w:val="17"/>
              <w:spacing w:before="34"/>
              <w:ind w:left="216"/>
              <w:jc w:val="left"/>
              <w:rPr>
                <w:rFonts w:ascii="Times New Roman"/>
                <w:sz w:val="21"/>
              </w:rPr>
            </w:pPr>
            <w:r>
              <w:rPr>
                <w:rFonts w:ascii="Times New Roman"/>
                <w:sz w:val="21"/>
              </w:rPr>
              <w:t>0.83</w:t>
            </w:r>
          </w:p>
        </w:tc>
        <w:tc>
          <w:tcPr>
            <w:tcW w:w="787" w:type="dxa"/>
            <w:tcBorders>
              <w:top w:val="single" w:color="000000" w:sz="6" w:space="0"/>
              <w:left w:val="single" w:color="000000" w:sz="6" w:space="0"/>
              <w:bottom w:val="single" w:color="000000" w:sz="6" w:space="0"/>
              <w:right w:val="single" w:color="000000" w:sz="6" w:space="0"/>
            </w:tcBorders>
          </w:tcPr>
          <w:p w14:paraId="2FA9036B">
            <w:pPr>
              <w:pStyle w:val="17"/>
              <w:spacing w:before="34"/>
              <w:ind w:left="216"/>
              <w:jc w:val="left"/>
              <w:rPr>
                <w:rFonts w:ascii="Times New Roman"/>
                <w:sz w:val="21"/>
              </w:rPr>
            </w:pPr>
            <w:r>
              <w:rPr>
                <w:rFonts w:ascii="Times New Roman"/>
                <w:sz w:val="21"/>
              </w:rPr>
              <w:t>0.42</w:t>
            </w:r>
          </w:p>
        </w:tc>
        <w:tc>
          <w:tcPr>
            <w:tcW w:w="787" w:type="dxa"/>
            <w:tcBorders>
              <w:top w:val="single" w:color="000000" w:sz="6" w:space="0"/>
              <w:left w:val="single" w:color="000000" w:sz="6" w:space="0"/>
              <w:bottom w:val="single" w:color="000000" w:sz="6" w:space="0"/>
              <w:right w:val="single" w:color="000000" w:sz="6" w:space="0"/>
            </w:tcBorders>
          </w:tcPr>
          <w:p w14:paraId="3F44EA16">
            <w:pPr>
              <w:pStyle w:val="17"/>
              <w:spacing w:before="34"/>
              <w:ind w:left="104" w:right="77"/>
              <w:rPr>
                <w:rFonts w:ascii="Times New Roman"/>
                <w:sz w:val="21"/>
              </w:rPr>
            </w:pPr>
            <w:r>
              <w:rPr>
                <w:rFonts w:ascii="Times New Roman"/>
                <w:sz w:val="21"/>
              </w:rPr>
              <w:t>1.67</w:t>
            </w:r>
          </w:p>
        </w:tc>
        <w:tc>
          <w:tcPr>
            <w:tcW w:w="787" w:type="dxa"/>
            <w:tcBorders>
              <w:top w:val="single" w:color="000000" w:sz="6" w:space="0"/>
              <w:left w:val="single" w:color="000000" w:sz="6" w:space="0"/>
              <w:bottom w:val="single" w:color="000000" w:sz="6" w:space="0"/>
              <w:right w:val="single" w:color="000000" w:sz="6" w:space="0"/>
            </w:tcBorders>
          </w:tcPr>
          <w:p w14:paraId="0AB93974">
            <w:pPr>
              <w:pStyle w:val="17"/>
              <w:spacing w:before="34"/>
              <w:ind w:left="104" w:right="79"/>
              <w:rPr>
                <w:rFonts w:ascii="Times New Roman"/>
                <w:sz w:val="21"/>
              </w:rPr>
            </w:pPr>
            <w:r>
              <w:rPr>
                <w:rFonts w:ascii="Times New Roman"/>
                <w:sz w:val="21"/>
              </w:rPr>
              <w:t>4.86</w:t>
            </w:r>
          </w:p>
        </w:tc>
        <w:tc>
          <w:tcPr>
            <w:tcW w:w="787" w:type="dxa"/>
            <w:tcBorders>
              <w:top w:val="single" w:color="000000" w:sz="6" w:space="0"/>
              <w:left w:val="single" w:color="000000" w:sz="6" w:space="0"/>
              <w:bottom w:val="single" w:color="000000" w:sz="6" w:space="0"/>
              <w:right w:val="single" w:color="000000" w:sz="6" w:space="0"/>
            </w:tcBorders>
          </w:tcPr>
          <w:p w14:paraId="37AE6DF1">
            <w:pPr>
              <w:pStyle w:val="17"/>
              <w:spacing w:before="34"/>
              <w:ind w:left="104" w:right="78"/>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7E22A455">
            <w:pPr>
              <w:pStyle w:val="17"/>
              <w:spacing w:before="34"/>
              <w:ind w:left="104" w:right="78"/>
              <w:rPr>
                <w:rFonts w:ascii="Times New Roman"/>
                <w:sz w:val="21"/>
              </w:rPr>
            </w:pPr>
            <w:r>
              <w:rPr>
                <w:rFonts w:ascii="Times New Roman"/>
                <w:sz w:val="21"/>
              </w:rPr>
              <w:t>6.53</w:t>
            </w:r>
          </w:p>
        </w:tc>
        <w:tc>
          <w:tcPr>
            <w:tcW w:w="787" w:type="dxa"/>
            <w:tcBorders>
              <w:top w:val="single" w:color="000000" w:sz="6" w:space="0"/>
              <w:left w:val="single" w:color="000000" w:sz="6" w:space="0"/>
              <w:bottom w:val="single" w:color="000000" w:sz="6" w:space="0"/>
              <w:right w:val="single" w:color="000000" w:sz="6" w:space="0"/>
            </w:tcBorders>
          </w:tcPr>
          <w:p w14:paraId="33FCE067">
            <w:pPr>
              <w:pStyle w:val="17"/>
              <w:spacing w:before="34"/>
              <w:ind w:right="138"/>
              <w:jc w:val="right"/>
              <w:rPr>
                <w:rFonts w:ascii="Times New Roman"/>
                <w:sz w:val="21"/>
              </w:rPr>
            </w:pPr>
            <w:r>
              <w:rPr>
                <w:rFonts w:ascii="Times New Roman"/>
                <w:w w:val="95"/>
                <w:sz w:val="21"/>
              </w:rPr>
              <w:t>11.53</w:t>
            </w:r>
          </w:p>
        </w:tc>
        <w:tc>
          <w:tcPr>
            <w:tcW w:w="803" w:type="dxa"/>
            <w:tcBorders>
              <w:top w:val="single" w:color="000000" w:sz="6" w:space="0"/>
              <w:left w:val="single" w:color="000000" w:sz="6" w:space="0"/>
              <w:bottom w:val="single" w:color="000000" w:sz="6" w:space="0"/>
              <w:right w:val="nil"/>
            </w:tcBorders>
          </w:tcPr>
          <w:p w14:paraId="58F29F34">
            <w:pPr>
              <w:pStyle w:val="17"/>
              <w:spacing w:before="34"/>
              <w:ind w:left="222"/>
              <w:jc w:val="left"/>
              <w:rPr>
                <w:rFonts w:ascii="Times New Roman"/>
                <w:sz w:val="21"/>
              </w:rPr>
            </w:pPr>
            <w:r>
              <w:rPr>
                <w:rFonts w:ascii="Times New Roman"/>
                <w:sz w:val="21"/>
              </w:rPr>
              <w:t>0.00</w:t>
            </w:r>
          </w:p>
        </w:tc>
      </w:tr>
      <w:tr w14:paraId="37BBB7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4527832F">
            <w:pPr>
              <w:pStyle w:val="17"/>
              <w:spacing w:before="22"/>
              <w:ind w:left="33"/>
              <w:rPr>
                <w:sz w:val="21"/>
              </w:rPr>
            </w:pPr>
            <w:r>
              <w:rPr>
                <w:rFonts w:ascii="Times New Roman" w:eastAsia="Times New Roman"/>
                <w:sz w:val="21"/>
              </w:rPr>
              <w:t xml:space="preserve">5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0504D8A8">
            <w:pPr>
              <w:pStyle w:val="17"/>
              <w:spacing w:before="36"/>
              <w:ind w:left="141" w:right="113"/>
              <w:rPr>
                <w:rFonts w:ascii="Times New Roman"/>
                <w:sz w:val="21"/>
              </w:rPr>
            </w:pPr>
            <w:r>
              <w:rPr>
                <w:rFonts w:ascii="Times New Roman"/>
                <w:sz w:val="21"/>
              </w:rPr>
              <w:t>18.68</w:t>
            </w:r>
          </w:p>
        </w:tc>
        <w:tc>
          <w:tcPr>
            <w:tcW w:w="787" w:type="dxa"/>
            <w:tcBorders>
              <w:top w:val="single" w:color="000000" w:sz="6" w:space="0"/>
              <w:left w:val="single" w:color="000000" w:sz="6" w:space="0"/>
              <w:bottom w:val="single" w:color="000000" w:sz="6" w:space="0"/>
              <w:right w:val="single" w:color="000000" w:sz="6" w:space="0"/>
            </w:tcBorders>
          </w:tcPr>
          <w:p w14:paraId="7F1057F2">
            <w:pPr>
              <w:pStyle w:val="17"/>
              <w:spacing w:before="36"/>
              <w:ind w:left="214"/>
              <w:jc w:val="left"/>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459211DD">
            <w:pPr>
              <w:pStyle w:val="17"/>
              <w:spacing w:before="36"/>
              <w:ind w:left="104" w:right="78"/>
              <w:rPr>
                <w:rFonts w:ascii="Times New Roman"/>
                <w:sz w:val="21"/>
              </w:rPr>
            </w:pPr>
            <w:r>
              <w:rPr>
                <w:rFonts w:ascii="Times New Roman"/>
                <w:sz w:val="21"/>
              </w:rPr>
              <w:t>2.15</w:t>
            </w:r>
          </w:p>
        </w:tc>
        <w:tc>
          <w:tcPr>
            <w:tcW w:w="787" w:type="dxa"/>
            <w:tcBorders>
              <w:top w:val="single" w:color="000000" w:sz="6" w:space="0"/>
              <w:left w:val="single" w:color="000000" w:sz="6" w:space="0"/>
              <w:bottom w:val="single" w:color="000000" w:sz="6" w:space="0"/>
              <w:right w:val="single" w:color="000000" w:sz="6" w:space="0"/>
            </w:tcBorders>
          </w:tcPr>
          <w:p w14:paraId="7238CF82">
            <w:pPr>
              <w:pStyle w:val="17"/>
              <w:spacing w:before="36"/>
              <w:ind w:left="215"/>
              <w:jc w:val="left"/>
              <w:rPr>
                <w:rFonts w:ascii="Times New Roman"/>
                <w:sz w:val="21"/>
              </w:rPr>
            </w:pPr>
            <w:r>
              <w:rPr>
                <w:rFonts w:ascii="Times New Roman"/>
                <w:sz w:val="21"/>
              </w:rPr>
              <w:t>2.28</w:t>
            </w:r>
          </w:p>
        </w:tc>
        <w:tc>
          <w:tcPr>
            <w:tcW w:w="787" w:type="dxa"/>
            <w:tcBorders>
              <w:top w:val="single" w:color="000000" w:sz="6" w:space="0"/>
              <w:left w:val="single" w:color="000000" w:sz="6" w:space="0"/>
              <w:bottom w:val="single" w:color="000000" w:sz="6" w:space="0"/>
              <w:right w:val="single" w:color="000000" w:sz="6" w:space="0"/>
            </w:tcBorders>
          </w:tcPr>
          <w:p w14:paraId="09A92285">
            <w:pPr>
              <w:pStyle w:val="17"/>
              <w:spacing w:before="36"/>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6CE6071F">
            <w:pPr>
              <w:pStyle w:val="17"/>
              <w:spacing w:before="36"/>
              <w:ind w:left="104" w:right="77"/>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56B341F7">
            <w:pPr>
              <w:pStyle w:val="17"/>
              <w:spacing w:before="36"/>
              <w:ind w:left="104" w:right="76"/>
              <w:rPr>
                <w:rFonts w:ascii="Times New Roman"/>
                <w:sz w:val="21"/>
              </w:rPr>
            </w:pPr>
            <w:r>
              <w:rPr>
                <w:rFonts w:ascii="Times New Roman"/>
                <w:sz w:val="21"/>
              </w:rPr>
              <w:t>16.26</w:t>
            </w:r>
          </w:p>
        </w:tc>
        <w:tc>
          <w:tcPr>
            <w:tcW w:w="787" w:type="dxa"/>
            <w:tcBorders>
              <w:top w:val="single" w:color="000000" w:sz="6" w:space="0"/>
              <w:left w:val="single" w:color="000000" w:sz="6" w:space="0"/>
              <w:bottom w:val="single" w:color="000000" w:sz="6" w:space="0"/>
              <w:right w:val="single" w:color="000000" w:sz="6" w:space="0"/>
            </w:tcBorders>
          </w:tcPr>
          <w:p w14:paraId="2C567917">
            <w:pPr>
              <w:pStyle w:val="17"/>
              <w:spacing w:before="36"/>
              <w:ind w:left="104" w:right="76"/>
              <w:rPr>
                <w:rFonts w:ascii="Times New Roman"/>
                <w:sz w:val="21"/>
              </w:rPr>
            </w:pPr>
            <w:r>
              <w:rPr>
                <w:rFonts w:ascii="Times New Roman"/>
                <w:sz w:val="21"/>
              </w:rPr>
              <w:t>13.17</w:t>
            </w:r>
          </w:p>
        </w:tc>
        <w:tc>
          <w:tcPr>
            <w:tcW w:w="787" w:type="dxa"/>
            <w:tcBorders>
              <w:top w:val="single" w:color="000000" w:sz="6" w:space="0"/>
              <w:left w:val="single" w:color="000000" w:sz="6" w:space="0"/>
              <w:bottom w:val="single" w:color="000000" w:sz="6" w:space="0"/>
              <w:right w:val="single" w:color="000000" w:sz="6" w:space="0"/>
            </w:tcBorders>
          </w:tcPr>
          <w:p w14:paraId="36478412">
            <w:pPr>
              <w:pStyle w:val="17"/>
              <w:spacing w:before="36"/>
              <w:ind w:left="104" w:right="75"/>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2C1B2137">
            <w:pPr>
              <w:pStyle w:val="17"/>
              <w:spacing w:before="36"/>
              <w:ind w:left="216"/>
              <w:jc w:val="left"/>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25F522A5">
            <w:pPr>
              <w:pStyle w:val="17"/>
              <w:spacing w:before="36"/>
              <w:ind w:left="216"/>
              <w:jc w:val="left"/>
              <w:rPr>
                <w:rFonts w:ascii="Times New Roman"/>
                <w:sz w:val="21"/>
              </w:rPr>
            </w:pPr>
            <w:r>
              <w:rPr>
                <w:rFonts w:ascii="Times New Roman"/>
                <w:sz w:val="21"/>
              </w:rPr>
              <w:t>0.67</w:t>
            </w:r>
          </w:p>
        </w:tc>
        <w:tc>
          <w:tcPr>
            <w:tcW w:w="787" w:type="dxa"/>
            <w:tcBorders>
              <w:top w:val="single" w:color="000000" w:sz="6" w:space="0"/>
              <w:left w:val="single" w:color="000000" w:sz="6" w:space="0"/>
              <w:bottom w:val="single" w:color="000000" w:sz="6" w:space="0"/>
              <w:right w:val="single" w:color="000000" w:sz="6" w:space="0"/>
            </w:tcBorders>
          </w:tcPr>
          <w:p w14:paraId="5A985F4D">
            <w:pPr>
              <w:pStyle w:val="17"/>
              <w:spacing w:before="36"/>
              <w:ind w:left="104" w:right="77"/>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49718942">
            <w:pPr>
              <w:pStyle w:val="17"/>
              <w:spacing w:before="36"/>
              <w:ind w:left="104" w:right="79"/>
              <w:rPr>
                <w:rFonts w:ascii="Times New Roman"/>
                <w:sz w:val="21"/>
              </w:rPr>
            </w:pPr>
            <w:r>
              <w:rPr>
                <w:rFonts w:ascii="Times New Roman"/>
                <w:sz w:val="21"/>
              </w:rPr>
              <w:t>4.44</w:t>
            </w:r>
          </w:p>
        </w:tc>
        <w:tc>
          <w:tcPr>
            <w:tcW w:w="787" w:type="dxa"/>
            <w:tcBorders>
              <w:top w:val="single" w:color="000000" w:sz="6" w:space="0"/>
              <w:left w:val="single" w:color="000000" w:sz="6" w:space="0"/>
              <w:bottom w:val="single" w:color="000000" w:sz="6" w:space="0"/>
              <w:right w:val="single" w:color="000000" w:sz="6" w:space="0"/>
            </w:tcBorders>
          </w:tcPr>
          <w:p w14:paraId="66191AFC">
            <w:pPr>
              <w:pStyle w:val="17"/>
              <w:spacing w:before="36"/>
              <w:ind w:left="104" w:right="78"/>
              <w:rPr>
                <w:rFonts w:ascii="Times New Roman"/>
                <w:sz w:val="21"/>
              </w:rPr>
            </w:pPr>
            <w:r>
              <w:rPr>
                <w:rFonts w:ascii="Times New Roman"/>
                <w:sz w:val="21"/>
              </w:rPr>
              <w:t>3.63</w:t>
            </w:r>
          </w:p>
        </w:tc>
        <w:tc>
          <w:tcPr>
            <w:tcW w:w="787" w:type="dxa"/>
            <w:tcBorders>
              <w:top w:val="single" w:color="000000" w:sz="6" w:space="0"/>
              <w:left w:val="single" w:color="000000" w:sz="6" w:space="0"/>
              <w:bottom w:val="single" w:color="000000" w:sz="6" w:space="0"/>
              <w:right w:val="single" w:color="000000" w:sz="6" w:space="0"/>
            </w:tcBorders>
          </w:tcPr>
          <w:p w14:paraId="05833ECA">
            <w:pPr>
              <w:pStyle w:val="17"/>
              <w:spacing w:before="36"/>
              <w:ind w:left="104" w:right="78"/>
              <w:rPr>
                <w:rFonts w:ascii="Times New Roman"/>
                <w:sz w:val="21"/>
              </w:rPr>
            </w:pPr>
            <w:r>
              <w:rPr>
                <w:rFonts w:ascii="Times New Roman"/>
                <w:sz w:val="21"/>
              </w:rPr>
              <w:t>5.24</w:t>
            </w:r>
          </w:p>
        </w:tc>
        <w:tc>
          <w:tcPr>
            <w:tcW w:w="787" w:type="dxa"/>
            <w:tcBorders>
              <w:top w:val="single" w:color="000000" w:sz="6" w:space="0"/>
              <w:left w:val="single" w:color="000000" w:sz="6" w:space="0"/>
              <w:bottom w:val="single" w:color="000000" w:sz="6" w:space="0"/>
              <w:right w:val="single" w:color="000000" w:sz="6" w:space="0"/>
            </w:tcBorders>
          </w:tcPr>
          <w:p w14:paraId="47D9E437">
            <w:pPr>
              <w:pStyle w:val="17"/>
              <w:spacing w:before="36"/>
              <w:ind w:right="138"/>
              <w:jc w:val="right"/>
              <w:rPr>
                <w:rFonts w:ascii="Times New Roman"/>
                <w:sz w:val="21"/>
              </w:rPr>
            </w:pPr>
            <w:r>
              <w:rPr>
                <w:rFonts w:ascii="Times New Roman"/>
                <w:w w:val="95"/>
                <w:sz w:val="21"/>
              </w:rPr>
              <w:t>11.29</w:t>
            </w:r>
          </w:p>
        </w:tc>
        <w:tc>
          <w:tcPr>
            <w:tcW w:w="803" w:type="dxa"/>
            <w:tcBorders>
              <w:top w:val="single" w:color="000000" w:sz="6" w:space="0"/>
              <w:left w:val="single" w:color="000000" w:sz="6" w:space="0"/>
              <w:bottom w:val="single" w:color="000000" w:sz="6" w:space="0"/>
              <w:right w:val="nil"/>
            </w:tcBorders>
          </w:tcPr>
          <w:p w14:paraId="46851796">
            <w:pPr>
              <w:pStyle w:val="17"/>
              <w:spacing w:before="36"/>
              <w:ind w:left="222"/>
              <w:jc w:val="left"/>
              <w:rPr>
                <w:rFonts w:ascii="Times New Roman"/>
                <w:sz w:val="21"/>
              </w:rPr>
            </w:pPr>
            <w:r>
              <w:rPr>
                <w:rFonts w:ascii="Times New Roman"/>
                <w:sz w:val="21"/>
              </w:rPr>
              <w:t>0.00</w:t>
            </w:r>
          </w:p>
        </w:tc>
      </w:tr>
      <w:tr w14:paraId="7E49B5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5CEEE00C">
            <w:pPr>
              <w:pStyle w:val="17"/>
              <w:spacing w:before="21"/>
              <w:ind w:left="33"/>
              <w:rPr>
                <w:sz w:val="21"/>
              </w:rPr>
            </w:pPr>
            <w:r>
              <w:rPr>
                <w:rFonts w:ascii="Times New Roman" w:eastAsia="Times New Roman"/>
                <w:sz w:val="21"/>
              </w:rPr>
              <w:t xml:space="preserve">6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1A2B828B">
            <w:pPr>
              <w:pStyle w:val="17"/>
              <w:spacing w:before="35"/>
              <w:ind w:left="141" w:right="113"/>
              <w:rPr>
                <w:rFonts w:ascii="Times New Roman"/>
                <w:sz w:val="21"/>
              </w:rPr>
            </w:pPr>
            <w:r>
              <w:rPr>
                <w:rFonts w:ascii="Times New Roman"/>
                <w:sz w:val="21"/>
              </w:rPr>
              <w:t>7.50</w:t>
            </w:r>
          </w:p>
        </w:tc>
        <w:tc>
          <w:tcPr>
            <w:tcW w:w="787" w:type="dxa"/>
            <w:tcBorders>
              <w:top w:val="single" w:color="000000" w:sz="6" w:space="0"/>
              <w:left w:val="single" w:color="000000" w:sz="6" w:space="0"/>
              <w:bottom w:val="single" w:color="000000" w:sz="6" w:space="0"/>
              <w:right w:val="single" w:color="000000" w:sz="6" w:space="0"/>
            </w:tcBorders>
          </w:tcPr>
          <w:p w14:paraId="22E1781A">
            <w:pPr>
              <w:pStyle w:val="17"/>
              <w:spacing w:before="35"/>
              <w:ind w:left="214"/>
              <w:jc w:val="left"/>
              <w:rPr>
                <w:rFonts w:ascii="Times New Roman"/>
                <w:sz w:val="21"/>
              </w:rPr>
            </w:pPr>
            <w:r>
              <w:rPr>
                <w:rFonts w:ascii="Times New Roman"/>
                <w:sz w:val="21"/>
              </w:rPr>
              <w:t>2.78</w:t>
            </w:r>
          </w:p>
        </w:tc>
        <w:tc>
          <w:tcPr>
            <w:tcW w:w="787" w:type="dxa"/>
            <w:tcBorders>
              <w:top w:val="single" w:color="000000" w:sz="6" w:space="0"/>
              <w:left w:val="single" w:color="000000" w:sz="6" w:space="0"/>
              <w:bottom w:val="single" w:color="000000" w:sz="6" w:space="0"/>
              <w:right w:val="single" w:color="000000" w:sz="6" w:space="0"/>
            </w:tcBorders>
          </w:tcPr>
          <w:p w14:paraId="335721F7">
            <w:pPr>
              <w:pStyle w:val="17"/>
              <w:spacing w:before="35"/>
              <w:ind w:left="104" w:right="78"/>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4DF14D54">
            <w:pPr>
              <w:pStyle w:val="17"/>
              <w:spacing w:before="35"/>
              <w:ind w:left="215"/>
              <w:jc w:val="left"/>
              <w:rPr>
                <w:rFonts w:ascii="Times New Roman"/>
                <w:sz w:val="21"/>
              </w:rPr>
            </w:pPr>
            <w:r>
              <w:rPr>
                <w:rFonts w:ascii="Times New Roman"/>
                <w:sz w:val="21"/>
              </w:rPr>
              <w:t>2.22</w:t>
            </w:r>
          </w:p>
        </w:tc>
        <w:tc>
          <w:tcPr>
            <w:tcW w:w="787" w:type="dxa"/>
            <w:tcBorders>
              <w:top w:val="single" w:color="000000" w:sz="6" w:space="0"/>
              <w:left w:val="single" w:color="000000" w:sz="6" w:space="0"/>
              <w:bottom w:val="single" w:color="000000" w:sz="6" w:space="0"/>
              <w:right w:val="single" w:color="000000" w:sz="6" w:space="0"/>
            </w:tcBorders>
          </w:tcPr>
          <w:p w14:paraId="275D8273">
            <w:pPr>
              <w:pStyle w:val="17"/>
              <w:spacing w:before="35"/>
              <w:ind w:left="104" w:right="77"/>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7D60CB79">
            <w:pPr>
              <w:pStyle w:val="17"/>
              <w:spacing w:before="35"/>
              <w:ind w:left="104" w:right="77"/>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69CD0FB3">
            <w:pPr>
              <w:pStyle w:val="17"/>
              <w:spacing w:before="35"/>
              <w:ind w:left="104" w:right="76"/>
              <w:rPr>
                <w:rFonts w:ascii="Times New Roman"/>
                <w:sz w:val="21"/>
              </w:rPr>
            </w:pPr>
            <w:r>
              <w:rPr>
                <w:rFonts w:ascii="Times New Roman"/>
                <w:sz w:val="21"/>
              </w:rPr>
              <w:t>10.69</w:t>
            </w:r>
          </w:p>
        </w:tc>
        <w:tc>
          <w:tcPr>
            <w:tcW w:w="787" w:type="dxa"/>
            <w:tcBorders>
              <w:top w:val="single" w:color="000000" w:sz="6" w:space="0"/>
              <w:left w:val="single" w:color="000000" w:sz="6" w:space="0"/>
              <w:bottom w:val="single" w:color="000000" w:sz="6" w:space="0"/>
              <w:right w:val="single" w:color="000000" w:sz="6" w:space="0"/>
            </w:tcBorders>
          </w:tcPr>
          <w:p w14:paraId="40CC6145">
            <w:pPr>
              <w:pStyle w:val="17"/>
              <w:spacing w:before="35"/>
              <w:ind w:left="104" w:right="76"/>
              <w:rPr>
                <w:rFonts w:ascii="Times New Roman"/>
                <w:sz w:val="21"/>
              </w:rPr>
            </w:pPr>
            <w:r>
              <w:rPr>
                <w:rFonts w:ascii="Times New Roman"/>
                <w:sz w:val="21"/>
              </w:rPr>
              <w:t>14.31</w:t>
            </w:r>
          </w:p>
        </w:tc>
        <w:tc>
          <w:tcPr>
            <w:tcW w:w="787" w:type="dxa"/>
            <w:tcBorders>
              <w:top w:val="single" w:color="000000" w:sz="6" w:space="0"/>
              <w:left w:val="single" w:color="000000" w:sz="6" w:space="0"/>
              <w:bottom w:val="single" w:color="000000" w:sz="6" w:space="0"/>
              <w:right w:val="single" w:color="000000" w:sz="6" w:space="0"/>
            </w:tcBorders>
          </w:tcPr>
          <w:p w14:paraId="6390163E">
            <w:pPr>
              <w:pStyle w:val="17"/>
              <w:spacing w:before="35"/>
              <w:ind w:left="104" w:right="75"/>
              <w:rPr>
                <w:rFonts w:ascii="Times New Roman"/>
                <w:sz w:val="21"/>
              </w:rPr>
            </w:pPr>
            <w:r>
              <w:rPr>
                <w:rFonts w:ascii="Times New Roman"/>
                <w:sz w:val="21"/>
              </w:rPr>
              <w:t>6.81</w:t>
            </w:r>
          </w:p>
        </w:tc>
        <w:tc>
          <w:tcPr>
            <w:tcW w:w="787" w:type="dxa"/>
            <w:tcBorders>
              <w:top w:val="single" w:color="000000" w:sz="6" w:space="0"/>
              <w:left w:val="single" w:color="000000" w:sz="6" w:space="0"/>
              <w:bottom w:val="single" w:color="000000" w:sz="6" w:space="0"/>
              <w:right w:val="single" w:color="000000" w:sz="6" w:space="0"/>
            </w:tcBorders>
          </w:tcPr>
          <w:p w14:paraId="1E76A67F">
            <w:pPr>
              <w:pStyle w:val="17"/>
              <w:spacing w:before="35"/>
              <w:ind w:left="216"/>
              <w:jc w:val="left"/>
              <w:rPr>
                <w:rFonts w:ascii="Times New Roman"/>
                <w:sz w:val="21"/>
              </w:rPr>
            </w:pPr>
            <w:r>
              <w:rPr>
                <w:rFonts w:ascii="Times New Roman"/>
                <w:sz w:val="21"/>
              </w:rPr>
              <w:t>2.64</w:t>
            </w:r>
          </w:p>
        </w:tc>
        <w:tc>
          <w:tcPr>
            <w:tcW w:w="787" w:type="dxa"/>
            <w:tcBorders>
              <w:top w:val="single" w:color="000000" w:sz="6" w:space="0"/>
              <w:left w:val="single" w:color="000000" w:sz="6" w:space="0"/>
              <w:bottom w:val="single" w:color="000000" w:sz="6" w:space="0"/>
              <w:right w:val="single" w:color="000000" w:sz="6" w:space="0"/>
            </w:tcBorders>
          </w:tcPr>
          <w:p w14:paraId="752F8C21">
            <w:pPr>
              <w:pStyle w:val="17"/>
              <w:spacing w:before="35"/>
              <w:ind w:left="216"/>
              <w:jc w:val="left"/>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4D9D2949">
            <w:pPr>
              <w:pStyle w:val="17"/>
              <w:spacing w:before="35"/>
              <w:ind w:left="104" w:right="77"/>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23871819">
            <w:pPr>
              <w:pStyle w:val="17"/>
              <w:spacing w:before="35"/>
              <w:ind w:left="104" w:right="79"/>
              <w:rPr>
                <w:rFonts w:ascii="Times New Roman"/>
                <w:sz w:val="21"/>
              </w:rPr>
            </w:pPr>
            <w:r>
              <w:rPr>
                <w:rFonts w:ascii="Times New Roman"/>
                <w:sz w:val="21"/>
              </w:rPr>
              <w:t>8.19</w:t>
            </w:r>
          </w:p>
        </w:tc>
        <w:tc>
          <w:tcPr>
            <w:tcW w:w="787" w:type="dxa"/>
            <w:tcBorders>
              <w:top w:val="single" w:color="000000" w:sz="6" w:space="0"/>
              <w:left w:val="single" w:color="000000" w:sz="6" w:space="0"/>
              <w:bottom w:val="single" w:color="000000" w:sz="6" w:space="0"/>
              <w:right w:val="single" w:color="000000" w:sz="6" w:space="0"/>
            </w:tcBorders>
          </w:tcPr>
          <w:p w14:paraId="45468D7C">
            <w:pPr>
              <w:pStyle w:val="17"/>
              <w:spacing w:before="35"/>
              <w:ind w:left="104" w:right="78"/>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0F1A4E42">
            <w:pPr>
              <w:pStyle w:val="17"/>
              <w:spacing w:before="35"/>
              <w:ind w:left="104" w:right="78"/>
              <w:rPr>
                <w:rFonts w:ascii="Times New Roman"/>
                <w:sz w:val="21"/>
              </w:rPr>
            </w:pPr>
            <w:r>
              <w:rPr>
                <w:rFonts w:ascii="Times New Roman"/>
                <w:sz w:val="21"/>
              </w:rPr>
              <w:t>7.92</w:t>
            </w:r>
          </w:p>
        </w:tc>
        <w:tc>
          <w:tcPr>
            <w:tcW w:w="787" w:type="dxa"/>
            <w:tcBorders>
              <w:top w:val="single" w:color="000000" w:sz="6" w:space="0"/>
              <w:left w:val="single" w:color="000000" w:sz="6" w:space="0"/>
              <w:bottom w:val="single" w:color="000000" w:sz="6" w:space="0"/>
              <w:right w:val="single" w:color="000000" w:sz="6" w:space="0"/>
            </w:tcBorders>
          </w:tcPr>
          <w:p w14:paraId="10C4CC3B">
            <w:pPr>
              <w:pStyle w:val="17"/>
              <w:spacing w:before="35"/>
              <w:ind w:right="186"/>
              <w:jc w:val="right"/>
              <w:rPr>
                <w:rFonts w:ascii="Times New Roman"/>
                <w:sz w:val="21"/>
              </w:rPr>
            </w:pPr>
            <w:r>
              <w:rPr>
                <w:rFonts w:ascii="Times New Roman"/>
                <w:sz w:val="21"/>
              </w:rPr>
              <w:t>9.03</w:t>
            </w:r>
          </w:p>
        </w:tc>
        <w:tc>
          <w:tcPr>
            <w:tcW w:w="803" w:type="dxa"/>
            <w:tcBorders>
              <w:top w:val="single" w:color="000000" w:sz="6" w:space="0"/>
              <w:left w:val="single" w:color="000000" w:sz="6" w:space="0"/>
              <w:bottom w:val="single" w:color="000000" w:sz="6" w:space="0"/>
              <w:right w:val="nil"/>
            </w:tcBorders>
          </w:tcPr>
          <w:p w14:paraId="0B00BA8C">
            <w:pPr>
              <w:pStyle w:val="17"/>
              <w:spacing w:before="35"/>
              <w:ind w:left="222"/>
              <w:jc w:val="left"/>
              <w:rPr>
                <w:rFonts w:ascii="Times New Roman"/>
                <w:sz w:val="21"/>
              </w:rPr>
            </w:pPr>
            <w:r>
              <w:rPr>
                <w:rFonts w:ascii="Times New Roman"/>
                <w:sz w:val="21"/>
              </w:rPr>
              <w:t>0.00</w:t>
            </w:r>
          </w:p>
        </w:tc>
      </w:tr>
      <w:tr w14:paraId="5229E3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7AB9D879">
            <w:pPr>
              <w:pStyle w:val="17"/>
              <w:spacing w:before="21"/>
              <w:ind w:left="33"/>
              <w:rPr>
                <w:sz w:val="21"/>
              </w:rPr>
            </w:pPr>
            <w:r>
              <w:rPr>
                <w:rFonts w:ascii="Times New Roman" w:eastAsia="Times New Roman"/>
                <w:sz w:val="21"/>
              </w:rPr>
              <w:t xml:space="preserve">7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68D64AD0">
            <w:pPr>
              <w:pStyle w:val="17"/>
              <w:spacing w:before="35"/>
              <w:ind w:left="141" w:right="113"/>
              <w:rPr>
                <w:rFonts w:ascii="Times New Roman"/>
                <w:sz w:val="21"/>
              </w:rPr>
            </w:pPr>
            <w:r>
              <w:rPr>
                <w:rFonts w:ascii="Times New Roman"/>
                <w:sz w:val="21"/>
              </w:rPr>
              <w:t>9.81</w:t>
            </w:r>
          </w:p>
        </w:tc>
        <w:tc>
          <w:tcPr>
            <w:tcW w:w="787" w:type="dxa"/>
            <w:tcBorders>
              <w:top w:val="single" w:color="000000" w:sz="6" w:space="0"/>
              <w:left w:val="single" w:color="000000" w:sz="6" w:space="0"/>
              <w:bottom w:val="single" w:color="000000" w:sz="6" w:space="0"/>
              <w:right w:val="single" w:color="000000" w:sz="6" w:space="0"/>
            </w:tcBorders>
          </w:tcPr>
          <w:p w14:paraId="6365C6AF">
            <w:pPr>
              <w:pStyle w:val="17"/>
              <w:spacing w:before="35"/>
              <w:ind w:left="214"/>
              <w:jc w:val="left"/>
              <w:rPr>
                <w:rFonts w:ascii="Times New Roman"/>
                <w:sz w:val="21"/>
              </w:rPr>
            </w:pPr>
            <w:r>
              <w:rPr>
                <w:rFonts w:ascii="Times New Roman"/>
                <w:sz w:val="21"/>
              </w:rPr>
              <w:t>6.72</w:t>
            </w:r>
          </w:p>
        </w:tc>
        <w:tc>
          <w:tcPr>
            <w:tcW w:w="787" w:type="dxa"/>
            <w:tcBorders>
              <w:top w:val="single" w:color="000000" w:sz="6" w:space="0"/>
              <w:left w:val="single" w:color="000000" w:sz="6" w:space="0"/>
              <w:bottom w:val="single" w:color="000000" w:sz="6" w:space="0"/>
              <w:right w:val="single" w:color="000000" w:sz="6" w:space="0"/>
            </w:tcBorders>
          </w:tcPr>
          <w:p w14:paraId="40D4E189">
            <w:pPr>
              <w:pStyle w:val="17"/>
              <w:spacing w:before="35"/>
              <w:ind w:left="104" w:right="78"/>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5DF5CCF1">
            <w:pPr>
              <w:pStyle w:val="17"/>
              <w:spacing w:before="35"/>
              <w:ind w:left="215"/>
              <w:jc w:val="left"/>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511BF3AA">
            <w:pPr>
              <w:pStyle w:val="17"/>
              <w:spacing w:before="35"/>
              <w:ind w:left="104" w:right="77"/>
              <w:rPr>
                <w:rFonts w:ascii="Times New Roman"/>
                <w:sz w:val="21"/>
              </w:rPr>
            </w:pPr>
            <w:r>
              <w:rPr>
                <w:rFonts w:ascii="Times New Roman"/>
                <w:sz w:val="21"/>
              </w:rPr>
              <w:t>4.70</w:t>
            </w:r>
          </w:p>
        </w:tc>
        <w:tc>
          <w:tcPr>
            <w:tcW w:w="787" w:type="dxa"/>
            <w:tcBorders>
              <w:top w:val="single" w:color="000000" w:sz="6" w:space="0"/>
              <w:left w:val="single" w:color="000000" w:sz="6" w:space="0"/>
              <w:bottom w:val="single" w:color="000000" w:sz="6" w:space="0"/>
              <w:right w:val="single" w:color="000000" w:sz="6" w:space="0"/>
            </w:tcBorders>
          </w:tcPr>
          <w:p w14:paraId="2008D1CF">
            <w:pPr>
              <w:pStyle w:val="17"/>
              <w:spacing w:before="35"/>
              <w:ind w:left="104" w:right="77"/>
              <w:rPr>
                <w:rFonts w:ascii="Times New Roman"/>
                <w:sz w:val="21"/>
              </w:rPr>
            </w:pPr>
            <w:r>
              <w:rPr>
                <w:rFonts w:ascii="Times New Roman"/>
                <w:sz w:val="21"/>
              </w:rPr>
              <w:t>8.60</w:t>
            </w:r>
          </w:p>
        </w:tc>
        <w:tc>
          <w:tcPr>
            <w:tcW w:w="787" w:type="dxa"/>
            <w:tcBorders>
              <w:top w:val="single" w:color="000000" w:sz="6" w:space="0"/>
              <w:left w:val="single" w:color="000000" w:sz="6" w:space="0"/>
              <w:bottom w:val="single" w:color="000000" w:sz="6" w:space="0"/>
              <w:right w:val="single" w:color="000000" w:sz="6" w:space="0"/>
            </w:tcBorders>
          </w:tcPr>
          <w:p w14:paraId="0D9699BC">
            <w:pPr>
              <w:pStyle w:val="17"/>
              <w:spacing w:before="35"/>
              <w:ind w:left="104" w:right="76"/>
              <w:rPr>
                <w:rFonts w:ascii="Times New Roman"/>
                <w:sz w:val="21"/>
              </w:rPr>
            </w:pPr>
            <w:r>
              <w:rPr>
                <w:rFonts w:ascii="Times New Roman"/>
                <w:sz w:val="21"/>
              </w:rPr>
              <w:t>19.49</w:t>
            </w:r>
          </w:p>
        </w:tc>
        <w:tc>
          <w:tcPr>
            <w:tcW w:w="787" w:type="dxa"/>
            <w:tcBorders>
              <w:top w:val="single" w:color="000000" w:sz="6" w:space="0"/>
              <w:left w:val="single" w:color="000000" w:sz="6" w:space="0"/>
              <w:bottom w:val="single" w:color="000000" w:sz="6" w:space="0"/>
              <w:right w:val="single" w:color="000000" w:sz="6" w:space="0"/>
            </w:tcBorders>
          </w:tcPr>
          <w:p w14:paraId="5A2202A1">
            <w:pPr>
              <w:pStyle w:val="17"/>
              <w:spacing w:before="35"/>
              <w:ind w:left="104" w:right="76"/>
              <w:rPr>
                <w:rFonts w:ascii="Times New Roman"/>
                <w:sz w:val="21"/>
              </w:rPr>
            </w:pPr>
            <w:r>
              <w:rPr>
                <w:rFonts w:ascii="Times New Roman"/>
                <w:sz w:val="21"/>
              </w:rPr>
              <w:t>17.47</w:t>
            </w:r>
          </w:p>
        </w:tc>
        <w:tc>
          <w:tcPr>
            <w:tcW w:w="787" w:type="dxa"/>
            <w:tcBorders>
              <w:top w:val="single" w:color="000000" w:sz="6" w:space="0"/>
              <w:left w:val="single" w:color="000000" w:sz="6" w:space="0"/>
              <w:bottom w:val="single" w:color="000000" w:sz="6" w:space="0"/>
              <w:right w:val="single" w:color="000000" w:sz="6" w:space="0"/>
            </w:tcBorders>
          </w:tcPr>
          <w:p w14:paraId="22DD1D18">
            <w:pPr>
              <w:pStyle w:val="17"/>
              <w:spacing w:before="35"/>
              <w:ind w:left="104" w:right="75"/>
              <w:rPr>
                <w:rFonts w:ascii="Times New Roman"/>
                <w:sz w:val="21"/>
              </w:rPr>
            </w:pPr>
            <w:r>
              <w:rPr>
                <w:rFonts w:ascii="Times New Roman"/>
                <w:sz w:val="21"/>
              </w:rPr>
              <w:t>10.89</w:t>
            </w:r>
          </w:p>
        </w:tc>
        <w:tc>
          <w:tcPr>
            <w:tcW w:w="787" w:type="dxa"/>
            <w:tcBorders>
              <w:top w:val="single" w:color="000000" w:sz="6" w:space="0"/>
              <w:left w:val="single" w:color="000000" w:sz="6" w:space="0"/>
              <w:bottom w:val="single" w:color="000000" w:sz="6" w:space="0"/>
              <w:right w:val="single" w:color="000000" w:sz="6" w:space="0"/>
            </w:tcBorders>
          </w:tcPr>
          <w:p w14:paraId="3EB14DC9">
            <w:pPr>
              <w:pStyle w:val="17"/>
              <w:spacing w:before="35"/>
              <w:ind w:left="216"/>
              <w:jc w:val="left"/>
              <w:rPr>
                <w:rFonts w:ascii="Times New Roman"/>
                <w:sz w:val="21"/>
              </w:rPr>
            </w:pPr>
            <w:r>
              <w:rPr>
                <w:rFonts w:ascii="Times New Roman"/>
                <w:sz w:val="21"/>
              </w:rPr>
              <w:t>2.42</w:t>
            </w:r>
          </w:p>
        </w:tc>
        <w:tc>
          <w:tcPr>
            <w:tcW w:w="787" w:type="dxa"/>
            <w:tcBorders>
              <w:top w:val="single" w:color="000000" w:sz="6" w:space="0"/>
              <w:left w:val="single" w:color="000000" w:sz="6" w:space="0"/>
              <w:bottom w:val="single" w:color="000000" w:sz="6" w:space="0"/>
              <w:right w:val="single" w:color="000000" w:sz="6" w:space="0"/>
            </w:tcBorders>
          </w:tcPr>
          <w:p w14:paraId="693551AA">
            <w:pPr>
              <w:pStyle w:val="17"/>
              <w:spacing w:before="35"/>
              <w:ind w:left="216"/>
              <w:jc w:val="left"/>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524A09A6">
            <w:pPr>
              <w:pStyle w:val="17"/>
              <w:spacing w:before="35"/>
              <w:ind w:left="104" w:right="77"/>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11EFD073">
            <w:pPr>
              <w:pStyle w:val="17"/>
              <w:spacing w:before="35"/>
              <w:ind w:left="104" w:right="79"/>
              <w:rPr>
                <w:rFonts w:ascii="Times New Roman"/>
                <w:sz w:val="21"/>
              </w:rPr>
            </w:pPr>
            <w:r>
              <w:rPr>
                <w:rFonts w:ascii="Times New Roman"/>
                <w:sz w:val="21"/>
              </w:rPr>
              <w:t>3.36</w:t>
            </w:r>
          </w:p>
        </w:tc>
        <w:tc>
          <w:tcPr>
            <w:tcW w:w="787" w:type="dxa"/>
            <w:tcBorders>
              <w:top w:val="single" w:color="000000" w:sz="6" w:space="0"/>
              <w:left w:val="single" w:color="000000" w:sz="6" w:space="0"/>
              <w:bottom w:val="single" w:color="000000" w:sz="6" w:space="0"/>
              <w:right w:val="single" w:color="000000" w:sz="6" w:space="0"/>
            </w:tcBorders>
          </w:tcPr>
          <w:p w14:paraId="0208578E">
            <w:pPr>
              <w:pStyle w:val="17"/>
              <w:spacing w:before="35"/>
              <w:ind w:left="104" w:right="78"/>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092E1C49">
            <w:pPr>
              <w:pStyle w:val="17"/>
              <w:spacing w:before="35"/>
              <w:ind w:left="104" w:right="78"/>
              <w:rPr>
                <w:rFonts w:ascii="Times New Roman"/>
                <w:sz w:val="21"/>
              </w:rPr>
            </w:pPr>
            <w:r>
              <w:rPr>
                <w:rFonts w:ascii="Times New Roman"/>
                <w:sz w:val="21"/>
              </w:rPr>
              <w:t>2.69</w:t>
            </w:r>
          </w:p>
        </w:tc>
        <w:tc>
          <w:tcPr>
            <w:tcW w:w="787" w:type="dxa"/>
            <w:tcBorders>
              <w:top w:val="single" w:color="000000" w:sz="6" w:space="0"/>
              <w:left w:val="single" w:color="000000" w:sz="6" w:space="0"/>
              <w:bottom w:val="single" w:color="000000" w:sz="6" w:space="0"/>
              <w:right w:val="single" w:color="000000" w:sz="6" w:space="0"/>
            </w:tcBorders>
          </w:tcPr>
          <w:p w14:paraId="5E55F093">
            <w:pPr>
              <w:pStyle w:val="17"/>
              <w:spacing w:before="35"/>
              <w:ind w:right="186"/>
              <w:jc w:val="right"/>
              <w:rPr>
                <w:rFonts w:ascii="Times New Roman"/>
                <w:sz w:val="21"/>
              </w:rPr>
            </w:pPr>
            <w:r>
              <w:rPr>
                <w:rFonts w:ascii="Times New Roman"/>
                <w:sz w:val="21"/>
              </w:rPr>
              <w:t>4.30</w:t>
            </w:r>
          </w:p>
        </w:tc>
        <w:tc>
          <w:tcPr>
            <w:tcW w:w="803" w:type="dxa"/>
            <w:tcBorders>
              <w:top w:val="single" w:color="000000" w:sz="6" w:space="0"/>
              <w:left w:val="single" w:color="000000" w:sz="6" w:space="0"/>
              <w:bottom w:val="single" w:color="000000" w:sz="6" w:space="0"/>
              <w:right w:val="nil"/>
            </w:tcBorders>
          </w:tcPr>
          <w:p w14:paraId="6E7E4996">
            <w:pPr>
              <w:pStyle w:val="17"/>
              <w:spacing w:before="35"/>
              <w:ind w:left="222"/>
              <w:jc w:val="left"/>
              <w:rPr>
                <w:rFonts w:ascii="Times New Roman"/>
                <w:sz w:val="21"/>
              </w:rPr>
            </w:pPr>
            <w:r>
              <w:rPr>
                <w:rFonts w:ascii="Times New Roman"/>
                <w:sz w:val="21"/>
              </w:rPr>
              <w:t>0.00</w:t>
            </w:r>
          </w:p>
        </w:tc>
      </w:tr>
      <w:tr w14:paraId="704D52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2EBC04AE">
            <w:pPr>
              <w:pStyle w:val="17"/>
              <w:spacing w:before="20"/>
              <w:ind w:left="33"/>
              <w:rPr>
                <w:sz w:val="21"/>
              </w:rPr>
            </w:pPr>
            <w:r>
              <w:rPr>
                <w:rFonts w:ascii="Times New Roman" w:eastAsia="Times New Roman"/>
                <w:sz w:val="21"/>
              </w:rPr>
              <w:t xml:space="preserve">8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1A6B9B93">
            <w:pPr>
              <w:pStyle w:val="17"/>
              <w:spacing w:before="34"/>
              <w:ind w:left="141" w:right="113"/>
              <w:rPr>
                <w:rFonts w:ascii="Times New Roman"/>
                <w:sz w:val="21"/>
              </w:rPr>
            </w:pPr>
            <w:r>
              <w:rPr>
                <w:rFonts w:ascii="Times New Roman"/>
                <w:sz w:val="21"/>
              </w:rPr>
              <w:t>18.55</w:t>
            </w:r>
          </w:p>
        </w:tc>
        <w:tc>
          <w:tcPr>
            <w:tcW w:w="787" w:type="dxa"/>
            <w:tcBorders>
              <w:top w:val="single" w:color="000000" w:sz="6" w:space="0"/>
              <w:left w:val="single" w:color="000000" w:sz="6" w:space="0"/>
              <w:bottom w:val="single" w:color="000000" w:sz="6" w:space="0"/>
              <w:right w:val="single" w:color="000000" w:sz="6" w:space="0"/>
            </w:tcBorders>
          </w:tcPr>
          <w:p w14:paraId="1437EEBF">
            <w:pPr>
              <w:pStyle w:val="17"/>
              <w:spacing w:before="34"/>
              <w:ind w:left="214"/>
              <w:jc w:val="left"/>
              <w:rPr>
                <w:rFonts w:ascii="Times New Roman"/>
                <w:sz w:val="21"/>
              </w:rPr>
            </w:pPr>
            <w:r>
              <w:rPr>
                <w:rFonts w:ascii="Times New Roman"/>
                <w:sz w:val="21"/>
              </w:rPr>
              <w:t>8.33</w:t>
            </w:r>
          </w:p>
        </w:tc>
        <w:tc>
          <w:tcPr>
            <w:tcW w:w="787" w:type="dxa"/>
            <w:tcBorders>
              <w:top w:val="single" w:color="000000" w:sz="6" w:space="0"/>
              <w:left w:val="single" w:color="000000" w:sz="6" w:space="0"/>
              <w:bottom w:val="single" w:color="000000" w:sz="6" w:space="0"/>
              <w:right w:val="single" w:color="000000" w:sz="6" w:space="0"/>
            </w:tcBorders>
          </w:tcPr>
          <w:p w14:paraId="4B3E110A">
            <w:pPr>
              <w:pStyle w:val="17"/>
              <w:spacing w:before="34"/>
              <w:ind w:left="104" w:right="78"/>
              <w:rPr>
                <w:rFonts w:ascii="Times New Roman"/>
                <w:sz w:val="21"/>
              </w:rPr>
            </w:pPr>
            <w:r>
              <w:rPr>
                <w:rFonts w:ascii="Times New Roman"/>
                <w:sz w:val="21"/>
              </w:rPr>
              <w:t>3.63</w:t>
            </w:r>
          </w:p>
        </w:tc>
        <w:tc>
          <w:tcPr>
            <w:tcW w:w="787" w:type="dxa"/>
            <w:tcBorders>
              <w:top w:val="single" w:color="000000" w:sz="6" w:space="0"/>
              <w:left w:val="single" w:color="000000" w:sz="6" w:space="0"/>
              <w:bottom w:val="single" w:color="000000" w:sz="6" w:space="0"/>
              <w:right w:val="single" w:color="000000" w:sz="6" w:space="0"/>
            </w:tcBorders>
          </w:tcPr>
          <w:p w14:paraId="563B9324">
            <w:pPr>
              <w:pStyle w:val="17"/>
              <w:spacing w:before="34"/>
              <w:ind w:left="215"/>
              <w:jc w:val="left"/>
              <w:rPr>
                <w:rFonts w:ascii="Times New Roman"/>
                <w:sz w:val="21"/>
              </w:rPr>
            </w:pPr>
            <w:r>
              <w:rPr>
                <w:rFonts w:ascii="Times New Roman"/>
                <w:sz w:val="21"/>
              </w:rPr>
              <w:t>4.57</w:t>
            </w:r>
          </w:p>
        </w:tc>
        <w:tc>
          <w:tcPr>
            <w:tcW w:w="787" w:type="dxa"/>
            <w:tcBorders>
              <w:top w:val="single" w:color="000000" w:sz="6" w:space="0"/>
              <w:left w:val="single" w:color="000000" w:sz="6" w:space="0"/>
              <w:bottom w:val="single" w:color="000000" w:sz="6" w:space="0"/>
              <w:right w:val="single" w:color="000000" w:sz="6" w:space="0"/>
            </w:tcBorders>
          </w:tcPr>
          <w:p w14:paraId="0EFF22F7">
            <w:pPr>
              <w:pStyle w:val="17"/>
              <w:spacing w:before="34"/>
              <w:ind w:left="104" w:right="77"/>
              <w:rPr>
                <w:rFonts w:ascii="Times New Roman"/>
                <w:sz w:val="21"/>
              </w:rPr>
            </w:pPr>
            <w:r>
              <w:rPr>
                <w:rFonts w:ascii="Times New Roman"/>
                <w:sz w:val="21"/>
              </w:rPr>
              <w:t>13.84</w:t>
            </w:r>
          </w:p>
        </w:tc>
        <w:tc>
          <w:tcPr>
            <w:tcW w:w="787" w:type="dxa"/>
            <w:tcBorders>
              <w:top w:val="single" w:color="000000" w:sz="6" w:space="0"/>
              <w:left w:val="single" w:color="000000" w:sz="6" w:space="0"/>
              <w:bottom w:val="single" w:color="000000" w:sz="6" w:space="0"/>
              <w:right w:val="single" w:color="000000" w:sz="6" w:space="0"/>
            </w:tcBorders>
          </w:tcPr>
          <w:p w14:paraId="28B010AD">
            <w:pPr>
              <w:pStyle w:val="17"/>
              <w:spacing w:before="34"/>
              <w:ind w:left="104" w:right="77"/>
              <w:rPr>
                <w:rFonts w:ascii="Times New Roman"/>
                <w:sz w:val="21"/>
              </w:rPr>
            </w:pPr>
            <w:r>
              <w:rPr>
                <w:rFonts w:ascii="Times New Roman"/>
                <w:sz w:val="21"/>
              </w:rPr>
              <w:t>10.22</w:t>
            </w:r>
          </w:p>
        </w:tc>
        <w:tc>
          <w:tcPr>
            <w:tcW w:w="787" w:type="dxa"/>
            <w:tcBorders>
              <w:top w:val="single" w:color="000000" w:sz="6" w:space="0"/>
              <w:left w:val="single" w:color="000000" w:sz="6" w:space="0"/>
              <w:bottom w:val="single" w:color="000000" w:sz="6" w:space="0"/>
              <w:right w:val="single" w:color="000000" w:sz="6" w:space="0"/>
            </w:tcBorders>
          </w:tcPr>
          <w:p w14:paraId="140FC5B2">
            <w:pPr>
              <w:pStyle w:val="17"/>
              <w:spacing w:before="34"/>
              <w:ind w:left="104" w:right="76"/>
              <w:rPr>
                <w:rFonts w:ascii="Times New Roman"/>
                <w:sz w:val="21"/>
              </w:rPr>
            </w:pPr>
            <w:r>
              <w:rPr>
                <w:rFonts w:ascii="Times New Roman"/>
                <w:sz w:val="21"/>
              </w:rPr>
              <w:t>8.20</w:t>
            </w:r>
          </w:p>
        </w:tc>
        <w:tc>
          <w:tcPr>
            <w:tcW w:w="787" w:type="dxa"/>
            <w:tcBorders>
              <w:top w:val="single" w:color="000000" w:sz="6" w:space="0"/>
              <w:left w:val="single" w:color="000000" w:sz="6" w:space="0"/>
              <w:bottom w:val="single" w:color="000000" w:sz="6" w:space="0"/>
              <w:right w:val="single" w:color="000000" w:sz="6" w:space="0"/>
            </w:tcBorders>
          </w:tcPr>
          <w:p w14:paraId="2A5F6D6D">
            <w:pPr>
              <w:pStyle w:val="17"/>
              <w:spacing w:before="34"/>
              <w:ind w:left="104" w:right="76"/>
              <w:rPr>
                <w:rFonts w:ascii="Times New Roman"/>
                <w:sz w:val="21"/>
              </w:rPr>
            </w:pPr>
            <w:r>
              <w:rPr>
                <w:rFonts w:ascii="Times New Roman"/>
                <w:sz w:val="21"/>
              </w:rPr>
              <w:t>6.72</w:t>
            </w:r>
          </w:p>
        </w:tc>
        <w:tc>
          <w:tcPr>
            <w:tcW w:w="787" w:type="dxa"/>
            <w:tcBorders>
              <w:top w:val="single" w:color="000000" w:sz="6" w:space="0"/>
              <w:left w:val="single" w:color="000000" w:sz="6" w:space="0"/>
              <w:bottom w:val="single" w:color="000000" w:sz="6" w:space="0"/>
              <w:right w:val="single" w:color="000000" w:sz="6" w:space="0"/>
            </w:tcBorders>
          </w:tcPr>
          <w:p w14:paraId="3D880726">
            <w:pPr>
              <w:pStyle w:val="17"/>
              <w:spacing w:before="34"/>
              <w:ind w:left="104" w:right="75"/>
              <w:rPr>
                <w:rFonts w:ascii="Times New Roman"/>
                <w:sz w:val="21"/>
              </w:rPr>
            </w:pPr>
            <w:r>
              <w:rPr>
                <w:rFonts w:ascii="Times New Roman"/>
                <w:sz w:val="21"/>
              </w:rPr>
              <w:t>2.96</w:t>
            </w:r>
          </w:p>
        </w:tc>
        <w:tc>
          <w:tcPr>
            <w:tcW w:w="787" w:type="dxa"/>
            <w:tcBorders>
              <w:top w:val="single" w:color="000000" w:sz="6" w:space="0"/>
              <w:left w:val="single" w:color="000000" w:sz="6" w:space="0"/>
              <w:bottom w:val="single" w:color="000000" w:sz="6" w:space="0"/>
              <w:right w:val="single" w:color="000000" w:sz="6" w:space="0"/>
            </w:tcBorders>
          </w:tcPr>
          <w:p w14:paraId="0E329FD5">
            <w:pPr>
              <w:pStyle w:val="17"/>
              <w:spacing w:before="34"/>
              <w:ind w:left="216"/>
              <w:jc w:val="left"/>
              <w:rPr>
                <w:rFonts w:ascii="Times New Roman"/>
                <w:sz w:val="21"/>
              </w:rPr>
            </w:pPr>
            <w:r>
              <w:rPr>
                <w:rFonts w:ascii="Times New Roman"/>
                <w:sz w:val="21"/>
              </w:rPr>
              <w:t>1.08</w:t>
            </w:r>
          </w:p>
        </w:tc>
        <w:tc>
          <w:tcPr>
            <w:tcW w:w="787" w:type="dxa"/>
            <w:tcBorders>
              <w:top w:val="single" w:color="000000" w:sz="6" w:space="0"/>
              <w:left w:val="single" w:color="000000" w:sz="6" w:space="0"/>
              <w:bottom w:val="single" w:color="000000" w:sz="6" w:space="0"/>
              <w:right w:val="single" w:color="000000" w:sz="6" w:space="0"/>
            </w:tcBorders>
          </w:tcPr>
          <w:p w14:paraId="326552EB">
            <w:pPr>
              <w:pStyle w:val="17"/>
              <w:spacing w:before="34"/>
              <w:ind w:left="216"/>
              <w:jc w:val="left"/>
              <w:rPr>
                <w:rFonts w:ascii="Times New Roman"/>
                <w:sz w:val="21"/>
              </w:rPr>
            </w:pPr>
            <w:r>
              <w:rPr>
                <w:rFonts w:ascii="Times New Roman"/>
                <w:sz w:val="21"/>
              </w:rPr>
              <w:t>0.81</w:t>
            </w:r>
          </w:p>
        </w:tc>
        <w:tc>
          <w:tcPr>
            <w:tcW w:w="787" w:type="dxa"/>
            <w:tcBorders>
              <w:top w:val="single" w:color="000000" w:sz="6" w:space="0"/>
              <w:left w:val="single" w:color="000000" w:sz="6" w:space="0"/>
              <w:bottom w:val="single" w:color="000000" w:sz="6" w:space="0"/>
              <w:right w:val="single" w:color="000000" w:sz="6" w:space="0"/>
            </w:tcBorders>
          </w:tcPr>
          <w:p w14:paraId="682A00E5">
            <w:pPr>
              <w:pStyle w:val="17"/>
              <w:spacing w:before="34"/>
              <w:ind w:left="104" w:right="77"/>
              <w:rPr>
                <w:rFonts w:ascii="Times New Roman"/>
                <w:sz w:val="21"/>
              </w:rPr>
            </w:pPr>
            <w:r>
              <w:rPr>
                <w:rFonts w:ascii="Times New Roman"/>
                <w:sz w:val="21"/>
              </w:rPr>
              <w:t>1.61</w:t>
            </w:r>
          </w:p>
        </w:tc>
        <w:tc>
          <w:tcPr>
            <w:tcW w:w="787" w:type="dxa"/>
            <w:tcBorders>
              <w:top w:val="single" w:color="000000" w:sz="6" w:space="0"/>
              <w:left w:val="single" w:color="000000" w:sz="6" w:space="0"/>
              <w:bottom w:val="single" w:color="000000" w:sz="6" w:space="0"/>
              <w:right w:val="single" w:color="000000" w:sz="6" w:space="0"/>
            </w:tcBorders>
          </w:tcPr>
          <w:p w14:paraId="58DE38AF">
            <w:pPr>
              <w:pStyle w:val="17"/>
              <w:spacing w:before="34"/>
              <w:ind w:left="104" w:right="79"/>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55D42435">
            <w:pPr>
              <w:pStyle w:val="17"/>
              <w:spacing w:before="34"/>
              <w:ind w:left="104" w:right="78"/>
              <w:rPr>
                <w:rFonts w:ascii="Times New Roman"/>
                <w:sz w:val="21"/>
              </w:rPr>
            </w:pPr>
            <w:r>
              <w:rPr>
                <w:rFonts w:ascii="Times New Roman"/>
                <w:sz w:val="21"/>
              </w:rPr>
              <w:t>3.36</w:t>
            </w:r>
          </w:p>
        </w:tc>
        <w:tc>
          <w:tcPr>
            <w:tcW w:w="787" w:type="dxa"/>
            <w:tcBorders>
              <w:top w:val="single" w:color="000000" w:sz="6" w:space="0"/>
              <w:left w:val="single" w:color="000000" w:sz="6" w:space="0"/>
              <w:bottom w:val="single" w:color="000000" w:sz="6" w:space="0"/>
              <w:right w:val="single" w:color="000000" w:sz="6" w:space="0"/>
            </w:tcBorders>
          </w:tcPr>
          <w:p w14:paraId="14DBDBC2">
            <w:pPr>
              <w:pStyle w:val="17"/>
              <w:spacing w:before="34"/>
              <w:ind w:left="104" w:right="78"/>
              <w:rPr>
                <w:rFonts w:ascii="Times New Roman"/>
                <w:sz w:val="21"/>
              </w:rPr>
            </w:pPr>
            <w:r>
              <w:rPr>
                <w:rFonts w:ascii="Times New Roman"/>
                <w:sz w:val="21"/>
              </w:rPr>
              <w:t>4.97</w:t>
            </w:r>
          </w:p>
        </w:tc>
        <w:tc>
          <w:tcPr>
            <w:tcW w:w="787" w:type="dxa"/>
            <w:tcBorders>
              <w:top w:val="single" w:color="000000" w:sz="6" w:space="0"/>
              <w:left w:val="single" w:color="000000" w:sz="6" w:space="0"/>
              <w:bottom w:val="single" w:color="000000" w:sz="6" w:space="0"/>
              <w:right w:val="single" w:color="000000" w:sz="6" w:space="0"/>
            </w:tcBorders>
          </w:tcPr>
          <w:p w14:paraId="2EBBC3B1">
            <w:pPr>
              <w:pStyle w:val="17"/>
              <w:spacing w:before="34"/>
              <w:ind w:right="186"/>
              <w:jc w:val="right"/>
              <w:rPr>
                <w:rFonts w:ascii="Times New Roman"/>
                <w:sz w:val="21"/>
              </w:rPr>
            </w:pPr>
            <w:r>
              <w:rPr>
                <w:rFonts w:ascii="Times New Roman"/>
                <w:sz w:val="21"/>
              </w:rPr>
              <w:t>6.85</w:t>
            </w:r>
          </w:p>
        </w:tc>
        <w:tc>
          <w:tcPr>
            <w:tcW w:w="803" w:type="dxa"/>
            <w:tcBorders>
              <w:top w:val="single" w:color="000000" w:sz="6" w:space="0"/>
              <w:left w:val="single" w:color="000000" w:sz="6" w:space="0"/>
              <w:bottom w:val="single" w:color="000000" w:sz="6" w:space="0"/>
              <w:right w:val="nil"/>
            </w:tcBorders>
          </w:tcPr>
          <w:p w14:paraId="1E7291A9">
            <w:pPr>
              <w:pStyle w:val="17"/>
              <w:spacing w:before="34"/>
              <w:ind w:left="222"/>
              <w:jc w:val="left"/>
              <w:rPr>
                <w:rFonts w:ascii="Times New Roman"/>
                <w:sz w:val="21"/>
              </w:rPr>
            </w:pPr>
            <w:r>
              <w:rPr>
                <w:rFonts w:ascii="Times New Roman"/>
                <w:sz w:val="21"/>
              </w:rPr>
              <w:t>0.13</w:t>
            </w:r>
          </w:p>
        </w:tc>
      </w:tr>
      <w:tr w14:paraId="336311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67721285">
            <w:pPr>
              <w:pStyle w:val="17"/>
              <w:spacing w:before="22"/>
              <w:ind w:left="33"/>
              <w:rPr>
                <w:sz w:val="21"/>
              </w:rPr>
            </w:pPr>
            <w:r>
              <w:rPr>
                <w:rFonts w:ascii="Times New Roman" w:eastAsia="Times New Roman"/>
                <w:sz w:val="21"/>
              </w:rPr>
              <w:t xml:space="preserve">9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06ED4D73">
            <w:pPr>
              <w:pStyle w:val="17"/>
              <w:spacing w:before="36"/>
              <w:ind w:left="141" w:right="113"/>
              <w:rPr>
                <w:rFonts w:ascii="Times New Roman"/>
                <w:sz w:val="21"/>
              </w:rPr>
            </w:pPr>
            <w:r>
              <w:rPr>
                <w:rFonts w:ascii="Times New Roman"/>
                <w:sz w:val="21"/>
              </w:rPr>
              <w:t>18.33</w:t>
            </w:r>
          </w:p>
        </w:tc>
        <w:tc>
          <w:tcPr>
            <w:tcW w:w="787" w:type="dxa"/>
            <w:tcBorders>
              <w:top w:val="single" w:color="000000" w:sz="6" w:space="0"/>
              <w:left w:val="single" w:color="000000" w:sz="6" w:space="0"/>
              <w:bottom w:val="single" w:color="000000" w:sz="6" w:space="0"/>
              <w:right w:val="single" w:color="000000" w:sz="6" w:space="0"/>
            </w:tcBorders>
          </w:tcPr>
          <w:p w14:paraId="5E0AAA54">
            <w:pPr>
              <w:pStyle w:val="17"/>
              <w:spacing w:before="36"/>
              <w:ind w:left="214"/>
              <w:jc w:val="left"/>
              <w:rPr>
                <w:rFonts w:ascii="Times New Roman"/>
                <w:sz w:val="21"/>
              </w:rPr>
            </w:pPr>
            <w:r>
              <w:rPr>
                <w:rFonts w:ascii="Times New Roman"/>
                <w:sz w:val="21"/>
              </w:rPr>
              <w:t>6.25</w:t>
            </w:r>
          </w:p>
        </w:tc>
        <w:tc>
          <w:tcPr>
            <w:tcW w:w="787" w:type="dxa"/>
            <w:tcBorders>
              <w:top w:val="single" w:color="000000" w:sz="6" w:space="0"/>
              <w:left w:val="single" w:color="000000" w:sz="6" w:space="0"/>
              <w:bottom w:val="single" w:color="000000" w:sz="6" w:space="0"/>
              <w:right w:val="single" w:color="000000" w:sz="6" w:space="0"/>
            </w:tcBorders>
          </w:tcPr>
          <w:p w14:paraId="0B7AF9E2">
            <w:pPr>
              <w:pStyle w:val="17"/>
              <w:spacing w:before="36"/>
              <w:ind w:left="104" w:right="78"/>
              <w:rPr>
                <w:rFonts w:ascii="Times New Roman"/>
                <w:sz w:val="21"/>
              </w:rPr>
            </w:pPr>
            <w:r>
              <w:rPr>
                <w:rFonts w:ascii="Times New Roman"/>
                <w:sz w:val="21"/>
              </w:rPr>
              <w:t>3.47</w:t>
            </w:r>
          </w:p>
        </w:tc>
        <w:tc>
          <w:tcPr>
            <w:tcW w:w="787" w:type="dxa"/>
            <w:tcBorders>
              <w:top w:val="single" w:color="000000" w:sz="6" w:space="0"/>
              <w:left w:val="single" w:color="000000" w:sz="6" w:space="0"/>
              <w:bottom w:val="single" w:color="000000" w:sz="6" w:space="0"/>
              <w:right w:val="single" w:color="000000" w:sz="6" w:space="0"/>
            </w:tcBorders>
          </w:tcPr>
          <w:p w14:paraId="4A0A0A9C">
            <w:pPr>
              <w:pStyle w:val="17"/>
              <w:spacing w:before="36"/>
              <w:ind w:left="215"/>
              <w:jc w:val="left"/>
              <w:rPr>
                <w:rFonts w:ascii="Times New Roman"/>
                <w:sz w:val="21"/>
              </w:rPr>
            </w:pPr>
            <w:r>
              <w:rPr>
                <w:rFonts w:ascii="Times New Roman"/>
                <w:sz w:val="21"/>
              </w:rPr>
              <w:t>2.36</w:t>
            </w:r>
          </w:p>
        </w:tc>
        <w:tc>
          <w:tcPr>
            <w:tcW w:w="787" w:type="dxa"/>
            <w:tcBorders>
              <w:top w:val="single" w:color="000000" w:sz="6" w:space="0"/>
              <w:left w:val="single" w:color="000000" w:sz="6" w:space="0"/>
              <w:bottom w:val="single" w:color="000000" w:sz="6" w:space="0"/>
              <w:right w:val="single" w:color="000000" w:sz="6" w:space="0"/>
            </w:tcBorders>
          </w:tcPr>
          <w:p w14:paraId="048A920A">
            <w:pPr>
              <w:pStyle w:val="17"/>
              <w:spacing w:before="36"/>
              <w:ind w:left="104" w:right="77"/>
              <w:rPr>
                <w:rFonts w:ascii="Times New Roman"/>
                <w:sz w:val="21"/>
              </w:rPr>
            </w:pPr>
            <w:r>
              <w:rPr>
                <w:rFonts w:ascii="Times New Roman"/>
                <w:sz w:val="21"/>
              </w:rPr>
              <w:t>3.89</w:t>
            </w:r>
          </w:p>
        </w:tc>
        <w:tc>
          <w:tcPr>
            <w:tcW w:w="787" w:type="dxa"/>
            <w:tcBorders>
              <w:top w:val="single" w:color="000000" w:sz="6" w:space="0"/>
              <w:left w:val="single" w:color="000000" w:sz="6" w:space="0"/>
              <w:bottom w:val="single" w:color="000000" w:sz="6" w:space="0"/>
              <w:right w:val="single" w:color="000000" w:sz="6" w:space="0"/>
            </w:tcBorders>
          </w:tcPr>
          <w:p w14:paraId="406CC743">
            <w:pPr>
              <w:pStyle w:val="17"/>
              <w:spacing w:before="36"/>
              <w:ind w:left="104" w:right="77"/>
              <w:rPr>
                <w:rFonts w:ascii="Times New Roman"/>
                <w:sz w:val="21"/>
              </w:rPr>
            </w:pPr>
            <w:r>
              <w:rPr>
                <w:rFonts w:ascii="Times New Roman"/>
                <w:sz w:val="21"/>
              </w:rPr>
              <w:t>5.14</w:t>
            </w:r>
          </w:p>
        </w:tc>
        <w:tc>
          <w:tcPr>
            <w:tcW w:w="787" w:type="dxa"/>
            <w:tcBorders>
              <w:top w:val="single" w:color="000000" w:sz="6" w:space="0"/>
              <w:left w:val="single" w:color="000000" w:sz="6" w:space="0"/>
              <w:bottom w:val="single" w:color="000000" w:sz="6" w:space="0"/>
              <w:right w:val="single" w:color="000000" w:sz="6" w:space="0"/>
            </w:tcBorders>
          </w:tcPr>
          <w:p w14:paraId="7FFF1941">
            <w:pPr>
              <w:pStyle w:val="17"/>
              <w:spacing w:before="36"/>
              <w:ind w:left="104" w:right="76"/>
              <w:rPr>
                <w:rFonts w:ascii="Times New Roman"/>
                <w:sz w:val="21"/>
              </w:rPr>
            </w:pPr>
            <w:r>
              <w:rPr>
                <w:rFonts w:ascii="Times New Roman"/>
                <w:sz w:val="21"/>
              </w:rPr>
              <w:t>7.08</w:t>
            </w:r>
          </w:p>
        </w:tc>
        <w:tc>
          <w:tcPr>
            <w:tcW w:w="787" w:type="dxa"/>
            <w:tcBorders>
              <w:top w:val="single" w:color="000000" w:sz="6" w:space="0"/>
              <w:left w:val="single" w:color="000000" w:sz="6" w:space="0"/>
              <w:bottom w:val="single" w:color="000000" w:sz="6" w:space="0"/>
              <w:right w:val="single" w:color="000000" w:sz="6" w:space="0"/>
            </w:tcBorders>
          </w:tcPr>
          <w:p w14:paraId="5ECD688D">
            <w:pPr>
              <w:pStyle w:val="17"/>
              <w:spacing w:before="36"/>
              <w:ind w:left="104" w:right="76"/>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36929F29">
            <w:pPr>
              <w:pStyle w:val="17"/>
              <w:spacing w:before="36"/>
              <w:ind w:left="104" w:right="75"/>
              <w:rPr>
                <w:rFonts w:ascii="Times New Roman"/>
                <w:sz w:val="21"/>
              </w:rPr>
            </w:pPr>
            <w:r>
              <w:rPr>
                <w:rFonts w:ascii="Times New Roman"/>
                <w:sz w:val="21"/>
              </w:rPr>
              <w:t>2.64</w:t>
            </w:r>
          </w:p>
        </w:tc>
        <w:tc>
          <w:tcPr>
            <w:tcW w:w="787" w:type="dxa"/>
            <w:tcBorders>
              <w:top w:val="single" w:color="000000" w:sz="6" w:space="0"/>
              <w:left w:val="single" w:color="000000" w:sz="6" w:space="0"/>
              <w:bottom w:val="single" w:color="000000" w:sz="6" w:space="0"/>
              <w:right w:val="single" w:color="000000" w:sz="6" w:space="0"/>
            </w:tcBorders>
          </w:tcPr>
          <w:p w14:paraId="4AB1F3F6">
            <w:pPr>
              <w:pStyle w:val="17"/>
              <w:spacing w:before="36"/>
              <w:ind w:left="216"/>
              <w:jc w:val="left"/>
              <w:rPr>
                <w:rFonts w:ascii="Times New Roman"/>
                <w:sz w:val="21"/>
              </w:rPr>
            </w:pPr>
            <w:r>
              <w:rPr>
                <w:rFonts w:ascii="Times New Roman"/>
                <w:sz w:val="21"/>
              </w:rPr>
              <w:t>0.56</w:t>
            </w:r>
          </w:p>
        </w:tc>
        <w:tc>
          <w:tcPr>
            <w:tcW w:w="787" w:type="dxa"/>
            <w:tcBorders>
              <w:top w:val="single" w:color="000000" w:sz="6" w:space="0"/>
              <w:left w:val="single" w:color="000000" w:sz="6" w:space="0"/>
              <w:bottom w:val="single" w:color="000000" w:sz="6" w:space="0"/>
              <w:right w:val="single" w:color="000000" w:sz="6" w:space="0"/>
            </w:tcBorders>
          </w:tcPr>
          <w:p w14:paraId="147A3A9C">
            <w:pPr>
              <w:pStyle w:val="17"/>
              <w:spacing w:before="36"/>
              <w:ind w:left="216"/>
              <w:jc w:val="left"/>
              <w:rPr>
                <w:rFonts w:ascii="Times New Roman"/>
                <w:sz w:val="21"/>
              </w:rPr>
            </w:pPr>
            <w:r>
              <w:rPr>
                <w:rFonts w:ascii="Times New Roman"/>
                <w:sz w:val="21"/>
              </w:rPr>
              <w:t>0.42</w:t>
            </w:r>
          </w:p>
        </w:tc>
        <w:tc>
          <w:tcPr>
            <w:tcW w:w="787" w:type="dxa"/>
            <w:tcBorders>
              <w:top w:val="single" w:color="000000" w:sz="6" w:space="0"/>
              <w:left w:val="single" w:color="000000" w:sz="6" w:space="0"/>
              <w:bottom w:val="single" w:color="000000" w:sz="6" w:space="0"/>
              <w:right w:val="single" w:color="000000" w:sz="6" w:space="0"/>
            </w:tcBorders>
          </w:tcPr>
          <w:p w14:paraId="7FC443E1">
            <w:pPr>
              <w:pStyle w:val="17"/>
              <w:spacing w:before="36"/>
              <w:ind w:left="104" w:right="77"/>
              <w:rPr>
                <w:rFonts w:ascii="Times New Roman"/>
                <w:sz w:val="21"/>
              </w:rPr>
            </w:pPr>
            <w:r>
              <w:rPr>
                <w:rFonts w:ascii="Times New Roman"/>
                <w:sz w:val="21"/>
              </w:rPr>
              <w:t>1.53</w:t>
            </w:r>
          </w:p>
        </w:tc>
        <w:tc>
          <w:tcPr>
            <w:tcW w:w="787" w:type="dxa"/>
            <w:tcBorders>
              <w:top w:val="single" w:color="000000" w:sz="6" w:space="0"/>
              <w:left w:val="single" w:color="000000" w:sz="6" w:space="0"/>
              <w:bottom w:val="single" w:color="000000" w:sz="6" w:space="0"/>
              <w:right w:val="single" w:color="000000" w:sz="6" w:space="0"/>
            </w:tcBorders>
          </w:tcPr>
          <w:p w14:paraId="0E39B370">
            <w:pPr>
              <w:pStyle w:val="17"/>
              <w:spacing w:before="36"/>
              <w:ind w:left="104" w:right="79"/>
              <w:rPr>
                <w:rFonts w:ascii="Times New Roman"/>
                <w:sz w:val="21"/>
              </w:rPr>
            </w:pPr>
            <w:r>
              <w:rPr>
                <w:rFonts w:ascii="Times New Roman"/>
                <w:sz w:val="21"/>
              </w:rPr>
              <w:t>3.89</w:t>
            </w:r>
          </w:p>
        </w:tc>
        <w:tc>
          <w:tcPr>
            <w:tcW w:w="787" w:type="dxa"/>
            <w:tcBorders>
              <w:top w:val="single" w:color="000000" w:sz="6" w:space="0"/>
              <w:left w:val="single" w:color="000000" w:sz="6" w:space="0"/>
              <w:bottom w:val="single" w:color="000000" w:sz="6" w:space="0"/>
              <w:right w:val="single" w:color="000000" w:sz="6" w:space="0"/>
            </w:tcBorders>
          </w:tcPr>
          <w:p w14:paraId="6669CF6E">
            <w:pPr>
              <w:pStyle w:val="17"/>
              <w:spacing w:before="36"/>
              <w:ind w:left="104" w:right="78"/>
              <w:rPr>
                <w:rFonts w:ascii="Times New Roman"/>
                <w:sz w:val="21"/>
              </w:rPr>
            </w:pPr>
            <w:r>
              <w:rPr>
                <w:rFonts w:ascii="Times New Roman"/>
                <w:sz w:val="21"/>
              </w:rPr>
              <w:t>6.39</w:t>
            </w:r>
          </w:p>
        </w:tc>
        <w:tc>
          <w:tcPr>
            <w:tcW w:w="787" w:type="dxa"/>
            <w:tcBorders>
              <w:top w:val="single" w:color="000000" w:sz="6" w:space="0"/>
              <w:left w:val="single" w:color="000000" w:sz="6" w:space="0"/>
              <w:bottom w:val="single" w:color="000000" w:sz="6" w:space="0"/>
              <w:right w:val="single" w:color="000000" w:sz="6" w:space="0"/>
            </w:tcBorders>
          </w:tcPr>
          <w:p w14:paraId="246B0307">
            <w:pPr>
              <w:pStyle w:val="17"/>
              <w:spacing w:before="36"/>
              <w:ind w:left="104" w:right="75"/>
              <w:rPr>
                <w:rFonts w:ascii="Times New Roman"/>
                <w:sz w:val="21"/>
              </w:rPr>
            </w:pPr>
            <w:r>
              <w:rPr>
                <w:rFonts w:ascii="Times New Roman"/>
                <w:sz w:val="21"/>
              </w:rPr>
              <w:t>14.86</w:t>
            </w:r>
          </w:p>
        </w:tc>
        <w:tc>
          <w:tcPr>
            <w:tcW w:w="787" w:type="dxa"/>
            <w:tcBorders>
              <w:top w:val="single" w:color="000000" w:sz="6" w:space="0"/>
              <w:left w:val="single" w:color="000000" w:sz="6" w:space="0"/>
              <w:bottom w:val="single" w:color="000000" w:sz="6" w:space="0"/>
              <w:right w:val="single" w:color="000000" w:sz="6" w:space="0"/>
            </w:tcBorders>
          </w:tcPr>
          <w:p w14:paraId="1F5EBA1E">
            <w:pPr>
              <w:pStyle w:val="17"/>
              <w:spacing w:before="36"/>
              <w:ind w:right="133"/>
              <w:jc w:val="right"/>
              <w:rPr>
                <w:rFonts w:ascii="Times New Roman"/>
                <w:sz w:val="21"/>
              </w:rPr>
            </w:pPr>
            <w:r>
              <w:rPr>
                <w:rFonts w:ascii="Times New Roman"/>
                <w:w w:val="95"/>
                <w:sz w:val="21"/>
              </w:rPr>
              <w:t>18.47</w:t>
            </w:r>
          </w:p>
        </w:tc>
        <w:tc>
          <w:tcPr>
            <w:tcW w:w="803" w:type="dxa"/>
            <w:tcBorders>
              <w:top w:val="single" w:color="000000" w:sz="6" w:space="0"/>
              <w:left w:val="single" w:color="000000" w:sz="6" w:space="0"/>
              <w:bottom w:val="single" w:color="000000" w:sz="6" w:space="0"/>
              <w:right w:val="nil"/>
            </w:tcBorders>
          </w:tcPr>
          <w:p w14:paraId="688968E1">
            <w:pPr>
              <w:pStyle w:val="17"/>
              <w:spacing w:before="36"/>
              <w:ind w:left="222"/>
              <w:jc w:val="left"/>
              <w:rPr>
                <w:rFonts w:ascii="Times New Roman"/>
                <w:sz w:val="21"/>
              </w:rPr>
            </w:pPr>
            <w:r>
              <w:rPr>
                <w:rFonts w:ascii="Times New Roman"/>
                <w:sz w:val="21"/>
              </w:rPr>
              <w:t>0.00</w:t>
            </w:r>
          </w:p>
        </w:tc>
      </w:tr>
      <w:tr w14:paraId="2B9A9E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20F50DE8">
            <w:pPr>
              <w:pStyle w:val="17"/>
              <w:spacing w:before="21"/>
              <w:ind w:left="33"/>
              <w:rPr>
                <w:sz w:val="21"/>
              </w:rPr>
            </w:pPr>
            <w:r>
              <w:rPr>
                <w:rFonts w:ascii="Times New Roman" w:eastAsia="Times New Roman"/>
                <w:sz w:val="21"/>
              </w:rPr>
              <w:t xml:space="preserve">10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66C15A5D">
            <w:pPr>
              <w:pStyle w:val="17"/>
              <w:spacing w:before="35"/>
              <w:ind w:left="141" w:right="113"/>
              <w:rPr>
                <w:rFonts w:ascii="Times New Roman"/>
                <w:sz w:val="21"/>
              </w:rPr>
            </w:pPr>
            <w:r>
              <w:rPr>
                <w:rFonts w:ascii="Times New Roman"/>
                <w:sz w:val="21"/>
              </w:rPr>
              <w:t>19.09</w:t>
            </w:r>
          </w:p>
        </w:tc>
        <w:tc>
          <w:tcPr>
            <w:tcW w:w="787" w:type="dxa"/>
            <w:tcBorders>
              <w:top w:val="single" w:color="000000" w:sz="6" w:space="0"/>
              <w:left w:val="single" w:color="000000" w:sz="6" w:space="0"/>
              <w:bottom w:val="single" w:color="000000" w:sz="6" w:space="0"/>
              <w:right w:val="single" w:color="000000" w:sz="6" w:space="0"/>
            </w:tcBorders>
          </w:tcPr>
          <w:p w14:paraId="08E96274">
            <w:pPr>
              <w:pStyle w:val="17"/>
              <w:spacing w:before="35"/>
              <w:ind w:left="214"/>
              <w:jc w:val="left"/>
              <w:rPr>
                <w:rFonts w:ascii="Times New Roman"/>
                <w:sz w:val="21"/>
              </w:rPr>
            </w:pPr>
            <w:r>
              <w:rPr>
                <w:rFonts w:ascii="Times New Roman"/>
                <w:sz w:val="21"/>
              </w:rPr>
              <w:t>6.99</w:t>
            </w:r>
          </w:p>
        </w:tc>
        <w:tc>
          <w:tcPr>
            <w:tcW w:w="787" w:type="dxa"/>
            <w:tcBorders>
              <w:top w:val="single" w:color="000000" w:sz="6" w:space="0"/>
              <w:left w:val="single" w:color="000000" w:sz="6" w:space="0"/>
              <w:bottom w:val="single" w:color="000000" w:sz="6" w:space="0"/>
              <w:right w:val="single" w:color="000000" w:sz="6" w:space="0"/>
            </w:tcBorders>
          </w:tcPr>
          <w:p w14:paraId="58149002">
            <w:pPr>
              <w:pStyle w:val="17"/>
              <w:spacing w:before="35"/>
              <w:ind w:left="104" w:right="78"/>
              <w:rPr>
                <w:rFonts w:ascii="Times New Roman"/>
                <w:sz w:val="21"/>
              </w:rPr>
            </w:pPr>
            <w:r>
              <w:rPr>
                <w:rFonts w:ascii="Times New Roman"/>
                <w:sz w:val="21"/>
              </w:rPr>
              <w:t>3.23</w:t>
            </w:r>
          </w:p>
        </w:tc>
        <w:tc>
          <w:tcPr>
            <w:tcW w:w="787" w:type="dxa"/>
            <w:tcBorders>
              <w:top w:val="single" w:color="000000" w:sz="6" w:space="0"/>
              <w:left w:val="single" w:color="000000" w:sz="6" w:space="0"/>
              <w:bottom w:val="single" w:color="000000" w:sz="6" w:space="0"/>
              <w:right w:val="single" w:color="000000" w:sz="6" w:space="0"/>
            </w:tcBorders>
          </w:tcPr>
          <w:p w14:paraId="259F7CE2">
            <w:pPr>
              <w:pStyle w:val="17"/>
              <w:spacing w:before="35"/>
              <w:ind w:left="215"/>
              <w:jc w:val="left"/>
              <w:rPr>
                <w:rFonts w:ascii="Times New Roman"/>
                <w:sz w:val="21"/>
              </w:rPr>
            </w:pPr>
            <w:r>
              <w:rPr>
                <w:rFonts w:ascii="Times New Roman"/>
                <w:sz w:val="21"/>
              </w:rPr>
              <w:t>1.88</w:t>
            </w:r>
          </w:p>
        </w:tc>
        <w:tc>
          <w:tcPr>
            <w:tcW w:w="787" w:type="dxa"/>
            <w:tcBorders>
              <w:top w:val="single" w:color="000000" w:sz="6" w:space="0"/>
              <w:left w:val="single" w:color="000000" w:sz="6" w:space="0"/>
              <w:bottom w:val="single" w:color="000000" w:sz="6" w:space="0"/>
              <w:right w:val="single" w:color="000000" w:sz="6" w:space="0"/>
            </w:tcBorders>
          </w:tcPr>
          <w:p w14:paraId="2A4FC3F0">
            <w:pPr>
              <w:pStyle w:val="17"/>
              <w:spacing w:before="35"/>
              <w:ind w:left="104" w:right="77"/>
              <w:rPr>
                <w:rFonts w:ascii="Times New Roman"/>
                <w:sz w:val="21"/>
              </w:rPr>
            </w:pPr>
            <w:r>
              <w:rPr>
                <w:rFonts w:ascii="Times New Roman"/>
                <w:sz w:val="21"/>
              </w:rPr>
              <w:t>9.01</w:t>
            </w:r>
          </w:p>
        </w:tc>
        <w:tc>
          <w:tcPr>
            <w:tcW w:w="787" w:type="dxa"/>
            <w:tcBorders>
              <w:top w:val="single" w:color="000000" w:sz="6" w:space="0"/>
              <w:left w:val="single" w:color="000000" w:sz="6" w:space="0"/>
              <w:bottom w:val="single" w:color="000000" w:sz="6" w:space="0"/>
              <w:right w:val="single" w:color="000000" w:sz="6" w:space="0"/>
            </w:tcBorders>
          </w:tcPr>
          <w:p w14:paraId="30415043">
            <w:pPr>
              <w:pStyle w:val="17"/>
              <w:spacing w:before="35"/>
              <w:ind w:left="104" w:right="77"/>
              <w:rPr>
                <w:rFonts w:ascii="Times New Roman"/>
                <w:sz w:val="21"/>
              </w:rPr>
            </w:pPr>
            <w:r>
              <w:rPr>
                <w:rFonts w:ascii="Times New Roman"/>
                <w:sz w:val="21"/>
              </w:rPr>
              <w:t>9.41</w:t>
            </w:r>
          </w:p>
        </w:tc>
        <w:tc>
          <w:tcPr>
            <w:tcW w:w="787" w:type="dxa"/>
            <w:tcBorders>
              <w:top w:val="single" w:color="000000" w:sz="6" w:space="0"/>
              <w:left w:val="single" w:color="000000" w:sz="6" w:space="0"/>
              <w:bottom w:val="single" w:color="000000" w:sz="6" w:space="0"/>
              <w:right w:val="single" w:color="000000" w:sz="6" w:space="0"/>
            </w:tcBorders>
          </w:tcPr>
          <w:p w14:paraId="1898FC67">
            <w:pPr>
              <w:pStyle w:val="17"/>
              <w:spacing w:before="35"/>
              <w:ind w:left="104" w:right="76"/>
              <w:rPr>
                <w:rFonts w:ascii="Times New Roman"/>
                <w:sz w:val="21"/>
              </w:rPr>
            </w:pPr>
            <w:r>
              <w:rPr>
                <w:rFonts w:ascii="Times New Roman"/>
                <w:sz w:val="21"/>
              </w:rPr>
              <w:t>5.78</w:t>
            </w:r>
          </w:p>
        </w:tc>
        <w:tc>
          <w:tcPr>
            <w:tcW w:w="787" w:type="dxa"/>
            <w:tcBorders>
              <w:top w:val="single" w:color="000000" w:sz="6" w:space="0"/>
              <w:left w:val="single" w:color="000000" w:sz="6" w:space="0"/>
              <w:bottom w:val="single" w:color="000000" w:sz="6" w:space="0"/>
              <w:right w:val="single" w:color="000000" w:sz="6" w:space="0"/>
            </w:tcBorders>
          </w:tcPr>
          <w:p w14:paraId="7D95A01A">
            <w:pPr>
              <w:pStyle w:val="17"/>
              <w:spacing w:before="35"/>
              <w:ind w:left="104" w:right="76"/>
              <w:rPr>
                <w:rFonts w:ascii="Times New Roman"/>
                <w:sz w:val="21"/>
              </w:rPr>
            </w:pPr>
            <w:r>
              <w:rPr>
                <w:rFonts w:ascii="Times New Roman"/>
                <w:sz w:val="21"/>
              </w:rPr>
              <w:t>3.09</w:t>
            </w:r>
          </w:p>
        </w:tc>
        <w:tc>
          <w:tcPr>
            <w:tcW w:w="787" w:type="dxa"/>
            <w:tcBorders>
              <w:top w:val="single" w:color="000000" w:sz="6" w:space="0"/>
              <w:left w:val="single" w:color="000000" w:sz="6" w:space="0"/>
              <w:bottom w:val="single" w:color="000000" w:sz="6" w:space="0"/>
              <w:right w:val="single" w:color="000000" w:sz="6" w:space="0"/>
            </w:tcBorders>
          </w:tcPr>
          <w:p w14:paraId="5C0D117E">
            <w:pPr>
              <w:pStyle w:val="17"/>
              <w:spacing w:before="35"/>
              <w:ind w:left="104" w:right="75"/>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5FB954EA">
            <w:pPr>
              <w:pStyle w:val="17"/>
              <w:spacing w:before="35"/>
              <w:ind w:left="216"/>
              <w:jc w:val="left"/>
              <w:rPr>
                <w:rFonts w:ascii="Times New Roman"/>
                <w:sz w:val="21"/>
              </w:rPr>
            </w:pPr>
            <w:r>
              <w:rPr>
                <w:rFonts w:ascii="Times New Roman"/>
                <w:sz w:val="21"/>
              </w:rPr>
              <w:t>1.34</w:t>
            </w:r>
          </w:p>
        </w:tc>
        <w:tc>
          <w:tcPr>
            <w:tcW w:w="787" w:type="dxa"/>
            <w:tcBorders>
              <w:top w:val="single" w:color="000000" w:sz="6" w:space="0"/>
              <w:left w:val="single" w:color="000000" w:sz="6" w:space="0"/>
              <w:bottom w:val="single" w:color="000000" w:sz="6" w:space="0"/>
              <w:right w:val="single" w:color="000000" w:sz="6" w:space="0"/>
            </w:tcBorders>
          </w:tcPr>
          <w:p w14:paraId="2AFE53C3">
            <w:pPr>
              <w:pStyle w:val="17"/>
              <w:spacing w:before="35"/>
              <w:ind w:left="216"/>
              <w:jc w:val="left"/>
              <w:rPr>
                <w:rFonts w:ascii="Times New Roman"/>
                <w:sz w:val="21"/>
              </w:rPr>
            </w:pPr>
            <w:r>
              <w:rPr>
                <w:rFonts w:ascii="Times New Roman"/>
                <w:sz w:val="21"/>
              </w:rPr>
              <w:t>0.94</w:t>
            </w:r>
          </w:p>
        </w:tc>
        <w:tc>
          <w:tcPr>
            <w:tcW w:w="787" w:type="dxa"/>
            <w:tcBorders>
              <w:top w:val="single" w:color="000000" w:sz="6" w:space="0"/>
              <w:left w:val="single" w:color="000000" w:sz="6" w:space="0"/>
              <w:bottom w:val="single" w:color="000000" w:sz="6" w:space="0"/>
              <w:right w:val="single" w:color="000000" w:sz="6" w:space="0"/>
            </w:tcBorders>
          </w:tcPr>
          <w:p w14:paraId="0CB62CC3">
            <w:pPr>
              <w:pStyle w:val="17"/>
              <w:spacing w:before="35"/>
              <w:ind w:left="104" w:right="77"/>
              <w:rPr>
                <w:rFonts w:ascii="Times New Roman"/>
                <w:sz w:val="21"/>
              </w:rPr>
            </w:pPr>
            <w:r>
              <w:rPr>
                <w:rFonts w:ascii="Times New Roman"/>
                <w:sz w:val="21"/>
              </w:rPr>
              <w:t>2.02</w:t>
            </w:r>
          </w:p>
        </w:tc>
        <w:tc>
          <w:tcPr>
            <w:tcW w:w="787" w:type="dxa"/>
            <w:tcBorders>
              <w:top w:val="single" w:color="000000" w:sz="6" w:space="0"/>
              <w:left w:val="single" w:color="000000" w:sz="6" w:space="0"/>
              <w:bottom w:val="single" w:color="000000" w:sz="6" w:space="0"/>
              <w:right w:val="single" w:color="000000" w:sz="6" w:space="0"/>
            </w:tcBorders>
          </w:tcPr>
          <w:p w14:paraId="30DDA925">
            <w:pPr>
              <w:pStyle w:val="17"/>
              <w:spacing w:before="35"/>
              <w:ind w:left="104" w:right="79"/>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1D0392F4">
            <w:pPr>
              <w:pStyle w:val="17"/>
              <w:spacing w:before="35"/>
              <w:ind w:left="104" w:right="78"/>
              <w:rPr>
                <w:rFonts w:ascii="Times New Roman"/>
                <w:sz w:val="21"/>
              </w:rPr>
            </w:pPr>
            <w:r>
              <w:rPr>
                <w:rFonts w:ascii="Times New Roman"/>
                <w:sz w:val="21"/>
              </w:rPr>
              <w:t>3.76</w:t>
            </w:r>
          </w:p>
        </w:tc>
        <w:tc>
          <w:tcPr>
            <w:tcW w:w="787" w:type="dxa"/>
            <w:tcBorders>
              <w:top w:val="single" w:color="000000" w:sz="6" w:space="0"/>
              <w:left w:val="single" w:color="000000" w:sz="6" w:space="0"/>
              <w:bottom w:val="single" w:color="000000" w:sz="6" w:space="0"/>
              <w:right w:val="single" w:color="000000" w:sz="6" w:space="0"/>
            </w:tcBorders>
          </w:tcPr>
          <w:p w14:paraId="5CBED125">
            <w:pPr>
              <w:pStyle w:val="17"/>
              <w:spacing w:before="35"/>
              <w:ind w:left="104" w:right="75"/>
              <w:rPr>
                <w:rFonts w:ascii="Times New Roman"/>
                <w:sz w:val="21"/>
              </w:rPr>
            </w:pPr>
            <w:r>
              <w:rPr>
                <w:rFonts w:ascii="Times New Roman"/>
                <w:sz w:val="21"/>
              </w:rPr>
              <w:t>13.17</w:t>
            </w:r>
          </w:p>
        </w:tc>
        <w:tc>
          <w:tcPr>
            <w:tcW w:w="787" w:type="dxa"/>
            <w:tcBorders>
              <w:top w:val="single" w:color="000000" w:sz="6" w:space="0"/>
              <w:left w:val="single" w:color="000000" w:sz="6" w:space="0"/>
              <w:bottom w:val="single" w:color="000000" w:sz="6" w:space="0"/>
              <w:right w:val="single" w:color="000000" w:sz="6" w:space="0"/>
            </w:tcBorders>
          </w:tcPr>
          <w:p w14:paraId="3032A05A">
            <w:pPr>
              <w:pStyle w:val="17"/>
              <w:spacing w:before="35"/>
              <w:ind w:right="135"/>
              <w:jc w:val="right"/>
              <w:rPr>
                <w:rFonts w:ascii="Times New Roman"/>
                <w:sz w:val="21"/>
              </w:rPr>
            </w:pPr>
            <w:r>
              <w:rPr>
                <w:rFonts w:ascii="Times New Roman"/>
                <w:w w:val="95"/>
                <w:sz w:val="21"/>
              </w:rPr>
              <w:t>14.11</w:t>
            </w:r>
          </w:p>
        </w:tc>
        <w:tc>
          <w:tcPr>
            <w:tcW w:w="803" w:type="dxa"/>
            <w:tcBorders>
              <w:top w:val="single" w:color="000000" w:sz="6" w:space="0"/>
              <w:left w:val="single" w:color="000000" w:sz="6" w:space="0"/>
              <w:bottom w:val="single" w:color="000000" w:sz="6" w:space="0"/>
              <w:right w:val="nil"/>
            </w:tcBorders>
          </w:tcPr>
          <w:p w14:paraId="0D9C389D">
            <w:pPr>
              <w:pStyle w:val="17"/>
              <w:spacing w:before="35"/>
              <w:ind w:left="222"/>
              <w:jc w:val="left"/>
              <w:rPr>
                <w:rFonts w:ascii="Times New Roman"/>
                <w:sz w:val="21"/>
              </w:rPr>
            </w:pPr>
            <w:r>
              <w:rPr>
                <w:rFonts w:ascii="Times New Roman"/>
                <w:sz w:val="21"/>
              </w:rPr>
              <w:t>0.00</w:t>
            </w:r>
          </w:p>
        </w:tc>
      </w:tr>
      <w:tr w14:paraId="1ACFBF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3FC2EED3">
            <w:pPr>
              <w:pStyle w:val="17"/>
              <w:spacing w:before="21"/>
              <w:ind w:left="35"/>
              <w:rPr>
                <w:sz w:val="21"/>
              </w:rPr>
            </w:pPr>
            <w:r>
              <w:rPr>
                <w:rFonts w:ascii="Times New Roman" w:eastAsia="Times New Roman"/>
                <w:sz w:val="21"/>
              </w:rPr>
              <w:t xml:space="preserve">11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3E5104F7">
            <w:pPr>
              <w:pStyle w:val="17"/>
              <w:spacing w:before="35"/>
              <w:ind w:left="141" w:right="113"/>
              <w:rPr>
                <w:rFonts w:ascii="Times New Roman"/>
                <w:sz w:val="21"/>
              </w:rPr>
            </w:pPr>
            <w:r>
              <w:rPr>
                <w:rFonts w:ascii="Times New Roman"/>
                <w:sz w:val="21"/>
              </w:rPr>
              <w:t>23.47</w:t>
            </w:r>
          </w:p>
        </w:tc>
        <w:tc>
          <w:tcPr>
            <w:tcW w:w="787" w:type="dxa"/>
            <w:tcBorders>
              <w:top w:val="single" w:color="000000" w:sz="6" w:space="0"/>
              <w:left w:val="single" w:color="000000" w:sz="6" w:space="0"/>
              <w:bottom w:val="single" w:color="000000" w:sz="6" w:space="0"/>
              <w:right w:val="single" w:color="000000" w:sz="6" w:space="0"/>
            </w:tcBorders>
          </w:tcPr>
          <w:p w14:paraId="7430B92E">
            <w:pPr>
              <w:pStyle w:val="17"/>
              <w:spacing w:before="35"/>
              <w:ind w:left="214"/>
              <w:jc w:val="left"/>
              <w:rPr>
                <w:rFonts w:ascii="Times New Roman"/>
                <w:sz w:val="21"/>
              </w:rPr>
            </w:pPr>
            <w:r>
              <w:rPr>
                <w:rFonts w:ascii="Times New Roman"/>
                <w:sz w:val="21"/>
              </w:rPr>
              <w:t>2.50</w:t>
            </w:r>
          </w:p>
        </w:tc>
        <w:tc>
          <w:tcPr>
            <w:tcW w:w="787" w:type="dxa"/>
            <w:tcBorders>
              <w:top w:val="single" w:color="000000" w:sz="6" w:space="0"/>
              <w:left w:val="single" w:color="000000" w:sz="6" w:space="0"/>
              <w:bottom w:val="single" w:color="000000" w:sz="6" w:space="0"/>
              <w:right w:val="single" w:color="000000" w:sz="6" w:space="0"/>
            </w:tcBorders>
          </w:tcPr>
          <w:p w14:paraId="18C6466F">
            <w:pPr>
              <w:pStyle w:val="17"/>
              <w:spacing w:before="35"/>
              <w:ind w:left="104" w:right="78"/>
              <w:rPr>
                <w:rFonts w:ascii="Times New Roman"/>
                <w:sz w:val="21"/>
              </w:rPr>
            </w:pPr>
            <w:r>
              <w:rPr>
                <w:rFonts w:ascii="Times New Roman"/>
                <w:sz w:val="21"/>
              </w:rPr>
              <w:t>1.67</w:t>
            </w:r>
          </w:p>
        </w:tc>
        <w:tc>
          <w:tcPr>
            <w:tcW w:w="787" w:type="dxa"/>
            <w:tcBorders>
              <w:top w:val="single" w:color="000000" w:sz="6" w:space="0"/>
              <w:left w:val="single" w:color="000000" w:sz="6" w:space="0"/>
              <w:bottom w:val="single" w:color="000000" w:sz="6" w:space="0"/>
              <w:right w:val="single" w:color="000000" w:sz="6" w:space="0"/>
            </w:tcBorders>
          </w:tcPr>
          <w:p w14:paraId="5059AAE7">
            <w:pPr>
              <w:pStyle w:val="17"/>
              <w:spacing w:before="35"/>
              <w:ind w:left="215"/>
              <w:jc w:val="left"/>
              <w:rPr>
                <w:rFonts w:ascii="Times New Roman"/>
                <w:sz w:val="21"/>
              </w:rPr>
            </w:pPr>
            <w:r>
              <w:rPr>
                <w:rFonts w:ascii="Times New Roman"/>
                <w:sz w:val="21"/>
              </w:rPr>
              <w:t>1.81</w:t>
            </w:r>
          </w:p>
        </w:tc>
        <w:tc>
          <w:tcPr>
            <w:tcW w:w="787" w:type="dxa"/>
            <w:tcBorders>
              <w:top w:val="single" w:color="000000" w:sz="6" w:space="0"/>
              <w:left w:val="single" w:color="000000" w:sz="6" w:space="0"/>
              <w:bottom w:val="single" w:color="000000" w:sz="6" w:space="0"/>
              <w:right w:val="single" w:color="000000" w:sz="6" w:space="0"/>
            </w:tcBorders>
          </w:tcPr>
          <w:p w14:paraId="329E0D47">
            <w:pPr>
              <w:pStyle w:val="17"/>
              <w:spacing w:before="35"/>
              <w:ind w:left="104" w:right="77"/>
              <w:rPr>
                <w:rFonts w:ascii="Times New Roman"/>
                <w:sz w:val="21"/>
              </w:rPr>
            </w:pPr>
            <w:r>
              <w:rPr>
                <w:rFonts w:ascii="Times New Roman"/>
                <w:sz w:val="21"/>
              </w:rPr>
              <w:t>6.39</w:t>
            </w:r>
          </w:p>
        </w:tc>
        <w:tc>
          <w:tcPr>
            <w:tcW w:w="787" w:type="dxa"/>
            <w:tcBorders>
              <w:top w:val="single" w:color="000000" w:sz="6" w:space="0"/>
              <w:left w:val="single" w:color="000000" w:sz="6" w:space="0"/>
              <w:bottom w:val="single" w:color="000000" w:sz="6" w:space="0"/>
              <w:right w:val="single" w:color="000000" w:sz="6" w:space="0"/>
            </w:tcBorders>
          </w:tcPr>
          <w:p w14:paraId="22526DC7">
            <w:pPr>
              <w:pStyle w:val="17"/>
              <w:spacing w:before="35"/>
              <w:ind w:left="104" w:right="77"/>
              <w:rPr>
                <w:rFonts w:ascii="Times New Roman"/>
                <w:sz w:val="21"/>
              </w:rPr>
            </w:pPr>
            <w:r>
              <w:rPr>
                <w:rFonts w:ascii="Times New Roman"/>
                <w:sz w:val="21"/>
              </w:rPr>
              <w:t>12.64</w:t>
            </w:r>
          </w:p>
        </w:tc>
        <w:tc>
          <w:tcPr>
            <w:tcW w:w="787" w:type="dxa"/>
            <w:tcBorders>
              <w:top w:val="single" w:color="000000" w:sz="6" w:space="0"/>
              <w:left w:val="single" w:color="000000" w:sz="6" w:space="0"/>
              <w:bottom w:val="single" w:color="000000" w:sz="6" w:space="0"/>
              <w:right w:val="single" w:color="000000" w:sz="6" w:space="0"/>
            </w:tcBorders>
          </w:tcPr>
          <w:p w14:paraId="15AF0F70">
            <w:pPr>
              <w:pStyle w:val="17"/>
              <w:spacing w:before="35"/>
              <w:ind w:left="104" w:right="76"/>
              <w:rPr>
                <w:rFonts w:ascii="Times New Roman"/>
                <w:sz w:val="21"/>
              </w:rPr>
            </w:pPr>
            <w:r>
              <w:rPr>
                <w:rFonts w:ascii="Times New Roman"/>
                <w:sz w:val="21"/>
              </w:rPr>
              <w:t>12.78</w:t>
            </w:r>
          </w:p>
        </w:tc>
        <w:tc>
          <w:tcPr>
            <w:tcW w:w="787" w:type="dxa"/>
            <w:tcBorders>
              <w:top w:val="single" w:color="000000" w:sz="6" w:space="0"/>
              <w:left w:val="single" w:color="000000" w:sz="6" w:space="0"/>
              <w:bottom w:val="single" w:color="000000" w:sz="6" w:space="0"/>
              <w:right w:val="single" w:color="000000" w:sz="6" w:space="0"/>
            </w:tcBorders>
          </w:tcPr>
          <w:p w14:paraId="79093DB2">
            <w:pPr>
              <w:pStyle w:val="17"/>
              <w:spacing w:before="35"/>
              <w:ind w:left="104" w:right="76"/>
              <w:rPr>
                <w:rFonts w:ascii="Times New Roman"/>
                <w:sz w:val="21"/>
              </w:rPr>
            </w:pPr>
            <w:r>
              <w:rPr>
                <w:rFonts w:ascii="Times New Roman"/>
                <w:sz w:val="21"/>
              </w:rPr>
              <w:t>8.61</w:t>
            </w:r>
          </w:p>
        </w:tc>
        <w:tc>
          <w:tcPr>
            <w:tcW w:w="787" w:type="dxa"/>
            <w:tcBorders>
              <w:top w:val="single" w:color="000000" w:sz="6" w:space="0"/>
              <w:left w:val="single" w:color="000000" w:sz="6" w:space="0"/>
              <w:bottom w:val="single" w:color="000000" w:sz="6" w:space="0"/>
              <w:right w:val="single" w:color="000000" w:sz="6" w:space="0"/>
            </w:tcBorders>
          </w:tcPr>
          <w:p w14:paraId="02AE94F5">
            <w:pPr>
              <w:pStyle w:val="17"/>
              <w:spacing w:before="35"/>
              <w:ind w:left="104" w:right="75"/>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63832E64">
            <w:pPr>
              <w:pStyle w:val="17"/>
              <w:spacing w:before="35"/>
              <w:ind w:left="216"/>
              <w:jc w:val="left"/>
              <w:rPr>
                <w:rFonts w:ascii="Times New Roman"/>
                <w:sz w:val="21"/>
              </w:rPr>
            </w:pPr>
            <w:r>
              <w:rPr>
                <w:rFonts w:ascii="Times New Roman"/>
                <w:sz w:val="21"/>
              </w:rPr>
              <w:t>0.83</w:t>
            </w:r>
          </w:p>
        </w:tc>
        <w:tc>
          <w:tcPr>
            <w:tcW w:w="787" w:type="dxa"/>
            <w:tcBorders>
              <w:top w:val="single" w:color="000000" w:sz="6" w:space="0"/>
              <w:left w:val="single" w:color="000000" w:sz="6" w:space="0"/>
              <w:bottom w:val="single" w:color="000000" w:sz="6" w:space="0"/>
              <w:right w:val="single" w:color="000000" w:sz="6" w:space="0"/>
            </w:tcBorders>
          </w:tcPr>
          <w:p w14:paraId="565F3E90">
            <w:pPr>
              <w:pStyle w:val="17"/>
              <w:spacing w:before="35"/>
              <w:ind w:left="216"/>
              <w:jc w:val="left"/>
              <w:rPr>
                <w:rFonts w:ascii="Times New Roman"/>
                <w:sz w:val="21"/>
              </w:rPr>
            </w:pPr>
            <w:r>
              <w:rPr>
                <w:rFonts w:ascii="Times New Roman"/>
                <w:sz w:val="21"/>
              </w:rPr>
              <w:t>0.69</w:t>
            </w:r>
          </w:p>
        </w:tc>
        <w:tc>
          <w:tcPr>
            <w:tcW w:w="787" w:type="dxa"/>
            <w:tcBorders>
              <w:top w:val="single" w:color="000000" w:sz="6" w:space="0"/>
              <w:left w:val="single" w:color="000000" w:sz="6" w:space="0"/>
              <w:bottom w:val="single" w:color="000000" w:sz="6" w:space="0"/>
              <w:right w:val="single" w:color="000000" w:sz="6" w:space="0"/>
            </w:tcBorders>
          </w:tcPr>
          <w:p w14:paraId="2316C2DE">
            <w:pPr>
              <w:pStyle w:val="17"/>
              <w:spacing w:before="35"/>
              <w:ind w:left="104" w:right="74"/>
              <w:rPr>
                <w:rFonts w:ascii="Times New Roman"/>
                <w:sz w:val="21"/>
              </w:rPr>
            </w:pPr>
            <w:r>
              <w:rPr>
                <w:rFonts w:ascii="Times New Roman"/>
                <w:sz w:val="21"/>
              </w:rPr>
              <w:t>1.11</w:t>
            </w:r>
          </w:p>
        </w:tc>
        <w:tc>
          <w:tcPr>
            <w:tcW w:w="787" w:type="dxa"/>
            <w:tcBorders>
              <w:top w:val="single" w:color="000000" w:sz="6" w:space="0"/>
              <w:left w:val="single" w:color="000000" w:sz="6" w:space="0"/>
              <w:bottom w:val="single" w:color="000000" w:sz="6" w:space="0"/>
              <w:right w:val="single" w:color="000000" w:sz="6" w:space="0"/>
            </w:tcBorders>
          </w:tcPr>
          <w:p w14:paraId="4C5B639A">
            <w:pPr>
              <w:pStyle w:val="17"/>
              <w:spacing w:before="35"/>
              <w:ind w:left="104" w:right="79"/>
              <w:rPr>
                <w:rFonts w:ascii="Times New Roman"/>
                <w:sz w:val="21"/>
              </w:rPr>
            </w:pPr>
            <w:r>
              <w:rPr>
                <w:rFonts w:ascii="Times New Roman"/>
                <w:sz w:val="21"/>
              </w:rPr>
              <w:t>4.58</w:t>
            </w:r>
          </w:p>
        </w:tc>
        <w:tc>
          <w:tcPr>
            <w:tcW w:w="787" w:type="dxa"/>
            <w:tcBorders>
              <w:top w:val="single" w:color="000000" w:sz="6" w:space="0"/>
              <w:left w:val="single" w:color="000000" w:sz="6" w:space="0"/>
              <w:bottom w:val="single" w:color="000000" w:sz="6" w:space="0"/>
              <w:right w:val="single" w:color="000000" w:sz="6" w:space="0"/>
            </w:tcBorders>
          </w:tcPr>
          <w:p w14:paraId="68A3C811">
            <w:pPr>
              <w:pStyle w:val="17"/>
              <w:spacing w:before="35"/>
              <w:ind w:left="104" w:right="78"/>
              <w:rPr>
                <w:rFonts w:ascii="Times New Roman"/>
                <w:sz w:val="21"/>
              </w:rPr>
            </w:pPr>
            <w:r>
              <w:rPr>
                <w:rFonts w:ascii="Times New Roman"/>
                <w:sz w:val="21"/>
              </w:rPr>
              <w:t>4.72</w:t>
            </w:r>
          </w:p>
        </w:tc>
        <w:tc>
          <w:tcPr>
            <w:tcW w:w="787" w:type="dxa"/>
            <w:tcBorders>
              <w:top w:val="single" w:color="000000" w:sz="6" w:space="0"/>
              <w:left w:val="single" w:color="000000" w:sz="6" w:space="0"/>
              <w:bottom w:val="single" w:color="000000" w:sz="6" w:space="0"/>
              <w:right w:val="single" w:color="000000" w:sz="6" w:space="0"/>
            </w:tcBorders>
          </w:tcPr>
          <w:p w14:paraId="20A6598B">
            <w:pPr>
              <w:pStyle w:val="17"/>
              <w:spacing w:before="35"/>
              <w:ind w:left="104" w:right="78"/>
              <w:rPr>
                <w:rFonts w:ascii="Times New Roman"/>
                <w:sz w:val="21"/>
              </w:rPr>
            </w:pPr>
            <w:r>
              <w:rPr>
                <w:rFonts w:ascii="Times New Roman"/>
                <w:sz w:val="21"/>
              </w:rPr>
              <w:t>5.56</w:t>
            </w:r>
          </w:p>
        </w:tc>
        <w:tc>
          <w:tcPr>
            <w:tcW w:w="787" w:type="dxa"/>
            <w:tcBorders>
              <w:top w:val="single" w:color="000000" w:sz="6" w:space="0"/>
              <w:left w:val="single" w:color="000000" w:sz="6" w:space="0"/>
              <w:bottom w:val="single" w:color="000000" w:sz="6" w:space="0"/>
              <w:right w:val="single" w:color="000000" w:sz="6" w:space="0"/>
            </w:tcBorders>
          </w:tcPr>
          <w:p w14:paraId="1BA7CA96">
            <w:pPr>
              <w:pStyle w:val="17"/>
              <w:spacing w:before="35"/>
              <w:ind w:right="133"/>
              <w:jc w:val="right"/>
              <w:rPr>
                <w:rFonts w:ascii="Times New Roman"/>
                <w:sz w:val="21"/>
              </w:rPr>
            </w:pPr>
            <w:r>
              <w:rPr>
                <w:rFonts w:ascii="Times New Roman"/>
                <w:w w:val="95"/>
                <w:sz w:val="21"/>
              </w:rPr>
              <w:t>10.28</w:t>
            </w:r>
          </w:p>
        </w:tc>
        <w:tc>
          <w:tcPr>
            <w:tcW w:w="803" w:type="dxa"/>
            <w:tcBorders>
              <w:top w:val="single" w:color="000000" w:sz="6" w:space="0"/>
              <w:left w:val="single" w:color="000000" w:sz="6" w:space="0"/>
              <w:bottom w:val="single" w:color="000000" w:sz="6" w:space="0"/>
              <w:right w:val="nil"/>
            </w:tcBorders>
          </w:tcPr>
          <w:p w14:paraId="78B74705">
            <w:pPr>
              <w:pStyle w:val="17"/>
              <w:spacing w:before="35"/>
              <w:ind w:left="222"/>
              <w:jc w:val="left"/>
              <w:rPr>
                <w:rFonts w:ascii="Times New Roman"/>
                <w:sz w:val="21"/>
              </w:rPr>
            </w:pPr>
            <w:r>
              <w:rPr>
                <w:rFonts w:ascii="Times New Roman"/>
                <w:sz w:val="21"/>
              </w:rPr>
              <w:t>0.28</w:t>
            </w:r>
          </w:p>
        </w:tc>
      </w:tr>
      <w:tr w14:paraId="205069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35E8ABAF">
            <w:pPr>
              <w:pStyle w:val="17"/>
              <w:spacing w:before="20"/>
              <w:ind w:left="33"/>
              <w:rPr>
                <w:sz w:val="21"/>
              </w:rPr>
            </w:pPr>
            <w:r>
              <w:rPr>
                <w:rFonts w:ascii="Times New Roman" w:eastAsia="Times New Roman"/>
                <w:sz w:val="21"/>
              </w:rPr>
              <w:t xml:space="preserve">12 </w:t>
            </w:r>
            <w:r>
              <w:rPr>
                <w:sz w:val="21"/>
              </w:rPr>
              <w:t>月</w:t>
            </w:r>
          </w:p>
        </w:tc>
        <w:tc>
          <w:tcPr>
            <w:tcW w:w="785" w:type="dxa"/>
            <w:tcBorders>
              <w:top w:val="single" w:color="000000" w:sz="6" w:space="0"/>
              <w:left w:val="single" w:color="000000" w:sz="6" w:space="0"/>
              <w:bottom w:val="single" w:color="000000" w:sz="6" w:space="0"/>
              <w:right w:val="single" w:color="000000" w:sz="6" w:space="0"/>
            </w:tcBorders>
          </w:tcPr>
          <w:p w14:paraId="472E9EE3">
            <w:pPr>
              <w:pStyle w:val="17"/>
              <w:spacing w:before="34"/>
              <w:ind w:left="141" w:right="113"/>
              <w:rPr>
                <w:rFonts w:ascii="Times New Roman"/>
                <w:sz w:val="21"/>
              </w:rPr>
            </w:pPr>
            <w:r>
              <w:rPr>
                <w:rFonts w:ascii="Times New Roman"/>
                <w:sz w:val="21"/>
              </w:rPr>
              <w:t>23.92</w:t>
            </w:r>
          </w:p>
        </w:tc>
        <w:tc>
          <w:tcPr>
            <w:tcW w:w="787" w:type="dxa"/>
            <w:tcBorders>
              <w:top w:val="single" w:color="000000" w:sz="6" w:space="0"/>
              <w:left w:val="single" w:color="000000" w:sz="6" w:space="0"/>
              <w:bottom w:val="single" w:color="000000" w:sz="6" w:space="0"/>
              <w:right w:val="single" w:color="000000" w:sz="6" w:space="0"/>
            </w:tcBorders>
          </w:tcPr>
          <w:p w14:paraId="25D22FC2">
            <w:pPr>
              <w:pStyle w:val="17"/>
              <w:spacing w:before="34"/>
              <w:ind w:left="214"/>
              <w:jc w:val="left"/>
              <w:rPr>
                <w:rFonts w:ascii="Times New Roman"/>
                <w:sz w:val="21"/>
              </w:rPr>
            </w:pPr>
            <w:r>
              <w:rPr>
                <w:rFonts w:ascii="Times New Roman"/>
                <w:sz w:val="21"/>
              </w:rPr>
              <w:t>8.47</w:t>
            </w:r>
          </w:p>
        </w:tc>
        <w:tc>
          <w:tcPr>
            <w:tcW w:w="787" w:type="dxa"/>
            <w:tcBorders>
              <w:top w:val="single" w:color="000000" w:sz="6" w:space="0"/>
              <w:left w:val="single" w:color="000000" w:sz="6" w:space="0"/>
              <w:bottom w:val="single" w:color="000000" w:sz="6" w:space="0"/>
              <w:right w:val="single" w:color="000000" w:sz="6" w:space="0"/>
            </w:tcBorders>
          </w:tcPr>
          <w:p w14:paraId="2C78C9AF">
            <w:pPr>
              <w:pStyle w:val="17"/>
              <w:spacing w:before="34"/>
              <w:ind w:left="104" w:right="78"/>
              <w:rPr>
                <w:rFonts w:ascii="Times New Roman"/>
                <w:sz w:val="21"/>
              </w:rPr>
            </w:pPr>
            <w:r>
              <w:rPr>
                <w:rFonts w:ascii="Times New Roman"/>
                <w:sz w:val="21"/>
              </w:rPr>
              <w:t>1.08</w:t>
            </w:r>
          </w:p>
        </w:tc>
        <w:tc>
          <w:tcPr>
            <w:tcW w:w="787" w:type="dxa"/>
            <w:tcBorders>
              <w:top w:val="single" w:color="000000" w:sz="6" w:space="0"/>
              <w:left w:val="single" w:color="000000" w:sz="6" w:space="0"/>
              <w:bottom w:val="single" w:color="000000" w:sz="6" w:space="0"/>
              <w:right w:val="single" w:color="000000" w:sz="6" w:space="0"/>
            </w:tcBorders>
          </w:tcPr>
          <w:p w14:paraId="7A51A796">
            <w:pPr>
              <w:pStyle w:val="17"/>
              <w:spacing w:before="34"/>
              <w:ind w:left="215"/>
              <w:jc w:val="left"/>
              <w:rPr>
                <w:rFonts w:ascii="Times New Roman"/>
                <w:sz w:val="21"/>
              </w:rPr>
            </w:pPr>
            <w:r>
              <w:rPr>
                <w:rFonts w:ascii="Times New Roman"/>
                <w:sz w:val="21"/>
              </w:rPr>
              <w:t>1.48</w:t>
            </w:r>
          </w:p>
        </w:tc>
        <w:tc>
          <w:tcPr>
            <w:tcW w:w="787" w:type="dxa"/>
            <w:tcBorders>
              <w:top w:val="single" w:color="000000" w:sz="6" w:space="0"/>
              <w:left w:val="single" w:color="000000" w:sz="6" w:space="0"/>
              <w:bottom w:val="single" w:color="000000" w:sz="6" w:space="0"/>
              <w:right w:val="single" w:color="000000" w:sz="6" w:space="0"/>
            </w:tcBorders>
          </w:tcPr>
          <w:p w14:paraId="78F359D0">
            <w:pPr>
              <w:pStyle w:val="17"/>
              <w:spacing w:before="34"/>
              <w:ind w:left="104" w:right="77"/>
              <w:rPr>
                <w:rFonts w:ascii="Times New Roman"/>
                <w:sz w:val="21"/>
              </w:rPr>
            </w:pPr>
            <w:r>
              <w:rPr>
                <w:rFonts w:ascii="Times New Roman"/>
                <w:sz w:val="21"/>
              </w:rPr>
              <w:t>2.82</w:t>
            </w:r>
          </w:p>
        </w:tc>
        <w:tc>
          <w:tcPr>
            <w:tcW w:w="787" w:type="dxa"/>
            <w:tcBorders>
              <w:top w:val="single" w:color="000000" w:sz="6" w:space="0"/>
              <w:left w:val="single" w:color="000000" w:sz="6" w:space="0"/>
              <w:bottom w:val="single" w:color="000000" w:sz="6" w:space="0"/>
              <w:right w:val="single" w:color="000000" w:sz="6" w:space="0"/>
            </w:tcBorders>
          </w:tcPr>
          <w:p w14:paraId="469AE9C1">
            <w:pPr>
              <w:pStyle w:val="17"/>
              <w:spacing w:before="34"/>
              <w:ind w:left="104" w:right="77"/>
              <w:rPr>
                <w:rFonts w:ascii="Times New Roman"/>
                <w:sz w:val="21"/>
              </w:rPr>
            </w:pPr>
            <w:r>
              <w:rPr>
                <w:rFonts w:ascii="Times New Roman"/>
                <w:sz w:val="21"/>
              </w:rPr>
              <w:t>5.78</w:t>
            </w:r>
          </w:p>
        </w:tc>
        <w:tc>
          <w:tcPr>
            <w:tcW w:w="787" w:type="dxa"/>
            <w:tcBorders>
              <w:top w:val="single" w:color="000000" w:sz="6" w:space="0"/>
              <w:left w:val="single" w:color="000000" w:sz="6" w:space="0"/>
              <w:bottom w:val="single" w:color="000000" w:sz="6" w:space="0"/>
              <w:right w:val="single" w:color="000000" w:sz="6" w:space="0"/>
            </w:tcBorders>
          </w:tcPr>
          <w:p w14:paraId="57604323">
            <w:pPr>
              <w:pStyle w:val="17"/>
              <w:spacing w:before="34"/>
              <w:ind w:left="104" w:right="76"/>
              <w:rPr>
                <w:rFonts w:ascii="Times New Roman"/>
                <w:sz w:val="21"/>
              </w:rPr>
            </w:pPr>
            <w:r>
              <w:rPr>
                <w:rFonts w:ascii="Times New Roman"/>
                <w:sz w:val="21"/>
              </w:rPr>
              <w:t>12.23</w:t>
            </w:r>
          </w:p>
        </w:tc>
        <w:tc>
          <w:tcPr>
            <w:tcW w:w="787" w:type="dxa"/>
            <w:tcBorders>
              <w:top w:val="single" w:color="000000" w:sz="6" w:space="0"/>
              <w:left w:val="single" w:color="000000" w:sz="6" w:space="0"/>
              <w:bottom w:val="single" w:color="000000" w:sz="6" w:space="0"/>
              <w:right w:val="single" w:color="000000" w:sz="6" w:space="0"/>
            </w:tcBorders>
          </w:tcPr>
          <w:p w14:paraId="501E483F">
            <w:pPr>
              <w:pStyle w:val="17"/>
              <w:spacing w:before="34"/>
              <w:ind w:left="104" w:right="73"/>
              <w:rPr>
                <w:rFonts w:ascii="Times New Roman"/>
                <w:sz w:val="21"/>
              </w:rPr>
            </w:pPr>
            <w:r>
              <w:rPr>
                <w:rFonts w:ascii="Times New Roman"/>
                <w:sz w:val="21"/>
              </w:rPr>
              <w:t>5.11</w:t>
            </w:r>
          </w:p>
        </w:tc>
        <w:tc>
          <w:tcPr>
            <w:tcW w:w="787" w:type="dxa"/>
            <w:tcBorders>
              <w:top w:val="single" w:color="000000" w:sz="6" w:space="0"/>
              <w:left w:val="single" w:color="000000" w:sz="6" w:space="0"/>
              <w:bottom w:val="single" w:color="000000" w:sz="6" w:space="0"/>
              <w:right w:val="single" w:color="000000" w:sz="6" w:space="0"/>
            </w:tcBorders>
          </w:tcPr>
          <w:p w14:paraId="6AF59172">
            <w:pPr>
              <w:pStyle w:val="17"/>
              <w:spacing w:before="34"/>
              <w:ind w:left="104" w:right="75"/>
              <w:rPr>
                <w:rFonts w:ascii="Times New Roman"/>
                <w:sz w:val="21"/>
              </w:rPr>
            </w:pPr>
            <w:r>
              <w:rPr>
                <w:rFonts w:ascii="Times New Roman"/>
                <w:sz w:val="21"/>
              </w:rPr>
              <w:t>2.28</w:t>
            </w:r>
          </w:p>
        </w:tc>
        <w:tc>
          <w:tcPr>
            <w:tcW w:w="787" w:type="dxa"/>
            <w:tcBorders>
              <w:top w:val="single" w:color="000000" w:sz="6" w:space="0"/>
              <w:left w:val="single" w:color="000000" w:sz="6" w:space="0"/>
              <w:bottom w:val="single" w:color="000000" w:sz="6" w:space="0"/>
              <w:right w:val="single" w:color="000000" w:sz="6" w:space="0"/>
            </w:tcBorders>
          </w:tcPr>
          <w:p w14:paraId="7633A01F">
            <w:pPr>
              <w:pStyle w:val="17"/>
              <w:spacing w:before="34"/>
              <w:ind w:left="216"/>
              <w:jc w:val="left"/>
              <w:rPr>
                <w:rFonts w:ascii="Times New Roman"/>
                <w:sz w:val="21"/>
              </w:rPr>
            </w:pPr>
            <w:r>
              <w:rPr>
                <w:rFonts w:ascii="Times New Roman"/>
                <w:sz w:val="21"/>
              </w:rPr>
              <w:t>1.21</w:t>
            </w:r>
          </w:p>
        </w:tc>
        <w:tc>
          <w:tcPr>
            <w:tcW w:w="787" w:type="dxa"/>
            <w:tcBorders>
              <w:top w:val="single" w:color="000000" w:sz="6" w:space="0"/>
              <w:left w:val="single" w:color="000000" w:sz="6" w:space="0"/>
              <w:bottom w:val="single" w:color="000000" w:sz="6" w:space="0"/>
              <w:right w:val="single" w:color="000000" w:sz="6" w:space="0"/>
            </w:tcBorders>
          </w:tcPr>
          <w:p w14:paraId="5ED1584D">
            <w:pPr>
              <w:pStyle w:val="17"/>
              <w:spacing w:before="34"/>
              <w:ind w:left="216"/>
              <w:jc w:val="left"/>
              <w:rPr>
                <w:rFonts w:ascii="Times New Roman"/>
                <w:sz w:val="21"/>
              </w:rPr>
            </w:pPr>
            <w:r>
              <w:rPr>
                <w:rFonts w:ascii="Times New Roman"/>
                <w:sz w:val="21"/>
              </w:rPr>
              <w:t>1.48</w:t>
            </w:r>
          </w:p>
        </w:tc>
        <w:tc>
          <w:tcPr>
            <w:tcW w:w="787" w:type="dxa"/>
            <w:tcBorders>
              <w:top w:val="single" w:color="000000" w:sz="6" w:space="0"/>
              <w:left w:val="single" w:color="000000" w:sz="6" w:space="0"/>
              <w:bottom w:val="single" w:color="000000" w:sz="6" w:space="0"/>
              <w:right w:val="single" w:color="000000" w:sz="6" w:space="0"/>
            </w:tcBorders>
          </w:tcPr>
          <w:p w14:paraId="3050E949">
            <w:pPr>
              <w:pStyle w:val="17"/>
              <w:spacing w:before="34"/>
              <w:ind w:left="104" w:right="77"/>
              <w:rPr>
                <w:rFonts w:ascii="Times New Roman"/>
                <w:sz w:val="21"/>
              </w:rPr>
            </w:pPr>
            <w:r>
              <w:rPr>
                <w:rFonts w:ascii="Times New Roman"/>
                <w:sz w:val="21"/>
              </w:rPr>
              <w:t>3.09</w:t>
            </w:r>
          </w:p>
        </w:tc>
        <w:tc>
          <w:tcPr>
            <w:tcW w:w="787" w:type="dxa"/>
            <w:tcBorders>
              <w:top w:val="single" w:color="000000" w:sz="6" w:space="0"/>
              <w:left w:val="single" w:color="000000" w:sz="6" w:space="0"/>
              <w:bottom w:val="single" w:color="000000" w:sz="6" w:space="0"/>
              <w:right w:val="single" w:color="000000" w:sz="6" w:space="0"/>
            </w:tcBorders>
          </w:tcPr>
          <w:p w14:paraId="19C97892">
            <w:pPr>
              <w:pStyle w:val="17"/>
              <w:spacing w:before="34"/>
              <w:ind w:left="104" w:right="79"/>
              <w:rPr>
                <w:rFonts w:ascii="Times New Roman"/>
                <w:sz w:val="21"/>
              </w:rPr>
            </w:pPr>
            <w:r>
              <w:rPr>
                <w:rFonts w:ascii="Times New Roman"/>
                <w:sz w:val="21"/>
              </w:rPr>
              <w:t>8.87</w:t>
            </w:r>
          </w:p>
        </w:tc>
        <w:tc>
          <w:tcPr>
            <w:tcW w:w="787" w:type="dxa"/>
            <w:tcBorders>
              <w:top w:val="single" w:color="000000" w:sz="6" w:space="0"/>
              <w:left w:val="single" w:color="000000" w:sz="6" w:space="0"/>
              <w:bottom w:val="single" w:color="000000" w:sz="6" w:space="0"/>
              <w:right w:val="single" w:color="000000" w:sz="6" w:space="0"/>
            </w:tcBorders>
          </w:tcPr>
          <w:p w14:paraId="0FD3C93C">
            <w:pPr>
              <w:pStyle w:val="17"/>
              <w:spacing w:before="34"/>
              <w:ind w:left="104" w:right="78"/>
              <w:rPr>
                <w:rFonts w:ascii="Times New Roman"/>
                <w:sz w:val="21"/>
              </w:rPr>
            </w:pPr>
            <w:r>
              <w:rPr>
                <w:rFonts w:ascii="Times New Roman"/>
                <w:sz w:val="21"/>
              </w:rPr>
              <w:t>4.84</w:t>
            </w:r>
          </w:p>
        </w:tc>
        <w:tc>
          <w:tcPr>
            <w:tcW w:w="787" w:type="dxa"/>
            <w:tcBorders>
              <w:top w:val="single" w:color="000000" w:sz="6" w:space="0"/>
              <w:left w:val="single" w:color="000000" w:sz="6" w:space="0"/>
              <w:bottom w:val="single" w:color="000000" w:sz="6" w:space="0"/>
              <w:right w:val="single" w:color="000000" w:sz="6" w:space="0"/>
            </w:tcBorders>
          </w:tcPr>
          <w:p w14:paraId="181AFD44">
            <w:pPr>
              <w:pStyle w:val="17"/>
              <w:spacing w:before="34"/>
              <w:ind w:left="104" w:right="78"/>
              <w:rPr>
                <w:rFonts w:ascii="Times New Roman"/>
                <w:sz w:val="21"/>
              </w:rPr>
            </w:pPr>
            <w:r>
              <w:rPr>
                <w:rFonts w:ascii="Times New Roman"/>
                <w:sz w:val="21"/>
              </w:rPr>
              <w:t>7.80</w:t>
            </w:r>
          </w:p>
        </w:tc>
        <w:tc>
          <w:tcPr>
            <w:tcW w:w="787" w:type="dxa"/>
            <w:tcBorders>
              <w:top w:val="single" w:color="000000" w:sz="6" w:space="0"/>
              <w:left w:val="single" w:color="000000" w:sz="6" w:space="0"/>
              <w:bottom w:val="single" w:color="000000" w:sz="6" w:space="0"/>
              <w:right w:val="single" w:color="000000" w:sz="6" w:space="0"/>
            </w:tcBorders>
          </w:tcPr>
          <w:p w14:paraId="6EC7B5FE">
            <w:pPr>
              <w:pStyle w:val="17"/>
              <w:spacing w:before="34"/>
              <w:ind w:right="186"/>
              <w:jc w:val="right"/>
              <w:rPr>
                <w:rFonts w:ascii="Times New Roman"/>
                <w:sz w:val="21"/>
              </w:rPr>
            </w:pPr>
            <w:r>
              <w:rPr>
                <w:rFonts w:ascii="Times New Roman"/>
                <w:sz w:val="21"/>
              </w:rPr>
              <w:t>9.27</w:t>
            </w:r>
          </w:p>
        </w:tc>
        <w:tc>
          <w:tcPr>
            <w:tcW w:w="803" w:type="dxa"/>
            <w:tcBorders>
              <w:top w:val="single" w:color="000000" w:sz="6" w:space="0"/>
              <w:left w:val="single" w:color="000000" w:sz="6" w:space="0"/>
              <w:bottom w:val="single" w:color="000000" w:sz="6" w:space="0"/>
              <w:right w:val="nil"/>
            </w:tcBorders>
          </w:tcPr>
          <w:p w14:paraId="49E86056">
            <w:pPr>
              <w:pStyle w:val="17"/>
              <w:spacing w:before="34"/>
              <w:ind w:left="222"/>
              <w:jc w:val="left"/>
              <w:rPr>
                <w:rFonts w:ascii="Times New Roman"/>
                <w:sz w:val="21"/>
              </w:rPr>
            </w:pPr>
            <w:r>
              <w:rPr>
                <w:rFonts w:ascii="Times New Roman"/>
                <w:sz w:val="21"/>
              </w:rPr>
              <w:t>0.27</w:t>
            </w:r>
          </w:p>
        </w:tc>
      </w:tr>
      <w:tr w14:paraId="77125E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6EB9C244">
            <w:pPr>
              <w:pStyle w:val="17"/>
              <w:spacing w:before="22"/>
              <w:ind w:left="33"/>
              <w:rPr>
                <w:sz w:val="21"/>
              </w:rPr>
            </w:pPr>
            <w:r>
              <w:rPr>
                <w:sz w:val="21"/>
              </w:rPr>
              <w:t>春季</w:t>
            </w:r>
          </w:p>
        </w:tc>
        <w:tc>
          <w:tcPr>
            <w:tcW w:w="785" w:type="dxa"/>
            <w:tcBorders>
              <w:top w:val="single" w:color="000000" w:sz="6" w:space="0"/>
              <w:left w:val="single" w:color="000000" w:sz="6" w:space="0"/>
              <w:bottom w:val="single" w:color="000000" w:sz="6" w:space="0"/>
              <w:right w:val="single" w:color="000000" w:sz="6" w:space="0"/>
            </w:tcBorders>
          </w:tcPr>
          <w:p w14:paraId="112035E8">
            <w:pPr>
              <w:pStyle w:val="17"/>
              <w:spacing w:before="36"/>
              <w:ind w:left="141" w:right="113"/>
              <w:rPr>
                <w:rFonts w:ascii="Times New Roman"/>
                <w:sz w:val="21"/>
              </w:rPr>
            </w:pPr>
            <w:r>
              <w:rPr>
                <w:rFonts w:ascii="Times New Roman"/>
                <w:sz w:val="21"/>
              </w:rPr>
              <w:t>17.39</w:t>
            </w:r>
          </w:p>
        </w:tc>
        <w:tc>
          <w:tcPr>
            <w:tcW w:w="787" w:type="dxa"/>
            <w:tcBorders>
              <w:top w:val="single" w:color="000000" w:sz="6" w:space="0"/>
              <w:left w:val="single" w:color="000000" w:sz="6" w:space="0"/>
              <w:bottom w:val="single" w:color="000000" w:sz="6" w:space="0"/>
              <w:right w:val="single" w:color="000000" w:sz="6" w:space="0"/>
            </w:tcBorders>
          </w:tcPr>
          <w:p w14:paraId="37ED6BC2">
            <w:pPr>
              <w:pStyle w:val="17"/>
              <w:spacing w:before="36"/>
              <w:ind w:left="214"/>
              <w:jc w:val="left"/>
              <w:rPr>
                <w:rFonts w:ascii="Times New Roman"/>
                <w:sz w:val="21"/>
              </w:rPr>
            </w:pPr>
            <w:r>
              <w:rPr>
                <w:rFonts w:ascii="Times New Roman"/>
                <w:sz w:val="21"/>
              </w:rPr>
              <w:t>2.26</w:t>
            </w:r>
          </w:p>
        </w:tc>
        <w:tc>
          <w:tcPr>
            <w:tcW w:w="787" w:type="dxa"/>
            <w:tcBorders>
              <w:top w:val="single" w:color="000000" w:sz="6" w:space="0"/>
              <w:left w:val="single" w:color="000000" w:sz="6" w:space="0"/>
              <w:bottom w:val="single" w:color="000000" w:sz="6" w:space="0"/>
              <w:right w:val="single" w:color="000000" w:sz="6" w:space="0"/>
            </w:tcBorders>
          </w:tcPr>
          <w:p w14:paraId="28D51AAD">
            <w:pPr>
              <w:pStyle w:val="17"/>
              <w:spacing w:before="36"/>
              <w:ind w:left="104" w:right="78"/>
              <w:rPr>
                <w:rFonts w:ascii="Times New Roman"/>
                <w:sz w:val="21"/>
              </w:rPr>
            </w:pPr>
            <w:r>
              <w:rPr>
                <w:rFonts w:ascii="Times New Roman"/>
                <w:sz w:val="21"/>
              </w:rPr>
              <w:t>1.72</w:t>
            </w:r>
          </w:p>
        </w:tc>
        <w:tc>
          <w:tcPr>
            <w:tcW w:w="787" w:type="dxa"/>
            <w:tcBorders>
              <w:top w:val="single" w:color="000000" w:sz="6" w:space="0"/>
              <w:left w:val="single" w:color="000000" w:sz="6" w:space="0"/>
              <w:bottom w:val="single" w:color="000000" w:sz="6" w:space="0"/>
              <w:right w:val="single" w:color="000000" w:sz="6" w:space="0"/>
            </w:tcBorders>
          </w:tcPr>
          <w:p w14:paraId="3F43F21F">
            <w:pPr>
              <w:pStyle w:val="17"/>
              <w:spacing w:before="36"/>
              <w:ind w:left="215"/>
              <w:jc w:val="left"/>
              <w:rPr>
                <w:rFonts w:ascii="Times New Roman"/>
                <w:sz w:val="21"/>
              </w:rPr>
            </w:pPr>
            <w:r>
              <w:rPr>
                <w:rFonts w:ascii="Times New Roman"/>
                <w:sz w:val="21"/>
              </w:rPr>
              <w:t>1.99</w:t>
            </w:r>
          </w:p>
        </w:tc>
        <w:tc>
          <w:tcPr>
            <w:tcW w:w="787" w:type="dxa"/>
            <w:tcBorders>
              <w:top w:val="single" w:color="000000" w:sz="6" w:space="0"/>
              <w:left w:val="single" w:color="000000" w:sz="6" w:space="0"/>
              <w:bottom w:val="single" w:color="000000" w:sz="6" w:space="0"/>
              <w:right w:val="single" w:color="000000" w:sz="6" w:space="0"/>
            </w:tcBorders>
          </w:tcPr>
          <w:p w14:paraId="3254A711">
            <w:pPr>
              <w:pStyle w:val="17"/>
              <w:spacing w:before="36"/>
              <w:ind w:left="104" w:right="77"/>
              <w:rPr>
                <w:rFonts w:ascii="Times New Roman"/>
                <w:sz w:val="21"/>
              </w:rPr>
            </w:pPr>
            <w:r>
              <w:rPr>
                <w:rFonts w:ascii="Times New Roman"/>
                <w:sz w:val="21"/>
              </w:rPr>
              <w:t>3.71</w:t>
            </w:r>
          </w:p>
        </w:tc>
        <w:tc>
          <w:tcPr>
            <w:tcW w:w="787" w:type="dxa"/>
            <w:tcBorders>
              <w:top w:val="single" w:color="000000" w:sz="6" w:space="0"/>
              <w:left w:val="single" w:color="000000" w:sz="6" w:space="0"/>
              <w:bottom w:val="single" w:color="000000" w:sz="6" w:space="0"/>
              <w:right w:val="single" w:color="000000" w:sz="6" w:space="0"/>
            </w:tcBorders>
          </w:tcPr>
          <w:p w14:paraId="2A47673E">
            <w:pPr>
              <w:pStyle w:val="17"/>
              <w:spacing w:before="36"/>
              <w:ind w:left="104" w:right="77"/>
              <w:rPr>
                <w:rFonts w:ascii="Times New Roman"/>
                <w:sz w:val="21"/>
              </w:rPr>
            </w:pPr>
            <w:r>
              <w:rPr>
                <w:rFonts w:ascii="Times New Roman"/>
                <w:sz w:val="21"/>
              </w:rPr>
              <w:t>8.47</w:t>
            </w:r>
          </w:p>
        </w:tc>
        <w:tc>
          <w:tcPr>
            <w:tcW w:w="787" w:type="dxa"/>
            <w:tcBorders>
              <w:top w:val="single" w:color="000000" w:sz="6" w:space="0"/>
              <w:left w:val="single" w:color="000000" w:sz="6" w:space="0"/>
              <w:bottom w:val="single" w:color="000000" w:sz="6" w:space="0"/>
              <w:right w:val="single" w:color="000000" w:sz="6" w:space="0"/>
            </w:tcBorders>
          </w:tcPr>
          <w:p w14:paraId="56CFF23D">
            <w:pPr>
              <w:pStyle w:val="17"/>
              <w:spacing w:before="36"/>
              <w:ind w:left="104" w:right="76"/>
              <w:rPr>
                <w:rFonts w:ascii="Times New Roman"/>
                <w:sz w:val="21"/>
              </w:rPr>
            </w:pPr>
            <w:r>
              <w:rPr>
                <w:rFonts w:ascii="Times New Roman"/>
                <w:sz w:val="21"/>
              </w:rPr>
              <w:t>14.90</w:t>
            </w:r>
          </w:p>
        </w:tc>
        <w:tc>
          <w:tcPr>
            <w:tcW w:w="787" w:type="dxa"/>
            <w:tcBorders>
              <w:top w:val="single" w:color="000000" w:sz="6" w:space="0"/>
              <w:left w:val="single" w:color="000000" w:sz="6" w:space="0"/>
              <w:bottom w:val="single" w:color="000000" w:sz="6" w:space="0"/>
              <w:right w:val="single" w:color="000000" w:sz="6" w:space="0"/>
            </w:tcBorders>
          </w:tcPr>
          <w:p w14:paraId="37052164">
            <w:pPr>
              <w:pStyle w:val="17"/>
              <w:spacing w:before="36"/>
              <w:ind w:left="104" w:right="76"/>
              <w:rPr>
                <w:rFonts w:ascii="Times New Roman"/>
                <w:sz w:val="21"/>
              </w:rPr>
            </w:pPr>
            <w:r>
              <w:rPr>
                <w:rFonts w:ascii="Times New Roman"/>
                <w:sz w:val="21"/>
              </w:rPr>
              <w:t>10.87</w:t>
            </w:r>
          </w:p>
        </w:tc>
        <w:tc>
          <w:tcPr>
            <w:tcW w:w="787" w:type="dxa"/>
            <w:tcBorders>
              <w:top w:val="single" w:color="000000" w:sz="6" w:space="0"/>
              <w:left w:val="single" w:color="000000" w:sz="6" w:space="0"/>
              <w:bottom w:val="single" w:color="000000" w:sz="6" w:space="0"/>
              <w:right w:val="single" w:color="000000" w:sz="6" w:space="0"/>
            </w:tcBorders>
          </w:tcPr>
          <w:p w14:paraId="06D337B9">
            <w:pPr>
              <w:pStyle w:val="17"/>
              <w:spacing w:before="36"/>
              <w:ind w:left="104" w:right="75"/>
              <w:rPr>
                <w:rFonts w:ascii="Times New Roman"/>
                <w:sz w:val="21"/>
              </w:rPr>
            </w:pPr>
            <w:r>
              <w:rPr>
                <w:rFonts w:ascii="Times New Roman"/>
                <w:sz w:val="21"/>
              </w:rPr>
              <w:t>4.85</w:t>
            </w:r>
          </w:p>
        </w:tc>
        <w:tc>
          <w:tcPr>
            <w:tcW w:w="787" w:type="dxa"/>
            <w:tcBorders>
              <w:top w:val="single" w:color="000000" w:sz="6" w:space="0"/>
              <w:left w:val="single" w:color="000000" w:sz="6" w:space="0"/>
              <w:bottom w:val="single" w:color="000000" w:sz="6" w:space="0"/>
              <w:right w:val="single" w:color="000000" w:sz="6" w:space="0"/>
            </w:tcBorders>
          </w:tcPr>
          <w:p w14:paraId="4AEED1E7">
            <w:pPr>
              <w:pStyle w:val="17"/>
              <w:spacing w:before="36"/>
              <w:ind w:left="216"/>
              <w:jc w:val="left"/>
              <w:rPr>
                <w:rFonts w:ascii="Times New Roman"/>
                <w:sz w:val="21"/>
              </w:rPr>
            </w:pPr>
            <w:r>
              <w:rPr>
                <w:rFonts w:ascii="Times New Roman"/>
                <w:sz w:val="21"/>
              </w:rPr>
              <w:t>1.27</w:t>
            </w:r>
          </w:p>
        </w:tc>
        <w:tc>
          <w:tcPr>
            <w:tcW w:w="787" w:type="dxa"/>
            <w:tcBorders>
              <w:top w:val="single" w:color="000000" w:sz="6" w:space="0"/>
              <w:left w:val="single" w:color="000000" w:sz="6" w:space="0"/>
              <w:bottom w:val="single" w:color="000000" w:sz="6" w:space="0"/>
              <w:right w:val="single" w:color="000000" w:sz="6" w:space="0"/>
            </w:tcBorders>
          </w:tcPr>
          <w:p w14:paraId="462625E9">
            <w:pPr>
              <w:pStyle w:val="17"/>
              <w:spacing w:before="36"/>
              <w:ind w:left="216"/>
              <w:jc w:val="left"/>
              <w:rPr>
                <w:rFonts w:ascii="Times New Roman"/>
                <w:sz w:val="21"/>
              </w:rPr>
            </w:pPr>
            <w:r>
              <w:rPr>
                <w:rFonts w:ascii="Times New Roman"/>
                <w:sz w:val="21"/>
              </w:rPr>
              <w:t>1.45</w:t>
            </w:r>
          </w:p>
        </w:tc>
        <w:tc>
          <w:tcPr>
            <w:tcW w:w="787" w:type="dxa"/>
            <w:tcBorders>
              <w:top w:val="single" w:color="000000" w:sz="6" w:space="0"/>
              <w:left w:val="single" w:color="000000" w:sz="6" w:space="0"/>
              <w:bottom w:val="single" w:color="000000" w:sz="6" w:space="0"/>
              <w:right w:val="single" w:color="000000" w:sz="6" w:space="0"/>
            </w:tcBorders>
          </w:tcPr>
          <w:p w14:paraId="3254AEA9">
            <w:pPr>
              <w:pStyle w:val="17"/>
              <w:spacing w:before="36"/>
              <w:ind w:left="104" w:right="77"/>
              <w:rPr>
                <w:rFonts w:ascii="Times New Roman"/>
                <w:sz w:val="21"/>
              </w:rPr>
            </w:pPr>
            <w:r>
              <w:rPr>
                <w:rFonts w:ascii="Times New Roman"/>
                <w:sz w:val="21"/>
              </w:rPr>
              <w:t>1.95</w:t>
            </w:r>
          </w:p>
        </w:tc>
        <w:tc>
          <w:tcPr>
            <w:tcW w:w="787" w:type="dxa"/>
            <w:tcBorders>
              <w:top w:val="single" w:color="000000" w:sz="6" w:space="0"/>
              <w:left w:val="single" w:color="000000" w:sz="6" w:space="0"/>
              <w:bottom w:val="single" w:color="000000" w:sz="6" w:space="0"/>
              <w:right w:val="single" w:color="000000" w:sz="6" w:space="0"/>
            </w:tcBorders>
          </w:tcPr>
          <w:p w14:paraId="4AF4C059">
            <w:pPr>
              <w:pStyle w:val="17"/>
              <w:spacing w:before="36"/>
              <w:ind w:left="104" w:right="79"/>
              <w:rPr>
                <w:rFonts w:ascii="Times New Roman"/>
                <w:sz w:val="21"/>
              </w:rPr>
            </w:pPr>
            <w:r>
              <w:rPr>
                <w:rFonts w:ascii="Times New Roman"/>
                <w:sz w:val="21"/>
              </w:rPr>
              <w:t>5.75</w:t>
            </w:r>
          </w:p>
        </w:tc>
        <w:tc>
          <w:tcPr>
            <w:tcW w:w="787" w:type="dxa"/>
            <w:tcBorders>
              <w:top w:val="single" w:color="000000" w:sz="6" w:space="0"/>
              <w:left w:val="single" w:color="000000" w:sz="6" w:space="0"/>
              <w:bottom w:val="single" w:color="000000" w:sz="6" w:space="0"/>
              <w:right w:val="single" w:color="000000" w:sz="6" w:space="0"/>
            </w:tcBorders>
          </w:tcPr>
          <w:p w14:paraId="0A9DAF20">
            <w:pPr>
              <w:pStyle w:val="17"/>
              <w:spacing w:before="36"/>
              <w:ind w:left="104" w:right="78"/>
              <w:rPr>
                <w:rFonts w:ascii="Times New Roman"/>
                <w:sz w:val="21"/>
              </w:rPr>
            </w:pPr>
            <w:r>
              <w:rPr>
                <w:rFonts w:ascii="Times New Roman"/>
                <w:sz w:val="21"/>
              </w:rPr>
              <w:t>4.80</w:t>
            </w:r>
          </w:p>
        </w:tc>
        <w:tc>
          <w:tcPr>
            <w:tcW w:w="787" w:type="dxa"/>
            <w:tcBorders>
              <w:top w:val="single" w:color="000000" w:sz="6" w:space="0"/>
              <w:left w:val="single" w:color="000000" w:sz="6" w:space="0"/>
              <w:bottom w:val="single" w:color="000000" w:sz="6" w:space="0"/>
              <w:right w:val="single" w:color="000000" w:sz="6" w:space="0"/>
            </w:tcBorders>
          </w:tcPr>
          <w:p w14:paraId="41D65829">
            <w:pPr>
              <w:pStyle w:val="17"/>
              <w:spacing w:before="36"/>
              <w:ind w:left="104" w:right="78"/>
              <w:rPr>
                <w:rFonts w:ascii="Times New Roman"/>
                <w:sz w:val="21"/>
              </w:rPr>
            </w:pPr>
            <w:r>
              <w:rPr>
                <w:rFonts w:ascii="Times New Roman"/>
                <w:sz w:val="21"/>
              </w:rPr>
              <w:t>6.70</w:t>
            </w:r>
          </w:p>
        </w:tc>
        <w:tc>
          <w:tcPr>
            <w:tcW w:w="787" w:type="dxa"/>
            <w:tcBorders>
              <w:top w:val="single" w:color="000000" w:sz="6" w:space="0"/>
              <w:left w:val="single" w:color="000000" w:sz="6" w:space="0"/>
              <w:bottom w:val="single" w:color="000000" w:sz="6" w:space="0"/>
              <w:right w:val="single" w:color="000000" w:sz="6" w:space="0"/>
            </w:tcBorders>
          </w:tcPr>
          <w:p w14:paraId="4E612BF2">
            <w:pPr>
              <w:pStyle w:val="17"/>
              <w:spacing w:before="36"/>
              <w:ind w:right="138"/>
              <w:jc w:val="right"/>
              <w:rPr>
                <w:rFonts w:ascii="Times New Roman"/>
                <w:sz w:val="21"/>
              </w:rPr>
            </w:pPr>
            <w:r>
              <w:rPr>
                <w:rFonts w:ascii="Times New Roman"/>
                <w:w w:val="95"/>
                <w:sz w:val="21"/>
              </w:rPr>
              <w:t>11.82</w:t>
            </w:r>
          </w:p>
        </w:tc>
        <w:tc>
          <w:tcPr>
            <w:tcW w:w="803" w:type="dxa"/>
            <w:tcBorders>
              <w:top w:val="single" w:color="000000" w:sz="6" w:space="0"/>
              <w:left w:val="single" w:color="000000" w:sz="6" w:space="0"/>
              <w:bottom w:val="single" w:color="000000" w:sz="6" w:space="0"/>
              <w:right w:val="nil"/>
            </w:tcBorders>
          </w:tcPr>
          <w:p w14:paraId="18BE0047">
            <w:pPr>
              <w:pStyle w:val="17"/>
              <w:spacing w:before="36"/>
              <w:ind w:left="222"/>
              <w:jc w:val="left"/>
              <w:rPr>
                <w:rFonts w:ascii="Times New Roman"/>
                <w:sz w:val="21"/>
              </w:rPr>
            </w:pPr>
            <w:r>
              <w:rPr>
                <w:rFonts w:ascii="Times New Roman"/>
                <w:sz w:val="21"/>
              </w:rPr>
              <w:t>0.09</w:t>
            </w:r>
          </w:p>
        </w:tc>
      </w:tr>
      <w:tr w14:paraId="53E074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bottom w:val="single" w:color="000000" w:sz="6" w:space="0"/>
              <w:right w:val="single" w:color="000000" w:sz="6" w:space="0"/>
            </w:tcBorders>
          </w:tcPr>
          <w:p w14:paraId="4CDBFAF7">
            <w:pPr>
              <w:pStyle w:val="17"/>
              <w:spacing w:before="21"/>
              <w:ind w:left="33"/>
              <w:rPr>
                <w:sz w:val="21"/>
              </w:rPr>
            </w:pPr>
            <w:r>
              <w:rPr>
                <w:sz w:val="21"/>
              </w:rPr>
              <w:t>夏季</w:t>
            </w:r>
          </w:p>
        </w:tc>
        <w:tc>
          <w:tcPr>
            <w:tcW w:w="785" w:type="dxa"/>
            <w:tcBorders>
              <w:top w:val="single" w:color="000000" w:sz="6" w:space="0"/>
              <w:left w:val="single" w:color="000000" w:sz="6" w:space="0"/>
              <w:bottom w:val="single" w:color="000000" w:sz="6" w:space="0"/>
              <w:right w:val="single" w:color="000000" w:sz="6" w:space="0"/>
            </w:tcBorders>
          </w:tcPr>
          <w:p w14:paraId="2D1A17BE">
            <w:pPr>
              <w:pStyle w:val="17"/>
              <w:spacing w:before="35"/>
              <w:ind w:left="141" w:right="113"/>
              <w:rPr>
                <w:rFonts w:ascii="Times New Roman"/>
                <w:sz w:val="21"/>
              </w:rPr>
            </w:pPr>
            <w:r>
              <w:rPr>
                <w:rFonts w:ascii="Times New Roman"/>
                <w:sz w:val="21"/>
              </w:rPr>
              <w:t>12.00</w:t>
            </w:r>
          </w:p>
        </w:tc>
        <w:tc>
          <w:tcPr>
            <w:tcW w:w="787" w:type="dxa"/>
            <w:tcBorders>
              <w:top w:val="single" w:color="000000" w:sz="6" w:space="0"/>
              <w:left w:val="single" w:color="000000" w:sz="6" w:space="0"/>
              <w:bottom w:val="single" w:color="000000" w:sz="6" w:space="0"/>
              <w:right w:val="single" w:color="000000" w:sz="6" w:space="0"/>
            </w:tcBorders>
          </w:tcPr>
          <w:p w14:paraId="6C25D226">
            <w:pPr>
              <w:pStyle w:val="17"/>
              <w:spacing w:before="35"/>
              <w:ind w:left="214"/>
              <w:jc w:val="left"/>
              <w:rPr>
                <w:rFonts w:ascii="Times New Roman"/>
                <w:sz w:val="21"/>
              </w:rPr>
            </w:pPr>
            <w:r>
              <w:rPr>
                <w:rFonts w:ascii="Times New Roman"/>
                <w:sz w:val="21"/>
              </w:rPr>
              <w:t>5.98</w:t>
            </w:r>
          </w:p>
        </w:tc>
        <w:tc>
          <w:tcPr>
            <w:tcW w:w="787" w:type="dxa"/>
            <w:tcBorders>
              <w:top w:val="single" w:color="000000" w:sz="6" w:space="0"/>
              <w:left w:val="single" w:color="000000" w:sz="6" w:space="0"/>
              <w:bottom w:val="single" w:color="000000" w:sz="6" w:space="0"/>
              <w:right w:val="single" w:color="000000" w:sz="6" w:space="0"/>
            </w:tcBorders>
          </w:tcPr>
          <w:p w14:paraId="37D09DC3">
            <w:pPr>
              <w:pStyle w:val="17"/>
              <w:spacing w:before="35"/>
              <w:ind w:left="104" w:right="78"/>
              <w:rPr>
                <w:rFonts w:ascii="Times New Roman"/>
                <w:sz w:val="21"/>
              </w:rPr>
            </w:pPr>
            <w:r>
              <w:rPr>
                <w:rFonts w:ascii="Times New Roman"/>
                <w:sz w:val="21"/>
              </w:rPr>
              <w:t>2.58</w:t>
            </w:r>
          </w:p>
        </w:tc>
        <w:tc>
          <w:tcPr>
            <w:tcW w:w="787" w:type="dxa"/>
            <w:tcBorders>
              <w:top w:val="single" w:color="000000" w:sz="6" w:space="0"/>
              <w:left w:val="single" w:color="000000" w:sz="6" w:space="0"/>
              <w:bottom w:val="single" w:color="000000" w:sz="6" w:space="0"/>
              <w:right w:val="single" w:color="000000" w:sz="6" w:space="0"/>
            </w:tcBorders>
          </w:tcPr>
          <w:p w14:paraId="2EC93303">
            <w:pPr>
              <w:pStyle w:val="17"/>
              <w:spacing w:before="35"/>
              <w:ind w:left="215"/>
              <w:jc w:val="left"/>
              <w:rPr>
                <w:rFonts w:ascii="Times New Roman"/>
                <w:sz w:val="21"/>
              </w:rPr>
            </w:pPr>
            <w:r>
              <w:rPr>
                <w:rFonts w:ascii="Times New Roman"/>
                <w:sz w:val="21"/>
              </w:rPr>
              <w:t>2.81</w:t>
            </w:r>
          </w:p>
        </w:tc>
        <w:tc>
          <w:tcPr>
            <w:tcW w:w="787" w:type="dxa"/>
            <w:tcBorders>
              <w:top w:val="single" w:color="000000" w:sz="6" w:space="0"/>
              <w:left w:val="single" w:color="000000" w:sz="6" w:space="0"/>
              <w:bottom w:val="single" w:color="000000" w:sz="6" w:space="0"/>
              <w:right w:val="single" w:color="000000" w:sz="6" w:space="0"/>
            </w:tcBorders>
          </w:tcPr>
          <w:p w14:paraId="1F8BBABC">
            <w:pPr>
              <w:pStyle w:val="17"/>
              <w:spacing w:before="35"/>
              <w:ind w:left="104" w:right="77"/>
              <w:rPr>
                <w:rFonts w:ascii="Times New Roman"/>
                <w:sz w:val="21"/>
              </w:rPr>
            </w:pPr>
            <w:r>
              <w:rPr>
                <w:rFonts w:ascii="Times New Roman"/>
                <w:sz w:val="21"/>
              </w:rPr>
              <w:t>7.79</w:t>
            </w:r>
          </w:p>
        </w:tc>
        <w:tc>
          <w:tcPr>
            <w:tcW w:w="787" w:type="dxa"/>
            <w:tcBorders>
              <w:top w:val="single" w:color="000000" w:sz="6" w:space="0"/>
              <w:left w:val="single" w:color="000000" w:sz="6" w:space="0"/>
              <w:bottom w:val="single" w:color="000000" w:sz="6" w:space="0"/>
              <w:right w:val="single" w:color="000000" w:sz="6" w:space="0"/>
            </w:tcBorders>
          </w:tcPr>
          <w:p w14:paraId="4C25DDC3">
            <w:pPr>
              <w:pStyle w:val="17"/>
              <w:spacing w:before="35"/>
              <w:ind w:left="104" w:right="77"/>
              <w:rPr>
                <w:rFonts w:ascii="Times New Roman"/>
                <w:sz w:val="21"/>
              </w:rPr>
            </w:pPr>
            <w:r>
              <w:rPr>
                <w:rFonts w:ascii="Times New Roman"/>
                <w:sz w:val="21"/>
              </w:rPr>
              <w:t>9.06</w:t>
            </w:r>
          </w:p>
        </w:tc>
        <w:tc>
          <w:tcPr>
            <w:tcW w:w="787" w:type="dxa"/>
            <w:tcBorders>
              <w:top w:val="single" w:color="000000" w:sz="6" w:space="0"/>
              <w:left w:val="single" w:color="000000" w:sz="6" w:space="0"/>
              <w:bottom w:val="single" w:color="000000" w:sz="6" w:space="0"/>
              <w:right w:val="single" w:color="000000" w:sz="6" w:space="0"/>
            </w:tcBorders>
          </w:tcPr>
          <w:p w14:paraId="7AABE30C">
            <w:pPr>
              <w:pStyle w:val="17"/>
              <w:spacing w:before="35"/>
              <w:ind w:left="104" w:right="76"/>
              <w:rPr>
                <w:rFonts w:ascii="Times New Roman"/>
                <w:sz w:val="21"/>
              </w:rPr>
            </w:pPr>
            <w:r>
              <w:rPr>
                <w:rFonts w:ascii="Times New Roman"/>
                <w:sz w:val="21"/>
              </w:rPr>
              <w:t>12.82</w:t>
            </w:r>
          </w:p>
        </w:tc>
        <w:tc>
          <w:tcPr>
            <w:tcW w:w="787" w:type="dxa"/>
            <w:tcBorders>
              <w:top w:val="single" w:color="000000" w:sz="6" w:space="0"/>
              <w:left w:val="single" w:color="000000" w:sz="6" w:space="0"/>
              <w:bottom w:val="single" w:color="000000" w:sz="6" w:space="0"/>
              <w:right w:val="single" w:color="000000" w:sz="6" w:space="0"/>
            </w:tcBorders>
          </w:tcPr>
          <w:p w14:paraId="44743DE8">
            <w:pPr>
              <w:pStyle w:val="17"/>
              <w:spacing w:before="35"/>
              <w:ind w:left="104" w:right="76"/>
              <w:rPr>
                <w:rFonts w:ascii="Times New Roman"/>
                <w:sz w:val="21"/>
              </w:rPr>
            </w:pPr>
            <w:r>
              <w:rPr>
                <w:rFonts w:ascii="Times New Roman"/>
                <w:sz w:val="21"/>
              </w:rPr>
              <w:t>12.82</w:t>
            </w:r>
          </w:p>
        </w:tc>
        <w:tc>
          <w:tcPr>
            <w:tcW w:w="787" w:type="dxa"/>
            <w:tcBorders>
              <w:top w:val="single" w:color="000000" w:sz="6" w:space="0"/>
              <w:left w:val="single" w:color="000000" w:sz="6" w:space="0"/>
              <w:bottom w:val="single" w:color="000000" w:sz="6" w:space="0"/>
              <w:right w:val="single" w:color="000000" w:sz="6" w:space="0"/>
            </w:tcBorders>
          </w:tcPr>
          <w:p w14:paraId="2AC0A986">
            <w:pPr>
              <w:pStyle w:val="17"/>
              <w:spacing w:before="35"/>
              <w:ind w:left="104" w:right="75"/>
              <w:rPr>
                <w:rFonts w:ascii="Times New Roman"/>
                <w:sz w:val="21"/>
              </w:rPr>
            </w:pPr>
            <w:r>
              <w:rPr>
                <w:rFonts w:ascii="Times New Roman"/>
                <w:sz w:val="21"/>
              </w:rPr>
              <w:t>6.88</w:t>
            </w:r>
          </w:p>
        </w:tc>
        <w:tc>
          <w:tcPr>
            <w:tcW w:w="787" w:type="dxa"/>
            <w:tcBorders>
              <w:top w:val="single" w:color="000000" w:sz="6" w:space="0"/>
              <w:left w:val="single" w:color="000000" w:sz="6" w:space="0"/>
              <w:bottom w:val="single" w:color="000000" w:sz="6" w:space="0"/>
              <w:right w:val="single" w:color="000000" w:sz="6" w:space="0"/>
            </w:tcBorders>
          </w:tcPr>
          <w:p w14:paraId="12A13BEE">
            <w:pPr>
              <w:pStyle w:val="17"/>
              <w:spacing w:before="35"/>
              <w:ind w:left="216"/>
              <w:jc w:val="left"/>
              <w:rPr>
                <w:rFonts w:ascii="Times New Roman"/>
                <w:sz w:val="21"/>
              </w:rPr>
            </w:pPr>
            <w:r>
              <w:rPr>
                <w:rFonts w:ascii="Times New Roman"/>
                <w:sz w:val="21"/>
              </w:rPr>
              <w:t>2.04</w:t>
            </w:r>
          </w:p>
        </w:tc>
        <w:tc>
          <w:tcPr>
            <w:tcW w:w="787" w:type="dxa"/>
            <w:tcBorders>
              <w:top w:val="single" w:color="000000" w:sz="6" w:space="0"/>
              <w:left w:val="single" w:color="000000" w:sz="6" w:space="0"/>
              <w:bottom w:val="single" w:color="000000" w:sz="6" w:space="0"/>
              <w:right w:val="single" w:color="000000" w:sz="6" w:space="0"/>
            </w:tcBorders>
          </w:tcPr>
          <w:p w14:paraId="5275D8B8">
            <w:pPr>
              <w:pStyle w:val="17"/>
              <w:spacing w:before="35"/>
              <w:ind w:left="216"/>
              <w:jc w:val="left"/>
              <w:rPr>
                <w:rFonts w:ascii="Times New Roman"/>
                <w:sz w:val="21"/>
              </w:rPr>
            </w:pPr>
            <w:r>
              <w:rPr>
                <w:rFonts w:ascii="Times New Roman"/>
                <w:sz w:val="21"/>
              </w:rPr>
              <w:t>1.86</w:t>
            </w:r>
          </w:p>
        </w:tc>
        <w:tc>
          <w:tcPr>
            <w:tcW w:w="787" w:type="dxa"/>
            <w:tcBorders>
              <w:top w:val="single" w:color="000000" w:sz="6" w:space="0"/>
              <w:left w:val="single" w:color="000000" w:sz="6" w:space="0"/>
              <w:bottom w:val="single" w:color="000000" w:sz="6" w:space="0"/>
              <w:right w:val="single" w:color="000000" w:sz="6" w:space="0"/>
            </w:tcBorders>
          </w:tcPr>
          <w:p w14:paraId="7B4CDC68">
            <w:pPr>
              <w:pStyle w:val="17"/>
              <w:spacing w:before="35"/>
              <w:ind w:left="104" w:right="77"/>
              <w:rPr>
                <w:rFonts w:ascii="Times New Roman"/>
                <w:sz w:val="21"/>
              </w:rPr>
            </w:pPr>
            <w:r>
              <w:rPr>
                <w:rFonts w:ascii="Times New Roman"/>
                <w:sz w:val="21"/>
              </w:rPr>
              <w:t>1.86</w:t>
            </w:r>
          </w:p>
        </w:tc>
        <w:tc>
          <w:tcPr>
            <w:tcW w:w="787" w:type="dxa"/>
            <w:tcBorders>
              <w:top w:val="single" w:color="000000" w:sz="6" w:space="0"/>
              <w:left w:val="single" w:color="000000" w:sz="6" w:space="0"/>
              <w:bottom w:val="single" w:color="000000" w:sz="6" w:space="0"/>
              <w:right w:val="single" w:color="000000" w:sz="6" w:space="0"/>
            </w:tcBorders>
          </w:tcPr>
          <w:p w14:paraId="190F13AA">
            <w:pPr>
              <w:pStyle w:val="17"/>
              <w:spacing w:before="35"/>
              <w:ind w:left="104" w:right="79"/>
              <w:rPr>
                <w:rFonts w:ascii="Times New Roman"/>
                <w:sz w:val="21"/>
              </w:rPr>
            </w:pPr>
            <w:r>
              <w:rPr>
                <w:rFonts w:ascii="Times New Roman"/>
                <w:sz w:val="21"/>
              </w:rPr>
              <w:t>5.21</w:t>
            </w:r>
          </w:p>
        </w:tc>
        <w:tc>
          <w:tcPr>
            <w:tcW w:w="787" w:type="dxa"/>
            <w:tcBorders>
              <w:top w:val="single" w:color="000000" w:sz="6" w:space="0"/>
              <w:left w:val="single" w:color="000000" w:sz="6" w:space="0"/>
              <w:bottom w:val="single" w:color="000000" w:sz="6" w:space="0"/>
              <w:right w:val="single" w:color="000000" w:sz="6" w:space="0"/>
            </w:tcBorders>
          </w:tcPr>
          <w:p w14:paraId="53ABBCB3">
            <w:pPr>
              <w:pStyle w:val="17"/>
              <w:spacing w:before="35"/>
              <w:ind w:left="104" w:right="78"/>
              <w:rPr>
                <w:rFonts w:ascii="Times New Roman"/>
                <w:sz w:val="21"/>
              </w:rPr>
            </w:pPr>
            <w:r>
              <w:rPr>
                <w:rFonts w:ascii="Times New Roman"/>
                <w:sz w:val="21"/>
              </w:rPr>
              <w:t>4.39</w:t>
            </w:r>
          </w:p>
        </w:tc>
        <w:tc>
          <w:tcPr>
            <w:tcW w:w="787" w:type="dxa"/>
            <w:tcBorders>
              <w:top w:val="single" w:color="000000" w:sz="6" w:space="0"/>
              <w:left w:val="single" w:color="000000" w:sz="6" w:space="0"/>
              <w:bottom w:val="single" w:color="000000" w:sz="6" w:space="0"/>
              <w:right w:val="single" w:color="000000" w:sz="6" w:space="0"/>
            </w:tcBorders>
          </w:tcPr>
          <w:p w14:paraId="058193DD">
            <w:pPr>
              <w:pStyle w:val="17"/>
              <w:spacing w:before="35"/>
              <w:ind w:left="104" w:right="78"/>
              <w:rPr>
                <w:rFonts w:ascii="Times New Roman"/>
                <w:sz w:val="21"/>
              </w:rPr>
            </w:pPr>
            <w:r>
              <w:rPr>
                <w:rFonts w:ascii="Times New Roman"/>
                <w:sz w:val="21"/>
              </w:rPr>
              <w:t>5.16</w:t>
            </w:r>
          </w:p>
        </w:tc>
        <w:tc>
          <w:tcPr>
            <w:tcW w:w="787" w:type="dxa"/>
            <w:tcBorders>
              <w:top w:val="single" w:color="000000" w:sz="6" w:space="0"/>
              <w:left w:val="single" w:color="000000" w:sz="6" w:space="0"/>
              <w:bottom w:val="single" w:color="000000" w:sz="6" w:space="0"/>
              <w:right w:val="single" w:color="000000" w:sz="6" w:space="0"/>
            </w:tcBorders>
          </w:tcPr>
          <w:p w14:paraId="1A96EB81">
            <w:pPr>
              <w:pStyle w:val="17"/>
              <w:spacing w:before="35"/>
              <w:ind w:right="186"/>
              <w:jc w:val="right"/>
              <w:rPr>
                <w:rFonts w:ascii="Times New Roman"/>
                <w:sz w:val="21"/>
              </w:rPr>
            </w:pPr>
            <w:r>
              <w:rPr>
                <w:rFonts w:ascii="Times New Roman"/>
                <w:sz w:val="21"/>
              </w:rPr>
              <w:t>6.70</w:t>
            </w:r>
          </w:p>
        </w:tc>
        <w:tc>
          <w:tcPr>
            <w:tcW w:w="803" w:type="dxa"/>
            <w:tcBorders>
              <w:top w:val="single" w:color="000000" w:sz="6" w:space="0"/>
              <w:left w:val="single" w:color="000000" w:sz="6" w:space="0"/>
              <w:bottom w:val="single" w:color="000000" w:sz="6" w:space="0"/>
              <w:right w:val="nil"/>
            </w:tcBorders>
          </w:tcPr>
          <w:p w14:paraId="3FB8E67D">
            <w:pPr>
              <w:pStyle w:val="17"/>
              <w:spacing w:before="35"/>
              <w:ind w:left="222"/>
              <w:jc w:val="left"/>
              <w:rPr>
                <w:rFonts w:ascii="Times New Roman"/>
                <w:sz w:val="21"/>
              </w:rPr>
            </w:pPr>
            <w:r>
              <w:rPr>
                <w:rFonts w:ascii="Times New Roman"/>
                <w:sz w:val="21"/>
              </w:rPr>
              <w:t>0.05</w:t>
            </w:r>
          </w:p>
        </w:tc>
      </w:tr>
      <w:tr w14:paraId="68516E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5F045A32">
            <w:pPr>
              <w:pStyle w:val="17"/>
              <w:spacing w:before="21"/>
              <w:ind w:left="33"/>
              <w:rPr>
                <w:sz w:val="21"/>
              </w:rPr>
            </w:pPr>
            <w:r>
              <w:rPr>
                <w:sz w:val="21"/>
              </w:rPr>
              <w:t>秋季</w:t>
            </w:r>
          </w:p>
        </w:tc>
        <w:tc>
          <w:tcPr>
            <w:tcW w:w="785" w:type="dxa"/>
            <w:tcBorders>
              <w:top w:val="single" w:color="000000" w:sz="6" w:space="0"/>
              <w:left w:val="single" w:color="000000" w:sz="6" w:space="0"/>
              <w:bottom w:val="single" w:color="000000" w:sz="6" w:space="0"/>
              <w:right w:val="single" w:color="000000" w:sz="6" w:space="0"/>
            </w:tcBorders>
          </w:tcPr>
          <w:p w14:paraId="1CCBC885">
            <w:pPr>
              <w:pStyle w:val="17"/>
              <w:spacing w:before="35"/>
              <w:ind w:left="141" w:right="113"/>
              <w:rPr>
                <w:rFonts w:ascii="Times New Roman"/>
                <w:sz w:val="21"/>
              </w:rPr>
            </w:pPr>
            <w:r>
              <w:rPr>
                <w:rFonts w:ascii="Times New Roman"/>
                <w:sz w:val="21"/>
              </w:rPr>
              <w:t>20.28</w:t>
            </w:r>
          </w:p>
        </w:tc>
        <w:tc>
          <w:tcPr>
            <w:tcW w:w="787" w:type="dxa"/>
            <w:tcBorders>
              <w:top w:val="single" w:color="000000" w:sz="6" w:space="0"/>
              <w:left w:val="single" w:color="000000" w:sz="6" w:space="0"/>
              <w:bottom w:val="single" w:color="000000" w:sz="6" w:space="0"/>
              <w:right w:val="single" w:color="000000" w:sz="6" w:space="0"/>
            </w:tcBorders>
          </w:tcPr>
          <w:p w14:paraId="668E7DFA">
            <w:pPr>
              <w:pStyle w:val="17"/>
              <w:spacing w:before="35"/>
              <w:ind w:left="214"/>
              <w:jc w:val="left"/>
              <w:rPr>
                <w:rFonts w:ascii="Times New Roman"/>
                <w:sz w:val="21"/>
              </w:rPr>
            </w:pPr>
            <w:r>
              <w:rPr>
                <w:rFonts w:ascii="Times New Roman"/>
                <w:sz w:val="21"/>
              </w:rPr>
              <w:t>5.27</w:t>
            </w:r>
          </w:p>
        </w:tc>
        <w:tc>
          <w:tcPr>
            <w:tcW w:w="787" w:type="dxa"/>
            <w:tcBorders>
              <w:top w:val="single" w:color="000000" w:sz="6" w:space="0"/>
              <w:left w:val="single" w:color="000000" w:sz="6" w:space="0"/>
              <w:bottom w:val="single" w:color="000000" w:sz="6" w:space="0"/>
              <w:right w:val="single" w:color="000000" w:sz="6" w:space="0"/>
            </w:tcBorders>
          </w:tcPr>
          <w:p w14:paraId="2D11D65F">
            <w:pPr>
              <w:pStyle w:val="17"/>
              <w:spacing w:before="35"/>
              <w:ind w:left="104" w:right="78"/>
              <w:rPr>
                <w:rFonts w:ascii="Times New Roman"/>
                <w:sz w:val="21"/>
              </w:rPr>
            </w:pPr>
            <w:r>
              <w:rPr>
                <w:rFonts w:ascii="Times New Roman"/>
                <w:sz w:val="21"/>
              </w:rPr>
              <w:t>2.79</w:t>
            </w:r>
          </w:p>
        </w:tc>
        <w:tc>
          <w:tcPr>
            <w:tcW w:w="787" w:type="dxa"/>
            <w:tcBorders>
              <w:top w:val="single" w:color="000000" w:sz="6" w:space="0"/>
              <w:left w:val="single" w:color="000000" w:sz="6" w:space="0"/>
              <w:bottom w:val="single" w:color="000000" w:sz="6" w:space="0"/>
              <w:right w:val="single" w:color="000000" w:sz="6" w:space="0"/>
            </w:tcBorders>
          </w:tcPr>
          <w:p w14:paraId="3E449F90">
            <w:pPr>
              <w:pStyle w:val="17"/>
              <w:spacing w:before="35"/>
              <w:ind w:left="215"/>
              <w:jc w:val="left"/>
              <w:rPr>
                <w:rFonts w:ascii="Times New Roman"/>
                <w:sz w:val="21"/>
              </w:rPr>
            </w:pPr>
            <w:r>
              <w:rPr>
                <w:rFonts w:ascii="Times New Roman"/>
                <w:sz w:val="21"/>
              </w:rPr>
              <w:t>2.01</w:t>
            </w:r>
          </w:p>
        </w:tc>
        <w:tc>
          <w:tcPr>
            <w:tcW w:w="787" w:type="dxa"/>
            <w:tcBorders>
              <w:top w:val="single" w:color="000000" w:sz="6" w:space="0"/>
              <w:left w:val="single" w:color="000000" w:sz="6" w:space="0"/>
              <w:bottom w:val="single" w:color="000000" w:sz="6" w:space="0"/>
              <w:right w:val="single" w:color="000000" w:sz="6" w:space="0"/>
            </w:tcBorders>
          </w:tcPr>
          <w:p w14:paraId="769EEE0D">
            <w:pPr>
              <w:pStyle w:val="17"/>
              <w:spacing w:before="35"/>
              <w:ind w:left="104" w:right="77"/>
              <w:rPr>
                <w:rFonts w:ascii="Times New Roman"/>
                <w:sz w:val="21"/>
              </w:rPr>
            </w:pPr>
            <w:r>
              <w:rPr>
                <w:rFonts w:ascii="Times New Roman"/>
                <w:sz w:val="21"/>
              </w:rPr>
              <w:t>6.46</w:t>
            </w:r>
          </w:p>
        </w:tc>
        <w:tc>
          <w:tcPr>
            <w:tcW w:w="787" w:type="dxa"/>
            <w:tcBorders>
              <w:top w:val="single" w:color="000000" w:sz="6" w:space="0"/>
              <w:left w:val="single" w:color="000000" w:sz="6" w:space="0"/>
              <w:bottom w:val="single" w:color="000000" w:sz="6" w:space="0"/>
              <w:right w:val="single" w:color="000000" w:sz="6" w:space="0"/>
            </w:tcBorders>
          </w:tcPr>
          <w:p w14:paraId="5129C3FC">
            <w:pPr>
              <w:pStyle w:val="17"/>
              <w:spacing w:before="35"/>
              <w:ind w:left="104" w:right="77"/>
              <w:rPr>
                <w:rFonts w:ascii="Times New Roman"/>
                <w:sz w:val="21"/>
              </w:rPr>
            </w:pPr>
            <w:r>
              <w:rPr>
                <w:rFonts w:ascii="Times New Roman"/>
                <w:sz w:val="21"/>
              </w:rPr>
              <w:t>9.07</w:t>
            </w:r>
          </w:p>
        </w:tc>
        <w:tc>
          <w:tcPr>
            <w:tcW w:w="787" w:type="dxa"/>
            <w:tcBorders>
              <w:top w:val="single" w:color="000000" w:sz="6" w:space="0"/>
              <w:left w:val="single" w:color="000000" w:sz="6" w:space="0"/>
              <w:bottom w:val="single" w:color="000000" w:sz="6" w:space="0"/>
              <w:right w:val="single" w:color="000000" w:sz="6" w:space="0"/>
            </w:tcBorders>
          </w:tcPr>
          <w:p w14:paraId="4257CEDB">
            <w:pPr>
              <w:pStyle w:val="17"/>
              <w:spacing w:before="35"/>
              <w:ind w:left="104" w:right="76"/>
              <w:rPr>
                <w:rFonts w:ascii="Times New Roman"/>
                <w:sz w:val="21"/>
              </w:rPr>
            </w:pPr>
            <w:r>
              <w:rPr>
                <w:rFonts w:ascii="Times New Roman"/>
                <w:sz w:val="21"/>
              </w:rPr>
              <w:t>8.52</w:t>
            </w:r>
          </w:p>
        </w:tc>
        <w:tc>
          <w:tcPr>
            <w:tcW w:w="787" w:type="dxa"/>
            <w:tcBorders>
              <w:top w:val="single" w:color="000000" w:sz="6" w:space="0"/>
              <w:left w:val="single" w:color="000000" w:sz="6" w:space="0"/>
              <w:bottom w:val="single" w:color="000000" w:sz="6" w:space="0"/>
              <w:right w:val="single" w:color="000000" w:sz="6" w:space="0"/>
            </w:tcBorders>
          </w:tcPr>
          <w:p w14:paraId="258DF4AA">
            <w:pPr>
              <w:pStyle w:val="17"/>
              <w:spacing w:before="35"/>
              <w:ind w:left="104" w:right="76"/>
              <w:rPr>
                <w:rFonts w:ascii="Times New Roman"/>
                <w:sz w:val="21"/>
              </w:rPr>
            </w:pPr>
            <w:r>
              <w:rPr>
                <w:rFonts w:ascii="Times New Roman"/>
                <w:sz w:val="21"/>
              </w:rPr>
              <w:t>5.45</w:t>
            </w:r>
          </w:p>
        </w:tc>
        <w:tc>
          <w:tcPr>
            <w:tcW w:w="787" w:type="dxa"/>
            <w:tcBorders>
              <w:top w:val="single" w:color="000000" w:sz="6" w:space="0"/>
              <w:left w:val="single" w:color="000000" w:sz="6" w:space="0"/>
              <w:bottom w:val="single" w:color="000000" w:sz="6" w:space="0"/>
              <w:right w:val="single" w:color="000000" w:sz="6" w:space="0"/>
            </w:tcBorders>
          </w:tcPr>
          <w:p w14:paraId="0E13E628">
            <w:pPr>
              <w:pStyle w:val="17"/>
              <w:spacing w:before="35"/>
              <w:ind w:left="104" w:right="75"/>
              <w:rPr>
                <w:rFonts w:ascii="Times New Roman"/>
                <w:sz w:val="21"/>
              </w:rPr>
            </w:pPr>
            <w:r>
              <w:rPr>
                <w:rFonts w:ascii="Times New Roman"/>
                <w:sz w:val="21"/>
              </w:rPr>
              <w:t>2.24</w:t>
            </w:r>
          </w:p>
        </w:tc>
        <w:tc>
          <w:tcPr>
            <w:tcW w:w="787" w:type="dxa"/>
            <w:tcBorders>
              <w:top w:val="single" w:color="000000" w:sz="6" w:space="0"/>
              <w:left w:val="single" w:color="000000" w:sz="6" w:space="0"/>
              <w:bottom w:val="single" w:color="000000" w:sz="6" w:space="0"/>
              <w:right w:val="single" w:color="000000" w:sz="6" w:space="0"/>
            </w:tcBorders>
          </w:tcPr>
          <w:p w14:paraId="09B92473">
            <w:pPr>
              <w:pStyle w:val="17"/>
              <w:spacing w:before="35"/>
              <w:ind w:left="216"/>
              <w:jc w:val="left"/>
              <w:rPr>
                <w:rFonts w:ascii="Times New Roman"/>
                <w:sz w:val="21"/>
              </w:rPr>
            </w:pPr>
            <w:r>
              <w:rPr>
                <w:rFonts w:ascii="Times New Roman"/>
                <w:sz w:val="21"/>
              </w:rPr>
              <w:t>0.92</w:t>
            </w:r>
          </w:p>
        </w:tc>
        <w:tc>
          <w:tcPr>
            <w:tcW w:w="787" w:type="dxa"/>
            <w:tcBorders>
              <w:top w:val="single" w:color="000000" w:sz="6" w:space="0"/>
              <w:left w:val="single" w:color="000000" w:sz="6" w:space="0"/>
              <w:bottom w:val="single" w:color="000000" w:sz="6" w:space="0"/>
              <w:right w:val="single" w:color="000000" w:sz="6" w:space="0"/>
            </w:tcBorders>
          </w:tcPr>
          <w:p w14:paraId="212FEF84">
            <w:pPr>
              <w:pStyle w:val="17"/>
              <w:spacing w:before="35"/>
              <w:ind w:left="216"/>
              <w:jc w:val="left"/>
              <w:rPr>
                <w:rFonts w:ascii="Times New Roman"/>
                <w:sz w:val="21"/>
              </w:rPr>
            </w:pPr>
            <w:r>
              <w:rPr>
                <w:rFonts w:ascii="Times New Roman"/>
                <w:sz w:val="21"/>
              </w:rPr>
              <w:t>0.69</w:t>
            </w:r>
          </w:p>
        </w:tc>
        <w:tc>
          <w:tcPr>
            <w:tcW w:w="787" w:type="dxa"/>
            <w:tcBorders>
              <w:top w:val="single" w:color="000000" w:sz="6" w:space="0"/>
              <w:left w:val="single" w:color="000000" w:sz="6" w:space="0"/>
              <w:bottom w:val="single" w:color="000000" w:sz="6" w:space="0"/>
              <w:right w:val="single" w:color="000000" w:sz="6" w:space="0"/>
            </w:tcBorders>
          </w:tcPr>
          <w:p w14:paraId="57BD88AD">
            <w:pPr>
              <w:pStyle w:val="17"/>
              <w:spacing w:before="35"/>
              <w:ind w:left="104" w:right="77"/>
              <w:rPr>
                <w:rFonts w:ascii="Times New Roman"/>
                <w:sz w:val="21"/>
              </w:rPr>
            </w:pPr>
            <w:r>
              <w:rPr>
                <w:rFonts w:ascii="Times New Roman"/>
                <w:sz w:val="21"/>
              </w:rPr>
              <w:t>1.56</w:t>
            </w:r>
          </w:p>
        </w:tc>
        <w:tc>
          <w:tcPr>
            <w:tcW w:w="787" w:type="dxa"/>
            <w:tcBorders>
              <w:top w:val="single" w:color="000000" w:sz="6" w:space="0"/>
              <w:left w:val="single" w:color="000000" w:sz="6" w:space="0"/>
              <w:bottom w:val="single" w:color="000000" w:sz="6" w:space="0"/>
              <w:right w:val="single" w:color="000000" w:sz="6" w:space="0"/>
            </w:tcBorders>
          </w:tcPr>
          <w:p w14:paraId="1C28BE30">
            <w:pPr>
              <w:pStyle w:val="17"/>
              <w:spacing w:before="35"/>
              <w:ind w:left="104" w:right="79"/>
              <w:rPr>
                <w:rFonts w:ascii="Times New Roman"/>
                <w:sz w:val="21"/>
              </w:rPr>
            </w:pPr>
            <w:r>
              <w:rPr>
                <w:rFonts w:ascii="Times New Roman"/>
                <w:sz w:val="21"/>
              </w:rPr>
              <w:t>4.21</w:t>
            </w:r>
          </w:p>
        </w:tc>
        <w:tc>
          <w:tcPr>
            <w:tcW w:w="787" w:type="dxa"/>
            <w:tcBorders>
              <w:top w:val="single" w:color="000000" w:sz="6" w:space="0"/>
              <w:left w:val="single" w:color="000000" w:sz="6" w:space="0"/>
              <w:bottom w:val="single" w:color="000000" w:sz="6" w:space="0"/>
              <w:right w:val="single" w:color="000000" w:sz="6" w:space="0"/>
            </w:tcBorders>
          </w:tcPr>
          <w:p w14:paraId="1F053BC9">
            <w:pPr>
              <w:pStyle w:val="17"/>
              <w:spacing w:before="35"/>
              <w:ind w:left="104" w:right="78"/>
              <w:rPr>
                <w:rFonts w:ascii="Times New Roman"/>
                <w:sz w:val="21"/>
              </w:rPr>
            </w:pPr>
            <w:r>
              <w:rPr>
                <w:rFonts w:ascii="Times New Roman"/>
                <w:sz w:val="21"/>
              </w:rPr>
              <w:t>4.95</w:t>
            </w:r>
          </w:p>
        </w:tc>
        <w:tc>
          <w:tcPr>
            <w:tcW w:w="787" w:type="dxa"/>
            <w:tcBorders>
              <w:top w:val="single" w:color="000000" w:sz="6" w:space="0"/>
              <w:left w:val="single" w:color="000000" w:sz="6" w:space="0"/>
              <w:bottom w:val="single" w:color="000000" w:sz="6" w:space="0"/>
              <w:right w:val="single" w:color="000000" w:sz="6" w:space="0"/>
            </w:tcBorders>
          </w:tcPr>
          <w:p w14:paraId="54A87EB7">
            <w:pPr>
              <w:pStyle w:val="17"/>
              <w:spacing w:before="35"/>
              <w:ind w:left="104" w:right="78"/>
              <w:rPr>
                <w:rFonts w:ascii="Times New Roman"/>
                <w:sz w:val="21"/>
              </w:rPr>
            </w:pPr>
            <w:r>
              <w:rPr>
                <w:rFonts w:ascii="Times New Roman"/>
                <w:sz w:val="21"/>
              </w:rPr>
              <w:t>11.22</w:t>
            </w:r>
          </w:p>
        </w:tc>
        <w:tc>
          <w:tcPr>
            <w:tcW w:w="787" w:type="dxa"/>
            <w:tcBorders>
              <w:top w:val="single" w:color="000000" w:sz="6" w:space="0"/>
              <w:left w:val="single" w:color="000000" w:sz="6" w:space="0"/>
              <w:bottom w:val="single" w:color="000000" w:sz="6" w:space="0"/>
              <w:right w:val="single" w:color="000000" w:sz="6" w:space="0"/>
            </w:tcBorders>
          </w:tcPr>
          <w:p w14:paraId="2B3D766A">
            <w:pPr>
              <w:pStyle w:val="17"/>
              <w:spacing w:before="35"/>
              <w:ind w:right="133"/>
              <w:jc w:val="right"/>
              <w:rPr>
                <w:rFonts w:ascii="Times New Roman"/>
                <w:sz w:val="21"/>
              </w:rPr>
            </w:pPr>
            <w:r>
              <w:rPr>
                <w:rFonts w:ascii="Times New Roman"/>
                <w:w w:val="95"/>
                <w:sz w:val="21"/>
              </w:rPr>
              <w:t>14.29</w:t>
            </w:r>
          </w:p>
        </w:tc>
        <w:tc>
          <w:tcPr>
            <w:tcW w:w="803" w:type="dxa"/>
            <w:tcBorders>
              <w:top w:val="single" w:color="000000" w:sz="6" w:space="0"/>
              <w:left w:val="single" w:color="000000" w:sz="6" w:space="0"/>
              <w:bottom w:val="single" w:color="000000" w:sz="6" w:space="0"/>
              <w:right w:val="nil"/>
            </w:tcBorders>
          </w:tcPr>
          <w:p w14:paraId="414A0441">
            <w:pPr>
              <w:pStyle w:val="17"/>
              <w:spacing w:before="35"/>
              <w:ind w:left="222"/>
              <w:jc w:val="left"/>
              <w:rPr>
                <w:rFonts w:ascii="Times New Roman"/>
                <w:sz w:val="21"/>
              </w:rPr>
            </w:pPr>
            <w:r>
              <w:rPr>
                <w:rFonts w:ascii="Times New Roman"/>
                <w:sz w:val="21"/>
              </w:rPr>
              <w:t>0.09</w:t>
            </w:r>
          </w:p>
        </w:tc>
      </w:tr>
      <w:tr w14:paraId="678BEB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85" w:type="dxa"/>
            <w:tcBorders>
              <w:top w:val="single" w:color="000000" w:sz="6" w:space="0"/>
              <w:left w:val="nil"/>
              <w:bottom w:val="single" w:color="000000" w:sz="6" w:space="0"/>
              <w:right w:val="single" w:color="000000" w:sz="6" w:space="0"/>
            </w:tcBorders>
          </w:tcPr>
          <w:p w14:paraId="18D0FBFE">
            <w:pPr>
              <w:pStyle w:val="17"/>
              <w:spacing w:before="20"/>
              <w:ind w:left="33"/>
              <w:rPr>
                <w:sz w:val="21"/>
              </w:rPr>
            </w:pPr>
            <w:r>
              <w:rPr>
                <w:sz w:val="21"/>
              </w:rPr>
              <w:t>冬季</w:t>
            </w:r>
          </w:p>
        </w:tc>
        <w:tc>
          <w:tcPr>
            <w:tcW w:w="785" w:type="dxa"/>
            <w:tcBorders>
              <w:top w:val="single" w:color="000000" w:sz="6" w:space="0"/>
              <w:left w:val="single" w:color="000000" w:sz="6" w:space="0"/>
              <w:bottom w:val="single" w:color="000000" w:sz="6" w:space="0"/>
              <w:right w:val="single" w:color="000000" w:sz="6" w:space="0"/>
            </w:tcBorders>
          </w:tcPr>
          <w:p w14:paraId="2877B768">
            <w:pPr>
              <w:pStyle w:val="17"/>
              <w:spacing w:before="34"/>
              <w:ind w:left="141" w:right="113"/>
              <w:rPr>
                <w:rFonts w:ascii="Times New Roman"/>
                <w:sz w:val="21"/>
              </w:rPr>
            </w:pPr>
            <w:r>
              <w:rPr>
                <w:rFonts w:ascii="Times New Roman"/>
                <w:sz w:val="21"/>
              </w:rPr>
              <w:t>22.87</w:t>
            </w:r>
          </w:p>
        </w:tc>
        <w:tc>
          <w:tcPr>
            <w:tcW w:w="787" w:type="dxa"/>
            <w:tcBorders>
              <w:top w:val="single" w:color="000000" w:sz="6" w:space="0"/>
              <w:left w:val="single" w:color="000000" w:sz="6" w:space="0"/>
              <w:bottom w:val="single" w:color="000000" w:sz="6" w:space="0"/>
              <w:right w:val="single" w:color="000000" w:sz="6" w:space="0"/>
            </w:tcBorders>
          </w:tcPr>
          <w:p w14:paraId="691EDE7D">
            <w:pPr>
              <w:pStyle w:val="17"/>
              <w:spacing w:before="34"/>
              <w:ind w:left="214"/>
              <w:jc w:val="left"/>
              <w:rPr>
                <w:rFonts w:ascii="Times New Roman"/>
                <w:sz w:val="21"/>
              </w:rPr>
            </w:pPr>
            <w:r>
              <w:rPr>
                <w:rFonts w:ascii="Times New Roman"/>
                <w:sz w:val="21"/>
              </w:rPr>
              <w:t>5.51</w:t>
            </w:r>
          </w:p>
        </w:tc>
        <w:tc>
          <w:tcPr>
            <w:tcW w:w="787" w:type="dxa"/>
            <w:tcBorders>
              <w:top w:val="single" w:color="000000" w:sz="6" w:space="0"/>
              <w:left w:val="single" w:color="000000" w:sz="6" w:space="0"/>
              <w:bottom w:val="single" w:color="000000" w:sz="6" w:space="0"/>
              <w:right w:val="single" w:color="000000" w:sz="6" w:space="0"/>
            </w:tcBorders>
          </w:tcPr>
          <w:p w14:paraId="575B6CA0">
            <w:pPr>
              <w:pStyle w:val="17"/>
              <w:spacing w:before="34"/>
              <w:ind w:left="104" w:right="78"/>
              <w:rPr>
                <w:rFonts w:ascii="Times New Roman"/>
                <w:sz w:val="21"/>
              </w:rPr>
            </w:pPr>
            <w:r>
              <w:rPr>
                <w:rFonts w:ascii="Times New Roman"/>
                <w:sz w:val="21"/>
              </w:rPr>
              <w:t>1.90</w:t>
            </w:r>
          </w:p>
        </w:tc>
        <w:tc>
          <w:tcPr>
            <w:tcW w:w="787" w:type="dxa"/>
            <w:tcBorders>
              <w:top w:val="single" w:color="000000" w:sz="6" w:space="0"/>
              <w:left w:val="single" w:color="000000" w:sz="6" w:space="0"/>
              <w:bottom w:val="single" w:color="000000" w:sz="6" w:space="0"/>
              <w:right w:val="single" w:color="000000" w:sz="6" w:space="0"/>
            </w:tcBorders>
          </w:tcPr>
          <w:p w14:paraId="0536269B">
            <w:pPr>
              <w:pStyle w:val="17"/>
              <w:spacing w:before="34"/>
              <w:ind w:left="215"/>
              <w:jc w:val="left"/>
              <w:rPr>
                <w:rFonts w:ascii="Times New Roman"/>
                <w:sz w:val="21"/>
              </w:rPr>
            </w:pPr>
            <w:r>
              <w:rPr>
                <w:rFonts w:ascii="Times New Roman"/>
                <w:sz w:val="21"/>
              </w:rPr>
              <w:t>1.76</w:t>
            </w:r>
          </w:p>
        </w:tc>
        <w:tc>
          <w:tcPr>
            <w:tcW w:w="787" w:type="dxa"/>
            <w:tcBorders>
              <w:top w:val="single" w:color="000000" w:sz="6" w:space="0"/>
              <w:left w:val="single" w:color="000000" w:sz="6" w:space="0"/>
              <w:bottom w:val="single" w:color="000000" w:sz="6" w:space="0"/>
              <w:right w:val="single" w:color="000000" w:sz="6" w:space="0"/>
            </w:tcBorders>
          </w:tcPr>
          <w:p w14:paraId="6F347431">
            <w:pPr>
              <w:pStyle w:val="17"/>
              <w:spacing w:before="34"/>
              <w:ind w:left="104" w:right="77"/>
              <w:rPr>
                <w:rFonts w:ascii="Times New Roman"/>
                <w:sz w:val="21"/>
              </w:rPr>
            </w:pPr>
            <w:r>
              <w:rPr>
                <w:rFonts w:ascii="Times New Roman"/>
                <w:sz w:val="21"/>
              </w:rPr>
              <w:t>4.17</w:t>
            </w:r>
          </w:p>
        </w:tc>
        <w:tc>
          <w:tcPr>
            <w:tcW w:w="787" w:type="dxa"/>
            <w:tcBorders>
              <w:top w:val="single" w:color="000000" w:sz="6" w:space="0"/>
              <w:left w:val="single" w:color="000000" w:sz="6" w:space="0"/>
              <w:bottom w:val="single" w:color="000000" w:sz="6" w:space="0"/>
              <w:right w:val="single" w:color="000000" w:sz="6" w:space="0"/>
            </w:tcBorders>
          </w:tcPr>
          <w:p w14:paraId="736FFD25">
            <w:pPr>
              <w:pStyle w:val="17"/>
              <w:spacing w:before="34"/>
              <w:ind w:left="104" w:right="77"/>
              <w:rPr>
                <w:rFonts w:ascii="Times New Roman"/>
                <w:sz w:val="21"/>
              </w:rPr>
            </w:pPr>
            <w:r>
              <w:rPr>
                <w:rFonts w:ascii="Times New Roman"/>
                <w:sz w:val="21"/>
              </w:rPr>
              <w:t>6.67</w:t>
            </w:r>
          </w:p>
        </w:tc>
        <w:tc>
          <w:tcPr>
            <w:tcW w:w="787" w:type="dxa"/>
            <w:tcBorders>
              <w:top w:val="single" w:color="000000" w:sz="6" w:space="0"/>
              <w:left w:val="single" w:color="000000" w:sz="6" w:space="0"/>
              <w:bottom w:val="single" w:color="000000" w:sz="6" w:space="0"/>
              <w:right w:val="single" w:color="000000" w:sz="6" w:space="0"/>
            </w:tcBorders>
          </w:tcPr>
          <w:p w14:paraId="421CE70E">
            <w:pPr>
              <w:pStyle w:val="17"/>
              <w:spacing w:before="34"/>
              <w:ind w:left="104" w:right="76"/>
              <w:rPr>
                <w:rFonts w:ascii="Times New Roman"/>
                <w:sz w:val="21"/>
              </w:rPr>
            </w:pPr>
            <w:r>
              <w:rPr>
                <w:rFonts w:ascii="Times New Roman"/>
                <w:sz w:val="21"/>
              </w:rPr>
              <w:t>8.43</w:t>
            </w:r>
          </w:p>
        </w:tc>
        <w:tc>
          <w:tcPr>
            <w:tcW w:w="787" w:type="dxa"/>
            <w:tcBorders>
              <w:top w:val="single" w:color="000000" w:sz="6" w:space="0"/>
              <w:left w:val="single" w:color="000000" w:sz="6" w:space="0"/>
              <w:bottom w:val="single" w:color="000000" w:sz="6" w:space="0"/>
              <w:right w:val="single" w:color="000000" w:sz="6" w:space="0"/>
            </w:tcBorders>
          </w:tcPr>
          <w:p w14:paraId="27C32C67">
            <w:pPr>
              <w:pStyle w:val="17"/>
              <w:spacing w:before="34"/>
              <w:ind w:left="104" w:right="76"/>
              <w:rPr>
                <w:rFonts w:ascii="Times New Roman"/>
                <w:sz w:val="21"/>
              </w:rPr>
            </w:pPr>
            <w:r>
              <w:rPr>
                <w:rFonts w:ascii="Times New Roman"/>
                <w:sz w:val="21"/>
              </w:rPr>
              <w:t>4.35</w:t>
            </w:r>
          </w:p>
        </w:tc>
        <w:tc>
          <w:tcPr>
            <w:tcW w:w="787" w:type="dxa"/>
            <w:tcBorders>
              <w:top w:val="single" w:color="000000" w:sz="6" w:space="0"/>
              <w:left w:val="single" w:color="000000" w:sz="6" w:space="0"/>
              <w:bottom w:val="single" w:color="000000" w:sz="6" w:space="0"/>
              <w:right w:val="single" w:color="000000" w:sz="6" w:space="0"/>
            </w:tcBorders>
          </w:tcPr>
          <w:p w14:paraId="545374F2">
            <w:pPr>
              <w:pStyle w:val="17"/>
              <w:spacing w:before="34"/>
              <w:ind w:left="104" w:right="75"/>
              <w:rPr>
                <w:rFonts w:ascii="Times New Roman"/>
                <w:sz w:val="21"/>
              </w:rPr>
            </w:pPr>
            <w:r>
              <w:rPr>
                <w:rFonts w:ascii="Times New Roman"/>
                <w:sz w:val="21"/>
              </w:rPr>
              <w:t>2.08</w:t>
            </w:r>
          </w:p>
        </w:tc>
        <w:tc>
          <w:tcPr>
            <w:tcW w:w="787" w:type="dxa"/>
            <w:tcBorders>
              <w:top w:val="single" w:color="000000" w:sz="6" w:space="0"/>
              <w:left w:val="single" w:color="000000" w:sz="6" w:space="0"/>
              <w:bottom w:val="single" w:color="000000" w:sz="6" w:space="0"/>
              <w:right w:val="single" w:color="000000" w:sz="6" w:space="0"/>
            </w:tcBorders>
          </w:tcPr>
          <w:p w14:paraId="7120C1CB">
            <w:pPr>
              <w:pStyle w:val="17"/>
              <w:spacing w:before="34"/>
              <w:ind w:left="218"/>
              <w:jc w:val="left"/>
              <w:rPr>
                <w:rFonts w:ascii="Times New Roman"/>
                <w:sz w:val="21"/>
              </w:rPr>
            </w:pPr>
            <w:r>
              <w:rPr>
                <w:rFonts w:ascii="Times New Roman"/>
                <w:sz w:val="21"/>
              </w:rPr>
              <w:t>1.11</w:t>
            </w:r>
          </w:p>
        </w:tc>
        <w:tc>
          <w:tcPr>
            <w:tcW w:w="787" w:type="dxa"/>
            <w:tcBorders>
              <w:top w:val="single" w:color="000000" w:sz="6" w:space="0"/>
              <w:left w:val="single" w:color="000000" w:sz="6" w:space="0"/>
              <w:bottom w:val="single" w:color="000000" w:sz="6" w:space="0"/>
              <w:right w:val="single" w:color="000000" w:sz="6" w:space="0"/>
            </w:tcBorders>
          </w:tcPr>
          <w:p w14:paraId="3A333864">
            <w:pPr>
              <w:pStyle w:val="17"/>
              <w:spacing w:before="34"/>
              <w:ind w:left="216"/>
              <w:jc w:val="left"/>
              <w:rPr>
                <w:rFonts w:ascii="Times New Roman"/>
                <w:sz w:val="21"/>
              </w:rPr>
            </w:pPr>
            <w:r>
              <w:rPr>
                <w:rFonts w:ascii="Times New Roman"/>
                <w:sz w:val="21"/>
              </w:rPr>
              <w:t>1.20</w:t>
            </w:r>
          </w:p>
        </w:tc>
        <w:tc>
          <w:tcPr>
            <w:tcW w:w="787" w:type="dxa"/>
            <w:tcBorders>
              <w:top w:val="single" w:color="000000" w:sz="6" w:space="0"/>
              <w:left w:val="single" w:color="000000" w:sz="6" w:space="0"/>
              <w:bottom w:val="single" w:color="000000" w:sz="6" w:space="0"/>
              <w:right w:val="single" w:color="000000" w:sz="6" w:space="0"/>
            </w:tcBorders>
          </w:tcPr>
          <w:p w14:paraId="629CC435">
            <w:pPr>
              <w:pStyle w:val="17"/>
              <w:spacing w:before="34"/>
              <w:ind w:left="104" w:right="77"/>
              <w:rPr>
                <w:rFonts w:ascii="Times New Roman"/>
                <w:sz w:val="21"/>
              </w:rPr>
            </w:pPr>
            <w:r>
              <w:rPr>
                <w:rFonts w:ascii="Times New Roman"/>
                <w:sz w:val="21"/>
              </w:rPr>
              <w:t>3.24</w:t>
            </w:r>
          </w:p>
        </w:tc>
        <w:tc>
          <w:tcPr>
            <w:tcW w:w="787" w:type="dxa"/>
            <w:tcBorders>
              <w:top w:val="single" w:color="000000" w:sz="6" w:space="0"/>
              <w:left w:val="single" w:color="000000" w:sz="6" w:space="0"/>
              <w:bottom w:val="single" w:color="000000" w:sz="6" w:space="0"/>
              <w:right w:val="single" w:color="000000" w:sz="6" w:space="0"/>
            </w:tcBorders>
          </w:tcPr>
          <w:p w14:paraId="796DAB61">
            <w:pPr>
              <w:pStyle w:val="17"/>
              <w:spacing w:before="34"/>
              <w:ind w:left="104" w:right="79"/>
              <w:rPr>
                <w:rFonts w:ascii="Times New Roman"/>
                <w:sz w:val="21"/>
              </w:rPr>
            </w:pPr>
            <w:r>
              <w:rPr>
                <w:rFonts w:ascii="Times New Roman"/>
                <w:sz w:val="21"/>
              </w:rPr>
              <w:t>7.50</w:t>
            </w:r>
          </w:p>
        </w:tc>
        <w:tc>
          <w:tcPr>
            <w:tcW w:w="787" w:type="dxa"/>
            <w:tcBorders>
              <w:top w:val="single" w:color="000000" w:sz="6" w:space="0"/>
              <w:left w:val="single" w:color="000000" w:sz="6" w:space="0"/>
              <w:bottom w:val="single" w:color="000000" w:sz="6" w:space="0"/>
              <w:right w:val="single" w:color="000000" w:sz="6" w:space="0"/>
            </w:tcBorders>
          </w:tcPr>
          <w:p w14:paraId="5AB68FBF">
            <w:pPr>
              <w:pStyle w:val="17"/>
              <w:spacing w:before="34"/>
              <w:ind w:left="104" w:right="78"/>
              <w:rPr>
                <w:rFonts w:ascii="Times New Roman"/>
                <w:sz w:val="21"/>
              </w:rPr>
            </w:pPr>
            <w:r>
              <w:rPr>
                <w:rFonts w:ascii="Times New Roman"/>
                <w:sz w:val="21"/>
              </w:rPr>
              <w:t>5.42</w:t>
            </w:r>
          </w:p>
        </w:tc>
        <w:tc>
          <w:tcPr>
            <w:tcW w:w="787" w:type="dxa"/>
            <w:tcBorders>
              <w:top w:val="single" w:color="000000" w:sz="6" w:space="0"/>
              <w:left w:val="single" w:color="000000" w:sz="6" w:space="0"/>
              <w:bottom w:val="single" w:color="000000" w:sz="6" w:space="0"/>
              <w:right w:val="single" w:color="000000" w:sz="6" w:space="0"/>
            </w:tcBorders>
          </w:tcPr>
          <w:p w14:paraId="2A7A5BA2">
            <w:pPr>
              <w:pStyle w:val="17"/>
              <w:spacing w:before="34"/>
              <w:ind w:left="104" w:right="75"/>
              <w:rPr>
                <w:rFonts w:ascii="Times New Roman"/>
                <w:sz w:val="21"/>
              </w:rPr>
            </w:pPr>
            <w:r>
              <w:rPr>
                <w:rFonts w:ascii="Times New Roman"/>
                <w:sz w:val="21"/>
              </w:rPr>
              <w:t>10.74</w:t>
            </w:r>
          </w:p>
        </w:tc>
        <w:tc>
          <w:tcPr>
            <w:tcW w:w="787" w:type="dxa"/>
            <w:tcBorders>
              <w:top w:val="single" w:color="000000" w:sz="6" w:space="0"/>
              <w:left w:val="single" w:color="000000" w:sz="6" w:space="0"/>
              <w:bottom w:val="single" w:color="000000" w:sz="6" w:space="0"/>
              <w:right w:val="single" w:color="000000" w:sz="6" w:space="0"/>
            </w:tcBorders>
          </w:tcPr>
          <w:p w14:paraId="4F53FFFE">
            <w:pPr>
              <w:pStyle w:val="17"/>
              <w:spacing w:before="34"/>
              <w:ind w:right="133"/>
              <w:jc w:val="right"/>
              <w:rPr>
                <w:rFonts w:ascii="Times New Roman"/>
                <w:sz w:val="21"/>
              </w:rPr>
            </w:pPr>
            <w:r>
              <w:rPr>
                <w:rFonts w:ascii="Times New Roman"/>
                <w:w w:val="95"/>
                <w:sz w:val="21"/>
              </w:rPr>
              <w:t>12.92</w:t>
            </w:r>
          </w:p>
        </w:tc>
        <w:tc>
          <w:tcPr>
            <w:tcW w:w="803" w:type="dxa"/>
            <w:tcBorders>
              <w:top w:val="single" w:color="000000" w:sz="6" w:space="0"/>
              <w:left w:val="single" w:color="000000" w:sz="6" w:space="0"/>
              <w:bottom w:val="single" w:color="000000" w:sz="6" w:space="0"/>
              <w:right w:val="nil"/>
            </w:tcBorders>
          </w:tcPr>
          <w:p w14:paraId="0177F7E5">
            <w:pPr>
              <w:pStyle w:val="17"/>
              <w:spacing w:before="34"/>
              <w:ind w:left="222"/>
              <w:jc w:val="left"/>
              <w:rPr>
                <w:rFonts w:ascii="Times New Roman"/>
                <w:sz w:val="21"/>
              </w:rPr>
            </w:pPr>
            <w:r>
              <w:rPr>
                <w:rFonts w:ascii="Times New Roman"/>
                <w:sz w:val="21"/>
              </w:rPr>
              <w:t>0.14</w:t>
            </w:r>
          </w:p>
        </w:tc>
      </w:tr>
      <w:tr w14:paraId="7B010F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85" w:type="dxa"/>
            <w:tcBorders>
              <w:top w:val="single" w:color="000000" w:sz="6" w:space="0"/>
              <w:left w:val="nil"/>
              <w:right w:val="single" w:color="000000" w:sz="6" w:space="0"/>
            </w:tcBorders>
          </w:tcPr>
          <w:p w14:paraId="1FB16873">
            <w:pPr>
              <w:pStyle w:val="17"/>
              <w:spacing w:before="22"/>
              <w:ind w:left="33"/>
              <w:rPr>
                <w:sz w:val="21"/>
              </w:rPr>
            </w:pPr>
            <w:r>
              <w:rPr>
                <w:sz w:val="21"/>
              </w:rPr>
              <w:t>全年</w:t>
            </w:r>
          </w:p>
        </w:tc>
        <w:tc>
          <w:tcPr>
            <w:tcW w:w="785" w:type="dxa"/>
            <w:tcBorders>
              <w:top w:val="single" w:color="000000" w:sz="6" w:space="0"/>
              <w:left w:val="single" w:color="000000" w:sz="6" w:space="0"/>
              <w:right w:val="single" w:color="000000" w:sz="6" w:space="0"/>
            </w:tcBorders>
          </w:tcPr>
          <w:p w14:paraId="00B1D83C">
            <w:pPr>
              <w:pStyle w:val="17"/>
              <w:spacing w:before="36"/>
              <w:ind w:left="142" w:right="111"/>
              <w:rPr>
                <w:rFonts w:ascii="Times New Roman"/>
                <w:sz w:val="21"/>
              </w:rPr>
            </w:pPr>
            <w:r>
              <w:rPr>
                <w:rFonts w:ascii="Times New Roman"/>
                <w:sz w:val="21"/>
              </w:rPr>
              <w:t>18.11</w:t>
            </w:r>
          </w:p>
        </w:tc>
        <w:tc>
          <w:tcPr>
            <w:tcW w:w="787" w:type="dxa"/>
            <w:tcBorders>
              <w:top w:val="single" w:color="000000" w:sz="6" w:space="0"/>
              <w:left w:val="single" w:color="000000" w:sz="6" w:space="0"/>
              <w:right w:val="single" w:color="000000" w:sz="6" w:space="0"/>
            </w:tcBorders>
          </w:tcPr>
          <w:p w14:paraId="3113BF95">
            <w:pPr>
              <w:pStyle w:val="17"/>
              <w:spacing w:before="36"/>
              <w:ind w:left="214"/>
              <w:jc w:val="left"/>
              <w:rPr>
                <w:rFonts w:ascii="Times New Roman"/>
                <w:sz w:val="21"/>
              </w:rPr>
            </w:pPr>
            <w:r>
              <w:rPr>
                <w:rFonts w:ascii="Times New Roman"/>
                <w:sz w:val="21"/>
              </w:rPr>
              <w:t>4.75</w:t>
            </w:r>
          </w:p>
        </w:tc>
        <w:tc>
          <w:tcPr>
            <w:tcW w:w="787" w:type="dxa"/>
            <w:tcBorders>
              <w:top w:val="single" w:color="000000" w:sz="6" w:space="0"/>
              <w:left w:val="single" w:color="000000" w:sz="6" w:space="0"/>
              <w:right w:val="single" w:color="000000" w:sz="6" w:space="0"/>
            </w:tcBorders>
          </w:tcPr>
          <w:p w14:paraId="647CFC2A">
            <w:pPr>
              <w:pStyle w:val="17"/>
              <w:spacing w:before="36"/>
              <w:ind w:left="104" w:right="78"/>
              <w:rPr>
                <w:rFonts w:ascii="Times New Roman"/>
                <w:sz w:val="21"/>
              </w:rPr>
            </w:pPr>
            <w:r>
              <w:rPr>
                <w:rFonts w:ascii="Times New Roman"/>
                <w:sz w:val="21"/>
              </w:rPr>
              <w:t>2.25</w:t>
            </w:r>
          </w:p>
        </w:tc>
        <w:tc>
          <w:tcPr>
            <w:tcW w:w="787" w:type="dxa"/>
            <w:tcBorders>
              <w:top w:val="single" w:color="000000" w:sz="6" w:space="0"/>
              <w:left w:val="single" w:color="000000" w:sz="6" w:space="0"/>
              <w:right w:val="single" w:color="000000" w:sz="6" w:space="0"/>
            </w:tcBorders>
          </w:tcPr>
          <w:p w14:paraId="076E35D6">
            <w:pPr>
              <w:pStyle w:val="17"/>
              <w:spacing w:before="36"/>
              <w:ind w:left="215"/>
              <w:jc w:val="left"/>
              <w:rPr>
                <w:rFonts w:ascii="Times New Roman"/>
                <w:sz w:val="21"/>
              </w:rPr>
            </w:pPr>
            <w:r>
              <w:rPr>
                <w:rFonts w:ascii="Times New Roman"/>
                <w:sz w:val="21"/>
              </w:rPr>
              <w:t>2.15</w:t>
            </w:r>
          </w:p>
        </w:tc>
        <w:tc>
          <w:tcPr>
            <w:tcW w:w="787" w:type="dxa"/>
            <w:tcBorders>
              <w:top w:val="single" w:color="000000" w:sz="6" w:space="0"/>
              <w:left w:val="single" w:color="000000" w:sz="6" w:space="0"/>
              <w:right w:val="single" w:color="000000" w:sz="6" w:space="0"/>
            </w:tcBorders>
          </w:tcPr>
          <w:p w14:paraId="4A750C54">
            <w:pPr>
              <w:pStyle w:val="17"/>
              <w:spacing w:before="36"/>
              <w:ind w:left="104" w:right="77"/>
              <w:rPr>
                <w:rFonts w:ascii="Times New Roman"/>
                <w:sz w:val="21"/>
              </w:rPr>
            </w:pPr>
            <w:r>
              <w:rPr>
                <w:rFonts w:ascii="Times New Roman"/>
                <w:sz w:val="21"/>
              </w:rPr>
              <w:t>5.54</w:t>
            </w:r>
          </w:p>
        </w:tc>
        <w:tc>
          <w:tcPr>
            <w:tcW w:w="787" w:type="dxa"/>
            <w:tcBorders>
              <w:top w:val="single" w:color="000000" w:sz="6" w:space="0"/>
              <w:left w:val="single" w:color="000000" w:sz="6" w:space="0"/>
              <w:right w:val="single" w:color="000000" w:sz="6" w:space="0"/>
            </w:tcBorders>
          </w:tcPr>
          <w:p w14:paraId="01ADC8FE">
            <w:pPr>
              <w:pStyle w:val="17"/>
              <w:spacing w:before="36"/>
              <w:ind w:left="104" w:right="77"/>
              <w:rPr>
                <w:rFonts w:ascii="Times New Roman"/>
                <w:sz w:val="21"/>
              </w:rPr>
            </w:pPr>
            <w:r>
              <w:rPr>
                <w:rFonts w:ascii="Times New Roman"/>
                <w:sz w:val="21"/>
              </w:rPr>
              <w:t>8.32</w:t>
            </w:r>
          </w:p>
        </w:tc>
        <w:tc>
          <w:tcPr>
            <w:tcW w:w="787" w:type="dxa"/>
            <w:tcBorders>
              <w:top w:val="single" w:color="000000" w:sz="6" w:space="0"/>
              <w:left w:val="single" w:color="000000" w:sz="6" w:space="0"/>
              <w:right w:val="single" w:color="000000" w:sz="6" w:space="0"/>
            </w:tcBorders>
          </w:tcPr>
          <w:p w14:paraId="75C5BE34">
            <w:pPr>
              <w:pStyle w:val="17"/>
              <w:spacing w:before="36"/>
              <w:ind w:left="104" w:right="76"/>
              <w:rPr>
                <w:rFonts w:ascii="Times New Roman"/>
                <w:sz w:val="21"/>
              </w:rPr>
            </w:pPr>
            <w:r>
              <w:rPr>
                <w:rFonts w:ascii="Times New Roman"/>
                <w:sz w:val="21"/>
              </w:rPr>
              <w:t>11.19</w:t>
            </w:r>
          </w:p>
        </w:tc>
        <w:tc>
          <w:tcPr>
            <w:tcW w:w="787" w:type="dxa"/>
            <w:tcBorders>
              <w:top w:val="single" w:color="000000" w:sz="6" w:space="0"/>
              <w:left w:val="single" w:color="000000" w:sz="6" w:space="0"/>
              <w:right w:val="single" w:color="000000" w:sz="6" w:space="0"/>
            </w:tcBorders>
          </w:tcPr>
          <w:p w14:paraId="190D6D98">
            <w:pPr>
              <w:pStyle w:val="17"/>
              <w:spacing w:before="36"/>
              <w:ind w:left="104" w:right="76"/>
              <w:rPr>
                <w:rFonts w:ascii="Times New Roman"/>
                <w:sz w:val="21"/>
              </w:rPr>
            </w:pPr>
            <w:r>
              <w:rPr>
                <w:rFonts w:ascii="Times New Roman"/>
                <w:sz w:val="21"/>
              </w:rPr>
              <w:t>8.40</w:t>
            </w:r>
          </w:p>
        </w:tc>
        <w:tc>
          <w:tcPr>
            <w:tcW w:w="787" w:type="dxa"/>
            <w:tcBorders>
              <w:top w:val="single" w:color="000000" w:sz="6" w:space="0"/>
              <w:left w:val="single" w:color="000000" w:sz="6" w:space="0"/>
              <w:right w:val="single" w:color="000000" w:sz="6" w:space="0"/>
            </w:tcBorders>
          </w:tcPr>
          <w:p w14:paraId="451B02AD">
            <w:pPr>
              <w:pStyle w:val="17"/>
              <w:spacing w:before="36"/>
              <w:ind w:left="104" w:right="75"/>
              <w:rPr>
                <w:rFonts w:ascii="Times New Roman"/>
                <w:sz w:val="21"/>
              </w:rPr>
            </w:pPr>
            <w:r>
              <w:rPr>
                <w:rFonts w:ascii="Times New Roman"/>
                <w:sz w:val="21"/>
              </w:rPr>
              <w:t>4.03</w:t>
            </w:r>
          </w:p>
        </w:tc>
        <w:tc>
          <w:tcPr>
            <w:tcW w:w="787" w:type="dxa"/>
            <w:tcBorders>
              <w:top w:val="single" w:color="000000" w:sz="6" w:space="0"/>
              <w:left w:val="single" w:color="000000" w:sz="6" w:space="0"/>
              <w:right w:val="single" w:color="000000" w:sz="6" w:space="0"/>
            </w:tcBorders>
          </w:tcPr>
          <w:p w14:paraId="46A8B7D8">
            <w:pPr>
              <w:pStyle w:val="17"/>
              <w:spacing w:before="36"/>
              <w:ind w:left="216"/>
              <w:jc w:val="left"/>
              <w:rPr>
                <w:rFonts w:ascii="Times New Roman"/>
                <w:sz w:val="21"/>
              </w:rPr>
            </w:pPr>
            <w:r>
              <w:rPr>
                <w:rFonts w:ascii="Times New Roman"/>
                <w:sz w:val="21"/>
              </w:rPr>
              <w:t>1.34</w:t>
            </w:r>
          </w:p>
        </w:tc>
        <w:tc>
          <w:tcPr>
            <w:tcW w:w="787" w:type="dxa"/>
            <w:tcBorders>
              <w:top w:val="single" w:color="000000" w:sz="6" w:space="0"/>
              <w:left w:val="single" w:color="000000" w:sz="6" w:space="0"/>
              <w:right w:val="single" w:color="000000" w:sz="6" w:space="0"/>
            </w:tcBorders>
          </w:tcPr>
          <w:p w14:paraId="7308D637">
            <w:pPr>
              <w:pStyle w:val="17"/>
              <w:spacing w:before="36"/>
              <w:ind w:left="216"/>
              <w:jc w:val="left"/>
              <w:rPr>
                <w:rFonts w:ascii="Times New Roman"/>
                <w:sz w:val="21"/>
              </w:rPr>
            </w:pPr>
            <w:r>
              <w:rPr>
                <w:rFonts w:ascii="Times New Roman"/>
                <w:sz w:val="21"/>
              </w:rPr>
              <w:t>1.30</w:t>
            </w:r>
          </w:p>
        </w:tc>
        <w:tc>
          <w:tcPr>
            <w:tcW w:w="787" w:type="dxa"/>
            <w:tcBorders>
              <w:top w:val="single" w:color="000000" w:sz="6" w:space="0"/>
              <w:left w:val="single" w:color="000000" w:sz="6" w:space="0"/>
              <w:right w:val="single" w:color="000000" w:sz="6" w:space="0"/>
            </w:tcBorders>
          </w:tcPr>
          <w:p w14:paraId="4443E9B5">
            <w:pPr>
              <w:pStyle w:val="17"/>
              <w:spacing w:before="36"/>
              <w:ind w:left="104" w:right="77"/>
              <w:rPr>
                <w:rFonts w:ascii="Times New Roman"/>
                <w:sz w:val="21"/>
              </w:rPr>
            </w:pPr>
            <w:r>
              <w:rPr>
                <w:rFonts w:ascii="Times New Roman"/>
                <w:sz w:val="21"/>
              </w:rPr>
              <w:t>2.15</w:t>
            </w:r>
          </w:p>
        </w:tc>
        <w:tc>
          <w:tcPr>
            <w:tcW w:w="787" w:type="dxa"/>
            <w:tcBorders>
              <w:top w:val="single" w:color="000000" w:sz="6" w:space="0"/>
              <w:left w:val="single" w:color="000000" w:sz="6" w:space="0"/>
              <w:right w:val="single" w:color="000000" w:sz="6" w:space="0"/>
            </w:tcBorders>
          </w:tcPr>
          <w:p w14:paraId="4B5D3631">
            <w:pPr>
              <w:pStyle w:val="17"/>
              <w:spacing w:before="36"/>
              <w:ind w:left="104" w:right="79"/>
              <w:rPr>
                <w:rFonts w:ascii="Times New Roman"/>
                <w:sz w:val="21"/>
              </w:rPr>
            </w:pPr>
            <w:r>
              <w:rPr>
                <w:rFonts w:ascii="Times New Roman"/>
                <w:sz w:val="21"/>
              </w:rPr>
              <w:t>5.66</w:t>
            </w:r>
          </w:p>
        </w:tc>
        <w:tc>
          <w:tcPr>
            <w:tcW w:w="787" w:type="dxa"/>
            <w:tcBorders>
              <w:top w:val="single" w:color="000000" w:sz="6" w:space="0"/>
              <w:left w:val="single" w:color="000000" w:sz="6" w:space="0"/>
              <w:right w:val="single" w:color="000000" w:sz="6" w:space="0"/>
            </w:tcBorders>
          </w:tcPr>
          <w:p w14:paraId="18DF88D8">
            <w:pPr>
              <w:pStyle w:val="17"/>
              <w:spacing w:before="36"/>
              <w:ind w:left="104" w:right="78"/>
              <w:rPr>
                <w:rFonts w:ascii="Times New Roman"/>
                <w:sz w:val="21"/>
              </w:rPr>
            </w:pPr>
            <w:r>
              <w:rPr>
                <w:rFonts w:ascii="Times New Roman"/>
                <w:sz w:val="21"/>
              </w:rPr>
              <w:t>4.89</w:t>
            </w:r>
          </w:p>
        </w:tc>
        <w:tc>
          <w:tcPr>
            <w:tcW w:w="787" w:type="dxa"/>
            <w:tcBorders>
              <w:top w:val="single" w:color="000000" w:sz="6" w:space="0"/>
              <w:left w:val="single" w:color="000000" w:sz="6" w:space="0"/>
              <w:right w:val="single" w:color="000000" w:sz="6" w:space="0"/>
            </w:tcBorders>
          </w:tcPr>
          <w:p w14:paraId="655A68B7">
            <w:pPr>
              <w:pStyle w:val="17"/>
              <w:spacing w:before="36"/>
              <w:ind w:left="104" w:right="78"/>
              <w:rPr>
                <w:rFonts w:ascii="Times New Roman"/>
                <w:sz w:val="21"/>
              </w:rPr>
            </w:pPr>
            <w:r>
              <w:rPr>
                <w:rFonts w:ascii="Times New Roman"/>
                <w:sz w:val="21"/>
              </w:rPr>
              <w:t>8.44</w:t>
            </w:r>
          </w:p>
        </w:tc>
        <w:tc>
          <w:tcPr>
            <w:tcW w:w="787" w:type="dxa"/>
            <w:tcBorders>
              <w:top w:val="single" w:color="000000" w:sz="6" w:space="0"/>
              <w:left w:val="single" w:color="000000" w:sz="6" w:space="0"/>
              <w:right w:val="single" w:color="000000" w:sz="6" w:space="0"/>
            </w:tcBorders>
          </w:tcPr>
          <w:p w14:paraId="4147C669">
            <w:pPr>
              <w:pStyle w:val="17"/>
              <w:spacing w:before="36"/>
              <w:ind w:right="138"/>
              <w:jc w:val="right"/>
              <w:rPr>
                <w:rFonts w:ascii="Times New Roman"/>
                <w:sz w:val="21"/>
              </w:rPr>
            </w:pPr>
            <w:r>
              <w:rPr>
                <w:rFonts w:ascii="Times New Roman"/>
                <w:w w:val="95"/>
                <w:sz w:val="21"/>
              </w:rPr>
              <w:t>11.42</w:t>
            </w:r>
          </w:p>
        </w:tc>
        <w:tc>
          <w:tcPr>
            <w:tcW w:w="803" w:type="dxa"/>
            <w:tcBorders>
              <w:top w:val="single" w:color="000000" w:sz="6" w:space="0"/>
              <w:left w:val="single" w:color="000000" w:sz="6" w:space="0"/>
              <w:right w:val="nil"/>
            </w:tcBorders>
          </w:tcPr>
          <w:p w14:paraId="1380DD0E">
            <w:pPr>
              <w:pStyle w:val="17"/>
              <w:spacing w:before="36"/>
              <w:ind w:left="222"/>
              <w:jc w:val="left"/>
              <w:rPr>
                <w:rFonts w:ascii="Times New Roman"/>
                <w:sz w:val="21"/>
              </w:rPr>
            </w:pPr>
            <w:r>
              <w:rPr>
                <w:rFonts w:ascii="Times New Roman"/>
                <w:sz w:val="21"/>
              </w:rPr>
              <w:t>0.09</w:t>
            </w:r>
          </w:p>
        </w:tc>
      </w:tr>
    </w:tbl>
    <w:p w14:paraId="6C96A85C">
      <w:pPr>
        <w:pStyle w:val="10"/>
        <w:rPr>
          <w:b/>
          <w:sz w:val="22"/>
        </w:rPr>
      </w:pPr>
    </w:p>
    <w:p w14:paraId="077F9EFF">
      <w:pPr>
        <w:pStyle w:val="10"/>
        <w:rPr>
          <w:b/>
          <w:sz w:val="22"/>
        </w:rPr>
      </w:pPr>
    </w:p>
    <w:p w14:paraId="4C866CC8">
      <w:pPr>
        <w:pStyle w:val="10"/>
        <w:rPr>
          <w:b/>
          <w:sz w:val="22"/>
        </w:rPr>
      </w:pPr>
    </w:p>
    <w:p w14:paraId="1CEA3C2F">
      <w:pPr>
        <w:pStyle w:val="10"/>
        <w:rPr>
          <w:b/>
          <w:sz w:val="22"/>
        </w:rPr>
      </w:pPr>
    </w:p>
    <w:p w14:paraId="2DF2406E">
      <w:pPr>
        <w:pStyle w:val="10"/>
        <w:rPr>
          <w:b/>
          <w:sz w:val="22"/>
        </w:rPr>
      </w:pPr>
    </w:p>
    <w:p w14:paraId="21EAEAD3">
      <w:pPr>
        <w:pStyle w:val="10"/>
        <w:rPr>
          <w:b/>
          <w:sz w:val="22"/>
        </w:rPr>
      </w:pPr>
    </w:p>
    <w:p w14:paraId="280262BA">
      <w:pPr>
        <w:pStyle w:val="10"/>
        <w:rPr>
          <w:b/>
          <w:sz w:val="22"/>
        </w:rPr>
      </w:pPr>
    </w:p>
    <w:p w14:paraId="195348D1">
      <w:pPr>
        <w:pStyle w:val="10"/>
        <w:rPr>
          <w:b/>
          <w:sz w:val="22"/>
        </w:rPr>
      </w:pPr>
    </w:p>
    <w:p w14:paraId="3356A03A">
      <w:pPr>
        <w:pStyle w:val="10"/>
        <w:spacing w:before="3"/>
        <w:rPr>
          <w:b/>
          <w:sz w:val="29"/>
        </w:rPr>
      </w:pPr>
    </w:p>
    <w:p w14:paraId="365C3E7D">
      <w:pPr>
        <w:spacing w:before="0"/>
        <w:ind w:left="5263" w:right="4904" w:firstLine="0"/>
        <w:jc w:val="center"/>
        <w:rPr>
          <w:rFonts w:ascii="Times New Roman"/>
          <w:sz w:val="21"/>
        </w:rPr>
      </w:pPr>
      <w:r>
        <w:rPr>
          <w:rFonts w:ascii="Times New Roman"/>
          <w:sz w:val="21"/>
        </w:rPr>
        <w:t>93</w:t>
      </w:r>
    </w:p>
    <w:p w14:paraId="740CA89B">
      <w:pPr>
        <w:spacing w:after="0"/>
        <w:jc w:val="center"/>
        <w:rPr>
          <w:rFonts w:ascii="Times New Roman"/>
          <w:sz w:val="21"/>
        </w:rPr>
        <w:sectPr>
          <w:footerReference r:id="rId23" w:type="default"/>
          <w:pgSz w:w="16840" w:h="11910" w:orient="landscape"/>
          <w:pgMar w:top="1100" w:right="1200" w:bottom="280" w:left="1200" w:header="0" w:footer="0" w:gutter="0"/>
          <w:cols w:space="720" w:num="1"/>
        </w:sectPr>
      </w:pPr>
    </w:p>
    <w:p w14:paraId="0B1A4151">
      <w:pPr>
        <w:pStyle w:val="10"/>
        <w:spacing w:before="9"/>
        <w:rPr>
          <w:rFonts w:ascii="Times New Roman"/>
          <w:sz w:val="21"/>
        </w:rPr>
      </w:pPr>
    </w:p>
    <w:p w14:paraId="21676A62">
      <w:pPr>
        <w:pStyle w:val="10"/>
        <w:ind w:left="635"/>
        <w:rPr>
          <w:rFonts w:ascii="Times New Roman"/>
          <w:sz w:val="20"/>
        </w:rPr>
      </w:pPr>
      <w:r>
        <w:rPr>
          <w:rFonts w:ascii="Times New Roman"/>
          <w:sz w:val="20"/>
        </w:rPr>
        <w:pict>
          <v:group id="_x0000_s1594" o:spid="_x0000_s1594" o:spt="203" style="height:534.4pt;width:374.05pt;" coordsize="7481,10688">
            <o:lock v:ext="edit"/>
            <v:rect id="_x0000_s1595" o:spid="_x0000_s1595" o:spt="1" style="position:absolute;left:7;top:7;height:10671;width:7467;" fillcolor="#00FFFF" filled="t" stroked="f" coordsize="21600,21600">
              <v:path/>
              <v:fill on="t" focussize="0,0"/>
              <v:stroke on="f"/>
              <v:imagedata o:title=""/>
              <o:lock v:ext="edit"/>
            </v:rect>
            <v:rect id="_x0000_s1596" o:spid="_x0000_s1596" o:spt="1" style="position:absolute;left:7;top:7;height:10671;width:7467;" filled="f" stroked="t" coordsize="21600,21600">
              <v:path/>
              <v:fill on="f" focussize="0,0"/>
              <v:stroke weight="0.705984251968504pt" color="#000000"/>
              <v:imagedata o:title=""/>
              <o:lock v:ext="edit"/>
            </v:rect>
            <v:line id="_x0000_s1597" o:spid="_x0000_s1597" o:spt="20" style="position:absolute;left:7;top:2138;height:0;width:7467;" stroked="t" coordsize="21600,21600">
              <v:path arrowok="t"/>
              <v:fill focussize="0,0"/>
              <v:stroke weight="0pt" color="#959595"/>
              <v:imagedata o:title=""/>
              <o:lock v:ext="edit"/>
            </v:line>
            <v:line id="_x0000_s1598" o:spid="_x0000_s1598" o:spt="20" style="position:absolute;left:7;top:4270;height:0;width:7467;" stroked="t" coordsize="21600,21600">
              <v:path arrowok="t"/>
              <v:fill focussize="0,0"/>
              <v:stroke weight="0pt" color="#959595"/>
              <v:imagedata o:title=""/>
              <o:lock v:ext="edit"/>
            </v:line>
            <v:line id="_x0000_s1599" o:spid="_x0000_s1599" o:spt="20" style="position:absolute;left:7;top:6415;height:0;width:7467;" stroked="t" coordsize="21600,21600">
              <v:path arrowok="t"/>
              <v:fill focussize="0,0"/>
              <v:stroke weight="0pt" color="#959595"/>
              <v:imagedata o:title=""/>
              <o:lock v:ext="edit"/>
            </v:line>
            <v:line id="_x0000_s1600" o:spid="_x0000_s1600" o:spt="20" style="position:absolute;left:7;top:8546;height:0;width:7467;" stroked="t" coordsize="21600,21600">
              <v:path arrowok="t"/>
              <v:fill focussize="0,0"/>
              <v:stroke weight="0pt" color="#959595"/>
              <v:imagedata o:title=""/>
              <o:lock v:ext="edit"/>
            </v:line>
            <v:line id="_x0000_s1601" o:spid="_x0000_s1601" o:spt="20" style="position:absolute;left:1870;top:7;height:10671;width:0;" stroked="t" coordsize="21600,21600">
              <v:path arrowok="t"/>
              <v:fill focussize="0,0"/>
              <v:stroke weight="0pt" color="#959595"/>
              <v:imagedata o:title=""/>
              <o:lock v:ext="edit"/>
            </v:line>
            <v:line id="_x0000_s1602" o:spid="_x0000_s1602" o:spt="20" style="position:absolute;left:3733;top:7;height:10671;width:0;" stroked="t" coordsize="21600,21600">
              <v:path arrowok="t"/>
              <v:fill focussize="0,0"/>
              <v:stroke weight="0pt" color="#959595"/>
              <v:imagedata o:title=""/>
              <o:lock v:ext="edit"/>
            </v:line>
            <v:line id="_x0000_s1603" o:spid="_x0000_s1603" o:spt="20" style="position:absolute;left:5611;top:7;height:10671;width:0;" stroked="t" coordsize="21600,21600">
              <v:path arrowok="t"/>
              <v:fill focussize="0,0"/>
              <v:stroke weight="0pt" color="#959595"/>
              <v:imagedata o:title=""/>
              <o:lock v:ext="edit"/>
            </v:line>
            <v:shape id="_x0000_s1604" o:spid="_x0000_s1604" style="position:absolute;left:402;top:444;height:1073;width:1059;" fillcolor="#00FF00" filled="t" stroked="f" coordorigin="402,445" coordsize="1059,1073" path="m932,1517l860,1512,791,1498,726,1475,664,1444,608,1406,557,1360,513,1309,475,1252,444,1190,421,1124,407,1054,402,981,407,908,421,838,444,772,475,710,513,653,557,602,608,556,664,518,726,487,791,464,860,449,932,445,1003,449,1072,464,1138,487,1199,518,1255,556,1306,602,1351,653,1389,710,1419,772,1442,838,1456,908,1461,981,1456,1054,1442,1124,1419,1190,1389,1252,1351,1309,1306,1360,1255,1406,1199,1444,1138,1475,1072,1498,1003,1512,932,1517xe">
              <v:path arrowok="t"/>
              <v:fill on="t" focussize="0,0"/>
              <v:stroke on="f"/>
              <v:imagedata o:title=""/>
              <o:lock v:ext="edit"/>
            </v:shape>
            <v:shape id="_x0000_s1605" o:spid="_x0000_s1605" style="position:absolute;left:402;top:444;height:1073;width:1059;" filled="f" stroked="t" coordorigin="402,445" coordsize="1059,1073" path="m1461,981l1456,1054,1442,1124,1419,1190,1389,1252,1351,1309,1306,1360,1255,1406,1199,1444,1138,1475,1072,1498,1003,1512,932,1517,860,1512,791,1498,726,1475,664,1444,608,1406,557,1360,513,1309,475,1252,444,1190,421,1124,407,1054,402,981,407,908,421,838,444,772,475,710,513,653,557,602,608,556,664,518,726,487,791,464,860,449,932,445,1003,449,1072,464,1138,487,1199,518,1255,556,1306,602,1351,653,1389,710,1419,772,1442,838,1456,908,1461,981e">
              <v:path arrowok="t"/>
              <v:fill on="f" focussize="0,0"/>
              <v:stroke weight="0.705984251968504pt" color="#636363"/>
              <v:imagedata o:title=""/>
              <o:lock v:ext="edit"/>
            </v:shape>
            <v:line id="_x0000_s1606" o:spid="_x0000_s1606" o:spt="20" style="position:absolute;left:960;top:360;height:635;width:0;" stroked="t" coordsize="21600,21600">
              <v:path arrowok="t"/>
              <v:fill focussize="0,0"/>
              <v:stroke weight="2.11700787401575pt" color="#F99595"/>
              <v:imagedata o:title=""/>
              <o:lock v:ext="edit"/>
            </v:line>
            <v:shape id="_x0000_s1607" o:spid="_x0000_s1607" style="position:absolute;left:938;top:359;height:636;width:43;" filled="f" stroked="t" coordorigin="939,360" coordsize="43,636" path="m939,995l939,360,981,896,939,995e">
              <v:path arrowok="t"/>
              <v:fill on="f" focussize="0,0"/>
              <v:stroke weight="0.705984251968504pt" color="#000000"/>
              <v:imagedata o:title=""/>
              <o:lock v:ext="edit"/>
            </v:shape>
            <v:shape id="_x0000_s1608" o:spid="_x0000_s1608" o:spt="75" type="#_x0000_t75" style="position:absolute;left:762;top:733;height:452;width:452;" filled="f" stroked="f" coordsize="21600,21600">
              <v:path/>
              <v:fill on="f" focussize="0,0"/>
              <v:stroke on="f"/>
              <v:imagedata r:id="rId85" o:title=""/>
              <o:lock v:ext="edit" aspectratio="t"/>
            </v:shape>
            <v:shape id="_x0000_s1609" o:spid="_x0000_s1609" style="position:absolute;left:839;top:359;height:636;width:99;" fillcolor="#C7C7C7" filled="t" stroked="f" coordorigin="840,360" coordsize="99,636" path="m939,995l840,741,939,360,939,995xe">
              <v:path arrowok="t"/>
              <v:fill on="t" focussize="0,0"/>
              <v:stroke on="f"/>
              <v:imagedata o:title=""/>
              <o:lock v:ext="edit"/>
            </v:shape>
            <v:shape id="_x0000_s1610" o:spid="_x0000_s1610" style="position:absolute;left:839;top:359;height:636;width:99;" filled="f" stroked="t" coordorigin="840,360" coordsize="99,636" path="m939,995l840,741,939,360,939,995e">
              <v:path arrowok="t"/>
              <v:fill on="f" focussize="0,0"/>
              <v:stroke weight="0.705984251968504pt" color="#000000"/>
              <v:imagedata o:title=""/>
              <o:lock v:ext="edit"/>
            </v:shape>
            <v:line id="_x0000_s1611" o:spid="_x0000_s1611" o:spt="20" style="position:absolute;left:939;top:445;height:1086;width:0;" stroked="t" coordsize="21600,21600">
              <v:path arrowok="t"/>
              <v:fill focussize="0,0"/>
              <v:stroke weight="0.705984251968504pt" color="#636363"/>
              <v:imagedata o:title=""/>
              <o:lock v:ext="edit"/>
            </v:line>
            <v:line id="_x0000_s1612" o:spid="_x0000_s1612" o:spt="20" style="position:absolute;left:727;top:487;flip:x;height:1002;width:423;" stroked="t" coordsize="21600,21600">
              <v:path arrowok="t"/>
              <v:fill focussize="0,0"/>
              <v:stroke weight="0.705984251968504pt" color="#636363"/>
              <v:imagedata o:title=""/>
              <o:lock v:ext="edit"/>
            </v:line>
            <v:line id="_x0000_s1613" o:spid="_x0000_s1613" o:spt="20" style="position:absolute;left:558;top:600;flip:x;height:776;width:762;" stroked="t" coordsize="21600,21600">
              <v:path arrowok="t"/>
              <v:fill focussize="0,0"/>
              <v:stroke weight="0.705984251968504pt" color="#636363"/>
              <v:imagedata o:title=""/>
              <o:lock v:ext="edit"/>
            </v:line>
            <v:line id="_x0000_s1614" o:spid="_x0000_s1614" o:spt="20" style="position:absolute;left:445;top:783;flip:x;height:410;width:988;" stroked="t" coordsize="21600,21600">
              <v:path arrowok="t"/>
              <v:fill focussize="0,0"/>
              <v:stroke weight="0.705984251968504pt" color="#636363"/>
              <v:imagedata o:title=""/>
              <o:lock v:ext="edit"/>
            </v:line>
            <v:line id="_x0000_s1615" o:spid="_x0000_s1615" o:spt="20" style="position:absolute;left:402;top:995;flip:x;height:0;width:1073;" stroked="t" coordsize="21600,21600">
              <v:path arrowok="t"/>
              <v:fill focussize="0,0"/>
              <v:stroke weight="0.705984251968504pt" color="#636363"/>
              <v:imagedata o:title=""/>
              <o:lock v:ext="edit"/>
            </v:line>
            <v:line id="_x0000_s1616" o:spid="_x0000_s1616" o:spt="20" style="position:absolute;left:445;top:783;flip:x y;height:410;width:988;" stroked="t" coordsize="21600,21600">
              <v:path arrowok="t"/>
              <v:fill focussize="0,0"/>
              <v:stroke weight="0.705984251968504pt" color="#636363"/>
              <v:imagedata o:title=""/>
              <o:lock v:ext="edit"/>
            </v:line>
            <v:line id="_x0000_s1617" o:spid="_x0000_s1617" o:spt="20" style="position:absolute;left:558;top:600;flip:x y;height:776;width:762;" stroked="t" coordsize="21600,21600">
              <v:path arrowok="t"/>
              <v:fill focussize="0,0"/>
              <v:stroke weight="0.705984251968504pt" color="#636363"/>
              <v:imagedata o:title=""/>
              <o:lock v:ext="edit"/>
            </v:line>
            <v:line id="_x0000_s1618" o:spid="_x0000_s1618" o:spt="20" style="position:absolute;left:727;top:487;flip:x y;height:1002;width:423;" stroked="t" coordsize="21600,21600">
              <v:path arrowok="t"/>
              <v:fill focussize="0,0"/>
              <v:stroke weight="0.705984251968504pt" color="#636363"/>
              <v:imagedata o:title=""/>
              <o:lock v:ext="edit"/>
            </v:line>
            <v:shape id="_x0000_s1619" o:spid="_x0000_s1619" o:spt="75" type="#_x0000_t75" style="position:absolute;left:790;top:846;height:269;width:283;" filled="f" stroked="f" coordsize="21600,21600">
              <v:path/>
              <v:fill on="f" focussize="0,0"/>
              <v:stroke on="f"/>
              <v:imagedata r:id="rId86" o:title=""/>
              <o:lock v:ext="edit" aspectratio="t"/>
            </v:shape>
            <v:shape id="_x0000_s1620" o:spid="_x0000_s1620" style="position:absolute;left:670;top:712;height:537;width:523;" filled="f" stroked="t" coordorigin="670,713" coordsize="523,537" path="m1193,981l1183,1052,1157,1116,1116,1171,1063,1213,1001,1240,932,1249,862,1240,800,1213,747,1171,706,1116,680,1052,670,981,680,910,706,846,747,791,800,749,862,722,932,713,1001,722,1063,749,1116,791,1157,846,1183,910,1193,981e">
              <v:path arrowok="t"/>
              <v:fill on="f" focussize="0,0"/>
              <v:stroke weight="0.705984251968504pt" color="#636363"/>
              <v:imagedata o:title=""/>
              <o:lock v:ext="edit"/>
            </v:shape>
            <v:shape id="_x0000_s1621" o:spid="_x0000_s1621" style="position:absolute;left:529;top:585;height:791;width:805;" filled="f" stroked="t" coordorigin="529,586" coordsize="805,791" path="m1334,981l1327,1052,1309,1119,1279,1180,1239,1236,1191,1283,1135,1322,1072,1351,1004,1370,932,1376,859,1370,791,1351,729,1322,672,1283,624,1236,584,1180,554,1119,536,1052,529,981,536,910,554,843,584,781,624,726,672,679,729,640,791,610,859,592,932,586,1004,592,1072,610,1135,640,1191,679,1239,726,1279,781,1309,843,1327,910,1334,981e">
              <v:path arrowok="t"/>
              <v:fill on="f" focussize="0,0"/>
              <v:stroke weight="0.705984251968504pt" color="#636363"/>
              <v:imagedata o:title=""/>
              <o:lock v:ext="edit"/>
            </v:shape>
            <v:shape id="_x0000_s1622" o:spid="_x0000_s1622" style="position:absolute;left:2265;top:444;height:1073;width:1059;" fillcolor="#00FF00" filled="t" stroked="f" coordorigin="2265,445" coordsize="1059,1073" path="m2795,1517l2723,1512,2654,1498,2589,1475,2528,1444,2471,1406,2420,1360,2376,1309,2338,1252,2307,1190,2284,1124,2270,1054,2265,981,2270,908,2284,838,2307,772,2338,710,2376,653,2420,602,2471,556,2528,518,2589,487,2654,464,2723,449,2795,445,2867,449,2935,464,3001,487,3062,518,3118,556,3169,602,3214,653,3252,710,3282,772,3305,838,3319,908,3324,981,3319,1054,3305,1124,3282,1190,3252,1252,3214,1309,3169,1360,3118,1406,3062,1444,3001,1475,2935,1498,2867,1512,2795,1517xe">
              <v:path arrowok="t"/>
              <v:fill on="t" focussize="0,0"/>
              <v:stroke on="f"/>
              <v:imagedata o:title=""/>
              <o:lock v:ext="edit"/>
            </v:shape>
            <v:shape id="_x0000_s1623" o:spid="_x0000_s1623" style="position:absolute;left:2265;top:444;height:1073;width:1059;" filled="f" stroked="t" coordorigin="2265,445" coordsize="1059,1073" path="m3324,981l3319,1054,3305,1124,3282,1190,3252,1252,3214,1309,3169,1360,3118,1406,3062,1444,3001,1475,2935,1498,2867,1512,2795,1517,2723,1512,2654,1498,2589,1475,2528,1444,2471,1406,2420,1360,2376,1309,2338,1252,2307,1190,2284,1124,2270,1054,2265,981,2270,908,2284,838,2307,772,2338,710,2376,653,2420,602,2471,556,2528,518,2589,487,2654,464,2723,449,2795,445,2867,449,2935,464,3001,487,3062,518,3118,556,3169,602,3214,653,3252,710,3282,772,3305,838,3319,908,3324,981e">
              <v:path arrowok="t"/>
              <v:fill on="f" focussize="0,0"/>
              <v:stroke weight="0.705984251968504pt" color="#636363"/>
              <v:imagedata o:title=""/>
              <o:lock v:ext="edit"/>
            </v:shape>
            <v:line id="_x0000_s1624" o:spid="_x0000_s1624" o:spt="20" style="position:absolute;left:2823;top:416;height:579;width:0;" stroked="t" coordsize="21600,21600">
              <v:path arrowok="t"/>
              <v:fill focussize="0,0"/>
              <v:stroke weight="2.11700787401575pt" color="#F99595"/>
              <v:imagedata o:title=""/>
              <o:lock v:ext="edit"/>
            </v:line>
            <v:shape id="_x0000_s1625" o:spid="_x0000_s1625" style="position:absolute;left:2801;top:416;height:579;width:43;" filled="f" stroked="t" coordorigin="2802,416" coordsize="43,579" path="m2802,995l2802,416,2844,882,2802,995e">
              <v:path arrowok="t"/>
              <v:fill on="f" focussize="0,0"/>
              <v:stroke weight="0.705984251968504pt" color="#000000"/>
              <v:imagedata o:title=""/>
              <o:lock v:ext="edit"/>
            </v:shape>
            <v:shape id="_x0000_s1626" o:spid="_x0000_s1626" o:spt="75" type="#_x0000_t75" style="position:absolute;left:2498;top:677;height:382;width:424;" filled="f" stroked="f" coordsize="21600,21600">
              <v:path/>
              <v:fill on="f" focussize="0,0"/>
              <v:stroke on="f"/>
              <v:imagedata r:id="rId87" o:title=""/>
              <o:lock v:ext="edit" aspectratio="t"/>
            </v:shape>
            <v:shape id="_x0000_s1627" o:spid="_x0000_s1627" style="position:absolute;left:2505;top:486;height:509;width:297;" fillcolor="#F99595" filled="t" stroked="f" coordorigin="2505,487" coordsize="297,509" path="m2802,995l2505,685,2590,487,2802,995xe">
              <v:path arrowok="t"/>
              <v:fill on="t" focussize="0,0"/>
              <v:stroke on="f"/>
              <v:imagedata o:title=""/>
              <o:lock v:ext="edit"/>
            </v:shape>
            <v:shape id="_x0000_s1628" o:spid="_x0000_s1628" style="position:absolute;left:2505;top:486;height:509;width:297;" filled="f" stroked="t" coordorigin="2505,487" coordsize="297,509" path="m2802,995l2505,685,2590,487,2802,995e">
              <v:path arrowok="t"/>
              <v:fill on="f" focussize="0,0"/>
              <v:stroke weight="0.705984251968504pt" color="#000000"/>
              <v:imagedata o:title=""/>
              <o:lock v:ext="edit"/>
            </v:shape>
            <v:shape id="_x0000_s1629" o:spid="_x0000_s1629" style="position:absolute;left:2590;top:416;height:579;width:212;" fillcolor="#C7C7C7" filled="t" stroked="f" coordorigin="2590,416" coordsize="212,579" path="m2802,995l2590,487,2802,416,2802,995xe">
              <v:path arrowok="t"/>
              <v:fill on="t" focussize="0,0"/>
              <v:stroke on="f"/>
              <v:imagedata o:title=""/>
              <o:lock v:ext="edit"/>
            </v:shape>
            <v:shape id="_x0000_s1630" o:spid="_x0000_s1630" style="position:absolute;left:2590;top:416;height:579;width:212;" filled="f" stroked="t" coordorigin="2590,416" coordsize="212,579" path="m2802,995l2590,487,2802,416,2802,995e">
              <v:path arrowok="t"/>
              <v:fill on="f" focussize="0,0"/>
              <v:stroke weight="0.705984251968504pt" color="#000000"/>
              <v:imagedata o:title=""/>
              <o:lock v:ext="edit"/>
            </v:shape>
            <v:line id="_x0000_s1631" o:spid="_x0000_s1631" o:spt="20" style="position:absolute;left:2802;top:445;height:1086;width:0;" stroked="t" coordsize="21600,21600">
              <v:path arrowok="t"/>
              <v:fill focussize="0,0"/>
              <v:stroke weight="0.705984251968504pt" color="#636363"/>
              <v:imagedata o:title=""/>
              <o:lock v:ext="edit"/>
            </v:line>
            <v:line id="_x0000_s1632" o:spid="_x0000_s1632" o:spt="20" style="position:absolute;left:2590;top:487;flip:x;height:1002;width:423;" stroked="t" coordsize="21600,21600">
              <v:path arrowok="t"/>
              <v:fill focussize="0,0"/>
              <v:stroke weight="0.705984251968504pt" color="#636363"/>
              <v:imagedata o:title=""/>
              <o:lock v:ext="edit"/>
            </v:line>
            <v:line id="_x0000_s1633" o:spid="_x0000_s1633" o:spt="20" style="position:absolute;left:2421;top:600;flip:x;height:776;width:762;" stroked="t" coordsize="21600,21600">
              <v:path arrowok="t"/>
              <v:fill focussize="0,0"/>
              <v:stroke weight="0.705984251968504pt" color="#636363"/>
              <v:imagedata o:title=""/>
              <o:lock v:ext="edit"/>
            </v:line>
            <v:line id="_x0000_s1634" o:spid="_x0000_s1634" o:spt="20" style="position:absolute;left:2308;top:783;flip:x;height:410;width:988;" stroked="t" coordsize="21600,21600">
              <v:path arrowok="t"/>
              <v:fill focussize="0,0"/>
              <v:stroke weight="0.705984251968504pt" color="#636363"/>
              <v:imagedata o:title=""/>
              <o:lock v:ext="edit"/>
            </v:line>
            <v:line id="_x0000_s1635" o:spid="_x0000_s1635" o:spt="20" style="position:absolute;left:2265;top:995;flip:x;height:0;width:1073;" stroked="t" coordsize="21600,21600">
              <v:path arrowok="t"/>
              <v:fill focussize="0,0"/>
              <v:stroke weight="0.705984251968504pt" color="#636363"/>
              <v:imagedata o:title=""/>
              <o:lock v:ext="edit"/>
            </v:line>
            <v:line id="_x0000_s1636" o:spid="_x0000_s1636" o:spt="20" style="position:absolute;left:2308;top:783;flip:x y;height:410;width:988;" stroked="t" coordsize="21600,21600">
              <v:path arrowok="t"/>
              <v:fill focussize="0,0"/>
              <v:stroke weight="0.705984251968504pt" color="#636363"/>
              <v:imagedata o:title=""/>
              <o:lock v:ext="edit"/>
            </v:line>
            <v:line id="_x0000_s1637" o:spid="_x0000_s1637" o:spt="20" style="position:absolute;left:2421;top:600;flip:x y;height:776;width:762;" stroked="t" coordsize="21600,21600">
              <v:path arrowok="t"/>
              <v:fill focussize="0,0"/>
              <v:stroke weight="0.705984251968504pt" color="#636363"/>
              <v:imagedata o:title=""/>
              <o:lock v:ext="edit"/>
            </v:line>
            <v:line id="_x0000_s1638" o:spid="_x0000_s1638" o:spt="20" style="position:absolute;left:2590;top:487;flip:x y;height:1002;width:423;" stroked="t" coordsize="21600,21600">
              <v:path arrowok="t"/>
              <v:fill focussize="0,0"/>
              <v:stroke weight="0.705984251968504pt" color="#636363"/>
              <v:imagedata o:title=""/>
              <o:lock v:ext="edit"/>
            </v:line>
            <v:shape id="_x0000_s1639" o:spid="_x0000_s1639" o:spt="75" type="#_x0000_t75" style="position:absolute;left:2653;top:846;height:269;width:283;" filled="f" stroked="f" coordsize="21600,21600">
              <v:path/>
              <v:fill on="f" focussize="0,0"/>
              <v:stroke on="f"/>
              <v:imagedata r:id="rId88" o:title=""/>
              <o:lock v:ext="edit" aspectratio="t"/>
            </v:shape>
            <v:shape id="_x0000_s1640" o:spid="_x0000_s1640" style="position:absolute;left:2533;top:712;height:537;width:523;" filled="f" stroked="t" coordorigin="2534,713" coordsize="523,537" path="m3056,981l3046,1052,3020,1116,2979,1171,2926,1213,2864,1240,2795,1249,2725,1240,2663,1213,2610,1171,2569,1116,2543,1052,2534,981,2543,910,2569,846,2610,791,2663,749,2725,722,2795,713,2864,722,2926,749,2979,791,3020,846,3046,910,3056,981e">
              <v:path arrowok="t"/>
              <v:fill on="f" focussize="0,0"/>
              <v:stroke weight="0.705984251968504pt" color="#636363"/>
              <v:imagedata o:title=""/>
              <o:lock v:ext="edit"/>
            </v:shape>
            <v:shape id="_x0000_s1641" o:spid="_x0000_s1641" style="position:absolute;left:2392;top:585;height:791;width:805;" filled="f" stroked="t" coordorigin="2392,586" coordsize="805,791" path="m3197,981l3190,1052,3172,1119,3142,1180,3102,1236,3054,1283,2998,1322,2935,1351,2867,1370,2795,1376,2722,1370,2654,1351,2592,1322,2536,1283,2487,1236,2447,1180,2418,1119,2399,1052,2392,981,2399,910,2418,843,2447,781,2487,726,2536,679,2592,640,2654,610,2722,592,2795,586,2867,592,2935,610,2998,640,3054,679,3102,726,3142,781,3172,843,3190,910,3197,981e">
              <v:path arrowok="t"/>
              <v:fill on="f" focussize="0,0"/>
              <v:stroke weight="0.705984251968504pt" color="#636363"/>
              <v:imagedata o:title=""/>
              <o:lock v:ext="edit"/>
            </v:shape>
            <v:shape id="_x0000_s1642" o:spid="_x0000_s1642" style="position:absolute;left:4128;top:444;height:1073;width:1059;" fillcolor="#00FF00" filled="t" stroked="f" coordorigin="4129,445" coordsize="1059,1073" path="m4658,1517l4586,1512,4517,1498,4452,1475,4391,1444,4334,1406,4284,1360,4239,1309,4201,1252,4170,1190,4147,1124,4133,1054,4129,981,4133,908,4147,838,4170,772,4201,710,4239,653,4284,602,4334,556,4391,518,4452,487,4517,464,4586,449,4658,445,4730,449,4799,464,4864,487,4925,518,4981,556,5032,602,5077,653,5115,710,5146,772,5168,838,5182,908,5187,981,5182,1054,5168,1124,5146,1190,5115,1252,5077,1309,5032,1360,4981,1406,4925,1444,4864,1475,4799,1498,4730,1512,4658,1517xe">
              <v:path arrowok="t"/>
              <v:fill on="t" focussize="0,0"/>
              <v:stroke on="f"/>
              <v:imagedata o:title=""/>
              <o:lock v:ext="edit"/>
            </v:shape>
            <v:shape id="_x0000_s1643" o:spid="_x0000_s1643" style="position:absolute;left:4128;top:444;height:1073;width:1059;" filled="f" stroked="t" coordorigin="4129,445" coordsize="1059,1073" path="m5187,981l5182,1054,5168,1124,5146,1190,5115,1252,5077,1309,5032,1360,4981,1406,4925,1444,4864,1475,4799,1498,4730,1512,4658,1517,4586,1512,4517,1498,4452,1475,4391,1444,4334,1406,4284,1360,4239,1309,4201,1252,4170,1190,4147,1124,4133,1054,4129,981,4133,908,4147,838,4170,772,4201,710,4239,653,4284,602,4334,556,4391,518,4452,487,4517,464,4586,449,4658,445,4730,449,4799,464,4864,487,4925,518,4981,556,5032,602,5077,653,5115,710,5146,772,5168,838,5182,908,5187,981e">
              <v:path arrowok="t"/>
              <v:fill on="f" focussize="0,0"/>
              <v:stroke weight="0.705984251968504pt" color="#636363"/>
              <v:imagedata o:title=""/>
              <o:lock v:ext="edit"/>
            </v:shape>
            <v:line id="_x0000_s1644" o:spid="_x0000_s1644" o:spt="20" style="position:absolute;left:4679;top:515;height:480;width:0;" stroked="t" coordsize="21600,21600">
              <v:path arrowok="t"/>
              <v:fill focussize="0,0"/>
              <v:stroke weight="1.41102362204724pt" color="#F99595"/>
              <v:imagedata o:title=""/>
              <o:lock v:ext="edit"/>
            </v:line>
            <v:shape id="_x0000_s1645" o:spid="_x0000_s1645" style="position:absolute;left:4664;top:515;height:480;width:29;" filled="f" stroked="t" coordorigin="4665,515" coordsize="29,480" path="m4665,995l4665,515,4693,925,4665,995e">
              <v:path arrowok="t"/>
              <v:fill on="f" focussize="0,0"/>
              <v:stroke weight="0.705984251968504pt" color="#000000"/>
              <v:imagedata o:title=""/>
              <o:lock v:ext="edit"/>
            </v:shape>
            <v:shape id="_x0000_s1646" o:spid="_x0000_s1646" o:spt="75" type="#_x0000_t75" style="position:absolute;left:4446;top:663;height:565;width:466;" filled="f" stroked="f" coordsize="21600,21600">
              <v:path/>
              <v:fill on="f" focussize="0,0"/>
              <v:stroke on="f"/>
              <v:imagedata r:id="rId89" o:title=""/>
              <o:lock v:ext="edit" aspectratio="t"/>
            </v:shape>
            <v:shape id="_x0000_s1647" o:spid="_x0000_s1647" style="position:absolute;left:4537;top:515;height:480;width:128;" fillcolor="#C7C7C7" filled="t" stroked="f" coordorigin="4538,515" coordsize="128,480" path="m4665,995l4538,670,4665,515,4665,995xe">
              <v:path arrowok="t"/>
              <v:fill on="t" focussize="0,0"/>
              <v:stroke on="f"/>
              <v:imagedata o:title=""/>
              <o:lock v:ext="edit"/>
            </v:shape>
            <v:shape id="_x0000_s1648" o:spid="_x0000_s1648" style="position:absolute;left:4537;top:515;height:480;width:128;" filled="f" stroked="t" coordorigin="4538,515" coordsize="128,480" path="m4665,995l4538,670,4665,515,4665,995e">
              <v:path arrowok="t"/>
              <v:fill on="f" focussize="0,0"/>
              <v:stroke weight="0.705984251968504pt" color="#000000"/>
              <v:imagedata o:title=""/>
              <o:lock v:ext="edit"/>
            </v:shape>
            <v:line id="_x0000_s1649" o:spid="_x0000_s1649" o:spt="20" style="position:absolute;left:4665;top:445;height:1086;width:0;" stroked="t" coordsize="21600,21600">
              <v:path arrowok="t"/>
              <v:fill focussize="0,0"/>
              <v:stroke weight="0.705984251968504pt" color="#636363"/>
              <v:imagedata o:title=""/>
              <o:lock v:ext="edit"/>
            </v:line>
            <v:line id="_x0000_s1650" o:spid="_x0000_s1650" o:spt="20" style="position:absolute;left:4453;top:487;flip:x;height:1002;width:424;" stroked="t" coordsize="21600,21600">
              <v:path arrowok="t"/>
              <v:fill focussize="0,0"/>
              <v:stroke weight="0.705984251968504pt" color="#636363"/>
              <v:imagedata o:title=""/>
              <o:lock v:ext="edit"/>
            </v:line>
            <v:line id="_x0000_s1651" o:spid="_x0000_s1651" o:spt="20" style="position:absolute;left:4284;top:600;flip:x;height:776;width:762;" stroked="t" coordsize="21600,21600">
              <v:path arrowok="t"/>
              <v:fill focussize="0,0"/>
              <v:stroke weight="0.705984251968504pt" color="#636363"/>
              <v:imagedata o:title=""/>
              <o:lock v:ext="edit"/>
            </v:line>
            <v:line id="_x0000_s1652" o:spid="_x0000_s1652" o:spt="20" style="position:absolute;left:4171;top:783;flip:x;height:410;width:988;" stroked="t" coordsize="21600,21600">
              <v:path arrowok="t"/>
              <v:fill focussize="0,0"/>
              <v:stroke weight="0.705984251968504pt" color="#636363"/>
              <v:imagedata o:title=""/>
              <o:lock v:ext="edit"/>
            </v:line>
            <v:line id="_x0000_s1653" o:spid="_x0000_s1653" o:spt="20" style="position:absolute;left:4129;top:995;flip:x;height:0;width:1072;" stroked="t" coordsize="21600,21600">
              <v:path arrowok="t"/>
              <v:fill focussize="0,0"/>
              <v:stroke weight="0.705984251968504pt" color="#636363"/>
              <v:imagedata o:title=""/>
              <o:lock v:ext="edit"/>
            </v:line>
            <v:line id="_x0000_s1654" o:spid="_x0000_s1654" o:spt="20" style="position:absolute;left:4171;top:783;flip:x y;height:410;width:988;" stroked="t" coordsize="21600,21600">
              <v:path arrowok="t"/>
              <v:fill focussize="0,0"/>
              <v:stroke weight="0.705984251968504pt" color="#636363"/>
              <v:imagedata o:title=""/>
              <o:lock v:ext="edit"/>
            </v:line>
            <v:line id="_x0000_s1655" o:spid="_x0000_s1655" o:spt="20" style="position:absolute;left:4284;top:600;flip:x y;height:776;width:762;" stroked="t" coordsize="21600,21600">
              <v:path arrowok="t"/>
              <v:fill focussize="0,0"/>
              <v:stroke weight="0.705984251968504pt" color="#636363"/>
              <v:imagedata o:title=""/>
              <o:lock v:ext="edit"/>
            </v:line>
            <v:line id="_x0000_s1656" o:spid="_x0000_s1656" o:spt="20" style="position:absolute;left:4453;top:487;flip:x y;height:1002;width:424;" stroked="t" coordsize="21600,21600">
              <v:path arrowok="t"/>
              <v:fill focussize="0,0"/>
              <v:stroke weight="0.705984251968504pt" color="#636363"/>
              <v:imagedata o:title=""/>
              <o:lock v:ext="edit"/>
            </v:line>
            <v:shape id="_x0000_s1657" o:spid="_x0000_s1657" o:spt="75" type="#_x0000_t75" style="position:absolute;left:4516;top:846;height:269;width:283;" filled="f" stroked="f" coordsize="21600,21600">
              <v:path/>
              <v:fill on="f" focussize="0,0"/>
              <v:stroke on="f"/>
              <v:imagedata r:id="rId90" o:title=""/>
              <o:lock v:ext="edit" aspectratio="t"/>
            </v:shape>
            <v:shape id="_x0000_s1658" o:spid="_x0000_s1658" style="position:absolute;left:4396;top:712;height:537;width:523;" filled="f" stroked="t" coordorigin="4397,713" coordsize="523,537" path="m4919,981l4910,1052,4883,1116,4842,1171,4790,1213,4727,1240,4658,1249,4588,1240,4526,1213,4473,1171,4432,1116,4406,1052,4397,981,4406,910,4432,846,4473,791,4526,749,4588,722,4658,713,4727,722,4790,749,4842,791,4883,846,4910,910,4919,981e">
              <v:path arrowok="t"/>
              <v:fill on="f" focussize="0,0"/>
              <v:stroke weight="0.705984251968504pt" color="#636363"/>
              <v:imagedata o:title=""/>
              <o:lock v:ext="edit"/>
            </v:shape>
            <v:shape id="_x0000_s1659" o:spid="_x0000_s1659" style="position:absolute;left:4255;top:585;height:791;width:805;" filled="f" stroked="t" coordorigin="4256,586" coordsize="805,791" path="m5060,981l5054,1052,5035,1119,5005,1180,4965,1236,4917,1283,4861,1322,4798,1351,4730,1370,4658,1376,4586,1370,4517,1351,4455,1322,4399,1283,4350,1236,4310,1180,4281,1119,4262,1052,4256,981,4262,910,4281,843,4310,781,4350,726,4399,679,4455,640,4517,610,4586,592,4658,586,4730,592,4798,610,4861,640,4917,679,4965,726,5005,781,5035,843,5054,910,5060,981e">
              <v:path arrowok="t"/>
              <v:fill on="f" focussize="0,0"/>
              <v:stroke weight="0.705984251968504pt" color="#636363"/>
              <v:imagedata o:title=""/>
              <o:lock v:ext="edit"/>
            </v:shape>
            <v:shape id="_x0000_s1660" o:spid="_x0000_s1660" style="position:absolute;left:6005;top:444;height:1073;width:1059;" fillcolor="#00FF00" filled="t" stroked="f" coordorigin="6006,445" coordsize="1059,1073" path="m6535,1517l6463,1512,6394,1498,6329,1475,6268,1444,6212,1406,6161,1360,6116,1309,6078,1252,6047,1190,6025,1124,6011,1054,6006,981,6011,908,6025,838,6047,772,6078,710,6116,653,6161,602,6212,556,6268,518,6329,487,6394,464,6463,449,6535,445,6607,449,6676,464,6741,487,6802,518,6859,556,6909,602,6954,653,6992,710,7023,772,7045,838,7060,908,7064,981,7060,1054,7045,1124,7023,1190,6992,1252,6954,1309,6909,1360,6859,1406,6802,1444,6741,1475,6676,1498,6607,1512,6535,1517xe">
              <v:path arrowok="t"/>
              <v:fill on="t" focussize="0,0"/>
              <v:stroke on="f"/>
              <v:imagedata o:title=""/>
              <o:lock v:ext="edit"/>
            </v:shape>
            <v:shape id="_x0000_s1661" o:spid="_x0000_s1661" style="position:absolute;left:6005;top:444;height:1073;width:1059;" filled="f" stroked="t" coordorigin="6006,445" coordsize="1059,1073" path="m7064,981l7060,1054,7045,1124,7023,1190,6992,1252,6954,1309,6909,1360,6859,1406,6802,1444,6741,1475,6676,1498,6607,1512,6535,1517,6463,1512,6394,1498,6329,1475,6268,1444,6212,1406,6161,1360,6116,1309,6078,1252,6047,1190,6025,1124,6011,1054,6006,981,6011,908,6025,838,6047,772,6078,710,6116,653,6161,602,6212,556,6268,518,6329,487,6394,464,6463,449,6535,445,6607,449,6676,464,6741,487,6802,518,6859,556,6909,602,6954,653,6992,710,7023,772,7045,838,7060,908,7064,981e">
              <v:path arrowok="t"/>
              <v:fill on="f" focussize="0,0"/>
              <v:stroke weight="0.705984251968504pt" color="#636363"/>
              <v:imagedata o:title=""/>
              <o:lock v:ext="edit"/>
            </v:shape>
            <v:line id="_x0000_s1662" o:spid="_x0000_s1662" o:spt="20" style="position:absolute;left:6556;top:558;height:437;width:0;" stroked="t" coordsize="21600,21600">
              <v:path arrowok="t"/>
              <v:fill focussize="0,0"/>
              <v:stroke weight="1.41196850393701pt" color="#F99595"/>
              <v:imagedata o:title=""/>
              <o:lock v:ext="edit"/>
            </v:line>
            <v:shape id="_x0000_s1663" o:spid="_x0000_s1663" style="position:absolute;left:6542;top:557;height:438;width:29;" filled="f" stroked="t" coordorigin="6542,558" coordsize="29,438" path="m6542,995l6542,558,6570,939,6542,995e">
              <v:path arrowok="t"/>
              <v:fill on="f" focussize="0,0"/>
              <v:stroke weight="0.705984251968504pt" color="#000000"/>
              <v:imagedata o:title=""/>
              <o:lock v:ext="edit"/>
            </v:shape>
            <v:shape id="_x0000_s1664" o:spid="_x0000_s1664" o:spt="75" type="#_x0000_t75" style="position:absolute;left:6408;top:691;height:622;width:452;" filled="f" stroked="f" coordsize="21600,21600">
              <v:path/>
              <v:fill on="f" focussize="0,0"/>
              <v:stroke on="f"/>
              <v:imagedata r:id="rId91" o:title=""/>
              <o:lock v:ext="edit" aspectratio="t"/>
            </v:shape>
            <v:shape id="_x0000_s1665" o:spid="_x0000_s1665" style="position:absolute;left:6429;top:557;height:438;width:113;" fillcolor="#C7C7C7" filled="t" stroked="f" coordorigin="6429,558" coordsize="113,438" path="m6542,995l6429,699,6542,558,6542,995xe">
              <v:path arrowok="t"/>
              <v:fill on="t" focussize="0,0"/>
              <v:stroke on="f"/>
              <v:imagedata o:title=""/>
              <o:lock v:ext="edit"/>
            </v:shape>
            <v:shape id="_x0000_s1666" o:spid="_x0000_s1666" style="position:absolute;left:6429;top:557;height:438;width:113;" filled="f" stroked="t" coordorigin="6429,558" coordsize="113,438" path="m6542,995l6429,699,6542,558,6542,995e">
              <v:path arrowok="t"/>
              <v:fill on="f" focussize="0,0"/>
              <v:stroke weight="0.705984251968504pt" color="#000000"/>
              <v:imagedata o:title=""/>
              <o:lock v:ext="edit"/>
            </v:shape>
            <v:line id="_x0000_s1667" o:spid="_x0000_s1667" o:spt="20" style="position:absolute;left:6542;top:445;height:1086;width:0;" stroked="t" coordsize="21600,21600">
              <v:path arrowok="t"/>
              <v:fill focussize="0,0"/>
              <v:stroke weight="0.705984251968504pt" color="#636363"/>
              <v:imagedata o:title=""/>
              <o:lock v:ext="edit"/>
            </v:line>
            <v:line id="_x0000_s1668" o:spid="_x0000_s1668" o:spt="20" style="position:absolute;left:6330;top:487;flip:x;height:1002;width:424;" stroked="t" coordsize="21600,21600">
              <v:path arrowok="t"/>
              <v:fill focussize="0,0"/>
              <v:stroke weight="0.705984251968504pt" color="#636363"/>
              <v:imagedata o:title=""/>
              <o:lock v:ext="edit"/>
            </v:line>
            <v:line id="_x0000_s1669" o:spid="_x0000_s1669" o:spt="20" style="position:absolute;left:6161;top:600;flip:x;height:776;width:762;" stroked="t" coordsize="21600,21600">
              <v:path arrowok="t"/>
              <v:fill focussize="0,0"/>
              <v:stroke weight="0.705984251968504pt" color="#636363"/>
              <v:imagedata o:title=""/>
              <o:lock v:ext="edit"/>
            </v:line>
            <v:line id="_x0000_s1670" o:spid="_x0000_s1670" o:spt="20" style="position:absolute;left:6048;top:783;flip:x;height:410;width:988;" stroked="t" coordsize="21600,21600">
              <v:path arrowok="t"/>
              <v:fill focussize="0,0"/>
              <v:stroke weight="0.705984251968504pt" color="#636363"/>
              <v:imagedata o:title=""/>
              <o:lock v:ext="edit"/>
            </v:line>
            <v:line id="_x0000_s1671" o:spid="_x0000_s1671" o:spt="20" style="position:absolute;left:6006;top:995;flip:x;height:0;width:1073;" stroked="t" coordsize="21600,21600">
              <v:path arrowok="t"/>
              <v:fill focussize="0,0"/>
              <v:stroke weight="0.705984251968504pt" color="#636363"/>
              <v:imagedata o:title=""/>
              <o:lock v:ext="edit"/>
            </v:line>
            <v:line id="_x0000_s1672" o:spid="_x0000_s1672" o:spt="20" style="position:absolute;left:6048;top:783;flip:x y;height:410;width:988;" stroked="t" coordsize="21600,21600">
              <v:path arrowok="t"/>
              <v:fill focussize="0,0"/>
              <v:stroke weight="0.705984251968504pt" color="#636363"/>
              <v:imagedata o:title=""/>
              <o:lock v:ext="edit"/>
            </v:line>
            <v:line id="_x0000_s1673" o:spid="_x0000_s1673" o:spt="20" style="position:absolute;left:6161;top:600;flip:x y;height:776;width:762;" stroked="t" coordsize="21600,21600">
              <v:path arrowok="t"/>
              <v:fill focussize="0,0"/>
              <v:stroke weight="0.705984251968504pt" color="#636363"/>
              <v:imagedata o:title=""/>
              <o:lock v:ext="edit"/>
            </v:line>
            <v:line id="_x0000_s1674" o:spid="_x0000_s1674" o:spt="20" style="position:absolute;left:6330;top:487;flip:x y;height:1002;width:424;" stroked="t" coordsize="21600,21600">
              <v:path arrowok="t"/>
              <v:fill focussize="0,0"/>
              <v:stroke weight="0.705984251968504pt" color="#636363"/>
              <v:imagedata o:title=""/>
              <o:lock v:ext="edit"/>
            </v:line>
            <v:shape id="_x0000_s1675" o:spid="_x0000_s1675" o:spt="75" type="#_x0000_t75" style="position:absolute;left:6393;top:846;height:269;width:283;" filled="f" stroked="f" coordsize="21600,21600">
              <v:path/>
              <v:fill on="f" focussize="0,0"/>
              <v:stroke on="f"/>
              <v:imagedata r:id="rId92" o:title=""/>
              <o:lock v:ext="edit" aspectratio="t"/>
            </v:shape>
            <v:shape id="_x0000_s1676" o:spid="_x0000_s1676" style="position:absolute;left:6273;top:712;height:537;width:523;" filled="f" stroked="t" coordorigin="6274,713" coordsize="523,537" path="m6796,981l6787,1052,6761,1116,6720,1171,6667,1213,6604,1240,6535,1249,6466,1240,6403,1213,6350,1171,6310,1116,6283,1052,6274,981,6283,910,6310,846,6350,791,6403,749,6466,722,6535,713,6604,722,6667,749,6720,791,6761,846,6787,910,6796,981e">
              <v:path arrowok="t"/>
              <v:fill on="f" focussize="0,0"/>
              <v:stroke weight="0.705984251968504pt" color="#636363"/>
              <v:imagedata o:title=""/>
              <o:lock v:ext="edit"/>
            </v:shape>
            <v:shape id="_x0000_s1677" o:spid="_x0000_s1677" style="position:absolute;left:6132;top:585;height:791;width:805;" filled="f" stroked="t" coordorigin="6133,586" coordsize="805,791" path="m6937,981l6931,1052,6912,1119,6882,1180,6843,1236,6794,1283,6738,1322,6675,1351,6607,1370,6535,1376,6463,1370,6395,1351,6332,1322,6276,1283,6227,1236,6188,1180,6158,1119,6139,1052,6133,981,6139,910,6158,843,6188,781,6227,726,6276,679,6332,640,6395,610,6463,592,6535,586,6607,592,6675,610,6738,640,6794,679,6843,726,6882,781,6912,843,6931,910,6937,981e">
              <v:path arrowok="t"/>
              <v:fill on="f" focussize="0,0"/>
              <v:stroke weight="0.705984251968504pt" color="#636363"/>
              <v:imagedata o:title=""/>
              <o:lock v:ext="edit"/>
            </v:shape>
            <v:shape id="_x0000_s1678" o:spid="_x0000_s1678" style="position:absolute;left:402;top:2575;height:1073;width:1059;" fillcolor="#00FF00" filled="t" stroked="f" coordorigin="402,2576" coordsize="1059,1073" path="m932,3649l860,3644,791,3629,726,3606,664,3575,608,3537,557,3492,513,3440,475,3383,444,3321,421,3255,407,3185,402,3112,407,3039,421,2970,444,2904,475,2842,513,2785,557,2733,608,2688,664,2649,726,2618,791,2595,860,2581,932,2576,1003,2581,1072,2595,1138,2618,1199,2649,1255,2688,1306,2733,1351,2785,1389,2842,1419,2904,1442,2970,1456,3039,1461,3112,1456,3185,1442,3255,1419,3321,1389,3383,1351,3440,1306,3492,1255,3537,1199,3575,1138,3606,1072,3629,1003,3644,932,3649xe">
              <v:path arrowok="t"/>
              <v:fill on="t" focussize="0,0"/>
              <v:stroke on="f"/>
              <v:imagedata o:title=""/>
              <o:lock v:ext="edit"/>
            </v:shape>
            <v:shape id="_x0000_s1679" o:spid="_x0000_s1679" style="position:absolute;left:402;top:2575;height:1073;width:1059;" filled="f" stroked="t" coordorigin="402,2576" coordsize="1059,1073" path="m1461,3112l1456,3185,1442,3255,1419,3321,1389,3383,1351,3440,1306,3492,1255,3537,1199,3575,1138,3606,1072,3629,1003,3644,932,3649,860,3644,791,3629,726,3606,664,3575,608,3537,557,3492,513,3440,475,3383,444,3321,421,3255,407,3185,402,3112,407,3039,421,2970,444,2904,475,2842,513,2785,557,2733,608,2688,664,2649,726,2618,791,2595,860,2581,932,2576,1003,2581,1072,2595,1138,2618,1199,2649,1255,2688,1306,2733,1351,2785,1389,2842,1419,2904,1442,2970,1456,3039,1461,3112e">
              <v:path arrowok="t"/>
              <v:fill on="f" focussize="0,0"/>
              <v:stroke weight="0.705984251968504pt" color="#636363"/>
              <v:imagedata o:title=""/>
              <o:lock v:ext="edit"/>
            </v:shape>
            <v:line id="_x0000_s1680" o:spid="_x0000_s1680" o:spt="20" style="position:absolute;left:946;top:2618;height:494;width:0;" stroked="t" coordsize="21600,21600">
              <v:path arrowok="t"/>
              <v:fill focussize="0,0"/>
              <v:stroke weight="0.705984251968504pt" color="#F99595"/>
              <v:imagedata o:title=""/>
              <o:lock v:ext="edit"/>
            </v:line>
            <v:shape id="_x0000_s1681" o:spid="_x0000_s1681" style="position:absolute;left:938;top:2618;height:495;width:15;" filled="f" stroked="t" coordorigin="939,2618" coordsize="15,495" path="m939,3112l939,2618,953,3070,939,3112e">
              <v:path arrowok="t"/>
              <v:fill on="f" focussize="0,0"/>
              <v:stroke weight="0.705984251968504pt" color="#000000"/>
              <v:imagedata o:title=""/>
              <o:lock v:ext="edit"/>
            </v:shape>
            <v:shape id="_x0000_s1682" o:spid="_x0000_s1682" o:spt="75" type="#_x0000_t75" style="position:absolute;left:818;top:2837;height:622;width:438;" filled="f" stroked="f" coordsize="21600,21600">
              <v:path/>
              <v:fill on="f" focussize="0,0"/>
              <v:stroke on="f"/>
              <v:imagedata r:id="rId93" o:title=""/>
              <o:lock v:ext="edit" aspectratio="t"/>
            </v:shape>
            <v:shape id="_x0000_s1683" o:spid="_x0000_s1683" style="position:absolute;left:825;top:2618;height:495;width:113;" fillcolor="#C7C7C7" filled="t" stroked="f" coordorigin="826,2618" coordsize="113,495" path="m939,3112l826,2844,939,2618,939,3112xe">
              <v:path arrowok="t"/>
              <v:fill on="t" focussize="0,0"/>
              <v:stroke on="f"/>
              <v:imagedata o:title=""/>
              <o:lock v:ext="edit"/>
            </v:shape>
            <v:shape id="_x0000_s1684" o:spid="_x0000_s1684" style="position:absolute;left:825;top:2618;height:495;width:113;" filled="f" stroked="t" coordorigin="826,2618" coordsize="113,495" path="m939,3112l826,2844,939,2618,939,3112e">
              <v:path arrowok="t"/>
              <v:fill on="f" focussize="0,0"/>
              <v:stroke weight="0.705984251968504pt" color="#000000"/>
              <v:imagedata o:title=""/>
              <o:lock v:ext="edit"/>
            </v:shape>
            <v:line id="_x0000_s1685" o:spid="_x0000_s1685" o:spt="20" style="position:absolute;left:939;top:2576;height:1087;width:0;" stroked="t" coordsize="21600,21600">
              <v:path arrowok="t"/>
              <v:fill focussize="0,0"/>
              <v:stroke weight="0.705984251968504pt" color="#636363"/>
              <v:imagedata o:title=""/>
              <o:lock v:ext="edit"/>
            </v:line>
            <v:line id="_x0000_s1686" o:spid="_x0000_s1686" o:spt="20" style="position:absolute;left:727;top:2618;flip:x;height:1002;width:423;" stroked="t" coordsize="21600,21600">
              <v:path arrowok="t"/>
              <v:fill focussize="0,0"/>
              <v:stroke weight="0.705984251968504pt" color="#636363"/>
              <v:imagedata o:title=""/>
              <o:lock v:ext="edit"/>
            </v:line>
            <v:line id="_x0000_s1687" o:spid="_x0000_s1687" o:spt="20" style="position:absolute;left:558;top:2731;flip:x;height:776;width:762;" stroked="t" coordsize="21600,21600">
              <v:path arrowok="t"/>
              <v:fill focussize="0,0"/>
              <v:stroke weight="0.705984251968504pt" color="#636363"/>
              <v:imagedata o:title=""/>
              <o:lock v:ext="edit"/>
            </v:line>
            <v:line id="_x0000_s1688" o:spid="_x0000_s1688" o:spt="20" style="position:absolute;left:445;top:2915;flip:x;height:409;width:988;" stroked="t" coordsize="21600,21600">
              <v:path arrowok="t"/>
              <v:fill focussize="0,0"/>
              <v:stroke weight="0.705984251968504pt" color="#636363"/>
              <v:imagedata o:title=""/>
              <o:lock v:ext="edit"/>
            </v:line>
            <v:line id="_x0000_s1689" o:spid="_x0000_s1689" o:spt="20" style="position:absolute;left:402;top:3112;flip:x;height:0;width:1073;" stroked="t" coordsize="21600,21600">
              <v:path arrowok="t"/>
              <v:fill focussize="0,0"/>
              <v:stroke weight="0.705984251968504pt" color="#636363"/>
              <v:imagedata o:title=""/>
              <o:lock v:ext="edit"/>
            </v:line>
            <v:line id="_x0000_s1690" o:spid="_x0000_s1690" o:spt="20" style="position:absolute;left:445;top:2915;flip:x y;height:409;width:988;" stroked="t" coordsize="21600,21600">
              <v:path arrowok="t"/>
              <v:fill focussize="0,0"/>
              <v:stroke weight="0.705984251968504pt" color="#636363"/>
              <v:imagedata o:title=""/>
              <o:lock v:ext="edit"/>
            </v:line>
            <v:line id="_x0000_s1691" o:spid="_x0000_s1691" o:spt="20" style="position:absolute;left:558;top:2731;flip:x y;height:776;width:762;" stroked="t" coordsize="21600,21600">
              <v:path arrowok="t"/>
              <v:fill focussize="0,0"/>
              <v:stroke weight="0.705984251968504pt" color="#636363"/>
              <v:imagedata o:title=""/>
              <o:lock v:ext="edit"/>
            </v:line>
            <v:line id="_x0000_s1692" o:spid="_x0000_s1692" o:spt="20" style="position:absolute;left:727;top:2618;flip:x y;height:1002;width:423;" stroked="t" coordsize="21600,21600">
              <v:path arrowok="t"/>
              <v:fill focussize="0,0"/>
              <v:stroke weight="0.705984251968504pt" color="#636363"/>
              <v:imagedata o:title=""/>
              <o:lock v:ext="edit"/>
            </v:line>
            <v:shape id="_x0000_s1693" o:spid="_x0000_s1693" o:spt="75" type="#_x0000_t75" style="position:absolute;left:790;top:2978;height:269;width:283;" filled="f" stroked="f" coordsize="21600,21600">
              <v:path/>
              <v:fill on="f" focussize="0,0"/>
              <v:stroke on="f"/>
              <v:imagedata r:id="rId94" o:title=""/>
              <o:lock v:ext="edit" aspectratio="t"/>
            </v:shape>
            <v:shape id="_x0000_s1694" o:spid="_x0000_s1694" style="position:absolute;left:670;top:2844;height:537;width:523;" filled="f" stroked="t" coordorigin="670,2844" coordsize="523,537" path="m1193,3112l1183,3184,1157,3248,1116,3302,1063,3344,1001,3371,932,3380,862,3371,800,3344,747,3302,706,3248,680,3184,670,3112,680,3041,706,2977,747,2923,800,2881,862,2854,932,2844,1001,2854,1063,2881,1116,2923,1157,2977,1183,3041,1193,3112e">
              <v:path arrowok="t"/>
              <v:fill on="f" focussize="0,0"/>
              <v:stroke weight="0.705984251968504pt" color="#636363"/>
              <v:imagedata o:title=""/>
              <o:lock v:ext="edit"/>
            </v:shape>
            <v:shape id="_x0000_s1695" o:spid="_x0000_s1695" style="position:absolute;left:529;top:2717;height:791;width:805;" filled="f" stroked="t" coordorigin="529,2717" coordsize="805,791" path="m1334,3112l1327,3183,1309,3250,1279,3312,1239,3367,1191,3415,1135,3454,1072,3483,1004,3501,932,3507,859,3501,791,3483,729,3454,672,3415,624,3367,584,3312,554,3250,536,3183,529,3112,536,3041,554,2974,584,2913,624,2858,672,2810,729,2771,791,2742,859,2723,932,2717,1004,2723,1072,2742,1135,2771,1191,2810,1239,2858,1279,2913,1309,2974,1327,3041,1334,3112e">
              <v:path arrowok="t"/>
              <v:fill on="f" focussize="0,0"/>
              <v:stroke weight="0.705984251968504pt" color="#636363"/>
              <v:imagedata o:title=""/>
              <o:lock v:ext="edit"/>
            </v:shape>
            <v:shape id="_x0000_s1696" o:spid="_x0000_s1696" style="position:absolute;left:2265;top:2575;height:1073;width:1059;" fillcolor="#00FF00" filled="t" stroked="f" coordorigin="2265,2576" coordsize="1059,1073" path="m2795,3649l2723,3644,2654,3629,2589,3606,2528,3575,2471,3537,2420,3492,2376,3440,2338,3383,2307,3321,2284,3255,2270,3185,2265,3112,2270,3039,2284,2970,2307,2904,2338,2842,2376,2785,2420,2733,2471,2688,2528,2649,2589,2618,2654,2595,2723,2581,2795,2576,2867,2581,2935,2595,3001,2618,3062,2649,3118,2688,3169,2733,3214,2785,3252,2842,3282,2904,3305,2970,3319,3039,3324,3112,3319,3185,3305,3255,3282,3321,3252,3383,3214,3440,3169,3492,3118,3537,3062,3575,3001,3606,2935,3629,2867,3644,2795,3649xe">
              <v:path arrowok="t"/>
              <v:fill on="t" focussize="0,0"/>
              <v:stroke on="f"/>
              <v:imagedata o:title=""/>
              <o:lock v:ext="edit"/>
            </v:shape>
            <v:shape id="_x0000_s1697" o:spid="_x0000_s1697" style="position:absolute;left:2265;top:2575;height:1073;width:1059;" filled="f" stroked="t" coordorigin="2265,2576" coordsize="1059,1073" path="m3324,3112l3319,3185,3305,3255,3282,3321,3252,3383,3214,3440,3169,3492,3118,3537,3062,3575,3001,3606,2935,3629,2867,3644,2795,3649,2723,3644,2654,3629,2589,3606,2528,3575,2471,3537,2420,3492,2376,3440,2338,3383,2307,3321,2284,3255,2270,3185,2265,3112,2270,3039,2284,2970,2307,2904,2338,2842,2376,2785,2420,2733,2471,2688,2528,2649,2589,2618,2654,2595,2723,2581,2795,2576,2867,2581,2935,2595,3001,2618,3062,2649,3118,2688,3169,2733,3214,2785,3252,2842,3282,2904,3305,2970,3319,3039,3324,3112e">
              <v:path arrowok="t"/>
              <v:fill on="f" focussize="0,0"/>
              <v:stroke weight="0.705984251968504pt" color="#636363"/>
              <v:imagedata o:title=""/>
              <o:lock v:ext="edit"/>
            </v:shape>
            <v:shape id="_x0000_s1698" o:spid="_x0000_s1698" o:spt="75" type="#_x0000_t75" style="position:absolute;left:2568;top:2893;height:593;width:452;" filled="f" stroked="f" coordsize="21600,21600">
              <v:path/>
              <v:fill on="f" focussize="0,0"/>
              <v:stroke on="f"/>
              <v:imagedata r:id="rId95" o:title=""/>
              <o:lock v:ext="edit" aspectratio="t"/>
            </v:shape>
            <v:line id="_x0000_s1699" o:spid="_x0000_s1699" o:spt="20" style="position:absolute;left:2802;top:2576;height:1087;width:0;" stroked="t" coordsize="21600,21600">
              <v:path arrowok="t"/>
              <v:fill focussize="0,0"/>
              <v:stroke weight="0.705984251968504pt" color="#636363"/>
              <v:imagedata o:title=""/>
              <o:lock v:ext="edit"/>
            </v:line>
            <v:line id="_x0000_s1700" o:spid="_x0000_s1700" o:spt="20" style="position:absolute;left:2590;top:2618;flip:x;height:1002;width:423;" stroked="t" coordsize="21600,21600">
              <v:path arrowok="t"/>
              <v:fill focussize="0,0"/>
              <v:stroke weight="0.705984251968504pt" color="#636363"/>
              <v:imagedata o:title=""/>
              <o:lock v:ext="edit"/>
            </v:line>
            <v:line id="_x0000_s1701" o:spid="_x0000_s1701" o:spt="20" style="position:absolute;left:2421;top:2731;flip:x;height:776;width:762;" stroked="t" coordsize="21600,21600">
              <v:path arrowok="t"/>
              <v:fill focussize="0,0"/>
              <v:stroke weight="0.705984251968504pt" color="#636363"/>
              <v:imagedata o:title=""/>
              <o:lock v:ext="edit"/>
            </v:line>
            <v:line id="_x0000_s1702" o:spid="_x0000_s1702" o:spt="20" style="position:absolute;left:2308;top:2915;flip:x;height:409;width:988;" stroked="t" coordsize="21600,21600">
              <v:path arrowok="t"/>
              <v:fill focussize="0,0"/>
              <v:stroke weight="0.705984251968504pt" color="#636363"/>
              <v:imagedata o:title=""/>
              <o:lock v:ext="edit"/>
            </v:line>
            <v:line id="_x0000_s1703" o:spid="_x0000_s1703" o:spt="20" style="position:absolute;left:2265;top:3112;flip:x;height:0;width:1073;" stroked="t" coordsize="21600,21600">
              <v:path arrowok="t"/>
              <v:fill focussize="0,0"/>
              <v:stroke weight="0.705984251968504pt" color="#636363"/>
              <v:imagedata o:title=""/>
              <o:lock v:ext="edit"/>
            </v:line>
            <v:line id="_x0000_s1704" o:spid="_x0000_s1704" o:spt="20" style="position:absolute;left:2308;top:2915;flip:x y;height:409;width:988;" stroked="t" coordsize="21600,21600">
              <v:path arrowok="t"/>
              <v:fill focussize="0,0"/>
              <v:stroke weight="0.705984251968504pt" color="#636363"/>
              <v:imagedata o:title=""/>
              <o:lock v:ext="edit"/>
            </v:line>
            <v:line id="_x0000_s1705" o:spid="_x0000_s1705" o:spt="20" style="position:absolute;left:2421;top:2731;flip:x y;height:776;width:762;" stroked="t" coordsize="21600,21600">
              <v:path arrowok="t"/>
              <v:fill focussize="0,0"/>
              <v:stroke weight="0.705984251968504pt" color="#636363"/>
              <v:imagedata o:title=""/>
              <o:lock v:ext="edit"/>
            </v:line>
            <v:line id="_x0000_s1706" o:spid="_x0000_s1706" o:spt="20" style="position:absolute;left:2590;top:2618;flip:x y;height:1002;width:423;" stroked="t" coordsize="21600,21600">
              <v:path arrowok="t"/>
              <v:fill focussize="0,0"/>
              <v:stroke weight="0.705984251968504pt" color="#636363"/>
              <v:imagedata o:title=""/>
              <o:lock v:ext="edit"/>
            </v:line>
            <v:shape id="_x0000_s1707" o:spid="_x0000_s1707" o:spt="75" type="#_x0000_t75" style="position:absolute;left:2653;top:2978;height:269;width:283;" filled="f" stroked="f" coordsize="21600,21600">
              <v:path/>
              <v:fill on="f" focussize="0,0"/>
              <v:stroke on="f"/>
              <v:imagedata r:id="rId96" o:title=""/>
              <o:lock v:ext="edit" aspectratio="t"/>
            </v:shape>
            <v:shape id="_x0000_s1708" o:spid="_x0000_s1708" style="position:absolute;left:2533;top:2844;height:537;width:523;" filled="f" stroked="t" coordorigin="2534,2844" coordsize="523,537" path="m3056,3112l3046,3184,3020,3248,2979,3302,2926,3344,2864,3371,2795,3380,2725,3371,2663,3344,2610,3302,2569,3248,2543,3184,2534,3112,2543,3041,2569,2977,2610,2923,2663,2881,2725,2854,2795,2844,2864,2854,2926,2881,2979,2923,3020,2977,3046,3041,3056,3112e">
              <v:path arrowok="t"/>
              <v:fill on="f" focussize="0,0"/>
              <v:stroke weight="0.705984251968504pt" color="#636363"/>
              <v:imagedata o:title=""/>
              <o:lock v:ext="edit"/>
            </v:shape>
            <v:shape id="_x0000_s1709" o:spid="_x0000_s1709" style="position:absolute;left:2392;top:2717;height:791;width:805;" filled="f" stroked="t" coordorigin="2392,2717" coordsize="805,791" path="m3197,3112l3190,3183,3172,3250,3142,3312,3102,3367,3054,3415,2998,3454,2935,3483,2867,3501,2795,3507,2722,3501,2654,3483,2592,3454,2536,3415,2487,3367,2447,3312,2418,3250,2399,3183,2392,3112,2399,3041,2418,2974,2447,2913,2487,2858,2536,2810,2592,2771,2654,2742,2722,2723,2795,2717,2867,2723,2935,2742,2998,2771,3054,2810,3102,2858,3142,2913,3172,2974,3190,3041,3197,3112e">
              <v:path arrowok="t"/>
              <v:fill on="f" focussize="0,0"/>
              <v:stroke weight="0.705984251968504pt" color="#636363"/>
              <v:imagedata o:title=""/>
              <o:lock v:ext="edit"/>
            </v:shape>
            <v:shape id="_x0000_s1710" o:spid="_x0000_s1710" style="position:absolute;left:4128;top:2575;height:1073;width:1059;" fillcolor="#00FF00" filled="t" stroked="f" coordorigin="4129,2576" coordsize="1059,1073" path="m4658,3649l4586,3644,4517,3629,4452,3606,4391,3575,4334,3537,4284,3492,4239,3440,4201,3383,4170,3321,4147,3255,4133,3185,4129,3112,4133,3039,4147,2970,4170,2904,4201,2842,4239,2785,4284,2733,4334,2688,4391,2649,4452,2618,4517,2595,4586,2581,4658,2576,4730,2581,4799,2595,4864,2618,4925,2649,4981,2688,5032,2733,5077,2785,5115,2842,5146,2904,5168,2970,5182,3039,5187,3112,5182,3185,5168,3255,5146,3321,5115,3383,5077,3440,5032,3492,4981,3537,4925,3575,4864,3606,4799,3629,4730,3644,4658,3649xe">
              <v:path arrowok="t"/>
              <v:fill on="t" focussize="0,0"/>
              <v:stroke on="f"/>
              <v:imagedata o:title=""/>
              <o:lock v:ext="edit"/>
            </v:shape>
            <v:shape id="_x0000_s1711" o:spid="_x0000_s1711" style="position:absolute;left:4128;top:2575;height:1073;width:1059;" filled="f" stroked="t" coordorigin="4129,2576" coordsize="1059,1073" path="m5187,3112l5182,3185,5168,3255,5146,3321,5115,3383,5077,3440,5032,3492,4981,3537,4925,3575,4864,3606,4799,3629,4730,3644,4658,3649,4586,3644,4517,3629,4452,3606,4391,3575,4334,3537,4284,3492,4239,3440,4201,3383,4170,3321,4147,3255,4133,3185,4129,3112,4133,3039,4147,2970,4170,2904,4201,2842,4239,2785,4284,2733,4334,2688,4391,2649,4452,2618,4517,2595,4586,2581,4658,2576,4730,2581,4799,2595,4864,2618,4925,2649,4981,2688,5032,2733,5077,2785,5115,2842,5146,2904,5168,2970,5182,3039,5187,3112e">
              <v:path arrowok="t"/>
              <v:fill on="f" focussize="0,0"/>
              <v:stroke weight="0.705984251968504pt" color="#636363"/>
              <v:imagedata o:title=""/>
              <o:lock v:ext="edit"/>
            </v:shape>
            <v:shape id="_x0000_s1712" o:spid="_x0000_s1712" o:spt="75" type="#_x0000_t75" style="position:absolute;left:4657;top:2851;height:650;width:382;" filled="f" stroked="f" coordsize="21600,21600">
              <v:path/>
              <v:fill on="f" focussize="0,0"/>
              <v:stroke on="f"/>
              <v:imagedata r:id="rId97" o:title=""/>
              <o:lock v:ext="edit" aspectratio="t"/>
            </v:shape>
            <v:shape id="_x0000_s1713" o:spid="_x0000_s1713" style="position:absolute;left:4664;top:3112;height:438;width:367;" fillcolor="#F99595" filled="t" stroked="f" coordorigin="4665,3112" coordsize="367,438" path="m4848,3550l4665,3112,5032,3493,4848,3550xe">
              <v:path arrowok="t"/>
              <v:fill on="t" focussize="0,0"/>
              <v:stroke on="f"/>
              <v:imagedata o:title=""/>
              <o:lock v:ext="edit"/>
            </v:shape>
            <v:shape id="_x0000_s1714" o:spid="_x0000_s1714" style="position:absolute;left:4664;top:3112;height:438;width:367;" filled="f" stroked="t" coordorigin="4665,3112" coordsize="367,438" path="m4665,3112l5032,3493,4848,3550,4665,3112e">
              <v:path arrowok="t"/>
              <v:fill on="f" focussize="0,0"/>
              <v:stroke weight="0.705984251968504pt" color="#000000"/>
              <v:imagedata o:title=""/>
              <o:lock v:ext="edit"/>
            </v:shape>
            <v:shape id="_x0000_s1715" o:spid="_x0000_s1715" style="position:absolute;left:4664;top:3112;height:438;width:184;" fillcolor="#C7C7C7" filled="t" stroked="f" coordorigin="4665,3112" coordsize="184,438" path="m4848,3550l4665,3409,4665,3112,4848,3550xe">
              <v:path arrowok="t"/>
              <v:fill on="t" focussize="0,0"/>
              <v:stroke on="f"/>
              <v:imagedata o:title=""/>
              <o:lock v:ext="edit"/>
            </v:shape>
            <v:shape id="_x0000_s1716" o:spid="_x0000_s1716" style="position:absolute;left:4664;top:3112;height:438;width:184;" filled="f" stroked="t" coordorigin="4665,3112" coordsize="184,438" path="m4665,3112l4848,3550,4665,3409,4665,3112e">
              <v:path arrowok="t"/>
              <v:fill on="f" focussize="0,0"/>
              <v:stroke weight="0.705984251968504pt" color="#000000"/>
              <v:imagedata o:title=""/>
              <o:lock v:ext="edit"/>
            </v:shape>
            <v:line id="_x0000_s1717" o:spid="_x0000_s1717" o:spt="20" style="position:absolute;left:4651;top:3112;height:297;width:0;" stroked="t" coordsize="21600,21600">
              <v:path arrowok="t"/>
              <v:fill focussize="0,0"/>
              <v:stroke weight="1.41196850393701pt" color="#F99595"/>
              <v:imagedata o:title=""/>
              <o:lock v:ext="edit"/>
            </v:line>
            <v:shape id="_x0000_s1718" o:spid="_x0000_s1718" style="position:absolute;left:4636;top:3112;height:297;width:29;" filled="f" stroked="t" coordorigin="4637,3112" coordsize="29,297" path="m4665,3112l4665,3409,4637,3183,4665,3112e">
              <v:path arrowok="t"/>
              <v:fill on="f" focussize="0,0"/>
              <v:stroke weight="0.705984251968504pt" color="#000000"/>
              <v:imagedata o:title=""/>
              <o:lock v:ext="edit"/>
            </v:shape>
            <v:shape id="_x0000_s1719" o:spid="_x0000_s1719" style="position:absolute;left:4608;top:3112;height:71;width:57;" fillcolor="#C7C7C7" filled="t" stroked="f" coordorigin="4608,3112" coordsize="57,71" path="m4637,3183l4608,3169,4665,3112,4637,3183xe">
              <v:path arrowok="t"/>
              <v:fill on="t" focussize="0,0"/>
              <v:stroke on="f"/>
              <v:imagedata o:title=""/>
              <o:lock v:ext="edit"/>
            </v:shape>
            <v:shape id="_x0000_s1720" o:spid="_x0000_s1720" style="position:absolute;left:4608;top:3112;height:71;width:57;" filled="f" stroked="t" coordorigin="4608,3112" coordsize="57,71" path="m4665,3112l4637,3183,4608,3169,4665,3112e">
              <v:path arrowok="t"/>
              <v:fill on="f" focussize="0,0"/>
              <v:stroke weight="0.705984251968504pt" color="#000000"/>
              <v:imagedata o:title=""/>
              <o:lock v:ext="edit"/>
            </v:shape>
            <v:shape id="_x0000_s1721" o:spid="_x0000_s1721" style="position:absolute;left:4608;top:3112;height:57;width:57;" fillcolor="#F99595" filled="t" stroked="f" coordorigin="4608,3112" coordsize="57,57" path="m4608,3169l4623,3140,4665,3112,4608,3169xe">
              <v:path arrowok="t"/>
              <v:fill on="t" focussize="0,0"/>
              <v:stroke on="f"/>
              <v:imagedata o:title=""/>
              <o:lock v:ext="edit"/>
            </v:shape>
            <v:shape id="_x0000_s1722" o:spid="_x0000_s1722" style="position:absolute;left:4608;top:3112;height:57;width:57;" filled="f" stroked="t" coordorigin="4608,3112" coordsize="57,57" path="m4665,3112l4608,3169,4623,3140,4665,3112e">
              <v:path arrowok="t"/>
              <v:fill on="f" focussize="0,0"/>
              <v:stroke weight="0.705984251968504pt" color="#000000"/>
              <v:imagedata o:title=""/>
              <o:lock v:ext="edit"/>
            </v:shape>
            <v:shape id="_x0000_s1723" o:spid="_x0000_s1723" style="position:absolute;left:4580;top:3112;height:29;width:85;" fillcolor="#C7C7C7" filled="t" stroked="f" coordorigin="4580,3112" coordsize="85,29" path="m4623,3140l4580,3112,4665,3112,4623,3140xe">
              <v:path arrowok="t"/>
              <v:fill on="t" focussize="0,0"/>
              <v:stroke on="f"/>
              <v:imagedata o:title=""/>
              <o:lock v:ext="edit"/>
            </v:shape>
            <v:shape id="_x0000_s1724" o:spid="_x0000_s1724" style="position:absolute;left:4580;top:3112;height:29;width:85;" filled="f" stroked="t" coordorigin="4580,3112" coordsize="85,29" path="m4665,3112l4623,3140,4580,3112,4665,3112e">
              <v:path arrowok="t"/>
              <v:fill on="f" focussize="0,0"/>
              <v:stroke weight="0.705984251968504pt" color="#000000"/>
              <v:imagedata o:title=""/>
              <o:lock v:ext="edit"/>
            </v:shape>
            <v:shape id="_x0000_s1725" o:spid="_x0000_s1725" style="position:absolute;left:4580;top:3098;height:15;width:85;" fillcolor="#F99595" filled="t" stroked="f" coordorigin="4580,3098" coordsize="85,15" path="m4665,3112l4580,3112,4623,3098,4665,3112xe">
              <v:path arrowok="t"/>
              <v:fill on="t" focussize="0,0"/>
              <v:stroke on="f"/>
              <v:imagedata o:title=""/>
              <o:lock v:ext="edit"/>
            </v:shape>
            <v:shape id="_x0000_s1726" o:spid="_x0000_s1726" style="position:absolute;left:4580;top:3098;height:15;width:85;" filled="f" stroked="t" coordorigin="4580,3098" coordsize="85,15" path="m4665,3112l4580,3112,4623,3098,4665,3112e">
              <v:path arrowok="t"/>
              <v:fill on="f" focussize="0,0"/>
              <v:stroke weight="0.705984251968504pt" color="#000000"/>
              <v:imagedata o:title=""/>
              <o:lock v:ext="edit"/>
            </v:shape>
            <v:shape id="_x0000_s1727" o:spid="_x0000_s1727" style="position:absolute;left:4608;top:3069;height:43;width:57;" fillcolor="#C7C7C7" filled="t" stroked="f" coordorigin="4608,3070" coordsize="57,43" path="m4665,3112l4623,3098,4608,3070,4665,3112xe">
              <v:path arrowok="t"/>
              <v:fill on="t" focussize="0,0"/>
              <v:stroke on="f"/>
              <v:imagedata o:title=""/>
              <o:lock v:ext="edit"/>
            </v:shape>
            <v:shape id="_x0000_s1728" o:spid="_x0000_s1728" style="position:absolute;left:4608;top:3069;height:43;width:57;" filled="f" stroked="t" coordorigin="4608,3070" coordsize="57,43" path="m4665,3112l4623,3098,4608,3070,4665,3112e">
              <v:path arrowok="t"/>
              <v:fill on="f" focussize="0,0"/>
              <v:stroke weight="0.705984251968504pt" color="#000000"/>
              <v:imagedata o:title=""/>
              <o:lock v:ext="edit"/>
            </v:shape>
            <v:shape id="_x0000_s1729" o:spid="_x0000_s1729" style="position:absolute;left:4608;top:3013;height:99;width:57;" fillcolor="#F99595" filled="t" stroked="f" coordorigin="4608,3013" coordsize="57,99" path="m4665,3112l4608,3070,4623,3013,4665,3112xe">
              <v:path arrowok="t"/>
              <v:fill on="t" focussize="0,0"/>
              <v:stroke on="f"/>
              <v:imagedata o:title=""/>
              <o:lock v:ext="edit"/>
            </v:shape>
            <v:shape id="_x0000_s1730" o:spid="_x0000_s1730" style="position:absolute;left:4608;top:3013;height:99;width:57;" filled="f" stroked="t" coordorigin="4608,3013" coordsize="57,99" path="m4665,3112l4608,3070,4623,3013,4665,3112e">
              <v:path arrowok="t"/>
              <v:fill on="f" focussize="0,0"/>
              <v:stroke weight="0.705984251968504pt" color="#000000"/>
              <v:imagedata o:title=""/>
              <o:lock v:ext="edit"/>
            </v:shape>
            <v:shape id="_x0000_s1731" o:spid="_x0000_s1731" style="position:absolute;left:4622;top:2858;height:255;width:43;" fillcolor="#C7C7C7" filled="t" stroked="f" coordorigin="4623,2858" coordsize="43,255" path="m4665,3112l4623,3013,4665,2858,4665,3112xe">
              <v:path arrowok="t"/>
              <v:fill on="t" focussize="0,0"/>
              <v:stroke on="f"/>
              <v:imagedata o:title=""/>
              <o:lock v:ext="edit"/>
            </v:shape>
            <v:shape id="_x0000_s1732" o:spid="_x0000_s1732" style="position:absolute;left:4622;top:2858;height:255;width:43;" filled="f" stroked="t" coordorigin="4623,2858" coordsize="43,255" path="m4665,3112l4623,3013,4665,2858,4665,3112e">
              <v:path arrowok="t"/>
              <v:fill on="f" focussize="0,0"/>
              <v:stroke weight="0.705984251968504pt" color="#000000"/>
              <v:imagedata o:title=""/>
              <o:lock v:ext="edit"/>
            </v:shape>
            <v:line id="_x0000_s1733" o:spid="_x0000_s1733" o:spt="20" style="position:absolute;left:4665;top:2576;height:1087;width:0;" stroked="t" coordsize="21600,21600">
              <v:path arrowok="t"/>
              <v:fill focussize="0,0"/>
              <v:stroke weight="0.705984251968504pt" color="#636363"/>
              <v:imagedata o:title=""/>
              <o:lock v:ext="edit"/>
            </v:line>
            <v:line id="_x0000_s1734" o:spid="_x0000_s1734" o:spt="20" style="position:absolute;left:4453;top:2618;flip:x;height:1002;width:424;" stroked="t" coordsize="21600,21600">
              <v:path arrowok="t"/>
              <v:fill focussize="0,0"/>
              <v:stroke weight="0.705984251968504pt" color="#636363"/>
              <v:imagedata o:title=""/>
              <o:lock v:ext="edit"/>
            </v:line>
            <v:line id="_x0000_s1735" o:spid="_x0000_s1735" o:spt="20" style="position:absolute;left:4284;top:2731;flip:x;height:776;width:762;" stroked="t" coordsize="21600,21600">
              <v:path arrowok="t"/>
              <v:fill focussize="0,0"/>
              <v:stroke weight="0.705984251968504pt" color="#636363"/>
              <v:imagedata o:title=""/>
              <o:lock v:ext="edit"/>
            </v:line>
            <v:line id="_x0000_s1736" o:spid="_x0000_s1736" o:spt="20" style="position:absolute;left:4171;top:2915;flip:x;height:409;width:988;" stroked="t" coordsize="21600,21600">
              <v:path arrowok="t"/>
              <v:fill focussize="0,0"/>
              <v:stroke weight="0.705984251968504pt" color="#636363"/>
              <v:imagedata o:title=""/>
              <o:lock v:ext="edit"/>
            </v:line>
            <v:line id="_x0000_s1737" o:spid="_x0000_s1737" o:spt="20" style="position:absolute;left:4129;top:3112;flip:x;height:0;width:1072;" stroked="t" coordsize="21600,21600">
              <v:path arrowok="t"/>
              <v:fill focussize="0,0"/>
              <v:stroke weight="0.705984251968504pt" color="#636363"/>
              <v:imagedata o:title=""/>
              <o:lock v:ext="edit"/>
            </v:line>
            <v:line id="_x0000_s1738" o:spid="_x0000_s1738" o:spt="20" style="position:absolute;left:4171;top:2915;flip:x y;height:409;width:988;" stroked="t" coordsize="21600,21600">
              <v:path arrowok="t"/>
              <v:fill focussize="0,0"/>
              <v:stroke weight="0.705984251968504pt" color="#636363"/>
              <v:imagedata o:title=""/>
              <o:lock v:ext="edit"/>
            </v:line>
            <v:line id="_x0000_s1739" o:spid="_x0000_s1739" o:spt="20" style="position:absolute;left:4284;top:2731;flip:x y;height:776;width:762;" stroked="t" coordsize="21600,21600">
              <v:path arrowok="t"/>
              <v:fill focussize="0,0"/>
              <v:stroke weight="0.705984251968504pt" color="#636363"/>
              <v:imagedata o:title=""/>
              <o:lock v:ext="edit"/>
            </v:line>
            <v:line id="_x0000_s1740" o:spid="_x0000_s1740" o:spt="20" style="position:absolute;left:4453;top:2618;flip:x y;height:1002;width:424;" stroked="t" coordsize="21600,21600">
              <v:path arrowok="t"/>
              <v:fill focussize="0,0"/>
              <v:stroke weight="0.705984251968504pt" color="#636363"/>
              <v:imagedata o:title=""/>
              <o:lock v:ext="edit"/>
            </v:line>
            <v:shape id="_x0000_s1741" o:spid="_x0000_s1741" o:spt="75" type="#_x0000_t75" style="position:absolute;left:4516;top:2978;height:269;width:283;" filled="f" stroked="f" coordsize="21600,21600">
              <v:path/>
              <v:fill on="f" focussize="0,0"/>
              <v:stroke on="f"/>
              <v:imagedata r:id="rId98" o:title=""/>
              <o:lock v:ext="edit" aspectratio="t"/>
            </v:shape>
            <v:shape id="_x0000_s1742" o:spid="_x0000_s1742" style="position:absolute;left:4396;top:2844;height:537;width:523;" filled="f" stroked="t" coordorigin="4397,2844" coordsize="523,537" path="m4919,3112l4910,3184,4883,3248,4842,3302,4790,3344,4727,3371,4658,3380,4588,3371,4526,3344,4473,3302,4432,3248,4406,3184,4397,3112,4406,3041,4432,2977,4473,2923,4526,2881,4588,2854,4658,2844,4727,2854,4790,2881,4842,2923,4883,2977,4910,3041,4919,3112e">
              <v:path arrowok="t"/>
              <v:fill on="f" focussize="0,0"/>
              <v:stroke weight="0.705984251968504pt" color="#636363"/>
              <v:imagedata o:title=""/>
              <o:lock v:ext="edit"/>
            </v:shape>
            <v:shape id="_x0000_s1743" o:spid="_x0000_s1743" style="position:absolute;left:4255;top:2717;height:791;width:805;" filled="f" stroked="t" coordorigin="4256,2717" coordsize="805,791" path="m5060,3112l5054,3183,5035,3250,5005,3312,4965,3367,4917,3415,4861,3454,4798,3483,4730,3501,4658,3507,4586,3501,4517,3483,4455,3454,4399,3415,4350,3367,4310,3312,4281,3250,4262,3183,4256,3112,4262,3041,4281,2974,4310,2913,4350,2858,4399,2810,4455,2771,4517,2742,4586,2723,4658,2717,4730,2723,4798,2742,4861,2771,4917,2810,4965,2858,5005,2913,5035,2974,5054,3041,5060,3112e">
              <v:path arrowok="t"/>
              <v:fill on="f" focussize="0,0"/>
              <v:stroke weight="0.705984251968504pt" color="#636363"/>
              <v:imagedata o:title=""/>
              <o:lock v:ext="edit"/>
            </v:shape>
            <v:shape id="_x0000_s1744" o:spid="_x0000_s1744" style="position:absolute;left:6005;top:2575;height:1073;width:1059;" fillcolor="#00FF00" filled="t" stroked="f" coordorigin="6006,2576" coordsize="1059,1073" path="m6535,3649l6463,3644,6394,3629,6329,3606,6268,3575,6212,3537,6161,3492,6116,3440,6078,3383,6047,3321,6025,3255,6011,3185,6006,3112,6011,3039,6025,2970,6047,2904,6078,2842,6116,2785,6161,2733,6212,2688,6268,2649,6329,2618,6394,2595,6463,2581,6535,2576,6607,2581,6676,2595,6741,2618,6802,2649,6859,2688,6909,2733,6954,2785,6992,2842,7023,2904,7045,2970,7060,3039,7064,3112,7060,3185,7045,3255,7023,3321,6992,3383,6954,3440,6909,3492,6859,3537,6802,3575,6741,3606,6676,3629,6607,3644,6535,3649xe">
              <v:path arrowok="t"/>
              <v:fill on="t" focussize="0,0"/>
              <v:stroke on="f"/>
              <v:imagedata o:title=""/>
              <o:lock v:ext="edit"/>
            </v:shape>
            <v:shape id="_x0000_s1745" o:spid="_x0000_s1745" style="position:absolute;left:6005;top:2575;height:1073;width:1059;" filled="f" stroked="t" coordorigin="6006,2576" coordsize="1059,1073" path="m7064,3112l7060,3185,7045,3255,7023,3321,6992,3383,6954,3440,6909,3492,6859,3537,6802,3575,6741,3606,6676,3629,6607,3644,6535,3649,6463,3644,6394,3629,6329,3606,6268,3575,6212,3537,6161,3492,6116,3440,6078,3383,6047,3321,6025,3255,6011,3185,6006,3112,6011,3039,6025,2970,6047,2904,6078,2842,6116,2785,6161,2733,6212,2688,6268,2649,6329,2618,6394,2595,6463,2581,6535,2576,6607,2581,6676,2595,6741,2618,6802,2649,6859,2688,6909,2733,6954,2785,6992,2842,7023,2904,7045,2970,7060,3039,7064,3112e">
              <v:path arrowok="t"/>
              <v:fill on="f" focussize="0,0"/>
              <v:stroke weight="0.705984251968504pt" color="#636363"/>
              <v:imagedata o:title=""/>
              <o:lock v:ext="edit"/>
            </v:shape>
            <v:shape id="_x0000_s1746" o:spid="_x0000_s1746" style="position:absolute;left:6542;top:2618;height:495;width:85;" fillcolor="#F99595" filled="t" stroked="f" coordorigin="6542,2618" coordsize="85,495" path="m6542,3112l6542,2618,6627,2915,6542,3112xe">
              <v:path arrowok="t"/>
              <v:fill on="t" focussize="0,0"/>
              <v:stroke on="f"/>
              <v:imagedata o:title=""/>
              <o:lock v:ext="edit"/>
            </v:shape>
            <v:shape id="_x0000_s1747" o:spid="_x0000_s1747" style="position:absolute;left:6542;top:2618;height:495;width:85;" filled="f" stroked="t" coordorigin="6542,2618" coordsize="85,495" path="m6542,3112l6542,2618,6627,2915,6542,3112e">
              <v:path arrowok="t"/>
              <v:fill on="f" focussize="0,0"/>
              <v:stroke weight="0.705984251968504pt" color="#000000"/>
              <v:imagedata o:title=""/>
              <o:lock v:ext="edit"/>
            </v:shape>
            <v:shape id="_x0000_s1748" o:spid="_x0000_s1748" o:spt="75" type="#_x0000_t75" style="position:absolute;left:6422;top:2907;height:382;width:495;" filled="f" stroked="f" coordsize="21600,21600">
              <v:path/>
              <v:fill on="f" focussize="0,0"/>
              <v:stroke on="f"/>
              <v:imagedata r:id="rId99" o:title=""/>
              <o:lock v:ext="edit" aspectratio="t"/>
            </v:shape>
            <v:shape id="_x0000_s1749" o:spid="_x0000_s1749" style="position:absolute;left:6471;top:2618;height:495;width:71;" fillcolor="#C7C7C7" filled="t" stroked="f" coordorigin="6472,2618" coordsize="71,495" path="m6542,3112l6472,2943,6542,2618,6542,3112xe">
              <v:path arrowok="t"/>
              <v:fill on="t" focussize="0,0"/>
              <v:stroke on="f"/>
              <v:imagedata o:title=""/>
              <o:lock v:ext="edit"/>
            </v:shape>
            <v:shape id="_x0000_s1750" o:spid="_x0000_s1750" style="position:absolute;left:6471;top:2618;height:495;width:71;" filled="f" stroked="t" coordorigin="6472,2618" coordsize="71,495" path="m6542,3112l6472,2943,6542,2618,6542,3112e">
              <v:path arrowok="t"/>
              <v:fill on="f" focussize="0,0"/>
              <v:stroke weight="0.705984251968504pt" color="#000000"/>
              <v:imagedata o:title=""/>
              <o:lock v:ext="edit"/>
            </v:shape>
            <v:line id="_x0000_s1751" o:spid="_x0000_s1751" o:spt="20" style="position:absolute;left:6542;top:2576;height:1087;width:0;" stroked="t" coordsize="21600,21600">
              <v:path arrowok="t"/>
              <v:fill focussize="0,0"/>
              <v:stroke weight="0.705984251968504pt" color="#636363"/>
              <v:imagedata o:title=""/>
              <o:lock v:ext="edit"/>
            </v:line>
            <v:line id="_x0000_s1752" o:spid="_x0000_s1752" o:spt="20" style="position:absolute;left:6330;top:2618;flip:x;height:1002;width:424;" stroked="t" coordsize="21600,21600">
              <v:path arrowok="t"/>
              <v:fill focussize="0,0"/>
              <v:stroke weight="0.705984251968504pt" color="#636363"/>
              <v:imagedata o:title=""/>
              <o:lock v:ext="edit"/>
            </v:line>
            <v:line id="_x0000_s1753" o:spid="_x0000_s1753" o:spt="20" style="position:absolute;left:6161;top:2731;flip:x;height:776;width:762;" stroked="t" coordsize="21600,21600">
              <v:path arrowok="t"/>
              <v:fill focussize="0,0"/>
              <v:stroke weight="0.705984251968504pt" color="#636363"/>
              <v:imagedata o:title=""/>
              <o:lock v:ext="edit"/>
            </v:line>
            <v:line id="_x0000_s1754" o:spid="_x0000_s1754" o:spt="20" style="position:absolute;left:6048;top:2915;flip:x;height:409;width:988;" stroked="t" coordsize="21600,21600">
              <v:path arrowok="t"/>
              <v:fill focussize="0,0"/>
              <v:stroke weight="0.705984251968504pt" color="#636363"/>
              <v:imagedata o:title=""/>
              <o:lock v:ext="edit"/>
            </v:line>
            <v:line id="_x0000_s1755" o:spid="_x0000_s1755" o:spt="20" style="position:absolute;left:6006;top:3112;flip:x;height:0;width:1073;" stroked="t" coordsize="21600,21600">
              <v:path arrowok="t"/>
              <v:fill focussize="0,0"/>
              <v:stroke weight="0.705984251968504pt" color="#636363"/>
              <v:imagedata o:title=""/>
              <o:lock v:ext="edit"/>
            </v:line>
            <v:line id="_x0000_s1756" o:spid="_x0000_s1756" o:spt="20" style="position:absolute;left:6048;top:2915;flip:x y;height:409;width:988;" stroked="t" coordsize="21600,21600">
              <v:path arrowok="t"/>
              <v:fill focussize="0,0"/>
              <v:stroke weight="0.705984251968504pt" color="#636363"/>
              <v:imagedata o:title=""/>
              <o:lock v:ext="edit"/>
            </v:line>
            <v:line id="_x0000_s1757" o:spid="_x0000_s1757" o:spt="20" style="position:absolute;left:6161;top:2731;flip:x y;height:776;width:762;" stroked="t" coordsize="21600,21600">
              <v:path arrowok="t"/>
              <v:fill focussize="0,0"/>
              <v:stroke weight="0.705984251968504pt" color="#636363"/>
              <v:imagedata o:title=""/>
              <o:lock v:ext="edit"/>
            </v:line>
            <v:line id="_x0000_s1758" o:spid="_x0000_s1758" o:spt="20" style="position:absolute;left:6330;top:2618;flip:x y;height:1002;width:424;" stroked="t" coordsize="21600,21600">
              <v:path arrowok="t"/>
              <v:fill focussize="0,0"/>
              <v:stroke weight="0.705984251968504pt" color="#636363"/>
              <v:imagedata o:title=""/>
              <o:lock v:ext="edit"/>
            </v:line>
            <v:shape id="_x0000_s1759" o:spid="_x0000_s1759" o:spt="75" type="#_x0000_t75" style="position:absolute;left:6393;top:2978;height:269;width:283;" filled="f" stroked="f" coordsize="21600,21600">
              <v:path/>
              <v:fill on="f" focussize="0,0"/>
              <v:stroke on="f"/>
              <v:imagedata r:id="rId100" o:title=""/>
              <o:lock v:ext="edit" aspectratio="t"/>
            </v:shape>
            <v:shape id="_x0000_s1760" o:spid="_x0000_s1760" style="position:absolute;left:6273;top:2844;height:537;width:523;" filled="f" stroked="t" coordorigin="6274,2844" coordsize="523,537" path="m6796,3112l6787,3184,6761,3248,6720,3302,6667,3344,6604,3371,6535,3380,6466,3371,6403,3344,6350,3302,6310,3248,6283,3184,6274,3112,6283,3041,6310,2977,6350,2923,6403,2881,6466,2854,6535,2844,6604,2854,6667,2881,6720,2923,6761,2977,6787,3041,6796,3112e">
              <v:path arrowok="t"/>
              <v:fill on="f" focussize="0,0"/>
              <v:stroke weight="0.705984251968504pt" color="#636363"/>
              <v:imagedata o:title=""/>
              <o:lock v:ext="edit"/>
            </v:shape>
            <v:shape id="_x0000_s1761" o:spid="_x0000_s1761" style="position:absolute;left:6132;top:2717;height:791;width:805;" filled="f" stroked="t" coordorigin="6133,2717" coordsize="805,791" path="m6937,3112l6931,3183,6912,3250,6882,3312,6843,3367,6794,3415,6738,3454,6675,3483,6607,3501,6535,3507,6463,3501,6395,3483,6332,3454,6276,3415,6227,3367,6188,3312,6158,3250,6139,3183,6133,3112,6139,3041,6158,2974,6188,2913,6227,2858,6276,2810,6332,2771,6395,2742,6463,2723,6535,2717,6607,2723,6675,2742,6738,2771,6794,2810,6843,2858,6882,2913,6912,2974,6931,3041,6937,3112e">
              <v:path arrowok="t"/>
              <v:fill on="f" focussize="0,0"/>
              <v:stroke weight="0.705984251968504pt" color="#636363"/>
              <v:imagedata o:title=""/>
              <o:lock v:ext="edit"/>
            </v:shape>
            <v:shape id="_x0000_s1762" o:spid="_x0000_s1762" style="position:absolute;left:402;top:4707;height:1073;width:1059;" fillcolor="#00FF00" filled="t" stroked="f" coordorigin="402,4707" coordsize="1059,1073" path="m932,5780l860,5775,791,5761,726,5738,664,5707,608,5668,557,5623,513,5571,475,5514,444,5452,421,5386,407,5316,402,5244,407,5171,421,5101,444,5035,475,4973,513,4916,557,4864,608,4819,664,4780,726,4749,791,4726,860,4712,932,4707,1003,4712,1072,4726,1138,4749,1199,4780,1255,4819,1306,4864,1351,4916,1389,4973,1419,5035,1442,5101,1456,5171,1461,5244,1456,5316,1442,5386,1419,5452,1389,5514,1351,5571,1306,5623,1255,5668,1199,5707,1138,5738,1072,5761,1003,5775,932,5780xe">
              <v:path arrowok="t"/>
              <v:fill on="t" focussize="0,0"/>
              <v:stroke on="f"/>
              <v:imagedata o:title=""/>
              <o:lock v:ext="edit"/>
            </v:shape>
            <v:shape id="_x0000_s1763" o:spid="_x0000_s1763" style="position:absolute;left:402;top:4707;height:1073;width:1059;" filled="f" stroked="t" coordorigin="402,4707" coordsize="1059,1073" path="m1461,5244l1456,5316,1442,5386,1419,5452,1389,5514,1351,5571,1306,5623,1255,5668,1199,5707,1138,5738,1072,5761,1003,5775,932,5780,860,5775,791,5761,726,5738,664,5707,608,5668,557,5623,513,5571,475,5514,444,5452,421,5386,407,5316,402,5244,407,5171,421,5101,444,5035,475,4973,513,4916,557,4864,608,4819,664,4780,726,4749,791,4726,860,4712,932,4707,1003,4712,1072,4726,1138,4749,1199,4780,1255,4819,1306,4864,1351,4916,1389,4973,1419,5035,1442,5101,1456,5171,1461,5244e">
              <v:path arrowok="t"/>
              <v:fill on="f" focussize="0,0"/>
              <v:stroke weight="0.705984251968504pt" color="#636363"/>
              <v:imagedata o:title=""/>
              <o:lock v:ext="edit"/>
            </v:shape>
            <v:shape id="_x0000_s1764" o:spid="_x0000_s1764" style="position:absolute;left:938;top:4749;height:509;width:71;" fillcolor="#F99595" filled="t" stroked="f" coordorigin="939,4750" coordsize="71,509" path="m939,5258l939,4750,1009,5088,939,5258xe">
              <v:path arrowok="t"/>
              <v:fill on="t" focussize="0,0"/>
              <v:stroke on="f"/>
              <v:imagedata o:title=""/>
              <o:lock v:ext="edit"/>
            </v:shape>
            <v:shape id="_x0000_s1765" o:spid="_x0000_s1765" style="position:absolute;left:938;top:4749;height:509;width:71;" filled="f" stroked="t" coordorigin="939,4750" coordsize="71,509" path="m939,5258l939,4750,1009,5088,939,5258e">
              <v:path arrowok="t"/>
              <v:fill on="f" focussize="0,0"/>
              <v:stroke weight="0.705984251968504pt" color="#000000"/>
              <v:imagedata o:title=""/>
              <o:lock v:ext="edit"/>
            </v:shape>
            <v:shape id="_x0000_s1766" o:spid="_x0000_s1766" o:spt="75" type="#_x0000_t75" style="position:absolute;left:649;top:4954;height:438;width:438;" filled="f" stroked="f" coordsize="21600,21600">
              <v:path/>
              <v:fill on="f" focussize="0,0"/>
              <v:stroke on="f"/>
              <v:imagedata r:id="rId101" o:title=""/>
              <o:lock v:ext="edit" aspectratio="t"/>
            </v:shape>
            <v:shape id="_x0000_s1767" o:spid="_x0000_s1767" style="position:absolute;left:656;top:4791;height:466;width:283;" fillcolor="#F99595" filled="t" stroked="f" coordorigin="656,4792" coordsize="283,466" path="m939,5258l656,4961,741,4792,939,5258xe">
              <v:path arrowok="t"/>
              <v:fill on="t" focussize="0,0"/>
              <v:stroke on="f"/>
              <v:imagedata o:title=""/>
              <o:lock v:ext="edit"/>
            </v:shape>
            <v:shape id="_x0000_s1768" o:spid="_x0000_s1768" style="position:absolute;left:656;top:4791;height:466;width:283;" filled="f" stroked="t" coordorigin="656,4792" coordsize="283,466" path="m939,5258l656,4961,741,4792,939,5258e">
              <v:path arrowok="t"/>
              <v:fill on="f" focussize="0,0"/>
              <v:stroke weight="0.705984251968504pt" color="#000000"/>
              <v:imagedata o:title=""/>
              <o:lock v:ext="edit"/>
            </v:shape>
            <v:shape id="_x0000_s1769" o:spid="_x0000_s1769" style="position:absolute;left:741;top:4749;height:509;width:198;" fillcolor="#C7C7C7" filled="t" stroked="f" coordorigin="741,4750" coordsize="198,509" path="m939,5258l741,4792,939,4750,939,5258xe">
              <v:path arrowok="t"/>
              <v:fill on="t" focussize="0,0"/>
              <v:stroke on="f"/>
              <v:imagedata o:title=""/>
              <o:lock v:ext="edit"/>
            </v:shape>
            <v:shape id="_x0000_s1770" o:spid="_x0000_s1770" style="position:absolute;left:741;top:4749;height:509;width:198;" filled="f" stroked="t" coordorigin="741,4750" coordsize="198,509" path="m939,5258l741,4792,939,4750,939,5258e">
              <v:path arrowok="t"/>
              <v:fill on="f" focussize="0,0"/>
              <v:stroke weight="0.705984251968504pt" color="#000000"/>
              <v:imagedata o:title=""/>
              <o:lock v:ext="edit"/>
            </v:shape>
            <v:line id="_x0000_s1771" o:spid="_x0000_s1771" o:spt="20" style="position:absolute;left:939;top:4707;height:1087;width:0;" stroked="t" coordsize="21600,21600">
              <v:path arrowok="t"/>
              <v:fill focussize="0,0"/>
              <v:stroke weight="0.705984251968504pt" color="#636363"/>
              <v:imagedata o:title=""/>
              <o:lock v:ext="edit"/>
            </v:line>
            <v:line id="_x0000_s1772" o:spid="_x0000_s1772" o:spt="20" style="position:absolute;left:727;top:4750;flip:x;height:1002;width:423;" stroked="t" coordsize="21600,21600">
              <v:path arrowok="t"/>
              <v:fill focussize="0,0"/>
              <v:stroke weight="0.705984251968504pt" color="#636363"/>
              <v:imagedata o:title=""/>
              <o:lock v:ext="edit"/>
            </v:line>
            <v:line id="_x0000_s1773" o:spid="_x0000_s1773" o:spt="20" style="position:absolute;left:558;top:4862;flip:x;height:777;width:762;" stroked="t" coordsize="21600,21600">
              <v:path arrowok="t"/>
              <v:fill focussize="0,0"/>
              <v:stroke weight="0.705984251968504pt" color="#636363"/>
              <v:imagedata o:title=""/>
              <o:lock v:ext="edit"/>
            </v:line>
            <v:line id="_x0000_s1774" o:spid="_x0000_s1774" o:spt="20" style="position:absolute;left:445;top:5046;flip:x;height:409;width:988;" stroked="t" coordsize="21600,21600">
              <v:path arrowok="t"/>
              <v:fill focussize="0,0"/>
              <v:stroke weight="0.705984251968504pt" color="#636363"/>
              <v:imagedata o:title=""/>
              <o:lock v:ext="edit"/>
            </v:line>
            <v:line id="_x0000_s1775" o:spid="_x0000_s1775" o:spt="20" style="position:absolute;left:402;top:5258;flip:x;height:0;width:1073;" stroked="t" coordsize="21600,21600">
              <v:path arrowok="t"/>
              <v:fill focussize="0,0"/>
              <v:stroke weight="0.705984251968504pt" color="#636363"/>
              <v:imagedata o:title=""/>
              <o:lock v:ext="edit"/>
            </v:line>
            <v:line id="_x0000_s1776" o:spid="_x0000_s1776" o:spt="20" style="position:absolute;left:445;top:5046;flip:x y;height:409;width:988;" stroked="t" coordsize="21600,21600">
              <v:path arrowok="t"/>
              <v:fill focussize="0,0"/>
              <v:stroke weight="0.705984251968504pt" color="#636363"/>
              <v:imagedata o:title=""/>
              <o:lock v:ext="edit"/>
            </v:line>
            <v:line id="_x0000_s1777" o:spid="_x0000_s1777" o:spt="20" style="position:absolute;left:558;top:4862;flip:x y;height:777;width:762;" stroked="t" coordsize="21600,21600">
              <v:path arrowok="t"/>
              <v:fill focussize="0,0"/>
              <v:stroke weight="0.705984251968504pt" color="#636363"/>
              <v:imagedata o:title=""/>
              <o:lock v:ext="edit"/>
            </v:line>
            <v:line id="_x0000_s1778" o:spid="_x0000_s1778" o:spt="20" style="position:absolute;left:727;top:4750;flip:x y;height:1002;width:423;" stroked="t" coordsize="21600,21600">
              <v:path arrowok="t"/>
              <v:fill focussize="0,0"/>
              <v:stroke weight="0.705984251968504pt" color="#636363"/>
              <v:imagedata o:title=""/>
              <o:lock v:ext="edit"/>
            </v:line>
            <v:shape id="_x0000_s1779" o:spid="_x0000_s1779" o:spt="75" type="#_x0000_t75" style="position:absolute;left:790;top:5109;height:269;width:283;" filled="f" stroked="f" coordsize="21600,21600">
              <v:path/>
              <v:fill on="f" focussize="0,0"/>
              <v:stroke on="f"/>
              <v:imagedata r:id="rId102" o:title=""/>
              <o:lock v:ext="edit" aspectratio="t"/>
            </v:shape>
            <v:shape id="_x0000_s1780" o:spid="_x0000_s1780" style="position:absolute;left:670;top:4975;height:537;width:523;" filled="f" stroked="t" coordorigin="670,4975" coordsize="523,537" path="m1193,5244l1183,5315,1157,5379,1116,5433,1063,5475,1001,5502,932,5512,862,5502,800,5475,747,5433,706,5379,680,5315,670,5244,680,5172,706,5108,747,5054,800,5012,862,4985,932,4975,1001,4985,1063,5012,1116,5054,1157,5108,1183,5172,1193,5244e">
              <v:path arrowok="t"/>
              <v:fill on="f" focussize="0,0"/>
              <v:stroke weight="0.705984251968504pt" color="#636363"/>
              <v:imagedata o:title=""/>
              <o:lock v:ext="edit"/>
            </v:shape>
            <v:shape id="_x0000_s1781" o:spid="_x0000_s1781" style="position:absolute;left:529;top:4848;height:791;width:805;" filled="f" stroked="t" coordorigin="529,4848" coordsize="805,791" path="m1334,5244l1327,5315,1309,5381,1279,5443,1239,5498,1191,5546,1135,5585,1072,5614,1004,5632,932,5639,859,5632,791,5614,729,5585,672,5546,624,5498,584,5443,554,5381,536,5315,529,5244,536,5173,554,5106,584,5044,624,4989,672,4941,729,4902,791,4873,859,4855,932,4848,1004,4855,1072,4873,1135,4902,1191,4941,1239,4989,1279,5044,1309,5106,1327,5173,1334,5244e">
              <v:path arrowok="t"/>
              <v:fill on="f" focussize="0,0"/>
              <v:stroke weight="0.705984251968504pt" color="#636363"/>
              <v:imagedata o:title=""/>
              <o:lock v:ext="edit"/>
            </v:shape>
            <v:shape id="_x0000_s1782" o:spid="_x0000_s1782" style="position:absolute;left:2265;top:4707;height:1073;width:1059;" fillcolor="#00FF00" filled="t" stroked="f" coordorigin="2265,4707" coordsize="1059,1073" path="m2795,5780l2723,5775,2654,5761,2589,5738,2528,5707,2471,5668,2420,5623,2376,5571,2338,5514,2307,5452,2284,5386,2270,5316,2265,5244,2270,5171,2284,5101,2307,5035,2338,4973,2376,4916,2420,4864,2471,4819,2528,4780,2589,4749,2654,4726,2723,4712,2795,4707,2867,4712,2935,4726,3001,4749,3062,4780,3118,4819,3169,4864,3214,4916,3252,4973,3282,5035,3305,5101,3319,5171,3324,5244,3319,5316,3305,5386,3282,5452,3252,5514,3214,5571,3169,5623,3118,5668,3062,5707,3001,5738,2935,5761,2867,5775,2795,5780xe">
              <v:path arrowok="t"/>
              <v:fill on="t" focussize="0,0"/>
              <v:stroke on="f"/>
              <v:imagedata o:title=""/>
              <o:lock v:ext="edit"/>
            </v:shape>
            <v:shape id="_x0000_s1783" o:spid="_x0000_s1783" style="position:absolute;left:2265;top:4707;height:1073;width:1059;" filled="f" stroked="t" coordorigin="2265,4707" coordsize="1059,1073" path="m3324,5244l3319,5316,3305,5386,3282,5452,3252,5514,3214,5571,3169,5623,3118,5668,3062,5707,3001,5738,2935,5761,2867,5775,2795,5780,2723,5775,2654,5761,2589,5738,2528,5707,2471,5668,2420,5623,2376,5571,2338,5514,2307,5452,2284,5386,2270,5316,2265,5244,2270,5171,2284,5101,2307,5035,2338,4973,2376,4916,2420,4864,2471,4819,2528,4780,2589,4749,2654,4726,2723,4712,2795,4707,2867,4712,2935,4726,3001,4749,3062,4780,3118,4819,3169,4864,3214,4916,3252,4973,3282,5035,3305,5101,3319,5171,3324,5244e">
              <v:path arrowok="t"/>
              <v:fill on="f" focussize="0,0"/>
              <v:stroke weight="0.705984251968504pt" color="#636363"/>
              <v:imagedata o:title=""/>
              <o:lock v:ext="edit"/>
            </v:shape>
            <v:shape id="_x0000_s1784" o:spid="_x0000_s1784" style="position:absolute;left:2801;top:4735;height:523;width:71;" fillcolor="#F99595" filled="t" stroked="f" coordorigin="2802,4735" coordsize="71,523" path="m2802,5258l2802,4735,2872,5074,2802,5258xe">
              <v:path arrowok="t"/>
              <v:fill on="t" focussize="0,0"/>
              <v:stroke on="f"/>
              <v:imagedata o:title=""/>
              <o:lock v:ext="edit"/>
            </v:shape>
            <v:shape id="_x0000_s1785" o:spid="_x0000_s1785" style="position:absolute;left:2801;top:4735;height:523;width:71;" filled="f" stroked="t" coordorigin="2802,4735" coordsize="71,523" path="m2802,5258l2802,4735,2872,5074,2802,5258e">
              <v:path arrowok="t"/>
              <v:fill on="f" focussize="0,0"/>
              <v:stroke weight="0.705984251968504pt" color="#000000"/>
              <v:imagedata o:title=""/>
              <o:lock v:ext="edit"/>
            </v:shape>
            <v:shape id="_x0000_s1786" o:spid="_x0000_s1786" o:spt="75" type="#_x0000_t75" style="position:absolute;left:2540;top:4897;height:466;width:509;" filled="f" stroked="f" coordsize="21600,21600">
              <v:path/>
              <v:fill on="f" focussize="0,0"/>
              <v:stroke on="f"/>
              <v:imagedata r:id="rId103" o:title=""/>
              <o:lock v:ext="edit" aspectratio="t"/>
            </v:shape>
            <v:shape id="_x0000_s1787" o:spid="_x0000_s1787" style="position:absolute;left:2660;top:4735;height:523;width:142;" fillcolor="#C7C7C7" filled="t" stroked="f" coordorigin="2661,4735" coordsize="142,523" path="m2802,5258l2661,4905,2802,4735,2802,5258xe">
              <v:path arrowok="t"/>
              <v:fill on="t" focussize="0,0"/>
              <v:stroke on="f"/>
              <v:imagedata o:title=""/>
              <o:lock v:ext="edit"/>
            </v:shape>
            <v:shape id="_x0000_s1788" o:spid="_x0000_s1788" style="position:absolute;left:2660;top:4735;height:523;width:142;" filled="f" stroked="t" coordorigin="2661,4735" coordsize="142,523" path="m2802,5258l2661,4905,2802,4735,2802,5258e">
              <v:path arrowok="t"/>
              <v:fill on="f" focussize="0,0"/>
              <v:stroke weight="0.705984251968504pt" color="#000000"/>
              <v:imagedata o:title=""/>
              <o:lock v:ext="edit"/>
            </v:shape>
            <v:line id="_x0000_s1789" o:spid="_x0000_s1789" o:spt="20" style="position:absolute;left:2802;top:4707;height:1087;width:0;" stroked="t" coordsize="21600,21600">
              <v:path arrowok="t"/>
              <v:fill focussize="0,0"/>
              <v:stroke weight="0.705984251968504pt" color="#636363"/>
              <v:imagedata o:title=""/>
              <o:lock v:ext="edit"/>
            </v:line>
            <v:line id="_x0000_s1790" o:spid="_x0000_s1790" o:spt="20" style="position:absolute;left:2590;top:4750;flip:x;height:1002;width:423;" stroked="t" coordsize="21600,21600">
              <v:path arrowok="t"/>
              <v:fill focussize="0,0"/>
              <v:stroke weight="0.705984251968504pt" color="#636363"/>
              <v:imagedata o:title=""/>
              <o:lock v:ext="edit"/>
            </v:line>
            <v:line id="_x0000_s1791" o:spid="_x0000_s1791" o:spt="20" style="position:absolute;left:2421;top:4862;flip:x;height:777;width:762;" stroked="t" coordsize="21600,21600">
              <v:path arrowok="t"/>
              <v:fill focussize="0,0"/>
              <v:stroke weight="0.705984251968504pt" color="#636363"/>
              <v:imagedata o:title=""/>
              <o:lock v:ext="edit"/>
            </v:line>
            <v:line id="_x0000_s1792" o:spid="_x0000_s1792" o:spt="20" style="position:absolute;left:2308;top:5046;flip:x;height:409;width:988;" stroked="t" coordsize="21600,21600">
              <v:path arrowok="t"/>
              <v:fill focussize="0,0"/>
              <v:stroke weight="0.705984251968504pt" color="#636363"/>
              <v:imagedata o:title=""/>
              <o:lock v:ext="edit"/>
            </v:line>
            <v:line id="_x0000_s1793" o:spid="_x0000_s1793" o:spt="20" style="position:absolute;left:2265;top:5258;flip:x;height:0;width:1073;" stroked="t" coordsize="21600,21600">
              <v:path arrowok="t"/>
              <v:fill focussize="0,0"/>
              <v:stroke weight="0.705984251968504pt" color="#636363"/>
              <v:imagedata o:title=""/>
              <o:lock v:ext="edit"/>
            </v:line>
            <v:line id="_x0000_s1794" o:spid="_x0000_s1794" o:spt="20" style="position:absolute;left:2308;top:5046;flip:x y;height:409;width:988;" stroked="t" coordsize="21600,21600">
              <v:path arrowok="t"/>
              <v:fill focussize="0,0"/>
              <v:stroke weight="0.705984251968504pt" color="#636363"/>
              <v:imagedata o:title=""/>
              <o:lock v:ext="edit"/>
            </v:line>
            <v:line id="_x0000_s1795" o:spid="_x0000_s1795" o:spt="20" style="position:absolute;left:2421;top:4862;flip:x y;height:777;width:762;" stroked="t" coordsize="21600,21600">
              <v:path arrowok="t"/>
              <v:fill focussize="0,0"/>
              <v:stroke weight="0.705984251968504pt" color="#636363"/>
              <v:imagedata o:title=""/>
              <o:lock v:ext="edit"/>
            </v:line>
            <v:line id="_x0000_s1796" o:spid="_x0000_s1796" o:spt="20" style="position:absolute;left:2590;top:4750;flip:x y;height:1002;width:423;" stroked="t" coordsize="21600,21600">
              <v:path arrowok="t"/>
              <v:fill focussize="0,0"/>
              <v:stroke weight="0.705984251968504pt" color="#636363"/>
              <v:imagedata o:title=""/>
              <o:lock v:ext="edit"/>
            </v:line>
            <v:shape id="_x0000_s1797" o:spid="_x0000_s1797" o:spt="75" type="#_x0000_t75" style="position:absolute;left:2653;top:5109;height:269;width:283;" filled="f" stroked="f" coordsize="21600,21600">
              <v:path/>
              <v:fill on="f" focussize="0,0"/>
              <v:stroke on="f"/>
              <v:imagedata r:id="rId104" o:title=""/>
              <o:lock v:ext="edit" aspectratio="t"/>
            </v:shape>
            <v:shape id="_x0000_s1798" o:spid="_x0000_s1798" style="position:absolute;left:2533;top:4975;height:537;width:523;" filled="f" stroked="t" coordorigin="2534,4975" coordsize="523,537" path="m3056,5244l3046,5315,3020,5379,2979,5433,2926,5475,2864,5502,2795,5512,2725,5502,2663,5475,2610,5433,2569,5379,2543,5315,2534,5244,2543,5172,2569,5108,2610,5054,2663,5012,2725,4985,2795,4975,2864,4985,2926,5012,2979,5054,3020,5108,3046,5172,3056,5244e">
              <v:path arrowok="t"/>
              <v:fill on="f" focussize="0,0"/>
              <v:stroke weight="0.705984251968504pt" color="#636363"/>
              <v:imagedata o:title=""/>
              <o:lock v:ext="edit"/>
            </v:shape>
            <v:shape id="_x0000_s1799" o:spid="_x0000_s1799" style="position:absolute;left:2392;top:4848;height:791;width:805;" filled="f" stroked="t" coordorigin="2392,4848" coordsize="805,791" path="m3197,5244l3190,5315,3172,5381,3142,5443,3102,5498,3054,5546,2998,5585,2935,5614,2867,5632,2795,5639,2722,5632,2654,5614,2592,5585,2536,5546,2487,5498,2447,5443,2418,5381,2399,5315,2392,5244,2399,5173,2418,5106,2447,5044,2487,4989,2536,4941,2592,4902,2654,4873,2722,4855,2795,4848,2867,4855,2935,4873,2998,4902,3054,4941,3102,4989,3142,5044,3172,5106,3190,5173,3197,5244e">
              <v:path arrowok="t"/>
              <v:fill on="f" focussize="0,0"/>
              <v:stroke weight="0.705984251968504pt" color="#636363"/>
              <v:imagedata o:title=""/>
              <o:lock v:ext="edit"/>
            </v:shape>
            <v:shape id="_x0000_s1800" o:spid="_x0000_s1800" style="position:absolute;left:4128;top:4707;height:1073;width:1059;" fillcolor="#00FF00" filled="t" stroked="f" coordorigin="4129,4707" coordsize="1059,1073" path="m4658,5780l4586,5775,4517,5761,4452,5738,4391,5707,4334,5668,4284,5623,4239,5571,4201,5514,4170,5452,4147,5386,4133,5316,4129,5244,4133,5171,4147,5101,4170,5035,4201,4973,4239,4916,4284,4864,4334,4819,4391,4780,4452,4749,4517,4726,4586,4712,4658,4707,4730,4712,4799,4726,4864,4749,4925,4780,4981,4819,5032,4864,5077,4916,5115,4973,5146,5035,5168,5101,5182,5171,5187,5244,5182,5316,5168,5386,5146,5452,5115,5514,5077,5571,5032,5623,4981,5668,4925,5707,4864,5738,4799,5761,4730,5775,4658,5780xe">
              <v:path arrowok="t"/>
              <v:fill on="t" focussize="0,0"/>
              <v:stroke on="f"/>
              <v:imagedata o:title=""/>
              <o:lock v:ext="edit"/>
            </v:shape>
            <v:shape id="_x0000_s1801" o:spid="_x0000_s1801" style="position:absolute;left:4128;top:4707;height:1073;width:1059;" filled="f" stroked="t" coordorigin="4129,4707" coordsize="1059,1073" path="m5187,5244l5182,5316,5168,5386,5146,5452,5115,5514,5077,5571,5032,5623,4981,5668,4925,5707,4864,5738,4799,5761,4730,5775,4658,5780,4586,5775,4517,5761,4452,5738,4391,5707,4334,5668,4284,5623,4239,5571,4201,5514,4170,5452,4147,5386,4133,5316,4129,5244,4133,5171,4147,5101,4170,5035,4201,4973,4239,4916,4284,4864,4334,4819,4391,4780,4452,4749,4517,4726,4586,4712,4658,4707,4730,4712,4799,4726,4864,4749,4925,4780,4981,4819,5032,4864,5077,4916,5115,4973,5146,5035,5168,5101,5182,5171,5187,5244e">
              <v:path arrowok="t"/>
              <v:fill on="f" focussize="0,0"/>
              <v:stroke weight="0.705984251968504pt" color="#636363"/>
              <v:imagedata o:title=""/>
              <o:lock v:ext="edit"/>
            </v:shape>
            <v:line id="_x0000_s1802" o:spid="_x0000_s1802" o:spt="20" style="position:absolute;left:4679;top:4623;height:635;width:0;" stroked="t" coordsize="21600,21600">
              <v:path arrowok="t"/>
              <v:fill focussize="0,0"/>
              <v:stroke weight="1.41102362204724pt" color="#F99595"/>
              <v:imagedata o:title=""/>
              <o:lock v:ext="edit"/>
            </v:line>
            <v:shape id="_x0000_s1803" o:spid="_x0000_s1803" style="position:absolute;left:4664;top:4622;height:636;width:29;" filled="f" stroked="t" coordorigin="4665,4623" coordsize="29,636" path="m4665,5258l4665,4623,4693,5187,4665,5258e">
              <v:path arrowok="t"/>
              <v:fill on="f" focussize="0,0"/>
              <v:stroke weight="0.705984251968504pt" color="#000000"/>
              <v:imagedata o:title=""/>
              <o:lock v:ext="edit"/>
            </v:shape>
            <v:shape id="_x0000_s1804" o:spid="_x0000_s1804" o:spt="75" type="#_x0000_t75" style="position:absolute;left:4530;top:4982;height:523;width:452;" filled="f" stroked="f" coordsize="21600,21600">
              <v:path/>
              <v:fill on="f" focussize="0,0"/>
              <v:stroke on="f"/>
              <v:imagedata r:id="rId105" o:title=""/>
              <o:lock v:ext="edit" aspectratio="t"/>
            </v:shape>
            <v:shape id="_x0000_s1805" o:spid="_x0000_s1805" style="position:absolute;left:4551;top:4622;height:636;width:113;" fillcolor="#C7C7C7" filled="t" stroked="f" coordorigin="4552,4623" coordsize="113,636" path="m4665,5258l4552,4990,4665,4623,4665,5258xe">
              <v:path arrowok="t"/>
              <v:fill on="t" focussize="0,0"/>
              <v:stroke on="f"/>
              <v:imagedata o:title=""/>
              <o:lock v:ext="edit"/>
            </v:shape>
            <v:shape id="_x0000_s1806" o:spid="_x0000_s1806" style="position:absolute;left:4551;top:4622;height:636;width:113;" filled="f" stroked="t" coordorigin="4552,4623" coordsize="113,636" path="m4665,5258l4552,4990,4665,4623,4665,5258e">
              <v:path arrowok="t"/>
              <v:fill on="f" focussize="0,0"/>
              <v:stroke weight="0.705984251968504pt" color="#000000"/>
              <v:imagedata o:title=""/>
              <o:lock v:ext="edit"/>
            </v:shape>
            <v:line id="_x0000_s1807" o:spid="_x0000_s1807" o:spt="20" style="position:absolute;left:4665;top:4707;height:1087;width:0;" stroked="t" coordsize="21600,21600">
              <v:path arrowok="t"/>
              <v:fill focussize="0,0"/>
              <v:stroke weight="0.705984251968504pt" color="#636363"/>
              <v:imagedata o:title=""/>
              <o:lock v:ext="edit"/>
            </v:line>
            <v:line id="_x0000_s1808" o:spid="_x0000_s1808" o:spt="20" style="position:absolute;left:4453;top:4750;flip:x;height:1002;width:424;" stroked="t" coordsize="21600,21600">
              <v:path arrowok="t"/>
              <v:fill focussize="0,0"/>
              <v:stroke weight="0.705984251968504pt" color="#636363"/>
              <v:imagedata o:title=""/>
              <o:lock v:ext="edit"/>
            </v:line>
            <v:line id="_x0000_s1809" o:spid="_x0000_s1809" o:spt="20" style="position:absolute;left:4284;top:4862;flip:x;height:777;width:762;" stroked="t" coordsize="21600,21600">
              <v:path arrowok="t"/>
              <v:fill focussize="0,0"/>
              <v:stroke weight="0.705984251968504pt" color="#636363"/>
              <v:imagedata o:title=""/>
              <o:lock v:ext="edit"/>
            </v:line>
            <v:line id="_x0000_s1810" o:spid="_x0000_s1810" o:spt="20" style="position:absolute;left:4171;top:5046;flip:x;height:409;width:988;" stroked="t" coordsize="21600,21600">
              <v:path arrowok="t"/>
              <v:fill focussize="0,0"/>
              <v:stroke weight="0.705984251968504pt" color="#636363"/>
              <v:imagedata o:title=""/>
              <o:lock v:ext="edit"/>
            </v:line>
            <v:line id="_x0000_s1811" o:spid="_x0000_s1811" o:spt="20" style="position:absolute;left:4129;top:5258;flip:x;height:0;width:1072;" stroked="t" coordsize="21600,21600">
              <v:path arrowok="t"/>
              <v:fill focussize="0,0"/>
              <v:stroke weight="0.705984251968504pt" color="#636363"/>
              <v:imagedata o:title=""/>
              <o:lock v:ext="edit"/>
            </v:line>
            <v:line id="_x0000_s1812" o:spid="_x0000_s1812" o:spt="20" style="position:absolute;left:4171;top:5046;flip:x y;height:409;width:988;" stroked="t" coordsize="21600,21600">
              <v:path arrowok="t"/>
              <v:fill focussize="0,0"/>
              <v:stroke weight="0.705984251968504pt" color="#636363"/>
              <v:imagedata o:title=""/>
              <o:lock v:ext="edit"/>
            </v:line>
            <v:line id="_x0000_s1813" o:spid="_x0000_s1813" o:spt="20" style="position:absolute;left:4284;top:4862;flip:x y;height:777;width:762;" stroked="t" coordsize="21600,21600">
              <v:path arrowok="t"/>
              <v:fill focussize="0,0"/>
              <v:stroke weight="0.705984251968504pt" color="#636363"/>
              <v:imagedata o:title=""/>
              <o:lock v:ext="edit"/>
            </v:line>
            <v:line id="_x0000_s1814" o:spid="_x0000_s1814" o:spt="20" style="position:absolute;left:4453;top:4750;flip:x y;height:1002;width:424;" stroked="t" coordsize="21600,21600">
              <v:path arrowok="t"/>
              <v:fill focussize="0,0"/>
              <v:stroke weight="0.705984251968504pt" color="#636363"/>
              <v:imagedata o:title=""/>
              <o:lock v:ext="edit"/>
            </v:line>
            <v:shape id="_x0000_s1815" o:spid="_x0000_s1815" o:spt="75" type="#_x0000_t75" style="position:absolute;left:4516;top:5109;height:269;width:283;" filled="f" stroked="f" coordsize="21600,21600">
              <v:path/>
              <v:fill on="f" focussize="0,0"/>
              <v:stroke on="f"/>
              <v:imagedata r:id="rId106" o:title=""/>
              <o:lock v:ext="edit" aspectratio="t"/>
            </v:shape>
            <v:shape id="_x0000_s1816" o:spid="_x0000_s1816" style="position:absolute;left:4396;top:4975;height:537;width:523;" filled="f" stroked="t" coordorigin="4397,4975" coordsize="523,537" path="m4919,5244l4910,5315,4883,5379,4842,5433,4790,5475,4727,5502,4658,5512,4588,5502,4526,5475,4473,5433,4432,5379,4406,5315,4397,5244,4406,5172,4432,5108,4473,5054,4526,5012,4588,4985,4658,4975,4727,4985,4790,5012,4842,5054,4883,5108,4910,5172,4919,5244e">
              <v:path arrowok="t"/>
              <v:fill on="f" focussize="0,0"/>
              <v:stroke weight="0.705984251968504pt" color="#636363"/>
              <v:imagedata o:title=""/>
              <o:lock v:ext="edit"/>
            </v:shape>
            <v:shape id="_x0000_s1817" o:spid="_x0000_s1817" style="position:absolute;left:4255;top:4848;height:791;width:805;" filled="f" stroked="t" coordorigin="4256,4848" coordsize="805,791" path="m5060,5244l5054,5315,5035,5381,5005,5443,4965,5498,4917,5546,4861,5585,4798,5614,4730,5632,4658,5639,4586,5632,4517,5614,4455,5585,4399,5546,4350,5498,4310,5443,4281,5381,4262,5315,4256,5244,4262,5173,4281,5106,4310,5044,4350,4989,4399,4941,4455,4902,4517,4873,4586,4855,4658,4848,4730,4855,4798,4873,4861,4902,4917,4941,4965,4989,5005,5044,5035,5106,5054,5173,5060,5244e">
              <v:path arrowok="t"/>
              <v:fill on="f" focussize="0,0"/>
              <v:stroke weight="0.705984251968504pt" color="#636363"/>
              <v:imagedata o:title=""/>
              <o:lock v:ext="edit"/>
            </v:shape>
            <v:shape id="_x0000_s1818" o:spid="_x0000_s1818" style="position:absolute;left:6005;top:4707;height:1073;width:1059;" fillcolor="#00FF00" filled="t" stroked="f" coordorigin="6006,4707" coordsize="1059,1073" path="m6535,5780l6463,5775,6394,5761,6329,5738,6268,5707,6212,5668,6161,5623,6116,5571,6078,5514,6047,5452,6025,5386,6011,5316,6006,5244,6011,5171,6025,5101,6047,5035,6078,4973,6116,4916,6161,4864,6212,4819,6268,4780,6329,4749,6394,4726,6463,4712,6535,4707,6607,4712,6676,4726,6741,4749,6802,4780,6859,4819,6909,4864,6954,4916,6992,4973,7023,5035,7045,5101,7060,5171,7064,5244,7060,5316,7045,5386,7023,5452,6992,5514,6954,5571,6909,5623,6859,5668,6802,5707,6741,5738,6676,5761,6607,5775,6535,5780xe">
              <v:path arrowok="t"/>
              <v:fill on="t" focussize="0,0"/>
              <v:stroke on="f"/>
              <v:imagedata o:title=""/>
              <o:lock v:ext="edit"/>
            </v:shape>
            <v:shape id="_x0000_s1819" o:spid="_x0000_s1819" style="position:absolute;left:6005;top:4707;height:1073;width:1059;" filled="f" stroked="t" coordorigin="6006,4707" coordsize="1059,1073" path="m7064,5244l7060,5316,7045,5386,7023,5452,6992,5514,6954,5571,6909,5623,6859,5668,6802,5707,6741,5738,6676,5761,6607,5775,6535,5780,6463,5775,6394,5761,6329,5738,6268,5707,6212,5668,6161,5623,6116,5571,6078,5514,6047,5452,6025,5386,6011,5316,6006,5244,6011,5171,6025,5101,6047,5035,6078,4973,6116,4916,6161,4864,6212,4819,6268,4780,6329,4749,6394,4726,6463,4712,6535,4707,6607,4712,6676,4726,6741,4749,6802,4780,6859,4819,6909,4864,6954,4916,6992,4973,7023,5035,7045,5101,7060,5171,7064,5244e">
              <v:path arrowok="t"/>
              <v:fill on="f" focussize="0,0"/>
              <v:stroke weight="0.705984251968504pt" color="#636363"/>
              <v:imagedata o:title=""/>
              <o:lock v:ext="edit"/>
            </v:shape>
            <v:shape id="_x0000_s1820" o:spid="_x0000_s1820" style="position:absolute;left:6542;top:4608;height:650;width:85;" fillcolor="#F99595" filled="t" stroked="f" coordorigin="6542,4608" coordsize="85,650" path="m6542,5258l6542,4608,6627,5046,6542,5258xe">
              <v:path arrowok="t"/>
              <v:fill on="t" focussize="0,0"/>
              <v:stroke on="f"/>
              <v:imagedata o:title=""/>
              <o:lock v:ext="edit"/>
            </v:shape>
            <v:shape id="_x0000_s1821" o:spid="_x0000_s1821" style="position:absolute;left:6542;top:4608;height:650;width:85;" filled="f" stroked="t" coordorigin="6542,4608" coordsize="85,650" path="m6542,5258l6542,4608,6627,5046,6542,5258e">
              <v:path arrowok="t"/>
              <v:fill on="f" focussize="0,0"/>
              <v:stroke weight="0.705984251968504pt" color="#000000"/>
              <v:imagedata o:title=""/>
              <o:lock v:ext="edit"/>
            </v:shape>
            <v:shape id="_x0000_s1822" o:spid="_x0000_s1822" o:spt="75" type="#_x0000_t75" style="position:absolute;left:6295;top:5010;height:480;width:495;" filled="f" stroked="f" coordsize="21600,21600">
              <v:path/>
              <v:fill on="f" focussize="0,0"/>
              <v:stroke on="f"/>
              <v:imagedata r:id="rId107" o:title=""/>
              <o:lock v:ext="edit" aspectratio="t"/>
            </v:shape>
            <v:shape id="_x0000_s1823" o:spid="_x0000_s1823" style="position:absolute;left:6443;top:4608;height:650;width:99;" fillcolor="#C7C7C7" filled="t" stroked="f" coordorigin="6443,4608" coordsize="99,650" path="m6542,5258l6443,5018,6542,4608,6542,5258xe">
              <v:path arrowok="t"/>
              <v:fill on="t" focussize="0,0"/>
              <v:stroke on="f"/>
              <v:imagedata o:title=""/>
              <o:lock v:ext="edit"/>
            </v:shape>
            <v:shape id="_x0000_s1824" o:spid="_x0000_s1824" style="position:absolute;left:6443;top:4608;height:650;width:99;" filled="f" stroked="t" coordorigin="6443,4608" coordsize="99,650" path="m6542,5258l6443,5018,6542,4608,6542,5258e">
              <v:path arrowok="t"/>
              <v:fill on="f" focussize="0,0"/>
              <v:stroke weight="0.705984251968504pt" color="#000000"/>
              <v:imagedata o:title=""/>
              <o:lock v:ext="edit"/>
            </v:shape>
            <v:line id="_x0000_s1825" o:spid="_x0000_s1825" o:spt="20" style="position:absolute;left:6542;top:4707;height:1087;width:0;" stroked="t" coordsize="21600,21600">
              <v:path arrowok="t"/>
              <v:fill focussize="0,0"/>
              <v:stroke weight="0.705984251968504pt" color="#636363"/>
              <v:imagedata o:title=""/>
              <o:lock v:ext="edit"/>
            </v:line>
            <v:line id="_x0000_s1826" o:spid="_x0000_s1826" o:spt="20" style="position:absolute;left:6330;top:4750;flip:x;height:1002;width:424;" stroked="t" coordsize="21600,21600">
              <v:path arrowok="t"/>
              <v:fill focussize="0,0"/>
              <v:stroke weight="0.705984251968504pt" color="#636363"/>
              <v:imagedata o:title=""/>
              <o:lock v:ext="edit"/>
            </v:line>
            <v:line id="_x0000_s1827" o:spid="_x0000_s1827" o:spt="20" style="position:absolute;left:6161;top:4862;flip:x;height:777;width:762;" stroked="t" coordsize="21600,21600">
              <v:path arrowok="t"/>
              <v:fill focussize="0,0"/>
              <v:stroke weight="0.705984251968504pt" color="#636363"/>
              <v:imagedata o:title=""/>
              <o:lock v:ext="edit"/>
            </v:line>
            <v:line id="_x0000_s1828" o:spid="_x0000_s1828" o:spt="20" style="position:absolute;left:6048;top:5046;flip:x;height:409;width:988;" stroked="t" coordsize="21600,21600">
              <v:path arrowok="t"/>
              <v:fill focussize="0,0"/>
              <v:stroke weight="0.705984251968504pt" color="#636363"/>
              <v:imagedata o:title=""/>
              <o:lock v:ext="edit"/>
            </v:line>
            <v:line id="_x0000_s1829" o:spid="_x0000_s1829" o:spt="20" style="position:absolute;left:6006;top:5258;flip:x;height:0;width:1073;" stroked="t" coordsize="21600,21600">
              <v:path arrowok="t"/>
              <v:fill focussize="0,0"/>
              <v:stroke weight="0.705984251968504pt" color="#636363"/>
              <v:imagedata o:title=""/>
              <o:lock v:ext="edit"/>
            </v:line>
            <v:line id="_x0000_s1830" o:spid="_x0000_s1830" o:spt="20" style="position:absolute;left:6048;top:5046;flip:x y;height:409;width:988;" stroked="t" coordsize="21600,21600">
              <v:path arrowok="t"/>
              <v:fill focussize="0,0"/>
              <v:stroke weight="0.705984251968504pt" color="#636363"/>
              <v:imagedata o:title=""/>
              <o:lock v:ext="edit"/>
            </v:line>
            <v:line id="_x0000_s1831" o:spid="_x0000_s1831" o:spt="20" style="position:absolute;left:6161;top:4862;flip:x y;height:777;width:762;" stroked="t" coordsize="21600,21600">
              <v:path arrowok="t"/>
              <v:fill focussize="0,0"/>
              <v:stroke weight="0.705984251968504pt" color="#636363"/>
              <v:imagedata o:title=""/>
              <o:lock v:ext="edit"/>
            </v:line>
            <v:line id="_x0000_s1832" o:spid="_x0000_s1832" o:spt="20" style="position:absolute;left:6330;top:4750;flip:x y;height:1002;width:424;" stroked="t" coordsize="21600,21600">
              <v:path arrowok="t"/>
              <v:fill focussize="0,0"/>
              <v:stroke weight="0.705984251968504pt" color="#636363"/>
              <v:imagedata o:title=""/>
              <o:lock v:ext="edit"/>
            </v:line>
            <v:shape id="_x0000_s1833" o:spid="_x0000_s1833" o:spt="75" type="#_x0000_t75" style="position:absolute;left:6393;top:5109;height:269;width:283;" filled="f" stroked="f" coordsize="21600,21600">
              <v:path/>
              <v:fill on="f" focussize="0,0"/>
              <v:stroke on="f"/>
              <v:imagedata r:id="rId108" o:title=""/>
              <o:lock v:ext="edit" aspectratio="t"/>
            </v:shape>
            <v:shape id="_x0000_s1834" o:spid="_x0000_s1834" style="position:absolute;left:6273;top:4975;height:537;width:523;" filled="f" stroked="t" coordorigin="6274,4975" coordsize="523,537" path="m6796,5244l6787,5315,6761,5379,6720,5433,6667,5475,6604,5502,6535,5512,6466,5502,6403,5475,6350,5433,6310,5379,6283,5315,6274,5244,6283,5172,6310,5108,6350,5054,6403,5012,6466,4985,6535,4975,6604,4985,6667,5012,6720,5054,6761,5108,6787,5172,6796,5244e">
              <v:path arrowok="t"/>
              <v:fill on="f" focussize="0,0"/>
              <v:stroke weight="0.705984251968504pt" color="#636363"/>
              <v:imagedata o:title=""/>
              <o:lock v:ext="edit"/>
            </v:shape>
            <v:shape id="_x0000_s1835" o:spid="_x0000_s1835" style="position:absolute;left:6132;top:4848;height:791;width:805;" filled="f" stroked="t" coordorigin="6133,4848" coordsize="805,791" path="m6937,5244l6931,5315,6912,5381,6882,5443,6843,5498,6794,5546,6738,5585,6675,5614,6607,5632,6535,5639,6463,5632,6395,5614,6332,5585,6276,5546,6227,5498,6188,5443,6158,5381,6139,5315,6133,5244,6139,5173,6158,5106,6188,5044,6227,4989,6276,4941,6332,4902,6395,4873,6463,4855,6535,4848,6607,4855,6675,4873,6738,4902,6794,4941,6843,4989,6882,5044,6912,5106,6931,5173,6937,5244e">
              <v:path arrowok="t"/>
              <v:fill on="f" focussize="0,0"/>
              <v:stroke weight="0.705984251968504pt" color="#636363"/>
              <v:imagedata o:title=""/>
              <o:lock v:ext="edit"/>
            </v:shape>
            <v:shape id="_x0000_s1836" o:spid="_x0000_s1836" style="position:absolute;left:402;top:6852;height:1073;width:1059;" fillcolor="#00FF00" filled="t" stroked="f" coordorigin="402,6853" coordsize="1059,1073" path="m932,7925l860,7920,791,7906,726,7883,664,7852,608,7814,557,7768,513,7717,475,7660,444,7598,421,7532,407,7462,402,7389,407,7316,421,7246,444,7180,475,7118,513,7061,557,7010,608,6964,664,6926,726,6895,791,6872,860,6858,932,6853,1003,6858,1072,6872,1138,6895,1199,6926,1255,6964,1306,7010,1351,7061,1389,7118,1419,7180,1442,7246,1456,7316,1461,7389,1456,7462,1442,7532,1419,7598,1389,7660,1351,7717,1306,7768,1255,7814,1199,7852,1138,7883,1072,7906,1003,7920,932,7925xe">
              <v:path arrowok="t"/>
              <v:fill on="t" focussize="0,0"/>
              <v:stroke on="f"/>
              <v:imagedata o:title=""/>
              <o:lock v:ext="edit"/>
            </v:shape>
            <v:shape id="_x0000_s1837" o:spid="_x0000_s1837" style="position:absolute;left:402;top:6852;height:1073;width:1059;" filled="f" stroked="t" coordorigin="402,6853" coordsize="1059,1073" path="m1461,7389l1456,7462,1442,7532,1419,7598,1389,7660,1351,7717,1306,7768,1255,7814,1199,7852,1138,7883,1072,7906,1003,7920,932,7925,860,7920,791,7906,726,7883,664,7852,608,7814,557,7768,513,7717,475,7660,444,7598,421,7532,407,7462,402,7389,407,7316,421,7246,444,7180,475,7118,513,7061,557,7010,608,6964,664,6926,726,6895,791,6872,860,6858,932,6853,1003,6858,1072,6872,1138,6895,1199,6926,1255,6964,1306,7010,1351,7061,1389,7118,1419,7180,1442,7246,1456,7316,1461,7389e">
              <v:path arrowok="t"/>
              <v:fill on="f" focussize="0,0"/>
              <v:stroke weight="0.705984251968504pt" color="#636363"/>
              <v:imagedata o:title=""/>
              <o:lock v:ext="edit"/>
            </v:shape>
            <v:line id="_x0000_s1838" o:spid="_x0000_s1838" o:spt="20" style="position:absolute;left:960;top:6909;height:494;width:0;" stroked="t" coordsize="21600,21600">
              <v:path arrowok="t"/>
              <v:fill focussize="0,0"/>
              <v:stroke weight="2.11700787401575pt" color="#F99595"/>
              <v:imagedata o:title=""/>
              <o:lock v:ext="edit"/>
            </v:line>
            <v:shape id="_x0000_s1839" o:spid="_x0000_s1839" style="position:absolute;left:938;top:6909;height:495;width:43;" filled="f" stroked="t" coordorigin="939,6909" coordsize="43,495" path="m939,7403l939,6909,981,7276,939,7403e">
              <v:path arrowok="t"/>
              <v:fill on="f" focussize="0,0"/>
              <v:stroke weight="0.705984251968504pt" color="#000000"/>
              <v:imagedata o:title=""/>
              <o:lock v:ext="edit"/>
            </v:shape>
            <v:shape id="_x0000_s1840" o:spid="_x0000_s1840" o:spt="75" type="#_x0000_t75" style="position:absolute;left:776;top:7099;height:523;width:382;" filled="f" stroked="f" coordsize="21600,21600">
              <v:path/>
              <v:fill on="f" focussize="0,0"/>
              <v:stroke on="f"/>
              <v:imagedata r:id="rId109" o:title=""/>
              <o:lock v:ext="edit" aspectratio="t"/>
            </v:shape>
            <v:shape id="_x0000_s1841" o:spid="_x0000_s1841" style="position:absolute;left:825;top:6909;height:495;width:113;" fillcolor="#C7C7C7" filled="t" stroked="f" coordorigin="826,6909" coordsize="113,495" path="m939,7403l826,7107,939,6909,939,7403xe">
              <v:path arrowok="t"/>
              <v:fill on="t" focussize="0,0"/>
              <v:stroke on="f"/>
              <v:imagedata o:title=""/>
              <o:lock v:ext="edit"/>
            </v:shape>
            <v:shape id="_x0000_s1842" o:spid="_x0000_s1842" style="position:absolute;left:825;top:6909;height:495;width:113;" filled="f" stroked="t" coordorigin="826,6909" coordsize="113,495" path="m939,7403l826,7107,939,6909,939,7403e">
              <v:path arrowok="t"/>
              <v:fill on="f" focussize="0,0"/>
              <v:stroke weight="0.705984251968504pt" color="#000000"/>
              <v:imagedata o:title=""/>
              <o:lock v:ext="edit"/>
            </v:shape>
            <v:line id="_x0000_s1843" o:spid="_x0000_s1843" o:spt="20" style="position:absolute;left:939;top:6853;height:1086;width:0;" stroked="t" coordsize="21600,21600">
              <v:path arrowok="t"/>
              <v:fill focussize="0,0"/>
              <v:stroke weight="0.705984251968504pt" color="#636363"/>
              <v:imagedata o:title=""/>
              <o:lock v:ext="edit"/>
            </v:line>
            <v:line id="_x0000_s1844" o:spid="_x0000_s1844" o:spt="20" style="position:absolute;left:727;top:6895;flip:x;height:1002;width:423;" stroked="t" coordsize="21600,21600">
              <v:path arrowok="t"/>
              <v:fill focussize="0,0"/>
              <v:stroke weight="0.705984251968504pt" color="#636363"/>
              <v:imagedata o:title=""/>
              <o:lock v:ext="edit"/>
            </v:line>
            <v:line id="_x0000_s1845" o:spid="_x0000_s1845" o:spt="20" style="position:absolute;left:558;top:7008;flip:x;height:776;width:762;" stroked="t" coordsize="21600,21600">
              <v:path arrowok="t"/>
              <v:fill focussize="0,0"/>
              <v:stroke weight="0.705984251968504pt" color="#636363"/>
              <v:imagedata o:title=""/>
              <o:lock v:ext="edit"/>
            </v:line>
            <v:line id="_x0000_s1846" o:spid="_x0000_s1846" o:spt="20" style="position:absolute;left:445;top:7191;flip:x;height:410;width:988;" stroked="t" coordsize="21600,21600">
              <v:path arrowok="t"/>
              <v:fill focussize="0,0"/>
              <v:stroke weight="0.705984251968504pt" color="#636363"/>
              <v:imagedata o:title=""/>
              <o:lock v:ext="edit"/>
            </v:line>
            <v:line id="_x0000_s1847" o:spid="_x0000_s1847" o:spt="20" style="position:absolute;left:402;top:7403;flip:x;height:0;width:1073;" stroked="t" coordsize="21600,21600">
              <v:path arrowok="t"/>
              <v:fill focussize="0,0"/>
              <v:stroke weight="0.705984251968504pt" color="#636363"/>
              <v:imagedata o:title=""/>
              <o:lock v:ext="edit"/>
            </v:line>
            <v:line id="_x0000_s1848" o:spid="_x0000_s1848" o:spt="20" style="position:absolute;left:445;top:7191;flip:x y;height:410;width:988;" stroked="t" coordsize="21600,21600">
              <v:path arrowok="t"/>
              <v:fill focussize="0,0"/>
              <v:stroke weight="0.705984251968504pt" color="#636363"/>
              <v:imagedata o:title=""/>
              <o:lock v:ext="edit"/>
            </v:line>
            <v:line id="_x0000_s1849" o:spid="_x0000_s1849" o:spt="20" style="position:absolute;left:558;top:7008;flip:x y;height:776;width:762;" stroked="t" coordsize="21600,21600">
              <v:path arrowok="t"/>
              <v:fill focussize="0,0"/>
              <v:stroke weight="0.705984251968504pt" color="#636363"/>
              <v:imagedata o:title=""/>
              <o:lock v:ext="edit"/>
            </v:line>
            <v:line id="_x0000_s1850" o:spid="_x0000_s1850" o:spt="20" style="position:absolute;left:727;top:6895;flip:x y;height:1002;width:423;" stroked="t" coordsize="21600,21600">
              <v:path arrowok="t"/>
              <v:fill focussize="0,0"/>
              <v:stroke weight="0.705984251968504pt" color="#636363"/>
              <v:imagedata o:title=""/>
              <o:lock v:ext="edit"/>
            </v:line>
            <v:shape id="_x0000_s1851" o:spid="_x0000_s1851" o:spt="75" type="#_x0000_t75" style="position:absolute;left:790;top:7254;height:269;width:283;" filled="f" stroked="f" coordsize="21600,21600">
              <v:path/>
              <v:fill on="f" focussize="0,0"/>
              <v:stroke on="f"/>
              <v:imagedata r:id="rId110" o:title=""/>
              <o:lock v:ext="edit" aspectratio="t"/>
            </v:shape>
            <v:shape id="_x0000_s1852" o:spid="_x0000_s1852" style="position:absolute;left:670;top:7120;height:537;width:523;" filled="f" stroked="t" coordorigin="670,7121" coordsize="523,537" path="m1193,7389l1183,7460,1157,7524,1116,7579,1063,7621,1001,7648,932,7657,862,7648,800,7621,747,7579,706,7524,680,7460,670,7389,680,7318,706,7254,747,7199,800,7157,862,7130,932,7121,1001,7130,1063,7157,1116,7199,1157,7254,1183,7318,1193,7389e">
              <v:path arrowok="t"/>
              <v:fill on="f" focussize="0,0"/>
              <v:stroke weight="0.705984251968504pt" color="#636363"/>
              <v:imagedata o:title=""/>
              <o:lock v:ext="edit"/>
            </v:shape>
            <v:shape id="_x0000_s1853" o:spid="_x0000_s1853" style="position:absolute;left:529;top:6993;height:791;width:805;" filled="f" stroked="t" coordorigin="529,6994" coordsize="805,791" path="m1334,7389l1327,7460,1309,7527,1279,7588,1239,7644,1191,7691,1135,7730,1072,7759,1004,7778,932,7784,859,7778,791,7759,729,7730,672,7691,624,7644,584,7588,554,7527,536,7460,529,7389,536,7318,554,7251,584,7190,624,7134,672,7087,729,7048,791,7019,859,7000,932,6994,1004,7000,1072,7019,1135,7048,1191,7087,1239,7134,1279,7190,1309,7251,1327,7318,1334,7389e">
              <v:path arrowok="t"/>
              <v:fill on="f" focussize="0,0"/>
              <v:stroke weight="0.705984251968504pt" color="#636363"/>
              <v:imagedata o:title=""/>
              <o:lock v:ext="edit"/>
            </v:shape>
            <v:shape id="_x0000_s1854" o:spid="_x0000_s1854" style="position:absolute;left:2265;top:6852;height:1073;width:1059;" fillcolor="#00FF00" filled="t" stroked="f" coordorigin="2265,6853" coordsize="1059,1073" path="m2795,7925l2723,7920,2654,7906,2589,7883,2528,7852,2471,7814,2420,7768,2376,7717,2338,7660,2307,7598,2284,7532,2270,7462,2265,7389,2270,7316,2284,7246,2307,7180,2338,7118,2376,7061,2420,7010,2471,6964,2528,6926,2589,6895,2654,6872,2723,6858,2795,6853,2867,6858,2935,6872,3001,6895,3062,6926,3118,6964,3169,7010,3214,7061,3252,7118,3282,7180,3305,7246,3319,7316,3324,7389,3319,7462,3305,7532,3282,7598,3252,7660,3214,7717,3169,7768,3118,7814,3062,7852,3001,7883,2935,7906,2867,7920,2795,7925xe">
              <v:path arrowok="t"/>
              <v:fill on="t" focussize="0,0"/>
              <v:stroke on="f"/>
              <v:imagedata o:title=""/>
              <o:lock v:ext="edit"/>
            </v:shape>
            <v:shape id="_x0000_s1855" o:spid="_x0000_s1855" style="position:absolute;left:2265;top:6852;height:1073;width:1059;" filled="f" stroked="t" coordorigin="2265,6853" coordsize="1059,1073" path="m3324,7389l3319,7462,3305,7532,3282,7598,3252,7660,3214,7717,3169,7768,3118,7814,3062,7852,3001,7883,2935,7906,2867,7920,2795,7925,2723,7920,2654,7906,2589,7883,2528,7852,2471,7814,2420,7768,2376,7717,2338,7660,2307,7598,2284,7532,2270,7462,2265,7389,2270,7316,2284,7246,2307,7180,2338,7118,2376,7061,2420,7010,2471,6964,2528,6926,2589,6895,2654,6872,2723,6858,2795,6853,2867,6858,2935,6872,3001,6895,3062,6926,3118,6964,3169,7010,3214,7061,3252,7118,3282,7180,3305,7246,3319,7316,3324,7389e">
              <v:path arrowok="t"/>
              <v:fill on="f" focussize="0,0"/>
              <v:stroke weight="0.705984251968504pt" color="#636363"/>
              <v:imagedata o:title=""/>
              <o:lock v:ext="edit"/>
            </v:shape>
            <v:line id="_x0000_s1856" o:spid="_x0000_s1856" o:spt="20" style="position:absolute;left:2816;top:6923;height:480;width:0;" stroked="t" coordsize="21600,21600">
              <v:path arrowok="t"/>
              <v:fill focussize="0,0"/>
              <v:stroke weight="1.41102362204724pt" color="#F99595"/>
              <v:imagedata o:title=""/>
              <o:lock v:ext="edit"/>
            </v:line>
            <v:shape id="_x0000_s1857" o:spid="_x0000_s1857" style="position:absolute;left:2801;top:6923;height:480;width:29;" filled="f" stroked="t" coordorigin="2802,6923" coordsize="29,480" path="m2802,7403l2802,6923,2830,7347,2802,7403e">
              <v:path arrowok="t"/>
              <v:fill on="f" focussize="0,0"/>
              <v:stroke weight="0.705984251968504pt" color="#000000"/>
              <v:imagedata o:title=""/>
              <o:lock v:ext="edit"/>
            </v:shape>
            <v:shape id="_x0000_s1858" o:spid="_x0000_s1858" o:spt="75" type="#_x0000_t75" style="position:absolute;left:2639;top:7099;height:593;width:452;" filled="f" stroked="f" coordsize="21600,21600">
              <v:path/>
              <v:fill on="f" focussize="0,0"/>
              <v:stroke on="f"/>
              <v:imagedata r:id="rId111" o:title=""/>
              <o:lock v:ext="edit" aspectratio="t"/>
            </v:shape>
            <v:shape id="_x0000_s1859" o:spid="_x0000_s1859" style="position:absolute;left:2674;top:6923;height:480;width:128;" fillcolor="#C7C7C7" filled="t" stroked="f" coordorigin="2675,6923" coordsize="128,480" path="m2802,7403l2675,7107,2802,6923,2802,7403xe">
              <v:path arrowok="t"/>
              <v:fill on="t" focussize="0,0"/>
              <v:stroke on="f"/>
              <v:imagedata o:title=""/>
              <o:lock v:ext="edit"/>
            </v:shape>
            <v:shape id="_x0000_s1860" o:spid="_x0000_s1860" style="position:absolute;left:2674;top:6923;height:480;width:128;" filled="f" stroked="t" coordorigin="2675,6923" coordsize="128,480" path="m2802,7403l2675,7107,2802,6923,2802,7403e">
              <v:path arrowok="t"/>
              <v:fill on="f" focussize="0,0"/>
              <v:stroke weight="0.705984251968504pt" color="#000000"/>
              <v:imagedata o:title=""/>
              <o:lock v:ext="edit"/>
            </v:shape>
            <v:line id="_x0000_s1861" o:spid="_x0000_s1861" o:spt="20" style="position:absolute;left:2802;top:6853;height:1086;width:0;" stroked="t" coordsize="21600,21600">
              <v:path arrowok="t"/>
              <v:fill focussize="0,0"/>
              <v:stroke weight="0.705984251968504pt" color="#636363"/>
              <v:imagedata o:title=""/>
              <o:lock v:ext="edit"/>
            </v:line>
            <v:line id="_x0000_s1862" o:spid="_x0000_s1862" o:spt="20" style="position:absolute;left:2590;top:6895;flip:x;height:1002;width:423;" stroked="t" coordsize="21600,21600">
              <v:path arrowok="t"/>
              <v:fill focussize="0,0"/>
              <v:stroke weight="0.705984251968504pt" color="#636363"/>
              <v:imagedata o:title=""/>
              <o:lock v:ext="edit"/>
            </v:line>
            <v:line id="_x0000_s1863" o:spid="_x0000_s1863" o:spt="20" style="position:absolute;left:2421;top:7008;flip:x;height:776;width:762;" stroked="t" coordsize="21600,21600">
              <v:path arrowok="t"/>
              <v:fill focussize="0,0"/>
              <v:stroke weight="0.705984251968504pt" color="#636363"/>
              <v:imagedata o:title=""/>
              <o:lock v:ext="edit"/>
            </v:line>
            <v:line id="_x0000_s1864" o:spid="_x0000_s1864" o:spt="20" style="position:absolute;left:2308;top:7191;flip:x;height:410;width:988;" stroked="t" coordsize="21600,21600">
              <v:path arrowok="t"/>
              <v:fill focussize="0,0"/>
              <v:stroke weight="0.705984251968504pt" color="#636363"/>
              <v:imagedata o:title=""/>
              <o:lock v:ext="edit"/>
            </v:line>
            <v:line id="_x0000_s1865" o:spid="_x0000_s1865" o:spt="20" style="position:absolute;left:2265;top:7403;flip:x;height:0;width:1073;" stroked="t" coordsize="21600,21600">
              <v:path arrowok="t"/>
              <v:fill focussize="0,0"/>
              <v:stroke weight="0.705984251968504pt" color="#636363"/>
              <v:imagedata o:title=""/>
              <o:lock v:ext="edit"/>
            </v:line>
            <v:line id="_x0000_s1866" o:spid="_x0000_s1866" o:spt="20" style="position:absolute;left:2308;top:7191;flip:x y;height:410;width:988;" stroked="t" coordsize="21600,21600">
              <v:path arrowok="t"/>
              <v:fill focussize="0,0"/>
              <v:stroke weight="0.705984251968504pt" color="#636363"/>
              <v:imagedata o:title=""/>
              <o:lock v:ext="edit"/>
            </v:line>
            <v:line id="_x0000_s1867" o:spid="_x0000_s1867" o:spt="20" style="position:absolute;left:2421;top:7008;flip:x y;height:776;width:762;" stroked="t" coordsize="21600,21600">
              <v:path arrowok="t"/>
              <v:fill focussize="0,0"/>
              <v:stroke weight="0.705984251968504pt" color="#636363"/>
              <v:imagedata o:title=""/>
              <o:lock v:ext="edit"/>
            </v:line>
            <v:line id="_x0000_s1868" o:spid="_x0000_s1868" o:spt="20" style="position:absolute;left:2590;top:6895;flip:x y;height:1002;width:423;" stroked="t" coordsize="21600,21600">
              <v:path arrowok="t"/>
              <v:fill focussize="0,0"/>
              <v:stroke weight="0.705984251968504pt" color="#636363"/>
              <v:imagedata o:title=""/>
              <o:lock v:ext="edit"/>
            </v:line>
            <v:shape id="_x0000_s1869" o:spid="_x0000_s1869" o:spt="75" type="#_x0000_t75" style="position:absolute;left:2653;top:7254;height:269;width:283;" filled="f" stroked="f" coordsize="21600,21600">
              <v:path/>
              <v:fill on="f" focussize="0,0"/>
              <v:stroke on="f"/>
              <v:imagedata r:id="rId112" o:title=""/>
              <o:lock v:ext="edit" aspectratio="t"/>
            </v:shape>
            <v:shape id="_x0000_s1870" o:spid="_x0000_s1870" style="position:absolute;left:2533;top:7120;height:537;width:523;" filled="f" stroked="t" coordorigin="2534,7121" coordsize="523,537" path="m3056,7389l3046,7460,3020,7524,2979,7579,2926,7621,2864,7648,2795,7657,2725,7648,2663,7621,2610,7579,2569,7524,2543,7460,2534,7389,2543,7318,2569,7254,2610,7199,2663,7157,2725,7130,2795,7121,2864,7130,2926,7157,2979,7199,3020,7254,3046,7318,3056,7389e">
              <v:path arrowok="t"/>
              <v:fill on="f" focussize="0,0"/>
              <v:stroke weight="0.705984251968504pt" color="#636363"/>
              <v:imagedata o:title=""/>
              <o:lock v:ext="edit"/>
            </v:shape>
            <v:shape id="_x0000_s1871" o:spid="_x0000_s1871" style="position:absolute;left:2392;top:6993;height:791;width:805;" filled="f" stroked="t" coordorigin="2392,6994" coordsize="805,791" path="m3197,7389l3190,7460,3172,7527,3142,7588,3102,7644,3054,7691,2998,7730,2935,7759,2867,7778,2795,7784,2722,7778,2654,7759,2592,7730,2536,7691,2487,7644,2447,7588,2418,7527,2399,7460,2392,7389,2399,7318,2418,7251,2447,7190,2487,7134,2536,7087,2592,7048,2654,7019,2722,7000,2795,6994,2867,7000,2935,7019,2998,7048,3054,7087,3102,7134,3142,7190,3172,7251,3190,7318,3197,7389e">
              <v:path arrowok="t"/>
              <v:fill on="f" focussize="0,0"/>
              <v:stroke weight="0.705984251968504pt" color="#636363"/>
              <v:imagedata o:title=""/>
              <o:lock v:ext="edit"/>
            </v:shape>
            <v:shape id="_x0000_s1872" o:spid="_x0000_s1872" style="position:absolute;left:4128;top:6852;height:1073;width:1059;" fillcolor="#00FF00" filled="t" stroked="f" coordorigin="4129,6853" coordsize="1059,1073" path="m4658,7925l4586,7920,4517,7906,4452,7883,4391,7852,4334,7814,4284,7768,4239,7717,4201,7660,4170,7598,4147,7532,4133,7462,4129,7389,4133,7316,4147,7246,4170,7180,4201,7118,4239,7061,4284,7010,4334,6964,4391,6926,4452,6895,4517,6872,4586,6858,4658,6853,4730,6858,4799,6872,4864,6895,4925,6926,4981,6964,5032,7010,5077,7061,5115,7118,5146,7180,5168,7246,5182,7316,5187,7389,5182,7462,5168,7532,5146,7598,5115,7660,5077,7717,5032,7768,4981,7814,4925,7852,4864,7883,4799,7906,4730,7920,4658,7925xe">
              <v:path arrowok="t"/>
              <v:fill on="t" focussize="0,0"/>
              <v:stroke on="f"/>
              <v:imagedata o:title=""/>
              <o:lock v:ext="edit"/>
            </v:shape>
            <v:shape id="_x0000_s1873" o:spid="_x0000_s1873" style="position:absolute;left:4128;top:6852;height:1073;width:1059;" filled="f" stroked="t" coordorigin="4129,6853" coordsize="1059,1073" path="m5187,7389l5182,7462,5168,7532,5146,7598,5115,7660,5077,7717,5032,7768,4981,7814,4925,7852,4864,7883,4799,7906,4730,7920,4658,7925,4586,7920,4517,7906,4452,7883,4391,7852,4334,7814,4284,7768,4239,7717,4201,7660,4170,7598,4147,7532,4133,7462,4129,7389,4133,7316,4147,7246,4170,7180,4201,7118,4239,7061,4284,7010,4334,6964,4391,6926,4452,6895,4517,6872,4586,6858,4658,6853,4730,6858,4799,6872,4864,6895,4925,6926,4981,6964,5032,7010,5077,7061,5115,7118,5146,7180,5168,7246,5182,7316,5187,7389e">
              <v:path arrowok="t"/>
              <v:fill on="f" focussize="0,0"/>
              <v:stroke weight="0.705984251968504pt" color="#636363"/>
              <v:imagedata o:title=""/>
              <o:lock v:ext="edit"/>
            </v:shape>
            <v:shape id="_x0000_s1874" o:spid="_x0000_s1874" o:spt="75" type="#_x0000_t75" style="position:absolute;left:4516;top:7071;height:650;width:396;" filled="f" stroked="f" coordsize="21600,21600">
              <v:path/>
              <v:fill on="f" focussize="0,0"/>
              <v:stroke on="f"/>
              <v:imagedata r:id="rId113" o:title=""/>
              <o:lock v:ext="edit" aspectratio="t"/>
            </v:shape>
            <v:line id="_x0000_s1875" o:spid="_x0000_s1875" o:spt="20" style="position:absolute;left:4665;top:6853;height:1086;width:0;" stroked="t" coordsize="21600,21600">
              <v:path arrowok="t"/>
              <v:fill focussize="0,0"/>
              <v:stroke weight="0.705984251968504pt" color="#636363"/>
              <v:imagedata o:title=""/>
              <o:lock v:ext="edit"/>
            </v:line>
            <v:line id="_x0000_s1876" o:spid="_x0000_s1876" o:spt="20" style="position:absolute;left:4453;top:6895;flip:x;height:1002;width:424;" stroked="t" coordsize="21600,21600">
              <v:path arrowok="t"/>
              <v:fill focussize="0,0"/>
              <v:stroke weight="0.705984251968504pt" color="#636363"/>
              <v:imagedata o:title=""/>
              <o:lock v:ext="edit"/>
            </v:line>
            <v:line id="_x0000_s1877" o:spid="_x0000_s1877" o:spt="20" style="position:absolute;left:4284;top:7008;flip:x;height:776;width:762;" stroked="t" coordsize="21600,21600">
              <v:path arrowok="t"/>
              <v:fill focussize="0,0"/>
              <v:stroke weight="0.705984251968504pt" color="#636363"/>
              <v:imagedata o:title=""/>
              <o:lock v:ext="edit"/>
            </v:line>
            <v:line id="_x0000_s1878" o:spid="_x0000_s1878" o:spt="20" style="position:absolute;left:4171;top:7191;flip:x;height:410;width:988;" stroked="t" coordsize="21600,21600">
              <v:path arrowok="t"/>
              <v:fill focussize="0,0"/>
              <v:stroke weight="0.705984251968504pt" color="#636363"/>
              <v:imagedata o:title=""/>
              <o:lock v:ext="edit"/>
            </v:line>
            <v:line id="_x0000_s1879" o:spid="_x0000_s1879" o:spt="20" style="position:absolute;left:4129;top:7403;flip:x;height:0;width:1072;" stroked="t" coordsize="21600,21600">
              <v:path arrowok="t"/>
              <v:fill focussize="0,0"/>
              <v:stroke weight="0.705984251968504pt" color="#636363"/>
              <v:imagedata o:title=""/>
              <o:lock v:ext="edit"/>
            </v:line>
            <v:line id="_x0000_s1880" o:spid="_x0000_s1880" o:spt="20" style="position:absolute;left:4171;top:7191;flip:x y;height:410;width:988;" stroked="t" coordsize="21600,21600">
              <v:path arrowok="t"/>
              <v:fill focussize="0,0"/>
              <v:stroke weight="0.705984251968504pt" color="#636363"/>
              <v:imagedata o:title=""/>
              <o:lock v:ext="edit"/>
            </v:line>
            <v:line id="_x0000_s1881" o:spid="_x0000_s1881" o:spt="20" style="position:absolute;left:4284;top:7008;flip:x y;height:776;width:762;" stroked="t" coordsize="21600,21600">
              <v:path arrowok="t"/>
              <v:fill focussize="0,0"/>
              <v:stroke weight="0.705984251968504pt" color="#636363"/>
              <v:imagedata o:title=""/>
              <o:lock v:ext="edit"/>
            </v:line>
            <v:line id="_x0000_s1882" o:spid="_x0000_s1882" o:spt="20" style="position:absolute;left:4453;top:6895;flip:x y;height:1002;width:424;" stroked="t" coordsize="21600,21600">
              <v:path arrowok="t"/>
              <v:fill focussize="0,0"/>
              <v:stroke weight="0.705984251968504pt" color="#636363"/>
              <v:imagedata o:title=""/>
              <o:lock v:ext="edit"/>
            </v:line>
            <v:shape id="_x0000_s1883" o:spid="_x0000_s1883" o:spt="75" type="#_x0000_t75" style="position:absolute;left:4516;top:7254;height:269;width:283;" filled="f" stroked="f" coordsize="21600,21600">
              <v:path/>
              <v:fill on="f" focussize="0,0"/>
              <v:stroke on="f"/>
              <v:imagedata r:id="rId114" o:title=""/>
              <o:lock v:ext="edit" aspectratio="t"/>
            </v:shape>
            <v:shape id="_x0000_s1884" o:spid="_x0000_s1884" style="position:absolute;left:4396;top:7120;height:537;width:523;" filled="f" stroked="t" coordorigin="4397,7121" coordsize="523,537" path="m4919,7389l4910,7460,4883,7524,4842,7579,4790,7621,4727,7648,4658,7657,4588,7648,4526,7621,4473,7579,4432,7524,4406,7460,4397,7389,4406,7318,4432,7254,4473,7199,4526,7157,4588,7130,4658,7121,4727,7130,4790,7157,4842,7199,4883,7254,4910,7318,4919,7389e">
              <v:path arrowok="t"/>
              <v:fill on="f" focussize="0,0"/>
              <v:stroke weight="0.705984251968504pt" color="#636363"/>
              <v:imagedata o:title=""/>
              <o:lock v:ext="edit"/>
            </v:shape>
            <v:shape id="_x0000_s1885" o:spid="_x0000_s1885" style="position:absolute;left:4255;top:6993;height:791;width:805;" filled="f" stroked="t" coordorigin="4256,6994" coordsize="805,791" path="m5060,7389l5054,7460,5035,7527,5005,7588,4965,7644,4917,7691,4861,7730,4798,7759,4730,7778,4658,7784,4586,7778,4517,7759,4455,7730,4399,7691,4350,7644,4310,7588,4281,7527,4262,7460,4256,7389,4262,7318,4281,7251,4310,7190,4350,7134,4399,7087,4455,7048,4517,7019,4586,7000,4658,6994,4730,7000,4798,7019,4861,7048,4917,7087,4965,7134,5005,7190,5035,7251,5054,7318,5060,7389e">
              <v:path arrowok="t"/>
              <v:fill on="f" focussize="0,0"/>
              <v:stroke weight="0.705984251968504pt" color="#636363"/>
              <v:imagedata o:title=""/>
              <o:lock v:ext="edit"/>
            </v:shape>
            <v:shape id="_x0000_s1886" o:spid="_x0000_s1886" style="position:absolute;left:6005;top:6852;height:1073;width:1059;" fillcolor="#00FF00" filled="t" stroked="f" coordorigin="6006,6853" coordsize="1059,1073" path="m6535,7925l6463,7920,6394,7906,6329,7883,6268,7852,6212,7814,6161,7768,6116,7717,6078,7660,6047,7598,6025,7532,6011,7462,6006,7389,6011,7316,6025,7246,6047,7180,6078,7118,6116,7061,6161,7010,6212,6964,6268,6926,6329,6895,6394,6872,6463,6858,6535,6853,6607,6858,6676,6872,6741,6895,6802,6926,6859,6964,6909,7010,6954,7061,6992,7118,7023,7180,7045,7246,7060,7316,7064,7389,7060,7462,7045,7532,7023,7598,6992,7660,6954,7717,6909,7768,6859,7814,6802,7852,6741,7883,6676,7906,6607,7920,6535,7925xe">
              <v:path arrowok="t"/>
              <v:fill on="t" focussize="0,0"/>
              <v:stroke on="f"/>
              <v:imagedata o:title=""/>
              <o:lock v:ext="edit"/>
            </v:shape>
            <v:shape id="_x0000_s1887" o:spid="_x0000_s1887" style="position:absolute;left:6005;top:6852;height:1073;width:1059;" filled="f" stroked="t" coordorigin="6006,6853" coordsize="1059,1073" path="m7064,7389l7060,7462,7045,7532,7023,7598,6992,7660,6954,7717,6909,7768,6859,7814,6802,7852,6741,7883,6676,7906,6607,7920,6535,7925,6463,7920,6394,7906,6329,7883,6268,7852,6212,7814,6161,7768,6116,7717,6078,7660,6047,7598,6025,7532,6011,7462,6006,7389,6011,7316,6025,7246,6047,7180,6078,7118,6116,7061,6161,7010,6212,6964,6268,6926,6329,6895,6394,6872,6463,6858,6535,6853,6607,6858,6676,6872,6741,6895,6802,6926,6859,6964,6909,7010,6954,7061,6992,7118,7023,7180,7045,7246,7060,7316,7064,7389e">
              <v:path arrowok="t"/>
              <v:fill on="f" focussize="0,0"/>
              <v:stroke weight="0.705984251968504pt" color="#636363"/>
              <v:imagedata o:title=""/>
              <o:lock v:ext="edit"/>
            </v:shape>
            <v:shape id="_x0000_s1888" o:spid="_x0000_s1888" style="position:absolute;left:6542;top:6852;height:551;width:57;" fillcolor="#F99595" filled="t" stroked="f" coordorigin="6542,6853" coordsize="57,551" path="m6542,7403l6542,6853,6599,7262,6542,7403xe">
              <v:path arrowok="t"/>
              <v:fill on="t" focussize="0,0"/>
              <v:stroke on="f"/>
              <v:imagedata o:title=""/>
              <o:lock v:ext="edit"/>
            </v:shape>
            <v:shape id="_x0000_s1889" o:spid="_x0000_s1889" style="position:absolute;left:6542;top:6852;height:551;width:57;" filled="f" stroked="t" coordorigin="6542,6853" coordsize="57,551" path="m6542,7403l6542,6853,6599,7262,6542,7403e">
              <v:path arrowok="t"/>
              <v:fill on="f" focussize="0,0"/>
              <v:stroke weight="0.705984251968504pt" color="#000000"/>
              <v:imagedata o:title=""/>
              <o:lock v:ext="edit"/>
            </v:shape>
            <v:shape id="_x0000_s1890" o:spid="_x0000_s1890" o:spt="75" type="#_x0000_t75" style="position:absolute;left:6323;top:7029;height:537;width:452;" filled="f" stroked="f" coordsize="21600,21600">
              <v:path/>
              <v:fill on="f" focussize="0,0"/>
              <v:stroke on="f"/>
              <v:imagedata r:id="rId115" o:title=""/>
              <o:lock v:ext="edit" aspectratio="t"/>
            </v:shape>
            <v:shape id="_x0000_s1891" o:spid="_x0000_s1891" style="position:absolute;left:6401;top:6852;height:551;width:142;" fillcolor="#C7C7C7" filled="t" stroked="f" coordorigin="6401,6853" coordsize="142,551" path="m6542,7403l6401,7036,6542,6853,6542,7403xe">
              <v:path arrowok="t"/>
              <v:fill on="t" focussize="0,0"/>
              <v:stroke on="f"/>
              <v:imagedata o:title=""/>
              <o:lock v:ext="edit"/>
            </v:shape>
            <v:shape id="_x0000_s1892" o:spid="_x0000_s1892" style="position:absolute;left:6401;top:6852;height:551;width:142;" filled="f" stroked="t" coordorigin="6401,6853" coordsize="142,551" path="m6542,7403l6401,7036,6542,6853,6542,7403e">
              <v:path arrowok="t"/>
              <v:fill on="f" focussize="0,0"/>
              <v:stroke weight="0.705984251968504pt" color="#000000"/>
              <v:imagedata o:title=""/>
              <o:lock v:ext="edit"/>
            </v:shape>
            <v:line id="_x0000_s1893" o:spid="_x0000_s1893" o:spt="20" style="position:absolute;left:6542;top:6853;height:1086;width:0;" stroked="t" coordsize="21600,21600">
              <v:path arrowok="t"/>
              <v:fill focussize="0,0"/>
              <v:stroke weight="0.705984251968504pt" color="#636363"/>
              <v:imagedata o:title=""/>
              <o:lock v:ext="edit"/>
            </v:line>
            <v:line id="_x0000_s1894" o:spid="_x0000_s1894" o:spt="20" style="position:absolute;left:6330;top:6895;flip:x;height:1002;width:424;" stroked="t" coordsize="21600,21600">
              <v:path arrowok="t"/>
              <v:fill focussize="0,0"/>
              <v:stroke weight="0.705984251968504pt" color="#636363"/>
              <v:imagedata o:title=""/>
              <o:lock v:ext="edit"/>
            </v:line>
            <v:line id="_x0000_s1895" o:spid="_x0000_s1895" o:spt="20" style="position:absolute;left:6161;top:7008;flip:x;height:776;width:762;" stroked="t" coordsize="21600,21600">
              <v:path arrowok="t"/>
              <v:fill focussize="0,0"/>
              <v:stroke weight="0.705984251968504pt" color="#636363"/>
              <v:imagedata o:title=""/>
              <o:lock v:ext="edit"/>
            </v:line>
            <v:line id="_x0000_s1896" o:spid="_x0000_s1896" o:spt="20" style="position:absolute;left:6048;top:7191;flip:x;height:410;width:988;" stroked="t" coordsize="21600,21600">
              <v:path arrowok="t"/>
              <v:fill focussize="0,0"/>
              <v:stroke weight="0.705984251968504pt" color="#636363"/>
              <v:imagedata o:title=""/>
              <o:lock v:ext="edit"/>
            </v:line>
            <v:line id="_x0000_s1897" o:spid="_x0000_s1897" o:spt="20" style="position:absolute;left:6006;top:7403;flip:x;height:0;width:1073;" stroked="t" coordsize="21600,21600">
              <v:path arrowok="t"/>
              <v:fill focussize="0,0"/>
              <v:stroke weight="0.705984251968504pt" color="#636363"/>
              <v:imagedata o:title=""/>
              <o:lock v:ext="edit"/>
            </v:line>
            <v:line id="_x0000_s1898" o:spid="_x0000_s1898" o:spt="20" style="position:absolute;left:6048;top:7191;flip:x y;height:410;width:988;" stroked="t" coordsize="21600,21600">
              <v:path arrowok="t"/>
              <v:fill focussize="0,0"/>
              <v:stroke weight="0.705984251968504pt" color="#636363"/>
              <v:imagedata o:title=""/>
              <o:lock v:ext="edit"/>
            </v:line>
            <v:line id="_x0000_s1899" o:spid="_x0000_s1899" o:spt="20" style="position:absolute;left:6161;top:7008;flip:x y;height:776;width:762;" stroked="t" coordsize="21600,21600">
              <v:path arrowok="t"/>
              <v:fill focussize="0,0"/>
              <v:stroke weight="0.705984251968504pt" color="#636363"/>
              <v:imagedata o:title=""/>
              <o:lock v:ext="edit"/>
            </v:line>
            <v:line id="_x0000_s1900" o:spid="_x0000_s1900" o:spt="20" style="position:absolute;left:6330;top:6895;flip:x y;height:1002;width:424;" stroked="t" coordsize="21600,21600">
              <v:path arrowok="t"/>
              <v:fill focussize="0,0"/>
              <v:stroke weight="0.705984251968504pt" color="#636363"/>
              <v:imagedata o:title=""/>
              <o:lock v:ext="edit"/>
            </v:line>
            <v:shape id="_x0000_s1901" o:spid="_x0000_s1901" o:spt="75" type="#_x0000_t75" style="position:absolute;left:6393;top:7254;height:269;width:283;" filled="f" stroked="f" coordsize="21600,21600">
              <v:path/>
              <v:fill on="f" focussize="0,0"/>
              <v:stroke on="f"/>
              <v:imagedata r:id="rId116" o:title=""/>
              <o:lock v:ext="edit" aspectratio="t"/>
            </v:shape>
            <v:shape id="_x0000_s1902" o:spid="_x0000_s1902" style="position:absolute;left:6273;top:7120;height:537;width:523;" filled="f" stroked="t" coordorigin="6274,7121" coordsize="523,537" path="m6796,7389l6787,7460,6761,7524,6720,7579,6667,7621,6604,7648,6535,7657,6466,7648,6403,7621,6350,7579,6310,7524,6283,7460,6274,7389,6283,7318,6310,7254,6350,7199,6403,7157,6466,7130,6535,7121,6604,7130,6667,7157,6720,7199,6761,7254,6787,7318,6796,7389e">
              <v:path arrowok="t"/>
              <v:fill on="f" focussize="0,0"/>
              <v:stroke weight="0.705984251968504pt" color="#636363"/>
              <v:imagedata o:title=""/>
              <o:lock v:ext="edit"/>
            </v:shape>
            <v:shape id="_x0000_s1903" o:spid="_x0000_s1903" style="position:absolute;left:6132;top:6993;height:791;width:805;" filled="f" stroked="t" coordorigin="6133,6994" coordsize="805,791" path="m6937,7389l6931,7460,6912,7527,6882,7588,6843,7644,6794,7691,6738,7730,6675,7759,6607,7778,6535,7784,6463,7778,6395,7759,6332,7730,6276,7691,6227,7644,6188,7588,6158,7527,6139,7460,6133,7389,6139,7318,6158,7251,6188,7190,6227,7134,6276,7087,6332,7048,6395,7019,6463,7000,6535,6994,6607,7000,6675,7019,6738,7048,6794,7087,6843,7134,6882,7190,6912,7251,6931,7318,6937,7389e">
              <v:path arrowok="t"/>
              <v:fill on="f" focussize="0,0"/>
              <v:stroke weight="0.705984251968504pt" color="#636363"/>
              <v:imagedata o:title=""/>
              <o:lock v:ext="edit"/>
            </v:shape>
            <v:shape id="_x0000_s1904" o:spid="_x0000_s1904" style="position:absolute;left:402;top:8983;height:1073;width:1059;" fillcolor="#00FF00" filled="t" stroked="f" coordorigin="402,8984" coordsize="1059,1073" path="m932,10057l860,10052,791,10038,726,10015,664,9983,608,9945,557,9900,513,9848,475,9791,444,9729,421,9663,407,9593,402,9520,407,9448,421,9378,444,9312,475,9250,513,9193,557,9141,608,9096,664,9057,726,9026,791,9003,860,8989,932,8984,1003,8989,1072,9003,1138,9026,1199,9057,1255,9096,1306,9141,1351,9193,1389,9250,1419,9312,1442,9378,1456,9448,1461,9520,1456,9593,1442,9663,1419,9729,1389,9791,1351,9848,1306,9900,1255,9945,1199,9983,1138,10015,1072,10038,1003,10052,932,10057xe">
              <v:path arrowok="t"/>
              <v:fill on="t" focussize="0,0"/>
              <v:stroke on="f"/>
              <v:imagedata o:title=""/>
              <o:lock v:ext="edit"/>
            </v:shape>
            <v:shape id="_x0000_s1905" o:spid="_x0000_s1905" style="position:absolute;left:402;top:8983;height:1073;width:1059;" filled="f" stroked="t" coordorigin="402,8984" coordsize="1059,1073" path="m1461,9520l1456,9593,1442,9663,1419,9729,1389,9791,1351,9848,1306,9900,1255,9945,1199,9983,1138,10015,1072,10038,1003,10052,932,10057,860,10052,791,10038,726,10015,664,9983,608,9945,557,9900,513,9848,475,9791,444,9729,421,9663,407,9593,402,9520,407,9448,421,9378,444,9312,475,9250,513,9193,557,9141,608,9096,664,9057,726,9026,791,9003,860,8989,932,8984,1003,8989,1072,9003,1138,9026,1199,9057,1255,9096,1306,9141,1351,9193,1389,9250,1419,9312,1442,9378,1456,9448,1461,9520e">
              <v:path arrowok="t"/>
              <v:fill on="f" focussize="0,0"/>
              <v:stroke weight="0.705984251968504pt" color="#636363"/>
              <v:imagedata o:title=""/>
              <o:lock v:ext="edit"/>
            </v:shape>
            <v:line id="_x0000_s1906" o:spid="_x0000_s1906" o:spt="20" style="position:absolute;left:967;top:8913;height:607;width:0;" stroked="t" coordsize="21600,21600">
              <v:path arrowok="t"/>
              <v:fill focussize="0,0"/>
              <v:stroke weight="2.82299212598425pt" color="#F99595"/>
              <v:imagedata o:title=""/>
              <o:lock v:ext="edit"/>
            </v:line>
            <v:shape id="_x0000_s1907" o:spid="_x0000_s1907" style="position:absolute;left:938;top:8913;height:607;width:57;" filled="f" stroked="t" coordorigin="939,8913" coordsize="57,607" path="m939,9520l939,8913,995,9393,939,9520e">
              <v:path arrowok="t"/>
              <v:fill on="f" focussize="0,0"/>
              <v:stroke weight="0.705984251968504pt" color="#000000"/>
              <v:imagedata o:title=""/>
              <o:lock v:ext="edit"/>
            </v:shape>
            <v:shape id="_x0000_s1908" o:spid="_x0000_s1908" o:spt="75" type="#_x0000_t75" style="position:absolute;left:719;top:9202;height:495;width:396;" filled="f" stroked="f" coordsize="21600,21600">
              <v:path/>
              <v:fill on="f" focussize="0,0"/>
              <v:stroke on="f"/>
              <v:imagedata r:id="rId117" o:title=""/>
              <o:lock v:ext="edit" aspectratio="t"/>
            </v:shape>
            <v:shape id="_x0000_s1909" o:spid="_x0000_s1909" style="position:absolute;left:811;top:8913;height:607;width:128;" fillcolor="#C7C7C7" filled="t" stroked="f" coordorigin="812,8913" coordsize="128,607" path="m939,9520l812,9210,939,8913,939,9520xe">
              <v:path arrowok="t"/>
              <v:fill on="t" focussize="0,0"/>
              <v:stroke on="f"/>
              <v:imagedata o:title=""/>
              <o:lock v:ext="edit"/>
            </v:shape>
            <v:shape id="_x0000_s1910" o:spid="_x0000_s1910" style="position:absolute;left:811;top:8913;height:607;width:128;" filled="f" stroked="t" coordorigin="812,8913" coordsize="128,607" path="m939,9520l812,9210,939,8913,939,9520e">
              <v:path arrowok="t"/>
              <v:fill on="f" focussize="0,0"/>
              <v:stroke weight="0.705984251968504pt" color="#000000"/>
              <v:imagedata o:title=""/>
              <o:lock v:ext="edit"/>
            </v:shape>
            <v:line id="_x0000_s1911" o:spid="_x0000_s1911" o:spt="20" style="position:absolute;left:939;top:8984;height:1087;width:0;" stroked="t" coordsize="21600,21600">
              <v:path arrowok="t"/>
              <v:fill focussize="0,0"/>
              <v:stroke weight="0.705984251968504pt" color="#636363"/>
              <v:imagedata o:title=""/>
              <o:lock v:ext="edit"/>
            </v:line>
            <v:line id="_x0000_s1912" o:spid="_x0000_s1912" o:spt="20" style="position:absolute;left:727;top:9026;flip:x;height:1002;width:423;" stroked="t" coordsize="21600,21600">
              <v:path arrowok="t"/>
              <v:fill focussize="0,0"/>
              <v:stroke weight="0.705984251968504pt" color="#636363"/>
              <v:imagedata o:title=""/>
              <o:lock v:ext="edit"/>
            </v:line>
            <v:line id="_x0000_s1913" o:spid="_x0000_s1913" o:spt="20" style="position:absolute;left:558;top:9139;flip:x;height:777;width:762;" stroked="t" coordsize="21600,21600">
              <v:path arrowok="t"/>
              <v:fill focussize="0,0"/>
              <v:stroke weight="0.705984251968504pt" color="#636363"/>
              <v:imagedata o:title=""/>
              <o:lock v:ext="edit"/>
            </v:line>
            <v:line id="_x0000_s1914" o:spid="_x0000_s1914" o:spt="20" style="position:absolute;left:445;top:9323;flip:x;height:409;width:988;" stroked="t" coordsize="21600,21600">
              <v:path arrowok="t"/>
              <v:fill focussize="0,0"/>
              <v:stroke weight="0.705984251968504pt" color="#636363"/>
              <v:imagedata o:title=""/>
              <o:lock v:ext="edit"/>
            </v:line>
            <v:line id="_x0000_s1915" o:spid="_x0000_s1915" o:spt="20" style="position:absolute;left:402;top:9520;flip:x;height:0;width:1073;" stroked="t" coordsize="21600,21600">
              <v:path arrowok="t"/>
              <v:fill focussize="0,0"/>
              <v:stroke weight="0.705984251968504pt" color="#636363"/>
              <v:imagedata o:title=""/>
              <o:lock v:ext="edit"/>
            </v:line>
            <v:line id="_x0000_s1916" o:spid="_x0000_s1916" o:spt="20" style="position:absolute;left:445;top:9323;flip:x y;height:409;width:988;" stroked="t" coordsize="21600,21600">
              <v:path arrowok="t"/>
              <v:fill focussize="0,0"/>
              <v:stroke weight="0.705984251968504pt" color="#636363"/>
              <v:imagedata o:title=""/>
              <o:lock v:ext="edit"/>
            </v:line>
            <v:line id="_x0000_s1917" o:spid="_x0000_s1917" o:spt="20" style="position:absolute;left:558;top:9139;flip:x y;height:777;width:762;" stroked="t" coordsize="21600,21600">
              <v:path arrowok="t"/>
              <v:fill focussize="0,0"/>
              <v:stroke weight="0.705984251968504pt" color="#636363"/>
              <v:imagedata o:title=""/>
              <o:lock v:ext="edit"/>
            </v:line>
            <v:line id="_x0000_s1918" o:spid="_x0000_s1918" o:spt="20" style="position:absolute;left:727;top:9026;flip:x y;height:1002;width:423;" stroked="t" coordsize="21600,21600">
              <v:path arrowok="t"/>
              <v:fill focussize="0,0"/>
              <v:stroke weight="0.705984251968504pt" color="#636363"/>
              <v:imagedata o:title=""/>
              <o:lock v:ext="edit"/>
            </v:line>
            <v:shape id="_x0000_s1919" o:spid="_x0000_s1919" o:spt="75" type="#_x0000_t75" style="position:absolute;left:790;top:9386;height:269;width:283;" filled="f" stroked="f" coordsize="21600,21600">
              <v:path/>
              <v:fill on="f" focussize="0,0"/>
              <v:stroke on="f"/>
              <v:imagedata r:id="rId118" o:title=""/>
              <o:lock v:ext="edit" aspectratio="t"/>
            </v:shape>
            <v:shape id="_x0000_s1920" o:spid="_x0000_s1920" style="position:absolute;left:670;top:9252;height:537;width:523;" filled="f" stroked="t" coordorigin="670,9252" coordsize="523,537" path="m1193,9520l1183,9592,1157,9656,1116,9710,1063,9752,1001,9779,932,9788,862,9779,800,9752,747,9710,706,9656,680,9592,670,9520,680,9449,706,9385,747,9331,800,9289,862,9262,932,9252,1001,9262,1063,9289,1116,9331,1157,9385,1183,9449,1193,9520e">
              <v:path arrowok="t"/>
              <v:fill on="f" focussize="0,0"/>
              <v:stroke weight="0.705984251968504pt" color="#636363"/>
              <v:imagedata o:title=""/>
              <o:lock v:ext="edit"/>
            </v:shape>
            <v:shape id="_x0000_s1921" o:spid="_x0000_s1921" style="position:absolute;left:529;top:9125;height:791;width:805;" filled="f" stroked="t" coordorigin="529,9125" coordsize="805,791" path="m1334,9520l1327,9591,1309,9658,1279,9720,1239,9775,1191,9823,1135,9862,1072,9891,1004,9909,932,9916,859,9909,791,9891,729,9862,672,9823,624,9775,584,9720,554,9658,536,9591,529,9520,536,9449,554,9382,584,9321,624,9266,672,9218,729,9179,791,9150,859,9131,932,9125,1004,9131,1072,9150,1135,9179,1191,9218,1239,9266,1279,9321,1309,9382,1327,9449,1334,9520e">
              <v:path arrowok="t"/>
              <v:fill on="f" focussize="0,0"/>
              <v:stroke weight="0.705984251968504pt" color="#636363"/>
              <v:imagedata o:title=""/>
              <o:lock v:ext="edit"/>
            </v:shape>
            <v:shape id="_x0000_s1922" o:spid="_x0000_s1922" style="position:absolute;left:6005;top:8983;height:1073;width:1059;" fillcolor="#00FF00" filled="t" stroked="f" coordorigin="6006,8984" coordsize="1059,1073" path="m6535,10057l6463,10052,6394,10038,6329,10015,6268,9983,6212,9945,6161,9900,6116,9848,6078,9791,6047,9729,6025,9663,6011,9593,6006,9520,6011,9448,6025,9378,6047,9312,6078,9250,6116,9193,6161,9141,6212,9096,6268,9057,6329,9026,6394,9003,6463,8989,6535,8984,6607,8989,6676,9003,6741,9026,6802,9057,6859,9096,6909,9141,6954,9193,6992,9250,7023,9312,7045,9378,7060,9448,7064,9520,7060,9593,7045,9663,7023,9729,6992,9791,6954,9848,6909,9900,6859,9945,6802,9983,6741,10015,6676,10038,6607,10052,6535,10057xe">
              <v:path arrowok="t"/>
              <v:fill on="t" focussize="0,0"/>
              <v:stroke on="f"/>
              <v:imagedata o:title=""/>
              <o:lock v:ext="edit"/>
            </v:shape>
            <v:shape id="_x0000_s1923" o:spid="_x0000_s1923" style="position:absolute;left:6005;top:8983;height:1073;width:1059;" filled="f" stroked="t" coordorigin="6006,8984" coordsize="1059,1073" path="m7064,9520l7060,9593,7045,9663,7023,9729,6992,9791,6954,9848,6909,9900,6859,9945,6802,9983,6741,10015,6676,10038,6607,10052,6535,10057,6463,10052,6394,10038,6329,10015,6268,9983,6212,9945,6161,9900,6116,9848,6078,9791,6047,9729,6025,9663,6011,9593,6006,9520,6011,9448,6025,9378,6047,9312,6078,9250,6116,9193,6161,9141,6212,9096,6268,9057,6329,9026,6394,9003,6463,8989,6535,8984,6607,8989,6676,9003,6741,9026,6802,9057,6859,9096,6909,9141,6954,9193,6992,9250,7023,9312,7045,9378,7060,9448,7064,9520e">
              <v:path arrowok="t"/>
              <v:fill on="f" focussize="0,0"/>
              <v:stroke weight="0.705984251968504pt" color="#636363"/>
              <v:imagedata o:title=""/>
              <o:lock v:ext="edit"/>
            </v:shape>
            <v:line id="_x0000_s1924" o:spid="_x0000_s1924" o:spt="20" style="position:absolute;left:6542;top:8984;height:1087;width:0;" stroked="t" coordsize="21600,21600">
              <v:path arrowok="t"/>
              <v:fill focussize="0,0"/>
              <v:stroke weight="0.705984251968504pt" color="#636363"/>
              <v:imagedata o:title=""/>
              <o:lock v:ext="edit"/>
            </v:line>
            <v:line id="_x0000_s1925" o:spid="_x0000_s1925" o:spt="20" style="position:absolute;left:6006;top:9520;flip:x;height:0;width:1073;" stroked="t" coordsize="21600,21600">
              <v:path arrowok="t"/>
              <v:fill focussize="0,0"/>
              <v:stroke weight="0.705984251968504pt" color="#636363"/>
              <v:imagedata o:title=""/>
              <o:lock v:ext="edit"/>
            </v:line>
            <v:shape id="_x0000_s1926" o:spid="_x0000_s1926" o:spt="75" type="#_x0000_t75" style="position:absolute;left:6393;top:9386;height:269;width:283;" filled="f" stroked="f" coordsize="21600,21600">
              <v:path/>
              <v:fill on="f" focussize="0,0"/>
              <v:stroke on="f"/>
              <v:imagedata r:id="rId119" o:title=""/>
              <o:lock v:ext="edit" aspectratio="t"/>
            </v:shape>
            <v:shape id="_x0000_s1927" o:spid="_x0000_s1927" style="position:absolute;left:6273;top:9252;height:537;width:523;" filled="f" stroked="t" coordorigin="6274,9252" coordsize="523,537" path="m6796,9520l6787,9592,6761,9656,6720,9710,6667,9752,6604,9779,6535,9788,6466,9779,6403,9752,6350,9710,6310,9656,6283,9592,6274,9520,6283,9449,6310,9385,6350,9331,6403,9289,6466,9262,6535,9252,6604,9262,6667,9289,6720,9331,6761,9385,6787,9449,6796,9520e">
              <v:path arrowok="t"/>
              <v:fill on="f" focussize="0,0"/>
              <v:stroke weight="0.705984251968504pt" color="#636363"/>
              <v:imagedata o:title=""/>
              <o:lock v:ext="edit"/>
            </v:shape>
            <v:shape id="_x0000_s1928" o:spid="_x0000_s1928" style="position:absolute;left:6132;top:9125;height:791;width:805;" filled="f" stroked="t" coordorigin="6133,9125" coordsize="805,791" path="m6937,9520l6931,9591,6912,9658,6882,9720,6843,9775,6794,9823,6738,9862,6675,9891,6607,9909,6535,9916,6463,9909,6395,9891,6332,9862,6276,9823,6227,9775,6188,9720,6158,9658,6139,9591,6133,9520,6139,9449,6158,9382,6188,9321,6227,9266,6276,9218,6332,9179,6395,9150,6463,9131,6535,9125,6607,9131,6675,9150,6738,9179,6794,9218,6843,9266,6882,9321,6912,9382,6931,9449,6937,9520e">
              <v:path arrowok="t"/>
              <v:fill on="f" focussize="0,0"/>
              <v:stroke weight="0.705984251968504pt" color="#636363"/>
              <v:imagedata o:title=""/>
              <o:lock v:ext="edit"/>
            </v:shape>
            <v:shape id="_x0000_s1929" o:spid="_x0000_s1929" o:spt="202" type="#_x0000_t202" style="position:absolute;left:6245;top:10517;height:170;width:614;" filled="f" stroked="f" coordsize="21600,21600">
              <v:path/>
              <v:fill on="f" focussize="0,0"/>
              <v:stroke on="f" joinstyle="miter"/>
              <v:imagedata o:title=""/>
              <o:lock v:ext="edit"/>
              <v:textbox inset="0mm,0mm,0mm,0mm">
                <w:txbxContent>
                  <w:p w14:paraId="0EA267C8">
                    <w:pPr>
                      <w:spacing w:before="0" w:line="169" w:lineRule="exact"/>
                      <w:ind w:left="0" w:right="0" w:firstLine="0"/>
                      <w:jc w:val="left"/>
                      <w:rPr>
                        <w:sz w:val="17"/>
                      </w:rPr>
                    </w:pPr>
                    <w:r>
                      <w:rPr>
                        <w:sz w:val="17"/>
                      </w:rPr>
                      <w:t>图例(%)</w:t>
                    </w:r>
                  </w:p>
                </w:txbxContent>
              </v:textbox>
            </v:shape>
            <v:shape id="_x0000_s1930" o:spid="_x0000_s1930" o:spt="202" type="#_x0000_t202" style="position:absolute;left:6499;top:10080;height:170;width:105;" filled="f" stroked="f" coordsize="21600,21600">
              <v:path/>
              <v:fill on="f" focussize="0,0"/>
              <v:stroke on="f" joinstyle="miter"/>
              <v:imagedata o:title=""/>
              <o:lock v:ext="edit"/>
              <v:textbox inset="0mm,0mm,0mm,0mm">
                <w:txbxContent>
                  <w:p w14:paraId="1B99D515">
                    <w:pPr>
                      <w:spacing w:before="0" w:line="169" w:lineRule="exact"/>
                      <w:ind w:left="0" w:right="0" w:firstLine="0"/>
                      <w:jc w:val="left"/>
                      <w:rPr>
                        <w:sz w:val="17"/>
                      </w:rPr>
                    </w:pPr>
                    <w:r>
                      <w:rPr>
                        <w:w w:val="99"/>
                        <w:sz w:val="17"/>
                      </w:rPr>
                      <w:t>S</w:t>
                    </w:r>
                  </w:p>
                </w:txbxContent>
              </v:textbox>
            </v:shape>
            <v:shape id="_x0000_s1931" o:spid="_x0000_s1931" o:spt="202" type="#_x0000_t202" style="position:absolute;left:7078;top:9445;height:170;width:105;" filled="f" stroked="f" coordsize="21600,21600">
              <v:path/>
              <v:fill on="f" focussize="0,0"/>
              <v:stroke on="f" joinstyle="miter"/>
              <v:imagedata o:title=""/>
              <o:lock v:ext="edit"/>
              <v:textbox inset="0mm,0mm,0mm,0mm">
                <w:txbxContent>
                  <w:p w14:paraId="6E6C85B6">
                    <w:pPr>
                      <w:spacing w:before="0" w:line="169" w:lineRule="exact"/>
                      <w:ind w:left="0" w:right="0" w:firstLine="0"/>
                      <w:jc w:val="left"/>
                      <w:rPr>
                        <w:sz w:val="17"/>
                      </w:rPr>
                    </w:pPr>
                    <w:r>
                      <w:rPr>
                        <w:w w:val="99"/>
                        <w:sz w:val="17"/>
                      </w:rPr>
                      <w:t>E</w:t>
                    </w:r>
                  </w:p>
                </w:txbxContent>
              </v:textbox>
            </v:shape>
            <v:shape id="_x0000_s1932" o:spid="_x0000_s1932" o:spt="202" type="#_x0000_t202" style="position:absolute;left:6372;top:9048;height:424;width:352;" filled="f" stroked="f" coordsize="21600,21600">
              <v:path/>
              <v:fill on="f" focussize="0,0"/>
              <v:stroke on="f" joinstyle="miter"/>
              <v:imagedata o:title=""/>
              <o:lock v:ext="edit"/>
              <v:textbox inset="0mm,0mm,0mm,0mm">
                <w:txbxContent>
                  <w:p w14:paraId="7FA51C0F">
                    <w:pPr>
                      <w:spacing w:before="0" w:line="150" w:lineRule="exact"/>
                      <w:ind w:left="0" w:right="0" w:firstLine="0"/>
                      <w:jc w:val="left"/>
                      <w:rPr>
                        <w:sz w:val="15"/>
                      </w:rPr>
                    </w:pPr>
                    <w:r>
                      <w:rPr>
                        <w:w w:val="105"/>
                        <w:sz w:val="15"/>
                      </w:rPr>
                      <w:t>15.0</w:t>
                    </w:r>
                  </w:p>
                  <w:p w14:paraId="47287E1A">
                    <w:pPr>
                      <w:spacing w:before="0" w:line="134" w:lineRule="exact"/>
                      <w:ind w:left="0" w:right="0" w:firstLine="0"/>
                      <w:jc w:val="left"/>
                      <w:rPr>
                        <w:sz w:val="15"/>
                      </w:rPr>
                    </w:pPr>
                    <w:r>
                      <w:rPr>
                        <w:w w:val="105"/>
                        <w:sz w:val="15"/>
                      </w:rPr>
                      <w:t>10.0</w:t>
                    </w:r>
                  </w:p>
                  <w:p w14:paraId="10E27AB6">
                    <w:pPr>
                      <w:spacing w:before="0" w:line="139" w:lineRule="exact"/>
                      <w:ind w:left="42" w:right="0" w:firstLine="0"/>
                      <w:jc w:val="left"/>
                      <w:rPr>
                        <w:sz w:val="15"/>
                      </w:rPr>
                    </w:pPr>
                    <w:r>
                      <w:rPr>
                        <w:w w:val="105"/>
                        <w:sz w:val="15"/>
                      </w:rPr>
                      <w:t>5.0</w:t>
                    </w:r>
                  </w:p>
                </w:txbxContent>
              </v:textbox>
            </v:shape>
            <v:shape id="_x0000_s1933" o:spid="_x0000_s1933" o:spt="202" type="#_x0000_t202" style="position:absolute;left:5921;top:9445;height:170;width:105;" filled="f" stroked="f" coordsize="21600,21600">
              <v:path/>
              <v:fill on="f" focussize="0,0"/>
              <v:stroke on="f" joinstyle="miter"/>
              <v:imagedata o:title=""/>
              <o:lock v:ext="edit"/>
              <v:textbox inset="0mm,0mm,0mm,0mm">
                <w:txbxContent>
                  <w:p w14:paraId="0BF44E32">
                    <w:pPr>
                      <w:spacing w:before="0" w:line="169" w:lineRule="exact"/>
                      <w:ind w:left="0" w:right="0" w:firstLine="0"/>
                      <w:jc w:val="left"/>
                      <w:rPr>
                        <w:sz w:val="17"/>
                      </w:rPr>
                    </w:pPr>
                    <w:r>
                      <w:rPr>
                        <w:w w:val="99"/>
                        <w:sz w:val="17"/>
                      </w:rPr>
                      <w:t>W</w:t>
                    </w:r>
                  </w:p>
                </w:txbxContent>
              </v:textbox>
            </v:shape>
            <v:shape id="_x0000_s1934" o:spid="_x0000_s1934" o:spt="202" type="#_x0000_t202" style="position:absolute;left:6457;top:8921;height:156;width:183;" filled="f" stroked="f" coordsize="21600,21600">
              <v:path/>
              <v:fill on="f" focussize="0,0"/>
              <v:stroke on="f" joinstyle="miter"/>
              <v:imagedata o:title=""/>
              <o:lock v:ext="edit"/>
              <v:textbox inset="0mm,0mm,0mm,0mm">
                <w:txbxContent>
                  <w:p w14:paraId="390E533B">
                    <w:pPr>
                      <w:spacing w:before="0" w:line="155" w:lineRule="exact"/>
                      <w:ind w:left="0" w:right="0" w:firstLine="0"/>
                      <w:jc w:val="left"/>
                      <w:rPr>
                        <w:sz w:val="15"/>
                      </w:rPr>
                    </w:pPr>
                    <w:r>
                      <w:rPr>
                        <w:w w:val="105"/>
                        <w:sz w:val="15"/>
                      </w:rPr>
                      <w:t>0.</w:t>
                    </w:r>
                  </w:p>
                </w:txbxContent>
              </v:textbox>
            </v:shape>
            <v:shape id="_x0000_s1935" o:spid="_x0000_s1935" o:spt="202" type="#_x0000_t202" style="position:absolute;left:6372;top:8824;height:253;width:352;" filled="f" stroked="f" coordsize="21600,21600">
              <v:path/>
              <v:fill on="f" focussize="0,0"/>
              <v:stroke on="f" joinstyle="miter"/>
              <v:imagedata o:title=""/>
              <o:lock v:ext="edit"/>
              <v:textbox inset="0mm,0mm,0mm,0mm">
                <w:txbxContent>
                  <w:p w14:paraId="7B42B022">
                    <w:pPr>
                      <w:spacing w:before="0" w:line="252" w:lineRule="exact"/>
                      <w:ind w:left="0" w:right="0" w:firstLine="0"/>
                      <w:jc w:val="left"/>
                      <w:rPr>
                        <w:sz w:val="15"/>
                      </w:rPr>
                    </w:pPr>
                    <w:r>
                      <w:rPr>
                        <w:sz w:val="15"/>
                      </w:rPr>
                      <w:t xml:space="preserve">2 </w:t>
                    </w:r>
                    <w:r>
                      <w:rPr>
                        <w:position w:val="8"/>
                        <w:sz w:val="17"/>
                      </w:rPr>
                      <w:t>N</w:t>
                    </w:r>
                    <w:r>
                      <w:rPr>
                        <w:spacing w:val="-65"/>
                        <w:position w:val="8"/>
                        <w:sz w:val="17"/>
                      </w:rPr>
                      <w:t xml:space="preserve"> </w:t>
                    </w:r>
                    <w:r>
                      <w:rPr>
                        <w:sz w:val="15"/>
                      </w:rPr>
                      <w:t>0</w:t>
                    </w:r>
                  </w:p>
                </w:txbxContent>
              </v:textbox>
            </v:shape>
            <v:shape id="_x0000_s1936" o:spid="_x0000_s1936" o:spt="202" type="#_x0000_t202" style="position:absolute;left:345;top:10517;height:170;width:1207;" filled="f" stroked="f" coordsize="21600,21600">
              <v:path/>
              <v:fill on="f" focussize="0,0"/>
              <v:stroke on="f" joinstyle="miter"/>
              <v:imagedata o:title=""/>
              <o:lock v:ext="edit"/>
              <v:textbox inset="0mm,0mm,0mm,0mm">
                <w:txbxContent>
                  <w:p w14:paraId="31C03E0E">
                    <w:pPr>
                      <w:spacing w:before="0" w:line="169" w:lineRule="exact"/>
                      <w:ind w:left="0" w:right="0" w:firstLine="0"/>
                      <w:jc w:val="left"/>
                      <w:rPr>
                        <w:sz w:val="17"/>
                      </w:rPr>
                    </w:pPr>
                    <w:r>
                      <w:rPr>
                        <w:sz w:val="17"/>
                      </w:rPr>
                      <w:t>冬季,静风0.14%</w:t>
                    </w:r>
                  </w:p>
                </w:txbxContent>
              </v:textbox>
            </v:shape>
            <v:shape id="_x0000_s1937" o:spid="_x0000_s1937" o:spt="202" type="#_x0000_t202" style="position:absolute;left:896;top:10080;height:170;width:105;" filled="f" stroked="f" coordsize="21600,21600">
              <v:path/>
              <v:fill on="f" focussize="0,0"/>
              <v:stroke on="f" joinstyle="miter"/>
              <v:imagedata o:title=""/>
              <o:lock v:ext="edit"/>
              <v:textbox inset="0mm,0mm,0mm,0mm">
                <w:txbxContent>
                  <w:p w14:paraId="4B6822FA">
                    <w:pPr>
                      <w:spacing w:before="0" w:line="169" w:lineRule="exact"/>
                      <w:ind w:left="0" w:right="0" w:firstLine="0"/>
                      <w:jc w:val="left"/>
                      <w:rPr>
                        <w:sz w:val="17"/>
                      </w:rPr>
                    </w:pPr>
                    <w:r>
                      <w:rPr>
                        <w:w w:val="99"/>
                        <w:sz w:val="17"/>
                      </w:rPr>
                      <w:t>S</w:t>
                    </w:r>
                  </w:p>
                </w:txbxContent>
              </v:textbox>
            </v:shape>
            <v:shape id="_x0000_s1938" o:spid="_x0000_s1938" o:spt="202" type="#_x0000_t202" style="position:absolute;left:1291;top:9896;height:170;width:190;" filled="f" stroked="f" coordsize="21600,21600">
              <v:path/>
              <v:fill on="f" focussize="0,0"/>
              <v:stroke on="f" joinstyle="miter"/>
              <v:imagedata o:title=""/>
              <o:lock v:ext="edit"/>
              <v:textbox inset="0mm,0mm,0mm,0mm">
                <w:txbxContent>
                  <w:p w14:paraId="7DC081D7">
                    <w:pPr>
                      <w:spacing w:before="0" w:line="169" w:lineRule="exact"/>
                      <w:ind w:left="0" w:right="0" w:firstLine="0"/>
                      <w:jc w:val="left"/>
                      <w:rPr>
                        <w:sz w:val="17"/>
                      </w:rPr>
                    </w:pPr>
                    <w:r>
                      <w:rPr>
                        <w:sz w:val="17"/>
                      </w:rPr>
                      <w:t>SE</w:t>
                    </w:r>
                  </w:p>
                </w:txbxContent>
              </v:textbox>
            </v:shape>
            <v:shape id="_x0000_s1939" o:spid="_x0000_s1939" o:spt="202" type="#_x0000_t202" style="position:absolute;left:416;top:9896;height:170;width:190;" filled="f" stroked="f" coordsize="21600,21600">
              <v:path/>
              <v:fill on="f" focussize="0,0"/>
              <v:stroke on="f" joinstyle="miter"/>
              <v:imagedata o:title=""/>
              <o:lock v:ext="edit"/>
              <v:textbox inset="0mm,0mm,0mm,0mm">
                <w:txbxContent>
                  <w:p w14:paraId="1BB40B1B">
                    <w:pPr>
                      <w:spacing w:before="0" w:line="169" w:lineRule="exact"/>
                      <w:ind w:left="0" w:right="0" w:firstLine="0"/>
                      <w:jc w:val="left"/>
                      <w:rPr>
                        <w:sz w:val="17"/>
                      </w:rPr>
                    </w:pPr>
                    <w:r>
                      <w:rPr>
                        <w:sz w:val="17"/>
                      </w:rPr>
                      <w:t>SW</w:t>
                    </w:r>
                  </w:p>
                </w:txbxContent>
              </v:textbox>
            </v:shape>
            <v:shape id="_x0000_s1940" o:spid="_x0000_s1940" o:spt="202" type="#_x0000_t202" style="position:absolute;left:1474;top:9445;height:170;width:105;" filled="f" stroked="f" coordsize="21600,21600">
              <v:path/>
              <v:fill on="f" focussize="0,0"/>
              <v:stroke on="f" joinstyle="miter"/>
              <v:imagedata o:title=""/>
              <o:lock v:ext="edit"/>
              <v:textbox inset="0mm,0mm,0mm,0mm">
                <w:txbxContent>
                  <w:p w14:paraId="02386514">
                    <w:pPr>
                      <w:spacing w:before="0" w:line="169" w:lineRule="exact"/>
                      <w:ind w:left="0" w:right="0" w:firstLine="0"/>
                      <w:jc w:val="left"/>
                      <w:rPr>
                        <w:sz w:val="17"/>
                      </w:rPr>
                    </w:pPr>
                    <w:r>
                      <w:rPr>
                        <w:w w:val="99"/>
                        <w:sz w:val="17"/>
                      </w:rPr>
                      <w:t>E</w:t>
                    </w:r>
                  </w:p>
                </w:txbxContent>
              </v:textbox>
            </v:shape>
            <v:shape id="_x0000_s1941" o:spid="_x0000_s1941" o:spt="202" type="#_x0000_t202" style="position:absolute;left:317;top:9445;height:170;width:105;" filled="f" stroked="f" coordsize="21600,21600">
              <v:path/>
              <v:fill on="f" focussize="0,0"/>
              <v:stroke on="f" joinstyle="miter"/>
              <v:imagedata o:title=""/>
              <o:lock v:ext="edit"/>
              <v:textbox inset="0mm,0mm,0mm,0mm">
                <w:txbxContent>
                  <w:p w14:paraId="3AE1B752">
                    <w:pPr>
                      <w:spacing w:before="0" w:line="169" w:lineRule="exact"/>
                      <w:ind w:left="0" w:right="0" w:firstLine="0"/>
                      <w:jc w:val="left"/>
                      <w:rPr>
                        <w:sz w:val="17"/>
                      </w:rPr>
                    </w:pPr>
                    <w:r>
                      <w:rPr>
                        <w:w w:val="99"/>
                        <w:sz w:val="17"/>
                      </w:rPr>
                      <w:t>W</w:t>
                    </w:r>
                  </w:p>
                </w:txbxContent>
              </v:textbox>
            </v:shape>
            <v:shape id="_x0000_s1942" o:spid="_x0000_s1942" o:spt="202" type="#_x0000_t202" style="position:absolute;left:1291;top:9007;height:170;width:190;" filled="f" stroked="f" coordsize="21600,21600">
              <v:path/>
              <v:fill on="f" focussize="0,0"/>
              <v:stroke on="f" joinstyle="miter"/>
              <v:imagedata o:title=""/>
              <o:lock v:ext="edit"/>
              <v:textbox inset="0mm,0mm,0mm,0mm">
                <w:txbxContent>
                  <w:p w14:paraId="32B2757F">
                    <w:pPr>
                      <w:spacing w:before="0" w:line="169" w:lineRule="exact"/>
                      <w:ind w:left="0" w:right="0" w:firstLine="0"/>
                      <w:jc w:val="left"/>
                      <w:rPr>
                        <w:sz w:val="17"/>
                      </w:rPr>
                    </w:pPr>
                    <w:r>
                      <w:rPr>
                        <w:sz w:val="17"/>
                      </w:rPr>
                      <w:t>NE</w:t>
                    </w:r>
                  </w:p>
                </w:txbxContent>
              </v:textbox>
            </v:shape>
            <v:shape id="_x0000_s1943" o:spid="_x0000_s1943" o:spt="202" type="#_x0000_t202" style="position:absolute;left:416;top:9007;height:170;width:190;" filled="f" stroked="f" coordsize="21600,21600">
              <v:path/>
              <v:fill on="f" focussize="0,0"/>
              <v:stroke on="f" joinstyle="miter"/>
              <v:imagedata o:title=""/>
              <o:lock v:ext="edit"/>
              <v:textbox inset="0mm,0mm,0mm,0mm">
                <w:txbxContent>
                  <w:p w14:paraId="79FC81E6">
                    <w:pPr>
                      <w:spacing w:before="0" w:line="169" w:lineRule="exact"/>
                      <w:ind w:left="0" w:right="0" w:firstLine="0"/>
                      <w:jc w:val="left"/>
                      <w:rPr>
                        <w:sz w:val="17"/>
                      </w:rPr>
                    </w:pPr>
                    <w:r>
                      <w:rPr>
                        <w:sz w:val="17"/>
                      </w:rPr>
                      <w:t>NW</w:t>
                    </w:r>
                  </w:p>
                </w:txbxContent>
              </v:textbox>
            </v:shape>
            <v:shape id="_x0000_s1944" o:spid="_x0000_s1944" o:spt="202" type="#_x0000_t202" style="position:absolute;left:896;top:8824;height:170;width:105;" filled="f" stroked="f" coordsize="21600,21600">
              <v:path/>
              <v:fill on="f" focussize="0,0"/>
              <v:stroke on="f" joinstyle="miter"/>
              <v:imagedata o:title=""/>
              <o:lock v:ext="edit"/>
              <v:textbox inset="0mm,0mm,0mm,0mm">
                <w:txbxContent>
                  <w:p w14:paraId="616BECE0">
                    <w:pPr>
                      <w:spacing w:before="0" w:line="169" w:lineRule="exact"/>
                      <w:ind w:left="0" w:right="0" w:firstLine="0"/>
                      <w:jc w:val="left"/>
                      <w:rPr>
                        <w:sz w:val="17"/>
                      </w:rPr>
                    </w:pPr>
                    <w:r>
                      <w:rPr>
                        <w:w w:val="99"/>
                        <w:sz w:val="17"/>
                      </w:rPr>
                      <w:t>N</w:t>
                    </w:r>
                  </w:p>
                </w:txbxContent>
              </v:textbox>
            </v:shape>
            <v:shape id="_x0000_s1945" o:spid="_x0000_s1945" o:spt="202" type="#_x0000_t202" style="position:absolute;left:5949;top:8386;height:170;width:1207;" filled="f" stroked="f" coordsize="21600,21600">
              <v:path/>
              <v:fill on="f" focussize="0,0"/>
              <v:stroke on="f" joinstyle="miter"/>
              <v:imagedata o:title=""/>
              <o:lock v:ext="edit"/>
              <v:textbox inset="0mm,0mm,0mm,0mm">
                <w:txbxContent>
                  <w:p w14:paraId="27CD3B55">
                    <w:pPr>
                      <w:spacing w:before="0" w:line="169" w:lineRule="exact"/>
                      <w:ind w:left="0" w:right="0" w:firstLine="0"/>
                      <w:jc w:val="left"/>
                      <w:rPr>
                        <w:sz w:val="17"/>
                      </w:rPr>
                    </w:pPr>
                    <w:r>
                      <w:rPr>
                        <w:sz w:val="17"/>
                      </w:rPr>
                      <w:t>秋季,静风0.09%</w:t>
                    </w:r>
                  </w:p>
                </w:txbxContent>
              </v:textbox>
            </v:shape>
            <v:shape id="_x0000_s1946" o:spid="_x0000_s1946" o:spt="202" type="#_x0000_t202" style="position:absolute;left:6499;top:7949;height:170;width:105;" filled="f" stroked="f" coordsize="21600,21600">
              <v:path/>
              <v:fill on="f" focussize="0,0"/>
              <v:stroke on="f" joinstyle="miter"/>
              <v:imagedata o:title=""/>
              <o:lock v:ext="edit"/>
              <v:textbox inset="0mm,0mm,0mm,0mm">
                <w:txbxContent>
                  <w:p w14:paraId="6FA619E7">
                    <w:pPr>
                      <w:spacing w:before="0" w:line="169" w:lineRule="exact"/>
                      <w:ind w:left="0" w:right="0" w:firstLine="0"/>
                      <w:jc w:val="left"/>
                      <w:rPr>
                        <w:sz w:val="17"/>
                      </w:rPr>
                    </w:pPr>
                    <w:r>
                      <w:rPr>
                        <w:w w:val="99"/>
                        <w:sz w:val="17"/>
                      </w:rPr>
                      <w:t>S</w:t>
                    </w:r>
                  </w:p>
                </w:txbxContent>
              </v:textbox>
            </v:shape>
            <v:shape id="_x0000_s1947" o:spid="_x0000_s1947" o:spt="202" type="#_x0000_t202" style="position:absolute;left:6895;top:7765;height:170;width:190;" filled="f" stroked="f" coordsize="21600,21600">
              <v:path/>
              <v:fill on="f" focussize="0,0"/>
              <v:stroke on="f" joinstyle="miter"/>
              <v:imagedata o:title=""/>
              <o:lock v:ext="edit"/>
              <v:textbox inset="0mm,0mm,0mm,0mm">
                <w:txbxContent>
                  <w:p w14:paraId="1B386331">
                    <w:pPr>
                      <w:spacing w:before="0" w:line="169" w:lineRule="exact"/>
                      <w:ind w:left="0" w:right="0" w:firstLine="0"/>
                      <w:jc w:val="left"/>
                      <w:rPr>
                        <w:sz w:val="17"/>
                      </w:rPr>
                    </w:pPr>
                    <w:r>
                      <w:rPr>
                        <w:sz w:val="17"/>
                      </w:rPr>
                      <w:t>SE</w:t>
                    </w:r>
                  </w:p>
                </w:txbxContent>
              </v:textbox>
            </v:shape>
            <v:shape id="_x0000_s1948" o:spid="_x0000_s1948" o:spt="202" type="#_x0000_t202" style="position:absolute;left:6019;top:7765;height:170;width:190;" filled="f" stroked="f" coordsize="21600,21600">
              <v:path/>
              <v:fill on="f" focussize="0,0"/>
              <v:stroke on="f" joinstyle="miter"/>
              <v:imagedata o:title=""/>
              <o:lock v:ext="edit"/>
              <v:textbox inset="0mm,0mm,0mm,0mm">
                <w:txbxContent>
                  <w:p w14:paraId="7EB78995">
                    <w:pPr>
                      <w:spacing w:before="0" w:line="169" w:lineRule="exact"/>
                      <w:ind w:left="0" w:right="0" w:firstLine="0"/>
                      <w:jc w:val="left"/>
                      <w:rPr>
                        <w:sz w:val="17"/>
                      </w:rPr>
                    </w:pPr>
                    <w:r>
                      <w:rPr>
                        <w:sz w:val="17"/>
                      </w:rPr>
                      <w:t>SW</w:t>
                    </w:r>
                  </w:p>
                </w:txbxContent>
              </v:textbox>
            </v:shape>
            <v:shape id="_x0000_s1949" o:spid="_x0000_s1949" o:spt="202" type="#_x0000_t202" style="position:absolute;left:7078;top:7328;height:170;width:105;" filled="f" stroked="f" coordsize="21600,21600">
              <v:path/>
              <v:fill on="f" focussize="0,0"/>
              <v:stroke on="f" joinstyle="miter"/>
              <v:imagedata o:title=""/>
              <o:lock v:ext="edit"/>
              <v:textbox inset="0mm,0mm,0mm,0mm">
                <w:txbxContent>
                  <w:p w14:paraId="134F100E">
                    <w:pPr>
                      <w:spacing w:before="0" w:line="169" w:lineRule="exact"/>
                      <w:ind w:left="0" w:right="0" w:firstLine="0"/>
                      <w:jc w:val="left"/>
                      <w:rPr>
                        <w:sz w:val="17"/>
                      </w:rPr>
                    </w:pPr>
                    <w:r>
                      <w:rPr>
                        <w:w w:val="99"/>
                        <w:sz w:val="17"/>
                      </w:rPr>
                      <w:t>E</w:t>
                    </w:r>
                  </w:p>
                </w:txbxContent>
              </v:textbox>
            </v:shape>
            <v:shape id="_x0000_s1950" o:spid="_x0000_s1950" o:spt="202" type="#_x0000_t202" style="position:absolute;left:5921;top:7328;height:170;width:105;" filled="f" stroked="f" coordsize="21600,21600">
              <v:path/>
              <v:fill on="f" focussize="0,0"/>
              <v:stroke on="f" joinstyle="miter"/>
              <v:imagedata o:title=""/>
              <o:lock v:ext="edit"/>
              <v:textbox inset="0mm,0mm,0mm,0mm">
                <w:txbxContent>
                  <w:p w14:paraId="61E23825">
                    <w:pPr>
                      <w:spacing w:before="0" w:line="169" w:lineRule="exact"/>
                      <w:ind w:left="0" w:right="0" w:firstLine="0"/>
                      <w:jc w:val="left"/>
                      <w:rPr>
                        <w:sz w:val="17"/>
                      </w:rPr>
                    </w:pPr>
                    <w:r>
                      <w:rPr>
                        <w:w w:val="99"/>
                        <w:sz w:val="17"/>
                      </w:rPr>
                      <w:t>W</w:t>
                    </w:r>
                  </w:p>
                </w:txbxContent>
              </v:textbox>
            </v:shape>
            <v:shape id="_x0000_s1951" o:spid="_x0000_s1951" o:spt="202" type="#_x0000_t202" style="position:absolute;left:6895;top:6876;height:170;width:190;" filled="f" stroked="f" coordsize="21600,21600">
              <v:path/>
              <v:fill on="f" focussize="0,0"/>
              <v:stroke on="f" joinstyle="miter"/>
              <v:imagedata o:title=""/>
              <o:lock v:ext="edit"/>
              <v:textbox inset="0mm,0mm,0mm,0mm">
                <w:txbxContent>
                  <w:p w14:paraId="26AA3A0E">
                    <w:pPr>
                      <w:spacing w:before="0" w:line="169" w:lineRule="exact"/>
                      <w:ind w:left="0" w:right="0" w:firstLine="0"/>
                      <w:jc w:val="left"/>
                      <w:rPr>
                        <w:sz w:val="17"/>
                      </w:rPr>
                    </w:pPr>
                    <w:r>
                      <w:rPr>
                        <w:sz w:val="17"/>
                      </w:rPr>
                      <w:t>NE</w:t>
                    </w:r>
                  </w:p>
                </w:txbxContent>
              </v:textbox>
            </v:shape>
            <v:shape id="_x0000_s1952" o:spid="_x0000_s1952" o:spt="202" type="#_x0000_t202" style="position:absolute;left:6019;top:6876;height:170;width:190;" filled="f" stroked="f" coordsize="21600,21600">
              <v:path/>
              <v:fill on="f" focussize="0,0"/>
              <v:stroke on="f" joinstyle="miter"/>
              <v:imagedata o:title=""/>
              <o:lock v:ext="edit"/>
              <v:textbox inset="0mm,0mm,0mm,0mm">
                <w:txbxContent>
                  <w:p w14:paraId="5CBFE364">
                    <w:pPr>
                      <w:spacing w:before="0" w:line="169" w:lineRule="exact"/>
                      <w:ind w:left="0" w:right="0" w:firstLine="0"/>
                      <w:jc w:val="left"/>
                      <w:rPr>
                        <w:sz w:val="17"/>
                      </w:rPr>
                    </w:pPr>
                    <w:r>
                      <w:rPr>
                        <w:sz w:val="17"/>
                      </w:rPr>
                      <w:t>NW</w:t>
                    </w:r>
                  </w:p>
                </w:txbxContent>
              </v:textbox>
            </v:shape>
            <v:shape id="_x0000_s1953" o:spid="_x0000_s1953" o:spt="202" type="#_x0000_t202" style="position:absolute;left:6499;top:6692;height:170;width:105;" filled="f" stroked="f" coordsize="21600,21600">
              <v:path/>
              <v:fill on="f" focussize="0,0"/>
              <v:stroke on="f" joinstyle="miter"/>
              <v:imagedata o:title=""/>
              <o:lock v:ext="edit"/>
              <v:textbox inset="0mm,0mm,0mm,0mm">
                <w:txbxContent>
                  <w:p w14:paraId="0E390A71">
                    <w:pPr>
                      <w:spacing w:before="0" w:line="169" w:lineRule="exact"/>
                      <w:ind w:left="0" w:right="0" w:firstLine="0"/>
                      <w:jc w:val="left"/>
                      <w:rPr>
                        <w:sz w:val="17"/>
                      </w:rPr>
                    </w:pPr>
                    <w:r>
                      <w:rPr>
                        <w:w w:val="99"/>
                        <w:sz w:val="17"/>
                      </w:rPr>
                      <w:t>N</w:t>
                    </w:r>
                  </w:p>
                </w:txbxContent>
              </v:textbox>
            </v:shape>
            <v:shape id="_x0000_s1954" o:spid="_x0000_s1954" o:spt="202" type="#_x0000_t202" style="position:absolute;left:4072;top:8386;height:170;width:1207;" filled="f" stroked="f" coordsize="21600,21600">
              <v:path/>
              <v:fill on="f" focussize="0,0"/>
              <v:stroke on="f" joinstyle="miter"/>
              <v:imagedata o:title=""/>
              <o:lock v:ext="edit"/>
              <v:textbox inset="0mm,0mm,0mm,0mm">
                <w:txbxContent>
                  <w:p w14:paraId="64B6CB1F">
                    <w:pPr>
                      <w:spacing w:before="0" w:line="169" w:lineRule="exact"/>
                      <w:ind w:left="0" w:right="0" w:firstLine="0"/>
                      <w:jc w:val="left"/>
                      <w:rPr>
                        <w:sz w:val="17"/>
                      </w:rPr>
                    </w:pPr>
                    <w:r>
                      <w:rPr>
                        <w:sz w:val="17"/>
                      </w:rPr>
                      <w:t>夏季,静风0.05%</w:t>
                    </w:r>
                  </w:p>
                </w:txbxContent>
              </v:textbox>
            </v:shape>
            <v:shape id="_x0000_s1955" o:spid="_x0000_s1955" o:spt="202" type="#_x0000_t202" style="position:absolute;left:4622;top:7949;height:170;width:105;" filled="f" stroked="f" coordsize="21600,21600">
              <v:path/>
              <v:fill on="f" focussize="0,0"/>
              <v:stroke on="f" joinstyle="miter"/>
              <v:imagedata o:title=""/>
              <o:lock v:ext="edit"/>
              <v:textbox inset="0mm,0mm,0mm,0mm">
                <w:txbxContent>
                  <w:p w14:paraId="2401BD9F">
                    <w:pPr>
                      <w:spacing w:before="0" w:line="169" w:lineRule="exact"/>
                      <w:ind w:left="0" w:right="0" w:firstLine="0"/>
                      <w:jc w:val="left"/>
                      <w:rPr>
                        <w:sz w:val="17"/>
                      </w:rPr>
                    </w:pPr>
                    <w:r>
                      <w:rPr>
                        <w:w w:val="99"/>
                        <w:sz w:val="17"/>
                      </w:rPr>
                      <w:t>S</w:t>
                    </w:r>
                  </w:p>
                </w:txbxContent>
              </v:textbox>
            </v:shape>
            <v:shape id="_x0000_s1956" o:spid="_x0000_s1956" o:spt="202" type="#_x0000_t202" style="position:absolute;left:5017;top:7765;height:170;width:190;" filled="f" stroked="f" coordsize="21600,21600">
              <v:path/>
              <v:fill on="f" focussize="0,0"/>
              <v:stroke on="f" joinstyle="miter"/>
              <v:imagedata o:title=""/>
              <o:lock v:ext="edit"/>
              <v:textbox inset="0mm,0mm,0mm,0mm">
                <w:txbxContent>
                  <w:p w14:paraId="71C92D57">
                    <w:pPr>
                      <w:spacing w:before="0" w:line="169" w:lineRule="exact"/>
                      <w:ind w:left="0" w:right="0" w:firstLine="0"/>
                      <w:jc w:val="left"/>
                      <w:rPr>
                        <w:sz w:val="17"/>
                      </w:rPr>
                    </w:pPr>
                    <w:r>
                      <w:rPr>
                        <w:sz w:val="17"/>
                      </w:rPr>
                      <w:t>SE</w:t>
                    </w:r>
                  </w:p>
                </w:txbxContent>
              </v:textbox>
            </v:shape>
            <v:shape id="_x0000_s1957" o:spid="_x0000_s1957" o:spt="202" type="#_x0000_t202" style="position:absolute;left:4142;top:7765;height:170;width:190;" filled="f" stroked="f" coordsize="21600,21600">
              <v:path/>
              <v:fill on="f" focussize="0,0"/>
              <v:stroke on="f" joinstyle="miter"/>
              <v:imagedata o:title=""/>
              <o:lock v:ext="edit"/>
              <v:textbox inset="0mm,0mm,0mm,0mm">
                <w:txbxContent>
                  <w:p w14:paraId="19B7175D">
                    <w:pPr>
                      <w:spacing w:before="0" w:line="169" w:lineRule="exact"/>
                      <w:ind w:left="0" w:right="0" w:firstLine="0"/>
                      <w:jc w:val="left"/>
                      <w:rPr>
                        <w:sz w:val="17"/>
                      </w:rPr>
                    </w:pPr>
                    <w:r>
                      <w:rPr>
                        <w:sz w:val="17"/>
                      </w:rPr>
                      <w:t>SW</w:t>
                    </w:r>
                  </w:p>
                </w:txbxContent>
              </v:textbox>
            </v:shape>
            <v:shape id="_x0000_s1958" o:spid="_x0000_s1958" o:spt="202" type="#_x0000_t202" style="position:absolute;left:5201;top:7328;height:170;width:105;" filled="f" stroked="f" coordsize="21600,21600">
              <v:path/>
              <v:fill on="f" focussize="0,0"/>
              <v:stroke on="f" joinstyle="miter"/>
              <v:imagedata o:title=""/>
              <o:lock v:ext="edit"/>
              <v:textbox inset="0mm,0mm,0mm,0mm">
                <w:txbxContent>
                  <w:p w14:paraId="0C0CE750">
                    <w:pPr>
                      <w:spacing w:before="0" w:line="169" w:lineRule="exact"/>
                      <w:ind w:left="0" w:right="0" w:firstLine="0"/>
                      <w:jc w:val="left"/>
                      <w:rPr>
                        <w:sz w:val="17"/>
                      </w:rPr>
                    </w:pPr>
                    <w:r>
                      <w:rPr>
                        <w:w w:val="99"/>
                        <w:sz w:val="17"/>
                      </w:rPr>
                      <w:t>E</w:t>
                    </w:r>
                  </w:p>
                </w:txbxContent>
              </v:textbox>
            </v:shape>
            <v:shape id="_x0000_s1959" o:spid="_x0000_s1959" o:spt="202" type="#_x0000_t202" style="position:absolute;left:4043;top:7328;height:170;width:105;" filled="f" stroked="f" coordsize="21600,21600">
              <v:path/>
              <v:fill on="f" focussize="0,0"/>
              <v:stroke on="f" joinstyle="miter"/>
              <v:imagedata o:title=""/>
              <o:lock v:ext="edit"/>
              <v:textbox inset="0mm,0mm,0mm,0mm">
                <w:txbxContent>
                  <w:p w14:paraId="4ED8D375">
                    <w:pPr>
                      <w:spacing w:before="0" w:line="169" w:lineRule="exact"/>
                      <w:ind w:left="0" w:right="0" w:firstLine="0"/>
                      <w:jc w:val="left"/>
                      <w:rPr>
                        <w:sz w:val="17"/>
                      </w:rPr>
                    </w:pPr>
                    <w:r>
                      <w:rPr>
                        <w:w w:val="99"/>
                        <w:sz w:val="17"/>
                      </w:rPr>
                      <w:t>W</w:t>
                    </w:r>
                  </w:p>
                </w:txbxContent>
              </v:textbox>
            </v:shape>
            <v:shape id="_x0000_s1960" o:spid="_x0000_s1960" o:spt="202" type="#_x0000_t202" style="position:absolute;left:5017;top:6876;height:170;width:190;" filled="f" stroked="f" coordsize="21600,21600">
              <v:path/>
              <v:fill on="f" focussize="0,0"/>
              <v:stroke on="f" joinstyle="miter"/>
              <v:imagedata o:title=""/>
              <o:lock v:ext="edit"/>
              <v:textbox inset="0mm,0mm,0mm,0mm">
                <w:txbxContent>
                  <w:p w14:paraId="05905CD5">
                    <w:pPr>
                      <w:spacing w:before="0" w:line="169" w:lineRule="exact"/>
                      <w:ind w:left="0" w:right="0" w:firstLine="0"/>
                      <w:jc w:val="left"/>
                      <w:rPr>
                        <w:sz w:val="17"/>
                      </w:rPr>
                    </w:pPr>
                    <w:r>
                      <w:rPr>
                        <w:sz w:val="17"/>
                      </w:rPr>
                      <w:t>NE</w:t>
                    </w:r>
                  </w:p>
                </w:txbxContent>
              </v:textbox>
            </v:shape>
            <v:shape id="_x0000_s1961" o:spid="_x0000_s1961" o:spt="202" type="#_x0000_t202" style="position:absolute;left:4142;top:6876;height:170;width:190;" filled="f" stroked="f" coordsize="21600,21600">
              <v:path/>
              <v:fill on="f" focussize="0,0"/>
              <v:stroke on="f" joinstyle="miter"/>
              <v:imagedata o:title=""/>
              <o:lock v:ext="edit"/>
              <v:textbox inset="0mm,0mm,0mm,0mm">
                <w:txbxContent>
                  <w:p w14:paraId="18AFA48C">
                    <w:pPr>
                      <w:spacing w:before="0" w:line="169" w:lineRule="exact"/>
                      <w:ind w:left="0" w:right="0" w:firstLine="0"/>
                      <w:jc w:val="left"/>
                      <w:rPr>
                        <w:sz w:val="17"/>
                      </w:rPr>
                    </w:pPr>
                    <w:r>
                      <w:rPr>
                        <w:sz w:val="17"/>
                      </w:rPr>
                      <w:t>NW</w:t>
                    </w:r>
                  </w:p>
                </w:txbxContent>
              </v:textbox>
            </v:shape>
            <v:shape id="_x0000_s1962" o:spid="_x0000_s1962" o:spt="202" type="#_x0000_t202" style="position:absolute;left:4622;top:6692;height:170;width:105;" filled="f" stroked="f" coordsize="21600,21600">
              <v:path/>
              <v:fill on="f" focussize="0,0"/>
              <v:stroke on="f" joinstyle="miter"/>
              <v:imagedata o:title=""/>
              <o:lock v:ext="edit"/>
              <v:textbox inset="0mm,0mm,0mm,0mm">
                <w:txbxContent>
                  <w:p w14:paraId="1293D0AB">
                    <w:pPr>
                      <w:spacing w:before="0" w:line="169" w:lineRule="exact"/>
                      <w:ind w:left="0" w:right="0" w:firstLine="0"/>
                      <w:jc w:val="left"/>
                      <w:rPr>
                        <w:sz w:val="17"/>
                      </w:rPr>
                    </w:pPr>
                    <w:r>
                      <w:rPr>
                        <w:w w:val="99"/>
                        <w:sz w:val="17"/>
                      </w:rPr>
                      <w:t>N</w:t>
                    </w:r>
                  </w:p>
                </w:txbxContent>
              </v:textbox>
            </v:shape>
            <v:shape id="_x0000_s1963" o:spid="_x0000_s1963" o:spt="202" type="#_x0000_t202" style="position:absolute;left:2208;top:8386;height:170;width:1207;" filled="f" stroked="f" coordsize="21600,21600">
              <v:path/>
              <v:fill on="f" focussize="0,0"/>
              <v:stroke on="f" joinstyle="miter"/>
              <v:imagedata o:title=""/>
              <o:lock v:ext="edit"/>
              <v:textbox inset="0mm,0mm,0mm,0mm">
                <w:txbxContent>
                  <w:p w14:paraId="4974D5C7">
                    <w:pPr>
                      <w:spacing w:before="0" w:line="169" w:lineRule="exact"/>
                      <w:ind w:left="0" w:right="0" w:firstLine="0"/>
                      <w:jc w:val="left"/>
                      <w:rPr>
                        <w:sz w:val="17"/>
                      </w:rPr>
                    </w:pPr>
                    <w:r>
                      <w:rPr>
                        <w:sz w:val="17"/>
                      </w:rPr>
                      <w:t>春季,静风0.09%</w:t>
                    </w:r>
                  </w:p>
                </w:txbxContent>
              </v:textbox>
            </v:shape>
            <v:shape id="_x0000_s1964" o:spid="_x0000_s1964" o:spt="202" type="#_x0000_t202" style="position:absolute;left:2759;top:7949;height:170;width:105;" filled="f" stroked="f" coordsize="21600,21600">
              <v:path/>
              <v:fill on="f" focussize="0,0"/>
              <v:stroke on="f" joinstyle="miter"/>
              <v:imagedata o:title=""/>
              <o:lock v:ext="edit"/>
              <v:textbox inset="0mm,0mm,0mm,0mm">
                <w:txbxContent>
                  <w:p w14:paraId="3BD8B53A">
                    <w:pPr>
                      <w:spacing w:before="0" w:line="169" w:lineRule="exact"/>
                      <w:ind w:left="0" w:right="0" w:firstLine="0"/>
                      <w:jc w:val="left"/>
                      <w:rPr>
                        <w:sz w:val="17"/>
                      </w:rPr>
                    </w:pPr>
                    <w:r>
                      <w:rPr>
                        <w:w w:val="99"/>
                        <w:sz w:val="17"/>
                      </w:rPr>
                      <w:t>S</w:t>
                    </w:r>
                  </w:p>
                </w:txbxContent>
              </v:textbox>
            </v:shape>
            <v:shape id="_x0000_s1965" o:spid="_x0000_s1965" o:spt="202" type="#_x0000_t202" style="position:absolute;left:3154;top:7765;height:170;width:190;" filled="f" stroked="f" coordsize="21600,21600">
              <v:path/>
              <v:fill on="f" focussize="0,0"/>
              <v:stroke on="f" joinstyle="miter"/>
              <v:imagedata o:title=""/>
              <o:lock v:ext="edit"/>
              <v:textbox inset="0mm,0mm,0mm,0mm">
                <w:txbxContent>
                  <w:p w14:paraId="4EC90EDF">
                    <w:pPr>
                      <w:spacing w:before="0" w:line="169" w:lineRule="exact"/>
                      <w:ind w:left="0" w:right="0" w:firstLine="0"/>
                      <w:jc w:val="left"/>
                      <w:rPr>
                        <w:sz w:val="17"/>
                      </w:rPr>
                    </w:pPr>
                    <w:r>
                      <w:rPr>
                        <w:sz w:val="17"/>
                      </w:rPr>
                      <w:t>SE</w:t>
                    </w:r>
                  </w:p>
                </w:txbxContent>
              </v:textbox>
            </v:shape>
            <v:shape id="_x0000_s1966" o:spid="_x0000_s1966" o:spt="202" type="#_x0000_t202" style="position:absolute;left:2279;top:7765;height:170;width:190;" filled="f" stroked="f" coordsize="21600,21600">
              <v:path/>
              <v:fill on="f" focussize="0,0"/>
              <v:stroke on="f" joinstyle="miter"/>
              <v:imagedata o:title=""/>
              <o:lock v:ext="edit"/>
              <v:textbox inset="0mm,0mm,0mm,0mm">
                <w:txbxContent>
                  <w:p w14:paraId="3279CCB0">
                    <w:pPr>
                      <w:spacing w:before="0" w:line="169" w:lineRule="exact"/>
                      <w:ind w:left="0" w:right="0" w:firstLine="0"/>
                      <w:jc w:val="left"/>
                      <w:rPr>
                        <w:sz w:val="17"/>
                      </w:rPr>
                    </w:pPr>
                    <w:r>
                      <w:rPr>
                        <w:sz w:val="17"/>
                      </w:rPr>
                      <w:t>SW</w:t>
                    </w:r>
                  </w:p>
                </w:txbxContent>
              </v:textbox>
            </v:shape>
            <v:shape id="_x0000_s1967" o:spid="_x0000_s1967" o:spt="202" type="#_x0000_t202" style="position:absolute;left:3338;top:7328;height:170;width:105;" filled="f" stroked="f" coordsize="21600,21600">
              <v:path/>
              <v:fill on="f" focussize="0,0"/>
              <v:stroke on="f" joinstyle="miter"/>
              <v:imagedata o:title=""/>
              <o:lock v:ext="edit"/>
              <v:textbox inset="0mm,0mm,0mm,0mm">
                <w:txbxContent>
                  <w:p w14:paraId="18355374">
                    <w:pPr>
                      <w:spacing w:before="0" w:line="169" w:lineRule="exact"/>
                      <w:ind w:left="0" w:right="0" w:firstLine="0"/>
                      <w:jc w:val="left"/>
                      <w:rPr>
                        <w:sz w:val="17"/>
                      </w:rPr>
                    </w:pPr>
                    <w:r>
                      <w:rPr>
                        <w:w w:val="99"/>
                        <w:sz w:val="17"/>
                      </w:rPr>
                      <w:t>E</w:t>
                    </w:r>
                  </w:p>
                </w:txbxContent>
              </v:textbox>
            </v:shape>
            <v:shape id="_x0000_s1968" o:spid="_x0000_s1968" o:spt="202" type="#_x0000_t202" style="position:absolute;left:2180;top:7328;height:170;width:105;" filled="f" stroked="f" coordsize="21600,21600">
              <v:path/>
              <v:fill on="f" focussize="0,0"/>
              <v:stroke on="f" joinstyle="miter"/>
              <v:imagedata o:title=""/>
              <o:lock v:ext="edit"/>
              <v:textbox inset="0mm,0mm,0mm,0mm">
                <w:txbxContent>
                  <w:p w14:paraId="71A17B24">
                    <w:pPr>
                      <w:spacing w:before="0" w:line="169" w:lineRule="exact"/>
                      <w:ind w:left="0" w:right="0" w:firstLine="0"/>
                      <w:jc w:val="left"/>
                      <w:rPr>
                        <w:sz w:val="17"/>
                      </w:rPr>
                    </w:pPr>
                    <w:r>
                      <w:rPr>
                        <w:w w:val="99"/>
                        <w:sz w:val="17"/>
                      </w:rPr>
                      <w:t>W</w:t>
                    </w:r>
                  </w:p>
                </w:txbxContent>
              </v:textbox>
            </v:shape>
            <v:shape id="_x0000_s1969" o:spid="_x0000_s1969" o:spt="202" type="#_x0000_t202" style="position:absolute;left:3154;top:6876;height:170;width:190;" filled="f" stroked="f" coordsize="21600,21600">
              <v:path/>
              <v:fill on="f" focussize="0,0"/>
              <v:stroke on="f" joinstyle="miter"/>
              <v:imagedata o:title=""/>
              <o:lock v:ext="edit"/>
              <v:textbox inset="0mm,0mm,0mm,0mm">
                <w:txbxContent>
                  <w:p w14:paraId="2FFDC5D7">
                    <w:pPr>
                      <w:spacing w:before="0" w:line="169" w:lineRule="exact"/>
                      <w:ind w:left="0" w:right="0" w:firstLine="0"/>
                      <w:jc w:val="left"/>
                      <w:rPr>
                        <w:sz w:val="17"/>
                      </w:rPr>
                    </w:pPr>
                    <w:r>
                      <w:rPr>
                        <w:sz w:val="17"/>
                      </w:rPr>
                      <w:t>NE</w:t>
                    </w:r>
                  </w:p>
                </w:txbxContent>
              </v:textbox>
            </v:shape>
            <v:shape id="_x0000_s1970" o:spid="_x0000_s1970" o:spt="202" type="#_x0000_t202" style="position:absolute;left:2279;top:6876;height:170;width:190;" filled="f" stroked="f" coordsize="21600,21600">
              <v:path/>
              <v:fill on="f" focussize="0,0"/>
              <v:stroke on="f" joinstyle="miter"/>
              <v:imagedata o:title=""/>
              <o:lock v:ext="edit"/>
              <v:textbox inset="0mm,0mm,0mm,0mm">
                <w:txbxContent>
                  <w:p w14:paraId="5746AF47">
                    <w:pPr>
                      <w:spacing w:before="0" w:line="169" w:lineRule="exact"/>
                      <w:ind w:left="0" w:right="0" w:firstLine="0"/>
                      <w:jc w:val="left"/>
                      <w:rPr>
                        <w:sz w:val="17"/>
                      </w:rPr>
                    </w:pPr>
                    <w:r>
                      <w:rPr>
                        <w:sz w:val="17"/>
                      </w:rPr>
                      <w:t>NW</w:t>
                    </w:r>
                  </w:p>
                </w:txbxContent>
              </v:textbox>
            </v:shape>
            <v:shape id="_x0000_s1971" o:spid="_x0000_s1971" o:spt="202" type="#_x0000_t202" style="position:absolute;left:2759;top:6692;height:170;width:105;" filled="f" stroked="f" coordsize="21600,21600">
              <v:path/>
              <v:fill on="f" focussize="0,0"/>
              <v:stroke on="f" joinstyle="miter"/>
              <v:imagedata o:title=""/>
              <o:lock v:ext="edit"/>
              <v:textbox inset="0mm,0mm,0mm,0mm">
                <w:txbxContent>
                  <w:p w14:paraId="1ED86E45">
                    <w:pPr>
                      <w:spacing w:before="0" w:line="169" w:lineRule="exact"/>
                      <w:ind w:left="0" w:right="0" w:firstLine="0"/>
                      <w:jc w:val="left"/>
                      <w:rPr>
                        <w:sz w:val="17"/>
                      </w:rPr>
                    </w:pPr>
                    <w:r>
                      <w:rPr>
                        <w:w w:val="99"/>
                        <w:sz w:val="17"/>
                      </w:rPr>
                      <w:t>N</w:t>
                    </w:r>
                  </w:p>
                </w:txbxContent>
              </v:textbox>
            </v:shape>
            <v:shape id="_x0000_s1972" o:spid="_x0000_s1972" o:spt="202" type="#_x0000_t202" style="position:absolute;left:345;top:8386;height:170;width:1207;" filled="f" stroked="f" coordsize="21600,21600">
              <v:path/>
              <v:fill on="f" focussize="0,0"/>
              <v:stroke on="f" joinstyle="miter"/>
              <v:imagedata o:title=""/>
              <o:lock v:ext="edit"/>
              <v:textbox inset="0mm,0mm,0mm,0mm">
                <w:txbxContent>
                  <w:p w14:paraId="2141132D">
                    <w:pPr>
                      <w:spacing w:before="0" w:line="169" w:lineRule="exact"/>
                      <w:ind w:left="0" w:right="0" w:firstLine="0"/>
                      <w:jc w:val="left"/>
                      <w:rPr>
                        <w:sz w:val="17"/>
                      </w:rPr>
                    </w:pPr>
                    <w:r>
                      <w:rPr>
                        <w:sz w:val="17"/>
                      </w:rPr>
                      <w:t>全年,静风0.09%</w:t>
                    </w:r>
                  </w:p>
                </w:txbxContent>
              </v:textbox>
            </v:shape>
            <v:shape id="_x0000_s1973" o:spid="_x0000_s1973" o:spt="202" type="#_x0000_t202" style="position:absolute;left:896;top:7949;height:170;width:105;" filled="f" stroked="f" coordsize="21600,21600">
              <v:path/>
              <v:fill on="f" focussize="0,0"/>
              <v:stroke on="f" joinstyle="miter"/>
              <v:imagedata o:title=""/>
              <o:lock v:ext="edit"/>
              <v:textbox inset="0mm,0mm,0mm,0mm">
                <w:txbxContent>
                  <w:p w14:paraId="16564E97">
                    <w:pPr>
                      <w:spacing w:before="0" w:line="169" w:lineRule="exact"/>
                      <w:ind w:left="0" w:right="0" w:firstLine="0"/>
                      <w:jc w:val="left"/>
                      <w:rPr>
                        <w:sz w:val="17"/>
                      </w:rPr>
                    </w:pPr>
                    <w:r>
                      <w:rPr>
                        <w:w w:val="99"/>
                        <w:sz w:val="17"/>
                      </w:rPr>
                      <w:t>S</w:t>
                    </w:r>
                  </w:p>
                </w:txbxContent>
              </v:textbox>
            </v:shape>
            <v:shape id="_x0000_s1974" o:spid="_x0000_s1974" o:spt="202" type="#_x0000_t202" style="position:absolute;left:1291;top:7765;height:170;width:190;" filled="f" stroked="f" coordsize="21600,21600">
              <v:path/>
              <v:fill on="f" focussize="0,0"/>
              <v:stroke on="f" joinstyle="miter"/>
              <v:imagedata o:title=""/>
              <o:lock v:ext="edit"/>
              <v:textbox inset="0mm,0mm,0mm,0mm">
                <w:txbxContent>
                  <w:p w14:paraId="0C192D11">
                    <w:pPr>
                      <w:spacing w:before="0" w:line="169" w:lineRule="exact"/>
                      <w:ind w:left="0" w:right="0" w:firstLine="0"/>
                      <w:jc w:val="left"/>
                      <w:rPr>
                        <w:sz w:val="17"/>
                      </w:rPr>
                    </w:pPr>
                    <w:r>
                      <w:rPr>
                        <w:sz w:val="17"/>
                      </w:rPr>
                      <w:t>SE</w:t>
                    </w:r>
                  </w:p>
                </w:txbxContent>
              </v:textbox>
            </v:shape>
            <v:shape id="_x0000_s1975" o:spid="_x0000_s1975" o:spt="202" type="#_x0000_t202" style="position:absolute;left:416;top:7765;height:170;width:190;" filled="f" stroked="f" coordsize="21600,21600">
              <v:path/>
              <v:fill on="f" focussize="0,0"/>
              <v:stroke on="f" joinstyle="miter"/>
              <v:imagedata o:title=""/>
              <o:lock v:ext="edit"/>
              <v:textbox inset="0mm,0mm,0mm,0mm">
                <w:txbxContent>
                  <w:p w14:paraId="3C6D7AFF">
                    <w:pPr>
                      <w:spacing w:before="0" w:line="169" w:lineRule="exact"/>
                      <w:ind w:left="0" w:right="0" w:firstLine="0"/>
                      <w:jc w:val="left"/>
                      <w:rPr>
                        <w:sz w:val="17"/>
                      </w:rPr>
                    </w:pPr>
                    <w:r>
                      <w:rPr>
                        <w:sz w:val="17"/>
                      </w:rPr>
                      <w:t>SW</w:t>
                    </w:r>
                  </w:p>
                </w:txbxContent>
              </v:textbox>
            </v:shape>
            <v:shape id="_x0000_s1976" o:spid="_x0000_s1976" o:spt="202" type="#_x0000_t202" style="position:absolute;left:1474;top:7328;height:170;width:105;" filled="f" stroked="f" coordsize="21600,21600">
              <v:path/>
              <v:fill on="f" focussize="0,0"/>
              <v:stroke on="f" joinstyle="miter"/>
              <v:imagedata o:title=""/>
              <o:lock v:ext="edit"/>
              <v:textbox inset="0mm,0mm,0mm,0mm">
                <w:txbxContent>
                  <w:p w14:paraId="734ADEED">
                    <w:pPr>
                      <w:spacing w:before="0" w:line="169" w:lineRule="exact"/>
                      <w:ind w:left="0" w:right="0" w:firstLine="0"/>
                      <w:jc w:val="left"/>
                      <w:rPr>
                        <w:sz w:val="17"/>
                      </w:rPr>
                    </w:pPr>
                    <w:r>
                      <w:rPr>
                        <w:w w:val="99"/>
                        <w:sz w:val="17"/>
                      </w:rPr>
                      <w:t>E</w:t>
                    </w:r>
                  </w:p>
                </w:txbxContent>
              </v:textbox>
            </v:shape>
            <v:shape id="_x0000_s1977" o:spid="_x0000_s1977" o:spt="202" type="#_x0000_t202" style="position:absolute;left:317;top:7328;height:170;width:105;" filled="f" stroked="f" coordsize="21600,21600">
              <v:path/>
              <v:fill on="f" focussize="0,0"/>
              <v:stroke on="f" joinstyle="miter"/>
              <v:imagedata o:title=""/>
              <o:lock v:ext="edit"/>
              <v:textbox inset="0mm,0mm,0mm,0mm">
                <w:txbxContent>
                  <w:p w14:paraId="5438C65F">
                    <w:pPr>
                      <w:spacing w:before="0" w:line="169" w:lineRule="exact"/>
                      <w:ind w:left="0" w:right="0" w:firstLine="0"/>
                      <w:jc w:val="left"/>
                      <w:rPr>
                        <w:sz w:val="17"/>
                      </w:rPr>
                    </w:pPr>
                    <w:r>
                      <w:rPr>
                        <w:w w:val="99"/>
                        <w:sz w:val="17"/>
                      </w:rPr>
                      <w:t>W</w:t>
                    </w:r>
                  </w:p>
                </w:txbxContent>
              </v:textbox>
            </v:shape>
            <v:shape id="_x0000_s1978" o:spid="_x0000_s1978" o:spt="202" type="#_x0000_t202" style="position:absolute;left:1291;top:6876;height:170;width:190;" filled="f" stroked="f" coordsize="21600,21600">
              <v:path/>
              <v:fill on="f" focussize="0,0"/>
              <v:stroke on="f" joinstyle="miter"/>
              <v:imagedata o:title=""/>
              <o:lock v:ext="edit"/>
              <v:textbox inset="0mm,0mm,0mm,0mm">
                <w:txbxContent>
                  <w:p w14:paraId="017FB930">
                    <w:pPr>
                      <w:spacing w:before="0" w:line="169" w:lineRule="exact"/>
                      <w:ind w:left="0" w:right="0" w:firstLine="0"/>
                      <w:jc w:val="left"/>
                      <w:rPr>
                        <w:sz w:val="17"/>
                      </w:rPr>
                    </w:pPr>
                    <w:r>
                      <w:rPr>
                        <w:sz w:val="17"/>
                      </w:rPr>
                      <w:t>NE</w:t>
                    </w:r>
                  </w:p>
                </w:txbxContent>
              </v:textbox>
            </v:shape>
            <v:shape id="_x0000_s1979" o:spid="_x0000_s1979" o:spt="202" type="#_x0000_t202" style="position:absolute;left:416;top:6876;height:170;width:190;" filled="f" stroked="f" coordsize="21600,21600">
              <v:path/>
              <v:fill on="f" focussize="0,0"/>
              <v:stroke on="f" joinstyle="miter"/>
              <v:imagedata o:title=""/>
              <o:lock v:ext="edit"/>
              <v:textbox inset="0mm,0mm,0mm,0mm">
                <w:txbxContent>
                  <w:p w14:paraId="3C9C13E7">
                    <w:pPr>
                      <w:spacing w:before="0" w:line="169" w:lineRule="exact"/>
                      <w:ind w:left="0" w:right="0" w:firstLine="0"/>
                      <w:jc w:val="left"/>
                      <w:rPr>
                        <w:sz w:val="17"/>
                      </w:rPr>
                    </w:pPr>
                    <w:r>
                      <w:rPr>
                        <w:sz w:val="17"/>
                      </w:rPr>
                      <w:t>NW</w:t>
                    </w:r>
                  </w:p>
                </w:txbxContent>
              </v:textbox>
            </v:shape>
            <v:shape id="_x0000_s1980" o:spid="_x0000_s1980" o:spt="202" type="#_x0000_t202" style="position:absolute;left:896;top:6692;height:170;width:105;" filled="f" stroked="f" coordsize="21600,21600">
              <v:path/>
              <v:fill on="f" focussize="0,0"/>
              <v:stroke on="f" joinstyle="miter"/>
              <v:imagedata o:title=""/>
              <o:lock v:ext="edit"/>
              <v:textbox inset="0mm,0mm,0mm,0mm">
                <w:txbxContent>
                  <w:p w14:paraId="6CE81D58">
                    <w:pPr>
                      <w:spacing w:before="0" w:line="169" w:lineRule="exact"/>
                      <w:ind w:left="0" w:right="0" w:firstLine="0"/>
                      <w:jc w:val="left"/>
                      <w:rPr>
                        <w:sz w:val="17"/>
                      </w:rPr>
                    </w:pPr>
                    <w:r>
                      <w:rPr>
                        <w:w w:val="99"/>
                        <w:sz w:val="17"/>
                      </w:rPr>
                      <w:t>N</w:t>
                    </w:r>
                  </w:p>
                </w:txbxContent>
              </v:textbox>
            </v:shape>
            <v:shape id="_x0000_s1981" o:spid="_x0000_s1981" o:spt="202" type="#_x0000_t202" style="position:absolute;left:5864;top:6241;height:170;width:1376;" filled="f" stroked="f" coordsize="21600,21600">
              <v:path/>
              <v:fill on="f" focussize="0,0"/>
              <v:stroke on="f" joinstyle="miter"/>
              <v:imagedata o:title=""/>
              <o:lock v:ext="edit"/>
              <v:textbox inset="0mm,0mm,0mm,0mm">
                <w:txbxContent>
                  <w:p w14:paraId="151E7446">
                    <w:pPr>
                      <w:spacing w:before="0" w:line="169" w:lineRule="exact"/>
                      <w:ind w:left="0" w:right="0" w:firstLine="0"/>
                      <w:jc w:val="left"/>
                      <w:rPr>
                        <w:sz w:val="17"/>
                      </w:rPr>
                    </w:pPr>
                    <w:r>
                      <w:rPr>
                        <w:sz w:val="17"/>
                      </w:rPr>
                      <w:t>十二月,静风0.27%</w:t>
                    </w:r>
                  </w:p>
                </w:txbxContent>
              </v:textbox>
            </v:shape>
            <v:shape id="_x0000_s1982" o:spid="_x0000_s1982" o:spt="202" type="#_x0000_t202" style="position:absolute;left:6499;top:5803;height:170;width:105;" filled="f" stroked="f" coordsize="21600,21600">
              <v:path/>
              <v:fill on="f" focussize="0,0"/>
              <v:stroke on="f" joinstyle="miter"/>
              <v:imagedata o:title=""/>
              <o:lock v:ext="edit"/>
              <v:textbox inset="0mm,0mm,0mm,0mm">
                <w:txbxContent>
                  <w:p w14:paraId="6C3E3822">
                    <w:pPr>
                      <w:spacing w:before="0" w:line="169" w:lineRule="exact"/>
                      <w:ind w:left="0" w:right="0" w:firstLine="0"/>
                      <w:jc w:val="left"/>
                      <w:rPr>
                        <w:sz w:val="17"/>
                      </w:rPr>
                    </w:pPr>
                    <w:r>
                      <w:rPr>
                        <w:w w:val="99"/>
                        <w:sz w:val="17"/>
                      </w:rPr>
                      <w:t>S</w:t>
                    </w:r>
                  </w:p>
                </w:txbxContent>
              </v:textbox>
            </v:shape>
            <v:shape id="_x0000_s1983" o:spid="_x0000_s1983" o:spt="202" type="#_x0000_t202" style="position:absolute;left:6895;top:5620;height:170;width:190;" filled="f" stroked="f" coordsize="21600,21600">
              <v:path/>
              <v:fill on="f" focussize="0,0"/>
              <v:stroke on="f" joinstyle="miter"/>
              <v:imagedata o:title=""/>
              <o:lock v:ext="edit"/>
              <v:textbox inset="0mm,0mm,0mm,0mm">
                <w:txbxContent>
                  <w:p w14:paraId="284B165E">
                    <w:pPr>
                      <w:spacing w:before="0" w:line="169" w:lineRule="exact"/>
                      <w:ind w:left="0" w:right="0" w:firstLine="0"/>
                      <w:jc w:val="left"/>
                      <w:rPr>
                        <w:sz w:val="17"/>
                      </w:rPr>
                    </w:pPr>
                    <w:r>
                      <w:rPr>
                        <w:sz w:val="17"/>
                      </w:rPr>
                      <w:t>SE</w:t>
                    </w:r>
                  </w:p>
                </w:txbxContent>
              </v:textbox>
            </v:shape>
            <v:shape id="_x0000_s1984" o:spid="_x0000_s1984" o:spt="202" type="#_x0000_t202" style="position:absolute;left:6019;top:5620;height:170;width:190;" filled="f" stroked="f" coordsize="21600,21600">
              <v:path/>
              <v:fill on="f" focussize="0,0"/>
              <v:stroke on="f" joinstyle="miter"/>
              <v:imagedata o:title=""/>
              <o:lock v:ext="edit"/>
              <v:textbox inset="0mm,0mm,0mm,0mm">
                <w:txbxContent>
                  <w:p w14:paraId="518FD65B">
                    <w:pPr>
                      <w:spacing w:before="0" w:line="169" w:lineRule="exact"/>
                      <w:ind w:left="0" w:right="0" w:firstLine="0"/>
                      <w:jc w:val="left"/>
                      <w:rPr>
                        <w:sz w:val="17"/>
                      </w:rPr>
                    </w:pPr>
                    <w:r>
                      <w:rPr>
                        <w:sz w:val="17"/>
                      </w:rPr>
                      <w:t>SW</w:t>
                    </w:r>
                  </w:p>
                </w:txbxContent>
              </v:textbox>
            </v:shape>
            <v:shape id="_x0000_s1985" o:spid="_x0000_s1985" o:spt="202" type="#_x0000_t202" style="position:absolute;left:7078;top:5182;height:170;width:105;" filled="f" stroked="f" coordsize="21600,21600">
              <v:path/>
              <v:fill on="f" focussize="0,0"/>
              <v:stroke on="f" joinstyle="miter"/>
              <v:imagedata o:title=""/>
              <o:lock v:ext="edit"/>
              <v:textbox inset="0mm,0mm,0mm,0mm">
                <w:txbxContent>
                  <w:p w14:paraId="5874BB2B">
                    <w:pPr>
                      <w:spacing w:before="0" w:line="169" w:lineRule="exact"/>
                      <w:ind w:left="0" w:right="0" w:firstLine="0"/>
                      <w:jc w:val="left"/>
                      <w:rPr>
                        <w:sz w:val="17"/>
                      </w:rPr>
                    </w:pPr>
                    <w:r>
                      <w:rPr>
                        <w:w w:val="99"/>
                        <w:sz w:val="17"/>
                      </w:rPr>
                      <w:t>E</w:t>
                    </w:r>
                  </w:p>
                </w:txbxContent>
              </v:textbox>
            </v:shape>
            <v:shape id="_x0000_s1986" o:spid="_x0000_s1986" o:spt="202" type="#_x0000_t202" style="position:absolute;left:5921;top:5182;height:170;width:105;" filled="f" stroked="f" coordsize="21600,21600">
              <v:path/>
              <v:fill on="f" focussize="0,0"/>
              <v:stroke on="f" joinstyle="miter"/>
              <v:imagedata o:title=""/>
              <o:lock v:ext="edit"/>
              <v:textbox inset="0mm,0mm,0mm,0mm">
                <w:txbxContent>
                  <w:p w14:paraId="59D296A6">
                    <w:pPr>
                      <w:spacing w:before="0" w:line="169" w:lineRule="exact"/>
                      <w:ind w:left="0" w:right="0" w:firstLine="0"/>
                      <w:jc w:val="left"/>
                      <w:rPr>
                        <w:sz w:val="17"/>
                      </w:rPr>
                    </w:pPr>
                    <w:r>
                      <w:rPr>
                        <w:w w:val="99"/>
                        <w:sz w:val="17"/>
                      </w:rPr>
                      <w:t>W</w:t>
                    </w:r>
                  </w:p>
                </w:txbxContent>
              </v:textbox>
            </v:shape>
            <v:shape id="_x0000_s1987" o:spid="_x0000_s1987" o:spt="202" type="#_x0000_t202" style="position:absolute;left:6895;top:4730;height:170;width:190;" filled="f" stroked="f" coordsize="21600,21600">
              <v:path/>
              <v:fill on="f" focussize="0,0"/>
              <v:stroke on="f" joinstyle="miter"/>
              <v:imagedata o:title=""/>
              <o:lock v:ext="edit"/>
              <v:textbox inset="0mm,0mm,0mm,0mm">
                <w:txbxContent>
                  <w:p w14:paraId="141E9199">
                    <w:pPr>
                      <w:spacing w:before="0" w:line="169" w:lineRule="exact"/>
                      <w:ind w:left="0" w:right="0" w:firstLine="0"/>
                      <w:jc w:val="left"/>
                      <w:rPr>
                        <w:sz w:val="17"/>
                      </w:rPr>
                    </w:pPr>
                    <w:r>
                      <w:rPr>
                        <w:sz w:val="17"/>
                      </w:rPr>
                      <w:t>NE</w:t>
                    </w:r>
                  </w:p>
                </w:txbxContent>
              </v:textbox>
            </v:shape>
            <v:shape id="_x0000_s1988" o:spid="_x0000_s1988" o:spt="202" type="#_x0000_t202" style="position:absolute;left:6019;top:4730;height:170;width:190;" filled="f" stroked="f" coordsize="21600,21600">
              <v:path/>
              <v:fill on="f" focussize="0,0"/>
              <v:stroke on="f" joinstyle="miter"/>
              <v:imagedata o:title=""/>
              <o:lock v:ext="edit"/>
              <v:textbox inset="0mm,0mm,0mm,0mm">
                <w:txbxContent>
                  <w:p w14:paraId="4EF0AD7A">
                    <w:pPr>
                      <w:spacing w:before="0" w:line="169" w:lineRule="exact"/>
                      <w:ind w:left="0" w:right="0" w:firstLine="0"/>
                      <w:jc w:val="left"/>
                      <w:rPr>
                        <w:sz w:val="17"/>
                      </w:rPr>
                    </w:pPr>
                    <w:r>
                      <w:rPr>
                        <w:sz w:val="17"/>
                      </w:rPr>
                      <w:t>NW</w:t>
                    </w:r>
                  </w:p>
                </w:txbxContent>
              </v:textbox>
            </v:shape>
            <v:shape id="_x0000_s1989" o:spid="_x0000_s1989" o:spt="202" type="#_x0000_t202" style="position:absolute;left:6499;top:4547;height:170;width:105;" filled="f" stroked="f" coordsize="21600,21600">
              <v:path/>
              <v:fill on="f" focussize="0,0"/>
              <v:stroke on="f" joinstyle="miter"/>
              <v:imagedata o:title=""/>
              <o:lock v:ext="edit"/>
              <v:textbox inset="0mm,0mm,0mm,0mm">
                <w:txbxContent>
                  <w:p w14:paraId="57ED5331">
                    <w:pPr>
                      <w:spacing w:before="0" w:line="169" w:lineRule="exact"/>
                      <w:ind w:left="0" w:right="0" w:firstLine="0"/>
                      <w:jc w:val="left"/>
                      <w:rPr>
                        <w:sz w:val="17"/>
                      </w:rPr>
                    </w:pPr>
                    <w:r>
                      <w:rPr>
                        <w:w w:val="99"/>
                        <w:sz w:val="17"/>
                      </w:rPr>
                      <w:t>N</w:t>
                    </w:r>
                  </w:p>
                </w:txbxContent>
              </v:textbox>
            </v:shape>
            <v:shape id="_x0000_s1990" o:spid="_x0000_s1990" o:spt="202" type="#_x0000_t202" style="position:absolute;left:3987;top:6241;height:170;width:1376;" filled="f" stroked="f" coordsize="21600,21600">
              <v:path/>
              <v:fill on="f" focussize="0,0"/>
              <v:stroke on="f" joinstyle="miter"/>
              <v:imagedata o:title=""/>
              <o:lock v:ext="edit"/>
              <v:textbox inset="0mm,0mm,0mm,0mm">
                <w:txbxContent>
                  <w:p w14:paraId="21893717">
                    <w:pPr>
                      <w:spacing w:before="0" w:line="169" w:lineRule="exact"/>
                      <w:ind w:left="0" w:right="0" w:firstLine="0"/>
                      <w:jc w:val="left"/>
                      <w:rPr>
                        <w:sz w:val="17"/>
                      </w:rPr>
                    </w:pPr>
                    <w:r>
                      <w:rPr>
                        <w:sz w:val="17"/>
                      </w:rPr>
                      <w:t>十一月,静风0.28%</w:t>
                    </w:r>
                  </w:p>
                </w:txbxContent>
              </v:textbox>
            </v:shape>
            <v:shape id="_x0000_s1991" o:spid="_x0000_s1991" o:spt="202" type="#_x0000_t202" style="position:absolute;left:4622;top:5803;height:170;width:105;" filled="f" stroked="f" coordsize="21600,21600">
              <v:path/>
              <v:fill on="f" focussize="0,0"/>
              <v:stroke on="f" joinstyle="miter"/>
              <v:imagedata o:title=""/>
              <o:lock v:ext="edit"/>
              <v:textbox inset="0mm,0mm,0mm,0mm">
                <w:txbxContent>
                  <w:p w14:paraId="7459B3D6">
                    <w:pPr>
                      <w:spacing w:before="0" w:line="169" w:lineRule="exact"/>
                      <w:ind w:left="0" w:right="0" w:firstLine="0"/>
                      <w:jc w:val="left"/>
                      <w:rPr>
                        <w:sz w:val="17"/>
                      </w:rPr>
                    </w:pPr>
                    <w:r>
                      <w:rPr>
                        <w:w w:val="99"/>
                        <w:sz w:val="17"/>
                      </w:rPr>
                      <w:t>S</w:t>
                    </w:r>
                  </w:p>
                </w:txbxContent>
              </v:textbox>
            </v:shape>
            <v:shape id="_x0000_s1992" o:spid="_x0000_s1992" o:spt="202" type="#_x0000_t202" style="position:absolute;left:5017;top:5620;height:170;width:190;" filled="f" stroked="f" coordsize="21600,21600">
              <v:path/>
              <v:fill on="f" focussize="0,0"/>
              <v:stroke on="f" joinstyle="miter"/>
              <v:imagedata o:title=""/>
              <o:lock v:ext="edit"/>
              <v:textbox inset="0mm,0mm,0mm,0mm">
                <w:txbxContent>
                  <w:p w14:paraId="4F9CF039">
                    <w:pPr>
                      <w:spacing w:before="0" w:line="169" w:lineRule="exact"/>
                      <w:ind w:left="0" w:right="0" w:firstLine="0"/>
                      <w:jc w:val="left"/>
                      <w:rPr>
                        <w:sz w:val="17"/>
                      </w:rPr>
                    </w:pPr>
                    <w:r>
                      <w:rPr>
                        <w:sz w:val="17"/>
                      </w:rPr>
                      <w:t>SE</w:t>
                    </w:r>
                  </w:p>
                </w:txbxContent>
              </v:textbox>
            </v:shape>
            <v:shape id="_x0000_s1993" o:spid="_x0000_s1993" o:spt="202" type="#_x0000_t202" style="position:absolute;left:4142;top:5620;height:170;width:190;" filled="f" stroked="f" coordsize="21600,21600">
              <v:path/>
              <v:fill on="f" focussize="0,0"/>
              <v:stroke on="f" joinstyle="miter"/>
              <v:imagedata o:title=""/>
              <o:lock v:ext="edit"/>
              <v:textbox inset="0mm,0mm,0mm,0mm">
                <w:txbxContent>
                  <w:p w14:paraId="0561E787">
                    <w:pPr>
                      <w:spacing w:before="0" w:line="169" w:lineRule="exact"/>
                      <w:ind w:left="0" w:right="0" w:firstLine="0"/>
                      <w:jc w:val="left"/>
                      <w:rPr>
                        <w:sz w:val="17"/>
                      </w:rPr>
                    </w:pPr>
                    <w:r>
                      <w:rPr>
                        <w:sz w:val="17"/>
                      </w:rPr>
                      <w:t>SW</w:t>
                    </w:r>
                  </w:p>
                </w:txbxContent>
              </v:textbox>
            </v:shape>
            <v:shape id="_x0000_s1994" o:spid="_x0000_s1994" o:spt="202" type="#_x0000_t202" style="position:absolute;left:5201;top:5182;height:170;width:105;" filled="f" stroked="f" coordsize="21600,21600">
              <v:path/>
              <v:fill on="f" focussize="0,0"/>
              <v:stroke on="f" joinstyle="miter"/>
              <v:imagedata o:title=""/>
              <o:lock v:ext="edit"/>
              <v:textbox inset="0mm,0mm,0mm,0mm">
                <w:txbxContent>
                  <w:p w14:paraId="694558B8">
                    <w:pPr>
                      <w:spacing w:before="0" w:line="169" w:lineRule="exact"/>
                      <w:ind w:left="0" w:right="0" w:firstLine="0"/>
                      <w:jc w:val="left"/>
                      <w:rPr>
                        <w:sz w:val="17"/>
                      </w:rPr>
                    </w:pPr>
                    <w:r>
                      <w:rPr>
                        <w:w w:val="99"/>
                        <w:sz w:val="17"/>
                      </w:rPr>
                      <w:t>E</w:t>
                    </w:r>
                  </w:p>
                </w:txbxContent>
              </v:textbox>
            </v:shape>
            <v:shape id="_x0000_s1995" o:spid="_x0000_s1995" o:spt="202" type="#_x0000_t202" style="position:absolute;left:4043;top:5182;height:170;width:105;" filled="f" stroked="f" coordsize="21600,21600">
              <v:path/>
              <v:fill on="f" focussize="0,0"/>
              <v:stroke on="f" joinstyle="miter"/>
              <v:imagedata o:title=""/>
              <o:lock v:ext="edit"/>
              <v:textbox inset="0mm,0mm,0mm,0mm">
                <w:txbxContent>
                  <w:p w14:paraId="5E8F4043">
                    <w:pPr>
                      <w:spacing w:before="0" w:line="169" w:lineRule="exact"/>
                      <w:ind w:left="0" w:right="0" w:firstLine="0"/>
                      <w:jc w:val="left"/>
                      <w:rPr>
                        <w:sz w:val="17"/>
                      </w:rPr>
                    </w:pPr>
                    <w:r>
                      <w:rPr>
                        <w:w w:val="99"/>
                        <w:sz w:val="17"/>
                      </w:rPr>
                      <w:t>W</w:t>
                    </w:r>
                  </w:p>
                </w:txbxContent>
              </v:textbox>
            </v:shape>
            <v:shape id="_x0000_s1996" o:spid="_x0000_s1996" o:spt="202" type="#_x0000_t202" style="position:absolute;left:5017;top:4730;height:170;width:190;" filled="f" stroked="f" coordsize="21600,21600">
              <v:path/>
              <v:fill on="f" focussize="0,0"/>
              <v:stroke on="f" joinstyle="miter"/>
              <v:imagedata o:title=""/>
              <o:lock v:ext="edit"/>
              <v:textbox inset="0mm,0mm,0mm,0mm">
                <w:txbxContent>
                  <w:p w14:paraId="0FFECC33">
                    <w:pPr>
                      <w:spacing w:before="0" w:line="169" w:lineRule="exact"/>
                      <w:ind w:left="0" w:right="0" w:firstLine="0"/>
                      <w:jc w:val="left"/>
                      <w:rPr>
                        <w:sz w:val="17"/>
                      </w:rPr>
                    </w:pPr>
                    <w:r>
                      <w:rPr>
                        <w:sz w:val="17"/>
                      </w:rPr>
                      <w:t>NE</w:t>
                    </w:r>
                  </w:p>
                </w:txbxContent>
              </v:textbox>
            </v:shape>
            <v:shape id="_x0000_s1997" o:spid="_x0000_s1997" o:spt="202" type="#_x0000_t202" style="position:absolute;left:4142;top:4730;height:170;width:190;" filled="f" stroked="f" coordsize="21600,21600">
              <v:path/>
              <v:fill on="f" focussize="0,0"/>
              <v:stroke on="f" joinstyle="miter"/>
              <v:imagedata o:title=""/>
              <o:lock v:ext="edit"/>
              <v:textbox inset="0mm,0mm,0mm,0mm">
                <w:txbxContent>
                  <w:p w14:paraId="1CAE5A98">
                    <w:pPr>
                      <w:spacing w:before="0" w:line="169" w:lineRule="exact"/>
                      <w:ind w:left="0" w:right="0" w:firstLine="0"/>
                      <w:jc w:val="left"/>
                      <w:rPr>
                        <w:sz w:val="17"/>
                      </w:rPr>
                    </w:pPr>
                    <w:r>
                      <w:rPr>
                        <w:sz w:val="17"/>
                      </w:rPr>
                      <w:t>NW</w:t>
                    </w:r>
                  </w:p>
                </w:txbxContent>
              </v:textbox>
            </v:shape>
            <v:shape id="_x0000_s1998" o:spid="_x0000_s1998" o:spt="202" type="#_x0000_t202" style="position:absolute;left:4622;top:4547;height:170;width:105;" filled="f" stroked="f" coordsize="21600,21600">
              <v:path/>
              <v:fill on="f" focussize="0,0"/>
              <v:stroke on="f" joinstyle="miter"/>
              <v:imagedata o:title=""/>
              <o:lock v:ext="edit"/>
              <v:textbox inset="0mm,0mm,0mm,0mm">
                <w:txbxContent>
                  <w:p w14:paraId="7F1C6003">
                    <w:pPr>
                      <w:spacing w:before="0" w:line="169" w:lineRule="exact"/>
                      <w:ind w:left="0" w:right="0" w:firstLine="0"/>
                      <w:jc w:val="left"/>
                      <w:rPr>
                        <w:sz w:val="17"/>
                      </w:rPr>
                    </w:pPr>
                    <w:r>
                      <w:rPr>
                        <w:w w:val="99"/>
                        <w:sz w:val="17"/>
                      </w:rPr>
                      <w:t>N</w:t>
                    </w:r>
                  </w:p>
                </w:txbxContent>
              </v:textbox>
            </v:shape>
            <v:shape id="_x0000_s1999" o:spid="_x0000_s1999" o:spt="202" type="#_x0000_t202" style="position:absolute;left:2208;top:6241;height:170;width:1207;" filled="f" stroked="f" coordsize="21600,21600">
              <v:path/>
              <v:fill on="f" focussize="0,0"/>
              <v:stroke on="f" joinstyle="miter"/>
              <v:imagedata o:title=""/>
              <o:lock v:ext="edit"/>
              <v:textbox inset="0mm,0mm,0mm,0mm">
                <w:txbxContent>
                  <w:p w14:paraId="1CD1907A">
                    <w:pPr>
                      <w:spacing w:before="0" w:line="169" w:lineRule="exact"/>
                      <w:ind w:left="0" w:right="0" w:firstLine="0"/>
                      <w:jc w:val="left"/>
                      <w:rPr>
                        <w:sz w:val="17"/>
                      </w:rPr>
                    </w:pPr>
                    <w:r>
                      <w:rPr>
                        <w:sz w:val="17"/>
                      </w:rPr>
                      <w:t>十月,静风0.00%</w:t>
                    </w:r>
                  </w:p>
                </w:txbxContent>
              </v:textbox>
            </v:shape>
            <v:shape id="_x0000_s2000" o:spid="_x0000_s2000" o:spt="202" type="#_x0000_t202" style="position:absolute;left:2759;top:5803;height:170;width:105;" filled="f" stroked="f" coordsize="21600,21600">
              <v:path/>
              <v:fill on="f" focussize="0,0"/>
              <v:stroke on="f" joinstyle="miter"/>
              <v:imagedata o:title=""/>
              <o:lock v:ext="edit"/>
              <v:textbox inset="0mm,0mm,0mm,0mm">
                <w:txbxContent>
                  <w:p w14:paraId="244052F7">
                    <w:pPr>
                      <w:spacing w:before="0" w:line="169" w:lineRule="exact"/>
                      <w:ind w:left="0" w:right="0" w:firstLine="0"/>
                      <w:jc w:val="left"/>
                      <w:rPr>
                        <w:sz w:val="17"/>
                      </w:rPr>
                    </w:pPr>
                    <w:r>
                      <w:rPr>
                        <w:w w:val="99"/>
                        <w:sz w:val="17"/>
                      </w:rPr>
                      <w:t>S</w:t>
                    </w:r>
                  </w:p>
                </w:txbxContent>
              </v:textbox>
            </v:shape>
            <v:shape id="_x0000_s2001" o:spid="_x0000_s2001" o:spt="202" type="#_x0000_t202" style="position:absolute;left:3154;top:5620;height:170;width:190;" filled="f" stroked="f" coordsize="21600,21600">
              <v:path/>
              <v:fill on="f" focussize="0,0"/>
              <v:stroke on="f" joinstyle="miter"/>
              <v:imagedata o:title=""/>
              <o:lock v:ext="edit"/>
              <v:textbox inset="0mm,0mm,0mm,0mm">
                <w:txbxContent>
                  <w:p w14:paraId="6BD8AB0C">
                    <w:pPr>
                      <w:spacing w:before="0" w:line="169" w:lineRule="exact"/>
                      <w:ind w:left="0" w:right="0" w:firstLine="0"/>
                      <w:jc w:val="left"/>
                      <w:rPr>
                        <w:sz w:val="17"/>
                      </w:rPr>
                    </w:pPr>
                    <w:r>
                      <w:rPr>
                        <w:sz w:val="17"/>
                      </w:rPr>
                      <w:t>SE</w:t>
                    </w:r>
                  </w:p>
                </w:txbxContent>
              </v:textbox>
            </v:shape>
            <v:shape id="_x0000_s2002" o:spid="_x0000_s2002" o:spt="202" type="#_x0000_t202" style="position:absolute;left:2279;top:5620;height:170;width:190;" filled="f" stroked="f" coordsize="21600,21600">
              <v:path/>
              <v:fill on="f" focussize="0,0"/>
              <v:stroke on="f" joinstyle="miter"/>
              <v:imagedata o:title=""/>
              <o:lock v:ext="edit"/>
              <v:textbox inset="0mm,0mm,0mm,0mm">
                <w:txbxContent>
                  <w:p w14:paraId="5B7C49EA">
                    <w:pPr>
                      <w:spacing w:before="0" w:line="169" w:lineRule="exact"/>
                      <w:ind w:left="0" w:right="0" w:firstLine="0"/>
                      <w:jc w:val="left"/>
                      <w:rPr>
                        <w:sz w:val="17"/>
                      </w:rPr>
                    </w:pPr>
                    <w:r>
                      <w:rPr>
                        <w:sz w:val="17"/>
                      </w:rPr>
                      <w:t>SW</w:t>
                    </w:r>
                  </w:p>
                </w:txbxContent>
              </v:textbox>
            </v:shape>
            <v:shape id="_x0000_s2003" o:spid="_x0000_s2003" o:spt="202" type="#_x0000_t202" style="position:absolute;left:3338;top:5182;height:170;width:105;" filled="f" stroked="f" coordsize="21600,21600">
              <v:path/>
              <v:fill on="f" focussize="0,0"/>
              <v:stroke on="f" joinstyle="miter"/>
              <v:imagedata o:title=""/>
              <o:lock v:ext="edit"/>
              <v:textbox inset="0mm,0mm,0mm,0mm">
                <w:txbxContent>
                  <w:p w14:paraId="25EF3DA2">
                    <w:pPr>
                      <w:spacing w:before="0" w:line="169" w:lineRule="exact"/>
                      <w:ind w:left="0" w:right="0" w:firstLine="0"/>
                      <w:jc w:val="left"/>
                      <w:rPr>
                        <w:sz w:val="17"/>
                      </w:rPr>
                    </w:pPr>
                    <w:r>
                      <w:rPr>
                        <w:w w:val="99"/>
                        <w:sz w:val="17"/>
                      </w:rPr>
                      <w:t>E</w:t>
                    </w:r>
                  </w:p>
                </w:txbxContent>
              </v:textbox>
            </v:shape>
            <v:shape id="_x0000_s2004" o:spid="_x0000_s2004" o:spt="202" type="#_x0000_t202" style="position:absolute;left:2180;top:5182;height:170;width:105;" filled="f" stroked="f" coordsize="21600,21600">
              <v:path/>
              <v:fill on="f" focussize="0,0"/>
              <v:stroke on="f" joinstyle="miter"/>
              <v:imagedata o:title=""/>
              <o:lock v:ext="edit"/>
              <v:textbox inset="0mm,0mm,0mm,0mm">
                <w:txbxContent>
                  <w:p w14:paraId="1D2C87D1">
                    <w:pPr>
                      <w:spacing w:before="0" w:line="169" w:lineRule="exact"/>
                      <w:ind w:left="0" w:right="0" w:firstLine="0"/>
                      <w:jc w:val="left"/>
                      <w:rPr>
                        <w:sz w:val="17"/>
                      </w:rPr>
                    </w:pPr>
                    <w:r>
                      <w:rPr>
                        <w:w w:val="99"/>
                        <w:sz w:val="17"/>
                      </w:rPr>
                      <w:t>W</w:t>
                    </w:r>
                  </w:p>
                </w:txbxContent>
              </v:textbox>
            </v:shape>
            <v:shape id="_x0000_s2005" o:spid="_x0000_s2005" o:spt="202" type="#_x0000_t202" style="position:absolute;left:3154;top:4730;height:170;width:190;" filled="f" stroked="f" coordsize="21600,21600">
              <v:path/>
              <v:fill on="f" focussize="0,0"/>
              <v:stroke on="f" joinstyle="miter"/>
              <v:imagedata o:title=""/>
              <o:lock v:ext="edit"/>
              <v:textbox inset="0mm,0mm,0mm,0mm">
                <w:txbxContent>
                  <w:p w14:paraId="5E326204">
                    <w:pPr>
                      <w:spacing w:before="0" w:line="169" w:lineRule="exact"/>
                      <w:ind w:left="0" w:right="0" w:firstLine="0"/>
                      <w:jc w:val="left"/>
                      <w:rPr>
                        <w:sz w:val="17"/>
                      </w:rPr>
                    </w:pPr>
                    <w:r>
                      <w:rPr>
                        <w:sz w:val="17"/>
                      </w:rPr>
                      <w:t>NE</w:t>
                    </w:r>
                  </w:p>
                </w:txbxContent>
              </v:textbox>
            </v:shape>
            <v:shape id="_x0000_s2006" o:spid="_x0000_s2006" o:spt="202" type="#_x0000_t202" style="position:absolute;left:2279;top:4730;height:170;width:190;" filled="f" stroked="f" coordsize="21600,21600">
              <v:path/>
              <v:fill on="f" focussize="0,0"/>
              <v:stroke on="f" joinstyle="miter"/>
              <v:imagedata o:title=""/>
              <o:lock v:ext="edit"/>
              <v:textbox inset="0mm,0mm,0mm,0mm">
                <w:txbxContent>
                  <w:p w14:paraId="342211F0">
                    <w:pPr>
                      <w:spacing w:before="0" w:line="169" w:lineRule="exact"/>
                      <w:ind w:left="0" w:right="0" w:firstLine="0"/>
                      <w:jc w:val="left"/>
                      <w:rPr>
                        <w:sz w:val="17"/>
                      </w:rPr>
                    </w:pPr>
                    <w:r>
                      <w:rPr>
                        <w:sz w:val="17"/>
                      </w:rPr>
                      <w:t>NW</w:t>
                    </w:r>
                  </w:p>
                </w:txbxContent>
              </v:textbox>
            </v:shape>
            <v:shape id="_x0000_s2007" o:spid="_x0000_s2007" o:spt="202" type="#_x0000_t202" style="position:absolute;left:2759;top:4547;height:170;width:105;" filled="f" stroked="f" coordsize="21600,21600">
              <v:path/>
              <v:fill on="f" focussize="0,0"/>
              <v:stroke on="f" joinstyle="miter"/>
              <v:imagedata o:title=""/>
              <o:lock v:ext="edit"/>
              <v:textbox inset="0mm,0mm,0mm,0mm">
                <w:txbxContent>
                  <w:p w14:paraId="2399CA86">
                    <w:pPr>
                      <w:spacing w:before="0" w:line="169" w:lineRule="exact"/>
                      <w:ind w:left="0" w:right="0" w:firstLine="0"/>
                      <w:jc w:val="left"/>
                      <w:rPr>
                        <w:sz w:val="17"/>
                      </w:rPr>
                    </w:pPr>
                    <w:r>
                      <w:rPr>
                        <w:w w:val="99"/>
                        <w:sz w:val="17"/>
                      </w:rPr>
                      <w:t>N</w:t>
                    </w:r>
                  </w:p>
                </w:txbxContent>
              </v:textbox>
            </v:shape>
            <v:shape id="_x0000_s2008" o:spid="_x0000_s2008" o:spt="202" type="#_x0000_t202" style="position:absolute;left:345;top:6241;height:170;width:1207;" filled="f" stroked="f" coordsize="21600,21600">
              <v:path/>
              <v:fill on="f" focussize="0,0"/>
              <v:stroke on="f" joinstyle="miter"/>
              <v:imagedata o:title=""/>
              <o:lock v:ext="edit"/>
              <v:textbox inset="0mm,0mm,0mm,0mm">
                <w:txbxContent>
                  <w:p w14:paraId="7DB475C1">
                    <w:pPr>
                      <w:spacing w:before="0" w:line="169" w:lineRule="exact"/>
                      <w:ind w:left="0" w:right="0" w:firstLine="0"/>
                      <w:jc w:val="left"/>
                      <w:rPr>
                        <w:sz w:val="17"/>
                      </w:rPr>
                    </w:pPr>
                    <w:r>
                      <w:rPr>
                        <w:sz w:val="17"/>
                      </w:rPr>
                      <w:t>九月,静风0.00%</w:t>
                    </w:r>
                  </w:p>
                </w:txbxContent>
              </v:textbox>
            </v:shape>
            <v:shape id="_x0000_s2009" o:spid="_x0000_s2009" o:spt="202" type="#_x0000_t202" style="position:absolute;left:896;top:5803;height:170;width:105;" filled="f" stroked="f" coordsize="21600,21600">
              <v:path/>
              <v:fill on="f" focussize="0,0"/>
              <v:stroke on="f" joinstyle="miter"/>
              <v:imagedata o:title=""/>
              <o:lock v:ext="edit"/>
              <v:textbox inset="0mm,0mm,0mm,0mm">
                <w:txbxContent>
                  <w:p w14:paraId="035E52F1">
                    <w:pPr>
                      <w:spacing w:before="0" w:line="169" w:lineRule="exact"/>
                      <w:ind w:left="0" w:right="0" w:firstLine="0"/>
                      <w:jc w:val="left"/>
                      <w:rPr>
                        <w:sz w:val="17"/>
                      </w:rPr>
                    </w:pPr>
                    <w:r>
                      <w:rPr>
                        <w:w w:val="99"/>
                        <w:sz w:val="17"/>
                      </w:rPr>
                      <w:t>S</w:t>
                    </w:r>
                  </w:p>
                </w:txbxContent>
              </v:textbox>
            </v:shape>
            <v:shape id="_x0000_s2010" o:spid="_x0000_s2010" o:spt="202" type="#_x0000_t202" style="position:absolute;left:1291;top:5620;height:170;width:190;" filled="f" stroked="f" coordsize="21600,21600">
              <v:path/>
              <v:fill on="f" focussize="0,0"/>
              <v:stroke on="f" joinstyle="miter"/>
              <v:imagedata o:title=""/>
              <o:lock v:ext="edit"/>
              <v:textbox inset="0mm,0mm,0mm,0mm">
                <w:txbxContent>
                  <w:p w14:paraId="306D9C45">
                    <w:pPr>
                      <w:spacing w:before="0" w:line="169" w:lineRule="exact"/>
                      <w:ind w:left="0" w:right="0" w:firstLine="0"/>
                      <w:jc w:val="left"/>
                      <w:rPr>
                        <w:sz w:val="17"/>
                      </w:rPr>
                    </w:pPr>
                    <w:r>
                      <w:rPr>
                        <w:sz w:val="17"/>
                      </w:rPr>
                      <w:t>SE</w:t>
                    </w:r>
                  </w:p>
                </w:txbxContent>
              </v:textbox>
            </v:shape>
            <v:shape id="_x0000_s2011" o:spid="_x0000_s2011" o:spt="202" type="#_x0000_t202" style="position:absolute;left:416;top:5620;height:170;width:190;" filled="f" stroked="f" coordsize="21600,21600">
              <v:path/>
              <v:fill on="f" focussize="0,0"/>
              <v:stroke on="f" joinstyle="miter"/>
              <v:imagedata o:title=""/>
              <o:lock v:ext="edit"/>
              <v:textbox inset="0mm,0mm,0mm,0mm">
                <w:txbxContent>
                  <w:p w14:paraId="5A1F159B">
                    <w:pPr>
                      <w:spacing w:before="0" w:line="169" w:lineRule="exact"/>
                      <w:ind w:left="0" w:right="0" w:firstLine="0"/>
                      <w:jc w:val="left"/>
                      <w:rPr>
                        <w:sz w:val="17"/>
                      </w:rPr>
                    </w:pPr>
                    <w:r>
                      <w:rPr>
                        <w:sz w:val="17"/>
                      </w:rPr>
                      <w:t>SW</w:t>
                    </w:r>
                  </w:p>
                </w:txbxContent>
              </v:textbox>
            </v:shape>
            <v:shape id="_x0000_s2012" o:spid="_x0000_s2012" o:spt="202" type="#_x0000_t202" style="position:absolute;left:1474;top:5182;height:170;width:105;" filled="f" stroked="f" coordsize="21600,21600">
              <v:path/>
              <v:fill on="f" focussize="0,0"/>
              <v:stroke on="f" joinstyle="miter"/>
              <v:imagedata o:title=""/>
              <o:lock v:ext="edit"/>
              <v:textbox inset="0mm,0mm,0mm,0mm">
                <w:txbxContent>
                  <w:p w14:paraId="15A20073">
                    <w:pPr>
                      <w:spacing w:before="0" w:line="169" w:lineRule="exact"/>
                      <w:ind w:left="0" w:right="0" w:firstLine="0"/>
                      <w:jc w:val="left"/>
                      <w:rPr>
                        <w:sz w:val="17"/>
                      </w:rPr>
                    </w:pPr>
                    <w:r>
                      <w:rPr>
                        <w:w w:val="99"/>
                        <w:sz w:val="17"/>
                      </w:rPr>
                      <w:t>E</w:t>
                    </w:r>
                  </w:p>
                </w:txbxContent>
              </v:textbox>
            </v:shape>
            <v:shape id="_x0000_s2013" o:spid="_x0000_s2013" o:spt="202" type="#_x0000_t202" style="position:absolute;left:317;top:5182;height:170;width:105;" filled="f" stroked="f" coordsize="21600,21600">
              <v:path/>
              <v:fill on="f" focussize="0,0"/>
              <v:stroke on="f" joinstyle="miter"/>
              <v:imagedata o:title=""/>
              <o:lock v:ext="edit"/>
              <v:textbox inset="0mm,0mm,0mm,0mm">
                <w:txbxContent>
                  <w:p w14:paraId="69E859D4">
                    <w:pPr>
                      <w:spacing w:before="0" w:line="169" w:lineRule="exact"/>
                      <w:ind w:left="0" w:right="0" w:firstLine="0"/>
                      <w:jc w:val="left"/>
                      <w:rPr>
                        <w:sz w:val="17"/>
                      </w:rPr>
                    </w:pPr>
                    <w:r>
                      <w:rPr>
                        <w:w w:val="99"/>
                        <w:sz w:val="17"/>
                      </w:rPr>
                      <w:t>W</w:t>
                    </w:r>
                  </w:p>
                </w:txbxContent>
              </v:textbox>
            </v:shape>
            <v:shape id="_x0000_s2014" o:spid="_x0000_s2014" o:spt="202" type="#_x0000_t202" style="position:absolute;left:1291;top:4730;height:170;width:190;" filled="f" stroked="f" coordsize="21600,21600">
              <v:path/>
              <v:fill on="f" focussize="0,0"/>
              <v:stroke on="f" joinstyle="miter"/>
              <v:imagedata o:title=""/>
              <o:lock v:ext="edit"/>
              <v:textbox inset="0mm,0mm,0mm,0mm">
                <w:txbxContent>
                  <w:p w14:paraId="1FF469CF">
                    <w:pPr>
                      <w:spacing w:before="0" w:line="169" w:lineRule="exact"/>
                      <w:ind w:left="0" w:right="0" w:firstLine="0"/>
                      <w:jc w:val="left"/>
                      <w:rPr>
                        <w:sz w:val="17"/>
                      </w:rPr>
                    </w:pPr>
                    <w:r>
                      <w:rPr>
                        <w:sz w:val="17"/>
                      </w:rPr>
                      <w:t>NE</w:t>
                    </w:r>
                  </w:p>
                </w:txbxContent>
              </v:textbox>
            </v:shape>
            <v:shape id="_x0000_s2015" o:spid="_x0000_s2015" o:spt="202" type="#_x0000_t202" style="position:absolute;left:416;top:4730;height:170;width:190;" filled="f" stroked="f" coordsize="21600,21600">
              <v:path/>
              <v:fill on="f" focussize="0,0"/>
              <v:stroke on="f" joinstyle="miter"/>
              <v:imagedata o:title=""/>
              <o:lock v:ext="edit"/>
              <v:textbox inset="0mm,0mm,0mm,0mm">
                <w:txbxContent>
                  <w:p w14:paraId="22CFC822">
                    <w:pPr>
                      <w:spacing w:before="0" w:line="169" w:lineRule="exact"/>
                      <w:ind w:left="0" w:right="0" w:firstLine="0"/>
                      <w:jc w:val="left"/>
                      <w:rPr>
                        <w:sz w:val="17"/>
                      </w:rPr>
                    </w:pPr>
                    <w:r>
                      <w:rPr>
                        <w:sz w:val="17"/>
                      </w:rPr>
                      <w:t>NW</w:t>
                    </w:r>
                  </w:p>
                </w:txbxContent>
              </v:textbox>
            </v:shape>
            <v:shape id="_x0000_s2016" o:spid="_x0000_s2016" o:spt="202" type="#_x0000_t202" style="position:absolute;left:896;top:4547;height:170;width:105;" filled="f" stroked="f" coordsize="21600,21600">
              <v:path/>
              <v:fill on="f" focussize="0,0"/>
              <v:stroke on="f" joinstyle="miter"/>
              <v:imagedata o:title=""/>
              <o:lock v:ext="edit"/>
              <v:textbox inset="0mm,0mm,0mm,0mm">
                <w:txbxContent>
                  <w:p w14:paraId="4D988DC4">
                    <w:pPr>
                      <w:spacing w:before="0" w:line="169" w:lineRule="exact"/>
                      <w:ind w:left="0" w:right="0" w:firstLine="0"/>
                      <w:jc w:val="left"/>
                      <w:rPr>
                        <w:sz w:val="17"/>
                      </w:rPr>
                    </w:pPr>
                    <w:r>
                      <w:rPr>
                        <w:w w:val="99"/>
                        <w:sz w:val="17"/>
                      </w:rPr>
                      <w:t>N</w:t>
                    </w:r>
                  </w:p>
                </w:txbxContent>
              </v:textbox>
            </v:shape>
            <v:shape id="_x0000_s2017" o:spid="_x0000_s2017" o:spt="202" type="#_x0000_t202" style="position:absolute;left:5949;top:4109;height:170;width:1207;" filled="f" stroked="f" coordsize="21600,21600">
              <v:path/>
              <v:fill on="f" focussize="0,0"/>
              <v:stroke on="f" joinstyle="miter"/>
              <v:imagedata o:title=""/>
              <o:lock v:ext="edit"/>
              <v:textbox inset="0mm,0mm,0mm,0mm">
                <w:txbxContent>
                  <w:p w14:paraId="638A622C">
                    <w:pPr>
                      <w:spacing w:before="0" w:line="169" w:lineRule="exact"/>
                      <w:ind w:left="0" w:right="0" w:firstLine="0"/>
                      <w:jc w:val="left"/>
                      <w:rPr>
                        <w:sz w:val="17"/>
                      </w:rPr>
                    </w:pPr>
                    <w:r>
                      <w:rPr>
                        <w:sz w:val="17"/>
                      </w:rPr>
                      <w:t>八月,静风0.13%</w:t>
                    </w:r>
                  </w:p>
                </w:txbxContent>
              </v:textbox>
            </v:shape>
            <v:shape id="_x0000_s2018" o:spid="_x0000_s2018" o:spt="202" type="#_x0000_t202" style="position:absolute;left:6499;top:3672;height:170;width:105;" filled="f" stroked="f" coordsize="21600,21600">
              <v:path/>
              <v:fill on="f" focussize="0,0"/>
              <v:stroke on="f" joinstyle="miter"/>
              <v:imagedata o:title=""/>
              <o:lock v:ext="edit"/>
              <v:textbox inset="0mm,0mm,0mm,0mm">
                <w:txbxContent>
                  <w:p w14:paraId="7799C429">
                    <w:pPr>
                      <w:spacing w:before="0" w:line="169" w:lineRule="exact"/>
                      <w:ind w:left="0" w:right="0" w:firstLine="0"/>
                      <w:jc w:val="left"/>
                      <w:rPr>
                        <w:sz w:val="17"/>
                      </w:rPr>
                    </w:pPr>
                    <w:r>
                      <w:rPr>
                        <w:w w:val="99"/>
                        <w:sz w:val="17"/>
                      </w:rPr>
                      <w:t>S</w:t>
                    </w:r>
                  </w:p>
                </w:txbxContent>
              </v:textbox>
            </v:shape>
            <v:shape id="_x0000_s2019" o:spid="_x0000_s2019" o:spt="202" type="#_x0000_t202" style="position:absolute;left:6895;top:3488;height:170;width:190;" filled="f" stroked="f" coordsize="21600,21600">
              <v:path/>
              <v:fill on="f" focussize="0,0"/>
              <v:stroke on="f" joinstyle="miter"/>
              <v:imagedata o:title=""/>
              <o:lock v:ext="edit"/>
              <v:textbox inset="0mm,0mm,0mm,0mm">
                <w:txbxContent>
                  <w:p w14:paraId="788BF96F">
                    <w:pPr>
                      <w:spacing w:before="0" w:line="169" w:lineRule="exact"/>
                      <w:ind w:left="0" w:right="0" w:firstLine="0"/>
                      <w:jc w:val="left"/>
                      <w:rPr>
                        <w:sz w:val="17"/>
                      </w:rPr>
                    </w:pPr>
                    <w:r>
                      <w:rPr>
                        <w:sz w:val="17"/>
                      </w:rPr>
                      <w:t>SE</w:t>
                    </w:r>
                  </w:p>
                </w:txbxContent>
              </v:textbox>
            </v:shape>
            <v:shape id="_x0000_s2020" o:spid="_x0000_s2020" o:spt="202" type="#_x0000_t202" style="position:absolute;left:6019;top:3488;height:170;width:190;" filled="f" stroked="f" coordsize="21600,21600">
              <v:path/>
              <v:fill on="f" focussize="0,0"/>
              <v:stroke on="f" joinstyle="miter"/>
              <v:imagedata o:title=""/>
              <o:lock v:ext="edit"/>
              <v:textbox inset="0mm,0mm,0mm,0mm">
                <w:txbxContent>
                  <w:p w14:paraId="41707397">
                    <w:pPr>
                      <w:spacing w:before="0" w:line="169" w:lineRule="exact"/>
                      <w:ind w:left="0" w:right="0" w:firstLine="0"/>
                      <w:jc w:val="left"/>
                      <w:rPr>
                        <w:sz w:val="17"/>
                      </w:rPr>
                    </w:pPr>
                    <w:r>
                      <w:rPr>
                        <w:sz w:val="17"/>
                      </w:rPr>
                      <w:t>SW</w:t>
                    </w:r>
                  </w:p>
                </w:txbxContent>
              </v:textbox>
            </v:shape>
            <v:shape id="_x0000_s2021" o:spid="_x0000_s2021" o:spt="202" type="#_x0000_t202" style="position:absolute;left:7078;top:3037;height:170;width:105;" filled="f" stroked="f" coordsize="21600,21600">
              <v:path/>
              <v:fill on="f" focussize="0,0"/>
              <v:stroke on="f" joinstyle="miter"/>
              <v:imagedata o:title=""/>
              <o:lock v:ext="edit"/>
              <v:textbox inset="0mm,0mm,0mm,0mm">
                <w:txbxContent>
                  <w:p w14:paraId="7E68E9F9">
                    <w:pPr>
                      <w:spacing w:before="0" w:line="169" w:lineRule="exact"/>
                      <w:ind w:left="0" w:right="0" w:firstLine="0"/>
                      <w:jc w:val="left"/>
                      <w:rPr>
                        <w:sz w:val="17"/>
                      </w:rPr>
                    </w:pPr>
                    <w:r>
                      <w:rPr>
                        <w:w w:val="99"/>
                        <w:sz w:val="17"/>
                      </w:rPr>
                      <w:t>E</w:t>
                    </w:r>
                  </w:p>
                </w:txbxContent>
              </v:textbox>
            </v:shape>
            <v:shape id="_x0000_s2022" o:spid="_x0000_s2022" o:spt="202" type="#_x0000_t202" style="position:absolute;left:5921;top:3037;height:170;width:105;" filled="f" stroked="f" coordsize="21600,21600">
              <v:path/>
              <v:fill on="f" focussize="0,0"/>
              <v:stroke on="f" joinstyle="miter"/>
              <v:imagedata o:title=""/>
              <o:lock v:ext="edit"/>
              <v:textbox inset="0mm,0mm,0mm,0mm">
                <w:txbxContent>
                  <w:p w14:paraId="6FEEAB3D">
                    <w:pPr>
                      <w:spacing w:before="0" w:line="169" w:lineRule="exact"/>
                      <w:ind w:left="0" w:right="0" w:firstLine="0"/>
                      <w:jc w:val="left"/>
                      <w:rPr>
                        <w:sz w:val="17"/>
                      </w:rPr>
                    </w:pPr>
                    <w:r>
                      <w:rPr>
                        <w:w w:val="99"/>
                        <w:sz w:val="17"/>
                      </w:rPr>
                      <w:t>W</w:t>
                    </w:r>
                  </w:p>
                </w:txbxContent>
              </v:textbox>
            </v:shape>
            <v:shape id="_x0000_s2023" o:spid="_x0000_s2023" o:spt="202" type="#_x0000_t202" style="position:absolute;left:6895;top:2599;height:170;width:190;" filled="f" stroked="f" coordsize="21600,21600">
              <v:path/>
              <v:fill on="f" focussize="0,0"/>
              <v:stroke on="f" joinstyle="miter"/>
              <v:imagedata o:title=""/>
              <o:lock v:ext="edit"/>
              <v:textbox inset="0mm,0mm,0mm,0mm">
                <w:txbxContent>
                  <w:p w14:paraId="3BBD0528">
                    <w:pPr>
                      <w:spacing w:before="0" w:line="169" w:lineRule="exact"/>
                      <w:ind w:left="0" w:right="0" w:firstLine="0"/>
                      <w:jc w:val="left"/>
                      <w:rPr>
                        <w:sz w:val="17"/>
                      </w:rPr>
                    </w:pPr>
                    <w:r>
                      <w:rPr>
                        <w:sz w:val="17"/>
                      </w:rPr>
                      <w:t>NE</w:t>
                    </w:r>
                  </w:p>
                </w:txbxContent>
              </v:textbox>
            </v:shape>
            <v:shape id="_x0000_s2024" o:spid="_x0000_s2024" o:spt="202" type="#_x0000_t202" style="position:absolute;left:6019;top:2599;height:170;width:190;" filled="f" stroked="f" coordsize="21600,21600">
              <v:path/>
              <v:fill on="f" focussize="0,0"/>
              <v:stroke on="f" joinstyle="miter"/>
              <v:imagedata o:title=""/>
              <o:lock v:ext="edit"/>
              <v:textbox inset="0mm,0mm,0mm,0mm">
                <w:txbxContent>
                  <w:p w14:paraId="39E13AC8">
                    <w:pPr>
                      <w:spacing w:before="0" w:line="169" w:lineRule="exact"/>
                      <w:ind w:left="0" w:right="0" w:firstLine="0"/>
                      <w:jc w:val="left"/>
                      <w:rPr>
                        <w:sz w:val="17"/>
                      </w:rPr>
                    </w:pPr>
                    <w:r>
                      <w:rPr>
                        <w:sz w:val="17"/>
                      </w:rPr>
                      <w:t>NW</w:t>
                    </w:r>
                  </w:p>
                </w:txbxContent>
              </v:textbox>
            </v:shape>
            <v:shape id="_x0000_s2025" o:spid="_x0000_s2025" o:spt="202" type="#_x0000_t202" style="position:absolute;left:6499;top:2416;height:170;width:105;" filled="f" stroked="f" coordsize="21600,21600">
              <v:path/>
              <v:fill on="f" focussize="0,0"/>
              <v:stroke on="f" joinstyle="miter"/>
              <v:imagedata o:title=""/>
              <o:lock v:ext="edit"/>
              <v:textbox inset="0mm,0mm,0mm,0mm">
                <w:txbxContent>
                  <w:p w14:paraId="15976D21">
                    <w:pPr>
                      <w:spacing w:before="0" w:line="169" w:lineRule="exact"/>
                      <w:ind w:left="0" w:right="0" w:firstLine="0"/>
                      <w:jc w:val="left"/>
                      <w:rPr>
                        <w:sz w:val="17"/>
                      </w:rPr>
                    </w:pPr>
                    <w:r>
                      <w:rPr>
                        <w:w w:val="99"/>
                        <w:sz w:val="17"/>
                      </w:rPr>
                      <w:t>N</w:t>
                    </w:r>
                  </w:p>
                </w:txbxContent>
              </v:textbox>
            </v:shape>
            <v:shape id="_x0000_s2026" o:spid="_x0000_s2026" o:spt="202" type="#_x0000_t202" style="position:absolute;left:4072;top:4109;height:170;width:1207;" filled="f" stroked="f" coordsize="21600,21600">
              <v:path/>
              <v:fill on="f" focussize="0,0"/>
              <v:stroke on="f" joinstyle="miter"/>
              <v:imagedata o:title=""/>
              <o:lock v:ext="edit"/>
              <v:textbox inset="0mm,0mm,0mm,0mm">
                <w:txbxContent>
                  <w:p w14:paraId="467BFF1D">
                    <w:pPr>
                      <w:spacing w:before="0" w:line="169" w:lineRule="exact"/>
                      <w:ind w:left="0" w:right="0" w:firstLine="0"/>
                      <w:jc w:val="left"/>
                      <w:rPr>
                        <w:sz w:val="17"/>
                      </w:rPr>
                    </w:pPr>
                    <w:r>
                      <w:rPr>
                        <w:sz w:val="17"/>
                      </w:rPr>
                      <w:t>七月,静风0.00%</w:t>
                    </w:r>
                  </w:p>
                </w:txbxContent>
              </v:textbox>
            </v:shape>
            <v:shape id="_x0000_s2027" o:spid="_x0000_s2027" o:spt="202" type="#_x0000_t202" style="position:absolute;left:4622;top:3672;height:170;width:105;" filled="f" stroked="f" coordsize="21600,21600">
              <v:path/>
              <v:fill on="f" focussize="0,0"/>
              <v:stroke on="f" joinstyle="miter"/>
              <v:imagedata o:title=""/>
              <o:lock v:ext="edit"/>
              <v:textbox inset="0mm,0mm,0mm,0mm">
                <w:txbxContent>
                  <w:p w14:paraId="39ABD080">
                    <w:pPr>
                      <w:spacing w:before="0" w:line="169" w:lineRule="exact"/>
                      <w:ind w:left="0" w:right="0" w:firstLine="0"/>
                      <w:jc w:val="left"/>
                      <w:rPr>
                        <w:sz w:val="17"/>
                      </w:rPr>
                    </w:pPr>
                    <w:r>
                      <w:rPr>
                        <w:w w:val="99"/>
                        <w:sz w:val="17"/>
                      </w:rPr>
                      <w:t>S</w:t>
                    </w:r>
                  </w:p>
                </w:txbxContent>
              </v:textbox>
            </v:shape>
            <v:shape id="_x0000_s2028" o:spid="_x0000_s2028" o:spt="202" type="#_x0000_t202" style="position:absolute;left:5017;top:3488;height:170;width:190;" filled="f" stroked="f" coordsize="21600,21600">
              <v:path/>
              <v:fill on="f" focussize="0,0"/>
              <v:stroke on="f" joinstyle="miter"/>
              <v:imagedata o:title=""/>
              <o:lock v:ext="edit"/>
              <v:textbox inset="0mm,0mm,0mm,0mm">
                <w:txbxContent>
                  <w:p w14:paraId="11C71974">
                    <w:pPr>
                      <w:spacing w:before="0" w:line="169" w:lineRule="exact"/>
                      <w:ind w:left="0" w:right="0" w:firstLine="0"/>
                      <w:jc w:val="left"/>
                      <w:rPr>
                        <w:sz w:val="17"/>
                      </w:rPr>
                    </w:pPr>
                    <w:r>
                      <w:rPr>
                        <w:sz w:val="17"/>
                      </w:rPr>
                      <w:t>SE</w:t>
                    </w:r>
                  </w:p>
                </w:txbxContent>
              </v:textbox>
            </v:shape>
            <v:shape id="_x0000_s2029" o:spid="_x0000_s2029" o:spt="202" type="#_x0000_t202" style="position:absolute;left:4142;top:3488;height:170;width:190;" filled="f" stroked="f" coordsize="21600,21600">
              <v:path/>
              <v:fill on="f" focussize="0,0"/>
              <v:stroke on="f" joinstyle="miter"/>
              <v:imagedata o:title=""/>
              <o:lock v:ext="edit"/>
              <v:textbox inset="0mm,0mm,0mm,0mm">
                <w:txbxContent>
                  <w:p w14:paraId="474348D5">
                    <w:pPr>
                      <w:spacing w:before="0" w:line="169" w:lineRule="exact"/>
                      <w:ind w:left="0" w:right="0" w:firstLine="0"/>
                      <w:jc w:val="left"/>
                      <w:rPr>
                        <w:sz w:val="17"/>
                      </w:rPr>
                    </w:pPr>
                    <w:r>
                      <w:rPr>
                        <w:sz w:val="17"/>
                      </w:rPr>
                      <w:t>SW</w:t>
                    </w:r>
                  </w:p>
                </w:txbxContent>
              </v:textbox>
            </v:shape>
            <v:shape id="_x0000_s2030" o:spid="_x0000_s2030" o:spt="202" type="#_x0000_t202" style="position:absolute;left:5201;top:3037;height:170;width:105;" filled="f" stroked="f" coordsize="21600,21600">
              <v:path/>
              <v:fill on="f" focussize="0,0"/>
              <v:stroke on="f" joinstyle="miter"/>
              <v:imagedata o:title=""/>
              <o:lock v:ext="edit"/>
              <v:textbox inset="0mm,0mm,0mm,0mm">
                <w:txbxContent>
                  <w:p w14:paraId="374EB7FA">
                    <w:pPr>
                      <w:spacing w:before="0" w:line="169" w:lineRule="exact"/>
                      <w:ind w:left="0" w:right="0" w:firstLine="0"/>
                      <w:jc w:val="left"/>
                      <w:rPr>
                        <w:sz w:val="17"/>
                      </w:rPr>
                    </w:pPr>
                    <w:r>
                      <w:rPr>
                        <w:w w:val="99"/>
                        <w:sz w:val="17"/>
                      </w:rPr>
                      <w:t>E</w:t>
                    </w:r>
                  </w:p>
                </w:txbxContent>
              </v:textbox>
            </v:shape>
            <v:shape id="_x0000_s2031" o:spid="_x0000_s2031" o:spt="202" type="#_x0000_t202" style="position:absolute;left:4043;top:3037;height:170;width:105;" filled="f" stroked="f" coordsize="21600,21600">
              <v:path/>
              <v:fill on="f" focussize="0,0"/>
              <v:stroke on="f" joinstyle="miter"/>
              <v:imagedata o:title=""/>
              <o:lock v:ext="edit"/>
              <v:textbox inset="0mm,0mm,0mm,0mm">
                <w:txbxContent>
                  <w:p w14:paraId="4C571D87">
                    <w:pPr>
                      <w:spacing w:before="0" w:line="169" w:lineRule="exact"/>
                      <w:ind w:left="0" w:right="0" w:firstLine="0"/>
                      <w:jc w:val="left"/>
                      <w:rPr>
                        <w:sz w:val="17"/>
                      </w:rPr>
                    </w:pPr>
                    <w:r>
                      <w:rPr>
                        <w:w w:val="99"/>
                        <w:sz w:val="17"/>
                      </w:rPr>
                      <w:t>W</w:t>
                    </w:r>
                  </w:p>
                </w:txbxContent>
              </v:textbox>
            </v:shape>
            <v:shape id="_x0000_s2032" o:spid="_x0000_s2032" o:spt="202" type="#_x0000_t202" style="position:absolute;left:5017;top:2599;height:170;width:190;" filled="f" stroked="f" coordsize="21600,21600">
              <v:path/>
              <v:fill on="f" focussize="0,0"/>
              <v:stroke on="f" joinstyle="miter"/>
              <v:imagedata o:title=""/>
              <o:lock v:ext="edit"/>
              <v:textbox inset="0mm,0mm,0mm,0mm">
                <w:txbxContent>
                  <w:p w14:paraId="04470D2E">
                    <w:pPr>
                      <w:spacing w:before="0" w:line="169" w:lineRule="exact"/>
                      <w:ind w:left="0" w:right="0" w:firstLine="0"/>
                      <w:jc w:val="left"/>
                      <w:rPr>
                        <w:sz w:val="17"/>
                      </w:rPr>
                    </w:pPr>
                    <w:r>
                      <w:rPr>
                        <w:sz w:val="17"/>
                      </w:rPr>
                      <w:t>NE</w:t>
                    </w:r>
                  </w:p>
                </w:txbxContent>
              </v:textbox>
            </v:shape>
            <v:shape id="_x0000_s2033" o:spid="_x0000_s2033" o:spt="202" type="#_x0000_t202" style="position:absolute;left:4142;top:2599;height:170;width:190;" filled="f" stroked="f" coordsize="21600,21600">
              <v:path/>
              <v:fill on="f" focussize="0,0"/>
              <v:stroke on="f" joinstyle="miter"/>
              <v:imagedata o:title=""/>
              <o:lock v:ext="edit"/>
              <v:textbox inset="0mm,0mm,0mm,0mm">
                <w:txbxContent>
                  <w:p w14:paraId="764E845E">
                    <w:pPr>
                      <w:spacing w:before="0" w:line="169" w:lineRule="exact"/>
                      <w:ind w:left="0" w:right="0" w:firstLine="0"/>
                      <w:jc w:val="left"/>
                      <w:rPr>
                        <w:sz w:val="17"/>
                      </w:rPr>
                    </w:pPr>
                    <w:r>
                      <w:rPr>
                        <w:sz w:val="17"/>
                      </w:rPr>
                      <w:t>NW</w:t>
                    </w:r>
                  </w:p>
                </w:txbxContent>
              </v:textbox>
            </v:shape>
            <v:shape id="_x0000_s2034" o:spid="_x0000_s2034" o:spt="202" type="#_x0000_t202" style="position:absolute;left:4622;top:2416;height:170;width:105;" filled="f" stroked="f" coordsize="21600,21600">
              <v:path/>
              <v:fill on="f" focussize="0,0"/>
              <v:stroke on="f" joinstyle="miter"/>
              <v:imagedata o:title=""/>
              <o:lock v:ext="edit"/>
              <v:textbox inset="0mm,0mm,0mm,0mm">
                <w:txbxContent>
                  <w:p w14:paraId="11470234">
                    <w:pPr>
                      <w:spacing w:before="0" w:line="169" w:lineRule="exact"/>
                      <w:ind w:left="0" w:right="0" w:firstLine="0"/>
                      <w:jc w:val="left"/>
                      <w:rPr>
                        <w:sz w:val="17"/>
                      </w:rPr>
                    </w:pPr>
                    <w:r>
                      <w:rPr>
                        <w:w w:val="99"/>
                        <w:sz w:val="17"/>
                      </w:rPr>
                      <w:t>N</w:t>
                    </w:r>
                  </w:p>
                </w:txbxContent>
              </v:textbox>
            </v:shape>
            <v:shape id="_x0000_s2035" o:spid="_x0000_s2035" o:spt="202" type="#_x0000_t202" style="position:absolute;left:2208;top:4109;height:170;width:1207;" filled="f" stroked="f" coordsize="21600,21600">
              <v:path/>
              <v:fill on="f" focussize="0,0"/>
              <v:stroke on="f" joinstyle="miter"/>
              <v:imagedata o:title=""/>
              <o:lock v:ext="edit"/>
              <v:textbox inset="0mm,0mm,0mm,0mm">
                <w:txbxContent>
                  <w:p w14:paraId="22A2F8BB">
                    <w:pPr>
                      <w:spacing w:before="0" w:line="169" w:lineRule="exact"/>
                      <w:ind w:left="0" w:right="0" w:firstLine="0"/>
                      <w:jc w:val="left"/>
                      <w:rPr>
                        <w:sz w:val="17"/>
                      </w:rPr>
                    </w:pPr>
                    <w:r>
                      <w:rPr>
                        <w:sz w:val="17"/>
                      </w:rPr>
                      <w:t>六月,静风0.00%</w:t>
                    </w:r>
                  </w:p>
                </w:txbxContent>
              </v:textbox>
            </v:shape>
            <v:shape id="_x0000_s2036" o:spid="_x0000_s2036" o:spt="202" type="#_x0000_t202" style="position:absolute;left:2759;top:3672;height:170;width:105;" filled="f" stroked="f" coordsize="21600,21600">
              <v:path/>
              <v:fill on="f" focussize="0,0"/>
              <v:stroke on="f" joinstyle="miter"/>
              <v:imagedata o:title=""/>
              <o:lock v:ext="edit"/>
              <v:textbox inset="0mm,0mm,0mm,0mm">
                <w:txbxContent>
                  <w:p w14:paraId="44221D82">
                    <w:pPr>
                      <w:spacing w:before="0" w:line="169" w:lineRule="exact"/>
                      <w:ind w:left="0" w:right="0" w:firstLine="0"/>
                      <w:jc w:val="left"/>
                      <w:rPr>
                        <w:sz w:val="17"/>
                      </w:rPr>
                    </w:pPr>
                    <w:r>
                      <w:rPr>
                        <w:w w:val="99"/>
                        <w:sz w:val="17"/>
                      </w:rPr>
                      <w:t>S</w:t>
                    </w:r>
                  </w:p>
                </w:txbxContent>
              </v:textbox>
            </v:shape>
            <v:shape id="_x0000_s2037" o:spid="_x0000_s2037" o:spt="202" type="#_x0000_t202" style="position:absolute;left:3154;top:3488;height:170;width:190;" filled="f" stroked="f" coordsize="21600,21600">
              <v:path/>
              <v:fill on="f" focussize="0,0"/>
              <v:stroke on="f" joinstyle="miter"/>
              <v:imagedata o:title=""/>
              <o:lock v:ext="edit"/>
              <v:textbox inset="0mm,0mm,0mm,0mm">
                <w:txbxContent>
                  <w:p w14:paraId="588D45B8">
                    <w:pPr>
                      <w:spacing w:before="0" w:line="169" w:lineRule="exact"/>
                      <w:ind w:left="0" w:right="0" w:firstLine="0"/>
                      <w:jc w:val="left"/>
                      <w:rPr>
                        <w:sz w:val="17"/>
                      </w:rPr>
                    </w:pPr>
                    <w:r>
                      <w:rPr>
                        <w:sz w:val="17"/>
                      </w:rPr>
                      <w:t>SE</w:t>
                    </w:r>
                  </w:p>
                </w:txbxContent>
              </v:textbox>
            </v:shape>
            <v:shape id="_x0000_s2038" o:spid="_x0000_s2038" o:spt="202" type="#_x0000_t202" style="position:absolute;left:2279;top:3488;height:170;width:190;" filled="f" stroked="f" coordsize="21600,21600">
              <v:path/>
              <v:fill on="f" focussize="0,0"/>
              <v:stroke on="f" joinstyle="miter"/>
              <v:imagedata o:title=""/>
              <o:lock v:ext="edit"/>
              <v:textbox inset="0mm,0mm,0mm,0mm">
                <w:txbxContent>
                  <w:p w14:paraId="4E4D27D8">
                    <w:pPr>
                      <w:spacing w:before="0" w:line="169" w:lineRule="exact"/>
                      <w:ind w:left="0" w:right="0" w:firstLine="0"/>
                      <w:jc w:val="left"/>
                      <w:rPr>
                        <w:sz w:val="17"/>
                      </w:rPr>
                    </w:pPr>
                    <w:r>
                      <w:rPr>
                        <w:sz w:val="17"/>
                      </w:rPr>
                      <w:t>SW</w:t>
                    </w:r>
                  </w:p>
                </w:txbxContent>
              </v:textbox>
            </v:shape>
            <v:shape id="_x0000_s2039" o:spid="_x0000_s2039" o:spt="202" type="#_x0000_t202" style="position:absolute;left:3338;top:3037;height:170;width:105;" filled="f" stroked="f" coordsize="21600,21600">
              <v:path/>
              <v:fill on="f" focussize="0,0"/>
              <v:stroke on="f" joinstyle="miter"/>
              <v:imagedata o:title=""/>
              <o:lock v:ext="edit"/>
              <v:textbox inset="0mm,0mm,0mm,0mm">
                <w:txbxContent>
                  <w:p w14:paraId="2F4B987B">
                    <w:pPr>
                      <w:spacing w:before="0" w:line="169" w:lineRule="exact"/>
                      <w:ind w:left="0" w:right="0" w:firstLine="0"/>
                      <w:jc w:val="left"/>
                      <w:rPr>
                        <w:sz w:val="17"/>
                      </w:rPr>
                    </w:pPr>
                    <w:r>
                      <w:rPr>
                        <w:w w:val="99"/>
                        <w:sz w:val="17"/>
                      </w:rPr>
                      <w:t>E</w:t>
                    </w:r>
                  </w:p>
                </w:txbxContent>
              </v:textbox>
            </v:shape>
            <v:shape id="_x0000_s2040" o:spid="_x0000_s2040" o:spt="202" type="#_x0000_t202" style="position:absolute;left:2180;top:3037;height:170;width:105;" filled="f" stroked="f" coordsize="21600,21600">
              <v:path/>
              <v:fill on="f" focussize="0,0"/>
              <v:stroke on="f" joinstyle="miter"/>
              <v:imagedata o:title=""/>
              <o:lock v:ext="edit"/>
              <v:textbox inset="0mm,0mm,0mm,0mm">
                <w:txbxContent>
                  <w:p w14:paraId="6876B8F0">
                    <w:pPr>
                      <w:spacing w:before="0" w:line="169" w:lineRule="exact"/>
                      <w:ind w:left="0" w:right="0" w:firstLine="0"/>
                      <w:jc w:val="left"/>
                      <w:rPr>
                        <w:sz w:val="17"/>
                      </w:rPr>
                    </w:pPr>
                    <w:r>
                      <w:rPr>
                        <w:w w:val="99"/>
                        <w:sz w:val="17"/>
                      </w:rPr>
                      <w:t>W</w:t>
                    </w:r>
                  </w:p>
                </w:txbxContent>
              </v:textbox>
            </v:shape>
            <v:shape id="_x0000_s2041" o:spid="_x0000_s2041" o:spt="202" type="#_x0000_t202" style="position:absolute;left:3154;top:2599;height:170;width:190;" filled="f" stroked="f" coordsize="21600,21600">
              <v:path/>
              <v:fill on="f" focussize="0,0"/>
              <v:stroke on="f" joinstyle="miter"/>
              <v:imagedata o:title=""/>
              <o:lock v:ext="edit"/>
              <v:textbox inset="0mm,0mm,0mm,0mm">
                <w:txbxContent>
                  <w:p w14:paraId="75C036D7">
                    <w:pPr>
                      <w:spacing w:before="0" w:line="169" w:lineRule="exact"/>
                      <w:ind w:left="0" w:right="0" w:firstLine="0"/>
                      <w:jc w:val="left"/>
                      <w:rPr>
                        <w:sz w:val="17"/>
                      </w:rPr>
                    </w:pPr>
                    <w:r>
                      <w:rPr>
                        <w:sz w:val="17"/>
                      </w:rPr>
                      <w:t>NE</w:t>
                    </w:r>
                  </w:p>
                </w:txbxContent>
              </v:textbox>
            </v:shape>
            <v:shape id="_x0000_s2042" o:spid="_x0000_s2042" o:spt="202" type="#_x0000_t202" style="position:absolute;left:2279;top:2599;height:170;width:190;" filled="f" stroked="f" coordsize="21600,21600">
              <v:path/>
              <v:fill on="f" focussize="0,0"/>
              <v:stroke on="f" joinstyle="miter"/>
              <v:imagedata o:title=""/>
              <o:lock v:ext="edit"/>
              <v:textbox inset="0mm,0mm,0mm,0mm">
                <w:txbxContent>
                  <w:p w14:paraId="57084F00">
                    <w:pPr>
                      <w:spacing w:before="0" w:line="169" w:lineRule="exact"/>
                      <w:ind w:left="0" w:right="0" w:firstLine="0"/>
                      <w:jc w:val="left"/>
                      <w:rPr>
                        <w:sz w:val="17"/>
                      </w:rPr>
                    </w:pPr>
                    <w:r>
                      <w:rPr>
                        <w:sz w:val="17"/>
                      </w:rPr>
                      <w:t>NW</w:t>
                    </w:r>
                  </w:p>
                </w:txbxContent>
              </v:textbox>
            </v:shape>
            <v:shape id="_x0000_s2043" o:spid="_x0000_s2043" o:spt="202" type="#_x0000_t202" style="position:absolute;left:2759;top:2416;height:170;width:105;" filled="f" stroked="f" coordsize="21600,21600">
              <v:path/>
              <v:fill on="f" focussize="0,0"/>
              <v:stroke on="f" joinstyle="miter"/>
              <v:imagedata o:title=""/>
              <o:lock v:ext="edit"/>
              <v:textbox inset="0mm,0mm,0mm,0mm">
                <w:txbxContent>
                  <w:p w14:paraId="73F52B97">
                    <w:pPr>
                      <w:spacing w:before="0" w:line="169" w:lineRule="exact"/>
                      <w:ind w:left="0" w:right="0" w:firstLine="0"/>
                      <w:jc w:val="left"/>
                      <w:rPr>
                        <w:sz w:val="17"/>
                      </w:rPr>
                    </w:pPr>
                    <w:r>
                      <w:rPr>
                        <w:w w:val="99"/>
                        <w:sz w:val="17"/>
                      </w:rPr>
                      <w:t>N</w:t>
                    </w:r>
                  </w:p>
                </w:txbxContent>
              </v:textbox>
            </v:shape>
            <v:shape id="_x0000_s2044" o:spid="_x0000_s2044" o:spt="202" type="#_x0000_t202" style="position:absolute;left:345;top:4109;height:170;width:1207;" filled="f" stroked="f" coordsize="21600,21600">
              <v:path/>
              <v:fill on="f" focussize="0,0"/>
              <v:stroke on="f" joinstyle="miter"/>
              <v:imagedata o:title=""/>
              <o:lock v:ext="edit"/>
              <v:textbox inset="0mm,0mm,0mm,0mm">
                <w:txbxContent>
                  <w:p w14:paraId="20D62412">
                    <w:pPr>
                      <w:spacing w:before="0" w:line="169" w:lineRule="exact"/>
                      <w:ind w:left="0" w:right="0" w:firstLine="0"/>
                      <w:jc w:val="left"/>
                      <w:rPr>
                        <w:sz w:val="17"/>
                      </w:rPr>
                    </w:pPr>
                    <w:r>
                      <w:rPr>
                        <w:sz w:val="17"/>
                      </w:rPr>
                      <w:t>五月,静风0.00%</w:t>
                    </w:r>
                  </w:p>
                </w:txbxContent>
              </v:textbox>
            </v:shape>
            <v:shape id="_x0000_s2045" o:spid="_x0000_s2045" o:spt="202" type="#_x0000_t202" style="position:absolute;left:896;top:3672;height:170;width:105;" filled="f" stroked="f" coordsize="21600,21600">
              <v:path/>
              <v:fill on="f" focussize="0,0"/>
              <v:stroke on="f" joinstyle="miter"/>
              <v:imagedata o:title=""/>
              <o:lock v:ext="edit"/>
              <v:textbox inset="0mm,0mm,0mm,0mm">
                <w:txbxContent>
                  <w:p w14:paraId="32472131">
                    <w:pPr>
                      <w:spacing w:before="0" w:line="169" w:lineRule="exact"/>
                      <w:ind w:left="0" w:right="0" w:firstLine="0"/>
                      <w:jc w:val="left"/>
                      <w:rPr>
                        <w:sz w:val="17"/>
                      </w:rPr>
                    </w:pPr>
                    <w:r>
                      <w:rPr>
                        <w:w w:val="99"/>
                        <w:sz w:val="17"/>
                      </w:rPr>
                      <w:t>S</w:t>
                    </w:r>
                  </w:p>
                </w:txbxContent>
              </v:textbox>
            </v:shape>
            <v:shape id="_x0000_s2046" o:spid="_x0000_s2046" o:spt="202" type="#_x0000_t202" style="position:absolute;left:1291;top:3488;height:170;width:190;" filled="f" stroked="f" coordsize="21600,21600">
              <v:path/>
              <v:fill on="f" focussize="0,0"/>
              <v:stroke on="f" joinstyle="miter"/>
              <v:imagedata o:title=""/>
              <o:lock v:ext="edit"/>
              <v:textbox inset="0mm,0mm,0mm,0mm">
                <w:txbxContent>
                  <w:p w14:paraId="2640968E">
                    <w:pPr>
                      <w:spacing w:before="0" w:line="169" w:lineRule="exact"/>
                      <w:ind w:left="0" w:right="0" w:firstLine="0"/>
                      <w:jc w:val="left"/>
                      <w:rPr>
                        <w:sz w:val="17"/>
                      </w:rPr>
                    </w:pPr>
                    <w:r>
                      <w:rPr>
                        <w:sz w:val="17"/>
                      </w:rPr>
                      <w:t>SE</w:t>
                    </w:r>
                  </w:p>
                </w:txbxContent>
              </v:textbox>
            </v:shape>
            <v:shape id="_x0000_s2047" o:spid="_x0000_s2047" o:spt="202" type="#_x0000_t202" style="position:absolute;left:416;top:3488;height:170;width:190;" filled="f" stroked="f" coordsize="21600,21600">
              <v:path/>
              <v:fill on="f" focussize="0,0"/>
              <v:stroke on="f" joinstyle="miter"/>
              <v:imagedata o:title=""/>
              <o:lock v:ext="edit"/>
              <v:textbox inset="0mm,0mm,0mm,0mm">
                <w:txbxContent>
                  <w:p w14:paraId="63C5E64E">
                    <w:pPr>
                      <w:spacing w:before="0" w:line="169" w:lineRule="exact"/>
                      <w:ind w:left="0" w:right="0" w:firstLine="0"/>
                      <w:jc w:val="left"/>
                      <w:rPr>
                        <w:sz w:val="17"/>
                      </w:rPr>
                    </w:pPr>
                    <w:r>
                      <w:rPr>
                        <w:sz w:val="17"/>
                      </w:rPr>
                      <w:t>SW</w:t>
                    </w:r>
                  </w:p>
                </w:txbxContent>
              </v:textbox>
            </v:shape>
            <v:shape id="_x0000_s3072" o:spid="_x0000_s3072" o:spt="202" type="#_x0000_t202" style="position:absolute;left:1474;top:3037;height:170;width:105;" filled="f" stroked="f" coordsize="21600,21600">
              <v:path/>
              <v:fill on="f" focussize="0,0"/>
              <v:stroke on="f" joinstyle="miter"/>
              <v:imagedata o:title=""/>
              <o:lock v:ext="edit"/>
              <v:textbox inset="0mm,0mm,0mm,0mm">
                <w:txbxContent>
                  <w:p w14:paraId="74D2B276">
                    <w:pPr>
                      <w:spacing w:before="0" w:line="169" w:lineRule="exact"/>
                      <w:ind w:left="0" w:right="0" w:firstLine="0"/>
                      <w:jc w:val="left"/>
                      <w:rPr>
                        <w:sz w:val="17"/>
                      </w:rPr>
                    </w:pPr>
                    <w:r>
                      <w:rPr>
                        <w:w w:val="99"/>
                        <w:sz w:val="17"/>
                      </w:rPr>
                      <w:t>E</w:t>
                    </w:r>
                  </w:p>
                </w:txbxContent>
              </v:textbox>
            </v:shape>
            <v:shape id="_x0000_s3073" o:spid="_x0000_s3073" o:spt="202" type="#_x0000_t202" style="position:absolute;left:317;top:3037;height:170;width:105;" filled="f" stroked="f" coordsize="21600,21600">
              <v:path/>
              <v:fill on="f" focussize="0,0"/>
              <v:stroke on="f" joinstyle="miter"/>
              <v:imagedata o:title=""/>
              <o:lock v:ext="edit"/>
              <v:textbox inset="0mm,0mm,0mm,0mm">
                <w:txbxContent>
                  <w:p w14:paraId="7B7955B7">
                    <w:pPr>
                      <w:spacing w:before="0" w:line="169" w:lineRule="exact"/>
                      <w:ind w:left="0" w:right="0" w:firstLine="0"/>
                      <w:jc w:val="left"/>
                      <w:rPr>
                        <w:sz w:val="17"/>
                      </w:rPr>
                    </w:pPr>
                    <w:r>
                      <w:rPr>
                        <w:w w:val="99"/>
                        <w:sz w:val="17"/>
                      </w:rPr>
                      <w:t>W</w:t>
                    </w:r>
                  </w:p>
                </w:txbxContent>
              </v:textbox>
            </v:shape>
            <v:shape id="_x0000_s3074" o:spid="_x0000_s3074" o:spt="202" type="#_x0000_t202" style="position:absolute;left:1291;top:2599;height:170;width:190;" filled="f" stroked="f" coordsize="21600,21600">
              <v:path/>
              <v:fill on="f" focussize="0,0"/>
              <v:stroke on="f" joinstyle="miter"/>
              <v:imagedata o:title=""/>
              <o:lock v:ext="edit"/>
              <v:textbox inset="0mm,0mm,0mm,0mm">
                <w:txbxContent>
                  <w:p w14:paraId="6E03AA1E">
                    <w:pPr>
                      <w:spacing w:before="0" w:line="169" w:lineRule="exact"/>
                      <w:ind w:left="0" w:right="0" w:firstLine="0"/>
                      <w:jc w:val="left"/>
                      <w:rPr>
                        <w:sz w:val="17"/>
                      </w:rPr>
                    </w:pPr>
                    <w:r>
                      <w:rPr>
                        <w:sz w:val="17"/>
                      </w:rPr>
                      <w:t>NE</w:t>
                    </w:r>
                  </w:p>
                </w:txbxContent>
              </v:textbox>
            </v:shape>
            <v:shape id="_x0000_s3075" o:spid="_x0000_s3075" o:spt="202" type="#_x0000_t202" style="position:absolute;left:416;top:2599;height:170;width:190;" filled="f" stroked="f" coordsize="21600,21600">
              <v:path/>
              <v:fill on="f" focussize="0,0"/>
              <v:stroke on="f" joinstyle="miter"/>
              <v:imagedata o:title=""/>
              <o:lock v:ext="edit"/>
              <v:textbox inset="0mm,0mm,0mm,0mm">
                <w:txbxContent>
                  <w:p w14:paraId="14CD5B77">
                    <w:pPr>
                      <w:spacing w:before="0" w:line="169" w:lineRule="exact"/>
                      <w:ind w:left="0" w:right="0" w:firstLine="0"/>
                      <w:jc w:val="left"/>
                      <w:rPr>
                        <w:sz w:val="17"/>
                      </w:rPr>
                    </w:pPr>
                    <w:r>
                      <w:rPr>
                        <w:sz w:val="17"/>
                      </w:rPr>
                      <w:t>NW</w:t>
                    </w:r>
                  </w:p>
                </w:txbxContent>
              </v:textbox>
            </v:shape>
            <v:shape id="_x0000_s3076" o:spid="_x0000_s3076" o:spt="202" type="#_x0000_t202" style="position:absolute;left:896;top:2416;height:170;width:105;" filled="f" stroked="f" coordsize="21600,21600">
              <v:path/>
              <v:fill on="f" focussize="0,0"/>
              <v:stroke on="f" joinstyle="miter"/>
              <v:imagedata o:title=""/>
              <o:lock v:ext="edit"/>
              <v:textbox inset="0mm,0mm,0mm,0mm">
                <w:txbxContent>
                  <w:p w14:paraId="5C9E1FD5">
                    <w:pPr>
                      <w:spacing w:before="0" w:line="169" w:lineRule="exact"/>
                      <w:ind w:left="0" w:right="0" w:firstLine="0"/>
                      <w:jc w:val="left"/>
                      <w:rPr>
                        <w:sz w:val="17"/>
                      </w:rPr>
                    </w:pPr>
                    <w:r>
                      <w:rPr>
                        <w:w w:val="99"/>
                        <w:sz w:val="17"/>
                      </w:rPr>
                      <w:t>N</w:t>
                    </w:r>
                  </w:p>
                </w:txbxContent>
              </v:textbox>
            </v:shape>
            <v:shape id="_x0000_s3077" o:spid="_x0000_s3077" o:spt="202" type="#_x0000_t202" style="position:absolute;left:5949;top:1978;height:170;width:1207;" filled="f" stroked="f" coordsize="21600,21600">
              <v:path/>
              <v:fill on="f" focussize="0,0"/>
              <v:stroke on="f" joinstyle="miter"/>
              <v:imagedata o:title=""/>
              <o:lock v:ext="edit"/>
              <v:textbox inset="0mm,0mm,0mm,0mm">
                <w:txbxContent>
                  <w:p w14:paraId="184873CD">
                    <w:pPr>
                      <w:spacing w:before="0" w:line="169" w:lineRule="exact"/>
                      <w:ind w:left="0" w:right="0" w:firstLine="0"/>
                      <w:jc w:val="left"/>
                      <w:rPr>
                        <w:sz w:val="17"/>
                      </w:rPr>
                    </w:pPr>
                    <w:r>
                      <w:rPr>
                        <w:sz w:val="17"/>
                      </w:rPr>
                      <w:t>四月,静风0.00%</w:t>
                    </w:r>
                  </w:p>
                </w:txbxContent>
              </v:textbox>
            </v:shape>
            <v:shape id="_x0000_s3078" o:spid="_x0000_s3078" o:spt="202" type="#_x0000_t202" style="position:absolute;left:6499;top:1541;height:170;width:105;" filled="f" stroked="f" coordsize="21600,21600">
              <v:path/>
              <v:fill on="f" focussize="0,0"/>
              <v:stroke on="f" joinstyle="miter"/>
              <v:imagedata o:title=""/>
              <o:lock v:ext="edit"/>
              <v:textbox inset="0mm,0mm,0mm,0mm">
                <w:txbxContent>
                  <w:p w14:paraId="3363D36F">
                    <w:pPr>
                      <w:spacing w:before="0" w:line="169" w:lineRule="exact"/>
                      <w:ind w:left="0" w:right="0" w:firstLine="0"/>
                      <w:jc w:val="left"/>
                      <w:rPr>
                        <w:sz w:val="17"/>
                      </w:rPr>
                    </w:pPr>
                    <w:r>
                      <w:rPr>
                        <w:w w:val="99"/>
                        <w:sz w:val="17"/>
                      </w:rPr>
                      <w:t>S</w:t>
                    </w:r>
                  </w:p>
                </w:txbxContent>
              </v:textbox>
            </v:shape>
            <v:shape id="_x0000_s3079" o:spid="_x0000_s3079" o:spt="202" type="#_x0000_t202" style="position:absolute;left:6895;top:1357;height:170;width:190;" filled="f" stroked="f" coordsize="21600,21600">
              <v:path/>
              <v:fill on="f" focussize="0,0"/>
              <v:stroke on="f" joinstyle="miter"/>
              <v:imagedata o:title=""/>
              <o:lock v:ext="edit"/>
              <v:textbox inset="0mm,0mm,0mm,0mm">
                <w:txbxContent>
                  <w:p w14:paraId="4EEDC249">
                    <w:pPr>
                      <w:spacing w:before="0" w:line="169" w:lineRule="exact"/>
                      <w:ind w:left="0" w:right="0" w:firstLine="0"/>
                      <w:jc w:val="left"/>
                      <w:rPr>
                        <w:sz w:val="17"/>
                      </w:rPr>
                    </w:pPr>
                    <w:r>
                      <w:rPr>
                        <w:sz w:val="17"/>
                      </w:rPr>
                      <w:t>SE</w:t>
                    </w:r>
                  </w:p>
                </w:txbxContent>
              </v:textbox>
            </v:shape>
            <v:shape id="_x0000_s3080" o:spid="_x0000_s3080" o:spt="202" type="#_x0000_t202" style="position:absolute;left:6019;top:1357;height:170;width:190;" filled="f" stroked="f" coordsize="21600,21600">
              <v:path/>
              <v:fill on="f" focussize="0,0"/>
              <v:stroke on="f" joinstyle="miter"/>
              <v:imagedata o:title=""/>
              <o:lock v:ext="edit"/>
              <v:textbox inset="0mm,0mm,0mm,0mm">
                <w:txbxContent>
                  <w:p w14:paraId="747772B9">
                    <w:pPr>
                      <w:spacing w:before="0" w:line="169" w:lineRule="exact"/>
                      <w:ind w:left="0" w:right="0" w:firstLine="0"/>
                      <w:jc w:val="left"/>
                      <w:rPr>
                        <w:sz w:val="17"/>
                      </w:rPr>
                    </w:pPr>
                    <w:r>
                      <w:rPr>
                        <w:sz w:val="17"/>
                      </w:rPr>
                      <w:t>SW</w:t>
                    </w:r>
                  </w:p>
                </w:txbxContent>
              </v:textbox>
            </v:shape>
            <v:shape id="_x0000_s3081" o:spid="_x0000_s3081" o:spt="202" type="#_x0000_t202" style="position:absolute;left:7078;top:920;height:170;width:105;" filled="f" stroked="f" coordsize="21600,21600">
              <v:path/>
              <v:fill on="f" focussize="0,0"/>
              <v:stroke on="f" joinstyle="miter"/>
              <v:imagedata o:title=""/>
              <o:lock v:ext="edit"/>
              <v:textbox inset="0mm,0mm,0mm,0mm">
                <w:txbxContent>
                  <w:p w14:paraId="7D2D3632">
                    <w:pPr>
                      <w:spacing w:before="0" w:line="169" w:lineRule="exact"/>
                      <w:ind w:left="0" w:right="0" w:firstLine="0"/>
                      <w:jc w:val="left"/>
                      <w:rPr>
                        <w:sz w:val="17"/>
                      </w:rPr>
                    </w:pPr>
                    <w:r>
                      <w:rPr>
                        <w:w w:val="99"/>
                        <w:sz w:val="17"/>
                      </w:rPr>
                      <w:t>E</w:t>
                    </w:r>
                  </w:p>
                </w:txbxContent>
              </v:textbox>
            </v:shape>
            <v:shape id="_x0000_s3082" o:spid="_x0000_s3082" o:spt="202" type="#_x0000_t202" style="position:absolute;left:5921;top:920;height:170;width:105;" filled="f" stroked="f" coordsize="21600,21600">
              <v:path/>
              <v:fill on="f" focussize="0,0"/>
              <v:stroke on="f" joinstyle="miter"/>
              <v:imagedata o:title=""/>
              <o:lock v:ext="edit"/>
              <v:textbox inset="0mm,0mm,0mm,0mm">
                <w:txbxContent>
                  <w:p w14:paraId="4FE39F0B">
                    <w:pPr>
                      <w:spacing w:before="0" w:line="169" w:lineRule="exact"/>
                      <w:ind w:left="0" w:right="0" w:firstLine="0"/>
                      <w:jc w:val="left"/>
                      <w:rPr>
                        <w:sz w:val="17"/>
                      </w:rPr>
                    </w:pPr>
                    <w:r>
                      <w:rPr>
                        <w:w w:val="99"/>
                        <w:sz w:val="17"/>
                      </w:rPr>
                      <w:t>W</w:t>
                    </w:r>
                  </w:p>
                </w:txbxContent>
              </v:textbox>
            </v:shape>
            <v:shape id="_x0000_s3083" o:spid="_x0000_s3083" o:spt="202" type="#_x0000_t202" style="position:absolute;left:6895;top:468;height:170;width:190;" filled="f" stroked="f" coordsize="21600,21600">
              <v:path/>
              <v:fill on="f" focussize="0,0"/>
              <v:stroke on="f" joinstyle="miter"/>
              <v:imagedata o:title=""/>
              <o:lock v:ext="edit"/>
              <v:textbox inset="0mm,0mm,0mm,0mm">
                <w:txbxContent>
                  <w:p w14:paraId="5493A851">
                    <w:pPr>
                      <w:spacing w:before="0" w:line="169" w:lineRule="exact"/>
                      <w:ind w:left="0" w:right="0" w:firstLine="0"/>
                      <w:jc w:val="left"/>
                      <w:rPr>
                        <w:sz w:val="17"/>
                      </w:rPr>
                    </w:pPr>
                    <w:r>
                      <w:rPr>
                        <w:sz w:val="17"/>
                      </w:rPr>
                      <w:t>NE</w:t>
                    </w:r>
                  </w:p>
                </w:txbxContent>
              </v:textbox>
            </v:shape>
            <v:shape id="_x0000_s3084" o:spid="_x0000_s3084" o:spt="202" type="#_x0000_t202" style="position:absolute;left:6019;top:468;height:170;width:190;" filled="f" stroked="f" coordsize="21600,21600">
              <v:path/>
              <v:fill on="f" focussize="0,0"/>
              <v:stroke on="f" joinstyle="miter"/>
              <v:imagedata o:title=""/>
              <o:lock v:ext="edit"/>
              <v:textbox inset="0mm,0mm,0mm,0mm">
                <w:txbxContent>
                  <w:p w14:paraId="4A653754">
                    <w:pPr>
                      <w:spacing w:before="0" w:line="169" w:lineRule="exact"/>
                      <w:ind w:left="0" w:right="0" w:firstLine="0"/>
                      <w:jc w:val="left"/>
                      <w:rPr>
                        <w:sz w:val="17"/>
                      </w:rPr>
                    </w:pPr>
                    <w:r>
                      <w:rPr>
                        <w:sz w:val="17"/>
                      </w:rPr>
                      <w:t>NW</w:t>
                    </w:r>
                  </w:p>
                </w:txbxContent>
              </v:textbox>
            </v:shape>
            <v:shape id="_x0000_s3085" o:spid="_x0000_s3085" o:spt="202" type="#_x0000_t202" style="position:absolute;left:6499;top:284;height:170;width:105;" filled="f" stroked="f" coordsize="21600,21600">
              <v:path/>
              <v:fill on="f" focussize="0,0"/>
              <v:stroke on="f" joinstyle="miter"/>
              <v:imagedata o:title=""/>
              <o:lock v:ext="edit"/>
              <v:textbox inset="0mm,0mm,0mm,0mm">
                <w:txbxContent>
                  <w:p w14:paraId="03920BBA">
                    <w:pPr>
                      <w:spacing w:before="0" w:line="169" w:lineRule="exact"/>
                      <w:ind w:left="0" w:right="0" w:firstLine="0"/>
                      <w:jc w:val="left"/>
                      <w:rPr>
                        <w:sz w:val="17"/>
                      </w:rPr>
                    </w:pPr>
                    <w:r>
                      <w:rPr>
                        <w:w w:val="99"/>
                        <w:sz w:val="17"/>
                      </w:rPr>
                      <w:t>N</w:t>
                    </w:r>
                  </w:p>
                </w:txbxContent>
              </v:textbox>
            </v:shape>
            <v:shape id="_x0000_s3086" o:spid="_x0000_s3086" o:spt="202" type="#_x0000_t202" style="position:absolute;left:4072;top:1978;height:170;width:1207;" filled="f" stroked="f" coordsize="21600,21600">
              <v:path/>
              <v:fill on="f" focussize="0,0"/>
              <v:stroke on="f" joinstyle="miter"/>
              <v:imagedata o:title=""/>
              <o:lock v:ext="edit"/>
              <v:textbox inset="0mm,0mm,0mm,0mm">
                <w:txbxContent>
                  <w:p w14:paraId="06C4E4D7">
                    <w:pPr>
                      <w:spacing w:before="0" w:line="169" w:lineRule="exact"/>
                      <w:ind w:left="0" w:right="0" w:firstLine="0"/>
                      <w:jc w:val="left"/>
                      <w:rPr>
                        <w:sz w:val="17"/>
                      </w:rPr>
                    </w:pPr>
                    <w:r>
                      <w:rPr>
                        <w:sz w:val="17"/>
                      </w:rPr>
                      <w:t>三月,静风0.27%</w:t>
                    </w:r>
                  </w:p>
                </w:txbxContent>
              </v:textbox>
            </v:shape>
            <v:shape id="_x0000_s3087" o:spid="_x0000_s3087" o:spt="202" type="#_x0000_t202" style="position:absolute;left:4622;top:1541;height:170;width:105;" filled="f" stroked="f" coordsize="21600,21600">
              <v:path/>
              <v:fill on="f" focussize="0,0"/>
              <v:stroke on="f" joinstyle="miter"/>
              <v:imagedata o:title=""/>
              <o:lock v:ext="edit"/>
              <v:textbox inset="0mm,0mm,0mm,0mm">
                <w:txbxContent>
                  <w:p w14:paraId="2D23E337">
                    <w:pPr>
                      <w:spacing w:before="0" w:line="169" w:lineRule="exact"/>
                      <w:ind w:left="0" w:right="0" w:firstLine="0"/>
                      <w:jc w:val="left"/>
                      <w:rPr>
                        <w:sz w:val="17"/>
                      </w:rPr>
                    </w:pPr>
                    <w:r>
                      <w:rPr>
                        <w:w w:val="99"/>
                        <w:sz w:val="17"/>
                      </w:rPr>
                      <w:t>S</w:t>
                    </w:r>
                  </w:p>
                </w:txbxContent>
              </v:textbox>
            </v:shape>
            <v:shape id="_x0000_s3088" o:spid="_x0000_s3088" o:spt="202" type="#_x0000_t202" style="position:absolute;left:5017;top:1357;height:170;width:190;" filled="f" stroked="f" coordsize="21600,21600">
              <v:path/>
              <v:fill on="f" focussize="0,0"/>
              <v:stroke on="f" joinstyle="miter"/>
              <v:imagedata o:title=""/>
              <o:lock v:ext="edit"/>
              <v:textbox inset="0mm,0mm,0mm,0mm">
                <w:txbxContent>
                  <w:p w14:paraId="3F211F57">
                    <w:pPr>
                      <w:spacing w:before="0" w:line="169" w:lineRule="exact"/>
                      <w:ind w:left="0" w:right="0" w:firstLine="0"/>
                      <w:jc w:val="left"/>
                      <w:rPr>
                        <w:sz w:val="17"/>
                      </w:rPr>
                    </w:pPr>
                    <w:r>
                      <w:rPr>
                        <w:sz w:val="17"/>
                      </w:rPr>
                      <w:t>SE</w:t>
                    </w:r>
                  </w:p>
                </w:txbxContent>
              </v:textbox>
            </v:shape>
            <v:shape id="_x0000_s3089" o:spid="_x0000_s3089" o:spt="202" type="#_x0000_t202" style="position:absolute;left:4142;top:1357;height:170;width:190;" filled="f" stroked="f" coordsize="21600,21600">
              <v:path/>
              <v:fill on="f" focussize="0,0"/>
              <v:stroke on="f" joinstyle="miter"/>
              <v:imagedata o:title=""/>
              <o:lock v:ext="edit"/>
              <v:textbox inset="0mm,0mm,0mm,0mm">
                <w:txbxContent>
                  <w:p w14:paraId="1B93101D">
                    <w:pPr>
                      <w:spacing w:before="0" w:line="169" w:lineRule="exact"/>
                      <w:ind w:left="0" w:right="0" w:firstLine="0"/>
                      <w:jc w:val="left"/>
                      <w:rPr>
                        <w:sz w:val="17"/>
                      </w:rPr>
                    </w:pPr>
                    <w:r>
                      <w:rPr>
                        <w:sz w:val="17"/>
                      </w:rPr>
                      <w:t>SW</w:t>
                    </w:r>
                  </w:p>
                </w:txbxContent>
              </v:textbox>
            </v:shape>
            <v:shape id="_x0000_s3090" o:spid="_x0000_s3090" o:spt="202" type="#_x0000_t202" style="position:absolute;left:5201;top:920;height:170;width:105;" filled="f" stroked="f" coordsize="21600,21600">
              <v:path/>
              <v:fill on="f" focussize="0,0"/>
              <v:stroke on="f" joinstyle="miter"/>
              <v:imagedata o:title=""/>
              <o:lock v:ext="edit"/>
              <v:textbox inset="0mm,0mm,0mm,0mm">
                <w:txbxContent>
                  <w:p w14:paraId="7FD51631">
                    <w:pPr>
                      <w:spacing w:before="0" w:line="169" w:lineRule="exact"/>
                      <w:ind w:left="0" w:right="0" w:firstLine="0"/>
                      <w:jc w:val="left"/>
                      <w:rPr>
                        <w:sz w:val="17"/>
                      </w:rPr>
                    </w:pPr>
                    <w:r>
                      <w:rPr>
                        <w:w w:val="99"/>
                        <w:sz w:val="17"/>
                      </w:rPr>
                      <w:t>E</w:t>
                    </w:r>
                  </w:p>
                </w:txbxContent>
              </v:textbox>
            </v:shape>
            <v:shape id="_x0000_s3091" o:spid="_x0000_s3091" o:spt="202" type="#_x0000_t202" style="position:absolute;left:4043;top:920;height:170;width:105;" filled="f" stroked="f" coordsize="21600,21600">
              <v:path/>
              <v:fill on="f" focussize="0,0"/>
              <v:stroke on="f" joinstyle="miter"/>
              <v:imagedata o:title=""/>
              <o:lock v:ext="edit"/>
              <v:textbox inset="0mm,0mm,0mm,0mm">
                <w:txbxContent>
                  <w:p w14:paraId="2B8FB660">
                    <w:pPr>
                      <w:spacing w:before="0" w:line="169" w:lineRule="exact"/>
                      <w:ind w:left="0" w:right="0" w:firstLine="0"/>
                      <w:jc w:val="left"/>
                      <w:rPr>
                        <w:sz w:val="17"/>
                      </w:rPr>
                    </w:pPr>
                    <w:r>
                      <w:rPr>
                        <w:w w:val="99"/>
                        <w:sz w:val="17"/>
                      </w:rPr>
                      <w:t>W</w:t>
                    </w:r>
                  </w:p>
                </w:txbxContent>
              </v:textbox>
            </v:shape>
            <v:shape id="_x0000_s3092" o:spid="_x0000_s3092" o:spt="202" type="#_x0000_t202" style="position:absolute;left:5017;top:468;height:170;width:190;" filled="f" stroked="f" coordsize="21600,21600">
              <v:path/>
              <v:fill on="f" focussize="0,0"/>
              <v:stroke on="f" joinstyle="miter"/>
              <v:imagedata o:title=""/>
              <o:lock v:ext="edit"/>
              <v:textbox inset="0mm,0mm,0mm,0mm">
                <w:txbxContent>
                  <w:p w14:paraId="1B3E96CE">
                    <w:pPr>
                      <w:spacing w:before="0" w:line="169" w:lineRule="exact"/>
                      <w:ind w:left="0" w:right="0" w:firstLine="0"/>
                      <w:jc w:val="left"/>
                      <w:rPr>
                        <w:sz w:val="17"/>
                      </w:rPr>
                    </w:pPr>
                    <w:r>
                      <w:rPr>
                        <w:sz w:val="17"/>
                      </w:rPr>
                      <w:t>NE</w:t>
                    </w:r>
                  </w:p>
                </w:txbxContent>
              </v:textbox>
            </v:shape>
            <v:shape id="_x0000_s3093" o:spid="_x0000_s3093" o:spt="202" type="#_x0000_t202" style="position:absolute;left:4142;top:468;height:170;width:190;" filled="f" stroked="f" coordsize="21600,21600">
              <v:path/>
              <v:fill on="f" focussize="0,0"/>
              <v:stroke on="f" joinstyle="miter"/>
              <v:imagedata o:title=""/>
              <o:lock v:ext="edit"/>
              <v:textbox inset="0mm,0mm,0mm,0mm">
                <w:txbxContent>
                  <w:p w14:paraId="31F78F2D">
                    <w:pPr>
                      <w:spacing w:before="0" w:line="169" w:lineRule="exact"/>
                      <w:ind w:left="0" w:right="0" w:firstLine="0"/>
                      <w:jc w:val="left"/>
                      <w:rPr>
                        <w:sz w:val="17"/>
                      </w:rPr>
                    </w:pPr>
                    <w:r>
                      <w:rPr>
                        <w:sz w:val="17"/>
                      </w:rPr>
                      <w:t>NW</w:t>
                    </w:r>
                  </w:p>
                </w:txbxContent>
              </v:textbox>
            </v:shape>
            <v:shape id="_x0000_s3094" o:spid="_x0000_s3094" o:spt="202" type="#_x0000_t202" style="position:absolute;left:4622;top:284;height:170;width:105;" filled="f" stroked="f" coordsize="21600,21600">
              <v:path/>
              <v:fill on="f" focussize="0,0"/>
              <v:stroke on="f" joinstyle="miter"/>
              <v:imagedata o:title=""/>
              <o:lock v:ext="edit"/>
              <v:textbox inset="0mm,0mm,0mm,0mm">
                <w:txbxContent>
                  <w:p w14:paraId="1C8B1C82">
                    <w:pPr>
                      <w:spacing w:before="0" w:line="169" w:lineRule="exact"/>
                      <w:ind w:left="0" w:right="0" w:firstLine="0"/>
                      <w:jc w:val="left"/>
                      <w:rPr>
                        <w:sz w:val="17"/>
                      </w:rPr>
                    </w:pPr>
                    <w:r>
                      <w:rPr>
                        <w:w w:val="99"/>
                        <w:sz w:val="17"/>
                      </w:rPr>
                      <w:t>N</w:t>
                    </w:r>
                  </w:p>
                </w:txbxContent>
              </v:textbox>
            </v:shape>
            <v:shape id="_x0000_s3095" o:spid="_x0000_s3095" o:spt="202" type="#_x0000_t202" style="position:absolute;left:2208;top:1978;height:170;width:1207;" filled="f" stroked="f" coordsize="21600,21600">
              <v:path/>
              <v:fill on="f" focussize="0,0"/>
              <v:stroke on="f" joinstyle="miter"/>
              <v:imagedata o:title=""/>
              <o:lock v:ext="edit"/>
              <v:textbox inset="0mm,0mm,0mm,0mm">
                <w:txbxContent>
                  <w:p w14:paraId="0F84D653">
                    <w:pPr>
                      <w:spacing w:before="0" w:line="169" w:lineRule="exact"/>
                      <w:ind w:left="0" w:right="0" w:firstLine="0"/>
                      <w:jc w:val="left"/>
                      <w:rPr>
                        <w:sz w:val="17"/>
                      </w:rPr>
                    </w:pPr>
                    <w:r>
                      <w:rPr>
                        <w:sz w:val="17"/>
                      </w:rPr>
                      <w:t>二月,静风0.00%</w:t>
                    </w:r>
                  </w:p>
                </w:txbxContent>
              </v:textbox>
            </v:shape>
            <v:shape id="_x0000_s3096" o:spid="_x0000_s3096" o:spt="202" type="#_x0000_t202" style="position:absolute;left:2759;top:1541;height:170;width:105;" filled="f" stroked="f" coordsize="21600,21600">
              <v:path/>
              <v:fill on="f" focussize="0,0"/>
              <v:stroke on="f" joinstyle="miter"/>
              <v:imagedata o:title=""/>
              <o:lock v:ext="edit"/>
              <v:textbox inset="0mm,0mm,0mm,0mm">
                <w:txbxContent>
                  <w:p w14:paraId="63F24582">
                    <w:pPr>
                      <w:spacing w:before="0" w:line="169" w:lineRule="exact"/>
                      <w:ind w:left="0" w:right="0" w:firstLine="0"/>
                      <w:jc w:val="left"/>
                      <w:rPr>
                        <w:sz w:val="17"/>
                      </w:rPr>
                    </w:pPr>
                    <w:r>
                      <w:rPr>
                        <w:w w:val="99"/>
                        <w:sz w:val="17"/>
                      </w:rPr>
                      <w:t>S</w:t>
                    </w:r>
                  </w:p>
                </w:txbxContent>
              </v:textbox>
            </v:shape>
            <v:shape id="_x0000_s3097" o:spid="_x0000_s3097" o:spt="202" type="#_x0000_t202" style="position:absolute;left:3154;top:1357;height:170;width:190;" filled="f" stroked="f" coordsize="21600,21600">
              <v:path/>
              <v:fill on="f" focussize="0,0"/>
              <v:stroke on="f" joinstyle="miter"/>
              <v:imagedata o:title=""/>
              <o:lock v:ext="edit"/>
              <v:textbox inset="0mm,0mm,0mm,0mm">
                <w:txbxContent>
                  <w:p w14:paraId="34B37F89">
                    <w:pPr>
                      <w:spacing w:before="0" w:line="169" w:lineRule="exact"/>
                      <w:ind w:left="0" w:right="0" w:firstLine="0"/>
                      <w:jc w:val="left"/>
                      <w:rPr>
                        <w:sz w:val="17"/>
                      </w:rPr>
                    </w:pPr>
                    <w:r>
                      <w:rPr>
                        <w:sz w:val="17"/>
                      </w:rPr>
                      <w:t>SE</w:t>
                    </w:r>
                  </w:p>
                </w:txbxContent>
              </v:textbox>
            </v:shape>
            <v:shape id="_x0000_s3098" o:spid="_x0000_s3098" o:spt="202" type="#_x0000_t202" style="position:absolute;left:2279;top:1357;height:170;width:190;" filled="f" stroked="f" coordsize="21600,21600">
              <v:path/>
              <v:fill on="f" focussize="0,0"/>
              <v:stroke on="f" joinstyle="miter"/>
              <v:imagedata o:title=""/>
              <o:lock v:ext="edit"/>
              <v:textbox inset="0mm,0mm,0mm,0mm">
                <w:txbxContent>
                  <w:p w14:paraId="40EA815F">
                    <w:pPr>
                      <w:spacing w:before="0" w:line="169" w:lineRule="exact"/>
                      <w:ind w:left="0" w:right="0" w:firstLine="0"/>
                      <w:jc w:val="left"/>
                      <w:rPr>
                        <w:sz w:val="17"/>
                      </w:rPr>
                    </w:pPr>
                    <w:r>
                      <w:rPr>
                        <w:sz w:val="17"/>
                      </w:rPr>
                      <w:t>SW</w:t>
                    </w:r>
                  </w:p>
                </w:txbxContent>
              </v:textbox>
            </v:shape>
            <v:shape id="_x0000_s3099" o:spid="_x0000_s3099" o:spt="202" type="#_x0000_t202" style="position:absolute;left:3338;top:920;height:170;width:105;" filled="f" stroked="f" coordsize="21600,21600">
              <v:path/>
              <v:fill on="f" focussize="0,0"/>
              <v:stroke on="f" joinstyle="miter"/>
              <v:imagedata o:title=""/>
              <o:lock v:ext="edit"/>
              <v:textbox inset="0mm,0mm,0mm,0mm">
                <w:txbxContent>
                  <w:p w14:paraId="390F61BE">
                    <w:pPr>
                      <w:spacing w:before="0" w:line="169" w:lineRule="exact"/>
                      <w:ind w:left="0" w:right="0" w:firstLine="0"/>
                      <w:jc w:val="left"/>
                      <w:rPr>
                        <w:sz w:val="17"/>
                      </w:rPr>
                    </w:pPr>
                    <w:r>
                      <w:rPr>
                        <w:w w:val="99"/>
                        <w:sz w:val="17"/>
                      </w:rPr>
                      <w:t>E</w:t>
                    </w:r>
                  </w:p>
                </w:txbxContent>
              </v:textbox>
            </v:shape>
            <v:shape id="_x0000_s3100" o:spid="_x0000_s3100" o:spt="202" type="#_x0000_t202" style="position:absolute;left:2180;top:920;height:170;width:105;" filled="f" stroked="f" coordsize="21600,21600">
              <v:path/>
              <v:fill on="f" focussize="0,0"/>
              <v:stroke on="f" joinstyle="miter"/>
              <v:imagedata o:title=""/>
              <o:lock v:ext="edit"/>
              <v:textbox inset="0mm,0mm,0mm,0mm">
                <w:txbxContent>
                  <w:p w14:paraId="2A3091F1">
                    <w:pPr>
                      <w:spacing w:before="0" w:line="169" w:lineRule="exact"/>
                      <w:ind w:left="0" w:right="0" w:firstLine="0"/>
                      <w:jc w:val="left"/>
                      <w:rPr>
                        <w:sz w:val="17"/>
                      </w:rPr>
                    </w:pPr>
                    <w:r>
                      <w:rPr>
                        <w:w w:val="99"/>
                        <w:sz w:val="17"/>
                      </w:rPr>
                      <w:t>W</w:t>
                    </w:r>
                  </w:p>
                </w:txbxContent>
              </v:textbox>
            </v:shape>
            <v:shape id="_x0000_s3101" o:spid="_x0000_s3101" o:spt="202" type="#_x0000_t202" style="position:absolute;left:3154;top:468;height:170;width:190;" filled="f" stroked="f" coordsize="21600,21600">
              <v:path/>
              <v:fill on="f" focussize="0,0"/>
              <v:stroke on="f" joinstyle="miter"/>
              <v:imagedata o:title=""/>
              <o:lock v:ext="edit"/>
              <v:textbox inset="0mm,0mm,0mm,0mm">
                <w:txbxContent>
                  <w:p w14:paraId="6DA26CA9">
                    <w:pPr>
                      <w:spacing w:before="0" w:line="169" w:lineRule="exact"/>
                      <w:ind w:left="0" w:right="0" w:firstLine="0"/>
                      <w:jc w:val="left"/>
                      <w:rPr>
                        <w:sz w:val="17"/>
                      </w:rPr>
                    </w:pPr>
                    <w:r>
                      <w:rPr>
                        <w:sz w:val="17"/>
                      </w:rPr>
                      <w:t>NE</w:t>
                    </w:r>
                  </w:p>
                </w:txbxContent>
              </v:textbox>
            </v:shape>
            <v:shape id="_x0000_s3102" o:spid="_x0000_s3102" o:spt="202" type="#_x0000_t202" style="position:absolute;left:2279;top:468;height:170;width:190;" filled="f" stroked="f" coordsize="21600,21600">
              <v:path/>
              <v:fill on="f" focussize="0,0"/>
              <v:stroke on="f" joinstyle="miter"/>
              <v:imagedata o:title=""/>
              <o:lock v:ext="edit"/>
              <v:textbox inset="0mm,0mm,0mm,0mm">
                <w:txbxContent>
                  <w:p w14:paraId="1E20659C">
                    <w:pPr>
                      <w:spacing w:before="0" w:line="169" w:lineRule="exact"/>
                      <w:ind w:left="0" w:right="0" w:firstLine="0"/>
                      <w:jc w:val="left"/>
                      <w:rPr>
                        <w:sz w:val="17"/>
                      </w:rPr>
                    </w:pPr>
                    <w:r>
                      <w:rPr>
                        <w:sz w:val="17"/>
                      </w:rPr>
                      <w:t>NW</w:t>
                    </w:r>
                  </w:p>
                </w:txbxContent>
              </v:textbox>
            </v:shape>
            <v:shape id="_x0000_s3103" o:spid="_x0000_s3103" o:spt="202" type="#_x0000_t202" style="position:absolute;left:2759;top:284;height:170;width:105;" filled="f" stroked="f" coordsize="21600,21600">
              <v:path/>
              <v:fill on="f" focussize="0,0"/>
              <v:stroke on="f" joinstyle="miter"/>
              <v:imagedata o:title=""/>
              <o:lock v:ext="edit"/>
              <v:textbox inset="0mm,0mm,0mm,0mm">
                <w:txbxContent>
                  <w:p w14:paraId="1E2F3109">
                    <w:pPr>
                      <w:spacing w:before="0" w:line="169" w:lineRule="exact"/>
                      <w:ind w:left="0" w:right="0" w:firstLine="0"/>
                      <w:jc w:val="left"/>
                      <w:rPr>
                        <w:sz w:val="17"/>
                      </w:rPr>
                    </w:pPr>
                    <w:r>
                      <w:rPr>
                        <w:w w:val="99"/>
                        <w:sz w:val="17"/>
                      </w:rPr>
                      <w:t>N</w:t>
                    </w:r>
                  </w:p>
                </w:txbxContent>
              </v:textbox>
            </v:shape>
            <v:shape id="_x0000_s3104" o:spid="_x0000_s3104" o:spt="202" type="#_x0000_t202" style="position:absolute;left:345;top:1978;height:170;width:1207;" filled="f" stroked="f" coordsize="21600,21600">
              <v:path/>
              <v:fill on="f" focussize="0,0"/>
              <v:stroke on="f" joinstyle="miter"/>
              <v:imagedata o:title=""/>
              <o:lock v:ext="edit"/>
              <v:textbox inset="0mm,0mm,0mm,0mm">
                <w:txbxContent>
                  <w:p w14:paraId="33DCF8D0">
                    <w:pPr>
                      <w:spacing w:before="0" w:line="169" w:lineRule="exact"/>
                      <w:ind w:left="0" w:right="0" w:firstLine="0"/>
                      <w:jc w:val="left"/>
                      <w:rPr>
                        <w:sz w:val="17"/>
                      </w:rPr>
                    </w:pPr>
                    <w:r>
                      <w:rPr>
                        <w:sz w:val="17"/>
                      </w:rPr>
                      <w:t>一月,静风0.13%</w:t>
                    </w:r>
                  </w:p>
                </w:txbxContent>
              </v:textbox>
            </v:shape>
            <v:shape id="_x0000_s3105" o:spid="_x0000_s3105" o:spt="202" type="#_x0000_t202" style="position:absolute;left:896;top:1541;height:170;width:105;" filled="f" stroked="f" coordsize="21600,21600">
              <v:path/>
              <v:fill on="f" focussize="0,0"/>
              <v:stroke on="f" joinstyle="miter"/>
              <v:imagedata o:title=""/>
              <o:lock v:ext="edit"/>
              <v:textbox inset="0mm,0mm,0mm,0mm">
                <w:txbxContent>
                  <w:p w14:paraId="5853411C">
                    <w:pPr>
                      <w:spacing w:before="0" w:line="169" w:lineRule="exact"/>
                      <w:ind w:left="0" w:right="0" w:firstLine="0"/>
                      <w:jc w:val="left"/>
                      <w:rPr>
                        <w:sz w:val="17"/>
                      </w:rPr>
                    </w:pPr>
                    <w:r>
                      <w:rPr>
                        <w:w w:val="99"/>
                        <w:sz w:val="17"/>
                      </w:rPr>
                      <w:t>S</w:t>
                    </w:r>
                  </w:p>
                </w:txbxContent>
              </v:textbox>
            </v:shape>
            <v:shape id="_x0000_s3106" o:spid="_x0000_s3106" o:spt="202" type="#_x0000_t202" style="position:absolute;left:1291;top:1357;height:170;width:190;" filled="f" stroked="f" coordsize="21600,21600">
              <v:path/>
              <v:fill on="f" focussize="0,0"/>
              <v:stroke on="f" joinstyle="miter"/>
              <v:imagedata o:title=""/>
              <o:lock v:ext="edit"/>
              <v:textbox inset="0mm,0mm,0mm,0mm">
                <w:txbxContent>
                  <w:p w14:paraId="59DA1A37">
                    <w:pPr>
                      <w:spacing w:before="0" w:line="169" w:lineRule="exact"/>
                      <w:ind w:left="0" w:right="0" w:firstLine="0"/>
                      <w:jc w:val="left"/>
                      <w:rPr>
                        <w:sz w:val="17"/>
                      </w:rPr>
                    </w:pPr>
                    <w:r>
                      <w:rPr>
                        <w:sz w:val="17"/>
                      </w:rPr>
                      <w:t>SE</w:t>
                    </w:r>
                  </w:p>
                </w:txbxContent>
              </v:textbox>
            </v:shape>
            <v:shape id="_x0000_s3107" o:spid="_x0000_s3107" o:spt="202" type="#_x0000_t202" style="position:absolute;left:416;top:1357;height:170;width:190;" filled="f" stroked="f" coordsize="21600,21600">
              <v:path/>
              <v:fill on="f" focussize="0,0"/>
              <v:stroke on="f" joinstyle="miter"/>
              <v:imagedata o:title=""/>
              <o:lock v:ext="edit"/>
              <v:textbox inset="0mm,0mm,0mm,0mm">
                <w:txbxContent>
                  <w:p w14:paraId="4B96A8B3">
                    <w:pPr>
                      <w:spacing w:before="0" w:line="169" w:lineRule="exact"/>
                      <w:ind w:left="0" w:right="0" w:firstLine="0"/>
                      <w:jc w:val="left"/>
                      <w:rPr>
                        <w:sz w:val="17"/>
                      </w:rPr>
                    </w:pPr>
                    <w:r>
                      <w:rPr>
                        <w:sz w:val="17"/>
                      </w:rPr>
                      <w:t>SW</w:t>
                    </w:r>
                  </w:p>
                </w:txbxContent>
              </v:textbox>
            </v:shape>
            <v:shape id="_x0000_s3108" o:spid="_x0000_s3108" o:spt="202" type="#_x0000_t202" style="position:absolute;left:1474;top:920;height:170;width:105;" filled="f" stroked="f" coordsize="21600,21600">
              <v:path/>
              <v:fill on="f" focussize="0,0"/>
              <v:stroke on="f" joinstyle="miter"/>
              <v:imagedata o:title=""/>
              <o:lock v:ext="edit"/>
              <v:textbox inset="0mm,0mm,0mm,0mm">
                <w:txbxContent>
                  <w:p w14:paraId="0BE87647">
                    <w:pPr>
                      <w:spacing w:before="0" w:line="169" w:lineRule="exact"/>
                      <w:ind w:left="0" w:right="0" w:firstLine="0"/>
                      <w:jc w:val="left"/>
                      <w:rPr>
                        <w:sz w:val="17"/>
                      </w:rPr>
                    </w:pPr>
                    <w:r>
                      <w:rPr>
                        <w:w w:val="99"/>
                        <w:sz w:val="17"/>
                      </w:rPr>
                      <w:t>E</w:t>
                    </w:r>
                  </w:p>
                </w:txbxContent>
              </v:textbox>
            </v:shape>
            <v:shape id="_x0000_s3109" o:spid="_x0000_s3109" o:spt="202" type="#_x0000_t202" style="position:absolute;left:317;top:920;height:170;width:105;" filled="f" stroked="f" coordsize="21600,21600">
              <v:path/>
              <v:fill on="f" focussize="0,0"/>
              <v:stroke on="f" joinstyle="miter"/>
              <v:imagedata o:title=""/>
              <o:lock v:ext="edit"/>
              <v:textbox inset="0mm,0mm,0mm,0mm">
                <w:txbxContent>
                  <w:p w14:paraId="5F26825A">
                    <w:pPr>
                      <w:spacing w:before="0" w:line="169" w:lineRule="exact"/>
                      <w:ind w:left="0" w:right="0" w:firstLine="0"/>
                      <w:jc w:val="left"/>
                      <w:rPr>
                        <w:sz w:val="17"/>
                      </w:rPr>
                    </w:pPr>
                    <w:r>
                      <w:rPr>
                        <w:w w:val="99"/>
                        <w:sz w:val="17"/>
                      </w:rPr>
                      <w:t>W</w:t>
                    </w:r>
                  </w:p>
                </w:txbxContent>
              </v:textbox>
            </v:shape>
            <v:shape id="_x0000_s3110" o:spid="_x0000_s3110" o:spt="202" type="#_x0000_t202" style="position:absolute;left:1291;top:468;height:170;width:190;" filled="f" stroked="f" coordsize="21600,21600">
              <v:path/>
              <v:fill on="f" focussize="0,0"/>
              <v:stroke on="f" joinstyle="miter"/>
              <v:imagedata o:title=""/>
              <o:lock v:ext="edit"/>
              <v:textbox inset="0mm,0mm,0mm,0mm">
                <w:txbxContent>
                  <w:p w14:paraId="24489618">
                    <w:pPr>
                      <w:spacing w:before="0" w:line="169" w:lineRule="exact"/>
                      <w:ind w:left="0" w:right="0" w:firstLine="0"/>
                      <w:jc w:val="left"/>
                      <w:rPr>
                        <w:sz w:val="17"/>
                      </w:rPr>
                    </w:pPr>
                    <w:r>
                      <w:rPr>
                        <w:sz w:val="17"/>
                      </w:rPr>
                      <w:t>NE</w:t>
                    </w:r>
                  </w:p>
                </w:txbxContent>
              </v:textbox>
            </v:shape>
            <v:shape id="_x0000_s3111" o:spid="_x0000_s3111" o:spt="202" type="#_x0000_t202" style="position:absolute;left:416;top:468;height:170;width:190;" filled="f" stroked="f" coordsize="21600,21600">
              <v:path/>
              <v:fill on="f" focussize="0,0"/>
              <v:stroke on="f" joinstyle="miter"/>
              <v:imagedata o:title=""/>
              <o:lock v:ext="edit"/>
              <v:textbox inset="0mm,0mm,0mm,0mm">
                <w:txbxContent>
                  <w:p w14:paraId="14A45354">
                    <w:pPr>
                      <w:spacing w:before="0" w:line="169" w:lineRule="exact"/>
                      <w:ind w:left="0" w:right="0" w:firstLine="0"/>
                      <w:jc w:val="left"/>
                      <w:rPr>
                        <w:sz w:val="17"/>
                      </w:rPr>
                    </w:pPr>
                    <w:r>
                      <w:rPr>
                        <w:sz w:val="17"/>
                      </w:rPr>
                      <w:t>NW</w:t>
                    </w:r>
                  </w:p>
                </w:txbxContent>
              </v:textbox>
            </v:shape>
            <v:shape id="_x0000_s3112" o:spid="_x0000_s3112" o:spt="202" type="#_x0000_t202" style="position:absolute;left:896;top:284;height:170;width:105;" filled="f" stroked="f" coordsize="21600,21600">
              <v:path/>
              <v:fill on="f" focussize="0,0"/>
              <v:stroke on="f" joinstyle="miter"/>
              <v:imagedata o:title=""/>
              <o:lock v:ext="edit"/>
              <v:textbox inset="0mm,0mm,0mm,0mm">
                <w:txbxContent>
                  <w:p w14:paraId="1D385945">
                    <w:pPr>
                      <w:spacing w:before="0" w:line="169" w:lineRule="exact"/>
                      <w:ind w:left="0" w:right="0" w:firstLine="0"/>
                      <w:jc w:val="left"/>
                      <w:rPr>
                        <w:sz w:val="17"/>
                      </w:rPr>
                    </w:pPr>
                    <w:r>
                      <w:rPr>
                        <w:w w:val="99"/>
                        <w:sz w:val="17"/>
                      </w:rPr>
                      <w:t>N</w:t>
                    </w:r>
                  </w:p>
                </w:txbxContent>
              </v:textbox>
            </v:shape>
            <w10:wrap type="none"/>
            <w10:anchorlock/>
          </v:group>
        </w:pict>
      </w:r>
    </w:p>
    <w:p w14:paraId="45838186">
      <w:pPr>
        <w:tabs>
          <w:tab w:val="left" w:pos="3215"/>
        </w:tabs>
        <w:spacing w:before="134"/>
        <w:ind w:left="2303" w:right="0" w:firstLine="0"/>
        <w:jc w:val="left"/>
        <w:rPr>
          <w:b/>
          <w:sz w:val="21"/>
        </w:rPr>
      </w:pPr>
      <w:r>
        <w:rPr>
          <w:b/>
          <w:sz w:val="21"/>
        </w:rPr>
        <w:t>图</w:t>
      </w:r>
      <w:r>
        <w:rPr>
          <w:b/>
          <w:spacing w:val="-53"/>
          <w:sz w:val="21"/>
        </w:rPr>
        <w:t xml:space="preserve"> </w:t>
      </w:r>
      <w:r>
        <w:rPr>
          <w:rFonts w:ascii="Times New Roman" w:eastAsia="Times New Roman"/>
          <w:b/>
          <w:sz w:val="21"/>
        </w:rPr>
        <w:t>4.1-5</w:t>
      </w:r>
      <w:r>
        <w:rPr>
          <w:rFonts w:ascii="Times New Roman" w:eastAsia="Times New Roman"/>
          <w:b/>
          <w:sz w:val="21"/>
        </w:rPr>
        <w:tab/>
      </w:r>
      <w:r>
        <w:rPr>
          <w:b/>
          <w:sz w:val="21"/>
        </w:rPr>
        <w:t>项目区域</w:t>
      </w:r>
      <w:r>
        <w:rPr>
          <w:b/>
          <w:spacing w:val="-55"/>
          <w:sz w:val="21"/>
        </w:rPr>
        <w:t xml:space="preserve"> </w:t>
      </w:r>
      <w:r>
        <w:rPr>
          <w:rFonts w:ascii="Times New Roman" w:eastAsia="Times New Roman"/>
          <w:b/>
          <w:sz w:val="21"/>
        </w:rPr>
        <w:t xml:space="preserve">2023 </w:t>
      </w:r>
      <w:r>
        <w:rPr>
          <w:b/>
          <w:sz w:val="21"/>
        </w:rPr>
        <w:t>全年各季风频玫瑰图</w:t>
      </w:r>
    </w:p>
    <w:p w14:paraId="6EDC282C">
      <w:pPr>
        <w:pStyle w:val="10"/>
        <w:spacing w:before="23" w:line="364" w:lineRule="auto"/>
        <w:ind w:left="240" w:right="117" w:firstLine="360"/>
      </w:pPr>
      <w:r>
        <w:rPr>
          <w:spacing w:val="-14"/>
        </w:rPr>
        <w:t xml:space="preserve">根据以上气象数据分析：评价基准年内风速小于 </w:t>
      </w:r>
      <w:r>
        <w:rPr>
          <w:rFonts w:ascii="Times New Roman" w:eastAsia="Times New Roman"/>
        </w:rPr>
        <w:t xml:space="preserve">0.5m/s </w:t>
      </w:r>
      <w:r>
        <w:rPr>
          <w:spacing w:val="-10"/>
        </w:rPr>
        <w:t xml:space="preserve">的持续时间为 </w:t>
      </w:r>
      <w:r>
        <w:rPr>
          <w:rFonts w:ascii="Times New Roman" w:eastAsia="Times New Roman"/>
        </w:rPr>
        <w:t xml:space="preserve">4 </w:t>
      </w:r>
      <w:r>
        <w:t xml:space="preserve">小时， </w:t>
      </w:r>
      <w:r>
        <w:rPr>
          <w:spacing w:val="-16"/>
        </w:rPr>
        <w:t xml:space="preserve">不超过 </w:t>
      </w:r>
      <w:r>
        <w:rPr>
          <w:rFonts w:ascii="Times New Roman" w:eastAsia="Times New Roman"/>
        </w:rPr>
        <w:t xml:space="preserve">72 </w:t>
      </w:r>
      <w:r>
        <w:rPr>
          <w:spacing w:val="-6"/>
        </w:rPr>
        <w:t xml:space="preserve">小时，全年静风频率为 </w:t>
      </w:r>
      <w:r>
        <w:rPr>
          <w:rFonts w:ascii="Times New Roman" w:eastAsia="Times New Roman"/>
        </w:rPr>
        <w:t>0.09%</w:t>
      </w:r>
      <w:r>
        <w:rPr>
          <w:spacing w:val="-13"/>
        </w:rPr>
        <w:t xml:space="preserve">，未超过 </w:t>
      </w:r>
      <w:r>
        <w:rPr>
          <w:rFonts w:ascii="Times New Roman" w:eastAsia="Times New Roman"/>
        </w:rPr>
        <w:t>35%</w:t>
      </w:r>
      <w:r>
        <w:t>。</w:t>
      </w:r>
    </w:p>
    <w:p w14:paraId="2C45C97F">
      <w:pPr>
        <w:pStyle w:val="10"/>
        <w:spacing w:line="306" w:lineRule="exact"/>
        <w:ind w:left="720"/>
      </w:pPr>
      <w:r>
        <w:rPr>
          <w:rFonts w:ascii="Times New Roman" w:eastAsia="Times New Roman"/>
        </w:rPr>
        <w:t>3</w:t>
      </w:r>
      <w:r>
        <w:t>、</w:t>
      </w:r>
      <w:r>
        <w:rPr>
          <w:rFonts w:ascii="Times New Roman" w:eastAsia="Times New Roman"/>
        </w:rPr>
        <w:t xml:space="preserve">2023 </w:t>
      </w:r>
      <w:r>
        <w:t>年高空气象资料</w:t>
      </w:r>
    </w:p>
    <w:p w14:paraId="7B755A33">
      <w:pPr>
        <w:pStyle w:val="10"/>
        <w:spacing w:before="160" w:line="362" w:lineRule="auto"/>
        <w:ind w:left="240" w:right="177" w:firstLine="480"/>
      </w:pPr>
      <w:r>
        <w:t xml:space="preserve">本评价高空气象资料采用环保部评估中心国家环境保护环境影响评价数值模拟重点化验室数据，模拟网格中心点位置北纬 </w:t>
      </w:r>
      <w:r>
        <w:rPr>
          <w:rFonts w:ascii="Times New Roman" w:hAnsi="Times New Roman" w:eastAsia="Times New Roman"/>
        </w:rPr>
        <w:t>28.86°</w:t>
      </w:r>
      <w:r>
        <w:t xml:space="preserve">，东经 </w:t>
      </w:r>
      <w:r>
        <w:rPr>
          <w:rFonts w:ascii="Times New Roman" w:hAnsi="Times New Roman" w:eastAsia="Times New Roman"/>
        </w:rPr>
        <w:t>113.11°</w:t>
      </w:r>
      <w:r>
        <w:t>，位于本</w:t>
      </w:r>
    </w:p>
    <w:p w14:paraId="2862390E">
      <w:pPr>
        <w:spacing w:after="0" w:line="362" w:lineRule="auto"/>
        <w:sectPr>
          <w:footerReference r:id="rId24" w:type="default"/>
          <w:pgSz w:w="11910" w:h="16840"/>
          <w:pgMar w:top="1580" w:right="1560" w:bottom="1220" w:left="1560" w:header="0" w:footer="1024" w:gutter="0"/>
          <w:pgNumType w:start="94"/>
          <w:cols w:space="720" w:num="1"/>
        </w:sectPr>
      </w:pPr>
    </w:p>
    <w:p w14:paraId="7CFC6907">
      <w:pPr>
        <w:pStyle w:val="10"/>
        <w:spacing w:before="63"/>
        <w:ind w:left="240"/>
      </w:pPr>
      <w:r>
        <w:t xml:space="preserve">项目西北侧约 </w:t>
      </w:r>
      <w:r>
        <w:rPr>
          <w:rFonts w:ascii="Times New Roman" w:eastAsia="Times New Roman"/>
        </w:rPr>
        <w:t xml:space="preserve">12.43km </w:t>
      </w:r>
      <w:r>
        <w:t>处。根据环评技术导则，本环评可引用该气象资料。</w:t>
      </w:r>
    </w:p>
    <w:p w14:paraId="16FA54C3">
      <w:pPr>
        <w:pStyle w:val="16"/>
        <w:numPr>
          <w:ilvl w:val="2"/>
          <w:numId w:val="16"/>
        </w:numPr>
        <w:tabs>
          <w:tab w:val="left" w:pos="869"/>
        </w:tabs>
        <w:spacing w:before="161" w:after="0" w:line="240" w:lineRule="auto"/>
        <w:ind w:left="868" w:right="0" w:hanging="628"/>
        <w:jc w:val="left"/>
        <w:rPr>
          <w:rFonts w:ascii="Times New Roman" w:eastAsia="Times New Roman"/>
          <w:b/>
          <w:sz w:val="28"/>
        </w:rPr>
      </w:pPr>
      <w:r>
        <w:rPr>
          <w:b/>
          <w:sz w:val="28"/>
        </w:rPr>
        <w:t>大气环境影响预测方案</w:t>
      </w:r>
    </w:p>
    <w:p w14:paraId="0CE11C49">
      <w:pPr>
        <w:pStyle w:val="10"/>
        <w:spacing w:before="185"/>
        <w:ind w:left="720"/>
      </w:pPr>
      <w:r>
        <w:rPr>
          <w:rFonts w:ascii="Times New Roman" w:eastAsia="Times New Roman"/>
        </w:rPr>
        <w:t>1</w:t>
      </w:r>
      <w:r>
        <w:t>、预测方案及评价内容</w:t>
      </w:r>
    </w:p>
    <w:p w14:paraId="6016CDB1">
      <w:pPr>
        <w:pStyle w:val="10"/>
        <w:spacing w:before="158" w:line="364" w:lineRule="auto"/>
        <w:ind w:left="240" w:right="237" w:firstLine="480"/>
      </w:pPr>
      <w:r>
        <w:rPr>
          <w:spacing w:val="-5"/>
        </w:rPr>
        <w:t>按照《环境影响评价技术导则</w:t>
      </w:r>
      <w:r>
        <w:rPr>
          <w:rFonts w:ascii="Times New Roman" w:hAnsi="Times New Roman" w:eastAsia="Times New Roman"/>
        </w:rPr>
        <w:t>·</w:t>
      </w:r>
      <w:r>
        <w:rPr>
          <w:spacing w:val="-9"/>
        </w:rPr>
        <w:t>大气环境》</w:t>
      </w:r>
      <w:r>
        <w:rPr>
          <w:spacing w:val="-4"/>
        </w:rPr>
        <w:t>（</w:t>
      </w:r>
      <w:r>
        <w:rPr>
          <w:rFonts w:ascii="Times New Roman" w:hAnsi="Times New Roman" w:eastAsia="Times New Roman"/>
          <w:spacing w:val="-4"/>
        </w:rPr>
        <w:t>HJ2.2-2018</w:t>
      </w:r>
      <w:r>
        <w:rPr>
          <w:spacing w:val="-4"/>
        </w:rPr>
        <w:t>），</w:t>
      </w:r>
      <w:r>
        <w:t>确定本次评价预测内容及评价要求如下：</w:t>
      </w:r>
    </w:p>
    <w:p w14:paraId="661612B2">
      <w:pPr>
        <w:pStyle w:val="9"/>
        <w:ind w:left="2877"/>
      </w:pPr>
      <w:r>
        <w:t xml:space="preserve">表 </w:t>
      </w:r>
      <w:r>
        <w:rPr>
          <w:rFonts w:ascii="Times New Roman" w:eastAsia="Times New Roman"/>
        </w:rPr>
        <w:t xml:space="preserve">4.1-7 </w:t>
      </w:r>
      <w:r>
        <w:t>预测内容及评价要求</w:t>
      </w:r>
    </w:p>
    <w:tbl>
      <w:tblPr>
        <w:tblStyle w:val="13"/>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95"/>
        <w:gridCol w:w="1377"/>
        <w:gridCol w:w="1091"/>
        <w:gridCol w:w="1141"/>
        <w:gridCol w:w="1867"/>
        <w:gridCol w:w="1224"/>
        <w:gridCol w:w="1224"/>
      </w:tblGrid>
      <w:tr w14:paraId="104E4F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8" w:hRule="atLeast"/>
        </w:trPr>
        <w:tc>
          <w:tcPr>
            <w:tcW w:w="595" w:type="dxa"/>
            <w:tcBorders>
              <w:left w:val="nil"/>
              <w:right w:val="single" w:color="000000" w:sz="4" w:space="0"/>
            </w:tcBorders>
          </w:tcPr>
          <w:p w14:paraId="3FB43D8D">
            <w:pPr>
              <w:pStyle w:val="17"/>
              <w:spacing w:before="20" w:line="278" w:lineRule="auto"/>
              <w:ind w:left="206" w:right="172"/>
              <w:jc w:val="both"/>
              <w:rPr>
                <w:sz w:val="21"/>
              </w:rPr>
            </w:pPr>
            <w:r>
              <w:rPr>
                <w:sz w:val="21"/>
              </w:rPr>
              <w:t>评价对</w:t>
            </w:r>
          </w:p>
          <w:p w14:paraId="454033DD">
            <w:pPr>
              <w:pStyle w:val="17"/>
              <w:spacing w:line="269" w:lineRule="exact"/>
              <w:ind w:left="206"/>
              <w:jc w:val="both"/>
              <w:rPr>
                <w:sz w:val="21"/>
              </w:rPr>
            </w:pPr>
            <w:r>
              <w:rPr>
                <w:w w:val="99"/>
                <w:sz w:val="21"/>
              </w:rPr>
              <w:t>象</w:t>
            </w:r>
          </w:p>
        </w:tc>
        <w:tc>
          <w:tcPr>
            <w:tcW w:w="1377" w:type="dxa"/>
            <w:tcBorders>
              <w:left w:val="single" w:color="000000" w:sz="4" w:space="0"/>
              <w:right w:val="single" w:color="000000" w:sz="4" w:space="0"/>
            </w:tcBorders>
          </w:tcPr>
          <w:p w14:paraId="031538D5">
            <w:pPr>
              <w:pStyle w:val="17"/>
              <w:jc w:val="left"/>
              <w:rPr>
                <w:b/>
                <w:sz w:val="20"/>
              </w:rPr>
            </w:pPr>
          </w:p>
          <w:p w14:paraId="13679000">
            <w:pPr>
              <w:pStyle w:val="17"/>
              <w:spacing w:before="1"/>
              <w:jc w:val="left"/>
              <w:rPr>
                <w:b/>
                <w:sz w:val="18"/>
              </w:rPr>
            </w:pPr>
          </w:p>
          <w:p w14:paraId="23BF3868">
            <w:pPr>
              <w:pStyle w:val="17"/>
              <w:spacing w:before="1"/>
              <w:ind w:left="105" w:right="80"/>
              <w:rPr>
                <w:sz w:val="21"/>
              </w:rPr>
            </w:pPr>
            <w:r>
              <w:rPr>
                <w:sz w:val="21"/>
              </w:rPr>
              <w:t>污染源</w:t>
            </w:r>
          </w:p>
        </w:tc>
        <w:tc>
          <w:tcPr>
            <w:tcW w:w="1091" w:type="dxa"/>
            <w:tcBorders>
              <w:left w:val="single" w:color="000000" w:sz="4" w:space="0"/>
              <w:right w:val="single" w:color="000000" w:sz="4" w:space="0"/>
            </w:tcBorders>
          </w:tcPr>
          <w:p w14:paraId="4BD0357B">
            <w:pPr>
              <w:pStyle w:val="17"/>
              <w:spacing w:before="12"/>
              <w:jc w:val="left"/>
              <w:rPr>
                <w:b/>
                <w:sz w:val="25"/>
              </w:rPr>
            </w:pPr>
          </w:p>
          <w:p w14:paraId="335E21C6">
            <w:pPr>
              <w:pStyle w:val="17"/>
              <w:spacing w:line="278" w:lineRule="auto"/>
              <w:ind w:left="238" w:right="106" w:hanging="104"/>
              <w:jc w:val="left"/>
              <w:rPr>
                <w:sz w:val="21"/>
              </w:rPr>
            </w:pPr>
            <w:r>
              <w:rPr>
                <w:w w:val="95"/>
                <w:sz w:val="21"/>
              </w:rPr>
              <w:t>污染源排</w:t>
            </w:r>
            <w:r>
              <w:rPr>
                <w:sz w:val="21"/>
              </w:rPr>
              <w:t>放形式</w:t>
            </w:r>
          </w:p>
        </w:tc>
        <w:tc>
          <w:tcPr>
            <w:tcW w:w="1141" w:type="dxa"/>
            <w:tcBorders>
              <w:left w:val="single" w:color="000000" w:sz="4" w:space="0"/>
              <w:right w:val="single" w:color="000000" w:sz="4" w:space="0"/>
            </w:tcBorders>
          </w:tcPr>
          <w:p w14:paraId="1DC9744C">
            <w:pPr>
              <w:pStyle w:val="17"/>
              <w:jc w:val="left"/>
              <w:rPr>
                <w:b/>
                <w:sz w:val="20"/>
              </w:rPr>
            </w:pPr>
          </w:p>
          <w:p w14:paraId="40C24CEA">
            <w:pPr>
              <w:pStyle w:val="17"/>
              <w:spacing w:before="1"/>
              <w:jc w:val="left"/>
              <w:rPr>
                <w:b/>
                <w:sz w:val="18"/>
              </w:rPr>
            </w:pPr>
          </w:p>
          <w:p w14:paraId="6B22D5D2">
            <w:pPr>
              <w:pStyle w:val="17"/>
              <w:spacing w:before="1"/>
              <w:ind w:left="138" w:right="112"/>
              <w:rPr>
                <w:sz w:val="21"/>
              </w:rPr>
            </w:pPr>
            <w:r>
              <w:rPr>
                <w:sz w:val="21"/>
              </w:rPr>
              <w:t>预测内容</w:t>
            </w:r>
          </w:p>
        </w:tc>
        <w:tc>
          <w:tcPr>
            <w:tcW w:w="1867" w:type="dxa"/>
            <w:tcBorders>
              <w:left w:val="single" w:color="000000" w:sz="4" w:space="0"/>
              <w:right w:val="single" w:color="000000" w:sz="4" w:space="0"/>
            </w:tcBorders>
          </w:tcPr>
          <w:p w14:paraId="33A3BB70">
            <w:pPr>
              <w:pStyle w:val="17"/>
              <w:jc w:val="left"/>
              <w:rPr>
                <w:b/>
                <w:sz w:val="20"/>
              </w:rPr>
            </w:pPr>
          </w:p>
          <w:p w14:paraId="29B0CA0C">
            <w:pPr>
              <w:pStyle w:val="17"/>
              <w:spacing w:before="1"/>
              <w:jc w:val="left"/>
              <w:rPr>
                <w:b/>
                <w:sz w:val="18"/>
              </w:rPr>
            </w:pPr>
          </w:p>
          <w:p w14:paraId="6C409ED3">
            <w:pPr>
              <w:pStyle w:val="17"/>
              <w:spacing w:before="1"/>
              <w:ind w:left="184" w:right="161"/>
              <w:rPr>
                <w:sz w:val="21"/>
              </w:rPr>
            </w:pPr>
            <w:r>
              <w:rPr>
                <w:sz w:val="21"/>
              </w:rPr>
              <w:t>评价内容</w:t>
            </w:r>
          </w:p>
        </w:tc>
        <w:tc>
          <w:tcPr>
            <w:tcW w:w="1224" w:type="dxa"/>
            <w:tcBorders>
              <w:left w:val="single" w:color="000000" w:sz="4" w:space="0"/>
              <w:right w:val="single" w:color="000000" w:sz="4" w:space="0"/>
            </w:tcBorders>
          </w:tcPr>
          <w:p w14:paraId="0894CBA6">
            <w:pPr>
              <w:pStyle w:val="17"/>
              <w:jc w:val="left"/>
              <w:rPr>
                <w:b/>
                <w:sz w:val="20"/>
              </w:rPr>
            </w:pPr>
          </w:p>
          <w:p w14:paraId="762433C2">
            <w:pPr>
              <w:pStyle w:val="17"/>
              <w:spacing w:before="1"/>
              <w:jc w:val="left"/>
              <w:rPr>
                <w:b/>
                <w:sz w:val="18"/>
              </w:rPr>
            </w:pPr>
          </w:p>
          <w:p w14:paraId="00C993F9">
            <w:pPr>
              <w:pStyle w:val="17"/>
              <w:spacing w:before="1"/>
              <w:ind w:left="202"/>
              <w:jc w:val="left"/>
              <w:rPr>
                <w:sz w:val="21"/>
              </w:rPr>
            </w:pPr>
            <w:r>
              <w:rPr>
                <w:sz w:val="21"/>
              </w:rPr>
              <w:t>预测因子</w:t>
            </w:r>
          </w:p>
        </w:tc>
        <w:tc>
          <w:tcPr>
            <w:tcW w:w="1224" w:type="dxa"/>
            <w:tcBorders>
              <w:left w:val="single" w:color="000000" w:sz="4" w:space="0"/>
              <w:right w:val="nil"/>
            </w:tcBorders>
          </w:tcPr>
          <w:p w14:paraId="304C8A95">
            <w:pPr>
              <w:pStyle w:val="17"/>
              <w:jc w:val="left"/>
              <w:rPr>
                <w:b/>
                <w:sz w:val="20"/>
              </w:rPr>
            </w:pPr>
          </w:p>
          <w:p w14:paraId="7F6DB4B1">
            <w:pPr>
              <w:pStyle w:val="17"/>
              <w:spacing w:before="1"/>
              <w:jc w:val="left"/>
              <w:rPr>
                <w:b/>
                <w:sz w:val="18"/>
              </w:rPr>
            </w:pPr>
          </w:p>
          <w:p w14:paraId="3CF6730C">
            <w:pPr>
              <w:pStyle w:val="17"/>
              <w:spacing w:before="1"/>
              <w:ind w:left="285" w:right="264"/>
              <w:rPr>
                <w:sz w:val="21"/>
              </w:rPr>
            </w:pPr>
            <w:r>
              <w:rPr>
                <w:sz w:val="21"/>
              </w:rPr>
              <w:t>预测点</w:t>
            </w:r>
          </w:p>
        </w:tc>
      </w:tr>
      <w:tr w14:paraId="1D2487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595" w:type="dxa"/>
            <w:vMerge w:val="restart"/>
            <w:tcBorders>
              <w:left w:val="nil"/>
              <w:bottom w:val="single" w:color="000000" w:sz="4" w:space="0"/>
              <w:right w:val="single" w:color="000000" w:sz="4" w:space="0"/>
            </w:tcBorders>
          </w:tcPr>
          <w:p w14:paraId="1737213E">
            <w:pPr>
              <w:pStyle w:val="17"/>
              <w:jc w:val="left"/>
              <w:rPr>
                <w:b/>
                <w:sz w:val="20"/>
              </w:rPr>
            </w:pPr>
          </w:p>
          <w:p w14:paraId="55C615BF">
            <w:pPr>
              <w:pStyle w:val="17"/>
              <w:jc w:val="left"/>
              <w:rPr>
                <w:b/>
                <w:sz w:val="20"/>
              </w:rPr>
            </w:pPr>
          </w:p>
          <w:p w14:paraId="3279F871">
            <w:pPr>
              <w:pStyle w:val="17"/>
              <w:jc w:val="left"/>
              <w:rPr>
                <w:b/>
                <w:sz w:val="20"/>
              </w:rPr>
            </w:pPr>
          </w:p>
          <w:p w14:paraId="7AD76C6A">
            <w:pPr>
              <w:pStyle w:val="17"/>
              <w:jc w:val="left"/>
              <w:rPr>
                <w:b/>
                <w:sz w:val="20"/>
              </w:rPr>
            </w:pPr>
          </w:p>
          <w:p w14:paraId="12CB7EF2">
            <w:pPr>
              <w:pStyle w:val="17"/>
              <w:jc w:val="left"/>
              <w:rPr>
                <w:b/>
                <w:sz w:val="20"/>
              </w:rPr>
            </w:pPr>
          </w:p>
          <w:p w14:paraId="22431264">
            <w:pPr>
              <w:pStyle w:val="17"/>
              <w:jc w:val="left"/>
              <w:rPr>
                <w:b/>
                <w:sz w:val="20"/>
              </w:rPr>
            </w:pPr>
          </w:p>
          <w:p w14:paraId="59F4B170">
            <w:pPr>
              <w:pStyle w:val="17"/>
              <w:spacing w:before="5"/>
              <w:jc w:val="left"/>
              <w:rPr>
                <w:b/>
                <w:sz w:val="16"/>
              </w:rPr>
            </w:pPr>
          </w:p>
          <w:p w14:paraId="3DC38F6B">
            <w:pPr>
              <w:pStyle w:val="17"/>
              <w:spacing w:line="278" w:lineRule="auto"/>
              <w:ind w:left="206" w:right="172"/>
              <w:jc w:val="both"/>
              <w:rPr>
                <w:sz w:val="21"/>
              </w:rPr>
            </w:pPr>
            <w:r>
              <w:rPr>
                <w:sz w:val="21"/>
              </w:rPr>
              <w:t>达标区</w:t>
            </w:r>
          </w:p>
        </w:tc>
        <w:tc>
          <w:tcPr>
            <w:tcW w:w="1377" w:type="dxa"/>
            <w:tcBorders>
              <w:left w:val="single" w:color="000000" w:sz="4" w:space="0"/>
              <w:bottom w:val="single" w:color="000000" w:sz="4" w:space="0"/>
              <w:right w:val="single" w:color="000000" w:sz="4" w:space="0"/>
            </w:tcBorders>
          </w:tcPr>
          <w:p w14:paraId="62F8D00E">
            <w:pPr>
              <w:pStyle w:val="17"/>
              <w:jc w:val="left"/>
              <w:rPr>
                <w:b/>
                <w:sz w:val="26"/>
              </w:rPr>
            </w:pPr>
          </w:p>
          <w:p w14:paraId="7EC41F8C">
            <w:pPr>
              <w:pStyle w:val="17"/>
              <w:spacing w:before="1"/>
              <w:ind w:left="107" w:right="80"/>
              <w:rPr>
                <w:sz w:val="21"/>
              </w:rPr>
            </w:pPr>
            <w:r>
              <w:rPr>
                <w:sz w:val="21"/>
              </w:rPr>
              <w:t>新增污染源</w:t>
            </w:r>
          </w:p>
        </w:tc>
        <w:tc>
          <w:tcPr>
            <w:tcW w:w="1091" w:type="dxa"/>
            <w:tcBorders>
              <w:left w:val="single" w:color="000000" w:sz="4" w:space="0"/>
              <w:bottom w:val="single" w:color="000000" w:sz="4" w:space="0"/>
              <w:right w:val="single" w:color="000000" w:sz="4" w:space="0"/>
            </w:tcBorders>
          </w:tcPr>
          <w:p w14:paraId="609786C4">
            <w:pPr>
              <w:pStyle w:val="17"/>
              <w:jc w:val="left"/>
              <w:rPr>
                <w:b/>
                <w:sz w:val="26"/>
              </w:rPr>
            </w:pPr>
          </w:p>
          <w:p w14:paraId="158385B6">
            <w:pPr>
              <w:pStyle w:val="17"/>
              <w:spacing w:before="1"/>
              <w:ind w:left="103" w:right="77"/>
              <w:rPr>
                <w:sz w:val="21"/>
              </w:rPr>
            </w:pPr>
            <w:r>
              <w:rPr>
                <w:sz w:val="21"/>
              </w:rPr>
              <w:t>正常排放</w:t>
            </w:r>
          </w:p>
        </w:tc>
        <w:tc>
          <w:tcPr>
            <w:tcW w:w="1141" w:type="dxa"/>
            <w:tcBorders>
              <w:left w:val="single" w:color="000000" w:sz="4" w:space="0"/>
              <w:bottom w:val="single" w:color="000000" w:sz="4" w:space="0"/>
              <w:right w:val="single" w:color="000000" w:sz="4" w:space="0"/>
            </w:tcBorders>
          </w:tcPr>
          <w:p w14:paraId="6A10753B">
            <w:pPr>
              <w:pStyle w:val="17"/>
              <w:spacing w:before="178" w:line="278" w:lineRule="auto"/>
              <w:ind w:left="160" w:right="131"/>
              <w:jc w:val="left"/>
              <w:rPr>
                <w:sz w:val="21"/>
              </w:rPr>
            </w:pPr>
            <w:r>
              <w:rPr>
                <w:w w:val="95"/>
                <w:sz w:val="21"/>
              </w:rPr>
              <w:t>短期浓度长期浓度</w:t>
            </w:r>
          </w:p>
        </w:tc>
        <w:tc>
          <w:tcPr>
            <w:tcW w:w="1867" w:type="dxa"/>
            <w:tcBorders>
              <w:left w:val="single" w:color="000000" w:sz="4" w:space="0"/>
              <w:bottom w:val="single" w:color="000000" w:sz="4" w:space="0"/>
              <w:right w:val="single" w:color="000000" w:sz="4" w:space="0"/>
            </w:tcBorders>
          </w:tcPr>
          <w:p w14:paraId="7BF92CA6">
            <w:pPr>
              <w:pStyle w:val="17"/>
              <w:jc w:val="left"/>
              <w:rPr>
                <w:b/>
                <w:sz w:val="26"/>
              </w:rPr>
            </w:pPr>
          </w:p>
          <w:p w14:paraId="5480BCF3">
            <w:pPr>
              <w:pStyle w:val="17"/>
              <w:spacing w:before="1"/>
              <w:ind w:left="186" w:right="161"/>
              <w:rPr>
                <w:sz w:val="21"/>
              </w:rPr>
            </w:pPr>
            <w:r>
              <w:rPr>
                <w:sz w:val="21"/>
              </w:rPr>
              <w:t>最大浓度占标率</w:t>
            </w:r>
          </w:p>
        </w:tc>
        <w:tc>
          <w:tcPr>
            <w:tcW w:w="1224" w:type="dxa"/>
            <w:tcBorders>
              <w:left w:val="single" w:color="000000" w:sz="4" w:space="0"/>
              <w:bottom w:val="single" w:color="000000" w:sz="4" w:space="0"/>
              <w:right w:val="single" w:color="000000" w:sz="4" w:space="0"/>
            </w:tcBorders>
          </w:tcPr>
          <w:p w14:paraId="4F55AA00">
            <w:pPr>
              <w:pStyle w:val="17"/>
              <w:spacing w:before="18"/>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3E812565">
            <w:pPr>
              <w:pStyle w:val="17"/>
              <w:spacing w:before="1" w:line="312" w:lineRule="exact"/>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left w:val="single" w:color="000000" w:sz="4" w:space="0"/>
              <w:bottom w:val="single" w:color="000000" w:sz="4" w:space="0"/>
              <w:right w:val="nil"/>
            </w:tcBorders>
          </w:tcPr>
          <w:p w14:paraId="21F856E5">
            <w:pPr>
              <w:pStyle w:val="17"/>
              <w:spacing w:before="22"/>
              <w:ind w:left="118" w:firstLine="84"/>
              <w:jc w:val="left"/>
              <w:rPr>
                <w:sz w:val="21"/>
              </w:rPr>
            </w:pPr>
            <w:r>
              <w:rPr>
                <w:sz w:val="21"/>
              </w:rPr>
              <w:t>环境空气</w:t>
            </w:r>
          </w:p>
          <w:p w14:paraId="3EAF7F30">
            <w:pPr>
              <w:pStyle w:val="17"/>
              <w:spacing w:before="2" w:line="310" w:lineRule="atLeast"/>
              <w:ind w:left="305" w:right="49" w:hanging="188"/>
              <w:jc w:val="left"/>
              <w:rPr>
                <w:sz w:val="21"/>
              </w:rPr>
            </w:pPr>
            <w:r>
              <w:rPr>
                <w:sz w:val="21"/>
              </w:rPr>
              <w:t>保护目标、网格点</w:t>
            </w:r>
          </w:p>
        </w:tc>
      </w:tr>
      <w:tr w14:paraId="5A3732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96" w:hRule="atLeast"/>
        </w:trPr>
        <w:tc>
          <w:tcPr>
            <w:tcW w:w="595" w:type="dxa"/>
            <w:vMerge w:val="continue"/>
            <w:tcBorders>
              <w:top w:val="nil"/>
              <w:left w:val="nil"/>
              <w:bottom w:val="single" w:color="000000" w:sz="4" w:space="0"/>
              <w:right w:val="single" w:color="000000" w:sz="4" w:space="0"/>
            </w:tcBorders>
          </w:tcPr>
          <w:p w14:paraId="338214D2">
            <w:pPr>
              <w:rPr>
                <w:sz w:val="2"/>
                <w:szCs w:val="2"/>
              </w:rPr>
            </w:pPr>
          </w:p>
        </w:tc>
        <w:tc>
          <w:tcPr>
            <w:tcW w:w="1377" w:type="dxa"/>
            <w:tcBorders>
              <w:top w:val="single" w:color="000000" w:sz="4" w:space="0"/>
              <w:left w:val="single" w:color="000000" w:sz="4" w:space="0"/>
              <w:bottom w:val="single" w:color="000000" w:sz="4" w:space="0"/>
              <w:right w:val="single" w:color="000000" w:sz="4" w:space="0"/>
            </w:tcBorders>
          </w:tcPr>
          <w:p w14:paraId="4436AD5B">
            <w:pPr>
              <w:pStyle w:val="17"/>
              <w:jc w:val="left"/>
              <w:rPr>
                <w:b/>
                <w:sz w:val="26"/>
              </w:rPr>
            </w:pPr>
          </w:p>
          <w:p w14:paraId="40EDF6DE">
            <w:pPr>
              <w:pStyle w:val="17"/>
              <w:spacing w:line="278" w:lineRule="auto"/>
              <w:ind w:left="117" w:right="-15" w:hanging="99"/>
              <w:rPr>
                <w:sz w:val="21"/>
              </w:rPr>
            </w:pPr>
            <w:r>
              <w:rPr>
                <w:sz w:val="21"/>
              </w:rPr>
              <w:t>新增污染源</w:t>
            </w:r>
            <w:r>
              <w:rPr>
                <w:rFonts w:ascii="Times New Roman" w:eastAsia="Times New Roman"/>
                <w:sz w:val="21"/>
              </w:rPr>
              <w:t xml:space="preserve">- </w:t>
            </w:r>
            <w:r>
              <w:rPr>
                <w:sz w:val="21"/>
              </w:rPr>
              <w:t xml:space="preserve">区域削减污  </w:t>
            </w:r>
            <w:r>
              <w:rPr>
                <w:w w:val="95"/>
                <w:sz w:val="21"/>
              </w:rPr>
              <w:t>染源（如有）</w:t>
            </w:r>
          </w:p>
          <w:p w14:paraId="749AF265">
            <w:pPr>
              <w:pStyle w:val="17"/>
              <w:spacing w:line="278" w:lineRule="auto"/>
              <w:ind w:left="117" w:right="80"/>
              <w:rPr>
                <w:sz w:val="21"/>
              </w:rPr>
            </w:pPr>
            <w:r>
              <w:rPr>
                <w:rFonts w:ascii="Times New Roman" w:eastAsia="Times New Roman"/>
                <w:w w:val="95"/>
                <w:sz w:val="21"/>
              </w:rPr>
              <w:t>+</w:t>
            </w:r>
            <w:r>
              <w:rPr>
                <w:w w:val="95"/>
                <w:sz w:val="21"/>
              </w:rPr>
              <w:t>其他在建、</w:t>
            </w:r>
            <w:r>
              <w:rPr>
                <w:sz w:val="21"/>
              </w:rPr>
              <w:t>拟建的污染源</w:t>
            </w:r>
          </w:p>
        </w:tc>
        <w:tc>
          <w:tcPr>
            <w:tcW w:w="1091" w:type="dxa"/>
            <w:tcBorders>
              <w:top w:val="single" w:color="000000" w:sz="4" w:space="0"/>
              <w:left w:val="single" w:color="000000" w:sz="4" w:space="0"/>
              <w:bottom w:val="single" w:color="000000" w:sz="4" w:space="0"/>
              <w:right w:val="single" w:color="000000" w:sz="4" w:space="0"/>
            </w:tcBorders>
          </w:tcPr>
          <w:p w14:paraId="39C146EF">
            <w:pPr>
              <w:pStyle w:val="17"/>
              <w:jc w:val="left"/>
              <w:rPr>
                <w:b/>
                <w:sz w:val="20"/>
              </w:rPr>
            </w:pPr>
          </w:p>
          <w:p w14:paraId="3B247F54">
            <w:pPr>
              <w:pStyle w:val="17"/>
              <w:jc w:val="left"/>
              <w:rPr>
                <w:b/>
                <w:sz w:val="20"/>
              </w:rPr>
            </w:pPr>
          </w:p>
          <w:p w14:paraId="64AD0FB7">
            <w:pPr>
              <w:pStyle w:val="17"/>
              <w:jc w:val="left"/>
              <w:rPr>
                <w:b/>
                <w:sz w:val="20"/>
              </w:rPr>
            </w:pPr>
          </w:p>
          <w:p w14:paraId="648FA8E0">
            <w:pPr>
              <w:pStyle w:val="17"/>
              <w:spacing w:before="11"/>
              <w:jc w:val="left"/>
              <w:rPr>
                <w:b/>
                <w:sz w:val="26"/>
              </w:rPr>
            </w:pPr>
          </w:p>
          <w:p w14:paraId="78008D24">
            <w:pPr>
              <w:pStyle w:val="17"/>
              <w:ind w:left="103" w:right="77"/>
              <w:rPr>
                <w:sz w:val="21"/>
              </w:rPr>
            </w:pPr>
            <w:r>
              <w:rPr>
                <w:sz w:val="21"/>
              </w:rPr>
              <w:t>正常排放</w:t>
            </w:r>
          </w:p>
        </w:tc>
        <w:tc>
          <w:tcPr>
            <w:tcW w:w="1141" w:type="dxa"/>
            <w:tcBorders>
              <w:top w:val="single" w:color="000000" w:sz="4" w:space="0"/>
              <w:left w:val="single" w:color="000000" w:sz="4" w:space="0"/>
              <w:bottom w:val="single" w:color="000000" w:sz="4" w:space="0"/>
              <w:right w:val="single" w:color="000000" w:sz="4" w:space="0"/>
            </w:tcBorders>
          </w:tcPr>
          <w:p w14:paraId="6216EF32">
            <w:pPr>
              <w:pStyle w:val="17"/>
              <w:jc w:val="left"/>
              <w:rPr>
                <w:b/>
                <w:sz w:val="20"/>
              </w:rPr>
            </w:pPr>
          </w:p>
          <w:p w14:paraId="33F8F7B9">
            <w:pPr>
              <w:pStyle w:val="17"/>
              <w:jc w:val="left"/>
              <w:rPr>
                <w:b/>
                <w:sz w:val="20"/>
              </w:rPr>
            </w:pPr>
          </w:p>
          <w:p w14:paraId="0D93F17A">
            <w:pPr>
              <w:pStyle w:val="17"/>
              <w:jc w:val="left"/>
              <w:rPr>
                <w:b/>
                <w:sz w:val="20"/>
              </w:rPr>
            </w:pPr>
          </w:p>
          <w:p w14:paraId="7768965E">
            <w:pPr>
              <w:pStyle w:val="17"/>
              <w:spacing w:before="9"/>
              <w:jc w:val="left"/>
              <w:rPr>
                <w:b/>
                <w:sz w:val="14"/>
              </w:rPr>
            </w:pPr>
          </w:p>
          <w:p w14:paraId="4DA2A7BC">
            <w:pPr>
              <w:pStyle w:val="17"/>
              <w:spacing w:line="278" w:lineRule="auto"/>
              <w:ind w:left="160" w:right="131"/>
              <w:jc w:val="left"/>
              <w:rPr>
                <w:sz w:val="21"/>
              </w:rPr>
            </w:pPr>
            <w:r>
              <w:rPr>
                <w:w w:val="95"/>
                <w:sz w:val="21"/>
              </w:rPr>
              <w:t>短期浓度长期浓度</w:t>
            </w:r>
          </w:p>
        </w:tc>
        <w:tc>
          <w:tcPr>
            <w:tcW w:w="1867" w:type="dxa"/>
            <w:tcBorders>
              <w:top w:val="single" w:color="000000" w:sz="4" w:space="0"/>
              <w:left w:val="single" w:color="000000" w:sz="4" w:space="0"/>
              <w:bottom w:val="single" w:color="000000" w:sz="4" w:space="0"/>
              <w:right w:val="single" w:color="000000" w:sz="4" w:space="0"/>
            </w:tcBorders>
          </w:tcPr>
          <w:p w14:paraId="4D240DD1">
            <w:pPr>
              <w:pStyle w:val="17"/>
              <w:spacing w:before="21" w:line="278" w:lineRule="auto"/>
              <w:ind w:left="118" w:right="87" w:hanging="3"/>
              <w:rPr>
                <w:sz w:val="21"/>
              </w:rPr>
            </w:pPr>
            <w:r>
              <w:rPr>
                <w:sz w:val="21"/>
              </w:rPr>
              <w:t>叠加达标规划目标浓度后的保证率日平均质量浓度和年平均质量</w:t>
            </w:r>
            <w:r>
              <w:rPr>
                <w:spacing w:val="-5"/>
                <w:w w:val="95"/>
                <w:sz w:val="21"/>
              </w:rPr>
              <w:t>浓度的占标率，或</w:t>
            </w:r>
            <w:r>
              <w:rPr>
                <w:spacing w:val="-5"/>
                <w:sz w:val="21"/>
              </w:rPr>
              <w:t>短期浓度的达标</w:t>
            </w:r>
            <w:r>
              <w:rPr>
                <w:spacing w:val="-6"/>
                <w:w w:val="95"/>
                <w:sz w:val="21"/>
              </w:rPr>
              <w:t>情况；评价年平均</w:t>
            </w:r>
          </w:p>
          <w:p w14:paraId="641AC225">
            <w:pPr>
              <w:pStyle w:val="17"/>
              <w:spacing w:line="268" w:lineRule="exact"/>
              <w:ind w:left="186" w:right="161"/>
              <w:rPr>
                <w:sz w:val="21"/>
              </w:rPr>
            </w:pPr>
            <w:r>
              <w:rPr>
                <w:sz w:val="21"/>
              </w:rPr>
              <w:t>质量浓度变化率</w:t>
            </w:r>
          </w:p>
        </w:tc>
        <w:tc>
          <w:tcPr>
            <w:tcW w:w="1224" w:type="dxa"/>
            <w:tcBorders>
              <w:top w:val="single" w:color="000000" w:sz="4" w:space="0"/>
              <w:left w:val="single" w:color="000000" w:sz="4" w:space="0"/>
              <w:bottom w:val="single" w:color="000000" w:sz="4" w:space="0"/>
              <w:right w:val="single" w:color="000000" w:sz="4" w:space="0"/>
            </w:tcBorders>
          </w:tcPr>
          <w:p w14:paraId="30D8D6C8">
            <w:pPr>
              <w:pStyle w:val="17"/>
              <w:jc w:val="left"/>
              <w:rPr>
                <w:b/>
                <w:sz w:val="22"/>
              </w:rPr>
            </w:pPr>
          </w:p>
          <w:p w14:paraId="18434AC3">
            <w:pPr>
              <w:pStyle w:val="17"/>
              <w:jc w:val="left"/>
              <w:rPr>
                <w:b/>
                <w:sz w:val="22"/>
              </w:rPr>
            </w:pPr>
          </w:p>
          <w:p w14:paraId="1AD5A733">
            <w:pPr>
              <w:pStyle w:val="17"/>
              <w:spacing w:before="3"/>
              <w:jc w:val="left"/>
              <w:rPr>
                <w:b/>
                <w:sz w:val="18"/>
              </w:rPr>
            </w:pPr>
          </w:p>
          <w:p w14:paraId="1564A6D6">
            <w:pPr>
              <w:pStyle w:val="17"/>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0FAB4184">
            <w:pPr>
              <w:pStyle w:val="17"/>
              <w:spacing w:before="40" w:line="278" w:lineRule="auto"/>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top w:val="single" w:color="000000" w:sz="4" w:space="0"/>
              <w:left w:val="single" w:color="000000" w:sz="4" w:space="0"/>
              <w:bottom w:val="single" w:color="000000" w:sz="4" w:space="0"/>
              <w:right w:val="nil"/>
            </w:tcBorders>
          </w:tcPr>
          <w:p w14:paraId="4F989B9B">
            <w:pPr>
              <w:pStyle w:val="17"/>
              <w:jc w:val="left"/>
              <w:rPr>
                <w:b/>
                <w:sz w:val="20"/>
              </w:rPr>
            </w:pPr>
          </w:p>
          <w:p w14:paraId="5CE9A095">
            <w:pPr>
              <w:pStyle w:val="17"/>
              <w:jc w:val="left"/>
              <w:rPr>
                <w:b/>
                <w:sz w:val="20"/>
              </w:rPr>
            </w:pPr>
          </w:p>
          <w:p w14:paraId="32997C59">
            <w:pPr>
              <w:pStyle w:val="17"/>
              <w:spacing w:before="6"/>
              <w:jc w:val="left"/>
              <w:rPr>
                <w:b/>
                <w:sz w:val="22"/>
              </w:rPr>
            </w:pPr>
          </w:p>
          <w:p w14:paraId="46A5B557">
            <w:pPr>
              <w:pStyle w:val="17"/>
              <w:spacing w:before="1" w:line="278" w:lineRule="auto"/>
              <w:ind w:left="118" w:right="49" w:hanging="44"/>
              <w:rPr>
                <w:sz w:val="21"/>
              </w:rPr>
            </w:pPr>
            <w:r>
              <w:rPr>
                <w:sz w:val="21"/>
              </w:rPr>
              <w:t xml:space="preserve">环境空气 </w:t>
            </w:r>
            <w:r>
              <w:rPr>
                <w:w w:val="95"/>
                <w:sz w:val="21"/>
              </w:rPr>
              <w:t>保护目标、</w:t>
            </w:r>
            <w:r>
              <w:rPr>
                <w:sz w:val="21"/>
              </w:rPr>
              <w:t>网格点</w:t>
            </w:r>
          </w:p>
        </w:tc>
      </w:tr>
      <w:tr w14:paraId="01E609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595" w:type="dxa"/>
            <w:vMerge w:val="continue"/>
            <w:tcBorders>
              <w:top w:val="nil"/>
              <w:left w:val="nil"/>
              <w:bottom w:val="single" w:color="000000" w:sz="4" w:space="0"/>
              <w:right w:val="single" w:color="000000" w:sz="4" w:space="0"/>
            </w:tcBorders>
          </w:tcPr>
          <w:p w14:paraId="63C14FB3">
            <w:pPr>
              <w:rPr>
                <w:sz w:val="2"/>
                <w:szCs w:val="2"/>
              </w:rPr>
            </w:pPr>
          </w:p>
        </w:tc>
        <w:tc>
          <w:tcPr>
            <w:tcW w:w="1377" w:type="dxa"/>
            <w:tcBorders>
              <w:top w:val="single" w:color="000000" w:sz="4" w:space="0"/>
              <w:left w:val="single" w:color="000000" w:sz="4" w:space="0"/>
              <w:bottom w:val="single" w:color="000000" w:sz="4" w:space="0"/>
              <w:right w:val="single" w:color="000000" w:sz="4" w:space="0"/>
            </w:tcBorders>
          </w:tcPr>
          <w:p w14:paraId="154B7ADB">
            <w:pPr>
              <w:pStyle w:val="17"/>
              <w:spacing w:before="12"/>
              <w:jc w:val="left"/>
              <w:rPr>
                <w:b/>
                <w:sz w:val="25"/>
              </w:rPr>
            </w:pPr>
          </w:p>
          <w:p w14:paraId="3CD3BFC6">
            <w:pPr>
              <w:pStyle w:val="17"/>
              <w:ind w:left="107" w:right="80"/>
              <w:rPr>
                <w:sz w:val="21"/>
              </w:rPr>
            </w:pPr>
            <w:r>
              <w:rPr>
                <w:sz w:val="21"/>
              </w:rPr>
              <w:t>新增污染源</w:t>
            </w:r>
          </w:p>
        </w:tc>
        <w:tc>
          <w:tcPr>
            <w:tcW w:w="1091" w:type="dxa"/>
            <w:tcBorders>
              <w:top w:val="single" w:color="000000" w:sz="4" w:space="0"/>
              <w:left w:val="single" w:color="000000" w:sz="4" w:space="0"/>
              <w:bottom w:val="single" w:color="000000" w:sz="4" w:space="0"/>
              <w:right w:val="single" w:color="000000" w:sz="4" w:space="0"/>
            </w:tcBorders>
          </w:tcPr>
          <w:p w14:paraId="46B9E25D">
            <w:pPr>
              <w:pStyle w:val="17"/>
              <w:spacing w:before="177" w:line="278" w:lineRule="auto"/>
              <w:ind w:left="449" w:right="106" w:hanging="315"/>
              <w:jc w:val="left"/>
              <w:rPr>
                <w:sz w:val="21"/>
              </w:rPr>
            </w:pPr>
            <w:r>
              <w:rPr>
                <w:w w:val="95"/>
                <w:sz w:val="21"/>
              </w:rPr>
              <w:t>非正常排</w:t>
            </w:r>
            <w:r>
              <w:rPr>
                <w:sz w:val="21"/>
              </w:rPr>
              <w:t>放</w:t>
            </w:r>
          </w:p>
        </w:tc>
        <w:tc>
          <w:tcPr>
            <w:tcW w:w="1141" w:type="dxa"/>
            <w:tcBorders>
              <w:top w:val="single" w:color="000000" w:sz="4" w:space="0"/>
              <w:left w:val="single" w:color="000000" w:sz="4" w:space="0"/>
              <w:bottom w:val="single" w:color="000000" w:sz="4" w:space="0"/>
              <w:right w:val="single" w:color="000000" w:sz="4" w:space="0"/>
            </w:tcBorders>
          </w:tcPr>
          <w:p w14:paraId="3A277DBC">
            <w:pPr>
              <w:pStyle w:val="17"/>
              <w:spacing w:before="177" w:line="278" w:lineRule="auto"/>
              <w:ind w:left="160" w:right="131" w:firstLine="26"/>
              <w:jc w:val="left"/>
              <w:rPr>
                <w:sz w:val="21"/>
              </w:rPr>
            </w:pPr>
            <w:r>
              <w:rPr>
                <w:rFonts w:ascii="Times New Roman" w:eastAsia="Times New Roman"/>
                <w:sz w:val="21"/>
              </w:rPr>
              <w:t xml:space="preserve">1 h </w:t>
            </w:r>
            <w:r>
              <w:rPr>
                <w:sz w:val="21"/>
              </w:rPr>
              <w:t>平均</w:t>
            </w:r>
            <w:r>
              <w:rPr>
                <w:w w:val="95"/>
                <w:sz w:val="21"/>
              </w:rPr>
              <w:t>质量浓度</w:t>
            </w:r>
          </w:p>
        </w:tc>
        <w:tc>
          <w:tcPr>
            <w:tcW w:w="1867" w:type="dxa"/>
            <w:tcBorders>
              <w:top w:val="single" w:color="000000" w:sz="4" w:space="0"/>
              <w:left w:val="single" w:color="000000" w:sz="4" w:space="0"/>
              <w:bottom w:val="single" w:color="000000" w:sz="4" w:space="0"/>
              <w:right w:val="single" w:color="000000" w:sz="4" w:space="0"/>
            </w:tcBorders>
          </w:tcPr>
          <w:p w14:paraId="5EDE2558">
            <w:pPr>
              <w:pStyle w:val="17"/>
              <w:spacing w:before="12"/>
              <w:jc w:val="left"/>
              <w:rPr>
                <w:b/>
                <w:sz w:val="25"/>
              </w:rPr>
            </w:pPr>
          </w:p>
          <w:p w14:paraId="7B81A6B2">
            <w:pPr>
              <w:pStyle w:val="17"/>
              <w:ind w:left="186" w:right="161"/>
              <w:rPr>
                <w:sz w:val="21"/>
              </w:rPr>
            </w:pPr>
            <w:r>
              <w:rPr>
                <w:sz w:val="21"/>
              </w:rPr>
              <w:t>最大浓度占标率</w:t>
            </w:r>
          </w:p>
        </w:tc>
        <w:tc>
          <w:tcPr>
            <w:tcW w:w="1224" w:type="dxa"/>
            <w:tcBorders>
              <w:top w:val="single" w:color="000000" w:sz="4" w:space="0"/>
              <w:left w:val="single" w:color="000000" w:sz="4" w:space="0"/>
              <w:bottom w:val="single" w:color="000000" w:sz="4" w:space="0"/>
              <w:right w:val="single" w:color="000000" w:sz="4" w:space="0"/>
            </w:tcBorders>
          </w:tcPr>
          <w:p w14:paraId="17C72AE9">
            <w:pPr>
              <w:pStyle w:val="17"/>
              <w:spacing w:before="173" w:line="276" w:lineRule="auto"/>
              <w:ind w:left="305" w:right="16" w:hanging="188"/>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、非甲</w:t>
            </w:r>
            <w:r>
              <w:rPr>
                <w:sz w:val="21"/>
                <w:vertAlign w:val="baseline"/>
              </w:rPr>
              <w:t>烷总烃</w:t>
            </w:r>
          </w:p>
        </w:tc>
        <w:tc>
          <w:tcPr>
            <w:tcW w:w="1224" w:type="dxa"/>
            <w:tcBorders>
              <w:top w:val="single" w:color="000000" w:sz="4" w:space="0"/>
              <w:left w:val="single" w:color="000000" w:sz="4" w:space="0"/>
              <w:bottom w:val="single" w:color="000000" w:sz="4" w:space="0"/>
              <w:right w:val="nil"/>
            </w:tcBorders>
          </w:tcPr>
          <w:p w14:paraId="7A56290F">
            <w:pPr>
              <w:pStyle w:val="17"/>
              <w:spacing w:before="20" w:line="278" w:lineRule="auto"/>
              <w:ind w:left="118" w:right="49" w:hanging="44"/>
              <w:rPr>
                <w:sz w:val="21"/>
              </w:rPr>
            </w:pPr>
            <w:r>
              <w:rPr>
                <w:sz w:val="21"/>
              </w:rPr>
              <w:t xml:space="preserve">环境空气 </w:t>
            </w:r>
            <w:r>
              <w:rPr>
                <w:w w:val="95"/>
                <w:sz w:val="21"/>
              </w:rPr>
              <w:t>保护目标、</w:t>
            </w:r>
          </w:p>
          <w:p w14:paraId="7AC94204">
            <w:pPr>
              <w:pStyle w:val="17"/>
              <w:spacing w:line="269" w:lineRule="exact"/>
              <w:ind w:left="285" w:right="264"/>
              <w:rPr>
                <w:sz w:val="21"/>
              </w:rPr>
            </w:pPr>
            <w:r>
              <w:rPr>
                <w:sz w:val="21"/>
              </w:rPr>
              <w:t>网格点</w:t>
            </w:r>
          </w:p>
        </w:tc>
      </w:tr>
      <w:tr w14:paraId="5B15E9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17" w:hRule="atLeast"/>
        </w:trPr>
        <w:tc>
          <w:tcPr>
            <w:tcW w:w="595" w:type="dxa"/>
            <w:vMerge w:val="restart"/>
            <w:tcBorders>
              <w:top w:val="single" w:color="000000" w:sz="4" w:space="0"/>
              <w:left w:val="nil"/>
              <w:right w:val="single" w:color="000000" w:sz="4" w:space="0"/>
            </w:tcBorders>
          </w:tcPr>
          <w:p w14:paraId="717ADB2F">
            <w:pPr>
              <w:pStyle w:val="17"/>
              <w:spacing w:before="1" w:line="242" w:lineRule="auto"/>
              <w:ind w:left="206" w:right="172"/>
              <w:jc w:val="both"/>
              <w:rPr>
                <w:sz w:val="21"/>
              </w:rPr>
            </w:pPr>
            <w:r>
              <w:rPr>
                <w:sz w:val="21"/>
              </w:rPr>
              <w:t>大气环境防护距</w:t>
            </w:r>
          </w:p>
          <w:p w14:paraId="0AA5E57A">
            <w:pPr>
              <w:pStyle w:val="17"/>
              <w:spacing w:before="3" w:line="252" w:lineRule="exact"/>
              <w:ind w:left="206"/>
              <w:jc w:val="both"/>
              <w:rPr>
                <w:sz w:val="21"/>
              </w:rPr>
            </w:pPr>
            <w:r>
              <w:rPr>
                <w:w w:val="99"/>
                <w:sz w:val="21"/>
              </w:rPr>
              <w:t>离</w:t>
            </w:r>
          </w:p>
        </w:tc>
        <w:tc>
          <w:tcPr>
            <w:tcW w:w="1377" w:type="dxa"/>
            <w:tcBorders>
              <w:top w:val="single" w:color="000000" w:sz="4" w:space="0"/>
              <w:left w:val="single" w:color="000000" w:sz="4" w:space="0"/>
              <w:bottom w:val="nil"/>
              <w:right w:val="single" w:color="000000" w:sz="4" w:space="0"/>
            </w:tcBorders>
          </w:tcPr>
          <w:p w14:paraId="1D8A6CCC">
            <w:pPr>
              <w:pStyle w:val="17"/>
              <w:spacing w:before="3"/>
              <w:jc w:val="left"/>
              <w:rPr>
                <w:b/>
                <w:sz w:val="21"/>
              </w:rPr>
            </w:pPr>
          </w:p>
          <w:p w14:paraId="67FB0B2B">
            <w:pPr>
              <w:pStyle w:val="17"/>
              <w:ind w:left="172"/>
              <w:jc w:val="left"/>
              <w:rPr>
                <w:sz w:val="21"/>
              </w:rPr>
            </w:pPr>
            <w:r>
              <w:rPr>
                <w:sz w:val="21"/>
              </w:rPr>
              <w:t>新增污染源</w:t>
            </w:r>
          </w:p>
          <w:p w14:paraId="6322BD29">
            <w:pPr>
              <w:pStyle w:val="17"/>
              <w:spacing w:before="2" w:line="242" w:lineRule="auto"/>
              <w:ind w:left="117" w:right="88" w:firstLine="31"/>
              <w:jc w:val="both"/>
              <w:rPr>
                <w:sz w:val="21"/>
              </w:rPr>
            </w:pPr>
            <w:r>
              <w:rPr>
                <w:rFonts w:ascii="Times New Roman" w:hAnsi="Times New Roman" w:eastAsia="Times New Roman"/>
                <w:sz w:val="21"/>
              </w:rPr>
              <w:t>-“</w:t>
            </w:r>
            <w:r>
              <w:rPr>
                <w:sz w:val="21"/>
              </w:rPr>
              <w:t>以新代老</w:t>
            </w:r>
            <w:r>
              <w:rPr>
                <w:rFonts w:ascii="Times New Roman" w:hAnsi="Times New Roman" w:eastAsia="Times New Roman"/>
                <w:sz w:val="21"/>
              </w:rPr>
              <w:t xml:space="preserve">” </w:t>
            </w:r>
            <w:r>
              <w:rPr>
                <w:sz w:val="21"/>
              </w:rPr>
              <w:t>污染源（如</w:t>
            </w:r>
            <w:r>
              <w:rPr>
                <w:w w:val="95"/>
                <w:sz w:val="21"/>
              </w:rPr>
              <w:t>有）</w:t>
            </w:r>
            <w:r>
              <w:rPr>
                <w:rFonts w:ascii="Times New Roman" w:hAnsi="Times New Roman" w:eastAsia="Times New Roman"/>
                <w:w w:val="95"/>
                <w:sz w:val="21"/>
              </w:rPr>
              <w:t>+</w:t>
            </w:r>
            <w:r>
              <w:rPr>
                <w:w w:val="95"/>
                <w:sz w:val="21"/>
              </w:rPr>
              <w:t>项目全</w:t>
            </w:r>
          </w:p>
          <w:p w14:paraId="790D3E2E">
            <w:pPr>
              <w:pStyle w:val="17"/>
              <w:spacing w:before="3" w:line="235" w:lineRule="exact"/>
              <w:ind w:left="172"/>
              <w:jc w:val="both"/>
              <w:rPr>
                <w:sz w:val="21"/>
              </w:rPr>
            </w:pPr>
            <w:r>
              <w:rPr>
                <w:sz w:val="21"/>
              </w:rPr>
              <w:t>厂现有污染</w:t>
            </w:r>
          </w:p>
        </w:tc>
        <w:tc>
          <w:tcPr>
            <w:tcW w:w="1091" w:type="dxa"/>
            <w:tcBorders>
              <w:top w:val="single" w:color="000000" w:sz="4" w:space="0"/>
              <w:left w:val="single" w:color="000000" w:sz="4" w:space="0"/>
              <w:bottom w:val="nil"/>
              <w:right w:val="single" w:color="000000" w:sz="4" w:space="0"/>
            </w:tcBorders>
          </w:tcPr>
          <w:p w14:paraId="4EA1CBFC">
            <w:pPr>
              <w:pStyle w:val="17"/>
              <w:jc w:val="left"/>
              <w:rPr>
                <w:b/>
                <w:sz w:val="20"/>
              </w:rPr>
            </w:pPr>
          </w:p>
          <w:p w14:paraId="584AA863">
            <w:pPr>
              <w:pStyle w:val="17"/>
              <w:jc w:val="left"/>
              <w:rPr>
                <w:b/>
                <w:sz w:val="20"/>
              </w:rPr>
            </w:pPr>
          </w:p>
          <w:p w14:paraId="230CE7D1">
            <w:pPr>
              <w:pStyle w:val="17"/>
              <w:jc w:val="left"/>
              <w:rPr>
                <w:b/>
                <w:sz w:val="20"/>
              </w:rPr>
            </w:pPr>
          </w:p>
          <w:p w14:paraId="44F70F85">
            <w:pPr>
              <w:pStyle w:val="17"/>
              <w:spacing w:before="5"/>
              <w:jc w:val="left"/>
              <w:rPr>
                <w:b/>
                <w:sz w:val="14"/>
              </w:rPr>
            </w:pPr>
          </w:p>
          <w:p w14:paraId="1F06BE7D">
            <w:pPr>
              <w:pStyle w:val="17"/>
              <w:spacing w:before="1"/>
              <w:ind w:left="103" w:right="77"/>
              <w:rPr>
                <w:sz w:val="21"/>
              </w:rPr>
            </w:pPr>
            <w:r>
              <w:rPr>
                <w:sz w:val="21"/>
              </w:rPr>
              <w:t>正常排放</w:t>
            </w:r>
          </w:p>
        </w:tc>
        <w:tc>
          <w:tcPr>
            <w:tcW w:w="1141" w:type="dxa"/>
            <w:tcBorders>
              <w:top w:val="single" w:color="000000" w:sz="4" w:space="0"/>
              <w:left w:val="single" w:color="000000" w:sz="4" w:space="0"/>
              <w:bottom w:val="nil"/>
              <w:right w:val="single" w:color="000000" w:sz="4" w:space="0"/>
            </w:tcBorders>
          </w:tcPr>
          <w:p w14:paraId="423E3DE0">
            <w:pPr>
              <w:pStyle w:val="17"/>
              <w:jc w:val="left"/>
              <w:rPr>
                <w:b/>
                <w:sz w:val="20"/>
              </w:rPr>
            </w:pPr>
          </w:p>
          <w:p w14:paraId="211BF48A">
            <w:pPr>
              <w:pStyle w:val="17"/>
              <w:jc w:val="left"/>
              <w:rPr>
                <w:b/>
                <w:sz w:val="20"/>
              </w:rPr>
            </w:pPr>
          </w:p>
          <w:p w14:paraId="68CAD2D4">
            <w:pPr>
              <w:pStyle w:val="17"/>
              <w:jc w:val="left"/>
              <w:rPr>
                <w:b/>
                <w:sz w:val="20"/>
              </w:rPr>
            </w:pPr>
          </w:p>
          <w:p w14:paraId="4268116E">
            <w:pPr>
              <w:pStyle w:val="17"/>
              <w:spacing w:before="5"/>
              <w:jc w:val="left"/>
              <w:rPr>
                <w:b/>
                <w:sz w:val="14"/>
              </w:rPr>
            </w:pPr>
          </w:p>
          <w:p w14:paraId="19167229">
            <w:pPr>
              <w:pStyle w:val="17"/>
              <w:spacing w:before="1"/>
              <w:ind w:left="138" w:right="112"/>
              <w:rPr>
                <w:sz w:val="21"/>
              </w:rPr>
            </w:pPr>
            <w:r>
              <w:rPr>
                <w:sz w:val="21"/>
              </w:rPr>
              <w:t>短期浓度</w:t>
            </w:r>
          </w:p>
        </w:tc>
        <w:tc>
          <w:tcPr>
            <w:tcW w:w="1867" w:type="dxa"/>
            <w:tcBorders>
              <w:top w:val="single" w:color="000000" w:sz="4" w:space="0"/>
              <w:left w:val="single" w:color="000000" w:sz="4" w:space="0"/>
              <w:bottom w:val="nil"/>
              <w:right w:val="single" w:color="000000" w:sz="4" w:space="0"/>
            </w:tcBorders>
          </w:tcPr>
          <w:p w14:paraId="128D0E3B">
            <w:pPr>
              <w:pStyle w:val="17"/>
              <w:jc w:val="left"/>
              <w:rPr>
                <w:b/>
                <w:sz w:val="20"/>
              </w:rPr>
            </w:pPr>
          </w:p>
          <w:p w14:paraId="13670E28">
            <w:pPr>
              <w:pStyle w:val="17"/>
              <w:jc w:val="left"/>
              <w:rPr>
                <w:b/>
                <w:sz w:val="20"/>
              </w:rPr>
            </w:pPr>
          </w:p>
          <w:p w14:paraId="5264FE6D">
            <w:pPr>
              <w:pStyle w:val="17"/>
              <w:spacing w:before="10"/>
              <w:jc w:val="left"/>
              <w:rPr>
                <w:b/>
                <w:sz w:val="23"/>
              </w:rPr>
            </w:pPr>
          </w:p>
          <w:p w14:paraId="3837943F">
            <w:pPr>
              <w:pStyle w:val="17"/>
              <w:spacing w:line="242" w:lineRule="auto"/>
              <w:ind w:left="838" w:right="179" w:hanging="632"/>
              <w:jc w:val="left"/>
              <w:rPr>
                <w:sz w:val="21"/>
              </w:rPr>
            </w:pPr>
            <w:r>
              <w:rPr>
                <w:w w:val="95"/>
                <w:sz w:val="21"/>
              </w:rPr>
              <w:t>大气环境防护距</w:t>
            </w:r>
            <w:r>
              <w:rPr>
                <w:sz w:val="21"/>
              </w:rPr>
              <w:t>离</w:t>
            </w:r>
          </w:p>
        </w:tc>
        <w:tc>
          <w:tcPr>
            <w:tcW w:w="1224" w:type="dxa"/>
            <w:tcBorders>
              <w:top w:val="single" w:color="000000" w:sz="4" w:space="0"/>
              <w:left w:val="single" w:color="000000" w:sz="4" w:space="0"/>
              <w:bottom w:val="nil"/>
              <w:right w:val="single" w:color="000000" w:sz="4" w:space="0"/>
            </w:tcBorders>
          </w:tcPr>
          <w:p w14:paraId="0F616EA0">
            <w:pPr>
              <w:pStyle w:val="17"/>
              <w:jc w:val="left"/>
              <w:rPr>
                <w:b/>
                <w:sz w:val="22"/>
              </w:rPr>
            </w:pPr>
          </w:p>
          <w:p w14:paraId="5B54972A">
            <w:pPr>
              <w:pStyle w:val="17"/>
              <w:spacing w:before="10"/>
              <w:jc w:val="left"/>
              <w:rPr>
                <w:b/>
                <w:sz w:val="30"/>
              </w:rPr>
            </w:pPr>
          </w:p>
          <w:p w14:paraId="2BD6D430">
            <w:pPr>
              <w:pStyle w:val="17"/>
              <w:spacing w:before="1"/>
              <w:ind w:left="296"/>
              <w:jc w:val="left"/>
              <w:rPr>
                <w:sz w:val="21"/>
              </w:rPr>
            </w:pP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p w14:paraId="1618B5DB">
            <w:pPr>
              <w:pStyle w:val="17"/>
              <w:spacing w:before="1" w:line="242" w:lineRule="auto"/>
              <w:ind w:left="125" w:right="97"/>
              <w:rPr>
                <w:sz w:val="21"/>
              </w:rPr>
            </w:pPr>
            <w:r>
              <w:rPr>
                <w:rFonts w:ascii="Times New Roman" w:eastAsia="Times New Roman"/>
                <w:w w:val="95"/>
                <w:sz w:val="21"/>
              </w:rPr>
              <w:t>TSP</w:t>
            </w:r>
            <w:r>
              <w:rPr>
                <w:w w:val="95"/>
                <w:sz w:val="21"/>
              </w:rPr>
              <w:t>、非甲</w:t>
            </w:r>
            <w:r>
              <w:rPr>
                <w:sz w:val="21"/>
              </w:rPr>
              <w:t>烷总烃</w:t>
            </w:r>
          </w:p>
        </w:tc>
        <w:tc>
          <w:tcPr>
            <w:tcW w:w="1224" w:type="dxa"/>
            <w:tcBorders>
              <w:top w:val="single" w:color="000000" w:sz="4" w:space="0"/>
              <w:left w:val="single" w:color="000000" w:sz="4" w:space="0"/>
              <w:bottom w:val="nil"/>
              <w:right w:val="nil"/>
            </w:tcBorders>
          </w:tcPr>
          <w:p w14:paraId="1096FFAA">
            <w:pPr>
              <w:pStyle w:val="17"/>
              <w:jc w:val="left"/>
              <w:rPr>
                <w:b/>
                <w:sz w:val="22"/>
              </w:rPr>
            </w:pPr>
          </w:p>
          <w:p w14:paraId="178CC87F">
            <w:pPr>
              <w:pStyle w:val="17"/>
              <w:jc w:val="left"/>
              <w:rPr>
                <w:b/>
                <w:sz w:val="22"/>
              </w:rPr>
            </w:pPr>
          </w:p>
          <w:p w14:paraId="0A83A955">
            <w:pPr>
              <w:pStyle w:val="17"/>
              <w:spacing w:before="7"/>
              <w:jc w:val="left"/>
              <w:rPr>
                <w:b/>
                <w:sz w:val="31"/>
              </w:rPr>
            </w:pPr>
          </w:p>
          <w:p w14:paraId="739772C0">
            <w:pPr>
              <w:pStyle w:val="17"/>
              <w:ind w:left="21"/>
              <w:rPr>
                <w:rFonts w:ascii="Times New Roman"/>
                <w:sz w:val="21"/>
              </w:rPr>
            </w:pPr>
            <w:r>
              <w:rPr>
                <w:rFonts w:ascii="Times New Roman"/>
                <w:w w:val="99"/>
                <w:sz w:val="21"/>
              </w:rPr>
              <w:t>/</w:t>
            </w:r>
          </w:p>
        </w:tc>
      </w:tr>
      <w:tr w14:paraId="6FCD30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1" w:hRule="atLeast"/>
        </w:trPr>
        <w:tc>
          <w:tcPr>
            <w:tcW w:w="595" w:type="dxa"/>
            <w:vMerge w:val="continue"/>
            <w:tcBorders>
              <w:top w:val="nil"/>
              <w:left w:val="nil"/>
              <w:right w:val="single" w:color="000000" w:sz="4" w:space="0"/>
            </w:tcBorders>
          </w:tcPr>
          <w:p w14:paraId="62943F32">
            <w:pPr>
              <w:rPr>
                <w:sz w:val="2"/>
                <w:szCs w:val="2"/>
              </w:rPr>
            </w:pPr>
          </w:p>
        </w:tc>
        <w:tc>
          <w:tcPr>
            <w:tcW w:w="1377" w:type="dxa"/>
            <w:tcBorders>
              <w:top w:val="nil"/>
              <w:left w:val="single" w:color="000000" w:sz="4" w:space="0"/>
              <w:right w:val="single" w:color="000000" w:sz="4" w:space="0"/>
            </w:tcBorders>
          </w:tcPr>
          <w:p w14:paraId="630EC2F5">
            <w:pPr>
              <w:pStyle w:val="17"/>
              <w:spacing w:line="255" w:lineRule="exact"/>
              <w:ind w:left="27"/>
              <w:rPr>
                <w:sz w:val="21"/>
              </w:rPr>
            </w:pPr>
            <w:r>
              <w:rPr>
                <w:w w:val="99"/>
                <w:sz w:val="21"/>
              </w:rPr>
              <w:t>源</w:t>
            </w:r>
          </w:p>
        </w:tc>
        <w:tc>
          <w:tcPr>
            <w:tcW w:w="1091" w:type="dxa"/>
            <w:tcBorders>
              <w:top w:val="nil"/>
              <w:left w:val="single" w:color="000000" w:sz="4" w:space="0"/>
              <w:right w:val="single" w:color="000000" w:sz="4" w:space="0"/>
            </w:tcBorders>
          </w:tcPr>
          <w:p w14:paraId="4A66C038">
            <w:pPr>
              <w:pStyle w:val="17"/>
              <w:jc w:val="left"/>
              <w:rPr>
                <w:rFonts w:ascii="Times New Roman"/>
                <w:sz w:val="22"/>
              </w:rPr>
            </w:pPr>
          </w:p>
        </w:tc>
        <w:tc>
          <w:tcPr>
            <w:tcW w:w="1141" w:type="dxa"/>
            <w:tcBorders>
              <w:top w:val="nil"/>
              <w:left w:val="single" w:color="000000" w:sz="4" w:space="0"/>
              <w:right w:val="single" w:color="000000" w:sz="4" w:space="0"/>
            </w:tcBorders>
          </w:tcPr>
          <w:p w14:paraId="261CBA8F">
            <w:pPr>
              <w:pStyle w:val="17"/>
              <w:jc w:val="left"/>
              <w:rPr>
                <w:rFonts w:ascii="Times New Roman"/>
                <w:sz w:val="22"/>
              </w:rPr>
            </w:pPr>
          </w:p>
        </w:tc>
        <w:tc>
          <w:tcPr>
            <w:tcW w:w="1867" w:type="dxa"/>
            <w:tcBorders>
              <w:top w:val="nil"/>
              <w:left w:val="single" w:color="000000" w:sz="4" w:space="0"/>
              <w:right w:val="single" w:color="000000" w:sz="4" w:space="0"/>
            </w:tcBorders>
          </w:tcPr>
          <w:p w14:paraId="19BB3DE5">
            <w:pPr>
              <w:pStyle w:val="17"/>
              <w:jc w:val="left"/>
              <w:rPr>
                <w:rFonts w:ascii="Times New Roman"/>
                <w:sz w:val="22"/>
              </w:rPr>
            </w:pPr>
          </w:p>
        </w:tc>
        <w:tc>
          <w:tcPr>
            <w:tcW w:w="1224" w:type="dxa"/>
            <w:tcBorders>
              <w:top w:val="nil"/>
              <w:left w:val="single" w:color="000000" w:sz="4" w:space="0"/>
              <w:right w:val="single" w:color="000000" w:sz="4" w:space="0"/>
            </w:tcBorders>
          </w:tcPr>
          <w:p w14:paraId="7F1D38DA">
            <w:pPr>
              <w:pStyle w:val="17"/>
              <w:jc w:val="left"/>
              <w:rPr>
                <w:rFonts w:ascii="Times New Roman"/>
                <w:sz w:val="22"/>
              </w:rPr>
            </w:pPr>
          </w:p>
        </w:tc>
        <w:tc>
          <w:tcPr>
            <w:tcW w:w="1224" w:type="dxa"/>
            <w:tcBorders>
              <w:top w:val="nil"/>
              <w:left w:val="single" w:color="000000" w:sz="4" w:space="0"/>
              <w:right w:val="nil"/>
            </w:tcBorders>
          </w:tcPr>
          <w:p w14:paraId="08CDD988">
            <w:pPr>
              <w:pStyle w:val="17"/>
              <w:jc w:val="left"/>
              <w:rPr>
                <w:rFonts w:ascii="Times New Roman"/>
                <w:sz w:val="22"/>
              </w:rPr>
            </w:pPr>
          </w:p>
        </w:tc>
      </w:tr>
    </w:tbl>
    <w:p w14:paraId="360E0F48">
      <w:pPr>
        <w:pStyle w:val="10"/>
        <w:spacing w:before="81"/>
        <w:ind w:left="720"/>
      </w:pPr>
      <w:r>
        <w:rPr>
          <w:rFonts w:ascii="Times New Roman" w:eastAsia="Times New Roman"/>
        </w:rPr>
        <w:t>2</w:t>
      </w:r>
      <w:r>
        <w:t>、污染源参数</w:t>
      </w:r>
    </w:p>
    <w:p w14:paraId="6D3369ED">
      <w:pPr>
        <w:pStyle w:val="10"/>
        <w:spacing w:before="161"/>
        <w:ind w:left="720"/>
      </w:pPr>
      <w:r>
        <w:t>本项目为新建项目，无现有项目污染源和以新带老污染源。</w:t>
      </w:r>
    </w:p>
    <w:p w14:paraId="67C5EDCB">
      <w:pPr>
        <w:pStyle w:val="10"/>
        <w:spacing w:before="160"/>
        <w:ind w:left="720"/>
      </w:pPr>
      <w:r>
        <w:t>（</w:t>
      </w:r>
      <w:r>
        <w:rPr>
          <w:rFonts w:ascii="Times New Roman" w:eastAsia="Times New Roman"/>
        </w:rPr>
        <w:t>1</w:t>
      </w:r>
      <w:r>
        <w:t>）本项目新增污染源强</w:t>
      </w:r>
    </w:p>
    <w:p w14:paraId="6B2DF624">
      <w:pPr>
        <w:pStyle w:val="10"/>
        <w:spacing w:before="161"/>
        <w:ind w:left="660"/>
      </w:pPr>
      <w:r>
        <w:t>本项目新增污染源强具体参数见下表。</w:t>
      </w:r>
    </w:p>
    <w:p w14:paraId="7EC75678">
      <w:pPr>
        <w:spacing w:after="0"/>
        <w:sectPr>
          <w:pgSz w:w="11910" w:h="16840"/>
          <w:pgMar w:top="1360" w:right="1560" w:bottom="1220" w:left="1560" w:header="0" w:footer="1024" w:gutter="0"/>
          <w:cols w:space="720" w:num="1"/>
        </w:sectPr>
      </w:pPr>
    </w:p>
    <w:p w14:paraId="11FF2B5C">
      <w:pPr>
        <w:pStyle w:val="10"/>
        <w:rPr>
          <w:sz w:val="20"/>
        </w:rPr>
      </w:pPr>
    </w:p>
    <w:p w14:paraId="583013CE">
      <w:pPr>
        <w:pStyle w:val="10"/>
        <w:spacing w:before="8"/>
        <w:rPr>
          <w:sz w:val="28"/>
        </w:rPr>
      </w:pPr>
    </w:p>
    <w:p w14:paraId="72E491F1">
      <w:pPr>
        <w:pStyle w:val="9"/>
        <w:spacing w:before="76"/>
        <w:ind w:left="5719"/>
      </w:pPr>
      <w:r>
        <w:t xml:space="preserve">表 </w:t>
      </w:r>
      <w:r>
        <w:rPr>
          <w:rFonts w:ascii="Times New Roman" w:eastAsia="Times New Roman"/>
        </w:rPr>
        <w:t xml:space="preserve">4.1-8 </w:t>
      </w:r>
      <w:r>
        <w:t>本项目有组织废气排放参数表</w:t>
      </w:r>
    </w:p>
    <w:p w14:paraId="569386D7">
      <w:pPr>
        <w:pStyle w:val="10"/>
        <w:spacing w:before="3"/>
        <w:rPr>
          <w:b/>
          <w:sz w:val="12"/>
        </w:rPr>
      </w:pPr>
    </w:p>
    <w:tbl>
      <w:tblPr>
        <w:tblStyle w:val="13"/>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321"/>
        <w:gridCol w:w="598"/>
        <w:gridCol w:w="724"/>
        <w:gridCol w:w="825"/>
        <w:gridCol w:w="638"/>
        <w:gridCol w:w="806"/>
        <w:gridCol w:w="881"/>
        <w:gridCol w:w="863"/>
        <w:gridCol w:w="825"/>
        <w:gridCol w:w="1068"/>
        <w:gridCol w:w="1219"/>
        <w:gridCol w:w="1331"/>
        <w:gridCol w:w="1120"/>
        <w:gridCol w:w="1205"/>
      </w:tblGrid>
      <w:tr w14:paraId="2B33C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39" w:type="dxa"/>
            <w:vMerge w:val="restart"/>
            <w:tcBorders>
              <w:left w:val="nil"/>
            </w:tcBorders>
          </w:tcPr>
          <w:p w14:paraId="4689076C">
            <w:pPr>
              <w:pStyle w:val="17"/>
              <w:jc w:val="left"/>
              <w:rPr>
                <w:b/>
                <w:sz w:val="20"/>
              </w:rPr>
            </w:pPr>
          </w:p>
          <w:p w14:paraId="2C5550AB">
            <w:pPr>
              <w:pStyle w:val="17"/>
              <w:jc w:val="left"/>
              <w:rPr>
                <w:b/>
                <w:sz w:val="20"/>
              </w:rPr>
            </w:pPr>
          </w:p>
          <w:p w14:paraId="153DC3C0">
            <w:pPr>
              <w:pStyle w:val="17"/>
              <w:jc w:val="left"/>
              <w:rPr>
                <w:b/>
                <w:sz w:val="20"/>
              </w:rPr>
            </w:pPr>
          </w:p>
          <w:p w14:paraId="1A315464">
            <w:pPr>
              <w:pStyle w:val="17"/>
              <w:jc w:val="left"/>
              <w:rPr>
                <w:b/>
                <w:sz w:val="20"/>
              </w:rPr>
            </w:pPr>
          </w:p>
          <w:p w14:paraId="35D170CD">
            <w:pPr>
              <w:pStyle w:val="17"/>
              <w:spacing w:before="1"/>
              <w:jc w:val="left"/>
              <w:rPr>
                <w:b/>
                <w:sz w:val="21"/>
              </w:rPr>
            </w:pPr>
          </w:p>
          <w:p w14:paraId="6CDFD23B">
            <w:pPr>
              <w:pStyle w:val="17"/>
              <w:spacing w:before="1"/>
              <w:ind w:left="163"/>
              <w:jc w:val="left"/>
              <w:rPr>
                <w:sz w:val="21"/>
              </w:rPr>
            </w:pPr>
            <w:r>
              <w:rPr>
                <w:sz w:val="21"/>
              </w:rPr>
              <w:t>编号</w:t>
            </w:r>
          </w:p>
        </w:tc>
        <w:tc>
          <w:tcPr>
            <w:tcW w:w="1321" w:type="dxa"/>
            <w:vMerge w:val="restart"/>
          </w:tcPr>
          <w:p w14:paraId="4D9A55EC">
            <w:pPr>
              <w:pStyle w:val="17"/>
              <w:jc w:val="left"/>
              <w:rPr>
                <w:b/>
                <w:sz w:val="20"/>
              </w:rPr>
            </w:pPr>
          </w:p>
          <w:p w14:paraId="78D92E63">
            <w:pPr>
              <w:pStyle w:val="17"/>
              <w:jc w:val="left"/>
              <w:rPr>
                <w:b/>
                <w:sz w:val="20"/>
              </w:rPr>
            </w:pPr>
          </w:p>
          <w:p w14:paraId="31E7917B">
            <w:pPr>
              <w:pStyle w:val="17"/>
              <w:jc w:val="left"/>
              <w:rPr>
                <w:b/>
                <w:sz w:val="20"/>
              </w:rPr>
            </w:pPr>
          </w:p>
          <w:p w14:paraId="65557D30">
            <w:pPr>
              <w:pStyle w:val="17"/>
              <w:jc w:val="left"/>
              <w:rPr>
                <w:b/>
                <w:sz w:val="20"/>
              </w:rPr>
            </w:pPr>
          </w:p>
          <w:p w14:paraId="762F8B4D">
            <w:pPr>
              <w:pStyle w:val="17"/>
              <w:spacing w:before="1"/>
              <w:jc w:val="left"/>
              <w:rPr>
                <w:b/>
                <w:sz w:val="21"/>
              </w:rPr>
            </w:pPr>
          </w:p>
          <w:p w14:paraId="2D8A87E5">
            <w:pPr>
              <w:pStyle w:val="17"/>
              <w:spacing w:before="1"/>
              <w:ind w:left="421" w:right="417"/>
              <w:rPr>
                <w:sz w:val="21"/>
              </w:rPr>
            </w:pPr>
            <w:r>
              <w:rPr>
                <w:sz w:val="21"/>
              </w:rPr>
              <w:t>名称</w:t>
            </w:r>
          </w:p>
        </w:tc>
        <w:tc>
          <w:tcPr>
            <w:tcW w:w="1322" w:type="dxa"/>
            <w:gridSpan w:val="2"/>
          </w:tcPr>
          <w:p w14:paraId="7EBE5EFC">
            <w:pPr>
              <w:pStyle w:val="17"/>
              <w:spacing w:before="24"/>
              <w:ind w:left="135"/>
              <w:jc w:val="left"/>
              <w:rPr>
                <w:sz w:val="21"/>
              </w:rPr>
            </w:pPr>
            <w:r>
              <w:rPr>
                <w:w w:val="95"/>
                <w:sz w:val="21"/>
              </w:rPr>
              <w:t>排气筒底部</w:t>
            </w:r>
          </w:p>
          <w:p w14:paraId="0290EEF1">
            <w:pPr>
              <w:pStyle w:val="17"/>
              <w:spacing w:before="50"/>
              <w:ind w:left="128"/>
              <w:jc w:val="left"/>
              <w:rPr>
                <w:rFonts w:ascii="Times New Roman" w:eastAsia="Times New Roman"/>
                <w:sz w:val="21"/>
              </w:rPr>
            </w:pPr>
            <w:r>
              <w:rPr>
                <w:w w:val="95"/>
                <w:sz w:val="21"/>
              </w:rPr>
              <w:t>中心坐标</w:t>
            </w:r>
            <w:r>
              <w:rPr>
                <w:rFonts w:ascii="Times New Roman" w:eastAsia="Times New Roman"/>
                <w:w w:val="95"/>
                <w:sz w:val="21"/>
              </w:rPr>
              <w:t>/m</w:t>
            </w:r>
          </w:p>
        </w:tc>
        <w:tc>
          <w:tcPr>
            <w:tcW w:w="825" w:type="dxa"/>
            <w:vMerge w:val="restart"/>
          </w:tcPr>
          <w:p w14:paraId="20BCA302">
            <w:pPr>
              <w:pStyle w:val="17"/>
              <w:jc w:val="left"/>
              <w:rPr>
                <w:b/>
                <w:sz w:val="20"/>
              </w:rPr>
            </w:pPr>
          </w:p>
          <w:p w14:paraId="5C7283DF">
            <w:pPr>
              <w:pStyle w:val="17"/>
              <w:jc w:val="left"/>
              <w:rPr>
                <w:b/>
                <w:sz w:val="20"/>
              </w:rPr>
            </w:pPr>
          </w:p>
          <w:p w14:paraId="299D56F6">
            <w:pPr>
              <w:pStyle w:val="17"/>
              <w:spacing w:before="11"/>
              <w:jc w:val="left"/>
              <w:rPr>
                <w:b/>
                <w:sz w:val="23"/>
              </w:rPr>
            </w:pPr>
          </w:p>
          <w:p w14:paraId="3DB32393">
            <w:pPr>
              <w:pStyle w:val="17"/>
              <w:spacing w:line="285" w:lineRule="auto"/>
              <w:ind w:left="97" w:right="86"/>
              <w:jc w:val="both"/>
              <w:rPr>
                <w:sz w:val="21"/>
              </w:rPr>
            </w:pPr>
            <w:r>
              <w:rPr>
                <w:sz w:val="21"/>
              </w:rPr>
              <w:t>排气筒底部海拔高度</w:t>
            </w:r>
          </w:p>
          <w:p w14:paraId="24AB2CE1">
            <w:pPr>
              <w:pStyle w:val="17"/>
              <w:spacing w:before="11"/>
              <w:ind w:left="171" w:right="163"/>
              <w:rPr>
                <w:rFonts w:ascii="Times New Roman"/>
                <w:sz w:val="21"/>
              </w:rPr>
            </w:pPr>
            <w:r>
              <w:rPr>
                <w:rFonts w:ascii="Times New Roman"/>
                <w:sz w:val="21"/>
              </w:rPr>
              <w:t>/m</w:t>
            </w:r>
          </w:p>
        </w:tc>
        <w:tc>
          <w:tcPr>
            <w:tcW w:w="638" w:type="dxa"/>
            <w:vMerge w:val="restart"/>
          </w:tcPr>
          <w:p w14:paraId="11F220DE">
            <w:pPr>
              <w:pStyle w:val="17"/>
              <w:jc w:val="left"/>
              <w:rPr>
                <w:b/>
                <w:sz w:val="22"/>
              </w:rPr>
            </w:pPr>
          </w:p>
          <w:p w14:paraId="50200D99">
            <w:pPr>
              <w:pStyle w:val="17"/>
              <w:jc w:val="left"/>
              <w:rPr>
                <w:b/>
                <w:sz w:val="22"/>
              </w:rPr>
            </w:pPr>
          </w:p>
          <w:p w14:paraId="7170895A">
            <w:pPr>
              <w:pStyle w:val="17"/>
              <w:spacing w:before="3"/>
              <w:jc w:val="left"/>
              <w:rPr>
                <w:b/>
                <w:sz w:val="32"/>
              </w:rPr>
            </w:pPr>
          </w:p>
          <w:p w14:paraId="6B467214">
            <w:pPr>
              <w:pStyle w:val="17"/>
              <w:spacing w:line="285" w:lineRule="auto"/>
              <w:ind w:left="103" w:right="93" w:firstLine="4"/>
              <w:jc w:val="both"/>
              <w:rPr>
                <w:rFonts w:ascii="Times New Roman" w:eastAsia="Times New Roman"/>
                <w:sz w:val="21"/>
              </w:rPr>
            </w:pPr>
            <w:r>
              <w:rPr>
                <w:sz w:val="21"/>
              </w:rPr>
              <w:t>排气筒高</w:t>
            </w:r>
            <w:r>
              <w:rPr>
                <w:w w:val="95"/>
                <w:sz w:val="21"/>
              </w:rPr>
              <w:t>度</w:t>
            </w:r>
            <w:r>
              <w:rPr>
                <w:rFonts w:ascii="Times New Roman" w:eastAsia="Times New Roman"/>
                <w:w w:val="95"/>
                <w:sz w:val="21"/>
              </w:rPr>
              <w:t>/m</w:t>
            </w:r>
          </w:p>
        </w:tc>
        <w:tc>
          <w:tcPr>
            <w:tcW w:w="806" w:type="dxa"/>
            <w:vMerge w:val="restart"/>
          </w:tcPr>
          <w:p w14:paraId="1009A990">
            <w:pPr>
              <w:pStyle w:val="17"/>
              <w:jc w:val="left"/>
              <w:rPr>
                <w:b/>
                <w:sz w:val="22"/>
              </w:rPr>
            </w:pPr>
          </w:p>
          <w:p w14:paraId="0CF1F060">
            <w:pPr>
              <w:pStyle w:val="17"/>
              <w:jc w:val="left"/>
              <w:rPr>
                <w:b/>
                <w:sz w:val="22"/>
              </w:rPr>
            </w:pPr>
          </w:p>
          <w:p w14:paraId="234DF414">
            <w:pPr>
              <w:pStyle w:val="17"/>
              <w:spacing w:before="3"/>
              <w:jc w:val="left"/>
              <w:rPr>
                <w:b/>
                <w:sz w:val="32"/>
              </w:rPr>
            </w:pPr>
          </w:p>
          <w:p w14:paraId="6D2FDC6C">
            <w:pPr>
              <w:pStyle w:val="17"/>
              <w:spacing w:line="285" w:lineRule="auto"/>
              <w:ind w:left="86" w:right="78"/>
              <w:jc w:val="both"/>
              <w:rPr>
                <w:rFonts w:ascii="Times New Roman" w:eastAsia="Times New Roman"/>
                <w:sz w:val="21"/>
              </w:rPr>
            </w:pPr>
            <w:r>
              <w:rPr>
                <w:sz w:val="21"/>
              </w:rPr>
              <w:t>排气筒出口内径</w:t>
            </w:r>
            <w:r>
              <w:rPr>
                <w:rFonts w:ascii="Times New Roman" w:eastAsia="Times New Roman"/>
                <w:sz w:val="21"/>
              </w:rPr>
              <w:t>/m</w:t>
            </w:r>
          </w:p>
        </w:tc>
        <w:tc>
          <w:tcPr>
            <w:tcW w:w="881" w:type="dxa"/>
            <w:vMerge w:val="restart"/>
          </w:tcPr>
          <w:p w14:paraId="4D3EDCD3">
            <w:pPr>
              <w:pStyle w:val="17"/>
              <w:jc w:val="left"/>
              <w:rPr>
                <w:b/>
                <w:sz w:val="20"/>
              </w:rPr>
            </w:pPr>
          </w:p>
          <w:p w14:paraId="3D1B7A1B">
            <w:pPr>
              <w:pStyle w:val="17"/>
              <w:jc w:val="left"/>
              <w:rPr>
                <w:b/>
                <w:sz w:val="20"/>
              </w:rPr>
            </w:pPr>
          </w:p>
          <w:p w14:paraId="42E47508">
            <w:pPr>
              <w:pStyle w:val="17"/>
              <w:jc w:val="left"/>
              <w:rPr>
                <w:b/>
                <w:sz w:val="20"/>
              </w:rPr>
            </w:pPr>
          </w:p>
          <w:p w14:paraId="6A49E8FB">
            <w:pPr>
              <w:pStyle w:val="17"/>
              <w:spacing w:before="3"/>
              <w:jc w:val="left"/>
              <w:rPr>
                <w:b/>
                <w:sz w:val="16"/>
              </w:rPr>
            </w:pPr>
          </w:p>
          <w:p w14:paraId="6E62A5CE">
            <w:pPr>
              <w:pStyle w:val="17"/>
              <w:spacing w:line="285" w:lineRule="auto"/>
              <w:ind w:left="334" w:right="114" w:hanging="209"/>
              <w:jc w:val="left"/>
              <w:rPr>
                <w:sz w:val="21"/>
              </w:rPr>
            </w:pPr>
            <w:r>
              <w:rPr>
                <w:sz w:val="21"/>
              </w:rPr>
              <w:t>烟气流量</w:t>
            </w:r>
          </w:p>
          <w:p w14:paraId="4120FA38">
            <w:pPr>
              <w:pStyle w:val="17"/>
              <w:spacing w:before="12"/>
              <w:ind w:left="144"/>
              <w:jc w:val="left"/>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863" w:type="dxa"/>
            <w:vMerge w:val="restart"/>
          </w:tcPr>
          <w:p w14:paraId="377D51FC">
            <w:pPr>
              <w:pStyle w:val="17"/>
              <w:jc w:val="left"/>
              <w:rPr>
                <w:b/>
                <w:sz w:val="22"/>
              </w:rPr>
            </w:pPr>
          </w:p>
          <w:p w14:paraId="0AC07D85">
            <w:pPr>
              <w:pStyle w:val="17"/>
              <w:jc w:val="left"/>
              <w:rPr>
                <w:b/>
                <w:sz w:val="22"/>
              </w:rPr>
            </w:pPr>
          </w:p>
          <w:p w14:paraId="5936ECBB">
            <w:pPr>
              <w:pStyle w:val="17"/>
              <w:jc w:val="left"/>
              <w:rPr>
                <w:b/>
                <w:sz w:val="22"/>
              </w:rPr>
            </w:pPr>
          </w:p>
          <w:p w14:paraId="6AD31FE3">
            <w:pPr>
              <w:pStyle w:val="17"/>
              <w:spacing w:before="10"/>
              <w:jc w:val="left"/>
              <w:rPr>
                <w:b/>
                <w:sz w:val="22"/>
              </w:rPr>
            </w:pPr>
          </w:p>
          <w:p w14:paraId="4E9908FF">
            <w:pPr>
              <w:pStyle w:val="17"/>
              <w:spacing w:line="285" w:lineRule="auto"/>
              <w:ind w:left="74" w:right="68" w:firstLine="40"/>
              <w:jc w:val="left"/>
              <w:rPr>
                <w:rFonts w:ascii="Times New Roman" w:eastAsia="Times New Roman"/>
                <w:sz w:val="21"/>
              </w:rPr>
            </w:pPr>
            <w:r>
              <w:rPr>
                <w:sz w:val="21"/>
              </w:rPr>
              <w:t>烟气流</w:t>
            </w:r>
            <w:r>
              <w:rPr>
                <w:w w:val="95"/>
                <w:sz w:val="21"/>
              </w:rPr>
              <w:t>速</w:t>
            </w:r>
            <w:r>
              <w:rPr>
                <w:rFonts w:ascii="Times New Roman" w:eastAsia="Times New Roman"/>
                <w:w w:val="95"/>
                <w:sz w:val="21"/>
              </w:rPr>
              <w:t>/(m/s)</w:t>
            </w:r>
          </w:p>
        </w:tc>
        <w:tc>
          <w:tcPr>
            <w:tcW w:w="825" w:type="dxa"/>
            <w:vMerge w:val="restart"/>
          </w:tcPr>
          <w:p w14:paraId="46E96F92">
            <w:pPr>
              <w:pStyle w:val="17"/>
              <w:jc w:val="left"/>
              <w:rPr>
                <w:b/>
                <w:sz w:val="22"/>
              </w:rPr>
            </w:pPr>
          </w:p>
          <w:p w14:paraId="602234BB">
            <w:pPr>
              <w:pStyle w:val="17"/>
              <w:jc w:val="left"/>
              <w:rPr>
                <w:b/>
                <w:sz w:val="22"/>
              </w:rPr>
            </w:pPr>
          </w:p>
          <w:p w14:paraId="2D5C9864">
            <w:pPr>
              <w:pStyle w:val="17"/>
              <w:jc w:val="left"/>
              <w:rPr>
                <w:b/>
                <w:sz w:val="22"/>
              </w:rPr>
            </w:pPr>
          </w:p>
          <w:p w14:paraId="16C0D146">
            <w:pPr>
              <w:pStyle w:val="17"/>
              <w:spacing w:before="10"/>
              <w:jc w:val="left"/>
              <w:rPr>
                <w:b/>
                <w:sz w:val="22"/>
              </w:rPr>
            </w:pPr>
          </w:p>
          <w:p w14:paraId="25FF0445">
            <w:pPr>
              <w:pStyle w:val="17"/>
              <w:spacing w:line="285" w:lineRule="auto"/>
              <w:ind w:left="169" w:right="86" w:hanging="72"/>
              <w:jc w:val="left"/>
              <w:rPr>
                <w:rFonts w:ascii="Times New Roman" w:hAnsi="Times New Roman" w:eastAsia="Times New Roman"/>
                <w:sz w:val="21"/>
              </w:rPr>
            </w:pPr>
            <w:r>
              <w:rPr>
                <w:sz w:val="21"/>
              </w:rPr>
              <w:t>烟气温度</w:t>
            </w:r>
            <w:r>
              <w:rPr>
                <w:rFonts w:ascii="Times New Roman" w:hAnsi="Times New Roman" w:eastAsia="Times New Roman"/>
                <w:sz w:val="21"/>
              </w:rPr>
              <w:t>/℃</w:t>
            </w:r>
          </w:p>
        </w:tc>
        <w:tc>
          <w:tcPr>
            <w:tcW w:w="1068" w:type="dxa"/>
            <w:vMerge w:val="restart"/>
          </w:tcPr>
          <w:p w14:paraId="303F50F3">
            <w:pPr>
              <w:pStyle w:val="17"/>
              <w:jc w:val="left"/>
              <w:rPr>
                <w:b/>
                <w:sz w:val="22"/>
              </w:rPr>
            </w:pPr>
          </w:p>
          <w:p w14:paraId="1F332AB7">
            <w:pPr>
              <w:pStyle w:val="17"/>
              <w:jc w:val="left"/>
              <w:rPr>
                <w:b/>
                <w:sz w:val="22"/>
              </w:rPr>
            </w:pPr>
          </w:p>
          <w:p w14:paraId="1E90AC8D">
            <w:pPr>
              <w:pStyle w:val="17"/>
              <w:jc w:val="left"/>
              <w:rPr>
                <w:b/>
                <w:sz w:val="22"/>
              </w:rPr>
            </w:pPr>
          </w:p>
          <w:p w14:paraId="560585DD">
            <w:pPr>
              <w:pStyle w:val="17"/>
              <w:spacing w:before="10"/>
              <w:jc w:val="left"/>
              <w:rPr>
                <w:b/>
                <w:sz w:val="22"/>
              </w:rPr>
            </w:pPr>
          </w:p>
          <w:p w14:paraId="5817746C">
            <w:pPr>
              <w:pStyle w:val="17"/>
              <w:spacing w:line="285" w:lineRule="auto"/>
              <w:ind w:left="242" w:right="105" w:hanging="130"/>
              <w:jc w:val="left"/>
              <w:rPr>
                <w:rFonts w:ascii="Times New Roman" w:eastAsia="Times New Roman"/>
                <w:sz w:val="21"/>
              </w:rPr>
            </w:pPr>
            <w:r>
              <w:rPr>
                <w:w w:val="95"/>
                <w:sz w:val="21"/>
              </w:rPr>
              <w:t>年排放小</w:t>
            </w:r>
            <w:r>
              <w:rPr>
                <w:sz w:val="21"/>
              </w:rPr>
              <w:t>时数</w:t>
            </w:r>
            <w:r>
              <w:rPr>
                <w:rFonts w:ascii="Times New Roman" w:eastAsia="Times New Roman"/>
                <w:sz w:val="21"/>
              </w:rPr>
              <w:t>/h</w:t>
            </w:r>
          </w:p>
        </w:tc>
        <w:tc>
          <w:tcPr>
            <w:tcW w:w="2550" w:type="dxa"/>
            <w:gridSpan w:val="2"/>
          </w:tcPr>
          <w:p w14:paraId="1DB361C7">
            <w:pPr>
              <w:pStyle w:val="17"/>
              <w:spacing w:before="3"/>
              <w:jc w:val="left"/>
              <w:rPr>
                <w:b/>
                <w:sz w:val="14"/>
              </w:rPr>
            </w:pPr>
          </w:p>
          <w:p w14:paraId="02A4396E">
            <w:pPr>
              <w:pStyle w:val="17"/>
              <w:ind w:left="833" w:right="827"/>
              <w:rPr>
                <w:sz w:val="21"/>
              </w:rPr>
            </w:pPr>
            <w:r>
              <w:rPr>
                <w:sz w:val="21"/>
              </w:rPr>
              <w:t>正常工况</w:t>
            </w:r>
          </w:p>
        </w:tc>
        <w:tc>
          <w:tcPr>
            <w:tcW w:w="2325" w:type="dxa"/>
            <w:gridSpan w:val="2"/>
            <w:tcBorders>
              <w:right w:val="nil"/>
            </w:tcBorders>
          </w:tcPr>
          <w:p w14:paraId="55985509">
            <w:pPr>
              <w:pStyle w:val="17"/>
              <w:spacing w:before="3"/>
              <w:jc w:val="left"/>
              <w:rPr>
                <w:b/>
                <w:sz w:val="14"/>
              </w:rPr>
            </w:pPr>
          </w:p>
          <w:p w14:paraId="016F9773">
            <w:pPr>
              <w:pStyle w:val="17"/>
              <w:ind w:left="636"/>
              <w:jc w:val="left"/>
              <w:rPr>
                <w:sz w:val="21"/>
              </w:rPr>
            </w:pPr>
            <w:r>
              <w:rPr>
                <w:sz w:val="21"/>
              </w:rPr>
              <w:t>非正常工况</w:t>
            </w:r>
          </w:p>
        </w:tc>
      </w:tr>
      <w:tr w14:paraId="4F55D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39" w:type="dxa"/>
            <w:vMerge w:val="continue"/>
            <w:tcBorders>
              <w:top w:val="nil"/>
              <w:left w:val="nil"/>
            </w:tcBorders>
          </w:tcPr>
          <w:p w14:paraId="454E0A7D">
            <w:pPr>
              <w:rPr>
                <w:sz w:val="2"/>
                <w:szCs w:val="2"/>
              </w:rPr>
            </w:pPr>
          </w:p>
        </w:tc>
        <w:tc>
          <w:tcPr>
            <w:tcW w:w="1321" w:type="dxa"/>
            <w:vMerge w:val="continue"/>
            <w:tcBorders>
              <w:top w:val="nil"/>
            </w:tcBorders>
          </w:tcPr>
          <w:p w14:paraId="374D7F44">
            <w:pPr>
              <w:rPr>
                <w:sz w:val="2"/>
                <w:szCs w:val="2"/>
              </w:rPr>
            </w:pPr>
          </w:p>
        </w:tc>
        <w:tc>
          <w:tcPr>
            <w:tcW w:w="598" w:type="dxa"/>
            <w:vMerge w:val="restart"/>
          </w:tcPr>
          <w:p w14:paraId="029F7152">
            <w:pPr>
              <w:pStyle w:val="17"/>
              <w:jc w:val="left"/>
              <w:rPr>
                <w:b/>
                <w:sz w:val="22"/>
              </w:rPr>
            </w:pPr>
          </w:p>
          <w:p w14:paraId="1630ECB9">
            <w:pPr>
              <w:pStyle w:val="17"/>
              <w:jc w:val="left"/>
              <w:rPr>
                <w:b/>
                <w:sz w:val="22"/>
              </w:rPr>
            </w:pPr>
          </w:p>
          <w:p w14:paraId="02FD30CF">
            <w:pPr>
              <w:pStyle w:val="17"/>
              <w:spacing w:before="12"/>
              <w:jc w:val="left"/>
              <w:rPr>
                <w:b/>
                <w:sz w:val="32"/>
              </w:rPr>
            </w:pPr>
          </w:p>
          <w:p w14:paraId="1552E580">
            <w:pPr>
              <w:pStyle w:val="17"/>
              <w:ind w:left="7"/>
              <w:rPr>
                <w:rFonts w:ascii="Times New Roman"/>
                <w:sz w:val="21"/>
              </w:rPr>
            </w:pPr>
            <w:r>
              <w:rPr>
                <w:rFonts w:ascii="Times New Roman"/>
                <w:w w:val="99"/>
                <w:sz w:val="21"/>
              </w:rPr>
              <w:t>X</w:t>
            </w:r>
          </w:p>
        </w:tc>
        <w:tc>
          <w:tcPr>
            <w:tcW w:w="724" w:type="dxa"/>
            <w:vMerge w:val="restart"/>
          </w:tcPr>
          <w:p w14:paraId="13151531">
            <w:pPr>
              <w:pStyle w:val="17"/>
              <w:jc w:val="left"/>
              <w:rPr>
                <w:b/>
                <w:sz w:val="22"/>
              </w:rPr>
            </w:pPr>
          </w:p>
          <w:p w14:paraId="140320BA">
            <w:pPr>
              <w:pStyle w:val="17"/>
              <w:jc w:val="left"/>
              <w:rPr>
                <w:b/>
                <w:sz w:val="22"/>
              </w:rPr>
            </w:pPr>
          </w:p>
          <w:p w14:paraId="0ED5CCEB">
            <w:pPr>
              <w:pStyle w:val="17"/>
              <w:spacing w:before="12"/>
              <w:jc w:val="left"/>
              <w:rPr>
                <w:b/>
                <w:sz w:val="32"/>
              </w:rPr>
            </w:pPr>
          </w:p>
          <w:p w14:paraId="6554473C">
            <w:pPr>
              <w:pStyle w:val="17"/>
              <w:ind w:left="10"/>
              <w:rPr>
                <w:rFonts w:ascii="Times New Roman"/>
                <w:sz w:val="21"/>
              </w:rPr>
            </w:pPr>
            <w:r>
              <w:rPr>
                <w:rFonts w:ascii="Times New Roman"/>
                <w:w w:val="99"/>
                <w:sz w:val="21"/>
              </w:rPr>
              <w:t>Y</w:t>
            </w:r>
          </w:p>
        </w:tc>
        <w:tc>
          <w:tcPr>
            <w:tcW w:w="825" w:type="dxa"/>
            <w:vMerge w:val="continue"/>
            <w:tcBorders>
              <w:top w:val="nil"/>
            </w:tcBorders>
          </w:tcPr>
          <w:p w14:paraId="0CF2B3A3">
            <w:pPr>
              <w:rPr>
                <w:sz w:val="2"/>
                <w:szCs w:val="2"/>
              </w:rPr>
            </w:pPr>
          </w:p>
        </w:tc>
        <w:tc>
          <w:tcPr>
            <w:tcW w:w="638" w:type="dxa"/>
            <w:vMerge w:val="continue"/>
            <w:tcBorders>
              <w:top w:val="nil"/>
            </w:tcBorders>
          </w:tcPr>
          <w:p w14:paraId="35DCFFC1">
            <w:pPr>
              <w:rPr>
                <w:sz w:val="2"/>
                <w:szCs w:val="2"/>
              </w:rPr>
            </w:pPr>
          </w:p>
        </w:tc>
        <w:tc>
          <w:tcPr>
            <w:tcW w:w="806" w:type="dxa"/>
            <w:vMerge w:val="continue"/>
            <w:tcBorders>
              <w:top w:val="nil"/>
            </w:tcBorders>
          </w:tcPr>
          <w:p w14:paraId="156CEE82">
            <w:pPr>
              <w:rPr>
                <w:sz w:val="2"/>
                <w:szCs w:val="2"/>
              </w:rPr>
            </w:pPr>
          </w:p>
        </w:tc>
        <w:tc>
          <w:tcPr>
            <w:tcW w:w="881" w:type="dxa"/>
            <w:vMerge w:val="continue"/>
            <w:tcBorders>
              <w:top w:val="nil"/>
            </w:tcBorders>
          </w:tcPr>
          <w:p w14:paraId="7A64D96E">
            <w:pPr>
              <w:rPr>
                <w:sz w:val="2"/>
                <w:szCs w:val="2"/>
              </w:rPr>
            </w:pPr>
          </w:p>
        </w:tc>
        <w:tc>
          <w:tcPr>
            <w:tcW w:w="863" w:type="dxa"/>
            <w:vMerge w:val="continue"/>
            <w:tcBorders>
              <w:top w:val="nil"/>
            </w:tcBorders>
          </w:tcPr>
          <w:p w14:paraId="6C4B4CDC">
            <w:pPr>
              <w:rPr>
                <w:sz w:val="2"/>
                <w:szCs w:val="2"/>
              </w:rPr>
            </w:pPr>
          </w:p>
        </w:tc>
        <w:tc>
          <w:tcPr>
            <w:tcW w:w="825" w:type="dxa"/>
            <w:vMerge w:val="continue"/>
            <w:tcBorders>
              <w:top w:val="nil"/>
            </w:tcBorders>
          </w:tcPr>
          <w:p w14:paraId="7CF41168">
            <w:pPr>
              <w:rPr>
                <w:sz w:val="2"/>
                <w:szCs w:val="2"/>
              </w:rPr>
            </w:pPr>
          </w:p>
        </w:tc>
        <w:tc>
          <w:tcPr>
            <w:tcW w:w="1068" w:type="dxa"/>
            <w:vMerge w:val="continue"/>
            <w:tcBorders>
              <w:top w:val="nil"/>
            </w:tcBorders>
          </w:tcPr>
          <w:p w14:paraId="17A92ED6">
            <w:pPr>
              <w:rPr>
                <w:sz w:val="2"/>
                <w:szCs w:val="2"/>
              </w:rPr>
            </w:pPr>
          </w:p>
        </w:tc>
        <w:tc>
          <w:tcPr>
            <w:tcW w:w="2550" w:type="dxa"/>
            <w:gridSpan w:val="2"/>
          </w:tcPr>
          <w:p w14:paraId="246FE7BD">
            <w:pPr>
              <w:pStyle w:val="17"/>
              <w:spacing w:before="146"/>
              <w:ind w:left="254"/>
              <w:jc w:val="left"/>
              <w:rPr>
                <w:rFonts w:ascii="Times New Roman" w:eastAsia="Times New Roman"/>
                <w:sz w:val="21"/>
              </w:rPr>
            </w:pPr>
            <w:r>
              <w:rPr>
                <w:sz w:val="21"/>
              </w:rPr>
              <w:t>污染物排放速率</w:t>
            </w:r>
            <w:r>
              <w:rPr>
                <w:rFonts w:ascii="Times New Roman" w:eastAsia="Times New Roman"/>
                <w:sz w:val="21"/>
              </w:rPr>
              <w:t>/(kg/h)</w:t>
            </w:r>
          </w:p>
        </w:tc>
        <w:tc>
          <w:tcPr>
            <w:tcW w:w="2325" w:type="dxa"/>
            <w:gridSpan w:val="2"/>
            <w:tcBorders>
              <w:right w:val="nil"/>
            </w:tcBorders>
          </w:tcPr>
          <w:p w14:paraId="784D4A18">
            <w:pPr>
              <w:pStyle w:val="17"/>
              <w:spacing w:before="146"/>
              <w:ind w:left="140"/>
              <w:jc w:val="left"/>
              <w:rPr>
                <w:rFonts w:ascii="Times New Roman" w:eastAsia="Times New Roman"/>
                <w:sz w:val="21"/>
              </w:rPr>
            </w:pPr>
            <w:r>
              <w:rPr>
                <w:sz w:val="21"/>
              </w:rPr>
              <w:t>污染物排放速率</w:t>
            </w:r>
            <w:r>
              <w:rPr>
                <w:rFonts w:ascii="Times New Roman" w:eastAsia="Times New Roman"/>
                <w:sz w:val="21"/>
              </w:rPr>
              <w:t>/(kg/h)</w:t>
            </w:r>
          </w:p>
        </w:tc>
      </w:tr>
      <w:tr w14:paraId="30DC4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3" w:hRule="atLeast"/>
        </w:trPr>
        <w:tc>
          <w:tcPr>
            <w:tcW w:w="739" w:type="dxa"/>
            <w:vMerge w:val="continue"/>
            <w:tcBorders>
              <w:top w:val="nil"/>
              <w:left w:val="nil"/>
            </w:tcBorders>
          </w:tcPr>
          <w:p w14:paraId="5A045660">
            <w:pPr>
              <w:rPr>
                <w:sz w:val="2"/>
                <w:szCs w:val="2"/>
              </w:rPr>
            </w:pPr>
          </w:p>
        </w:tc>
        <w:tc>
          <w:tcPr>
            <w:tcW w:w="1321" w:type="dxa"/>
            <w:vMerge w:val="continue"/>
            <w:tcBorders>
              <w:top w:val="nil"/>
            </w:tcBorders>
          </w:tcPr>
          <w:p w14:paraId="2ED139BD">
            <w:pPr>
              <w:rPr>
                <w:sz w:val="2"/>
                <w:szCs w:val="2"/>
              </w:rPr>
            </w:pPr>
          </w:p>
        </w:tc>
        <w:tc>
          <w:tcPr>
            <w:tcW w:w="598" w:type="dxa"/>
            <w:vMerge w:val="continue"/>
            <w:tcBorders>
              <w:top w:val="nil"/>
            </w:tcBorders>
          </w:tcPr>
          <w:p w14:paraId="09D1B0C2">
            <w:pPr>
              <w:rPr>
                <w:sz w:val="2"/>
                <w:szCs w:val="2"/>
              </w:rPr>
            </w:pPr>
          </w:p>
        </w:tc>
        <w:tc>
          <w:tcPr>
            <w:tcW w:w="724" w:type="dxa"/>
            <w:vMerge w:val="continue"/>
            <w:tcBorders>
              <w:top w:val="nil"/>
            </w:tcBorders>
          </w:tcPr>
          <w:p w14:paraId="3EAE7ABC">
            <w:pPr>
              <w:rPr>
                <w:sz w:val="2"/>
                <w:szCs w:val="2"/>
              </w:rPr>
            </w:pPr>
          </w:p>
        </w:tc>
        <w:tc>
          <w:tcPr>
            <w:tcW w:w="825" w:type="dxa"/>
            <w:vMerge w:val="continue"/>
            <w:tcBorders>
              <w:top w:val="nil"/>
            </w:tcBorders>
          </w:tcPr>
          <w:p w14:paraId="46B59D2B">
            <w:pPr>
              <w:rPr>
                <w:sz w:val="2"/>
                <w:szCs w:val="2"/>
              </w:rPr>
            </w:pPr>
          </w:p>
        </w:tc>
        <w:tc>
          <w:tcPr>
            <w:tcW w:w="638" w:type="dxa"/>
            <w:vMerge w:val="continue"/>
            <w:tcBorders>
              <w:top w:val="nil"/>
            </w:tcBorders>
          </w:tcPr>
          <w:p w14:paraId="5CA37929">
            <w:pPr>
              <w:rPr>
                <w:sz w:val="2"/>
                <w:szCs w:val="2"/>
              </w:rPr>
            </w:pPr>
          </w:p>
        </w:tc>
        <w:tc>
          <w:tcPr>
            <w:tcW w:w="806" w:type="dxa"/>
            <w:vMerge w:val="continue"/>
            <w:tcBorders>
              <w:top w:val="nil"/>
            </w:tcBorders>
          </w:tcPr>
          <w:p w14:paraId="20789BCD">
            <w:pPr>
              <w:rPr>
                <w:sz w:val="2"/>
                <w:szCs w:val="2"/>
              </w:rPr>
            </w:pPr>
          </w:p>
        </w:tc>
        <w:tc>
          <w:tcPr>
            <w:tcW w:w="881" w:type="dxa"/>
            <w:vMerge w:val="continue"/>
            <w:tcBorders>
              <w:top w:val="nil"/>
            </w:tcBorders>
          </w:tcPr>
          <w:p w14:paraId="39AEEA00">
            <w:pPr>
              <w:rPr>
                <w:sz w:val="2"/>
                <w:szCs w:val="2"/>
              </w:rPr>
            </w:pPr>
          </w:p>
        </w:tc>
        <w:tc>
          <w:tcPr>
            <w:tcW w:w="863" w:type="dxa"/>
            <w:vMerge w:val="continue"/>
            <w:tcBorders>
              <w:top w:val="nil"/>
            </w:tcBorders>
          </w:tcPr>
          <w:p w14:paraId="5625EA3E">
            <w:pPr>
              <w:rPr>
                <w:sz w:val="2"/>
                <w:szCs w:val="2"/>
              </w:rPr>
            </w:pPr>
          </w:p>
        </w:tc>
        <w:tc>
          <w:tcPr>
            <w:tcW w:w="825" w:type="dxa"/>
            <w:vMerge w:val="continue"/>
            <w:tcBorders>
              <w:top w:val="nil"/>
            </w:tcBorders>
          </w:tcPr>
          <w:p w14:paraId="019DD56C">
            <w:pPr>
              <w:rPr>
                <w:sz w:val="2"/>
                <w:szCs w:val="2"/>
              </w:rPr>
            </w:pPr>
          </w:p>
        </w:tc>
        <w:tc>
          <w:tcPr>
            <w:tcW w:w="1068" w:type="dxa"/>
            <w:vMerge w:val="continue"/>
            <w:tcBorders>
              <w:top w:val="nil"/>
            </w:tcBorders>
          </w:tcPr>
          <w:p w14:paraId="3B831D46">
            <w:pPr>
              <w:rPr>
                <w:sz w:val="2"/>
                <w:szCs w:val="2"/>
              </w:rPr>
            </w:pPr>
          </w:p>
        </w:tc>
        <w:tc>
          <w:tcPr>
            <w:tcW w:w="1219" w:type="dxa"/>
          </w:tcPr>
          <w:p w14:paraId="15183DEC">
            <w:pPr>
              <w:pStyle w:val="17"/>
              <w:jc w:val="left"/>
              <w:rPr>
                <w:b/>
                <w:sz w:val="20"/>
              </w:rPr>
            </w:pPr>
          </w:p>
          <w:p w14:paraId="38702420">
            <w:pPr>
              <w:pStyle w:val="17"/>
              <w:spacing w:before="11"/>
              <w:jc w:val="left"/>
              <w:rPr>
                <w:b/>
                <w:sz w:val="20"/>
              </w:rPr>
            </w:pPr>
          </w:p>
          <w:p w14:paraId="180B1FA2">
            <w:pPr>
              <w:pStyle w:val="17"/>
              <w:ind w:left="120" w:right="115"/>
              <w:rPr>
                <w:sz w:val="21"/>
              </w:rPr>
            </w:pPr>
            <w:r>
              <w:rPr>
                <w:sz w:val="21"/>
              </w:rPr>
              <w:t>颗粒物</w:t>
            </w:r>
          </w:p>
          <w:p w14:paraId="2667A19F">
            <w:pPr>
              <w:pStyle w:val="17"/>
              <w:spacing w:before="51"/>
              <w:ind w:left="120" w:right="115"/>
              <w:rPr>
                <w:sz w:val="21"/>
              </w:rPr>
            </w:pPr>
            <w:r>
              <w:rPr>
                <w:sz w:val="21"/>
              </w:rPr>
              <w:t>（</w:t>
            </w:r>
            <w:r>
              <w:rPr>
                <w:rFonts w:ascii="Times New Roman" w:eastAsia="Times New Roman"/>
                <w:sz w:val="21"/>
              </w:rPr>
              <w:t>PM10</w:t>
            </w:r>
            <w:r>
              <w:rPr>
                <w:sz w:val="21"/>
              </w:rPr>
              <w:t>）</w:t>
            </w:r>
          </w:p>
        </w:tc>
        <w:tc>
          <w:tcPr>
            <w:tcW w:w="1331" w:type="dxa"/>
          </w:tcPr>
          <w:p w14:paraId="2EDB37F1">
            <w:pPr>
              <w:pStyle w:val="17"/>
              <w:jc w:val="left"/>
              <w:rPr>
                <w:b/>
                <w:sz w:val="20"/>
              </w:rPr>
            </w:pPr>
          </w:p>
          <w:p w14:paraId="419B0005">
            <w:pPr>
              <w:pStyle w:val="17"/>
              <w:jc w:val="left"/>
              <w:rPr>
                <w:b/>
                <w:sz w:val="20"/>
              </w:rPr>
            </w:pPr>
          </w:p>
          <w:p w14:paraId="288990F8">
            <w:pPr>
              <w:pStyle w:val="17"/>
              <w:spacing w:before="172"/>
              <w:ind w:left="118" w:right="112"/>
              <w:rPr>
                <w:sz w:val="21"/>
              </w:rPr>
            </w:pPr>
            <w:r>
              <w:rPr>
                <w:sz w:val="21"/>
              </w:rPr>
              <w:t>非甲烷总烃</w:t>
            </w:r>
          </w:p>
        </w:tc>
        <w:tc>
          <w:tcPr>
            <w:tcW w:w="1120" w:type="dxa"/>
          </w:tcPr>
          <w:p w14:paraId="7D924E90">
            <w:pPr>
              <w:pStyle w:val="17"/>
              <w:jc w:val="left"/>
              <w:rPr>
                <w:b/>
                <w:sz w:val="20"/>
              </w:rPr>
            </w:pPr>
          </w:p>
          <w:p w14:paraId="05C9F63B">
            <w:pPr>
              <w:pStyle w:val="17"/>
              <w:spacing w:before="11"/>
              <w:jc w:val="left"/>
              <w:rPr>
                <w:b/>
                <w:sz w:val="20"/>
              </w:rPr>
            </w:pPr>
          </w:p>
          <w:p w14:paraId="61B6F359">
            <w:pPr>
              <w:pStyle w:val="17"/>
              <w:ind w:left="70" w:right="60"/>
              <w:rPr>
                <w:sz w:val="21"/>
              </w:rPr>
            </w:pPr>
            <w:r>
              <w:rPr>
                <w:sz w:val="21"/>
              </w:rPr>
              <w:t>颗粒物</w:t>
            </w:r>
          </w:p>
          <w:p w14:paraId="4F52B690">
            <w:pPr>
              <w:pStyle w:val="17"/>
              <w:spacing w:before="51"/>
              <w:ind w:left="70" w:right="65"/>
              <w:rPr>
                <w:sz w:val="21"/>
              </w:rPr>
            </w:pPr>
            <w:r>
              <w:rPr>
                <w:sz w:val="21"/>
              </w:rPr>
              <w:t>（</w:t>
            </w:r>
            <w:r>
              <w:rPr>
                <w:rFonts w:ascii="Times New Roman" w:eastAsia="Times New Roman"/>
                <w:sz w:val="21"/>
              </w:rPr>
              <w:t>PM10</w:t>
            </w:r>
            <w:r>
              <w:rPr>
                <w:sz w:val="21"/>
              </w:rPr>
              <w:t>）</w:t>
            </w:r>
          </w:p>
        </w:tc>
        <w:tc>
          <w:tcPr>
            <w:tcW w:w="1205" w:type="dxa"/>
            <w:tcBorders>
              <w:right w:val="nil"/>
            </w:tcBorders>
          </w:tcPr>
          <w:p w14:paraId="58C99EEB">
            <w:pPr>
              <w:pStyle w:val="17"/>
              <w:jc w:val="left"/>
              <w:rPr>
                <w:b/>
                <w:sz w:val="20"/>
              </w:rPr>
            </w:pPr>
          </w:p>
          <w:p w14:paraId="099342D7">
            <w:pPr>
              <w:pStyle w:val="17"/>
              <w:jc w:val="left"/>
              <w:rPr>
                <w:b/>
                <w:sz w:val="20"/>
              </w:rPr>
            </w:pPr>
          </w:p>
          <w:p w14:paraId="1BBC0287">
            <w:pPr>
              <w:pStyle w:val="17"/>
              <w:spacing w:before="172"/>
              <w:ind w:left="55" w:right="54"/>
              <w:rPr>
                <w:sz w:val="21"/>
              </w:rPr>
            </w:pPr>
            <w:r>
              <w:rPr>
                <w:sz w:val="21"/>
              </w:rPr>
              <w:t>非甲烷总烃</w:t>
            </w:r>
          </w:p>
        </w:tc>
      </w:tr>
      <w:tr w14:paraId="4B1F2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2" w:hRule="atLeast"/>
        </w:trPr>
        <w:tc>
          <w:tcPr>
            <w:tcW w:w="739" w:type="dxa"/>
            <w:tcBorders>
              <w:left w:val="nil"/>
            </w:tcBorders>
          </w:tcPr>
          <w:p w14:paraId="0F125801">
            <w:pPr>
              <w:pStyle w:val="17"/>
              <w:jc w:val="left"/>
              <w:rPr>
                <w:b/>
                <w:sz w:val="22"/>
              </w:rPr>
            </w:pPr>
          </w:p>
          <w:p w14:paraId="1080CC29">
            <w:pPr>
              <w:pStyle w:val="17"/>
              <w:spacing w:before="7"/>
              <w:jc w:val="left"/>
              <w:rPr>
                <w:b/>
                <w:sz w:val="32"/>
              </w:rPr>
            </w:pPr>
          </w:p>
          <w:p w14:paraId="7757EB7E">
            <w:pPr>
              <w:pStyle w:val="17"/>
              <w:ind w:left="64"/>
              <w:jc w:val="left"/>
              <w:rPr>
                <w:rFonts w:ascii="Times New Roman"/>
                <w:sz w:val="21"/>
              </w:rPr>
            </w:pPr>
            <w:r>
              <w:rPr>
                <w:rFonts w:ascii="Times New Roman"/>
                <w:sz w:val="21"/>
              </w:rPr>
              <w:t>DA001</w:t>
            </w:r>
          </w:p>
        </w:tc>
        <w:tc>
          <w:tcPr>
            <w:tcW w:w="1321" w:type="dxa"/>
          </w:tcPr>
          <w:p w14:paraId="0400B2A9">
            <w:pPr>
              <w:pStyle w:val="17"/>
              <w:jc w:val="left"/>
              <w:rPr>
                <w:b/>
                <w:sz w:val="20"/>
              </w:rPr>
            </w:pPr>
          </w:p>
          <w:p w14:paraId="0D7B7307">
            <w:pPr>
              <w:pStyle w:val="17"/>
              <w:spacing w:before="12"/>
              <w:jc w:val="left"/>
              <w:rPr>
                <w:b/>
                <w:sz w:val="20"/>
              </w:rPr>
            </w:pPr>
          </w:p>
          <w:p w14:paraId="1C0FF242">
            <w:pPr>
              <w:pStyle w:val="17"/>
              <w:spacing w:line="285" w:lineRule="auto"/>
              <w:ind w:left="64" w:right="46"/>
              <w:jc w:val="left"/>
              <w:rPr>
                <w:sz w:val="21"/>
              </w:rPr>
            </w:pPr>
            <w:r>
              <w:rPr>
                <w:w w:val="95"/>
                <w:sz w:val="21"/>
              </w:rPr>
              <w:t>破碎、投料混料粉尘排气筒</w:t>
            </w:r>
          </w:p>
        </w:tc>
        <w:tc>
          <w:tcPr>
            <w:tcW w:w="598" w:type="dxa"/>
          </w:tcPr>
          <w:p w14:paraId="33F65E4C">
            <w:pPr>
              <w:pStyle w:val="17"/>
              <w:jc w:val="left"/>
              <w:rPr>
                <w:b/>
                <w:sz w:val="22"/>
              </w:rPr>
            </w:pPr>
          </w:p>
          <w:p w14:paraId="106DC200">
            <w:pPr>
              <w:pStyle w:val="17"/>
              <w:spacing w:before="7"/>
              <w:jc w:val="left"/>
              <w:rPr>
                <w:b/>
                <w:sz w:val="32"/>
              </w:rPr>
            </w:pPr>
          </w:p>
          <w:p w14:paraId="77198EE9">
            <w:pPr>
              <w:pStyle w:val="17"/>
              <w:ind w:left="83" w:right="75"/>
              <w:rPr>
                <w:rFonts w:ascii="Times New Roman"/>
                <w:sz w:val="21"/>
              </w:rPr>
            </w:pPr>
            <w:r>
              <w:rPr>
                <w:rFonts w:ascii="Times New Roman"/>
                <w:sz w:val="21"/>
              </w:rPr>
              <w:t>-19</w:t>
            </w:r>
          </w:p>
        </w:tc>
        <w:tc>
          <w:tcPr>
            <w:tcW w:w="724" w:type="dxa"/>
          </w:tcPr>
          <w:p w14:paraId="645DD69F">
            <w:pPr>
              <w:pStyle w:val="17"/>
              <w:jc w:val="left"/>
              <w:rPr>
                <w:b/>
                <w:sz w:val="22"/>
              </w:rPr>
            </w:pPr>
          </w:p>
          <w:p w14:paraId="6CC99D97">
            <w:pPr>
              <w:pStyle w:val="17"/>
              <w:spacing w:before="7"/>
              <w:jc w:val="left"/>
              <w:rPr>
                <w:b/>
                <w:sz w:val="32"/>
              </w:rPr>
            </w:pPr>
          </w:p>
          <w:p w14:paraId="2EFEDF74">
            <w:pPr>
              <w:pStyle w:val="17"/>
              <w:ind w:left="201" w:right="192"/>
              <w:rPr>
                <w:rFonts w:ascii="Times New Roman"/>
                <w:sz w:val="21"/>
              </w:rPr>
            </w:pPr>
            <w:r>
              <w:rPr>
                <w:rFonts w:ascii="Times New Roman"/>
                <w:sz w:val="21"/>
              </w:rPr>
              <w:t>-31</w:t>
            </w:r>
          </w:p>
        </w:tc>
        <w:tc>
          <w:tcPr>
            <w:tcW w:w="825" w:type="dxa"/>
          </w:tcPr>
          <w:p w14:paraId="7138929E">
            <w:pPr>
              <w:pStyle w:val="17"/>
              <w:jc w:val="left"/>
              <w:rPr>
                <w:b/>
                <w:sz w:val="22"/>
              </w:rPr>
            </w:pPr>
          </w:p>
          <w:p w14:paraId="5EB4BA43">
            <w:pPr>
              <w:pStyle w:val="17"/>
              <w:spacing w:before="7"/>
              <w:jc w:val="left"/>
              <w:rPr>
                <w:b/>
                <w:sz w:val="32"/>
              </w:rPr>
            </w:pPr>
          </w:p>
          <w:p w14:paraId="6A5359C9">
            <w:pPr>
              <w:pStyle w:val="17"/>
              <w:ind w:left="171" w:right="163"/>
              <w:rPr>
                <w:rFonts w:ascii="Times New Roman"/>
                <w:sz w:val="21"/>
              </w:rPr>
            </w:pPr>
            <w:r>
              <w:rPr>
                <w:rFonts w:ascii="Times New Roman"/>
                <w:sz w:val="21"/>
              </w:rPr>
              <w:t>55</w:t>
            </w:r>
          </w:p>
        </w:tc>
        <w:tc>
          <w:tcPr>
            <w:tcW w:w="638" w:type="dxa"/>
          </w:tcPr>
          <w:p w14:paraId="7AB4E6A3">
            <w:pPr>
              <w:pStyle w:val="17"/>
              <w:jc w:val="left"/>
              <w:rPr>
                <w:b/>
                <w:sz w:val="22"/>
              </w:rPr>
            </w:pPr>
          </w:p>
          <w:p w14:paraId="5AAC7E52">
            <w:pPr>
              <w:pStyle w:val="17"/>
              <w:spacing w:before="7"/>
              <w:jc w:val="left"/>
              <w:rPr>
                <w:b/>
                <w:sz w:val="32"/>
              </w:rPr>
            </w:pPr>
          </w:p>
          <w:p w14:paraId="7A08101E">
            <w:pPr>
              <w:pStyle w:val="17"/>
              <w:ind w:right="202"/>
              <w:jc w:val="right"/>
              <w:rPr>
                <w:rFonts w:ascii="Times New Roman"/>
                <w:sz w:val="21"/>
              </w:rPr>
            </w:pPr>
            <w:r>
              <w:rPr>
                <w:rFonts w:ascii="Times New Roman"/>
                <w:sz w:val="21"/>
              </w:rPr>
              <w:t>15</w:t>
            </w:r>
          </w:p>
        </w:tc>
        <w:tc>
          <w:tcPr>
            <w:tcW w:w="806" w:type="dxa"/>
          </w:tcPr>
          <w:p w14:paraId="284EA086">
            <w:pPr>
              <w:pStyle w:val="17"/>
              <w:jc w:val="left"/>
              <w:rPr>
                <w:b/>
                <w:sz w:val="22"/>
              </w:rPr>
            </w:pPr>
          </w:p>
          <w:p w14:paraId="14045505">
            <w:pPr>
              <w:pStyle w:val="17"/>
              <w:spacing w:before="7"/>
              <w:jc w:val="left"/>
              <w:rPr>
                <w:b/>
                <w:sz w:val="32"/>
              </w:rPr>
            </w:pPr>
          </w:p>
          <w:p w14:paraId="4BE7D631">
            <w:pPr>
              <w:pStyle w:val="17"/>
              <w:ind w:right="259"/>
              <w:jc w:val="right"/>
              <w:rPr>
                <w:rFonts w:ascii="Times New Roman"/>
                <w:sz w:val="21"/>
              </w:rPr>
            </w:pPr>
            <w:r>
              <w:rPr>
                <w:rFonts w:ascii="Times New Roman"/>
                <w:w w:val="95"/>
                <w:sz w:val="21"/>
              </w:rPr>
              <w:t>0.5</w:t>
            </w:r>
          </w:p>
        </w:tc>
        <w:tc>
          <w:tcPr>
            <w:tcW w:w="881" w:type="dxa"/>
          </w:tcPr>
          <w:p w14:paraId="32C5F301">
            <w:pPr>
              <w:pStyle w:val="17"/>
              <w:jc w:val="left"/>
              <w:rPr>
                <w:b/>
                <w:sz w:val="22"/>
              </w:rPr>
            </w:pPr>
          </w:p>
          <w:p w14:paraId="1BCD2C58">
            <w:pPr>
              <w:pStyle w:val="17"/>
              <w:spacing w:before="7"/>
              <w:jc w:val="left"/>
              <w:rPr>
                <w:b/>
                <w:sz w:val="32"/>
              </w:rPr>
            </w:pPr>
          </w:p>
          <w:p w14:paraId="7E70DBBD">
            <w:pPr>
              <w:pStyle w:val="17"/>
              <w:ind w:right="166"/>
              <w:jc w:val="right"/>
              <w:rPr>
                <w:rFonts w:ascii="Times New Roman"/>
                <w:sz w:val="21"/>
              </w:rPr>
            </w:pPr>
            <w:r>
              <w:rPr>
                <w:rFonts w:ascii="Times New Roman"/>
                <w:w w:val="95"/>
                <w:sz w:val="21"/>
              </w:rPr>
              <w:t>10000</w:t>
            </w:r>
          </w:p>
        </w:tc>
        <w:tc>
          <w:tcPr>
            <w:tcW w:w="863" w:type="dxa"/>
          </w:tcPr>
          <w:p w14:paraId="7946A998">
            <w:pPr>
              <w:pStyle w:val="17"/>
              <w:jc w:val="left"/>
              <w:rPr>
                <w:b/>
                <w:sz w:val="22"/>
              </w:rPr>
            </w:pPr>
          </w:p>
          <w:p w14:paraId="011601C9">
            <w:pPr>
              <w:pStyle w:val="17"/>
              <w:spacing w:before="7"/>
              <w:jc w:val="left"/>
              <w:rPr>
                <w:b/>
                <w:sz w:val="32"/>
              </w:rPr>
            </w:pPr>
          </w:p>
          <w:p w14:paraId="3559B252">
            <w:pPr>
              <w:pStyle w:val="17"/>
              <w:ind w:right="181"/>
              <w:jc w:val="right"/>
              <w:rPr>
                <w:rFonts w:ascii="Times New Roman"/>
                <w:sz w:val="21"/>
              </w:rPr>
            </w:pPr>
            <w:r>
              <w:rPr>
                <w:rFonts w:ascii="Times New Roman"/>
                <w:sz w:val="21"/>
              </w:rPr>
              <w:t>14.15</w:t>
            </w:r>
          </w:p>
        </w:tc>
        <w:tc>
          <w:tcPr>
            <w:tcW w:w="825" w:type="dxa"/>
          </w:tcPr>
          <w:p w14:paraId="7F4861D7">
            <w:pPr>
              <w:pStyle w:val="17"/>
              <w:jc w:val="left"/>
              <w:rPr>
                <w:b/>
                <w:sz w:val="22"/>
              </w:rPr>
            </w:pPr>
          </w:p>
          <w:p w14:paraId="012F3ED6">
            <w:pPr>
              <w:pStyle w:val="17"/>
              <w:spacing w:before="7"/>
              <w:jc w:val="left"/>
              <w:rPr>
                <w:b/>
                <w:sz w:val="32"/>
              </w:rPr>
            </w:pPr>
          </w:p>
          <w:p w14:paraId="28A864E4">
            <w:pPr>
              <w:pStyle w:val="17"/>
              <w:ind w:right="296"/>
              <w:jc w:val="right"/>
              <w:rPr>
                <w:rFonts w:ascii="Times New Roman"/>
                <w:sz w:val="21"/>
              </w:rPr>
            </w:pPr>
            <w:r>
              <w:rPr>
                <w:rFonts w:ascii="Times New Roman"/>
                <w:sz w:val="21"/>
              </w:rPr>
              <w:t>25</w:t>
            </w:r>
          </w:p>
        </w:tc>
        <w:tc>
          <w:tcPr>
            <w:tcW w:w="1068" w:type="dxa"/>
          </w:tcPr>
          <w:p w14:paraId="061A6B96">
            <w:pPr>
              <w:pStyle w:val="17"/>
              <w:jc w:val="left"/>
              <w:rPr>
                <w:b/>
                <w:sz w:val="22"/>
              </w:rPr>
            </w:pPr>
          </w:p>
          <w:p w14:paraId="10336A68">
            <w:pPr>
              <w:pStyle w:val="17"/>
              <w:spacing w:before="7"/>
              <w:jc w:val="left"/>
              <w:rPr>
                <w:b/>
                <w:sz w:val="32"/>
              </w:rPr>
            </w:pPr>
          </w:p>
          <w:p w14:paraId="72F6469A">
            <w:pPr>
              <w:pStyle w:val="17"/>
              <w:ind w:left="301" w:right="291"/>
              <w:rPr>
                <w:rFonts w:ascii="Times New Roman"/>
                <w:sz w:val="21"/>
              </w:rPr>
            </w:pPr>
            <w:r>
              <w:rPr>
                <w:rFonts w:ascii="Times New Roman"/>
                <w:sz w:val="21"/>
              </w:rPr>
              <w:t>1200</w:t>
            </w:r>
          </w:p>
        </w:tc>
        <w:tc>
          <w:tcPr>
            <w:tcW w:w="1219" w:type="dxa"/>
          </w:tcPr>
          <w:p w14:paraId="70D54992">
            <w:pPr>
              <w:pStyle w:val="17"/>
              <w:jc w:val="left"/>
              <w:rPr>
                <w:b/>
                <w:sz w:val="22"/>
              </w:rPr>
            </w:pPr>
          </w:p>
          <w:p w14:paraId="560F216D">
            <w:pPr>
              <w:pStyle w:val="17"/>
              <w:spacing w:before="7"/>
              <w:jc w:val="left"/>
              <w:rPr>
                <w:b/>
                <w:sz w:val="32"/>
              </w:rPr>
            </w:pPr>
          </w:p>
          <w:p w14:paraId="76DCB400">
            <w:pPr>
              <w:pStyle w:val="17"/>
              <w:ind w:left="371"/>
              <w:jc w:val="left"/>
              <w:rPr>
                <w:rFonts w:ascii="Times New Roman"/>
                <w:sz w:val="21"/>
              </w:rPr>
            </w:pPr>
            <w:r>
              <w:rPr>
                <w:rFonts w:ascii="Times New Roman"/>
                <w:sz w:val="21"/>
              </w:rPr>
              <w:t>0.003</w:t>
            </w:r>
          </w:p>
        </w:tc>
        <w:tc>
          <w:tcPr>
            <w:tcW w:w="1331" w:type="dxa"/>
          </w:tcPr>
          <w:p w14:paraId="13A98C66">
            <w:pPr>
              <w:pStyle w:val="17"/>
              <w:jc w:val="left"/>
              <w:rPr>
                <w:b/>
                <w:sz w:val="22"/>
              </w:rPr>
            </w:pPr>
          </w:p>
          <w:p w14:paraId="3EB95107">
            <w:pPr>
              <w:pStyle w:val="17"/>
              <w:spacing w:before="7"/>
              <w:jc w:val="left"/>
              <w:rPr>
                <w:b/>
                <w:sz w:val="32"/>
              </w:rPr>
            </w:pPr>
          </w:p>
          <w:p w14:paraId="734A2020">
            <w:pPr>
              <w:pStyle w:val="17"/>
              <w:ind w:left="9"/>
              <w:rPr>
                <w:rFonts w:ascii="Times New Roman"/>
                <w:sz w:val="21"/>
              </w:rPr>
            </w:pPr>
            <w:r>
              <w:rPr>
                <w:rFonts w:ascii="Times New Roman"/>
                <w:w w:val="99"/>
                <w:sz w:val="21"/>
              </w:rPr>
              <w:t>/</w:t>
            </w:r>
          </w:p>
        </w:tc>
        <w:tc>
          <w:tcPr>
            <w:tcW w:w="1120" w:type="dxa"/>
          </w:tcPr>
          <w:p w14:paraId="0E95994C">
            <w:pPr>
              <w:pStyle w:val="17"/>
              <w:jc w:val="left"/>
              <w:rPr>
                <w:b/>
                <w:sz w:val="22"/>
              </w:rPr>
            </w:pPr>
          </w:p>
          <w:p w14:paraId="02AAE5F0">
            <w:pPr>
              <w:pStyle w:val="17"/>
              <w:spacing w:before="7"/>
              <w:jc w:val="left"/>
              <w:rPr>
                <w:b/>
                <w:sz w:val="32"/>
              </w:rPr>
            </w:pPr>
          </w:p>
          <w:p w14:paraId="5163C6BA">
            <w:pPr>
              <w:pStyle w:val="17"/>
              <w:ind w:left="70" w:right="61"/>
              <w:rPr>
                <w:rFonts w:ascii="Times New Roman"/>
                <w:sz w:val="21"/>
              </w:rPr>
            </w:pPr>
            <w:r>
              <w:rPr>
                <w:rFonts w:ascii="Times New Roman"/>
                <w:sz w:val="21"/>
              </w:rPr>
              <w:t>0.278</w:t>
            </w:r>
          </w:p>
        </w:tc>
        <w:tc>
          <w:tcPr>
            <w:tcW w:w="1205" w:type="dxa"/>
            <w:tcBorders>
              <w:right w:val="nil"/>
            </w:tcBorders>
          </w:tcPr>
          <w:p w14:paraId="464755EF">
            <w:pPr>
              <w:pStyle w:val="17"/>
              <w:jc w:val="left"/>
              <w:rPr>
                <w:b/>
                <w:sz w:val="22"/>
              </w:rPr>
            </w:pPr>
          </w:p>
          <w:p w14:paraId="7253919B">
            <w:pPr>
              <w:pStyle w:val="17"/>
              <w:spacing w:before="7"/>
              <w:jc w:val="left"/>
              <w:rPr>
                <w:b/>
                <w:sz w:val="32"/>
              </w:rPr>
            </w:pPr>
          </w:p>
          <w:p w14:paraId="04598C81">
            <w:pPr>
              <w:pStyle w:val="17"/>
              <w:ind w:left="4"/>
              <w:rPr>
                <w:rFonts w:ascii="Times New Roman"/>
                <w:sz w:val="21"/>
              </w:rPr>
            </w:pPr>
            <w:r>
              <w:rPr>
                <w:rFonts w:ascii="Times New Roman"/>
                <w:w w:val="99"/>
                <w:sz w:val="21"/>
              </w:rPr>
              <w:t>/</w:t>
            </w:r>
          </w:p>
        </w:tc>
      </w:tr>
      <w:tr w14:paraId="34D9A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739" w:type="dxa"/>
            <w:tcBorders>
              <w:left w:val="nil"/>
            </w:tcBorders>
          </w:tcPr>
          <w:p w14:paraId="55757105">
            <w:pPr>
              <w:pStyle w:val="17"/>
              <w:spacing w:before="11"/>
              <w:jc w:val="left"/>
              <w:rPr>
                <w:b/>
                <w:sz w:val="27"/>
              </w:rPr>
            </w:pPr>
          </w:p>
          <w:p w14:paraId="75708442">
            <w:pPr>
              <w:pStyle w:val="17"/>
              <w:ind w:left="64"/>
              <w:jc w:val="left"/>
              <w:rPr>
                <w:rFonts w:ascii="Times New Roman"/>
                <w:sz w:val="21"/>
              </w:rPr>
            </w:pPr>
            <w:r>
              <w:rPr>
                <w:rFonts w:ascii="Times New Roman"/>
                <w:sz w:val="21"/>
              </w:rPr>
              <w:t>DA002</w:t>
            </w:r>
          </w:p>
        </w:tc>
        <w:tc>
          <w:tcPr>
            <w:tcW w:w="1321" w:type="dxa"/>
          </w:tcPr>
          <w:p w14:paraId="4B82D0CD">
            <w:pPr>
              <w:pStyle w:val="17"/>
              <w:spacing w:before="24" w:line="285" w:lineRule="auto"/>
              <w:ind w:left="64" w:right="44" w:hanging="3"/>
              <w:rPr>
                <w:sz w:val="21"/>
              </w:rPr>
            </w:pPr>
            <w:r>
              <w:rPr>
                <w:w w:val="95"/>
                <w:sz w:val="21"/>
              </w:rPr>
              <w:t>挤出造粒、挤出注塑废气排</w:t>
            </w:r>
          </w:p>
          <w:p w14:paraId="2CC9B22A">
            <w:pPr>
              <w:pStyle w:val="17"/>
              <w:spacing w:line="267" w:lineRule="exact"/>
              <w:ind w:left="427" w:right="411"/>
              <w:rPr>
                <w:sz w:val="21"/>
              </w:rPr>
            </w:pPr>
            <w:r>
              <w:rPr>
                <w:sz w:val="21"/>
              </w:rPr>
              <w:t>气筒</w:t>
            </w:r>
          </w:p>
        </w:tc>
        <w:tc>
          <w:tcPr>
            <w:tcW w:w="598" w:type="dxa"/>
          </w:tcPr>
          <w:p w14:paraId="1109F29C">
            <w:pPr>
              <w:pStyle w:val="17"/>
              <w:spacing w:before="11"/>
              <w:jc w:val="left"/>
              <w:rPr>
                <w:b/>
                <w:sz w:val="27"/>
              </w:rPr>
            </w:pPr>
          </w:p>
          <w:p w14:paraId="71052E72">
            <w:pPr>
              <w:pStyle w:val="17"/>
              <w:ind w:left="83" w:right="75"/>
              <w:rPr>
                <w:rFonts w:ascii="Times New Roman"/>
                <w:sz w:val="21"/>
              </w:rPr>
            </w:pPr>
            <w:r>
              <w:rPr>
                <w:rFonts w:ascii="Times New Roman"/>
                <w:sz w:val="21"/>
              </w:rPr>
              <w:t>-10</w:t>
            </w:r>
          </w:p>
        </w:tc>
        <w:tc>
          <w:tcPr>
            <w:tcW w:w="724" w:type="dxa"/>
          </w:tcPr>
          <w:p w14:paraId="03EA522B">
            <w:pPr>
              <w:pStyle w:val="17"/>
              <w:spacing w:before="11"/>
              <w:jc w:val="left"/>
              <w:rPr>
                <w:b/>
                <w:sz w:val="27"/>
              </w:rPr>
            </w:pPr>
          </w:p>
          <w:p w14:paraId="71759F2D">
            <w:pPr>
              <w:pStyle w:val="17"/>
              <w:ind w:left="201" w:right="192"/>
              <w:rPr>
                <w:rFonts w:ascii="Times New Roman"/>
                <w:sz w:val="21"/>
              </w:rPr>
            </w:pPr>
            <w:r>
              <w:rPr>
                <w:rFonts w:ascii="Times New Roman"/>
                <w:sz w:val="21"/>
              </w:rPr>
              <w:t>-28</w:t>
            </w:r>
          </w:p>
        </w:tc>
        <w:tc>
          <w:tcPr>
            <w:tcW w:w="825" w:type="dxa"/>
          </w:tcPr>
          <w:p w14:paraId="61787D17">
            <w:pPr>
              <w:pStyle w:val="17"/>
              <w:spacing w:before="11"/>
              <w:jc w:val="left"/>
              <w:rPr>
                <w:b/>
                <w:sz w:val="27"/>
              </w:rPr>
            </w:pPr>
          </w:p>
          <w:p w14:paraId="3DFC3FA0">
            <w:pPr>
              <w:pStyle w:val="17"/>
              <w:ind w:left="171" w:right="163"/>
              <w:rPr>
                <w:rFonts w:ascii="Times New Roman"/>
                <w:sz w:val="21"/>
              </w:rPr>
            </w:pPr>
            <w:r>
              <w:rPr>
                <w:rFonts w:ascii="Times New Roman"/>
                <w:sz w:val="21"/>
              </w:rPr>
              <w:t>55</w:t>
            </w:r>
          </w:p>
        </w:tc>
        <w:tc>
          <w:tcPr>
            <w:tcW w:w="638" w:type="dxa"/>
          </w:tcPr>
          <w:p w14:paraId="3925770A">
            <w:pPr>
              <w:pStyle w:val="17"/>
              <w:spacing w:before="11"/>
              <w:jc w:val="left"/>
              <w:rPr>
                <w:b/>
                <w:sz w:val="27"/>
              </w:rPr>
            </w:pPr>
          </w:p>
          <w:p w14:paraId="0D7ADFB2">
            <w:pPr>
              <w:pStyle w:val="17"/>
              <w:ind w:right="202"/>
              <w:jc w:val="right"/>
              <w:rPr>
                <w:rFonts w:ascii="Times New Roman"/>
                <w:sz w:val="21"/>
              </w:rPr>
            </w:pPr>
            <w:r>
              <w:rPr>
                <w:rFonts w:ascii="Times New Roman"/>
                <w:sz w:val="21"/>
              </w:rPr>
              <w:t>15</w:t>
            </w:r>
          </w:p>
        </w:tc>
        <w:tc>
          <w:tcPr>
            <w:tcW w:w="806" w:type="dxa"/>
          </w:tcPr>
          <w:p w14:paraId="375E5FC6">
            <w:pPr>
              <w:pStyle w:val="17"/>
              <w:spacing w:before="11"/>
              <w:jc w:val="left"/>
              <w:rPr>
                <w:b/>
                <w:sz w:val="27"/>
              </w:rPr>
            </w:pPr>
          </w:p>
          <w:p w14:paraId="505623F5">
            <w:pPr>
              <w:pStyle w:val="17"/>
              <w:ind w:right="261"/>
              <w:jc w:val="right"/>
              <w:rPr>
                <w:rFonts w:ascii="Times New Roman"/>
                <w:sz w:val="21"/>
              </w:rPr>
            </w:pPr>
            <w:r>
              <w:rPr>
                <w:rFonts w:ascii="Times New Roman"/>
                <w:sz w:val="21"/>
              </w:rPr>
              <w:t>0.6</w:t>
            </w:r>
          </w:p>
        </w:tc>
        <w:tc>
          <w:tcPr>
            <w:tcW w:w="881" w:type="dxa"/>
          </w:tcPr>
          <w:p w14:paraId="29CDB716">
            <w:pPr>
              <w:pStyle w:val="17"/>
              <w:spacing w:before="11"/>
              <w:jc w:val="left"/>
              <w:rPr>
                <w:b/>
                <w:sz w:val="27"/>
              </w:rPr>
            </w:pPr>
          </w:p>
          <w:p w14:paraId="7D390900">
            <w:pPr>
              <w:pStyle w:val="17"/>
              <w:ind w:right="166"/>
              <w:jc w:val="right"/>
              <w:rPr>
                <w:rFonts w:ascii="Times New Roman"/>
                <w:sz w:val="21"/>
              </w:rPr>
            </w:pPr>
            <w:r>
              <w:rPr>
                <w:rFonts w:ascii="Times New Roman"/>
                <w:w w:val="95"/>
                <w:sz w:val="21"/>
              </w:rPr>
              <w:t>15000</w:t>
            </w:r>
          </w:p>
        </w:tc>
        <w:tc>
          <w:tcPr>
            <w:tcW w:w="863" w:type="dxa"/>
          </w:tcPr>
          <w:p w14:paraId="691D14F4">
            <w:pPr>
              <w:pStyle w:val="17"/>
              <w:spacing w:before="11"/>
              <w:jc w:val="left"/>
              <w:rPr>
                <w:b/>
                <w:sz w:val="27"/>
              </w:rPr>
            </w:pPr>
          </w:p>
          <w:p w14:paraId="02BCE9D5">
            <w:pPr>
              <w:pStyle w:val="17"/>
              <w:ind w:right="181"/>
              <w:jc w:val="right"/>
              <w:rPr>
                <w:rFonts w:ascii="Times New Roman"/>
                <w:sz w:val="21"/>
              </w:rPr>
            </w:pPr>
            <w:r>
              <w:rPr>
                <w:rFonts w:ascii="Times New Roman"/>
                <w:sz w:val="21"/>
              </w:rPr>
              <w:t>14.74</w:t>
            </w:r>
          </w:p>
        </w:tc>
        <w:tc>
          <w:tcPr>
            <w:tcW w:w="825" w:type="dxa"/>
          </w:tcPr>
          <w:p w14:paraId="30DAF82A">
            <w:pPr>
              <w:pStyle w:val="17"/>
              <w:spacing w:before="11"/>
              <w:jc w:val="left"/>
              <w:rPr>
                <w:b/>
                <w:sz w:val="27"/>
              </w:rPr>
            </w:pPr>
          </w:p>
          <w:p w14:paraId="161F7FE2">
            <w:pPr>
              <w:pStyle w:val="17"/>
              <w:ind w:right="296"/>
              <w:jc w:val="right"/>
              <w:rPr>
                <w:rFonts w:ascii="Times New Roman"/>
                <w:sz w:val="21"/>
              </w:rPr>
            </w:pPr>
            <w:r>
              <w:rPr>
                <w:rFonts w:ascii="Times New Roman"/>
                <w:sz w:val="21"/>
              </w:rPr>
              <w:t>25</w:t>
            </w:r>
          </w:p>
        </w:tc>
        <w:tc>
          <w:tcPr>
            <w:tcW w:w="1068" w:type="dxa"/>
          </w:tcPr>
          <w:p w14:paraId="47EBFD22">
            <w:pPr>
              <w:pStyle w:val="17"/>
              <w:spacing w:before="11"/>
              <w:jc w:val="left"/>
              <w:rPr>
                <w:b/>
                <w:sz w:val="27"/>
              </w:rPr>
            </w:pPr>
          </w:p>
          <w:p w14:paraId="69522298">
            <w:pPr>
              <w:pStyle w:val="17"/>
              <w:ind w:left="304" w:right="289"/>
              <w:rPr>
                <w:rFonts w:ascii="Times New Roman"/>
                <w:sz w:val="21"/>
              </w:rPr>
            </w:pPr>
            <w:r>
              <w:rPr>
                <w:rFonts w:ascii="Times New Roman"/>
                <w:sz w:val="21"/>
              </w:rPr>
              <w:t>4800</w:t>
            </w:r>
          </w:p>
        </w:tc>
        <w:tc>
          <w:tcPr>
            <w:tcW w:w="1219" w:type="dxa"/>
          </w:tcPr>
          <w:p w14:paraId="73C34707">
            <w:pPr>
              <w:pStyle w:val="17"/>
              <w:spacing w:before="11"/>
              <w:jc w:val="left"/>
              <w:rPr>
                <w:b/>
                <w:sz w:val="27"/>
              </w:rPr>
            </w:pPr>
          </w:p>
          <w:p w14:paraId="2EB96FB3">
            <w:pPr>
              <w:pStyle w:val="17"/>
              <w:ind w:left="371"/>
              <w:jc w:val="left"/>
              <w:rPr>
                <w:rFonts w:ascii="Times New Roman"/>
                <w:sz w:val="21"/>
              </w:rPr>
            </w:pPr>
            <w:r>
              <w:rPr>
                <w:rFonts w:ascii="Times New Roman"/>
                <w:sz w:val="21"/>
              </w:rPr>
              <w:t>0.014</w:t>
            </w:r>
          </w:p>
        </w:tc>
        <w:tc>
          <w:tcPr>
            <w:tcW w:w="1331" w:type="dxa"/>
          </w:tcPr>
          <w:p w14:paraId="4477C5B3">
            <w:pPr>
              <w:pStyle w:val="17"/>
              <w:spacing w:before="11"/>
              <w:jc w:val="left"/>
              <w:rPr>
                <w:b/>
                <w:sz w:val="27"/>
              </w:rPr>
            </w:pPr>
          </w:p>
          <w:p w14:paraId="5AB8A476">
            <w:pPr>
              <w:pStyle w:val="17"/>
              <w:ind w:left="118" w:right="109"/>
              <w:rPr>
                <w:rFonts w:ascii="Times New Roman"/>
                <w:sz w:val="21"/>
              </w:rPr>
            </w:pPr>
            <w:r>
              <w:rPr>
                <w:rFonts w:ascii="Times New Roman"/>
                <w:sz w:val="21"/>
              </w:rPr>
              <w:t>0.785</w:t>
            </w:r>
          </w:p>
        </w:tc>
        <w:tc>
          <w:tcPr>
            <w:tcW w:w="1120" w:type="dxa"/>
          </w:tcPr>
          <w:p w14:paraId="319DCEFA">
            <w:pPr>
              <w:pStyle w:val="17"/>
              <w:spacing w:before="11"/>
              <w:jc w:val="left"/>
              <w:rPr>
                <w:b/>
                <w:sz w:val="27"/>
              </w:rPr>
            </w:pPr>
          </w:p>
          <w:p w14:paraId="625D2D63">
            <w:pPr>
              <w:pStyle w:val="17"/>
              <w:ind w:left="70" w:right="61"/>
              <w:rPr>
                <w:rFonts w:ascii="Times New Roman"/>
                <w:sz w:val="21"/>
              </w:rPr>
            </w:pPr>
            <w:r>
              <w:rPr>
                <w:rFonts w:ascii="Times New Roman"/>
                <w:sz w:val="21"/>
              </w:rPr>
              <w:t>1.413</w:t>
            </w:r>
          </w:p>
        </w:tc>
        <w:tc>
          <w:tcPr>
            <w:tcW w:w="1205" w:type="dxa"/>
            <w:tcBorders>
              <w:right w:val="nil"/>
            </w:tcBorders>
          </w:tcPr>
          <w:p w14:paraId="1E6A3869">
            <w:pPr>
              <w:pStyle w:val="17"/>
              <w:spacing w:before="11"/>
              <w:jc w:val="left"/>
              <w:rPr>
                <w:b/>
                <w:sz w:val="27"/>
              </w:rPr>
            </w:pPr>
          </w:p>
          <w:p w14:paraId="131D2B97">
            <w:pPr>
              <w:pStyle w:val="17"/>
              <w:ind w:left="55" w:right="51"/>
              <w:rPr>
                <w:rFonts w:ascii="Times New Roman"/>
                <w:sz w:val="21"/>
              </w:rPr>
            </w:pPr>
            <w:r>
              <w:rPr>
                <w:rFonts w:ascii="Times New Roman"/>
                <w:sz w:val="21"/>
              </w:rPr>
              <w:t>3.141</w:t>
            </w:r>
          </w:p>
        </w:tc>
      </w:tr>
    </w:tbl>
    <w:p w14:paraId="11EC1026">
      <w:pPr>
        <w:pStyle w:val="9"/>
        <w:spacing w:before="85"/>
        <w:ind w:left="5263" w:right="5263"/>
        <w:jc w:val="center"/>
      </w:pPr>
      <w:r>
        <w:t>表</w:t>
      </w:r>
      <w:r>
        <w:rPr>
          <w:rFonts w:ascii="Times New Roman" w:eastAsia="Times New Roman"/>
        </w:rPr>
        <w:t>4.1-9</w:t>
      </w:r>
      <w:r>
        <w:t>本项目无组织废气排放参数表</w:t>
      </w:r>
    </w:p>
    <w:p w14:paraId="708E9732">
      <w:pPr>
        <w:pStyle w:val="10"/>
        <w:spacing w:before="9"/>
        <w:rPr>
          <w:b/>
          <w:sz w:val="6"/>
        </w:rPr>
      </w:pPr>
    </w:p>
    <w:tbl>
      <w:tblPr>
        <w:tblStyle w:val="13"/>
        <w:tblW w:w="0" w:type="auto"/>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851"/>
        <w:gridCol w:w="961"/>
        <w:gridCol w:w="1154"/>
        <w:gridCol w:w="785"/>
        <w:gridCol w:w="1021"/>
        <w:gridCol w:w="785"/>
        <w:gridCol w:w="785"/>
        <w:gridCol w:w="785"/>
        <w:gridCol w:w="1018"/>
        <w:gridCol w:w="998"/>
        <w:gridCol w:w="1670"/>
        <w:gridCol w:w="1491"/>
      </w:tblGrid>
      <w:tr w14:paraId="03546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59" w:type="dxa"/>
            <w:vMerge w:val="restart"/>
            <w:tcBorders>
              <w:left w:val="nil"/>
            </w:tcBorders>
          </w:tcPr>
          <w:p w14:paraId="73C2E4A3">
            <w:pPr>
              <w:pStyle w:val="17"/>
              <w:spacing w:before="9"/>
              <w:jc w:val="left"/>
              <w:rPr>
                <w:b/>
                <w:sz w:val="26"/>
              </w:rPr>
            </w:pPr>
          </w:p>
          <w:p w14:paraId="64C2F339">
            <w:pPr>
              <w:pStyle w:val="17"/>
              <w:ind w:left="223"/>
              <w:jc w:val="left"/>
              <w:rPr>
                <w:sz w:val="21"/>
              </w:rPr>
            </w:pPr>
            <w:r>
              <w:rPr>
                <w:sz w:val="21"/>
              </w:rPr>
              <w:t>编号</w:t>
            </w:r>
          </w:p>
        </w:tc>
        <w:tc>
          <w:tcPr>
            <w:tcW w:w="1851" w:type="dxa"/>
            <w:vMerge w:val="restart"/>
          </w:tcPr>
          <w:p w14:paraId="4C0CB499">
            <w:pPr>
              <w:pStyle w:val="17"/>
              <w:spacing w:before="9"/>
              <w:jc w:val="left"/>
              <w:rPr>
                <w:b/>
                <w:sz w:val="26"/>
              </w:rPr>
            </w:pPr>
          </w:p>
          <w:p w14:paraId="52546BE0">
            <w:pPr>
              <w:pStyle w:val="17"/>
              <w:ind w:left="694" w:right="687"/>
              <w:rPr>
                <w:sz w:val="21"/>
              </w:rPr>
            </w:pPr>
            <w:r>
              <w:rPr>
                <w:sz w:val="21"/>
              </w:rPr>
              <w:t>名称</w:t>
            </w:r>
          </w:p>
        </w:tc>
        <w:tc>
          <w:tcPr>
            <w:tcW w:w="2115" w:type="dxa"/>
            <w:gridSpan w:val="2"/>
          </w:tcPr>
          <w:p w14:paraId="66B53008">
            <w:pPr>
              <w:pStyle w:val="17"/>
              <w:spacing w:before="107"/>
              <w:ind w:left="316"/>
              <w:jc w:val="left"/>
              <w:rPr>
                <w:rFonts w:ascii="Times New Roman" w:eastAsia="Times New Roman"/>
                <w:sz w:val="21"/>
              </w:rPr>
            </w:pPr>
            <w:r>
              <w:rPr>
                <w:sz w:val="21"/>
              </w:rPr>
              <w:t>面源起点坐标</w:t>
            </w:r>
            <w:r>
              <w:rPr>
                <w:rFonts w:ascii="Times New Roman" w:eastAsia="Times New Roman"/>
                <w:sz w:val="21"/>
              </w:rPr>
              <w:t>/m</w:t>
            </w:r>
          </w:p>
        </w:tc>
        <w:tc>
          <w:tcPr>
            <w:tcW w:w="785" w:type="dxa"/>
            <w:vMerge w:val="restart"/>
          </w:tcPr>
          <w:p w14:paraId="5004A042">
            <w:pPr>
              <w:pStyle w:val="17"/>
              <w:spacing w:before="23" w:line="285" w:lineRule="auto"/>
              <w:ind w:left="75" w:right="68"/>
              <w:rPr>
                <w:sz w:val="21"/>
              </w:rPr>
            </w:pPr>
            <w:r>
              <w:rPr>
                <w:w w:val="95"/>
                <w:sz w:val="21"/>
              </w:rPr>
              <w:t>面源海拔高度</w:t>
            </w:r>
          </w:p>
          <w:p w14:paraId="2E07E5B1">
            <w:pPr>
              <w:pStyle w:val="17"/>
              <w:spacing w:before="12"/>
              <w:ind w:left="72" w:right="68"/>
              <w:rPr>
                <w:rFonts w:ascii="Times New Roman"/>
                <w:sz w:val="21"/>
              </w:rPr>
            </w:pPr>
            <w:r>
              <w:rPr>
                <w:rFonts w:ascii="Times New Roman"/>
                <w:sz w:val="21"/>
              </w:rPr>
              <w:t>/m</w:t>
            </w:r>
          </w:p>
        </w:tc>
        <w:tc>
          <w:tcPr>
            <w:tcW w:w="1021" w:type="dxa"/>
            <w:vMerge w:val="restart"/>
          </w:tcPr>
          <w:p w14:paraId="2AB2D047">
            <w:pPr>
              <w:pStyle w:val="17"/>
              <w:spacing w:before="4"/>
              <w:jc w:val="left"/>
              <w:rPr>
                <w:b/>
                <w:sz w:val="14"/>
              </w:rPr>
            </w:pPr>
          </w:p>
          <w:p w14:paraId="00FAB63C">
            <w:pPr>
              <w:pStyle w:val="17"/>
              <w:ind w:left="68" w:right="62"/>
              <w:rPr>
                <w:sz w:val="21"/>
              </w:rPr>
            </w:pPr>
            <w:r>
              <w:rPr>
                <w:sz w:val="21"/>
              </w:rPr>
              <w:t>面源长度</w:t>
            </w:r>
          </w:p>
          <w:p w14:paraId="28E163EE">
            <w:pPr>
              <w:pStyle w:val="17"/>
              <w:spacing w:before="64"/>
              <w:ind w:left="68" w:right="61"/>
              <w:rPr>
                <w:rFonts w:ascii="Times New Roman"/>
                <w:sz w:val="21"/>
              </w:rPr>
            </w:pPr>
            <w:r>
              <w:rPr>
                <w:rFonts w:ascii="Times New Roman"/>
                <w:sz w:val="21"/>
              </w:rPr>
              <w:t>/m</w:t>
            </w:r>
          </w:p>
        </w:tc>
        <w:tc>
          <w:tcPr>
            <w:tcW w:w="785" w:type="dxa"/>
            <w:vMerge w:val="restart"/>
          </w:tcPr>
          <w:p w14:paraId="23C61968">
            <w:pPr>
              <w:pStyle w:val="17"/>
              <w:spacing w:before="184" w:line="285" w:lineRule="auto"/>
              <w:ind w:left="175" w:right="67" w:hanging="99"/>
              <w:jc w:val="left"/>
              <w:rPr>
                <w:rFonts w:ascii="Times New Roman" w:eastAsia="Times New Roman"/>
                <w:sz w:val="21"/>
              </w:rPr>
            </w:pPr>
            <w:r>
              <w:rPr>
                <w:sz w:val="21"/>
              </w:rPr>
              <w:t>面源宽度</w:t>
            </w:r>
            <w:r>
              <w:rPr>
                <w:rFonts w:ascii="Times New Roman" w:eastAsia="Times New Roman"/>
                <w:sz w:val="21"/>
              </w:rPr>
              <w:t>/m</w:t>
            </w:r>
          </w:p>
        </w:tc>
        <w:tc>
          <w:tcPr>
            <w:tcW w:w="785" w:type="dxa"/>
            <w:vMerge w:val="restart"/>
          </w:tcPr>
          <w:p w14:paraId="2ADDD796">
            <w:pPr>
              <w:pStyle w:val="17"/>
              <w:spacing w:before="23" w:line="285" w:lineRule="auto"/>
              <w:ind w:left="76" w:right="67"/>
              <w:rPr>
                <w:sz w:val="21"/>
              </w:rPr>
            </w:pPr>
            <w:r>
              <w:rPr>
                <w:w w:val="95"/>
                <w:sz w:val="21"/>
              </w:rPr>
              <w:t>与正北向夹角</w:t>
            </w:r>
          </w:p>
          <w:p w14:paraId="7D3D55BA">
            <w:pPr>
              <w:pStyle w:val="17"/>
              <w:spacing w:before="12"/>
              <w:ind w:left="75" w:right="67"/>
              <w:rPr>
                <w:rFonts w:ascii="Times New Roman" w:hAnsi="Times New Roman"/>
                <w:sz w:val="21"/>
              </w:rPr>
            </w:pPr>
            <w:r>
              <w:rPr>
                <w:rFonts w:ascii="Times New Roman" w:hAnsi="Times New Roman"/>
                <w:sz w:val="21"/>
              </w:rPr>
              <w:t>/ °</w:t>
            </w:r>
          </w:p>
        </w:tc>
        <w:tc>
          <w:tcPr>
            <w:tcW w:w="785" w:type="dxa"/>
            <w:vMerge w:val="restart"/>
          </w:tcPr>
          <w:p w14:paraId="59E51BEA">
            <w:pPr>
              <w:pStyle w:val="17"/>
              <w:spacing w:before="23" w:line="285" w:lineRule="auto"/>
              <w:ind w:left="76" w:right="67"/>
              <w:jc w:val="left"/>
              <w:rPr>
                <w:sz w:val="21"/>
              </w:rPr>
            </w:pPr>
            <w:r>
              <w:rPr>
                <w:sz w:val="21"/>
              </w:rPr>
              <w:t>面源有</w:t>
            </w:r>
            <w:r>
              <w:rPr>
                <w:w w:val="95"/>
                <w:sz w:val="21"/>
              </w:rPr>
              <w:t>效排放</w:t>
            </w:r>
          </w:p>
          <w:p w14:paraId="43B43FE4">
            <w:pPr>
              <w:pStyle w:val="17"/>
              <w:spacing w:line="267" w:lineRule="exact"/>
              <w:ind w:left="71"/>
              <w:jc w:val="left"/>
              <w:rPr>
                <w:rFonts w:ascii="Times New Roman" w:eastAsia="Times New Roman"/>
                <w:sz w:val="21"/>
              </w:rPr>
            </w:pPr>
            <w:r>
              <w:rPr>
                <w:w w:val="95"/>
                <w:sz w:val="21"/>
              </w:rPr>
              <w:t>高度</w:t>
            </w:r>
            <w:r>
              <w:rPr>
                <w:rFonts w:ascii="Times New Roman" w:eastAsia="Times New Roman"/>
                <w:w w:val="95"/>
                <w:sz w:val="21"/>
              </w:rPr>
              <w:t>/m</w:t>
            </w:r>
          </w:p>
        </w:tc>
        <w:tc>
          <w:tcPr>
            <w:tcW w:w="1018" w:type="dxa"/>
            <w:vMerge w:val="restart"/>
          </w:tcPr>
          <w:p w14:paraId="30BE8C18">
            <w:pPr>
              <w:pStyle w:val="17"/>
              <w:spacing w:before="184" w:line="285" w:lineRule="auto"/>
              <w:ind w:left="217" w:right="80" w:hanging="130"/>
              <w:jc w:val="left"/>
              <w:rPr>
                <w:rFonts w:ascii="Times New Roman" w:eastAsia="Times New Roman"/>
                <w:sz w:val="21"/>
              </w:rPr>
            </w:pPr>
            <w:r>
              <w:rPr>
                <w:w w:val="95"/>
                <w:sz w:val="21"/>
              </w:rPr>
              <w:t>年排放小</w:t>
            </w:r>
            <w:r>
              <w:rPr>
                <w:sz w:val="21"/>
              </w:rPr>
              <w:t>时数</w:t>
            </w:r>
            <w:r>
              <w:rPr>
                <w:rFonts w:ascii="Times New Roman" w:eastAsia="Times New Roman"/>
                <w:sz w:val="21"/>
              </w:rPr>
              <w:t>/h</w:t>
            </w:r>
          </w:p>
        </w:tc>
        <w:tc>
          <w:tcPr>
            <w:tcW w:w="998" w:type="dxa"/>
            <w:vMerge w:val="restart"/>
          </w:tcPr>
          <w:p w14:paraId="7B93C55D">
            <w:pPr>
              <w:pStyle w:val="17"/>
              <w:spacing w:before="9"/>
              <w:jc w:val="left"/>
              <w:rPr>
                <w:b/>
                <w:sz w:val="26"/>
              </w:rPr>
            </w:pPr>
          </w:p>
          <w:p w14:paraId="3644F580">
            <w:pPr>
              <w:pStyle w:val="17"/>
              <w:ind w:left="78"/>
              <w:jc w:val="left"/>
              <w:rPr>
                <w:sz w:val="21"/>
              </w:rPr>
            </w:pPr>
            <w:r>
              <w:rPr>
                <w:sz w:val="21"/>
              </w:rPr>
              <w:t>排放工况</w:t>
            </w:r>
          </w:p>
        </w:tc>
        <w:tc>
          <w:tcPr>
            <w:tcW w:w="3161" w:type="dxa"/>
            <w:gridSpan w:val="2"/>
            <w:tcBorders>
              <w:right w:val="nil"/>
            </w:tcBorders>
          </w:tcPr>
          <w:p w14:paraId="74C6E255">
            <w:pPr>
              <w:pStyle w:val="17"/>
              <w:spacing w:before="107"/>
              <w:ind w:left="419"/>
              <w:jc w:val="left"/>
              <w:rPr>
                <w:sz w:val="21"/>
              </w:rPr>
            </w:pPr>
            <w:r>
              <w:rPr>
                <w:sz w:val="21"/>
              </w:rPr>
              <w:t>污染物排放速率</w:t>
            </w:r>
            <w:r>
              <w:rPr>
                <w:rFonts w:ascii="Times New Roman" w:eastAsia="Times New Roman"/>
                <w:sz w:val="21"/>
              </w:rPr>
              <w:t>/</w:t>
            </w:r>
            <w:r>
              <w:rPr>
                <w:sz w:val="21"/>
              </w:rPr>
              <w:t>（</w:t>
            </w:r>
            <w:r>
              <w:rPr>
                <w:rFonts w:ascii="Times New Roman" w:eastAsia="Times New Roman"/>
                <w:sz w:val="21"/>
              </w:rPr>
              <w:t>kg/h</w:t>
            </w:r>
            <w:r>
              <w:rPr>
                <w:sz w:val="21"/>
              </w:rPr>
              <w:t>）</w:t>
            </w:r>
          </w:p>
        </w:tc>
      </w:tr>
      <w:tr w14:paraId="114D3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59" w:type="dxa"/>
            <w:vMerge w:val="continue"/>
            <w:tcBorders>
              <w:top w:val="nil"/>
              <w:left w:val="nil"/>
            </w:tcBorders>
          </w:tcPr>
          <w:p w14:paraId="709EC53C">
            <w:pPr>
              <w:rPr>
                <w:sz w:val="2"/>
                <w:szCs w:val="2"/>
              </w:rPr>
            </w:pPr>
          </w:p>
        </w:tc>
        <w:tc>
          <w:tcPr>
            <w:tcW w:w="1851" w:type="dxa"/>
            <w:vMerge w:val="continue"/>
            <w:tcBorders>
              <w:top w:val="nil"/>
            </w:tcBorders>
          </w:tcPr>
          <w:p w14:paraId="38F0BD22">
            <w:pPr>
              <w:rPr>
                <w:sz w:val="2"/>
                <w:szCs w:val="2"/>
              </w:rPr>
            </w:pPr>
          </w:p>
        </w:tc>
        <w:tc>
          <w:tcPr>
            <w:tcW w:w="961" w:type="dxa"/>
          </w:tcPr>
          <w:p w14:paraId="1FCB3169">
            <w:pPr>
              <w:pStyle w:val="17"/>
              <w:spacing w:before="109"/>
              <w:ind w:left="402"/>
              <w:jc w:val="left"/>
              <w:rPr>
                <w:rFonts w:ascii="Times New Roman"/>
                <w:sz w:val="21"/>
              </w:rPr>
            </w:pPr>
            <w:r>
              <w:rPr>
                <w:rFonts w:ascii="Times New Roman"/>
                <w:w w:val="99"/>
                <w:sz w:val="21"/>
              </w:rPr>
              <w:t>X</w:t>
            </w:r>
          </w:p>
        </w:tc>
        <w:tc>
          <w:tcPr>
            <w:tcW w:w="1154" w:type="dxa"/>
          </w:tcPr>
          <w:p w14:paraId="148A690E">
            <w:pPr>
              <w:pStyle w:val="17"/>
              <w:spacing w:before="109"/>
              <w:ind w:left="499"/>
              <w:jc w:val="left"/>
              <w:rPr>
                <w:rFonts w:ascii="Times New Roman"/>
                <w:sz w:val="21"/>
              </w:rPr>
            </w:pPr>
            <w:r>
              <w:rPr>
                <w:rFonts w:ascii="Times New Roman"/>
                <w:w w:val="99"/>
                <w:sz w:val="21"/>
              </w:rPr>
              <w:t>Y</w:t>
            </w:r>
          </w:p>
        </w:tc>
        <w:tc>
          <w:tcPr>
            <w:tcW w:w="785" w:type="dxa"/>
            <w:vMerge w:val="continue"/>
            <w:tcBorders>
              <w:top w:val="nil"/>
            </w:tcBorders>
          </w:tcPr>
          <w:p w14:paraId="2F7F5DB5">
            <w:pPr>
              <w:rPr>
                <w:sz w:val="2"/>
                <w:szCs w:val="2"/>
              </w:rPr>
            </w:pPr>
          </w:p>
        </w:tc>
        <w:tc>
          <w:tcPr>
            <w:tcW w:w="1021" w:type="dxa"/>
            <w:vMerge w:val="continue"/>
            <w:tcBorders>
              <w:top w:val="nil"/>
            </w:tcBorders>
          </w:tcPr>
          <w:p w14:paraId="0244C6A3">
            <w:pPr>
              <w:rPr>
                <w:sz w:val="2"/>
                <w:szCs w:val="2"/>
              </w:rPr>
            </w:pPr>
          </w:p>
        </w:tc>
        <w:tc>
          <w:tcPr>
            <w:tcW w:w="785" w:type="dxa"/>
            <w:vMerge w:val="continue"/>
            <w:tcBorders>
              <w:top w:val="nil"/>
            </w:tcBorders>
          </w:tcPr>
          <w:p w14:paraId="17436EC8">
            <w:pPr>
              <w:rPr>
                <w:sz w:val="2"/>
                <w:szCs w:val="2"/>
              </w:rPr>
            </w:pPr>
          </w:p>
        </w:tc>
        <w:tc>
          <w:tcPr>
            <w:tcW w:w="785" w:type="dxa"/>
            <w:vMerge w:val="continue"/>
            <w:tcBorders>
              <w:top w:val="nil"/>
            </w:tcBorders>
          </w:tcPr>
          <w:p w14:paraId="2FB84DFE">
            <w:pPr>
              <w:rPr>
                <w:sz w:val="2"/>
                <w:szCs w:val="2"/>
              </w:rPr>
            </w:pPr>
          </w:p>
        </w:tc>
        <w:tc>
          <w:tcPr>
            <w:tcW w:w="785" w:type="dxa"/>
            <w:vMerge w:val="continue"/>
            <w:tcBorders>
              <w:top w:val="nil"/>
            </w:tcBorders>
          </w:tcPr>
          <w:p w14:paraId="20CF990D">
            <w:pPr>
              <w:rPr>
                <w:sz w:val="2"/>
                <w:szCs w:val="2"/>
              </w:rPr>
            </w:pPr>
          </w:p>
        </w:tc>
        <w:tc>
          <w:tcPr>
            <w:tcW w:w="1018" w:type="dxa"/>
            <w:vMerge w:val="continue"/>
            <w:tcBorders>
              <w:top w:val="nil"/>
            </w:tcBorders>
          </w:tcPr>
          <w:p w14:paraId="38BFBBCB">
            <w:pPr>
              <w:rPr>
                <w:sz w:val="2"/>
                <w:szCs w:val="2"/>
              </w:rPr>
            </w:pPr>
          </w:p>
        </w:tc>
        <w:tc>
          <w:tcPr>
            <w:tcW w:w="998" w:type="dxa"/>
            <w:vMerge w:val="continue"/>
            <w:tcBorders>
              <w:top w:val="nil"/>
            </w:tcBorders>
          </w:tcPr>
          <w:p w14:paraId="37596CA6">
            <w:pPr>
              <w:rPr>
                <w:sz w:val="2"/>
                <w:szCs w:val="2"/>
              </w:rPr>
            </w:pPr>
          </w:p>
        </w:tc>
        <w:tc>
          <w:tcPr>
            <w:tcW w:w="1670" w:type="dxa"/>
          </w:tcPr>
          <w:p w14:paraId="4424316A">
            <w:pPr>
              <w:pStyle w:val="17"/>
              <w:spacing w:before="95"/>
              <w:ind w:left="107" w:right="101"/>
              <w:rPr>
                <w:sz w:val="21"/>
              </w:rPr>
            </w:pPr>
            <w:r>
              <w:rPr>
                <w:sz w:val="21"/>
              </w:rPr>
              <w:t>颗粒物（</w:t>
            </w:r>
            <w:r>
              <w:rPr>
                <w:rFonts w:ascii="Times New Roman" w:eastAsia="Times New Roman"/>
                <w:sz w:val="21"/>
              </w:rPr>
              <w:t>TSP</w:t>
            </w:r>
            <w:r>
              <w:rPr>
                <w:sz w:val="21"/>
              </w:rPr>
              <w:t>）</w:t>
            </w:r>
          </w:p>
        </w:tc>
        <w:tc>
          <w:tcPr>
            <w:tcW w:w="1491" w:type="dxa"/>
            <w:tcBorders>
              <w:right w:val="nil"/>
            </w:tcBorders>
          </w:tcPr>
          <w:p w14:paraId="72609FD4">
            <w:pPr>
              <w:pStyle w:val="17"/>
              <w:spacing w:before="95"/>
              <w:ind w:left="185" w:right="181"/>
              <w:rPr>
                <w:sz w:val="21"/>
              </w:rPr>
            </w:pPr>
            <w:r>
              <w:rPr>
                <w:sz w:val="21"/>
              </w:rPr>
              <w:t>非甲烷总烃</w:t>
            </w:r>
          </w:p>
        </w:tc>
      </w:tr>
      <w:tr w14:paraId="433D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59" w:type="dxa"/>
            <w:tcBorders>
              <w:left w:val="nil"/>
            </w:tcBorders>
          </w:tcPr>
          <w:p w14:paraId="7A79F507">
            <w:pPr>
              <w:pStyle w:val="17"/>
              <w:spacing w:before="138"/>
              <w:ind w:left="13"/>
              <w:rPr>
                <w:rFonts w:ascii="Times New Roman"/>
                <w:sz w:val="21"/>
              </w:rPr>
            </w:pPr>
            <w:r>
              <w:rPr>
                <w:rFonts w:ascii="Times New Roman"/>
                <w:sz w:val="21"/>
              </w:rPr>
              <w:t>1#</w:t>
            </w:r>
          </w:p>
        </w:tc>
        <w:tc>
          <w:tcPr>
            <w:tcW w:w="1851" w:type="dxa"/>
          </w:tcPr>
          <w:p w14:paraId="64F6EBE0">
            <w:pPr>
              <w:pStyle w:val="17"/>
              <w:spacing w:before="124"/>
              <w:ind w:left="503"/>
              <w:jc w:val="left"/>
              <w:rPr>
                <w:sz w:val="21"/>
              </w:rPr>
            </w:pPr>
            <w:r>
              <w:rPr>
                <w:sz w:val="21"/>
              </w:rPr>
              <w:t>生产车间</w:t>
            </w:r>
          </w:p>
        </w:tc>
        <w:tc>
          <w:tcPr>
            <w:tcW w:w="961" w:type="dxa"/>
          </w:tcPr>
          <w:p w14:paraId="0F716374">
            <w:pPr>
              <w:pStyle w:val="17"/>
              <w:spacing w:before="138"/>
              <w:ind w:left="426"/>
              <w:jc w:val="left"/>
              <w:rPr>
                <w:rFonts w:ascii="Times New Roman"/>
                <w:sz w:val="21"/>
              </w:rPr>
            </w:pPr>
            <w:r>
              <w:rPr>
                <w:rFonts w:ascii="Times New Roman"/>
                <w:w w:val="99"/>
                <w:sz w:val="21"/>
              </w:rPr>
              <w:t>0</w:t>
            </w:r>
          </w:p>
        </w:tc>
        <w:tc>
          <w:tcPr>
            <w:tcW w:w="1154" w:type="dxa"/>
          </w:tcPr>
          <w:p w14:paraId="23CDB4AA">
            <w:pPr>
              <w:pStyle w:val="17"/>
              <w:spacing w:before="138"/>
              <w:ind w:left="523"/>
              <w:jc w:val="left"/>
              <w:rPr>
                <w:rFonts w:ascii="Times New Roman"/>
                <w:sz w:val="21"/>
              </w:rPr>
            </w:pPr>
            <w:r>
              <w:rPr>
                <w:rFonts w:ascii="Times New Roman"/>
                <w:w w:val="99"/>
                <w:sz w:val="21"/>
              </w:rPr>
              <w:t>0</w:t>
            </w:r>
          </w:p>
        </w:tc>
        <w:tc>
          <w:tcPr>
            <w:tcW w:w="785" w:type="dxa"/>
          </w:tcPr>
          <w:p w14:paraId="692DCBB4">
            <w:pPr>
              <w:pStyle w:val="17"/>
              <w:spacing w:before="138"/>
              <w:ind w:left="75" w:right="67"/>
              <w:rPr>
                <w:rFonts w:ascii="Times New Roman"/>
                <w:sz w:val="21"/>
              </w:rPr>
            </w:pPr>
            <w:r>
              <w:rPr>
                <w:rFonts w:ascii="Times New Roman"/>
                <w:sz w:val="21"/>
              </w:rPr>
              <w:t>59</w:t>
            </w:r>
          </w:p>
        </w:tc>
        <w:tc>
          <w:tcPr>
            <w:tcW w:w="1021" w:type="dxa"/>
          </w:tcPr>
          <w:p w14:paraId="7408CAE6">
            <w:pPr>
              <w:pStyle w:val="17"/>
              <w:spacing w:before="138"/>
              <w:ind w:left="68" w:right="61"/>
              <w:rPr>
                <w:rFonts w:ascii="Times New Roman"/>
                <w:sz w:val="21"/>
              </w:rPr>
            </w:pPr>
            <w:r>
              <w:rPr>
                <w:rFonts w:ascii="Times New Roman"/>
                <w:sz w:val="21"/>
              </w:rPr>
              <w:t>80</w:t>
            </w:r>
          </w:p>
        </w:tc>
        <w:tc>
          <w:tcPr>
            <w:tcW w:w="785" w:type="dxa"/>
          </w:tcPr>
          <w:p w14:paraId="67A2D056">
            <w:pPr>
              <w:pStyle w:val="17"/>
              <w:spacing w:before="138"/>
              <w:ind w:left="74" w:right="68"/>
              <w:rPr>
                <w:rFonts w:ascii="Times New Roman"/>
                <w:sz w:val="21"/>
              </w:rPr>
            </w:pPr>
            <w:r>
              <w:rPr>
                <w:rFonts w:ascii="Times New Roman"/>
                <w:sz w:val="21"/>
              </w:rPr>
              <w:t>40</w:t>
            </w:r>
          </w:p>
        </w:tc>
        <w:tc>
          <w:tcPr>
            <w:tcW w:w="785" w:type="dxa"/>
          </w:tcPr>
          <w:p w14:paraId="6EE7C459">
            <w:pPr>
              <w:pStyle w:val="17"/>
              <w:spacing w:before="138"/>
              <w:ind w:left="75" w:right="65"/>
              <w:rPr>
                <w:rFonts w:ascii="Times New Roman"/>
                <w:sz w:val="21"/>
              </w:rPr>
            </w:pPr>
            <w:r>
              <w:rPr>
                <w:rFonts w:ascii="Times New Roman"/>
                <w:sz w:val="21"/>
              </w:rPr>
              <w:t>75</w:t>
            </w:r>
          </w:p>
        </w:tc>
        <w:tc>
          <w:tcPr>
            <w:tcW w:w="785" w:type="dxa"/>
          </w:tcPr>
          <w:p w14:paraId="7028F3BD">
            <w:pPr>
              <w:pStyle w:val="17"/>
              <w:spacing w:before="138"/>
              <w:ind w:left="10"/>
              <w:rPr>
                <w:rFonts w:ascii="Times New Roman"/>
                <w:sz w:val="21"/>
              </w:rPr>
            </w:pPr>
            <w:r>
              <w:rPr>
                <w:rFonts w:ascii="Times New Roman"/>
                <w:w w:val="99"/>
                <w:sz w:val="21"/>
              </w:rPr>
              <w:t>9</w:t>
            </w:r>
          </w:p>
        </w:tc>
        <w:tc>
          <w:tcPr>
            <w:tcW w:w="1018" w:type="dxa"/>
          </w:tcPr>
          <w:p w14:paraId="50CAE77E">
            <w:pPr>
              <w:pStyle w:val="17"/>
              <w:spacing w:before="138"/>
              <w:ind w:left="299"/>
              <w:jc w:val="left"/>
              <w:rPr>
                <w:rFonts w:ascii="Times New Roman"/>
                <w:sz w:val="21"/>
              </w:rPr>
            </w:pPr>
            <w:r>
              <w:rPr>
                <w:rFonts w:ascii="Times New Roman"/>
                <w:sz w:val="21"/>
              </w:rPr>
              <w:t>4800</w:t>
            </w:r>
          </w:p>
        </w:tc>
        <w:tc>
          <w:tcPr>
            <w:tcW w:w="998" w:type="dxa"/>
          </w:tcPr>
          <w:p w14:paraId="731D5861">
            <w:pPr>
              <w:pStyle w:val="17"/>
              <w:spacing w:before="124"/>
              <w:ind w:left="78"/>
              <w:jc w:val="left"/>
              <w:rPr>
                <w:sz w:val="21"/>
              </w:rPr>
            </w:pPr>
            <w:r>
              <w:rPr>
                <w:sz w:val="21"/>
              </w:rPr>
              <w:t>正常排放</w:t>
            </w:r>
          </w:p>
        </w:tc>
        <w:tc>
          <w:tcPr>
            <w:tcW w:w="1670" w:type="dxa"/>
          </w:tcPr>
          <w:p w14:paraId="01B7BD7B">
            <w:pPr>
              <w:pStyle w:val="17"/>
              <w:spacing w:before="138"/>
              <w:ind w:left="107" w:right="99"/>
              <w:rPr>
                <w:rFonts w:ascii="Times New Roman"/>
                <w:sz w:val="21"/>
              </w:rPr>
            </w:pPr>
            <w:r>
              <w:rPr>
                <w:rFonts w:ascii="Times New Roman"/>
                <w:sz w:val="21"/>
              </w:rPr>
              <w:t>0.226</w:t>
            </w:r>
          </w:p>
        </w:tc>
        <w:tc>
          <w:tcPr>
            <w:tcW w:w="1491" w:type="dxa"/>
            <w:tcBorders>
              <w:right w:val="nil"/>
            </w:tcBorders>
          </w:tcPr>
          <w:p w14:paraId="37340C39">
            <w:pPr>
              <w:pStyle w:val="17"/>
              <w:spacing w:before="138"/>
              <w:ind w:left="185" w:right="180"/>
              <w:rPr>
                <w:rFonts w:ascii="Times New Roman"/>
                <w:sz w:val="21"/>
              </w:rPr>
            </w:pPr>
            <w:r>
              <w:rPr>
                <w:rFonts w:ascii="Times New Roman"/>
                <w:sz w:val="21"/>
              </w:rPr>
              <w:t>0.349</w:t>
            </w:r>
          </w:p>
        </w:tc>
      </w:tr>
    </w:tbl>
    <w:p w14:paraId="7AA7C321">
      <w:pPr>
        <w:spacing w:after="0"/>
        <w:rPr>
          <w:rFonts w:ascii="Times New Roman"/>
          <w:sz w:val="21"/>
        </w:rPr>
        <w:sectPr>
          <w:footerReference r:id="rId25" w:type="default"/>
          <w:pgSz w:w="16840" w:h="11910" w:orient="landscape"/>
          <w:pgMar w:top="1100" w:right="1200" w:bottom="1220" w:left="1200" w:header="0" w:footer="1024" w:gutter="0"/>
          <w:pgNumType w:start="96"/>
          <w:cols w:space="720" w:num="1"/>
        </w:sectPr>
      </w:pPr>
    </w:p>
    <w:p w14:paraId="73B93C5A">
      <w:pPr>
        <w:pStyle w:val="10"/>
        <w:rPr>
          <w:b/>
          <w:sz w:val="20"/>
        </w:rPr>
      </w:pPr>
    </w:p>
    <w:p w14:paraId="48978EE9">
      <w:pPr>
        <w:pStyle w:val="10"/>
        <w:rPr>
          <w:b/>
          <w:sz w:val="20"/>
        </w:rPr>
      </w:pPr>
    </w:p>
    <w:p w14:paraId="63B75B38">
      <w:pPr>
        <w:pStyle w:val="10"/>
        <w:spacing w:before="2"/>
        <w:rPr>
          <w:b/>
          <w:sz w:val="15"/>
        </w:rPr>
      </w:pPr>
    </w:p>
    <w:p w14:paraId="30DF283B">
      <w:pPr>
        <w:pStyle w:val="10"/>
        <w:spacing w:before="77"/>
        <w:ind w:left="720"/>
      </w:pPr>
      <w:r>
        <w:t>（</w:t>
      </w:r>
      <w:r>
        <w:rPr>
          <w:rFonts w:ascii="Times New Roman" w:eastAsia="Times New Roman"/>
        </w:rPr>
        <w:t>2</w:t>
      </w:r>
      <w:r>
        <w:t>）已批在建污染源</w:t>
      </w:r>
    </w:p>
    <w:p w14:paraId="3204CFE1">
      <w:pPr>
        <w:pStyle w:val="10"/>
        <w:spacing w:before="170" w:line="372" w:lineRule="auto"/>
        <w:ind w:left="240" w:right="237" w:firstLine="480"/>
        <w:jc w:val="both"/>
      </w:pPr>
      <w:r>
        <w:rPr>
          <w:spacing w:val="-1"/>
        </w:rPr>
        <w:t>根据《环境影响评价技术导则大气环境》</w:t>
      </w:r>
      <w:r>
        <w:rPr>
          <w:rFonts w:ascii="Times New Roman" w:hAnsi="Times New Roman" w:eastAsia="Times New Roman"/>
        </w:rPr>
        <w:t>(HJ2.2-2018)7.1.1.3</w:t>
      </w:r>
      <w:r>
        <w:t>“调查评价范围内与评价项目排放污染物有关的其他在建项目、已批</w:t>
      </w:r>
      <w:r>
        <w:rPr>
          <w:spacing w:val="-2"/>
          <w:position w:val="2"/>
        </w:rPr>
        <w:t xml:space="preserve">复环境影响评价文件的拟建项目等污染源”，本项目评价范围内涉及 </w:t>
      </w:r>
      <w:r>
        <w:rPr>
          <w:rFonts w:ascii="Times New Roman" w:hAnsi="Times New Roman" w:eastAsia="Times New Roman"/>
          <w:position w:val="2"/>
        </w:rPr>
        <w:t>PM</w:t>
      </w:r>
      <w:r>
        <w:rPr>
          <w:rFonts w:ascii="Times New Roman" w:hAnsi="Times New Roman" w:eastAsia="Times New Roman"/>
          <w:position w:val="2"/>
          <w:vertAlign w:val="subscript"/>
        </w:rPr>
        <w:t>10</w:t>
      </w:r>
      <w:r>
        <w:rPr>
          <w:position w:val="2"/>
          <w:vertAlign w:val="baseline"/>
        </w:rPr>
        <w:t>、</w:t>
      </w:r>
      <w:r>
        <w:rPr>
          <w:rFonts w:ascii="Times New Roman" w:hAnsi="Times New Roman" w:eastAsia="Times New Roman"/>
          <w:position w:val="2"/>
          <w:vertAlign w:val="baseline"/>
        </w:rPr>
        <w:t>TSP</w:t>
      </w:r>
      <w:r>
        <w:rPr>
          <w:position w:val="2"/>
          <w:vertAlign w:val="baseline"/>
        </w:rPr>
        <w:t>、非甲烷总烃等污染物排放的已批在建排放同类污染</w:t>
      </w:r>
      <w:r>
        <w:rPr>
          <w:vertAlign w:val="baseline"/>
        </w:rPr>
        <w:t>物项目源强如下：</w:t>
      </w:r>
    </w:p>
    <w:p w14:paraId="27FD3CBE">
      <w:pPr>
        <w:pStyle w:val="9"/>
        <w:spacing w:before="0" w:after="5" w:line="229" w:lineRule="exact"/>
        <w:ind w:left="3837"/>
      </w:pPr>
      <w:r>
        <w:t xml:space="preserve">表 </w:t>
      </w:r>
      <w:r>
        <w:rPr>
          <w:rFonts w:ascii="Times New Roman" w:eastAsia="Times New Roman"/>
        </w:rPr>
        <w:t xml:space="preserve">4.1-10 </w:t>
      </w:r>
      <w:r>
        <w:t>本项目评价范围内已批在建排放同类污染物的项目源强</w:t>
      </w:r>
    </w:p>
    <w:tbl>
      <w:tblPr>
        <w:tblStyle w:val="13"/>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00"/>
        <w:gridCol w:w="2089"/>
        <w:gridCol w:w="1278"/>
        <w:gridCol w:w="1171"/>
        <w:gridCol w:w="638"/>
        <w:gridCol w:w="870"/>
        <w:gridCol w:w="859"/>
        <w:gridCol w:w="1105"/>
        <w:gridCol w:w="1448"/>
        <w:gridCol w:w="1448"/>
        <w:gridCol w:w="1457"/>
      </w:tblGrid>
      <w:tr w14:paraId="18B541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800" w:type="dxa"/>
            <w:vMerge w:val="restart"/>
            <w:tcBorders>
              <w:left w:val="nil"/>
              <w:bottom w:val="single" w:color="000000" w:sz="4" w:space="0"/>
              <w:right w:val="single" w:color="000000" w:sz="4" w:space="0"/>
            </w:tcBorders>
          </w:tcPr>
          <w:p w14:paraId="6AC4BFAC">
            <w:pPr>
              <w:pStyle w:val="17"/>
              <w:jc w:val="left"/>
              <w:rPr>
                <w:b/>
                <w:sz w:val="20"/>
              </w:rPr>
            </w:pPr>
          </w:p>
          <w:p w14:paraId="3917A412">
            <w:pPr>
              <w:pStyle w:val="17"/>
              <w:spacing w:before="142"/>
              <w:ind w:left="566" w:right="537"/>
              <w:rPr>
                <w:sz w:val="21"/>
              </w:rPr>
            </w:pPr>
            <w:r>
              <w:rPr>
                <w:sz w:val="21"/>
              </w:rPr>
              <w:t>项目</w:t>
            </w:r>
          </w:p>
        </w:tc>
        <w:tc>
          <w:tcPr>
            <w:tcW w:w="2089" w:type="dxa"/>
            <w:vMerge w:val="restart"/>
            <w:tcBorders>
              <w:left w:val="single" w:color="000000" w:sz="4" w:space="0"/>
              <w:bottom w:val="single" w:color="000000" w:sz="4" w:space="0"/>
              <w:right w:val="single" w:color="000000" w:sz="4" w:space="0"/>
            </w:tcBorders>
          </w:tcPr>
          <w:p w14:paraId="4CB9EBBB">
            <w:pPr>
              <w:pStyle w:val="17"/>
              <w:jc w:val="left"/>
              <w:rPr>
                <w:b/>
                <w:sz w:val="20"/>
              </w:rPr>
            </w:pPr>
          </w:p>
          <w:p w14:paraId="0733A5B6">
            <w:pPr>
              <w:pStyle w:val="17"/>
              <w:spacing w:before="142"/>
              <w:ind w:left="87" w:right="60"/>
              <w:rPr>
                <w:sz w:val="21"/>
              </w:rPr>
            </w:pPr>
            <w:r>
              <w:rPr>
                <w:sz w:val="21"/>
              </w:rPr>
              <w:t>污染源</w:t>
            </w:r>
          </w:p>
        </w:tc>
        <w:tc>
          <w:tcPr>
            <w:tcW w:w="2449" w:type="dxa"/>
            <w:gridSpan w:val="2"/>
            <w:tcBorders>
              <w:left w:val="single" w:color="000000" w:sz="4" w:space="0"/>
              <w:bottom w:val="single" w:color="000000" w:sz="4" w:space="0"/>
              <w:right w:val="single" w:color="000000" w:sz="4" w:space="0"/>
            </w:tcBorders>
          </w:tcPr>
          <w:p w14:paraId="79707E13">
            <w:pPr>
              <w:pStyle w:val="17"/>
              <w:spacing w:before="1" w:line="270" w:lineRule="atLeast"/>
              <w:ind w:left="603" w:right="50" w:hanging="526"/>
              <w:jc w:val="left"/>
              <w:rPr>
                <w:sz w:val="21"/>
              </w:rPr>
            </w:pPr>
            <w:r>
              <w:rPr>
                <w:w w:val="95"/>
                <w:sz w:val="21"/>
              </w:rPr>
              <w:t>排气筒底部中心坐标或面</w:t>
            </w:r>
            <w:r>
              <w:rPr>
                <w:sz w:val="21"/>
              </w:rPr>
              <w:t>源中心点坐标</w:t>
            </w:r>
          </w:p>
        </w:tc>
        <w:tc>
          <w:tcPr>
            <w:tcW w:w="2367" w:type="dxa"/>
            <w:gridSpan w:val="3"/>
            <w:tcBorders>
              <w:left w:val="single" w:color="000000" w:sz="4" w:space="0"/>
              <w:bottom w:val="single" w:color="000000" w:sz="4" w:space="0"/>
              <w:right w:val="single" w:color="000000" w:sz="4" w:space="0"/>
            </w:tcBorders>
          </w:tcPr>
          <w:p w14:paraId="2CA16401">
            <w:pPr>
              <w:pStyle w:val="17"/>
              <w:spacing w:before="136"/>
              <w:ind w:left="667"/>
              <w:jc w:val="left"/>
              <w:rPr>
                <w:sz w:val="21"/>
              </w:rPr>
            </w:pPr>
            <w:r>
              <w:rPr>
                <w:sz w:val="21"/>
              </w:rPr>
              <w:t>排放源参数</w:t>
            </w:r>
          </w:p>
        </w:tc>
        <w:tc>
          <w:tcPr>
            <w:tcW w:w="1105" w:type="dxa"/>
            <w:vMerge w:val="restart"/>
            <w:tcBorders>
              <w:left w:val="single" w:color="000000" w:sz="4" w:space="0"/>
              <w:bottom w:val="single" w:color="000000" w:sz="4" w:space="0"/>
              <w:right w:val="single" w:color="000000" w:sz="4" w:space="0"/>
            </w:tcBorders>
          </w:tcPr>
          <w:p w14:paraId="3A911B16">
            <w:pPr>
              <w:pStyle w:val="17"/>
              <w:spacing w:before="9"/>
              <w:jc w:val="left"/>
              <w:rPr>
                <w:b/>
                <w:sz w:val="21"/>
              </w:rPr>
            </w:pPr>
          </w:p>
          <w:p w14:paraId="2645B0FF">
            <w:pPr>
              <w:pStyle w:val="17"/>
              <w:ind w:left="240" w:right="184"/>
              <w:rPr>
                <w:sz w:val="21"/>
              </w:rPr>
            </w:pPr>
            <w:r>
              <w:rPr>
                <w:sz w:val="21"/>
              </w:rPr>
              <w:t>排气量</w:t>
            </w:r>
          </w:p>
          <w:p w14:paraId="1AE78573">
            <w:pPr>
              <w:pStyle w:val="17"/>
              <w:spacing w:before="2"/>
              <w:ind w:left="236" w:right="184"/>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4353" w:type="dxa"/>
            <w:gridSpan w:val="3"/>
            <w:tcBorders>
              <w:left w:val="single" w:color="000000" w:sz="4" w:space="0"/>
              <w:bottom w:val="single" w:color="000000" w:sz="4" w:space="0"/>
              <w:right w:val="nil"/>
            </w:tcBorders>
          </w:tcPr>
          <w:p w14:paraId="7444F540">
            <w:pPr>
              <w:pStyle w:val="17"/>
              <w:spacing w:before="136"/>
              <w:ind w:left="1663" w:right="1640"/>
              <w:rPr>
                <w:rFonts w:ascii="Times New Roman" w:eastAsia="Times New Roman"/>
                <w:sz w:val="21"/>
              </w:rPr>
            </w:pPr>
            <w:r>
              <w:rPr>
                <w:sz w:val="21"/>
              </w:rPr>
              <w:t>排放量</w:t>
            </w:r>
            <w:r>
              <w:rPr>
                <w:rFonts w:ascii="Times New Roman" w:eastAsia="Times New Roman"/>
                <w:sz w:val="21"/>
              </w:rPr>
              <w:t>kg/h</w:t>
            </w:r>
          </w:p>
        </w:tc>
      </w:tr>
      <w:tr w14:paraId="35A728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4" w:hRule="atLeast"/>
        </w:trPr>
        <w:tc>
          <w:tcPr>
            <w:tcW w:w="1800" w:type="dxa"/>
            <w:vMerge w:val="continue"/>
            <w:tcBorders>
              <w:top w:val="nil"/>
              <w:left w:val="nil"/>
              <w:bottom w:val="single" w:color="000000" w:sz="4" w:space="0"/>
              <w:right w:val="single" w:color="000000" w:sz="4" w:space="0"/>
            </w:tcBorders>
          </w:tcPr>
          <w:p w14:paraId="27E9B6C2">
            <w:pPr>
              <w:rPr>
                <w:sz w:val="2"/>
                <w:szCs w:val="2"/>
              </w:rPr>
            </w:pPr>
          </w:p>
        </w:tc>
        <w:tc>
          <w:tcPr>
            <w:tcW w:w="2089" w:type="dxa"/>
            <w:vMerge w:val="continue"/>
            <w:tcBorders>
              <w:top w:val="nil"/>
              <w:left w:val="single" w:color="000000" w:sz="4" w:space="0"/>
              <w:bottom w:val="single" w:color="000000" w:sz="4" w:space="0"/>
              <w:right w:val="single" w:color="000000" w:sz="4" w:space="0"/>
            </w:tcBorders>
          </w:tcPr>
          <w:p w14:paraId="1BBA65FD">
            <w:pPr>
              <w:rPr>
                <w:sz w:val="2"/>
                <w:szCs w:val="2"/>
              </w:rPr>
            </w:pPr>
          </w:p>
        </w:tc>
        <w:tc>
          <w:tcPr>
            <w:tcW w:w="1278" w:type="dxa"/>
            <w:tcBorders>
              <w:top w:val="single" w:color="000000" w:sz="4" w:space="0"/>
              <w:left w:val="single" w:color="000000" w:sz="4" w:space="0"/>
              <w:bottom w:val="single" w:color="000000" w:sz="4" w:space="0"/>
              <w:right w:val="single" w:color="000000" w:sz="4" w:space="0"/>
            </w:tcBorders>
          </w:tcPr>
          <w:p w14:paraId="168911A4">
            <w:pPr>
              <w:pStyle w:val="17"/>
              <w:spacing w:before="133"/>
              <w:ind w:left="27"/>
              <w:rPr>
                <w:rFonts w:ascii="Times New Roman"/>
                <w:sz w:val="21"/>
              </w:rPr>
            </w:pPr>
            <w:r>
              <w:rPr>
                <w:rFonts w:ascii="Times New Roman"/>
                <w:w w:val="99"/>
                <w:sz w:val="21"/>
              </w:rPr>
              <w:t>X</w:t>
            </w:r>
          </w:p>
        </w:tc>
        <w:tc>
          <w:tcPr>
            <w:tcW w:w="1171" w:type="dxa"/>
            <w:tcBorders>
              <w:top w:val="single" w:color="000000" w:sz="4" w:space="0"/>
              <w:left w:val="single" w:color="000000" w:sz="4" w:space="0"/>
              <w:bottom w:val="single" w:color="000000" w:sz="4" w:space="0"/>
              <w:right w:val="single" w:color="000000" w:sz="4" w:space="0"/>
            </w:tcBorders>
          </w:tcPr>
          <w:p w14:paraId="29A4AF66">
            <w:pPr>
              <w:pStyle w:val="17"/>
              <w:spacing w:before="133"/>
              <w:ind w:left="26"/>
              <w:rPr>
                <w:rFonts w:ascii="Times New Roman"/>
                <w:sz w:val="21"/>
              </w:rPr>
            </w:pPr>
            <w:r>
              <w:rPr>
                <w:rFonts w:ascii="Times New Roman"/>
                <w:w w:val="99"/>
                <w:sz w:val="21"/>
              </w:rPr>
              <w:t>Y</w:t>
            </w:r>
          </w:p>
        </w:tc>
        <w:tc>
          <w:tcPr>
            <w:tcW w:w="638" w:type="dxa"/>
            <w:tcBorders>
              <w:top w:val="single" w:color="000000" w:sz="4" w:space="0"/>
              <w:left w:val="single" w:color="000000" w:sz="4" w:space="0"/>
              <w:bottom w:val="single" w:color="000000" w:sz="4" w:space="0"/>
              <w:right w:val="single" w:color="000000" w:sz="4" w:space="0"/>
            </w:tcBorders>
          </w:tcPr>
          <w:p w14:paraId="6D534230">
            <w:pPr>
              <w:pStyle w:val="17"/>
              <w:spacing w:line="268" w:lineRule="exact"/>
              <w:ind w:left="96" w:right="71"/>
              <w:rPr>
                <w:sz w:val="21"/>
              </w:rPr>
            </w:pPr>
            <w:r>
              <w:rPr>
                <w:sz w:val="21"/>
              </w:rPr>
              <w:t>高度</w:t>
            </w:r>
          </w:p>
          <w:p w14:paraId="3CB27862">
            <w:pPr>
              <w:pStyle w:val="17"/>
              <w:spacing w:before="4" w:line="222" w:lineRule="exact"/>
              <w:ind w:left="29"/>
              <w:rPr>
                <w:rFonts w:ascii="Times New Roman"/>
                <w:sz w:val="21"/>
              </w:rPr>
            </w:pPr>
            <w:r>
              <w:rPr>
                <w:rFonts w:ascii="Times New Roman"/>
                <w:w w:val="99"/>
                <w:sz w:val="21"/>
              </w:rPr>
              <w:t>m</w:t>
            </w:r>
          </w:p>
        </w:tc>
        <w:tc>
          <w:tcPr>
            <w:tcW w:w="870" w:type="dxa"/>
            <w:tcBorders>
              <w:top w:val="single" w:color="000000" w:sz="4" w:space="0"/>
              <w:left w:val="single" w:color="000000" w:sz="4" w:space="0"/>
              <w:bottom w:val="single" w:color="000000" w:sz="4" w:space="0"/>
              <w:right w:val="single" w:color="000000" w:sz="4" w:space="0"/>
            </w:tcBorders>
          </w:tcPr>
          <w:p w14:paraId="68DA8070">
            <w:pPr>
              <w:pStyle w:val="17"/>
              <w:spacing w:line="268" w:lineRule="exact"/>
              <w:ind w:left="212" w:right="188"/>
              <w:rPr>
                <w:sz w:val="21"/>
              </w:rPr>
            </w:pPr>
            <w:r>
              <w:rPr>
                <w:sz w:val="21"/>
              </w:rPr>
              <w:t>内径</w:t>
            </w:r>
          </w:p>
          <w:p w14:paraId="1AE2575B">
            <w:pPr>
              <w:pStyle w:val="17"/>
              <w:spacing w:before="4" w:line="222" w:lineRule="exact"/>
              <w:ind w:left="23"/>
              <w:rPr>
                <w:rFonts w:ascii="Times New Roman"/>
                <w:sz w:val="21"/>
              </w:rPr>
            </w:pPr>
            <w:r>
              <w:rPr>
                <w:rFonts w:ascii="Times New Roman"/>
                <w:w w:val="99"/>
                <w:sz w:val="21"/>
              </w:rPr>
              <w:t>m</w:t>
            </w:r>
          </w:p>
        </w:tc>
        <w:tc>
          <w:tcPr>
            <w:tcW w:w="859" w:type="dxa"/>
            <w:tcBorders>
              <w:top w:val="single" w:color="000000" w:sz="4" w:space="0"/>
              <w:left w:val="single" w:color="000000" w:sz="4" w:space="0"/>
              <w:bottom w:val="single" w:color="000000" w:sz="4" w:space="0"/>
              <w:right w:val="single" w:color="000000" w:sz="4" w:space="0"/>
            </w:tcBorders>
          </w:tcPr>
          <w:p w14:paraId="753144C0">
            <w:pPr>
              <w:pStyle w:val="17"/>
              <w:spacing w:line="268" w:lineRule="exact"/>
              <w:ind w:left="206" w:right="183"/>
              <w:rPr>
                <w:sz w:val="21"/>
              </w:rPr>
            </w:pPr>
            <w:r>
              <w:rPr>
                <w:sz w:val="21"/>
              </w:rPr>
              <w:t>温度</w:t>
            </w:r>
          </w:p>
          <w:p w14:paraId="3FC12EBC">
            <w:pPr>
              <w:pStyle w:val="17"/>
              <w:spacing w:before="4" w:line="222" w:lineRule="exact"/>
              <w:ind w:left="21"/>
              <w:rPr>
                <w:rFonts w:ascii="Times New Roman" w:hAnsi="Times New Roman"/>
                <w:sz w:val="21"/>
              </w:rPr>
            </w:pPr>
            <w:r>
              <w:rPr>
                <w:rFonts w:ascii="Times New Roman" w:hAnsi="Times New Roman"/>
                <w:w w:val="99"/>
                <w:sz w:val="21"/>
              </w:rPr>
              <w:t>℃</w:t>
            </w:r>
          </w:p>
        </w:tc>
        <w:tc>
          <w:tcPr>
            <w:tcW w:w="1105" w:type="dxa"/>
            <w:vMerge w:val="continue"/>
            <w:tcBorders>
              <w:top w:val="nil"/>
              <w:left w:val="single" w:color="000000" w:sz="4" w:space="0"/>
              <w:bottom w:val="single" w:color="000000" w:sz="4" w:space="0"/>
              <w:right w:val="single" w:color="000000" w:sz="4" w:space="0"/>
            </w:tcBorders>
          </w:tcPr>
          <w:p w14:paraId="1B8500F6">
            <w:pPr>
              <w:rPr>
                <w:sz w:val="2"/>
                <w:szCs w:val="2"/>
              </w:rPr>
            </w:pPr>
          </w:p>
        </w:tc>
        <w:tc>
          <w:tcPr>
            <w:tcW w:w="1448" w:type="dxa"/>
            <w:tcBorders>
              <w:top w:val="single" w:color="000000" w:sz="4" w:space="0"/>
              <w:left w:val="single" w:color="000000" w:sz="4" w:space="0"/>
              <w:bottom w:val="single" w:color="000000" w:sz="4" w:space="0"/>
              <w:right w:val="single" w:color="000000" w:sz="4" w:space="0"/>
            </w:tcBorders>
          </w:tcPr>
          <w:p w14:paraId="7EDDAFC6">
            <w:pPr>
              <w:pStyle w:val="17"/>
              <w:spacing w:before="118"/>
              <w:ind w:left="13"/>
              <w:jc w:val="left"/>
              <w:rPr>
                <w:rFonts w:ascii="Times New Roman" w:eastAsia="Times New Roman"/>
                <w:sz w:val="21"/>
              </w:rPr>
            </w:pPr>
            <w:r>
              <w:rPr>
                <w:position w:val="2"/>
                <w:sz w:val="21"/>
              </w:rPr>
              <w:t>颗粒物（</w:t>
            </w:r>
            <w:r>
              <w:rPr>
                <w:rFonts w:ascii="Times New Roman" w:eastAsia="Times New Roman"/>
                <w:position w:val="2"/>
                <w:sz w:val="21"/>
              </w:rPr>
              <w:t>PM</w:t>
            </w:r>
            <w:r>
              <w:rPr>
                <w:rFonts w:ascii="Times New Roman" w:eastAsia="Times New Roman"/>
                <w:position w:val="2"/>
                <w:sz w:val="21"/>
                <w:vertAlign w:val="subscript"/>
              </w:rPr>
              <w:t>10</w:t>
            </w:r>
          </w:p>
        </w:tc>
        <w:tc>
          <w:tcPr>
            <w:tcW w:w="1448" w:type="dxa"/>
            <w:tcBorders>
              <w:top w:val="single" w:color="000000" w:sz="4" w:space="0"/>
              <w:left w:val="single" w:color="000000" w:sz="4" w:space="0"/>
              <w:bottom w:val="single" w:color="000000" w:sz="4" w:space="0"/>
              <w:right w:val="single" w:color="000000" w:sz="4" w:space="0"/>
            </w:tcBorders>
          </w:tcPr>
          <w:p w14:paraId="473655B0">
            <w:pPr>
              <w:pStyle w:val="17"/>
              <w:spacing w:before="119"/>
              <w:ind w:left="-156"/>
              <w:jc w:val="left"/>
              <w:rPr>
                <w:rFonts w:ascii="Times New Roman" w:eastAsia="Times New Roman"/>
                <w:sz w:val="21"/>
              </w:rPr>
            </w:pPr>
            <w:r>
              <w:rPr>
                <w:sz w:val="21"/>
              </w:rPr>
              <w:t>） 颗粒物</w:t>
            </w:r>
            <w:r>
              <w:rPr>
                <w:rFonts w:ascii="Times New Roman" w:eastAsia="Times New Roman"/>
                <w:sz w:val="21"/>
              </w:rPr>
              <w:t>(TSP)</w:t>
            </w:r>
          </w:p>
        </w:tc>
        <w:tc>
          <w:tcPr>
            <w:tcW w:w="1457" w:type="dxa"/>
            <w:tcBorders>
              <w:top w:val="single" w:color="000000" w:sz="4" w:space="0"/>
              <w:left w:val="single" w:color="000000" w:sz="4" w:space="0"/>
              <w:bottom w:val="single" w:color="000000" w:sz="4" w:space="0"/>
              <w:right w:val="nil"/>
            </w:tcBorders>
          </w:tcPr>
          <w:p w14:paraId="71C76229">
            <w:pPr>
              <w:pStyle w:val="17"/>
              <w:spacing w:before="119"/>
              <w:ind w:left="192" w:right="170"/>
              <w:rPr>
                <w:sz w:val="21"/>
              </w:rPr>
            </w:pPr>
            <w:r>
              <w:rPr>
                <w:sz w:val="21"/>
              </w:rPr>
              <w:t>非甲烷总烃</w:t>
            </w:r>
          </w:p>
        </w:tc>
      </w:tr>
      <w:tr w14:paraId="569D51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1800" w:type="dxa"/>
            <w:vMerge w:val="restart"/>
            <w:tcBorders>
              <w:top w:val="single" w:color="000000" w:sz="4" w:space="0"/>
              <w:left w:val="nil"/>
              <w:bottom w:val="single" w:color="000000" w:sz="4" w:space="0"/>
              <w:right w:val="single" w:color="000000" w:sz="4" w:space="0"/>
            </w:tcBorders>
          </w:tcPr>
          <w:p w14:paraId="59748997">
            <w:pPr>
              <w:pStyle w:val="17"/>
              <w:spacing w:line="242" w:lineRule="auto"/>
              <w:ind w:left="67" w:right="48"/>
              <w:jc w:val="left"/>
              <w:rPr>
                <w:sz w:val="21"/>
              </w:rPr>
            </w:pPr>
            <w:r>
              <w:rPr>
                <w:w w:val="95"/>
                <w:sz w:val="21"/>
              </w:rPr>
              <w:t>湖南百聚新材料有限公司年产</w:t>
            </w:r>
            <w:r>
              <w:rPr>
                <w:rFonts w:ascii="Times New Roman" w:eastAsia="Times New Roman"/>
                <w:w w:val="95"/>
                <w:sz w:val="21"/>
              </w:rPr>
              <w:t>10</w:t>
            </w:r>
            <w:r>
              <w:rPr>
                <w:w w:val="95"/>
                <w:sz w:val="21"/>
              </w:rPr>
              <w:t>万吨</w:t>
            </w:r>
          </w:p>
          <w:p w14:paraId="3610E2EA">
            <w:pPr>
              <w:pStyle w:val="17"/>
              <w:spacing w:line="253" w:lineRule="exact"/>
              <w:ind w:left="67"/>
              <w:jc w:val="left"/>
              <w:rPr>
                <w:sz w:val="21"/>
              </w:rPr>
            </w:pPr>
            <w:r>
              <w:rPr>
                <w:w w:val="95"/>
                <w:sz w:val="21"/>
              </w:rPr>
              <w:t>再生塑料建设项目</w:t>
            </w:r>
          </w:p>
        </w:tc>
        <w:tc>
          <w:tcPr>
            <w:tcW w:w="2089" w:type="dxa"/>
            <w:tcBorders>
              <w:top w:val="single" w:color="000000" w:sz="4" w:space="0"/>
              <w:left w:val="single" w:color="000000" w:sz="4" w:space="0"/>
              <w:bottom w:val="single" w:color="000000" w:sz="4" w:space="0"/>
              <w:right w:val="single" w:color="000000" w:sz="4" w:space="0"/>
            </w:tcBorders>
          </w:tcPr>
          <w:p w14:paraId="48690D4F">
            <w:pPr>
              <w:pStyle w:val="17"/>
              <w:spacing w:line="251" w:lineRule="exact"/>
              <w:ind w:left="87" w:right="73"/>
              <w:rPr>
                <w:rFonts w:ascii="Times New Roman" w:eastAsia="Times New Roman"/>
                <w:sz w:val="21"/>
              </w:rPr>
            </w:pPr>
            <w:r>
              <w:rPr>
                <w:sz w:val="21"/>
              </w:rPr>
              <w:t>挤出造粒废气</w:t>
            </w:r>
            <w:r>
              <w:rPr>
                <w:rFonts w:ascii="Times New Roman" w:eastAsia="Times New Roman"/>
                <w:sz w:val="21"/>
              </w:rPr>
              <w:t>DA001</w:t>
            </w:r>
          </w:p>
        </w:tc>
        <w:tc>
          <w:tcPr>
            <w:tcW w:w="1278" w:type="dxa"/>
            <w:tcBorders>
              <w:top w:val="single" w:color="000000" w:sz="4" w:space="0"/>
              <w:left w:val="single" w:color="000000" w:sz="4" w:space="0"/>
              <w:bottom w:val="single" w:color="000000" w:sz="4" w:space="0"/>
              <w:right w:val="single" w:color="000000" w:sz="4" w:space="0"/>
            </w:tcBorders>
          </w:tcPr>
          <w:p w14:paraId="7C1214B8">
            <w:pPr>
              <w:pStyle w:val="17"/>
              <w:spacing w:before="14" w:line="237" w:lineRule="exact"/>
              <w:ind w:left="92" w:right="80"/>
              <w:rPr>
                <w:rFonts w:ascii="Times New Roman"/>
                <w:sz w:val="21"/>
              </w:rPr>
            </w:pPr>
            <w:r>
              <w:rPr>
                <w:rFonts w:ascii="Times New Roman"/>
                <w:sz w:val="21"/>
              </w:rPr>
              <w:t>113.174263</w:t>
            </w:r>
          </w:p>
        </w:tc>
        <w:tc>
          <w:tcPr>
            <w:tcW w:w="1171" w:type="dxa"/>
            <w:tcBorders>
              <w:top w:val="single" w:color="000000" w:sz="4" w:space="0"/>
              <w:left w:val="single" w:color="000000" w:sz="4" w:space="0"/>
              <w:bottom w:val="single" w:color="000000" w:sz="4" w:space="0"/>
              <w:right w:val="single" w:color="000000" w:sz="4" w:space="0"/>
            </w:tcBorders>
          </w:tcPr>
          <w:p w14:paraId="791E42B6">
            <w:pPr>
              <w:pStyle w:val="17"/>
              <w:spacing w:before="14" w:line="237" w:lineRule="exact"/>
              <w:ind w:left="119" w:right="108"/>
              <w:rPr>
                <w:rFonts w:ascii="Times New Roman"/>
                <w:sz w:val="21"/>
              </w:rPr>
            </w:pPr>
            <w:r>
              <w:rPr>
                <w:rFonts w:ascii="Times New Roman"/>
                <w:sz w:val="21"/>
              </w:rPr>
              <w:t>28.767254</w:t>
            </w:r>
          </w:p>
        </w:tc>
        <w:tc>
          <w:tcPr>
            <w:tcW w:w="638" w:type="dxa"/>
            <w:tcBorders>
              <w:top w:val="single" w:color="000000" w:sz="4" w:space="0"/>
              <w:left w:val="single" w:color="000000" w:sz="4" w:space="0"/>
              <w:bottom w:val="single" w:color="000000" w:sz="4" w:space="0"/>
              <w:right w:val="single" w:color="000000" w:sz="4" w:space="0"/>
            </w:tcBorders>
          </w:tcPr>
          <w:p w14:paraId="7ABE065C">
            <w:pPr>
              <w:pStyle w:val="17"/>
              <w:spacing w:before="14" w:line="237" w:lineRule="exact"/>
              <w:ind w:left="96" w:right="68"/>
              <w:rPr>
                <w:rFonts w:ascii="Times New Roman"/>
                <w:sz w:val="21"/>
              </w:rPr>
            </w:pPr>
            <w:r>
              <w:rPr>
                <w:rFonts w:ascii="Times New Roman"/>
                <w:sz w:val="21"/>
              </w:rPr>
              <w:t>20</w:t>
            </w:r>
          </w:p>
        </w:tc>
        <w:tc>
          <w:tcPr>
            <w:tcW w:w="870" w:type="dxa"/>
            <w:tcBorders>
              <w:top w:val="single" w:color="000000" w:sz="4" w:space="0"/>
              <w:left w:val="single" w:color="000000" w:sz="4" w:space="0"/>
              <w:bottom w:val="single" w:color="000000" w:sz="4" w:space="0"/>
              <w:right w:val="single" w:color="000000" w:sz="4" w:space="0"/>
            </w:tcBorders>
          </w:tcPr>
          <w:p w14:paraId="396EC9D0">
            <w:pPr>
              <w:pStyle w:val="17"/>
              <w:spacing w:before="14" w:line="237" w:lineRule="exact"/>
              <w:ind w:left="211" w:right="188"/>
              <w:rPr>
                <w:rFonts w:ascii="Times New Roman"/>
                <w:sz w:val="21"/>
              </w:rPr>
            </w:pPr>
            <w:r>
              <w:rPr>
                <w:rFonts w:ascii="Times New Roman"/>
                <w:sz w:val="21"/>
              </w:rPr>
              <w:t>0.9</w:t>
            </w:r>
          </w:p>
        </w:tc>
        <w:tc>
          <w:tcPr>
            <w:tcW w:w="859" w:type="dxa"/>
            <w:tcBorders>
              <w:top w:val="single" w:color="000000" w:sz="4" w:space="0"/>
              <w:left w:val="single" w:color="000000" w:sz="4" w:space="0"/>
              <w:bottom w:val="single" w:color="000000" w:sz="4" w:space="0"/>
              <w:right w:val="single" w:color="000000" w:sz="4" w:space="0"/>
            </w:tcBorders>
          </w:tcPr>
          <w:p w14:paraId="7EFE887A">
            <w:pPr>
              <w:pStyle w:val="17"/>
              <w:spacing w:before="14" w:line="237" w:lineRule="exact"/>
              <w:ind w:left="206" w:right="179"/>
              <w:rPr>
                <w:rFonts w:ascii="Times New Roman"/>
                <w:sz w:val="21"/>
              </w:rPr>
            </w:pPr>
            <w:r>
              <w:rPr>
                <w:rFonts w:ascii="Times New Roman"/>
                <w:sz w:val="21"/>
              </w:rPr>
              <w:t>300</w:t>
            </w:r>
          </w:p>
        </w:tc>
        <w:tc>
          <w:tcPr>
            <w:tcW w:w="1105" w:type="dxa"/>
            <w:tcBorders>
              <w:top w:val="single" w:color="000000" w:sz="4" w:space="0"/>
              <w:left w:val="single" w:color="000000" w:sz="4" w:space="0"/>
              <w:bottom w:val="single" w:color="000000" w:sz="4" w:space="0"/>
              <w:right w:val="single" w:color="000000" w:sz="4" w:space="0"/>
            </w:tcBorders>
          </w:tcPr>
          <w:p w14:paraId="66F1153C">
            <w:pPr>
              <w:pStyle w:val="17"/>
              <w:spacing w:before="14" w:line="237" w:lineRule="exact"/>
              <w:ind w:left="212" w:right="184"/>
              <w:rPr>
                <w:rFonts w:ascii="Times New Roman"/>
                <w:sz w:val="21"/>
              </w:rPr>
            </w:pPr>
            <w:r>
              <w:rPr>
                <w:rFonts w:ascii="Times New Roman"/>
                <w:sz w:val="21"/>
              </w:rPr>
              <w:t>30000</w:t>
            </w:r>
          </w:p>
        </w:tc>
        <w:tc>
          <w:tcPr>
            <w:tcW w:w="1448" w:type="dxa"/>
            <w:tcBorders>
              <w:top w:val="single" w:color="000000" w:sz="4" w:space="0"/>
              <w:left w:val="single" w:color="000000" w:sz="4" w:space="0"/>
              <w:bottom w:val="single" w:color="000000" w:sz="4" w:space="0"/>
              <w:right w:val="single" w:color="000000" w:sz="4" w:space="0"/>
            </w:tcBorders>
          </w:tcPr>
          <w:p w14:paraId="70067BA5">
            <w:pPr>
              <w:pStyle w:val="17"/>
              <w:spacing w:before="14" w:line="237" w:lineRule="exact"/>
              <w:ind w:left="495"/>
              <w:jc w:val="left"/>
              <w:rPr>
                <w:rFonts w:ascii="Times New Roman"/>
                <w:sz w:val="21"/>
              </w:rPr>
            </w:pPr>
            <w:r>
              <w:rPr>
                <w:rFonts w:ascii="Times New Roman"/>
                <w:sz w:val="21"/>
              </w:rPr>
              <w:t>0.019</w:t>
            </w:r>
          </w:p>
        </w:tc>
        <w:tc>
          <w:tcPr>
            <w:tcW w:w="1448" w:type="dxa"/>
            <w:tcBorders>
              <w:top w:val="single" w:color="000000" w:sz="4" w:space="0"/>
              <w:left w:val="single" w:color="000000" w:sz="4" w:space="0"/>
              <w:bottom w:val="single" w:color="000000" w:sz="4" w:space="0"/>
              <w:right w:val="single" w:color="000000" w:sz="4" w:space="0"/>
            </w:tcBorders>
          </w:tcPr>
          <w:p w14:paraId="4DF7C226">
            <w:pPr>
              <w:pStyle w:val="17"/>
              <w:spacing w:before="14" w:line="237" w:lineRule="exact"/>
              <w:ind w:left="26"/>
              <w:rPr>
                <w:rFonts w:ascii="Times New Roman"/>
                <w:sz w:val="21"/>
              </w:rPr>
            </w:pPr>
            <w:r>
              <w:rPr>
                <w:rFonts w:ascii="Times New Roman"/>
                <w:w w:val="99"/>
                <w:sz w:val="21"/>
              </w:rPr>
              <w:t>/</w:t>
            </w:r>
          </w:p>
        </w:tc>
        <w:tc>
          <w:tcPr>
            <w:tcW w:w="1457" w:type="dxa"/>
            <w:tcBorders>
              <w:top w:val="single" w:color="000000" w:sz="4" w:space="0"/>
              <w:left w:val="single" w:color="000000" w:sz="4" w:space="0"/>
              <w:bottom w:val="single" w:color="000000" w:sz="4" w:space="0"/>
              <w:right w:val="nil"/>
            </w:tcBorders>
          </w:tcPr>
          <w:p w14:paraId="526177E1">
            <w:pPr>
              <w:pStyle w:val="17"/>
              <w:spacing w:before="14" w:line="237" w:lineRule="exact"/>
              <w:ind w:left="192" w:right="168"/>
              <w:rPr>
                <w:rFonts w:ascii="Times New Roman"/>
                <w:sz w:val="21"/>
              </w:rPr>
            </w:pPr>
            <w:r>
              <w:rPr>
                <w:rFonts w:ascii="Times New Roman"/>
                <w:sz w:val="21"/>
              </w:rPr>
              <w:t>0.663</w:t>
            </w:r>
          </w:p>
        </w:tc>
      </w:tr>
      <w:tr w14:paraId="7DC72F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trPr>
        <w:tc>
          <w:tcPr>
            <w:tcW w:w="1800" w:type="dxa"/>
            <w:vMerge w:val="continue"/>
            <w:tcBorders>
              <w:top w:val="nil"/>
              <w:left w:val="nil"/>
              <w:bottom w:val="single" w:color="000000" w:sz="4" w:space="0"/>
              <w:right w:val="single" w:color="000000" w:sz="4" w:space="0"/>
            </w:tcBorders>
          </w:tcPr>
          <w:p w14:paraId="05B28C84">
            <w:pPr>
              <w:rPr>
                <w:sz w:val="2"/>
                <w:szCs w:val="2"/>
              </w:rPr>
            </w:pPr>
          </w:p>
        </w:tc>
        <w:tc>
          <w:tcPr>
            <w:tcW w:w="2089" w:type="dxa"/>
            <w:tcBorders>
              <w:top w:val="single" w:color="000000" w:sz="4" w:space="0"/>
              <w:left w:val="single" w:color="000000" w:sz="4" w:space="0"/>
              <w:bottom w:val="single" w:color="000000" w:sz="4" w:space="0"/>
              <w:right w:val="single" w:color="000000" w:sz="4" w:space="0"/>
            </w:tcBorders>
          </w:tcPr>
          <w:p w14:paraId="0ACD1299">
            <w:pPr>
              <w:pStyle w:val="17"/>
              <w:spacing w:before="129"/>
              <w:ind w:left="84" w:right="73"/>
              <w:rPr>
                <w:sz w:val="21"/>
              </w:rPr>
            </w:pPr>
            <w:r>
              <w:rPr>
                <w:sz w:val="21"/>
              </w:rPr>
              <w:t>生产车间</w:t>
            </w:r>
          </w:p>
        </w:tc>
        <w:tc>
          <w:tcPr>
            <w:tcW w:w="1278" w:type="dxa"/>
            <w:tcBorders>
              <w:top w:val="single" w:color="000000" w:sz="4" w:space="0"/>
              <w:left w:val="single" w:color="000000" w:sz="4" w:space="0"/>
              <w:bottom w:val="single" w:color="000000" w:sz="4" w:space="0"/>
              <w:right w:val="single" w:color="000000" w:sz="4" w:space="0"/>
            </w:tcBorders>
          </w:tcPr>
          <w:p w14:paraId="75A58AED">
            <w:pPr>
              <w:pStyle w:val="17"/>
              <w:spacing w:before="145"/>
              <w:ind w:left="92" w:right="80"/>
              <w:rPr>
                <w:rFonts w:ascii="Times New Roman"/>
                <w:sz w:val="21"/>
              </w:rPr>
            </w:pPr>
            <w:r>
              <w:rPr>
                <w:rFonts w:ascii="Times New Roman"/>
                <w:sz w:val="21"/>
              </w:rPr>
              <w:t>113.174627</w:t>
            </w:r>
          </w:p>
        </w:tc>
        <w:tc>
          <w:tcPr>
            <w:tcW w:w="1171" w:type="dxa"/>
            <w:tcBorders>
              <w:top w:val="single" w:color="000000" w:sz="4" w:space="0"/>
              <w:left w:val="single" w:color="000000" w:sz="4" w:space="0"/>
              <w:bottom w:val="single" w:color="000000" w:sz="4" w:space="0"/>
              <w:right w:val="single" w:color="000000" w:sz="4" w:space="0"/>
            </w:tcBorders>
          </w:tcPr>
          <w:p w14:paraId="7C75DE2C">
            <w:pPr>
              <w:pStyle w:val="17"/>
              <w:spacing w:before="145"/>
              <w:ind w:left="119" w:right="108"/>
              <w:rPr>
                <w:rFonts w:ascii="Times New Roman"/>
                <w:sz w:val="21"/>
              </w:rPr>
            </w:pPr>
            <w:r>
              <w:rPr>
                <w:rFonts w:ascii="Times New Roman"/>
                <w:sz w:val="21"/>
              </w:rPr>
              <w:t>28.767074</w:t>
            </w:r>
          </w:p>
        </w:tc>
        <w:tc>
          <w:tcPr>
            <w:tcW w:w="2367" w:type="dxa"/>
            <w:gridSpan w:val="3"/>
            <w:tcBorders>
              <w:top w:val="single" w:color="000000" w:sz="4" w:space="0"/>
              <w:left w:val="single" w:color="000000" w:sz="4" w:space="0"/>
              <w:bottom w:val="single" w:color="000000" w:sz="4" w:space="0"/>
              <w:right w:val="single" w:color="000000" w:sz="4" w:space="0"/>
            </w:tcBorders>
          </w:tcPr>
          <w:p w14:paraId="7FA4021F">
            <w:pPr>
              <w:pStyle w:val="17"/>
              <w:spacing w:before="145"/>
              <w:ind w:left="581"/>
              <w:jc w:val="left"/>
              <w:rPr>
                <w:rFonts w:ascii="Times New Roman"/>
                <w:sz w:val="21"/>
              </w:rPr>
            </w:pPr>
            <w:r>
              <w:rPr>
                <w:rFonts w:ascii="Times New Roman"/>
                <w:sz w:val="21"/>
              </w:rPr>
              <w:t>54m*97m*9m</w:t>
            </w:r>
          </w:p>
        </w:tc>
        <w:tc>
          <w:tcPr>
            <w:tcW w:w="1105" w:type="dxa"/>
            <w:tcBorders>
              <w:top w:val="single" w:color="000000" w:sz="4" w:space="0"/>
              <w:left w:val="single" w:color="000000" w:sz="4" w:space="0"/>
              <w:bottom w:val="single" w:color="000000" w:sz="4" w:space="0"/>
              <w:right w:val="single" w:color="000000" w:sz="4" w:space="0"/>
            </w:tcBorders>
          </w:tcPr>
          <w:p w14:paraId="088527E7">
            <w:pPr>
              <w:pStyle w:val="17"/>
              <w:spacing w:before="145"/>
              <w:ind w:left="27"/>
              <w:rPr>
                <w:rFonts w:ascii="Times New Roman"/>
                <w:sz w:val="21"/>
              </w:rPr>
            </w:pPr>
            <w:r>
              <w:rPr>
                <w:rFonts w:ascii="Times New Roman"/>
                <w:w w:val="99"/>
                <w:sz w:val="21"/>
              </w:rPr>
              <w:t>/</w:t>
            </w:r>
          </w:p>
        </w:tc>
        <w:tc>
          <w:tcPr>
            <w:tcW w:w="1448" w:type="dxa"/>
            <w:tcBorders>
              <w:top w:val="single" w:color="000000" w:sz="4" w:space="0"/>
              <w:left w:val="single" w:color="000000" w:sz="4" w:space="0"/>
              <w:bottom w:val="single" w:color="000000" w:sz="4" w:space="0"/>
              <w:right w:val="single" w:color="000000" w:sz="4" w:space="0"/>
            </w:tcBorders>
          </w:tcPr>
          <w:p w14:paraId="3AE49B9B">
            <w:pPr>
              <w:pStyle w:val="17"/>
              <w:spacing w:before="145"/>
              <w:ind w:left="28"/>
              <w:rPr>
                <w:rFonts w:ascii="Times New Roman"/>
                <w:sz w:val="21"/>
              </w:rPr>
            </w:pPr>
            <w:r>
              <w:rPr>
                <w:rFonts w:ascii="Times New Roman"/>
                <w:w w:val="99"/>
                <w:sz w:val="21"/>
              </w:rPr>
              <w:t>/</w:t>
            </w:r>
          </w:p>
        </w:tc>
        <w:tc>
          <w:tcPr>
            <w:tcW w:w="1448" w:type="dxa"/>
            <w:tcBorders>
              <w:top w:val="single" w:color="000000" w:sz="4" w:space="0"/>
              <w:left w:val="single" w:color="000000" w:sz="4" w:space="0"/>
              <w:bottom w:val="single" w:color="000000" w:sz="4" w:space="0"/>
              <w:right w:val="single" w:color="000000" w:sz="4" w:space="0"/>
            </w:tcBorders>
          </w:tcPr>
          <w:p w14:paraId="6C50ABAB">
            <w:pPr>
              <w:pStyle w:val="17"/>
              <w:spacing w:before="145"/>
              <w:ind w:left="497"/>
              <w:jc w:val="left"/>
              <w:rPr>
                <w:rFonts w:ascii="Times New Roman"/>
                <w:sz w:val="21"/>
              </w:rPr>
            </w:pPr>
            <w:r>
              <w:rPr>
                <w:rFonts w:ascii="Times New Roman"/>
                <w:sz w:val="21"/>
              </w:rPr>
              <w:t>0.563</w:t>
            </w:r>
          </w:p>
        </w:tc>
        <w:tc>
          <w:tcPr>
            <w:tcW w:w="1457" w:type="dxa"/>
            <w:tcBorders>
              <w:top w:val="single" w:color="000000" w:sz="4" w:space="0"/>
              <w:left w:val="single" w:color="000000" w:sz="4" w:space="0"/>
              <w:bottom w:val="single" w:color="000000" w:sz="4" w:space="0"/>
              <w:right w:val="nil"/>
            </w:tcBorders>
          </w:tcPr>
          <w:p w14:paraId="4880DECD">
            <w:pPr>
              <w:pStyle w:val="17"/>
              <w:spacing w:before="145"/>
              <w:ind w:left="192" w:right="168"/>
              <w:rPr>
                <w:rFonts w:ascii="Times New Roman"/>
                <w:sz w:val="21"/>
              </w:rPr>
            </w:pPr>
            <w:r>
              <w:rPr>
                <w:rFonts w:ascii="Times New Roman"/>
                <w:sz w:val="21"/>
              </w:rPr>
              <w:t>1.109</w:t>
            </w:r>
          </w:p>
        </w:tc>
      </w:tr>
      <w:tr w14:paraId="27D0EBE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800" w:type="dxa"/>
            <w:vMerge w:val="restart"/>
            <w:tcBorders>
              <w:top w:val="single" w:color="000000" w:sz="4" w:space="0"/>
              <w:left w:val="nil"/>
              <w:right w:val="single" w:color="000000" w:sz="4" w:space="0"/>
            </w:tcBorders>
          </w:tcPr>
          <w:p w14:paraId="229B1AF3">
            <w:pPr>
              <w:pStyle w:val="17"/>
              <w:spacing w:line="242" w:lineRule="auto"/>
              <w:ind w:left="67" w:right="46"/>
              <w:jc w:val="both"/>
              <w:rPr>
                <w:sz w:val="21"/>
              </w:rPr>
            </w:pPr>
            <w:r>
              <w:rPr>
                <w:w w:val="95"/>
                <w:sz w:val="21"/>
              </w:rPr>
              <w:t>湖南民创新材料科技有限公司年产</w:t>
            </w:r>
            <w:r>
              <w:rPr>
                <w:rFonts w:ascii="Times New Roman" w:eastAsia="Times New Roman"/>
                <w:w w:val="95"/>
                <w:sz w:val="21"/>
              </w:rPr>
              <w:t xml:space="preserve">10 </w:t>
            </w:r>
            <w:r>
              <w:rPr>
                <w:w w:val="95"/>
                <w:sz w:val="21"/>
              </w:rPr>
              <w:t>万吨再生塑料生产</w:t>
            </w:r>
          </w:p>
          <w:p w14:paraId="60C73DAD">
            <w:pPr>
              <w:pStyle w:val="17"/>
              <w:spacing w:before="2" w:line="251" w:lineRule="exact"/>
              <w:ind w:left="487"/>
              <w:jc w:val="left"/>
              <w:rPr>
                <w:sz w:val="21"/>
              </w:rPr>
            </w:pPr>
            <w:r>
              <w:rPr>
                <w:sz w:val="21"/>
              </w:rPr>
              <w:t>建设项目</w:t>
            </w:r>
          </w:p>
        </w:tc>
        <w:tc>
          <w:tcPr>
            <w:tcW w:w="2089" w:type="dxa"/>
            <w:tcBorders>
              <w:top w:val="single" w:color="000000" w:sz="4" w:space="0"/>
              <w:left w:val="single" w:color="000000" w:sz="4" w:space="0"/>
              <w:bottom w:val="single" w:color="000000" w:sz="4" w:space="0"/>
              <w:right w:val="single" w:color="000000" w:sz="4" w:space="0"/>
            </w:tcBorders>
          </w:tcPr>
          <w:p w14:paraId="79CDF5EA">
            <w:pPr>
              <w:pStyle w:val="17"/>
              <w:spacing w:line="242" w:lineRule="exact"/>
              <w:ind w:left="87" w:right="73"/>
              <w:rPr>
                <w:rFonts w:ascii="Times New Roman" w:eastAsia="Times New Roman"/>
                <w:sz w:val="21"/>
              </w:rPr>
            </w:pPr>
            <w:r>
              <w:rPr>
                <w:sz w:val="21"/>
              </w:rPr>
              <w:t>挤出造粒废气</w:t>
            </w:r>
            <w:r>
              <w:rPr>
                <w:rFonts w:ascii="Times New Roman" w:eastAsia="Times New Roman"/>
                <w:sz w:val="21"/>
              </w:rPr>
              <w:t>DA001</w:t>
            </w:r>
          </w:p>
        </w:tc>
        <w:tc>
          <w:tcPr>
            <w:tcW w:w="1278" w:type="dxa"/>
            <w:tcBorders>
              <w:top w:val="single" w:color="000000" w:sz="4" w:space="0"/>
              <w:left w:val="single" w:color="000000" w:sz="4" w:space="0"/>
              <w:bottom w:val="single" w:color="000000" w:sz="4" w:space="0"/>
              <w:right w:val="single" w:color="000000" w:sz="4" w:space="0"/>
            </w:tcBorders>
          </w:tcPr>
          <w:p w14:paraId="5709D314">
            <w:pPr>
              <w:pStyle w:val="17"/>
              <w:spacing w:before="13" w:line="229" w:lineRule="exact"/>
              <w:ind w:left="92" w:right="80"/>
              <w:rPr>
                <w:rFonts w:ascii="Times New Roman"/>
                <w:sz w:val="21"/>
              </w:rPr>
            </w:pPr>
            <w:r>
              <w:rPr>
                <w:rFonts w:ascii="Times New Roman"/>
                <w:sz w:val="21"/>
              </w:rPr>
              <w:t>113.176581</w:t>
            </w:r>
          </w:p>
        </w:tc>
        <w:tc>
          <w:tcPr>
            <w:tcW w:w="1171" w:type="dxa"/>
            <w:tcBorders>
              <w:top w:val="single" w:color="000000" w:sz="4" w:space="0"/>
              <w:left w:val="single" w:color="000000" w:sz="4" w:space="0"/>
              <w:bottom w:val="single" w:color="000000" w:sz="4" w:space="0"/>
              <w:right w:val="single" w:color="000000" w:sz="4" w:space="0"/>
            </w:tcBorders>
          </w:tcPr>
          <w:p w14:paraId="2C5A93D0">
            <w:pPr>
              <w:pStyle w:val="17"/>
              <w:spacing w:before="13" w:line="229" w:lineRule="exact"/>
              <w:ind w:left="119" w:right="108"/>
              <w:rPr>
                <w:rFonts w:ascii="Times New Roman"/>
                <w:sz w:val="21"/>
              </w:rPr>
            </w:pPr>
            <w:r>
              <w:rPr>
                <w:rFonts w:ascii="Times New Roman"/>
                <w:sz w:val="21"/>
              </w:rPr>
              <w:t>28.763238</w:t>
            </w:r>
          </w:p>
        </w:tc>
        <w:tc>
          <w:tcPr>
            <w:tcW w:w="638" w:type="dxa"/>
            <w:tcBorders>
              <w:top w:val="single" w:color="000000" w:sz="4" w:space="0"/>
              <w:left w:val="single" w:color="000000" w:sz="4" w:space="0"/>
              <w:bottom w:val="single" w:color="000000" w:sz="4" w:space="0"/>
              <w:right w:val="single" w:color="000000" w:sz="4" w:space="0"/>
            </w:tcBorders>
          </w:tcPr>
          <w:p w14:paraId="2E879AE1">
            <w:pPr>
              <w:pStyle w:val="17"/>
              <w:spacing w:before="13" w:line="229" w:lineRule="exact"/>
              <w:ind w:left="96" w:right="68"/>
              <w:rPr>
                <w:rFonts w:ascii="Times New Roman"/>
                <w:sz w:val="21"/>
              </w:rPr>
            </w:pPr>
            <w:r>
              <w:rPr>
                <w:rFonts w:ascii="Times New Roman"/>
                <w:sz w:val="21"/>
              </w:rPr>
              <w:t>20</w:t>
            </w:r>
          </w:p>
        </w:tc>
        <w:tc>
          <w:tcPr>
            <w:tcW w:w="870" w:type="dxa"/>
            <w:tcBorders>
              <w:top w:val="single" w:color="000000" w:sz="4" w:space="0"/>
              <w:left w:val="single" w:color="000000" w:sz="4" w:space="0"/>
              <w:bottom w:val="single" w:color="000000" w:sz="4" w:space="0"/>
              <w:right w:val="single" w:color="000000" w:sz="4" w:space="0"/>
            </w:tcBorders>
          </w:tcPr>
          <w:p w14:paraId="15408F17">
            <w:pPr>
              <w:pStyle w:val="17"/>
              <w:spacing w:before="13" w:line="229" w:lineRule="exact"/>
              <w:ind w:left="212" w:right="180"/>
              <w:rPr>
                <w:rFonts w:ascii="Times New Roman"/>
                <w:sz w:val="21"/>
              </w:rPr>
            </w:pPr>
            <w:r>
              <w:rPr>
                <w:rFonts w:ascii="Times New Roman"/>
                <w:sz w:val="21"/>
              </w:rPr>
              <w:t>0.9</w:t>
            </w:r>
          </w:p>
        </w:tc>
        <w:tc>
          <w:tcPr>
            <w:tcW w:w="859" w:type="dxa"/>
            <w:tcBorders>
              <w:top w:val="single" w:color="000000" w:sz="4" w:space="0"/>
              <w:left w:val="single" w:color="000000" w:sz="4" w:space="0"/>
              <w:bottom w:val="single" w:color="000000" w:sz="4" w:space="0"/>
              <w:right w:val="single" w:color="000000" w:sz="4" w:space="0"/>
            </w:tcBorders>
          </w:tcPr>
          <w:p w14:paraId="64B3B25A">
            <w:pPr>
              <w:pStyle w:val="17"/>
              <w:spacing w:before="13" w:line="229" w:lineRule="exact"/>
              <w:ind w:left="206" w:right="175"/>
              <w:rPr>
                <w:rFonts w:ascii="Times New Roman"/>
                <w:sz w:val="21"/>
              </w:rPr>
            </w:pPr>
            <w:r>
              <w:rPr>
                <w:rFonts w:ascii="Times New Roman"/>
                <w:sz w:val="21"/>
              </w:rPr>
              <w:t>300</w:t>
            </w:r>
          </w:p>
        </w:tc>
        <w:tc>
          <w:tcPr>
            <w:tcW w:w="1105" w:type="dxa"/>
            <w:tcBorders>
              <w:top w:val="single" w:color="000000" w:sz="4" w:space="0"/>
              <w:left w:val="single" w:color="000000" w:sz="4" w:space="0"/>
              <w:bottom w:val="single" w:color="000000" w:sz="4" w:space="0"/>
              <w:right w:val="single" w:color="000000" w:sz="4" w:space="0"/>
            </w:tcBorders>
          </w:tcPr>
          <w:p w14:paraId="5C858446">
            <w:pPr>
              <w:pStyle w:val="17"/>
              <w:spacing w:before="13" w:line="229" w:lineRule="exact"/>
              <w:ind w:left="212" w:right="184"/>
              <w:rPr>
                <w:rFonts w:ascii="Times New Roman"/>
                <w:sz w:val="21"/>
              </w:rPr>
            </w:pPr>
            <w:r>
              <w:rPr>
                <w:rFonts w:ascii="Times New Roman"/>
                <w:sz w:val="21"/>
              </w:rPr>
              <w:t>30000</w:t>
            </w:r>
          </w:p>
        </w:tc>
        <w:tc>
          <w:tcPr>
            <w:tcW w:w="1448" w:type="dxa"/>
            <w:tcBorders>
              <w:top w:val="single" w:color="000000" w:sz="4" w:space="0"/>
              <w:left w:val="single" w:color="000000" w:sz="4" w:space="0"/>
              <w:bottom w:val="single" w:color="000000" w:sz="4" w:space="0"/>
              <w:right w:val="single" w:color="000000" w:sz="4" w:space="0"/>
            </w:tcBorders>
          </w:tcPr>
          <w:p w14:paraId="7B852055">
            <w:pPr>
              <w:pStyle w:val="17"/>
              <w:spacing w:before="13" w:line="229" w:lineRule="exact"/>
              <w:ind w:left="495"/>
              <w:jc w:val="left"/>
              <w:rPr>
                <w:rFonts w:ascii="Times New Roman"/>
                <w:sz w:val="21"/>
              </w:rPr>
            </w:pPr>
            <w:r>
              <w:rPr>
                <w:rFonts w:ascii="Times New Roman"/>
                <w:sz w:val="21"/>
              </w:rPr>
              <w:t>0.019</w:t>
            </w:r>
          </w:p>
        </w:tc>
        <w:tc>
          <w:tcPr>
            <w:tcW w:w="1448" w:type="dxa"/>
            <w:tcBorders>
              <w:top w:val="single" w:color="000000" w:sz="4" w:space="0"/>
              <w:left w:val="single" w:color="000000" w:sz="4" w:space="0"/>
              <w:bottom w:val="single" w:color="000000" w:sz="4" w:space="0"/>
              <w:right w:val="single" w:color="000000" w:sz="4" w:space="0"/>
            </w:tcBorders>
          </w:tcPr>
          <w:p w14:paraId="0E0B0302">
            <w:pPr>
              <w:pStyle w:val="17"/>
              <w:spacing w:before="13" w:line="229" w:lineRule="exact"/>
              <w:ind w:left="26"/>
              <w:rPr>
                <w:rFonts w:ascii="Times New Roman"/>
                <w:sz w:val="21"/>
              </w:rPr>
            </w:pPr>
            <w:r>
              <w:rPr>
                <w:rFonts w:ascii="Times New Roman"/>
                <w:w w:val="99"/>
                <w:sz w:val="21"/>
              </w:rPr>
              <w:t>/</w:t>
            </w:r>
          </w:p>
        </w:tc>
        <w:tc>
          <w:tcPr>
            <w:tcW w:w="1457" w:type="dxa"/>
            <w:tcBorders>
              <w:top w:val="single" w:color="000000" w:sz="4" w:space="0"/>
              <w:left w:val="single" w:color="000000" w:sz="4" w:space="0"/>
              <w:bottom w:val="single" w:color="000000" w:sz="4" w:space="0"/>
              <w:right w:val="nil"/>
            </w:tcBorders>
          </w:tcPr>
          <w:p w14:paraId="2A20A303">
            <w:pPr>
              <w:pStyle w:val="17"/>
              <w:spacing w:before="13" w:line="229" w:lineRule="exact"/>
              <w:ind w:left="192" w:right="168"/>
              <w:rPr>
                <w:rFonts w:ascii="Times New Roman"/>
                <w:sz w:val="21"/>
              </w:rPr>
            </w:pPr>
            <w:r>
              <w:rPr>
                <w:rFonts w:ascii="Times New Roman"/>
                <w:sz w:val="21"/>
              </w:rPr>
              <w:t>0.543</w:t>
            </w:r>
          </w:p>
        </w:tc>
      </w:tr>
      <w:tr w14:paraId="3F13EB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1800" w:type="dxa"/>
            <w:vMerge w:val="continue"/>
            <w:tcBorders>
              <w:top w:val="nil"/>
              <w:left w:val="nil"/>
              <w:right w:val="single" w:color="000000" w:sz="4" w:space="0"/>
            </w:tcBorders>
          </w:tcPr>
          <w:p w14:paraId="0ABD395F">
            <w:pPr>
              <w:rPr>
                <w:sz w:val="2"/>
                <w:szCs w:val="2"/>
              </w:rPr>
            </w:pPr>
          </w:p>
        </w:tc>
        <w:tc>
          <w:tcPr>
            <w:tcW w:w="2089" w:type="dxa"/>
            <w:tcBorders>
              <w:top w:val="single" w:color="000000" w:sz="4" w:space="0"/>
              <w:left w:val="single" w:color="000000" w:sz="4" w:space="0"/>
              <w:right w:val="single" w:color="000000" w:sz="4" w:space="0"/>
            </w:tcBorders>
          </w:tcPr>
          <w:p w14:paraId="75013B6E">
            <w:pPr>
              <w:pStyle w:val="17"/>
              <w:jc w:val="left"/>
              <w:rPr>
                <w:b/>
                <w:sz w:val="20"/>
              </w:rPr>
            </w:pPr>
          </w:p>
          <w:p w14:paraId="46698D65">
            <w:pPr>
              <w:pStyle w:val="17"/>
              <w:ind w:left="84" w:right="73"/>
              <w:rPr>
                <w:sz w:val="21"/>
              </w:rPr>
            </w:pPr>
            <w:r>
              <w:rPr>
                <w:sz w:val="21"/>
              </w:rPr>
              <w:t>生产车间</w:t>
            </w:r>
          </w:p>
        </w:tc>
        <w:tc>
          <w:tcPr>
            <w:tcW w:w="1278" w:type="dxa"/>
            <w:tcBorders>
              <w:top w:val="single" w:color="000000" w:sz="4" w:space="0"/>
              <w:left w:val="single" w:color="000000" w:sz="4" w:space="0"/>
              <w:right w:val="single" w:color="000000" w:sz="4" w:space="0"/>
            </w:tcBorders>
          </w:tcPr>
          <w:p w14:paraId="58A067FF">
            <w:pPr>
              <w:pStyle w:val="17"/>
              <w:spacing w:before="1"/>
              <w:jc w:val="left"/>
              <w:rPr>
                <w:b/>
                <w:sz w:val="21"/>
              </w:rPr>
            </w:pPr>
          </w:p>
          <w:p w14:paraId="18205CFB">
            <w:pPr>
              <w:pStyle w:val="17"/>
              <w:ind w:left="92" w:right="80"/>
              <w:rPr>
                <w:rFonts w:ascii="Times New Roman"/>
                <w:sz w:val="21"/>
              </w:rPr>
            </w:pPr>
            <w:r>
              <w:rPr>
                <w:rFonts w:ascii="Times New Roman"/>
                <w:sz w:val="21"/>
              </w:rPr>
              <w:t>113.177166</w:t>
            </w:r>
          </w:p>
        </w:tc>
        <w:tc>
          <w:tcPr>
            <w:tcW w:w="1171" w:type="dxa"/>
            <w:tcBorders>
              <w:top w:val="single" w:color="000000" w:sz="4" w:space="0"/>
              <w:left w:val="single" w:color="000000" w:sz="4" w:space="0"/>
              <w:right w:val="single" w:color="000000" w:sz="4" w:space="0"/>
            </w:tcBorders>
          </w:tcPr>
          <w:p w14:paraId="4DFB6A54">
            <w:pPr>
              <w:pStyle w:val="17"/>
              <w:spacing w:before="1"/>
              <w:jc w:val="left"/>
              <w:rPr>
                <w:b/>
                <w:sz w:val="21"/>
              </w:rPr>
            </w:pPr>
          </w:p>
          <w:p w14:paraId="63C8FC8B">
            <w:pPr>
              <w:pStyle w:val="17"/>
              <w:ind w:left="119" w:right="108"/>
              <w:rPr>
                <w:rFonts w:ascii="Times New Roman"/>
                <w:sz w:val="21"/>
              </w:rPr>
            </w:pPr>
            <w:r>
              <w:rPr>
                <w:rFonts w:ascii="Times New Roman"/>
                <w:sz w:val="21"/>
              </w:rPr>
              <w:t>28.763294</w:t>
            </w:r>
          </w:p>
        </w:tc>
        <w:tc>
          <w:tcPr>
            <w:tcW w:w="2367" w:type="dxa"/>
            <w:gridSpan w:val="3"/>
            <w:tcBorders>
              <w:top w:val="single" w:color="000000" w:sz="4" w:space="0"/>
              <w:left w:val="single" w:color="000000" w:sz="4" w:space="0"/>
              <w:right w:val="single" w:color="000000" w:sz="4" w:space="0"/>
            </w:tcBorders>
          </w:tcPr>
          <w:p w14:paraId="78D6D4B5">
            <w:pPr>
              <w:pStyle w:val="17"/>
              <w:spacing w:before="1"/>
              <w:jc w:val="left"/>
              <w:rPr>
                <w:b/>
                <w:sz w:val="21"/>
              </w:rPr>
            </w:pPr>
          </w:p>
          <w:p w14:paraId="143B25B0">
            <w:pPr>
              <w:pStyle w:val="17"/>
              <w:ind w:left="528"/>
              <w:jc w:val="left"/>
              <w:rPr>
                <w:rFonts w:ascii="Times New Roman"/>
                <w:sz w:val="21"/>
              </w:rPr>
            </w:pPr>
            <w:r>
              <w:rPr>
                <w:rFonts w:ascii="Times New Roman"/>
                <w:sz w:val="21"/>
              </w:rPr>
              <w:t>106m*80m*9m</w:t>
            </w:r>
          </w:p>
        </w:tc>
        <w:tc>
          <w:tcPr>
            <w:tcW w:w="1105" w:type="dxa"/>
            <w:tcBorders>
              <w:top w:val="single" w:color="000000" w:sz="4" w:space="0"/>
              <w:left w:val="single" w:color="000000" w:sz="4" w:space="0"/>
              <w:right w:val="single" w:color="000000" w:sz="4" w:space="0"/>
            </w:tcBorders>
          </w:tcPr>
          <w:p w14:paraId="3ADE8454">
            <w:pPr>
              <w:pStyle w:val="17"/>
              <w:spacing w:before="1"/>
              <w:jc w:val="left"/>
              <w:rPr>
                <w:b/>
                <w:sz w:val="21"/>
              </w:rPr>
            </w:pPr>
          </w:p>
          <w:p w14:paraId="09E4211F">
            <w:pPr>
              <w:pStyle w:val="17"/>
              <w:ind w:left="27"/>
              <w:rPr>
                <w:rFonts w:ascii="Times New Roman"/>
                <w:sz w:val="21"/>
              </w:rPr>
            </w:pPr>
            <w:r>
              <w:rPr>
                <w:rFonts w:ascii="Times New Roman"/>
                <w:w w:val="99"/>
                <w:sz w:val="21"/>
              </w:rPr>
              <w:t>/</w:t>
            </w:r>
          </w:p>
        </w:tc>
        <w:tc>
          <w:tcPr>
            <w:tcW w:w="1448" w:type="dxa"/>
            <w:tcBorders>
              <w:top w:val="single" w:color="000000" w:sz="4" w:space="0"/>
              <w:left w:val="single" w:color="000000" w:sz="4" w:space="0"/>
              <w:right w:val="single" w:color="000000" w:sz="4" w:space="0"/>
            </w:tcBorders>
          </w:tcPr>
          <w:p w14:paraId="20D6203B">
            <w:pPr>
              <w:pStyle w:val="17"/>
              <w:spacing w:before="1"/>
              <w:jc w:val="left"/>
              <w:rPr>
                <w:b/>
                <w:sz w:val="21"/>
              </w:rPr>
            </w:pPr>
          </w:p>
          <w:p w14:paraId="265D4177">
            <w:pPr>
              <w:pStyle w:val="17"/>
              <w:ind w:left="28"/>
              <w:rPr>
                <w:rFonts w:ascii="Times New Roman"/>
                <w:sz w:val="21"/>
              </w:rPr>
            </w:pPr>
            <w:r>
              <w:rPr>
                <w:rFonts w:ascii="Times New Roman"/>
                <w:w w:val="99"/>
                <w:sz w:val="21"/>
              </w:rPr>
              <w:t>/</w:t>
            </w:r>
          </w:p>
        </w:tc>
        <w:tc>
          <w:tcPr>
            <w:tcW w:w="1448" w:type="dxa"/>
            <w:tcBorders>
              <w:top w:val="single" w:color="000000" w:sz="4" w:space="0"/>
              <w:left w:val="single" w:color="000000" w:sz="4" w:space="0"/>
              <w:right w:val="single" w:color="000000" w:sz="4" w:space="0"/>
            </w:tcBorders>
          </w:tcPr>
          <w:p w14:paraId="0D43E9DA">
            <w:pPr>
              <w:pStyle w:val="17"/>
              <w:spacing w:before="1"/>
              <w:jc w:val="left"/>
              <w:rPr>
                <w:b/>
                <w:sz w:val="21"/>
              </w:rPr>
            </w:pPr>
          </w:p>
          <w:p w14:paraId="617D66D0">
            <w:pPr>
              <w:pStyle w:val="17"/>
              <w:ind w:left="497"/>
              <w:jc w:val="left"/>
              <w:rPr>
                <w:rFonts w:ascii="Times New Roman"/>
                <w:sz w:val="21"/>
              </w:rPr>
            </w:pPr>
            <w:r>
              <w:rPr>
                <w:rFonts w:ascii="Times New Roman"/>
                <w:sz w:val="21"/>
              </w:rPr>
              <w:t>0.569</w:t>
            </w:r>
          </w:p>
        </w:tc>
        <w:tc>
          <w:tcPr>
            <w:tcW w:w="1457" w:type="dxa"/>
            <w:tcBorders>
              <w:top w:val="single" w:color="000000" w:sz="4" w:space="0"/>
              <w:left w:val="single" w:color="000000" w:sz="4" w:space="0"/>
              <w:right w:val="nil"/>
            </w:tcBorders>
          </w:tcPr>
          <w:p w14:paraId="506A66AB">
            <w:pPr>
              <w:pStyle w:val="17"/>
              <w:spacing w:before="1"/>
              <w:jc w:val="left"/>
              <w:rPr>
                <w:b/>
                <w:sz w:val="21"/>
              </w:rPr>
            </w:pPr>
          </w:p>
          <w:p w14:paraId="48C198B7">
            <w:pPr>
              <w:pStyle w:val="17"/>
              <w:ind w:left="192" w:right="168"/>
              <w:rPr>
                <w:rFonts w:ascii="Times New Roman"/>
                <w:sz w:val="21"/>
              </w:rPr>
            </w:pPr>
            <w:r>
              <w:rPr>
                <w:rFonts w:ascii="Times New Roman"/>
                <w:sz w:val="21"/>
              </w:rPr>
              <w:t>1.208</w:t>
            </w:r>
          </w:p>
        </w:tc>
      </w:tr>
    </w:tbl>
    <w:p w14:paraId="36092154">
      <w:pPr>
        <w:pStyle w:val="10"/>
        <w:spacing w:before="87"/>
        <w:ind w:left="720"/>
      </w:pPr>
      <w:r>
        <w:t>（</w:t>
      </w:r>
      <w:r>
        <w:rPr>
          <w:rFonts w:ascii="Times New Roman" w:eastAsia="Times New Roman"/>
        </w:rPr>
        <w:t>3</w:t>
      </w:r>
      <w:r>
        <w:t>）区域削减源</w:t>
      </w:r>
    </w:p>
    <w:p w14:paraId="61B64DDA">
      <w:pPr>
        <w:pStyle w:val="10"/>
        <w:spacing w:before="170"/>
        <w:ind w:left="720"/>
      </w:pPr>
      <w:r>
        <w:t>项目评价范围内，不存在区域削减源。</w:t>
      </w:r>
    </w:p>
    <w:p w14:paraId="42315242">
      <w:pPr>
        <w:spacing w:after="0"/>
        <w:sectPr>
          <w:pgSz w:w="16840" w:h="11910" w:orient="landscape"/>
          <w:pgMar w:top="1100" w:right="1200" w:bottom="1220" w:left="1200" w:header="0" w:footer="1024" w:gutter="0"/>
          <w:cols w:space="720" w:num="1"/>
        </w:sectPr>
      </w:pPr>
    </w:p>
    <w:p w14:paraId="15D622AB">
      <w:pPr>
        <w:pStyle w:val="10"/>
        <w:spacing w:before="63"/>
        <w:ind w:left="900"/>
      </w:pPr>
      <w:r>
        <w:rPr>
          <w:rFonts w:ascii="Times New Roman" w:eastAsia="Times New Roman"/>
        </w:rPr>
        <w:t>3</w:t>
      </w:r>
      <w:r>
        <w:t>、评价因子及评价标准</w:t>
      </w:r>
    </w:p>
    <w:p w14:paraId="3A7AC1ED">
      <w:pPr>
        <w:pStyle w:val="10"/>
        <w:spacing w:before="160" w:line="364" w:lineRule="auto"/>
        <w:ind w:left="420" w:right="417" w:firstLine="480"/>
        <w:jc w:val="both"/>
      </w:pPr>
      <w:r>
        <w:rPr>
          <w:spacing w:val="-6"/>
        </w:rPr>
        <w:t>本项目排放的污染物为非甲烷总烃、颗粒物，其中有组织排放的颗粒物评价</w:t>
      </w:r>
      <w:r>
        <w:rPr>
          <w:spacing w:val="-2"/>
        </w:rPr>
        <w:t>因子为</w:t>
      </w:r>
      <w:r>
        <w:rPr>
          <w:rFonts w:ascii="Times New Roman" w:hAnsi="Times New Roman" w:eastAsia="Times New Roman"/>
        </w:rPr>
        <w:t>PM10</w:t>
      </w:r>
      <w:r>
        <w:t>，无组织排放的颗粒物评价因子为</w:t>
      </w:r>
      <w:r>
        <w:rPr>
          <w:rFonts w:ascii="Times New Roman" w:hAnsi="Times New Roman" w:eastAsia="Times New Roman"/>
        </w:rPr>
        <w:t>TSP</w:t>
      </w:r>
      <w:r>
        <w:t>。根据《</w:t>
      </w:r>
      <w:r>
        <w:fldChar w:fldCharType="begin"/>
      </w:r>
      <w:r>
        <w:instrText xml:space="preserve"> HYPERLINK "https://www.mee.gov.cn/ywgz/fgbz/bz/bzwb/other/pjjsdz/201808/W020180814672740551977.pdf" \h </w:instrText>
      </w:r>
      <w:r>
        <w:fldChar w:fldCharType="separate"/>
      </w:r>
      <w:r>
        <w:t>环境影响评价技术</w:t>
      </w:r>
      <w:r>
        <w:fldChar w:fldCharType="end"/>
      </w:r>
      <w:r>
        <w:fldChar w:fldCharType="begin"/>
      </w:r>
      <w:r>
        <w:instrText xml:space="preserve"> HYPERLINK "https://www.mee.gov.cn/ywgz/fgbz/bz/bzwb/other/pjjsdz/201808/W020180814672740551977.pdf" \h </w:instrText>
      </w:r>
      <w:r>
        <w:fldChar w:fldCharType="separate"/>
      </w:r>
      <w:r>
        <w:t>导则 大气环境</w:t>
      </w:r>
      <w:r>
        <w:fldChar w:fldCharType="end"/>
      </w:r>
      <w:r>
        <w:t>》（</w:t>
      </w:r>
      <w:r>
        <w:rPr>
          <w:rFonts w:ascii="Times New Roman" w:hAnsi="Times New Roman" w:eastAsia="Times New Roman"/>
        </w:rPr>
        <w:t>HJ 2.2-2018</w:t>
      </w:r>
      <w:r>
        <w:t>）</w:t>
      </w:r>
      <w:r>
        <w:rPr>
          <w:rFonts w:ascii="Times New Roman" w:hAnsi="Times New Roman" w:eastAsia="Times New Roman"/>
        </w:rPr>
        <w:t>5.3.2.1</w:t>
      </w:r>
      <w:r>
        <w:t xml:space="preserve">条规定，“对仅有 </w:t>
      </w:r>
      <w:r>
        <w:rPr>
          <w:rFonts w:ascii="Times New Roman" w:hAnsi="Times New Roman" w:eastAsia="Times New Roman"/>
        </w:rPr>
        <w:t xml:space="preserve">8 h </w:t>
      </w:r>
      <w:r>
        <w:t>平均质量浓度限</w:t>
      </w:r>
      <w:r>
        <w:rPr>
          <w:spacing w:val="-10"/>
        </w:rPr>
        <w:t xml:space="preserve">值、日平均质量浓度限值或年平均质量浓度限值的，可分别按 </w:t>
      </w:r>
      <w:r>
        <w:rPr>
          <w:rFonts w:ascii="Times New Roman" w:hAnsi="Times New Roman" w:eastAsia="Times New Roman"/>
        </w:rPr>
        <w:t xml:space="preserve">2 </w:t>
      </w:r>
      <w:r>
        <w:rPr>
          <w:spacing w:val="-27"/>
        </w:rPr>
        <w:t>倍、</w:t>
      </w:r>
      <w:r>
        <w:rPr>
          <w:rFonts w:ascii="Times New Roman" w:hAnsi="Times New Roman" w:eastAsia="Times New Roman"/>
        </w:rPr>
        <w:t xml:space="preserve">3 </w:t>
      </w:r>
      <w:r>
        <w:rPr>
          <w:spacing w:val="-27"/>
        </w:rPr>
        <w:t>倍、</w:t>
      </w:r>
      <w:r>
        <w:rPr>
          <w:rFonts w:ascii="Times New Roman" w:hAnsi="Times New Roman" w:eastAsia="Times New Roman"/>
        </w:rPr>
        <w:t xml:space="preserve">6 </w:t>
      </w:r>
      <w:r>
        <w:t xml:space="preserve">倍折算为 </w:t>
      </w:r>
      <w:r>
        <w:rPr>
          <w:rFonts w:ascii="Times New Roman" w:hAnsi="Times New Roman" w:eastAsia="Times New Roman"/>
        </w:rPr>
        <w:t xml:space="preserve">1h </w:t>
      </w:r>
      <w:r>
        <w:rPr>
          <w:spacing w:val="-10"/>
        </w:rPr>
        <w:t>平均质量浓度限值”，本项目大气环境影响预测评价因子和评价标准见下表。</w:t>
      </w:r>
    </w:p>
    <w:p w14:paraId="45A77E4F">
      <w:pPr>
        <w:pStyle w:val="9"/>
        <w:tabs>
          <w:tab w:val="left" w:pos="3098"/>
        </w:tabs>
        <w:spacing w:before="0" w:line="304" w:lineRule="exact"/>
        <w:ind w:left="1951"/>
      </w:pPr>
      <w:r>
        <w:t>表</w:t>
      </w:r>
      <w:r>
        <w:rPr>
          <w:spacing w:val="-65"/>
        </w:rPr>
        <w:t xml:space="preserve"> </w:t>
      </w:r>
      <w:r>
        <w:rPr>
          <w:rFonts w:ascii="Times New Roman" w:eastAsia="Times New Roman"/>
        </w:rPr>
        <w:t>4.1-11</w:t>
      </w:r>
      <w:r>
        <w:rPr>
          <w:rFonts w:ascii="Times New Roman" w:eastAsia="Times New Roman"/>
        </w:rPr>
        <w:tab/>
      </w:r>
      <w:r>
        <w:t>大气环境影响预测评价因子和评价标准</w:t>
      </w:r>
    </w:p>
    <w:tbl>
      <w:tblPr>
        <w:tblStyle w:val="13"/>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0"/>
        <w:gridCol w:w="1555"/>
        <w:gridCol w:w="3559"/>
        <w:gridCol w:w="2368"/>
      </w:tblGrid>
      <w:tr w14:paraId="739E73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040" w:type="dxa"/>
            <w:tcBorders>
              <w:left w:val="nil"/>
              <w:bottom w:val="single" w:color="000000" w:sz="4" w:space="0"/>
              <w:right w:val="single" w:color="000000" w:sz="4" w:space="0"/>
            </w:tcBorders>
          </w:tcPr>
          <w:p w14:paraId="2352266F">
            <w:pPr>
              <w:pStyle w:val="17"/>
              <w:spacing w:before="22"/>
              <w:ind w:left="60" w:right="30"/>
              <w:rPr>
                <w:sz w:val="21"/>
              </w:rPr>
            </w:pPr>
            <w:r>
              <w:rPr>
                <w:sz w:val="21"/>
              </w:rPr>
              <w:t>评价因</w:t>
            </w:r>
          </w:p>
          <w:p w14:paraId="72272426">
            <w:pPr>
              <w:pStyle w:val="17"/>
              <w:spacing w:before="43"/>
              <w:ind w:left="33"/>
              <w:rPr>
                <w:sz w:val="21"/>
              </w:rPr>
            </w:pPr>
            <w:r>
              <w:rPr>
                <w:w w:val="99"/>
                <w:sz w:val="21"/>
              </w:rPr>
              <w:t>子</w:t>
            </w:r>
          </w:p>
        </w:tc>
        <w:tc>
          <w:tcPr>
            <w:tcW w:w="1555" w:type="dxa"/>
            <w:tcBorders>
              <w:left w:val="single" w:color="000000" w:sz="4" w:space="0"/>
              <w:bottom w:val="single" w:color="000000" w:sz="4" w:space="0"/>
              <w:right w:val="single" w:color="000000" w:sz="4" w:space="0"/>
            </w:tcBorders>
          </w:tcPr>
          <w:p w14:paraId="1066763B">
            <w:pPr>
              <w:pStyle w:val="17"/>
              <w:spacing w:before="178"/>
              <w:ind w:left="366"/>
              <w:jc w:val="left"/>
              <w:rPr>
                <w:sz w:val="21"/>
              </w:rPr>
            </w:pPr>
            <w:r>
              <w:rPr>
                <w:sz w:val="21"/>
              </w:rPr>
              <w:t>评价时段</w:t>
            </w:r>
          </w:p>
        </w:tc>
        <w:tc>
          <w:tcPr>
            <w:tcW w:w="3559" w:type="dxa"/>
            <w:tcBorders>
              <w:left w:val="single" w:color="000000" w:sz="4" w:space="0"/>
              <w:bottom w:val="single" w:color="000000" w:sz="4" w:space="0"/>
              <w:right w:val="single" w:color="000000" w:sz="4" w:space="0"/>
            </w:tcBorders>
          </w:tcPr>
          <w:p w14:paraId="011C6B5D">
            <w:pPr>
              <w:pStyle w:val="17"/>
              <w:spacing w:before="178"/>
              <w:ind w:left="27"/>
              <w:rPr>
                <w:sz w:val="21"/>
              </w:rPr>
            </w:pPr>
            <w:r>
              <w:rPr>
                <w:sz w:val="21"/>
              </w:rPr>
              <w:t>标准值（</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2368" w:type="dxa"/>
            <w:tcBorders>
              <w:left w:val="single" w:color="000000" w:sz="4" w:space="0"/>
              <w:bottom w:val="single" w:color="000000" w:sz="4" w:space="0"/>
              <w:right w:val="nil"/>
            </w:tcBorders>
          </w:tcPr>
          <w:p w14:paraId="2F251ECF">
            <w:pPr>
              <w:pStyle w:val="17"/>
              <w:spacing w:before="178"/>
              <w:ind w:left="772"/>
              <w:jc w:val="left"/>
              <w:rPr>
                <w:sz w:val="21"/>
              </w:rPr>
            </w:pPr>
            <w:r>
              <w:rPr>
                <w:sz w:val="21"/>
              </w:rPr>
              <w:t>标准来源</w:t>
            </w:r>
          </w:p>
        </w:tc>
      </w:tr>
      <w:tr w14:paraId="1FEB45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1040" w:type="dxa"/>
            <w:tcBorders>
              <w:top w:val="single" w:color="000000" w:sz="4" w:space="0"/>
              <w:left w:val="nil"/>
              <w:bottom w:val="single" w:color="000000" w:sz="4" w:space="0"/>
              <w:right w:val="single" w:color="000000" w:sz="4" w:space="0"/>
            </w:tcBorders>
          </w:tcPr>
          <w:p w14:paraId="1F001456">
            <w:pPr>
              <w:pStyle w:val="17"/>
              <w:spacing w:before="178" w:line="278" w:lineRule="auto"/>
              <w:ind w:left="324" w:right="185" w:hanging="106"/>
              <w:jc w:val="left"/>
              <w:rPr>
                <w:sz w:val="21"/>
              </w:rPr>
            </w:pPr>
            <w:r>
              <w:rPr>
                <w:sz w:val="21"/>
              </w:rPr>
              <w:t>非甲烷总烃</w:t>
            </w:r>
          </w:p>
        </w:tc>
        <w:tc>
          <w:tcPr>
            <w:tcW w:w="1555" w:type="dxa"/>
            <w:tcBorders>
              <w:top w:val="single" w:color="000000" w:sz="4" w:space="0"/>
              <w:left w:val="single" w:color="000000" w:sz="4" w:space="0"/>
              <w:bottom w:val="single" w:color="000000" w:sz="4" w:space="0"/>
              <w:right w:val="single" w:color="000000" w:sz="4" w:space="0"/>
            </w:tcBorders>
          </w:tcPr>
          <w:p w14:paraId="5875147D">
            <w:pPr>
              <w:pStyle w:val="17"/>
              <w:jc w:val="left"/>
              <w:rPr>
                <w:b/>
                <w:sz w:val="26"/>
              </w:rPr>
            </w:pPr>
          </w:p>
          <w:p w14:paraId="283BF6D0">
            <w:pPr>
              <w:pStyle w:val="17"/>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4B1D56D4">
            <w:pPr>
              <w:pStyle w:val="17"/>
              <w:spacing w:before="1"/>
              <w:jc w:val="left"/>
              <w:rPr>
                <w:b/>
                <w:sz w:val="27"/>
              </w:rPr>
            </w:pPr>
          </w:p>
          <w:p w14:paraId="4218AD2D">
            <w:pPr>
              <w:pStyle w:val="17"/>
              <w:spacing w:before="1"/>
              <w:ind w:left="29"/>
              <w:rPr>
                <w:rFonts w:ascii="Times New Roman"/>
                <w:sz w:val="21"/>
              </w:rPr>
            </w:pPr>
            <w:r>
              <w:rPr>
                <w:rFonts w:ascii="Times New Roman"/>
                <w:sz w:val="21"/>
              </w:rPr>
              <w:t>2000</w:t>
            </w:r>
          </w:p>
        </w:tc>
        <w:tc>
          <w:tcPr>
            <w:tcW w:w="2368" w:type="dxa"/>
            <w:tcBorders>
              <w:top w:val="single" w:color="000000" w:sz="4" w:space="0"/>
              <w:left w:val="single" w:color="000000" w:sz="4" w:space="0"/>
              <w:bottom w:val="single" w:color="000000" w:sz="4" w:space="0"/>
              <w:right w:val="nil"/>
            </w:tcBorders>
          </w:tcPr>
          <w:p w14:paraId="4EED2306">
            <w:pPr>
              <w:pStyle w:val="17"/>
              <w:spacing w:before="22" w:line="278" w:lineRule="auto"/>
              <w:ind w:left="117" w:right="109" w:firstLine="15"/>
              <w:rPr>
                <w:rFonts w:ascii="Times New Roman" w:eastAsia="Times New Roman"/>
                <w:sz w:val="13"/>
              </w:rPr>
            </w:pPr>
            <w:r>
              <w:rPr>
                <w:sz w:val="21"/>
              </w:rPr>
              <w:t>《大气污染物综合排放</w:t>
            </w:r>
            <w:r>
              <w:rPr>
                <w:spacing w:val="-8"/>
                <w:sz w:val="21"/>
              </w:rPr>
              <w:t xml:space="preserve">标准详解》中 </w:t>
            </w:r>
            <w:r>
              <w:rPr>
                <w:rFonts w:ascii="Times New Roman" w:eastAsia="Times New Roman"/>
                <w:sz w:val="21"/>
              </w:rPr>
              <w:t>2.0mg/m</w:t>
            </w:r>
            <w:r>
              <w:rPr>
                <w:rFonts w:ascii="Times New Roman" w:eastAsia="Times New Roman"/>
                <w:position w:val="7"/>
                <w:sz w:val="13"/>
              </w:rPr>
              <w:t>3</w:t>
            </w:r>
          </w:p>
          <w:p w14:paraId="55A63BED">
            <w:pPr>
              <w:pStyle w:val="17"/>
              <w:spacing w:line="269" w:lineRule="exact"/>
              <w:ind w:left="857" w:right="836"/>
              <w:rPr>
                <w:sz w:val="21"/>
              </w:rPr>
            </w:pPr>
            <w:r>
              <w:rPr>
                <w:sz w:val="21"/>
              </w:rPr>
              <w:t>的限值</w:t>
            </w:r>
          </w:p>
        </w:tc>
      </w:tr>
      <w:tr w14:paraId="6CDF1C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1040" w:type="dxa"/>
            <w:vMerge w:val="restart"/>
            <w:tcBorders>
              <w:top w:val="single" w:color="000000" w:sz="4" w:space="0"/>
              <w:left w:val="nil"/>
              <w:bottom w:val="single" w:color="000000" w:sz="4" w:space="0"/>
              <w:right w:val="single" w:color="000000" w:sz="4" w:space="0"/>
            </w:tcBorders>
          </w:tcPr>
          <w:p w14:paraId="40A961BF">
            <w:pPr>
              <w:pStyle w:val="17"/>
              <w:spacing w:before="7"/>
              <w:jc w:val="left"/>
              <w:rPr>
                <w:b/>
                <w:sz w:val="27"/>
              </w:rPr>
            </w:pPr>
          </w:p>
          <w:p w14:paraId="26A68564">
            <w:pPr>
              <w:pStyle w:val="17"/>
              <w:spacing w:before="1"/>
              <w:ind w:left="314"/>
              <w:jc w:val="left"/>
              <w:rPr>
                <w:rFonts w:ascii="Times New Roman"/>
                <w:sz w:val="21"/>
              </w:rPr>
            </w:pPr>
            <w:r>
              <w:rPr>
                <w:rFonts w:ascii="Times New Roman"/>
                <w:position w:val="2"/>
                <w:sz w:val="21"/>
              </w:rPr>
              <w:t>PM</w:t>
            </w:r>
            <w:r>
              <w:rPr>
                <w:rFonts w:ascii="Times New Roman"/>
                <w:position w:val="2"/>
                <w:sz w:val="21"/>
                <w:vertAlign w:val="subscript"/>
              </w:rPr>
              <w:t>10</w:t>
            </w:r>
          </w:p>
        </w:tc>
        <w:tc>
          <w:tcPr>
            <w:tcW w:w="1555" w:type="dxa"/>
            <w:tcBorders>
              <w:top w:val="single" w:color="000000" w:sz="4" w:space="0"/>
              <w:left w:val="single" w:color="000000" w:sz="4" w:space="0"/>
              <w:bottom w:val="single" w:color="000000" w:sz="4" w:space="0"/>
              <w:right w:val="single" w:color="000000" w:sz="4" w:space="0"/>
            </w:tcBorders>
          </w:tcPr>
          <w:p w14:paraId="377839FA">
            <w:pPr>
              <w:pStyle w:val="17"/>
              <w:spacing w:before="21" w:line="261" w:lineRule="exact"/>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19B6E818">
            <w:pPr>
              <w:pStyle w:val="17"/>
              <w:spacing w:before="21" w:line="261" w:lineRule="exact"/>
              <w:ind w:left="44"/>
              <w:rPr>
                <w:sz w:val="21"/>
              </w:rPr>
            </w:pPr>
            <w:r>
              <w:rPr>
                <w:rFonts w:ascii="Times New Roman" w:eastAsia="Times New Roman"/>
                <w:sz w:val="21"/>
              </w:rPr>
              <w:t>450</w:t>
            </w:r>
            <w:r>
              <w:rPr>
                <w:sz w:val="21"/>
              </w:rPr>
              <w:t xml:space="preserve">（按照 </w:t>
            </w:r>
            <w:r>
              <w:rPr>
                <w:rFonts w:ascii="Times New Roman" w:eastAsia="Times New Roman"/>
                <w:sz w:val="21"/>
              </w:rPr>
              <w:t xml:space="preserve">24 </w:t>
            </w:r>
            <w:r>
              <w:rPr>
                <w:sz w:val="21"/>
              </w:rPr>
              <w:t xml:space="preserve">小时平均值的 </w:t>
            </w:r>
            <w:r>
              <w:rPr>
                <w:rFonts w:ascii="Times New Roman" w:eastAsia="Times New Roman"/>
                <w:sz w:val="21"/>
              </w:rPr>
              <w:t xml:space="preserve">3 </w:t>
            </w:r>
            <w:r>
              <w:rPr>
                <w:sz w:val="21"/>
              </w:rPr>
              <w:t>倍计）</w:t>
            </w:r>
          </w:p>
        </w:tc>
        <w:tc>
          <w:tcPr>
            <w:tcW w:w="2368" w:type="dxa"/>
            <w:vMerge w:val="restart"/>
            <w:tcBorders>
              <w:top w:val="single" w:color="000000" w:sz="4" w:space="0"/>
              <w:left w:val="single" w:color="000000" w:sz="4" w:space="0"/>
              <w:right w:val="nil"/>
            </w:tcBorders>
          </w:tcPr>
          <w:p w14:paraId="77AC5086">
            <w:pPr>
              <w:pStyle w:val="17"/>
              <w:jc w:val="left"/>
              <w:rPr>
                <w:b/>
                <w:sz w:val="20"/>
              </w:rPr>
            </w:pPr>
          </w:p>
          <w:p w14:paraId="0D2E6F58">
            <w:pPr>
              <w:pStyle w:val="17"/>
              <w:jc w:val="left"/>
              <w:rPr>
                <w:b/>
                <w:sz w:val="20"/>
              </w:rPr>
            </w:pPr>
          </w:p>
          <w:p w14:paraId="022C5FA5">
            <w:pPr>
              <w:pStyle w:val="17"/>
              <w:spacing w:before="1"/>
              <w:ind w:left="143"/>
              <w:jc w:val="left"/>
              <w:rPr>
                <w:sz w:val="21"/>
              </w:rPr>
            </w:pPr>
            <w:r>
              <w:rPr>
                <w:sz w:val="21"/>
              </w:rPr>
              <w:t>《环境空气质量标准》</w:t>
            </w:r>
          </w:p>
          <w:p w14:paraId="0763C015">
            <w:pPr>
              <w:pStyle w:val="17"/>
              <w:spacing w:before="43" w:line="278" w:lineRule="auto"/>
              <w:ind w:left="877" w:right="93" w:hanging="761"/>
              <w:jc w:val="left"/>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0"/>
                <w:w w:val="99"/>
                <w:sz w:val="21"/>
              </w:rPr>
              <w:t>3095</w:t>
            </w:r>
            <w:r>
              <w:rPr>
                <w:rFonts w:ascii="Times New Roman" w:eastAsia="Times New Roman"/>
                <w:spacing w:val="-3"/>
                <w:w w:val="99"/>
                <w:sz w:val="21"/>
              </w:rPr>
              <w:t>-</w:t>
            </w:r>
            <w:r>
              <w:rPr>
                <w:rFonts w:ascii="Times New Roman" w:eastAsia="Times New Roman"/>
                <w:spacing w:val="0"/>
                <w:w w:val="99"/>
                <w:sz w:val="21"/>
              </w:rPr>
              <w:t>201</w:t>
            </w:r>
            <w:r>
              <w:rPr>
                <w:rFonts w:ascii="Times New Roman" w:eastAsia="Times New Roman"/>
                <w:spacing w:val="-2"/>
                <w:w w:val="99"/>
                <w:sz w:val="21"/>
              </w:rPr>
              <w:t>2</w:t>
            </w:r>
            <w:r>
              <w:rPr>
                <w:spacing w:val="-99"/>
                <w:w w:val="99"/>
                <w:sz w:val="21"/>
              </w:rPr>
              <w:t>）</w:t>
            </w:r>
            <w:r>
              <w:rPr>
                <w:w w:val="99"/>
                <w:sz w:val="21"/>
              </w:rPr>
              <w:t>中的二</w:t>
            </w:r>
            <w:r>
              <w:rPr>
                <w:sz w:val="21"/>
              </w:rPr>
              <w:t>级标准</w:t>
            </w:r>
          </w:p>
        </w:tc>
      </w:tr>
      <w:tr w14:paraId="1CA1E5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40" w:type="dxa"/>
            <w:vMerge w:val="continue"/>
            <w:tcBorders>
              <w:top w:val="nil"/>
              <w:left w:val="nil"/>
              <w:bottom w:val="single" w:color="000000" w:sz="4" w:space="0"/>
              <w:right w:val="single" w:color="000000" w:sz="4" w:space="0"/>
            </w:tcBorders>
          </w:tcPr>
          <w:p w14:paraId="68C08F7D">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7F7B5D0A">
            <w:pPr>
              <w:pStyle w:val="17"/>
              <w:spacing w:before="11" w:line="261" w:lineRule="exact"/>
              <w:ind w:right="207"/>
              <w:jc w:val="right"/>
              <w:rPr>
                <w:sz w:val="21"/>
              </w:rPr>
            </w:pPr>
            <w:r>
              <w:rPr>
                <w:rFonts w:ascii="Times New Roman" w:eastAsia="Times New Roman"/>
                <w:sz w:val="21"/>
              </w:rPr>
              <w:t xml:space="preserve">24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189A6346">
            <w:pPr>
              <w:pStyle w:val="17"/>
              <w:spacing w:before="25"/>
              <w:ind w:left="29"/>
              <w:rPr>
                <w:rFonts w:ascii="Times New Roman"/>
                <w:sz w:val="21"/>
              </w:rPr>
            </w:pPr>
            <w:r>
              <w:rPr>
                <w:rFonts w:ascii="Times New Roman"/>
                <w:sz w:val="21"/>
              </w:rPr>
              <w:t>150</w:t>
            </w:r>
          </w:p>
        </w:tc>
        <w:tc>
          <w:tcPr>
            <w:tcW w:w="2368" w:type="dxa"/>
            <w:vMerge w:val="continue"/>
            <w:tcBorders>
              <w:top w:val="nil"/>
              <w:left w:val="single" w:color="000000" w:sz="4" w:space="0"/>
              <w:right w:val="nil"/>
            </w:tcBorders>
          </w:tcPr>
          <w:p w14:paraId="05A1C99E">
            <w:pPr>
              <w:rPr>
                <w:sz w:val="2"/>
                <w:szCs w:val="2"/>
              </w:rPr>
            </w:pPr>
          </w:p>
        </w:tc>
      </w:tr>
      <w:tr w14:paraId="018507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40" w:type="dxa"/>
            <w:vMerge w:val="continue"/>
            <w:tcBorders>
              <w:top w:val="nil"/>
              <w:left w:val="nil"/>
              <w:bottom w:val="single" w:color="000000" w:sz="4" w:space="0"/>
              <w:right w:val="single" w:color="000000" w:sz="4" w:space="0"/>
            </w:tcBorders>
          </w:tcPr>
          <w:p w14:paraId="2C2FC067">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1F402F39">
            <w:pPr>
              <w:pStyle w:val="17"/>
              <w:spacing w:before="10" w:line="261" w:lineRule="exact"/>
              <w:ind w:left="366"/>
              <w:jc w:val="left"/>
              <w:rPr>
                <w:sz w:val="21"/>
              </w:rPr>
            </w:pPr>
            <w:r>
              <w:rPr>
                <w:sz w:val="21"/>
              </w:rPr>
              <w:t>年均浓度</w:t>
            </w:r>
          </w:p>
        </w:tc>
        <w:tc>
          <w:tcPr>
            <w:tcW w:w="3559" w:type="dxa"/>
            <w:tcBorders>
              <w:top w:val="single" w:color="000000" w:sz="4" w:space="0"/>
              <w:left w:val="single" w:color="000000" w:sz="4" w:space="0"/>
              <w:bottom w:val="single" w:color="000000" w:sz="4" w:space="0"/>
              <w:right w:val="single" w:color="000000" w:sz="4" w:space="0"/>
            </w:tcBorders>
          </w:tcPr>
          <w:p w14:paraId="7826F921">
            <w:pPr>
              <w:pStyle w:val="17"/>
              <w:spacing w:before="24"/>
              <w:ind w:left="29"/>
              <w:rPr>
                <w:rFonts w:ascii="Times New Roman"/>
                <w:sz w:val="21"/>
              </w:rPr>
            </w:pPr>
            <w:r>
              <w:rPr>
                <w:rFonts w:ascii="Times New Roman"/>
                <w:sz w:val="21"/>
              </w:rPr>
              <w:t>70</w:t>
            </w:r>
          </w:p>
        </w:tc>
        <w:tc>
          <w:tcPr>
            <w:tcW w:w="2368" w:type="dxa"/>
            <w:vMerge w:val="continue"/>
            <w:tcBorders>
              <w:top w:val="nil"/>
              <w:left w:val="single" w:color="000000" w:sz="4" w:space="0"/>
              <w:right w:val="nil"/>
            </w:tcBorders>
          </w:tcPr>
          <w:p w14:paraId="71ABF86F">
            <w:pPr>
              <w:rPr>
                <w:sz w:val="2"/>
                <w:szCs w:val="2"/>
              </w:rPr>
            </w:pPr>
          </w:p>
        </w:tc>
      </w:tr>
      <w:tr w14:paraId="3A9C3B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40" w:type="dxa"/>
            <w:vMerge w:val="restart"/>
            <w:tcBorders>
              <w:top w:val="single" w:color="000000" w:sz="4" w:space="0"/>
              <w:left w:val="nil"/>
              <w:right w:val="single" w:color="000000" w:sz="4" w:space="0"/>
            </w:tcBorders>
          </w:tcPr>
          <w:p w14:paraId="189C41BC">
            <w:pPr>
              <w:pStyle w:val="17"/>
              <w:spacing w:before="2"/>
              <w:jc w:val="left"/>
              <w:rPr>
                <w:b/>
                <w:sz w:val="27"/>
              </w:rPr>
            </w:pPr>
          </w:p>
          <w:p w14:paraId="1B51E9C9">
            <w:pPr>
              <w:pStyle w:val="17"/>
              <w:ind w:left="352"/>
              <w:jc w:val="left"/>
              <w:rPr>
                <w:rFonts w:ascii="Times New Roman"/>
                <w:sz w:val="21"/>
              </w:rPr>
            </w:pPr>
            <w:r>
              <w:rPr>
                <w:rFonts w:ascii="Times New Roman"/>
                <w:sz w:val="21"/>
              </w:rPr>
              <w:t>TSP</w:t>
            </w:r>
          </w:p>
        </w:tc>
        <w:tc>
          <w:tcPr>
            <w:tcW w:w="1555" w:type="dxa"/>
            <w:tcBorders>
              <w:top w:val="single" w:color="000000" w:sz="4" w:space="0"/>
              <w:left w:val="single" w:color="000000" w:sz="4" w:space="0"/>
              <w:bottom w:val="single" w:color="000000" w:sz="4" w:space="0"/>
              <w:right w:val="single" w:color="000000" w:sz="4" w:space="0"/>
            </w:tcBorders>
          </w:tcPr>
          <w:p w14:paraId="31612BFA">
            <w:pPr>
              <w:pStyle w:val="17"/>
              <w:spacing w:before="10" w:line="262" w:lineRule="exact"/>
              <w:ind w:right="259"/>
              <w:jc w:val="right"/>
              <w:rPr>
                <w:sz w:val="21"/>
              </w:rPr>
            </w:pPr>
            <w:r>
              <w:rPr>
                <w:rFonts w:ascii="Times New Roman" w:eastAsia="Times New Roman"/>
                <w:sz w:val="21"/>
              </w:rPr>
              <w:t xml:space="preserve">1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7DB9B9A2">
            <w:pPr>
              <w:pStyle w:val="17"/>
              <w:spacing w:before="10" w:line="262" w:lineRule="exact"/>
              <w:ind w:left="44"/>
              <w:rPr>
                <w:sz w:val="21"/>
              </w:rPr>
            </w:pPr>
            <w:r>
              <w:rPr>
                <w:rFonts w:ascii="Times New Roman" w:eastAsia="Times New Roman"/>
                <w:sz w:val="21"/>
              </w:rPr>
              <w:t>900</w:t>
            </w:r>
            <w:r>
              <w:rPr>
                <w:sz w:val="21"/>
              </w:rPr>
              <w:t xml:space="preserve">（按照 </w:t>
            </w:r>
            <w:r>
              <w:rPr>
                <w:rFonts w:ascii="Times New Roman" w:eastAsia="Times New Roman"/>
                <w:sz w:val="21"/>
              </w:rPr>
              <w:t xml:space="preserve">24 </w:t>
            </w:r>
            <w:r>
              <w:rPr>
                <w:sz w:val="21"/>
              </w:rPr>
              <w:t xml:space="preserve">小时平均值的 </w:t>
            </w:r>
            <w:r>
              <w:rPr>
                <w:rFonts w:ascii="Times New Roman" w:eastAsia="Times New Roman"/>
                <w:sz w:val="21"/>
              </w:rPr>
              <w:t xml:space="preserve">3 </w:t>
            </w:r>
            <w:r>
              <w:rPr>
                <w:sz w:val="21"/>
              </w:rPr>
              <w:t>倍计）</w:t>
            </w:r>
          </w:p>
        </w:tc>
        <w:tc>
          <w:tcPr>
            <w:tcW w:w="2368" w:type="dxa"/>
            <w:vMerge w:val="continue"/>
            <w:tcBorders>
              <w:top w:val="nil"/>
              <w:left w:val="single" w:color="000000" w:sz="4" w:space="0"/>
              <w:right w:val="nil"/>
            </w:tcBorders>
          </w:tcPr>
          <w:p w14:paraId="51ACA16D">
            <w:pPr>
              <w:rPr>
                <w:sz w:val="2"/>
                <w:szCs w:val="2"/>
              </w:rPr>
            </w:pPr>
          </w:p>
        </w:tc>
      </w:tr>
      <w:tr w14:paraId="4C98E6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40" w:type="dxa"/>
            <w:vMerge w:val="continue"/>
            <w:tcBorders>
              <w:top w:val="nil"/>
              <w:left w:val="nil"/>
              <w:right w:val="single" w:color="000000" w:sz="4" w:space="0"/>
            </w:tcBorders>
          </w:tcPr>
          <w:p w14:paraId="1E50F086">
            <w:pPr>
              <w:rPr>
                <w:sz w:val="2"/>
                <w:szCs w:val="2"/>
              </w:rPr>
            </w:pPr>
          </w:p>
        </w:tc>
        <w:tc>
          <w:tcPr>
            <w:tcW w:w="1555" w:type="dxa"/>
            <w:tcBorders>
              <w:top w:val="single" w:color="000000" w:sz="4" w:space="0"/>
              <w:left w:val="single" w:color="000000" w:sz="4" w:space="0"/>
              <w:bottom w:val="single" w:color="000000" w:sz="4" w:space="0"/>
              <w:right w:val="single" w:color="000000" w:sz="4" w:space="0"/>
            </w:tcBorders>
          </w:tcPr>
          <w:p w14:paraId="14D6236A">
            <w:pPr>
              <w:pStyle w:val="17"/>
              <w:spacing w:before="12" w:line="260" w:lineRule="exact"/>
              <w:ind w:right="207"/>
              <w:jc w:val="right"/>
              <w:rPr>
                <w:sz w:val="21"/>
              </w:rPr>
            </w:pPr>
            <w:r>
              <w:rPr>
                <w:rFonts w:ascii="Times New Roman" w:eastAsia="Times New Roman"/>
                <w:sz w:val="21"/>
              </w:rPr>
              <w:t xml:space="preserve">24 </w:t>
            </w:r>
            <w:r>
              <w:rPr>
                <w:sz w:val="21"/>
              </w:rPr>
              <w:t>小时平均</w:t>
            </w:r>
          </w:p>
        </w:tc>
        <w:tc>
          <w:tcPr>
            <w:tcW w:w="3559" w:type="dxa"/>
            <w:tcBorders>
              <w:top w:val="single" w:color="000000" w:sz="4" w:space="0"/>
              <w:left w:val="single" w:color="000000" w:sz="4" w:space="0"/>
              <w:bottom w:val="single" w:color="000000" w:sz="4" w:space="0"/>
              <w:right w:val="single" w:color="000000" w:sz="4" w:space="0"/>
            </w:tcBorders>
          </w:tcPr>
          <w:p w14:paraId="3FE33C73">
            <w:pPr>
              <w:pStyle w:val="17"/>
              <w:spacing w:before="26"/>
              <w:ind w:left="29"/>
              <w:rPr>
                <w:rFonts w:ascii="Times New Roman"/>
                <w:sz w:val="21"/>
              </w:rPr>
            </w:pPr>
            <w:r>
              <w:rPr>
                <w:rFonts w:ascii="Times New Roman"/>
                <w:sz w:val="21"/>
              </w:rPr>
              <w:t>300</w:t>
            </w:r>
          </w:p>
        </w:tc>
        <w:tc>
          <w:tcPr>
            <w:tcW w:w="2368" w:type="dxa"/>
            <w:vMerge w:val="continue"/>
            <w:tcBorders>
              <w:top w:val="nil"/>
              <w:left w:val="single" w:color="000000" w:sz="4" w:space="0"/>
              <w:right w:val="nil"/>
            </w:tcBorders>
          </w:tcPr>
          <w:p w14:paraId="556B6A79">
            <w:pPr>
              <w:rPr>
                <w:sz w:val="2"/>
                <w:szCs w:val="2"/>
              </w:rPr>
            </w:pPr>
          </w:p>
        </w:tc>
      </w:tr>
      <w:tr w14:paraId="0D2431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40" w:type="dxa"/>
            <w:vMerge w:val="continue"/>
            <w:tcBorders>
              <w:top w:val="nil"/>
              <w:left w:val="nil"/>
              <w:right w:val="single" w:color="000000" w:sz="4" w:space="0"/>
            </w:tcBorders>
          </w:tcPr>
          <w:p w14:paraId="5E899190">
            <w:pPr>
              <w:rPr>
                <w:sz w:val="2"/>
                <w:szCs w:val="2"/>
              </w:rPr>
            </w:pPr>
          </w:p>
        </w:tc>
        <w:tc>
          <w:tcPr>
            <w:tcW w:w="1555" w:type="dxa"/>
            <w:tcBorders>
              <w:top w:val="single" w:color="000000" w:sz="4" w:space="0"/>
              <w:left w:val="single" w:color="000000" w:sz="4" w:space="0"/>
              <w:right w:val="single" w:color="000000" w:sz="4" w:space="0"/>
            </w:tcBorders>
          </w:tcPr>
          <w:p w14:paraId="2FFF9F3A">
            <w:pPr>
              <w:pStyle w:val="17"/>
              <w:spacing w:before="12"/>
              <w:ind w:left="366"/>
              <w:jc w:val="left"/>
              <w:rPr>
                <w:sz w:val="21"/>
              </w:rPr>
            </w:pPr>
            <w:r>
              <w:rPr>
                <w:sz w:val="21"/>
              </w:rPr>
              <w:t>年均浓度</w:t>
            </w:r>
          </w:p>
        </w:tc>
        <w:tc>
          <w:tcPr>
            <w:tcW w:w="3559" w:type="dxa"/>
            <w:tcBorders>
              <w:top w:val="single" w:color="000000" w:sz="4" w:space="0"/>
              <w:left w:val="single" w:color="000000" w:sz="4" w:space="0"/>
              <w:right w:val="single" w:color="000000" w:sz="4" w:space="0"/>
            </w:tcBorders>
          </w:tcPr>
          <w:p w14:paraId="61D94EC8">
            <w:pPr>
              <w:pStyle w:val="17"/>
              <w:spacing w:before="25"/>
              <w:ind w:left="29"/>
              <w:rPr>
                <w:rFonts w:ascii="Times New Roman"/>
                <w:sz w:val="21"/>
              </w:rPr>
            </w:pPr>
            <w:r>
              <w:rPr>
                <w:rFonts w:ascii="Times New Roman"/>
                <w:sz w:val="21"/>
              </w:rPr>
              <w:t>150</w:t>
            </w:r>
          </w:p>
        </w:tc>
        <w:tc>
          <w:tcPr>
            <w:tcW w:w="2368" w:type="dxa"/>
            <w:vMerge w:val="continue"/>
            <w:tcBorders>
              <w:top w:val="nil"/>
              <w:left w:val="single" w:color="000000" w:sz="4" w:space="0"/>
              <w:right w:val="nil"/>
            </w:tcBorders>
          </w:tcPr>
          <w:p w14:paraId="1336D0AA">
            <w:pPr>
              <w:rPr>
                <w:sz w:val="2"/>
                <w:szCs w:val="2"/>
              </w:rPr>
            </w:pPr>
          </w:p>
        </w:tc>
      </w:tr>
    </w:tbl>
    <w:p w14:paraId="040648F5">
      <w:pPr>
        <w:pStyle w:val="16"/>
        <w:numPr>
          <w:ilvl w:val="2"/>
          <w:numId w:val="16"/>
        </w:numPr>
        <w:tabs>
          <w:tab w:val="left" w:pos="1095"/>
        </w:tabs>
        <w:spacing w:before="140" w:after="0" w:line="240" w:lineRule="auto"/>
        <w:ind w:left="1094" w:right="0" w:hanging="674"/>
        <w:jc w:val="left"/>
        <w:rPr>
          <w:rFonts w:ascii="Times New Roman" w:eastAsia="Times New Roman"/>
          <w:b/>
          <w:sz w:val="30"/>
        </w:rPr>
      </w:pPr>
      <w:r>
        <w:rPr>
          <w:b/>
          <w:sz w:val="30"/>
        </w:rPr>
        <w:t>预测模式与参数选择</w:t>
      </w:r>
    </w:p>
    <w:p w14:paraId="062D9024">
      <w:pPr>
        <w:pStyle w:val="10"/>
        <w:spacing w:before="221"/>
        <w:ind w:left="900"/>
      </w:pPr>
      <w:r>
        <w:rPr>
          <w:rFonts w:ascii="Times New Roman" w:eastAsia="Times New Roman"/>
        </w:rPr>
        <w:t>1</w:t>
      </w:r>
      <w:r>
        <w:t>、预测模式</w:t>
      </w:r>
    </w:p>
    <w:p w14:paraId="7550808F">
      <w:pPr>
        <w:pStyle w:val="10"/>
        <w:spacing w:before="160" w:line="364" w:lineRule="auto"/>
        <w:ind w:left="420" w:right="370" w:firstLine="480"/>
      </w:pPr>
      <w:r>
        <w:t>按照《环境影响评价技术导则－大气环境》（</w:t>
      </w:r>
      <w:r>
        <w:rPr>
          <w:rFonts w:ascii="Times New Roman" w:eastAsia="Times New Roman"/>
        </w:rPr>
        <w:t>HJ2.2-2018</w:t>
      </w:r>
      <w:r>
        <w:t xml:space="preserve">）有关要求，本次环境影响评价选用 </w:t>
      </w:r>
      <w:r>
        <w:rPr>
          <w:rFonts w:ascii="Times New Roman" w:eastAsia="Times New Roman"/>
        </w:rPr>
        <w:t xml:space="preserve">AERMOD </w:t>
      </w:r>
      <w:r>
        <w:t>模式进行大气环境影响预测。</w:t>
      </w:r>
    </w:p>
    <w:p w14:paraId="79A86743">
      <w:pPr>
        <w:pStyle w:val="10"/>
        <w:spacing w:before="1" w:line="364" w:lineRule="auto"/>
        <w:ind w:left="420" w:right="297" w:firstLine="480"/>
      </w:pPr>
      <w:r>
        <w:rPr>
          <w:rFonts w:ascii="Times New Roman" w:eastAsia="Times New Roman"/>
        </w:rPr>
        <w:t xml:space="preserve">AERMOD </w:t>
      </w:r>
      <w:r>
        <w:rPr>
          <w:spacing w:val="-10"/>
        </w:rPr>
        <w:t>是一个稳态烟羽扩散模式，可基于大气边界层数据特征模拟点源、</w:t>
      </w:r>
      <w:r>
        <w:rPr>
          <w:spacing w:val="-11"/>
        </w:rPr>
        <w:t>面源、体源等排放出的污染物的浓度分布，适用于农村或城市地区、简单或复杂地形。</w:t>
      </w:r>
    </w:p>
    <w:p w14:paraId="4ECF1124">
      <w:pPr>
        <w:pStyle w:val="10"/>
        <w:spacing w:before="2"/>
        <w:ind w:left="900"/>
      </w:pPr>
      <w:r>
        <w:rPr>
          <w:rFonts w:ascii="Times New Roman" w:eastAsia="Times New Roman"/>
        </w:rPr>
        <w:t>2</w:t>
      </w:r>
      <w:r>
        <w:t>、预测参数</w:t>
      </w:r>
    </w:p>
    <w:p w14:paraId="07E6B467">
      <w:pPr>
        <w:pStyle w:val="9"/>
        <w:spacing w:before="84"/>
        <w:ind w:left="2486"/>
      </w:pPr>
      <w:r>
        <w:rPr>
          <w:spacing w:val="-31"/>
        </w:rPr>
        <w:t xml:space="preserve">表 </w:t>
      </w:r>
      <w:r>
        <w:rPr>
          <w:rFonts w:ascii="Times New Roman" w:eastAsia="Times New Roman"/>
        </w:rPr>
        <w:t>4.1-12</w:t>
      </w:r>
      <w:r>
        <w:rPr>
          <w:rFonts w:ascii="Times New Roman" w:eastAsia="Times New Roman"/>
          <w:spacing w:val="58"/>
        </w:rPr>
        <w:t xml:space="preserve"> </w:t>
      </w:r>
      <w:r>
        <w:t>本项目大气环境影响预测参数</w:t>
      </w:r>
    </w:p>
    <w:tbl>
      <w:tblPr>
        <w:tblStyle w:val="13"/>
        <w:tblW w:w="0" w:type="auto"/>
        <w:tblInd w:w="30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5"/>
        <w:gridCol w:w="4774"/>
        <w:gridCol w:w="2965"/>
      </w:tblGrid>
      <w:tr w14:paraId="512429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left w:val="nil"/>
              <w:bottom w:val="single" w:color="000000" w:sz="4" w:space="0"/>
              <w:right w:val="single" w:color="000000" w:sz="4" w:space="0"/>
            </w:tcBorders>
          </w:tcPr>
          <w:p w14:paraId="5F27A292">
            <w:pPr>
              <w:pStyle w:val="17"/>
              <w:spacing w:before="20"/>
              <w:ind w:left="164" w:right="136"/>
              <w:rPr>
                <w:sz w:val="21"/>
              </w:rPr>
            </w:pPr>
            <w:r>
              <w:rPr>
                <w:sz w:val="21"/>
              </w:rPr>
              <w:t>序号</w:t>
            </w:r>
          </w:p>
        </w:tc>
        <w:tc>
          <w:tcPr>
            <w:tcW w:w="4774" w:type="dxa"/>
            <w:tcBorders>
              <w:left w:val="single" w:color="000000" w:sz="4" w:space="0"/>
              <w:bottom w:val="single" w:color="000000" w:sz="4" w:space="0"/>
              <w:right w:val="single" w:color="000000" w:sz="4" w:space="0"/>
            </w:tcBorders>
          </w:tcPr>
          <w:p w14:paraId="213D0C3E">
            <w:pPr>
              <w:pStyle w:val="17"/>
              <w:spacing w:before="20"/>
              <w:ind w:left="906" w:right="878"/>
              <w:rPr>
                <w:sz w:val="21"/>
              </w:rPr>
            </w:pPr>
            <w:r>
              <w:rPr>
                <w:sz w:val="21"/>
              </w:rPr>
              <w:t>项目</w:t>
            </w:r>
          </w:p>
        </w:tc>
        <w:tc>
          <w:tcPr>
            <w:tcW w:w="2965" w:type="dxa"/>
            <w:tcBorders>
              <w:left w:val="single" w:color="000000" w:sz="4" w:space="0"/>
              <w:bottom w:val="single" w:color="000000" w:sz="4" w:space="0"/>
              <w:right w:val="nil"/>
            </w:tcBorders>
          </w:tcPr>
          <w:p w14:paraId="4E4FE983">
            <w:pPr>
              <w:pStyle w:val="17"/>
              <w:spacing w:before="20"/>
              <w:ind w:left="302" w:right="280"/>
              <w:rPr>
                <w:sz w:val="21"/>
              </w:rPr>
            </w:pPr>
            <w:r>
              <w:rPr>
                <w:sz w:val="21"/>
              </w:rPr>
              <w:t>参数值</w:t>
            </w:r>
          </w:p>
        </w:tc>
      </w:tr>
      <w:tr w14:paraId="05F048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top w:val="single" w:color="000000" w:sz="4" w:space="0"/>
              <w:left w:val="nil"/>
              <w:bottom w:val="single" w:color="000000" w:sz="4" w:space="0"/>
              <w:right w:val="single" w:color="000000" w:sz="4" w:space="0"/>
            </w:tcBorders>
          </w:tcPr>
          <w:p w14:paraId="375D1F22">
            <w:pPr>
              <w:pStyle w:val="17"/>
              <w:spacing w:before="36"/>
              <w:ind w:left="32"/>
              <w:rPr>
                <w:rFonts w:ascii="Times New Roman"/>
                <w:sz w:val="21"/>
              </w:rPr>
            </w:pPr>
            <w:r>
              <w:rPr>
                <w:rFonts w:ascii="Times New Roman"/>
                <w:w w:val="99"/>
                <w:sz w:val="21"/>
              </w:rPr>
              <w:t>1</w:t>
            </w:r>
          </w:p>
        </w:tc>
        <w:tc>
          <w:tcPr>
            <w:tcW w:w="4774" w:type="dxa"/>
            <w:tcBorders>
              <w:top w:val="single" w:color="000000" w:sz="4" w:space="0"/>
              <w:left w:val="single" w:color="000000" w:sz="4" w:space="0"/>
              <w:bottom w:val="single" w:color="000000" w:sz="4" w:space="0"/>
              <w:right w:val="single" w:color="000000" w:sz="4" w:space="0"/>
            </w:tcBorders>
          </w:tcPr>
          <w:p w14:paraId="159AB845">
            <w:pPr>
              <w:pStyle w:val="17"/>
              <w:spacing w:before="22"/>
              <w:ind w:left="906" w:right="878"/>
              <w:rPr>
                <w:sz w:val="21"/>
              </w:rPr>
            </w:pPr>
            <w:r>
              <w:rPr>
                <w:sz w:val="21"/>
              </w:rPr>
              <w:t>地面气象站坐标（汨罗气象站）</w:t>
            </w:r>
          </w:p>
        </w:tc>
        <w:tc>
          <w:tcPr>
            <w:tcW w:w="2965" w:type="dxa"/>
            <w:tcBorders>
              <w:top w:val="single" w:color="000000" w:sz="4" w:space="0"/>
              <w:left w:val="single" w:color="000000" w:sz="4" w:space="0"/>
              <w:bottom w:val="single" w:color="000000" w:sz="4" w:space="0"/>
              <w:right w:val="nil"/>
            </w:tcBorders>
          </w:tcPr>
          <w:p w14:paraId="3F089FB4">
            <w:pPr>
              <w:pStyle w:val="17"/>
              <w:spacing w:before="22"/>
              <w:ind w:left="301" w:right="280"/>
              <w:rPr>
                <w:rFonts w:ascii="Times New Roman" w:eastAsia="Times New Roman"/>
                <w:sz w:val="21"/>
              </w:rPr>
            </w:pPr>
            <w:r>
              <w:rPr>
                <w:rFonts w:ascii="Times New Roman" w:eastAsia="Times New Roman"/>
                <w:sz w:val="21"/>
              </w:rPr>
              <w:t>113.1069E</w:t>
            </w:r>
            <w:r>
              <w:rPr>
                <w:sz w:val="21"/>
              </w:rPr>
              <w:t>，</w:t>
            </w:r>
            <w:r>
              <w:rPr>
                <w:rFonts w:ascii="Times New Roman" w:eastAsia="Times New Roman"/>
                <w:sz w:val="21"/>
              </w:rPr>
              <w:t>28.8564N</w:t>
            </w:r>
          </w:p>
        </w:tc>
      </w:tr>
      <w:tr w14:paraId="14C42E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765" w:type="dxa"/>
            <w:tcBorders>
              <w:top w:val="single" w:color="000000" w:sz="4" w:space="0"/>
              <w:left w:val="nil"/>
              <w:bottom w:val="single" w:color="000000" w:sz="4" w:space="0"/>
              <w:right w:val="single" w:color="000000" w:sz="4" w:space="0"/>
            </w:tcBorders>
          </w:tcPr>
          <w:p w14:paraId="48DB4ACB">
            <w:pPr>
              <w:pStyle w:val="17"/>
              <w:spacing w:before="35"/>
              <w:ind w:left="32"/>
              <w:rPr>
                <w:rFonts w:ascii="Times New Roman"/>
                <w:sz w:val="21"/>
              </w:rPr>
            </w:pPr>
            <w:r>
              <w:rPr>
                <w:rFonts w:ascii="Times New Roman"/>
                <w:w w:val="99"/>
                <w:sz w:val="21"/>
              </w:rPr>
              <w:t>2</w:t>
            </w:r>
          </w:p>
        </w:tc>
        <w:tc>
          <w:tcPr>
            <w:tcW w:w="4774" w:type="dxa"/>
            <w:tcBorders>
              <w:top w:val="single" w:color="000000" w:sz="4" w:space="0"/>
              <w:left w:val="single" w:color="000000" w:sz="4" w:space="0"/>
              <w:bottom w:val="single" w:color="000000" w:sz="4" w:space="0"/>
              <w:right w:val="single" w:color="000000" w:sz="4" w:space="0"/>
            </w:tcBorders>
          </w:tcPr>
          <w:p w14:paraId="4A0AC6F6">
            <w:pPr>
              <w:pStyle w:val="17"/>
              <w:spacing w:before="21"/>
              <w:ind w:left="906" w:right="878"/>
              <w:rPr>
                <w:sz w:val="21"/>
              </w:rPr>
            </w:pPr>
            <w:r>
              <w:rPr>
                <w:sz w:val="21"/>
              </w:rPr>
              <w:t>计算中心点坐标</w:t>
            </w:r>
          </w:p>
        </w:tc>
        <w:tc>
          <w:tcPr>
            <w:tcW w:w="2965" w:type="dxa"/>
            <w:tcBorders>
              <w:top w:val="single" w:color="000000" w:sz="4" w:space="0"/>
              <w:left w:val="single" w:color="000000" w:sz="4" w:space="0"/>
              <w:bottom w:val="single" w:color="000000" w:sz="4" w:space="0"/>
              <w:right w:val="nil"/>
            </w:tcBorders>
          </w:tcPr>
          <w:p w14:paraId="67528EEF">
            <w:pPr>
              <w:pStyle w:val="17"/>
              <w:spacing w:before="35"/>
              <w:ind w:left="303" w:right="277"/>
              <w:rPr>
                <w:rFonts w:ascii="Times New Roman"/>
                <w:sz w:val="21"/>
              </w:rPr>
            </w:pPr>
            <w:r>
              <w:rPr>
                <w:rFonts w:ascii="Times New Roman"/>
                <w:sz w:val="21"/>
              </w:rPr>
              <w:t>113.1485E28.78971N</w:t>
            </w:r>
          </w:p>
        </w:tc>
      </w:tr>
      <w:tr w14:paraId="760C7F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65" w:type="dxa"/>
            <w:tcBorders>
              <w:top w:val="single" w:color="000000" w:sz="4" w:space="0"/>
              <w:left w:val="nil"/>
              <w:bottom w:val="single" w:color="000000" w:sz="4" w:space="0"/>
              <w:right w:val="single" w:color="000000" w:sz="4" w:space="0"/>
            </w:tcBorders>
          </w:tcPr>
          <w:p w14:paraId="5E06C5DB">
            <w:pPr>
              <w:pStyle w:val="17"/>
              <w:spacing w:before="35"/>
              <w:ind w:left="32"/>
              <w:rPr>
                <w:rFonts w:ascii="Times New Roman"/>
                <w:sz w:val="21"/>
              </w:rPr>
            </w:pPr>
            <w:r>
              <w:rPr>
                <w:rFonts w:ascii="Times New Roman"/>
                <w:w w:val="99"/>
                <w:sz w:val="21"/>
              </w:rPr>
              <w:t>3</w:t>
            </w:r>
          </w:p>
        </w:tc>
        <w:tc>
          <w:tcPr>
            <w:tcW w:w="4774" w:type="dxa"/>
            <w:tcBorders>
              <w:top w:val="single" w:color="000000" w:sz="4" w:space="0"/>
              <w:left w:val="single" w:color="000000" w:sz="4" w:space="0"/>
              <w:bottom w:val="single" w:color="000000" w:sz="4" w:space="0"/>
              <w:right w:val="single" w:color="000000" w:sz="4" w:space="0"/>
            </w:tcBorders>
          </w:tcPr>
          <w:p w14:paraId="2A0E83F6">
            <w:pPr>
              <w:pStyle w:val="17"/>
              <w:spacing w:before="21"/>
              <w:ind w:left="904" w:right="878"/>
              <w:rPr>
                <w:sz w:val="21"/>
              </w:rPr>
            </w:pPr>
            <w:r>
              <w:rPr>
                <w:sz w:val="21"/>
              </w:rPr>
              <w:t>受体类型</w:t>
            </w:r>
          </w:p>
        </w:tc>
        <w:tc>
          <w:tcPr>
            <w:tcW w:w="2965" w:type="dxa"/>
            <w:tcBorders>
              <w:top w:val="single" w:color="000000" w:sz="4" w:space="0"/>
              <w:left w:val="single" w:color="000000" w:sz="4" w:space="0"/>
              <w:bottom w:val="single" w:color="000000" w:sz="4" w:space="0"/>
              <w:right w:val="nil"/>
            </w:tcBorders>
          </w:tcPr>
          <w:p w14:paraId="5442F259">
            <w:pPr>
              <w:pStyle w:val="17"/>
              <w:spacing w:before="21"/>
              <w:ind w:left="299" w:right="280"/>
              <w:rPr>
                <w:sz w:val="21"/>
              </w:rPr>
            </w:pPr>
            <w:r>
              <w:rPr>
                <w:sz w:val="21"/>
              </w:rPr>
              <w:t>网格</w:t>
            </w:r>
            <w:r>
              <w:rPr>
                <w:rFonts w:ascii="Times New Roman" w:eastAsia="Times New Roman"/>
                <w:sz w:val="21"/>
              </w:rPr>
              <w:t>+</w:t>
            </w:r>
            <w:r>
              <w:rPr>
                <w:sz w:val="21"/>
              </w:rPr>
              <w:t>离散受体</w:t>
            </w:r>
          </w:p>
        </w:tc>
      </w:tr>
      <w:tr w14:paraId="25C515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765" w:type="dxa"/>
            <w:tcBorders>
              <w:top w:val="single" w:color="000000" w:sz="4" w:space="0"/>
              <w:left w:val="nil"/>
              <w:right w:val="single" w:color="000000" w:sz="4" w:space="0"/>
            </w:tcBorders>
          </w:tcPr>
          <w:p w14:paraId="456F8B0E">
            <w:pPr>
              <w:pStyle w:val="17"/>
              <w:spacing w:before="35"/>
              <w:ind w:left="32"/>
              <w:rPr>
                <w:rFonts w:ascii="Times New Roman"/>
                <w:sz w:val="21"/>
              </w:rPr>
            </w:pPr>
            <w:r>
              <w:rPr>
                <w:rFonts w:ascii="Times New Roman"/>
                <w:w w:val="99"/>
                <w:sz w:val="21"/>
              </w:rPr>
              <w:t>4</w:t>
            </w:r>
          </w:p>
        </w:tc>
        <w:tc>
          <w:tcPr>
            <w:tcW w:w="4774" w:type="dxa"/>
            <w:tcBorders>
              <w:top w:val="single" w:color="000000" w:sz="4" w:space="0"/>
              <w:left w:val="single" w:color="000000" w:sz="4" w:space="0"/>
              <w:right w:val="single" w:color="000000" w:sz="4" w:space="0"/>
            </w:tcBorders>
          </w:tcPr>
          <w:p w14:paraId="1C7C5069">
            <w:pPr>
              <w:pStyle w:val="17"/>
              <w:spacing w:before="21"/>
              <w:ind w:left="906" w:right="878"/>
              <w:rPr>
                <w:sz w:val="21"/>
              </w:rPr>
            </w:pPr>
            <w:r>
              <w:rPr>
                <w:sz w:val="21"/>
              </w:rPr>
              <w:t>嵌套网格尺寸及网格间距</w:t>
            </w:r>
          </w:p>
        </w:tc>
        <w:tc>
          <w:tcPr>
            <w:tcW w:w="2965" w:type="dxa"/>
            <w:tcBorders>
              <w:top w:val="single" w:color="000000" w:sz="4" w:space="0"/>
              <w:left w:val="single" w:color="000000" w:sz="4" w:space="0"/>
              <w:right w:val="nil"/>
            </w:tcBorders>
          </w:tcPr>
          <w:p w14:paraId="6FDCAD3B">
            <w:pPr>
              <w:pStyle w:val="17"/>
              <w:spacing w:before="21"/>
              <w:ind w:left="303" w:right="280"/>
              <w:rPr>
                <w:rFonts w:ascii="Times New Roman" w:hAnsi="Times New Roman" w:eastAsia="Times New Roman"/>
                <w:sz w:val="21"/>
              </w:rPr>
            </w:pPr>
            <w:r>
              <w:rPr>
                <w:rFonts w:ascii="Times New Roman" w:hAnsi="Times New Roman" w:eastAsia="Times New Roman"/>
                <w:sz w:val="21"/>
              </w:rPr>
              <w:t>5000×5000m</w:t>
            </w:r>
            <w:r>
              <w:rPr>
                <w:sz w:val="21"/>
              </w:rPr>
              <w:t xml:space="preserve">，步长 </w:t>
            </w:r>
            <w:r>
              <w:rPr>
                <w:rFonts w:ascii="Times New Roman" w:hAnsi="Times New Roman" w:eastAsia="Times New Roman"/>
                <w:sz w:val="21"/>
              </w:rPr>
              <w:t>100m</w:t>
            </w:r>
          </w:p>
        </w:tc>
      </w:tr>
    </w:tbl>
    <w:p w14:paraId="36D90295">
      <w:pPr>
        <w:pStyle w:val="10"/>
        <w:spacing w:before="82"/>
        <w:ind w:left="900"/>
      </w:pPr>
      <w:r>
        <w:rPr>
          <w:rFonts w:ascii="Times New Roman" w:eastAsia="Times New Roman"/>
        </w:rPr>
        <w:t>3</w:t>
      </w:r>
      <w:r>
        <w:t>、地形与高程</w:t>
      </w:r>
    </w:p>
    <w:p w14:paraId="3F4C0669">
      <w:pPr>
        <w:pStyle w:val="10"/>
        <w:spacing w:before="160"/>
        <w:ind w:left="900"/>
      </w:pPr>
      <w:r>
        <w:t xml:space="preserve">本项目位于汨罗高新技术产业开发区新市片区中塑新材料公司内 </w:t>
      </w:r>
      <w:r>
        <w:rPr>
          <w:rFonts w:ascii="Times New Roman" w:eastAsia="Times New Roman"/>
        </w:rPr>
        <w:t xml:space="preserve">16 </w:t>
      </w:r>
      <w:r>
        <w:t>栋厂房，</w:t>
      </w:r>
    </w:p>
    <w:p w14:paraId="7BFA504B">
      <w:pPr>
        <w:spacing w:after="0"/>
        <w:sectPr>
          <w:footerReference r:id="rId26" w:type="default"/>
          <w:pgSz w:w="11910" w:h="16840"/>
          <w:pgMar w:top="1360" w:right="1380" w:bottom="1380" w:left="1380" w:header="0" w:footer="1192" w:gutter="0"/>
          <w:pgNumType w:start="98"/>
          <w:cols w:space="720" w:num="1"/>
        </w:sectPr>
      </w:pPr>
    </w:p>
    <w:p w14:paraId="65104519">
      <w:pPr>
        <w:pStyle w:val="10"/>
        <w:spacing w:before="62" w:line="364" w:lineRule="auto"/>
        <w:ind w:left="420" w:right="421"/>
        <w:jc w:val="both"/>
      </w:pPr>
      <w:r>
        <w:drawing>
          <wp:anchor distT="0" distB="0" distL="0" distR="0" simplePos="0" relativeHeight="251663360" behindDoc="1" locked="0" layoutInCell="1" allowOverlap="1">
            <wp:simplePos x="0" y="0"/>
            <wp:positionH relativeFrom="page">
              <wp:posOffset>1073785</wp:posOffset>
            </wp:positionH>
            <wp:positionV relativeFrom="paragraph">
              <wp:posOffset>879475</wp:posOffset>
            </wp:positionV>
            <wp:extent cx="5265420" cy="3389630"/>
            <wp:effectExtent l="0" t="0" r="0" b="0"/>
            <wp:wrapNone/>
            <wp:docPr id="3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0.jpeg"/>
                    <pic:cNvPicPr>
                      <a:picLocks noChangeAspect="1"/>
                    </pic:cNvPicPr>
                  </pic:nvPicPr>
                  <pic:blipFill>
                    <a:blip r:embed="rId120" cstate="print"/>
                    <a:stretch>
                      <a:fillRect/>
                    </a:stretch>
                  </pic:blipFill>
                  <pic:spPr>
                    <a:xfrm>
                      <a:off x="0" y="0"/>
                      <a:ext cx="5265420" cy="3389376"/>
                    </a:xfrm>
                    <a:prstGeom prst="rect">
                      <a:avLst/>
                    </a:prstGeom>
                  </pic:spPr>
                </pic:pic>
              </a:graphicData>
            </a:graphic>
          </wp:anchor>
        </w:drawing>
      </w:r>
      <w:r>
        <w:rPr>
          <w:spacing w:val="-2"/>
        </w:rPr>
        <w:t xml:space="preserve">地貌单元主要由农用地、缓丘荒地组成。评价范围内的地形数据采用外部 </w:t>
      </w:r>
      <w:r>
        <w:rPr>
          <w:rFonts w:ascii="Times New Roman" w:eastAsia="Times New Roman"/>
        </w:rPr>
        <w:t xml:space="preserve">DEM </w:t>
      </w:r>
      <w:r>
        <w:rPr>
          <w:spacing w:val="-8"/>
        </w:rPr>
        <w:t xml:space="preserve">文件，数据来源为 </w:t>
      </w:r>
      <w:r>
        <w:fldChar w:fldCharType="begin"/>
      </w:r>
      <w:r>
        <w:instrText xml:space="preserve"> HYPERLINK "http://srtm.csi.cgiar.org/" \h </w:instrText>
      </w:r>
      <w:r>
        <w:fldChar w:fldCharType="separate"/>
      </w:r>
      <w:r>
        <w:rPr>
          <w:rFonts w:ascii="Times New Roman" w:eastAsia="Times New Roman"/>
        </w:rPr>
        <w:t>http://srtm.csi.cgiar.org/</w:t>
      </w:r>
      <w:r>
        <w:rPr>
          <w:rFonts w:ascii="Times New Roman" w:eastAsia="Times New Roman"/>
        </w:rPr>
        <w:fldChar w:fldCharType="end"/>
      </w:r>
      <w:r>
        <w:rPr>
          <w:spacing w:val="-11"/>
        </w:rPr>
        <w:t xml:space="preserve">，分辨率为 </w:t>
      </w:r>
      <w:r>
        <w:rPr>
          <w:rFonts w:ascii="Times New Roman" w:eastAsia="Times New Roman"/>
        </w:rPr>
        <w:t>90m</w:t>
      </w:r>
      <w:r>
        <w:rPr>
          <w:spacing w:val="-17"/>
        </w:rPr>
        <w:t xml:space="preserve">。采用 </w:t>
      </w:r>
      <w:r>
        <w:rPr>
          <w:rFonts w:ascii="Times New Roman" w:eastAsia="Times New Roman"/>
        </w:rPr>
        <w:t xml:space="preserve">Aermap </w:t>
      </w:r>
      <w:r>
        <w:t>运行计算得出评价范围内各网格及敏感点的地形数据。本项目区域地形为复杂地形。</w:t>
      </w:r>
    </w:p>
    <w:p w14:paraId="32DA2DEC">
      <w:pPr>
        <w:pStyle w:val="10"/>
      </w:pPr>
    </w:p>
    <w:p w14:paraId="62884345">
      <w:pPr>
        <w:pStyle w:val="10"/>
      </w:pPr>
    </w:p>
    <w:p w14:paraId="35ED05A7">
      <w:pPr>
        <w:pStyle w:val="10"/>
      </w:pPr>
    </w:p>
    <w:p w14:paraId="7BEE9799">
      <w:pPr>
        <w:pStyle w:val="10"/>
      </w:pPr>
    </w:p>
    <w:p w14:paraId="0203AED2">
      <w:pPr>
        <w:pStyle w:val="10"/>
      </w:pPr>
    </w:p>
    <w:p w14:paraId="7FABE603">
      <w:pPr>
        <w:pStyle w:val="10"/>
      </w:pPr>
    </w:p>
    <w:p w14:paraId="54C4F805">
      <w:pPr>
        <w:pStyle w:val="10"/>
      </w:pPr>
    </w:p>
    <w:p w14:paraId="2D062C20">
      <w:pPr>
        <w:pStyle w:val="10"/>
      </w:pPr>
    </w:p>
    <w:p w14:paraId="14868E02">
      <w:pPr>
        <w:pStyle w:val="10"/>
      </w:pPr>
    </w:p>
    <w:p w14:paraId="0D261AAC">
      <w:pPr>
        <w:pStyle w:val="10"/>
      </w:pPr>
    </w:p>
    <w:p w14:paraId="31420E4F">
      <w:pPr>
        <w:pStyle w:val="10"/>
      </w:pPr>
    </w:p>
    <w:p w14:paraId="075AF1EB">
      <w:pPr>
        <w:pStyle w:val="10"/>
      </w:pPr>
    </w:p>
    <w:p w14:paraId="7722F52C">
      <w:pPr>
        <w:pStyle w:val="10"/>
      </w:pPr>
    </w:p>
    <w:p w14:paraId="201313E9">
      <w:pPr>
        <w:pStyle w:val="10"/>
      </w:pPr>
    </w:p>
    <w:p w14:paraId="6852F091">
      <w:pPr>
        <w:pStyle w:val="10"/>
      </w:pPr>
    </w:p>
    <w:p w14:paraId="5AD09D5C">
      <w:pPr>
        <w:pStyle w:val="10"/>
      </w:pPr>
    </w:p>
    <w:p w14:paraId="7AC20542">
      <w:pPr>
        <w:pStyle w:val="10"/>
        <w:spacing w:before="11"/>
        <w:rPr>
          <w:sz w:val="32"/>
        </w:rPr>
      </w:pPr>
    </w:p>
    <w:p w14:paraId="0833DDB6">
      <w:pPr>
        <w:pStyle w:val="9"/>
        <w:spacing w:before="1"/>
        <w:ind w:left="2222"/>
      </w:pPr>
      <w:r>
        <w:t xml:space="preserve">图 </w:t>
      </w:r>
      <w:r>
        <w:rPr>
          <w:rFonts w:ascii="Times New Roman" w:hAnsi="Times New Roman" w:eastAsia="Times New Roman"/>
        </w:rPr>
        <w:t xml:space="preserve">4.1-6 </w:t>
      </w:r>
      <w:r>
        <w:t>项目区（</w:t>
      </w:r>
      <w:r>
        <w:rPr>
          <w:rFonts w:ascii="Times New Roman" w:hAnsi="Times New Roman" w:eastAsia="Times New Roman"/>
        </w:rPr>
        <w:t>50×50km</w:t>
      </w:r>
      <w:r>
        <w:t>）地形高程示意图</w:t>
      </w:r>
    </w:p>
    <w:p w14:paraId="748A1B84">
      <w:pPr>
        <w:pStyle w:val="10"/>
        <w:spacing w:before="160"/>
        <w:ind w:left="900"/>
      </w:pPr>
      <w:r>
        <w:rPr>
          <w:rFonts w:ascii="Times New Roman" w:eastAsia="Times New Roman"/>
        </w:rPr>
        <w:t>4</w:t>
      </w:r>
      <w:r>
        <w:t>、地表特征参数</w:t>
      </w:r>
    </w:p>
    <w:p w14:paraId="178AB34B">
      <w:pPr>
        <w:pStyle w:val="10"/>
        <w:spacing w:before="161"/>
        <w:ind w:left="900"/>
      </w:pPr>
      <w:r>
        <w:t xml:space="preserve">根据评价区域内地形及植被类型，本项目分为 </w:t>
      </w:r>
      <w:r>
        <w:rPr>
          <w:rFonts w:ascii="Times New Roman" w:hAnsi="Times New Roman" w:eastAsia="Times New Roman"/>
        </w:rPr>
        <w:t xml:space="preserve">2 </w:t>
      </w:r>
      <w:r>
        <w:t>个扇区，</w:t>
      </w:r>
      <w:r>
        <w:rPr>
          <w:rFonts w:ascii="Times New Roman" w:hAnsi="Times New Roman" w:eastAsia="Times New Roman"/>
        </w:rPr>
        <w:t>45</w:t>
      </w:r>
      <w:r>
        <w:t>°</w:t>
      </w:r>
      <w:r>
        <w:rPr>
          <w:rFonts w:ascii="Times New Roman" w:hAnsi="Times New Roman" w:eastAsia="Times New Roman"/>
        </w:rPr>
        <w:t>~180</w:t>
      </w:r>
      <w:r>
        <w:t>°为</w:t>
      </w:r>
    </w:p>
    <w:p w14:paraId="0D3E0CE1">
      <w:pPr>
        <w:pStyle w:val="10"/>
        <w:spacing w:before="160" w:line="364" w:lineRule="auto"/>
        <w:ind w:left="420" w:right="381"/>
        <w:jc w:val="both"/>
      </w:pPr>
      <w:r>
        <w:rPr>
          <w:rFonts w:ascii="Times New Roman" w:hAnsi="Times New Roman" w:eastAsia="Times New Roman"/>
        </w:rPr>
        <w:t xml:space="preserve">AERMET </w:t>
      </w:r>
      <w:r>
        <w:t>通用地表类型为农作地，</w:t>
      </w:r>
      <w:r>
        <w:rPr>
          <w:rFonts w:ascii="Times New Roman" w:hAnsi="Times New Roman" w:eastAsia="Times New Roman"/>
        </w:rPr>
        <w:t>180</w:t>
      </w:r>
      <w:r>
        <w:t>°</w:t>
      </w:r>
      <w:r>
        <w:rPr>
          <w:rFonts w:ascii="Times New Roman" w:hAnsi="Times New Roman" w:eastAsia="Times New Roman"/>
        </w:rPr>
        <w:t>~45</w:t>
      </w:r>
      <w:r>
        <w:t>°</w:t>
      </w:r>
      <w:r>
        <w:rPr>
          <w:rFonts w:ascii="Times New Roman" w:hAnsi="Times New Roman" w:eastAsia="Times New Roman"/>
        </w:rPr>
        <w:t xml:space="preserve">AERMET </w:t>
      </w:r>
      <w:r>
        <w:t>通用地表类型为城市， 地面时间周期按月取值，</w:t>
      </w:r>
      <w:r>
        <w:rPr>
          <w:rFonts w:ascii="Times New Roman" w:hAnsi="Times New Roman" w:eastAsia="Times New Roman"/>
        </w:rPr>
        <w:t xml:space="preserve">AERMET </w:t>
      </w:r>
      <w:r>
        <w:t>通用地表湿度条件为潮湿气候，项目预测气象地面特征参数见下表。</w:t>
      </w:r>
    </w:p>
    <w:p w14:paraId="1CD1D092">
      <w:pPr>
        <w:pStyle w:val="9"/>
        <w:spacing w:before="0" w:after="3" w:line="231" w:lineRule="exact"/>
        <w:ind w:left="3190" w:right="3190"/>
        <w:jc w:val="center"/>
      </w:pPr>
      <w:r>
        <w:t xml:space="preserve">表 </w:t>
      </w:r>
      <w:r>
        <w:rPr>
          <w:rFonts w:ascii="Times New Roman" w:eastAsia="Times New Roman"/>
        </w:rPr>
        <w:t xml:space="preserve">4.1-13 </w:t>
      </w:r>
      <w:r>
        <w:t>地面特征参数表</w:t>
      </w:r>
    </w:p>
    <w:tbl>
      <w:tblPr>
        <w:tblStyle w:val="13"/>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2"/>
        <w:gridCol w:w="1073"/>
        <w:gridCol w:w="1096"/>
        <w:gridCol w:w="1073"/>
        <w:gridCol w:w="853"/>
        <w:gridCol w:w="1285"/>
        <w:gridCol w:w="1036"/>
        <w:gridCol w:w="1034"/>
      </w:tblGrid>
      <w:tr w14:paraId="6FE5FA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72" w:type="dxa"/>
            <w:tcBorders>
              <w:left w:val="nil"/>
              <w:bottom w:val="single" w:color="000000" w:sz="4" w:space="0"/>
              <w:right w:val="single" w:color="000000" w:sz="4" w:space="0"/>
            </w:tcBorders>
          </w:tcPr>
          <w:p w14:paraId="25632DD9">
            <w:pPr>
              <w:pStyle w:val="17"/>
              <w:spacing w:before="21"/>
              <w:ind w:left="340"/>
              <w:jc w:val="left"/>
              <w:rPr>
                <w:sz w:val="21"/>
              </w:rPr>
            </w:pPr>
            <w:r>
              <w:rPr>
                <w:sz w:val="21"/>
              </w:rPr>
              <w:t>序号</w:t>
            </w:r>
          </w:p>
        </w:tc>
        <w:tc>
          <w:tcPr>
            <w:tcW w:w="1073" w:type="dxa"/>
            <w:tcBorders>
              <w:left w:val="single" w:color="000000" w:sz="4" w:space="0"/>
              <w:bottom w:val="single" w:color="000000" w:sz="4" w:space="0"/>
              <w:right w:val="single" w:color="000000" w:sz="4" w:space="0"/>
            </w:tcBorders>
          </w:tcPr>
          <w:p w14:paraId="3115DB7F">
            <w:pPr>
              <w:pStyle w:val="17"/>
              <w:spacing w:before="21"/>
              <w:ind w:left="125"/>
              <w:jc w:val="left"/>
              <w:rPr>
                <w:sz w:val="21"/>
              </w:rPr>
            </w:pPr>
            <w:r>
              <w:rPr>
                <w:sz w:val="21"/>
              </w:rPr>
              <w:t>开始角度</w:t>
            </w:r>
          </w:p>
        </w:tc>
        <w:tc>
          <w:tcPr>
            <w:tcW w:w="1096" w:type="dxa"/>
            <w:tcBorders>
              <w:left w:val="single" w:color="000000" w:sz="4" w:space="0"/>
              <w:bottom w:val="single" w:color="000000" w:sz="4" w:space="0"/>
              <w:right w:val="single" w:color="000000" w:sz="4" w:space="0"/>
            </w:tcBorders>
          </w:tcPr>
          <w:p w14:paraId="6B62EE99">
            <w:pPr>
              <w:pStyle w:val="17"/>
              <w:spacing w:before="21"/>
              <w:ind w:left="137"/>
              <w:jc w:val="left"/>
              <w:rPr>
                <w:sz w:val="21"/>
              </w:rPr>
            </w:pPr>
            <w:r>
              <w:rPr>
                <w:sz w:val="21"/>
              </w:rPr>
              <w:t>结束角度</w:t>
            </w:r>
          </w:p>
        </w:tc>
        <w:tc>
          <w:tcPr>
            <w:tcW w:w="1073" w:type="dxa"/>
            <w:tcBorders>
              <w:left w:val="single" w:color="000000" w:sz="4" w:space="0"/>
              <w:bottom w:val="single" w:color="000000" w:sz="4" w:space="0"/>
              <w:right w:val="single" w:color="000000" w:sz="4" w:space="0"/>
            </w:tcBorders>
          </w:tcPr>
          <w:p w14:paraId="737019C8">
            <w:pPr>
              <w:pStyle w:val="17"/>
              <w:spacing w:before="21"/>
              <w:ind w:left="126"/>
              <w:jc w:val="left"/>
              <w:rPr>
                <w:sz w:val="21"/>
              </w:rPr>
            </w:pPr>
            <w:r>
              <w:rPr>
                <w:sz w:val="21"/>
              </w:rPr>
              <w:t>土地类型</w:t>
            </w:r>
          </w:p>
        </w:tc>
        <w:tc>
          <w:tcPr>
            <w:tcW w:w="853" w:type="dxa"/>
            <w:tcBorders>
              <w:left w:val="single" w:color="000000" w:sz="4" w:space="0"/>
              <w:bottom w:val="single" w:color="000000" w:sz="4" w:space="0"/>
              <w:right w:val="single" w:color="000000" w:sz="4" w:space="0"/>
            </w:tcBorders>
          </w:tcPr>
          <w:p w14:paraId="4CC1B264">
            <w:pPr>
              <w:pStyle w:val="17"/>
              <w:spacing w:before="21"/>
              <w:ind w:left="96" w:right="73"/>
              <w:rPr>
                <w:sz w:val="21"/>
              </w:rPr>
            </w:pPr>
            <w:r>
              <w:rPr>
                <w:sz w:val="21"/>
              </w:rPr>
              <w:t>时段</w:t>
            </w:r>
          </w:p>
        </w:tc>
        <w:tc>
          <w:tcPr>
            <w:tcW w:w="1285" w:type="dxa"/>
            <w:tcBorders>
              <w:left w:val="single" w:color="000000" w:sz="4" w:space="0"/>
              <w:bottom w:val="single" w:color="000000" w:sz="4" w:space="0"/>
              <w:right w:val="single" w:color="000000" w:sz="4" w:space="0"/>
            </w:tcBorders>
          </w:tcPr>
          <w:p w14:paraId="43CC8B19">
            <w:pPr>
              <w:pStyle w:val="17"/>
              <w:spacing w:before="21"/>
              <w:ind w:left="106" w:right="78"/>
              <w:rPr>
                <w:sz w:val="21"/>
              </w:rPr>
            </w:pPr>
            <w:r>
              <w:rPr>
                <w:sz w:val="21"/>
              </w:rPr>
              <w:t>正午反照率</w:t>
            </w:r>
          </w:p>
        </w:tc>
        <w:tc>
          <w:tcPr>
            <w:tcW w:w="1036" w:type="dxa"/>
            <w:tcBorders>
              <w:left w:val="single" w:color="000000" w:sz="4" w:space="0"/>
              <w:bottom w:val="single" w:color="000000" w:sz="4" w:space="0"/>
              <w:right w:val="single" w:color="000000" w:sz="4" w:space="0"/>
            </w:tcBorders>
          </w:tcPr>
          <w:p w14:paraId="2E598B87">
            <w:pPr>
              <w:pStyle w:val="17"/>
              <w:spacing w:before="35"/>
              <w:ind w:left="121" w:right="94"/>
              <w:rPr>
                <w:rFonts w:ascii="Times New Roman"/>
                <w:sz w:val="21"/>
              </w:rPr>
            </w:pPr>
            <w:r>
              <w:rPr>
                <w:rFonts w:ascii="Times New Roman"/>
                <w:sz w:val="21"/>
              </w:rPr>
              <w:t>BOWEN</w:t>
            </w:r>
          </w:p>
        </w:tc>
        <w:tc>
          <w:tcPr>
            <w:tcW w:w="1034" w:type="dxa"/>
            <w:tcBorders>
              <w:left w:val="single" w:color="000000" w:sz="4" w:space="0"/>
              <w:bottom w:val="single" w:color="000000" w:sz="4" w:space="0"/>
              <w:right w:val="nil"/>
            </w:tcBorders>
          </w:tcPr>
          <w:p w14:paraId="3BAAA03A">
            <w:pPr>
              <w:pStyle w:val="17"/>
              <w:spacing w:before="21"/>
              <w:ind w:left="190" w:right="169"/>
              <w:rPr>
                <w:sz w:val="21"/>
              </w:rPr>
            </w:pPr>
            <w:r>
              <w:rPr>
                <w:sz w:val="21"/>
              </w:rPr>
              <w:t>粗糙度</w:t>
            </w:r>
          </w:p>
        </w:tc>
      </w:tr>
      <w:tr w14:paraId="7D401C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1072" w:type="dxa"/>
            <w:vMerge w:val="restart"/>
            <w:tcBorders>
              <w:top w:val="single" w:color="000000" w:sz="4" w:space="0"/>
              <w:left w:val="nil"/>
              <w:right w:val="single" w:color="000000" w:sz="4" w:space="0"/>
            </w:tcBorders>
          </w:tcPr>
          <w:p w14:paraId="7E7C846D">
            <w:pPr>
              <w:pStyle w:val="17"/>
              <w:jc w:val="left"/>
              <w:rPr>
                <w:b/>
                <w:sz w:val="22"/>
              </w:rPr>
            </w:pPr>
          </w:p>
          <w:p w14:paraId="4F3405AF">
            <w:pPr>
              <w:pStyle w:val="17"/>
              <w:jc w:val="left"/>
              <w:rPr>
                <w:b/>
                <w:sz w:val="22"/>
              </w:rPr>
            </w:pPr>
          </w:p>
          <w:p w14:paraId="72893BA7">
            <w:pPr>
              <w:pStyle w:val="17"/>
              <w:jc w:val="left"/>
              <w:rPr>
                <w:b/>
                <w:sz w:val="22"/>
              </w:rPr>
            </w:pPr>
          </w:p>
          <w:p w14:paraId="293C51C5">
            <w:pPr>
              <w:pStyle w:val="17"/>
              <w:jc w:val="left"/>
              <w:rPr>
                <w:b/>
                <w:sz w:val="22"/>
              </w:rPr>
            </w:pPr>
          </w:p>
          <w:p w14:paraId="48A2235A">
            <w:pPr>
              <w:pStyle w:val="17"/>
              <w:jc w:val="left"/>
              <w:rPr>
                <w:b/>
                <w:sz w:val="22"/>
              </w:rPr>
            </w:pPr>
          </w:p>
          <w:p w14:paraId="6A6AECE6">
            <w:pPr>
              <w:pStyle w:val="17"/>
              <w:spacing w:before="5"/>
              <w:jc w:val="left"/>
              <w:rPr>
                <w:b/>
                <w:sz w:val="18"/>
              </w:rPr>
            </w:pPr>
          </w:p>
          <w:p w14:paraId="5CC5DC0B">
            <w:pPr>
              <w:pStyle w:val="17"/>
              <w:ind w:left="31"/>
              <w:rPr>
                <w:rFonts w:ascii="Times New Roman"/>
                <w:sz w:val="21"/>
              </w:rPr>
            </w:pPr>
            <w:r>
              <w:rPr>
                <w:rFonts w:ascii="Times New Roman"/>
                <w:w w:val="99"/>
                <w:sz w:val="21"/>
              </w:rPr>
              <w:t>1</w:t>
            </w:r>
          </w:p>
        </w:tc>
        <w:tc>
          <w:tcPr>
            <w:tcW w:w="1073" w:type="dxa"/>
            <w:vMerge w:val="restart"/>
            <w:tcBorders>
              <w:top w:val="single" w:color="000000" w:sz="4" w:space="0"/>
              <w:left w:val="single" w:color="000000" w:sz="4" w:space="0"/>
              <w:right w:val="single" w:color="000000" w:sz="4" w:space="0"/>
            </w:tcBorders>
          </w:tcPr>
          <w:p w14:paraId="566F207F">
            <w:pPr>
              <w:pStyle w:val="17"/>
              <w:jc w:val="left"/>
              <w:rPr>
                <w:b/>
                <w:sz w:val="22"/>
              </w:rPr>
            </w:pPr>
          </w:p>
          <w:p w14:paraId="549EECD0">
            <w:pPr>
              <w:pStyle w:val="17"/>
              <w:jc w:val="left"/>
              <w:rPr>
                <w:b/>
                <w:sz w:val="22"/>
              </w:rPr>
            </w:pPr>
          </w:p>
          <w:p w14:paraId="3D263ADD">
            <w:pPr>
              <w:pStyle w:val="17"/>
              <w:jc w:val="left"/>
              <w:rPr>
                <w:b/>
                <w:sz w:val="22"/>
              </w:rPr>
            </w:pPr>
          </w:p>
          <w:p w14:paraId="6FFF22FE">
            <w:pPr>
              <w:pStyle w:val="17"/>
              <w:jc w:val="left"/>
              <w:rPr>
                <w:b/>
                <w:sz w:val="22"/>
              </w:rPr>
            </w:pPr>
          </w:p>
          <w:p w14:paraId="40B9AC7A">
            <w:pPr>
              <w:pStyle w:val="17"/>
              <w:jc w:val="left"/>
              <w:rPr>
                <w:b/>
                <w:sz w:val="22"/>
              </w:rPr>
            </w:pPr>
          </w:p>
          <w:p w14:paraId="5D63B704">
            <w:pPr>
              <w:pStyle w:val="17"/>
              <w:spacing w:before="5"/>
              <w:jc w:val="left"/>
              <w:rPr>
                <w:b/>
                <w:sz w:val="18"/>
              </w:rPr>
            </w:pPr>
          </w:p>
          <w:p w14:paraId="772C8A1A">
            <w:pPr>
              <w:pStyle w:val="17"/>
              <w:ind w:left="104" w:right="78"/>
              <w:rPr>
                <w:rFonts w:ascii="Times New Roman"/>
                <w:sz w:val="21"/>
              </w:rPr>
            </w:pPr>
            <w:r>
              <w:rPr>
                <w:rFonts w:ascii="Times New Roman"/>
                <w:sz w:val="21"/>
              </w:rPr>
              <w:t>45</w:t>
            </w:r>
          </w:p>
        </w:tc>
        <w:tc>
          <w:tcPr>
            <w:tcW w:w="1096" w:type="dxa"/>
            <w:vMerge w:val="restart"/>
            <w:tcBorders>
              <w:top w:val="single" w:color="000000" w:sz="4" w:space="0"/>
              <w:left w:val="single" w:color="000000" w:sz="4" w:space="0"/>
              <w:right w:val="single" w:color="000000" w:sz="4" w:space="0"/>
            </w:tcBorders>
          </w:tcPr>
          <w:p w14:paraId="77CB46BD">
            <w:pPr>
              <w:pStyle w:val="17"/>
              <w:jc w:val="left"/>
              <w:rPr>
                <w:b/>
                <w:sz w:val="22"/>
              </w:rPr>
            </w:pPr>
          </w:p>
          <w:p w14:paraId="101EA4D6">
            <w:pPr>
              <w:pStyle w:val="17"/>
              <w:jc w:val="left"/>
              <w:rPr>
                <w:b/>
                <w:sz w:val="22"/>
              </w:rPr>
            </w:pPr>
          </w:p>
          <w:p w14:paraId="463D8F3A">
            <w:pPr>
              <w:pStyle w:val="17"/>
              <w:jc w:val="left"/>
              <w:rPr>
                <w:b/>
                <w:sz w:val="22"/>
              </w:rPr>
            </w:pPr>
          </w:p>
          <w:p w14:paraId="19DA6F64">
            <w:pPr>
              <w:pStyle w:val="17"/>
              <w:jc w:val="left"/>
              <w:rPr>
                <w:b/>
                <w:sz w:val="22"/>
              </w:rPr>
            </w:pPr>
          </w:p>
          <w:p w14:paraId="746E55D4">
            <w:pPr>
              <w:pStyle w:val="17"/>
              <w:jc w:val="left"/>
              <w:rPr>
                <w:b/>
                <w:sz w:val="22"/>
              </w:rPr>
            </w:pPr>
          </w:p>
          <w:p w14:paraId="640D5DB1">
            <w:pPr>
              <w:pStyle w:val="17"/>
              <w:spacing w:before="5"/>
              <w:jc w:val="left"/>
              <w:rPr>
                <w:b/>
                <w:sz w:val="18"/>
              </w:rPr>
            </w:pPr>
          </w:p>
          <w:p w14:paraId="3183EFA5">
            <w:pPr>
              <w:pStyle w:val="17"/>
              <w:ind w:left="379" w:right="352"/>
              <w:rPr>
                <w:rFonts w:ascii="Times New Roman"/>
                <w:sz w:val="21"/>
              </w:rPr>
            </w:pPr>
            <w:r>
              <w:rPr>
                <w:rFonts w:ascii="Times New Roman"/>
                <w:sz w:val="21"/>
              </w:rPr>
              <w:t>180</w:t>
            </w:r>
          </w:p>
        </w:tc>
        <w:tc>
          <w:tcPr>
            <w:tcW w:w="1073" w:type="dxa"/>
            <w:vMerge w:val="restart"/>
            <w:tcBorders>
              <w:top w:val="single" w:color="000000" w:sz="4" w:space="0"/>
              <w:left w:val="single" w:color="000000" w:sz="4" w:space="0"/>
              <w:right w:val="single" w:color="000000" w:sz="4" w:space="0"/>
            </w:tcBorders>
          </w:tcPr>
          <w:p w14:paraId="07053A82">
            <w:pPr>
              <w:pStyle w:val="17"/>
              <w:jc w:val="left"/>
              <w:rPr>
                <w:b/>
                <w:sz w:val="20"/>
              </w:rPr>
            </w:pPr>
          </w:p>
          <w:p w14:paraId="3CE01D84">
            <w:pPr>
              <w:pStyle w:val="17"/>
              <w:jc w:val="left"/>
              <w:rPr>
                <w:b/>
                <w:sz w:val="20"/>
              </w:rPr>
            </w:pPr>
          </w:p>
          <w:p w14:paraId="3C22AE58">
            <w:pPr>
              <w:pStyle w:val="17"/>
              <w:jc w:val="left"/>
              <w:rPr>
                <w:b/>
                <w:sz w:val="20"/>
              </w:rPr>
            </w:pPr>
          </w:p>
          <w:p w14:paraId="2C78BF62">
            <w:pPr>
              <w:pStyle w:val="17"/>
              <w:jc w:val="left"/>
              <w:rPr>
                <w:b/>
                <w:sz w:val="20"/>
              </w:rPr>
            </w:pPr>
          </w:p>
          <w:p w14:paraId="2078DBEB">
            <w:pPr>
              <w:pStyle w:val="17"/>
              <w:jc w:val="left"/>
              <w:rPr>
                <w:b/>
                <w:sz w:val="20"/>
              </w:rPr>
            </w:pPr>
          </w:p>
          <w:p w14:paraId="0FA113BA">
            <w:pPr>
              <w:pStyle w:val="17"/>
              <w:spacing w:before="4"/>
              <w:jc w:val="left"/>
              <w:rPr>
                <w:b/>
                <w:sz w:val="27"/>
              </w:rPr>
            </w:pPr>
          </w:p>
          <w:p w14:paraId="6A4A7F16">
            <w:pPr>
              <w:pStyle w:val="17"/>
              <w:ind w:left="229"/>
              <w:jc w:val="left"/>
              <w:rPr>
                <w:sz w:val="21"/>
              </w:rPr>
            </w:pPr>
            <w:r>
              <w:rPr>
                <w:sz w:val="21"/>
              </w:rPr>
              <w:t>农作地</w:t>
            </w:r>
          </w:p>
        </w:tc>
        <w:tc>
          <w:tcPr>
            <w:tcW w:w="853" w:type="dxa"/>
            <w:tcBorders>
              <w:top w:val="single" w:color="000000" w:sz="4" w:space="0"/>
              <w:left w:val="single" w:color="000000" w:sz="4" w:space="0"/>
              <w:bottom w:val="single" w:color="000000" w:sz="4" w:space="0"/>
              <w:right w:val="single" w:color="000000" w:sz="4" w:space="0"/>
            </w:tcBorders>
          </w:tcPr>
          <w:p w14:paraId="70D6E1D6">
            <w:pPr>
              <w:pStyle w:val="17"/>
              <w:spacing w:before="21" w:line="261" w:lineRule="exact"/>
              <w:ind w:left="96" w:right="73"/>
              <w:rPr>
                <w:sz w:val="21"/>
              </w:rPr>
            </w:pPr>
            <w:r>
              <w:rPr>
                <w:sz w:val="21"/>
              </w:rPr>
              <w:t>一月</w:t>
            </w:r>
          </w:p>
        </w:tc>
        <w:tc>
          <w:tcPr>
            <w:tcW w:w="1285" w:type="dxa"/>
            <w:tcBorders>
              <w:top w:val="single" w:color="000000" w:sz="4" w:space="0"/>
              <w:left w:val="single" w:color="000000" w:sz="4" w:space="0"/>
              <w:bottom w:val="single" w:color="000000" w:sz="4" w:space="0"/>
              <w:right w:val="single" w:color="000000" w:sz="4" w:space="0"/>
            </w:tcBorders>
          </w:tcPr>
          <w:p w14:paraId="6EEAE500">
            <w:pPr>
              <w:pStyle w:val="17"/>
              <w:spacing w:before="35"/>
              <w:ind w:left="106" w:right="77"/>
              <w:rPr>
                <w:rFonts w:ascii="Times New Roman"/>
                <w:sz w:val="21"/>
              </w:rPr>
            </w:pPr>
            <w:r>
              <w:rPr>
                <w:rFonts w:ascii="Times New Roman"/>
                <w:sz w:val="21"/>
              </w:rPr>
              <w:t>0.6</w:t>
            </w:r>
          </w:p>
        </w:tc>
        <w:tc>
          <w:tcPr>
            <w:tcW w:w="1036" w:type="dxa"/>
            <w:tcBorders>
              <w:top w:val="single" w:color="000000" w:sz="4" w:space="0"/>
              <w:left w:val="single" w:color="000000" w:sz="4" w:space="0"/>
              <w:bottom w:val="single" w:color="000000" w:sz="4" w:space="0"/>
              <w:right w:val="single" w:color="000000" w:sz="4" w:space="0"/>
            </w:tcBorders>
          </w:tcPr>
          <w:p w14:paraId="45234339">
            <w:pPr>
              <w:pStyle w:val="17"/>
              <w:spacing w:before="3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1BB8DD4A">
            <w:pPr>
              <w:pStyle w:val="17"/>
              <w:spacing w:before="35"/>
              <w:ind w:left="190" w:right="165"/>
              <w:rPr>
                <w:rFonts w:ascii="Times New Roman"/>
                <w:sz w:val="21"/>
              </w:rPr>
            </w:pPr>
            <w:r>
              <w:rPr>
                <w:rFonts w:ascii="Times New Roman"/>
                <w:sz w:val="21"/>
              </w:rPr>
              <w:t>0.01</w:t>
            </w:r>
          </w:p>
        </w:tc>
      </w:tr>
      <w:tr w14:paraId="3058A1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56D0543">
            <w:pPr>
              <w:rPr>
                <w:sz w:val="2"/>
                <w:szCs w:val="2"/>
              </w:rPr>
            </w:pPr>
          </w:p>
        </w:tc>
        <w:tc>
          <w:tcPr>
            <w:tcW w:w="1073" w:type="dxa"/>
            <w:vMerge w:val="continue"/>
            <w:tcBorders>
              <w:top w:val="nil"/>
              <w:left w:val="single" w:color="000000" w:sz="4" w:space="0"/>
              <w:right w:val="single" w:color="000000" w:sz="4" w:space="0"/>
            </w:tcBorders>
          </w:tcPr>
          <w:p w14:paraId="4660464C">
            <w:pPr>
              <w:rPr>
                <w:sz w:val="2"/>
                <w:szCs w:val="2"/>
              </w:rPr>
            </w:pPr>
          </w:p>
        </w:tc>
        <w:tc>
          <w:tcPr>
            <w:tcW w:w="1096" w:type="dxa"/>
            <w:vMerge w:val="continue"/>
            <w:tcBorders>
              <w:top w:val="nil"/>
              <w:left w:val="single" w:color="000000" w:sz="4" w:space="0"/>
              <w:right w:val="single" w:color="000000" w:sz="4" w:space="0"/>
            </w:tcBorders>
          </w:tcPr>
          <w:p w14:paraId="484A0B08">
            <w:pPr>
              <w:rPr>
                <w:sz w:val="2"/>
                <w:szCs w:val="2"/>
              </w:rPr>
            </w:pPr>
          </w:p>
        </w:tc>
        <w:tc>
          <w:tcPr>
            <w:tcW w:w="1073" w:type="dxa"/>
            <w:vMerge w:val="continue"/>
            <w:tcBorders>
              <w:top w:val="nil"/>
              <w:left w:val="single" w:color="000000" w:sz="4" w:space="0"/>
              <w:right w:val="single" w:color="000000" w:sz="4" w:space="0"/>
            </w:tcBorders>
          </w:tcPr>
          <w:p w14:paraId="4EF7FCB7">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4910888C">
            <w:pPr>
              <w:pStyle w:val="17"/>
              <w:spacing w:before="10" w:line="261" w:lineRule="exact"/>
              <w:ind w:left="96" w:right="73"/>
              <w:rPr>
                <w:sz w:val="21"/>
              </w:rPr>
            </w:pPr>
            <w:r>
              <w:rPr>
                <w:sz w:val="21"/>
              </w:rPr>
              <w:t>二月</w:t>
            </w:r>
          </w:p>
        </w:tc>
        <w:tc>
          <w:tcPr>
            <w:tcW w:w="1285" w:type="dxa"/>
            <w:tcBorders>
              <w:top w:val="single" w:color="000000" w:sz="4" w:space="0"/>
              <w:left w:val="single" w:color="000000" w:sz="4" w:space="0"/>
              <w:bottom w:val="single" w:color="000000" w:sz="4" w:space="0"/>
              <w:right w:val="single" w:color="000000" w:sz="4" w:space="0"/>
            </w:tcBorders>
          </w:tcPr>
          <w:p w14:paraId="27BBAA62">
            <w:pPr>
              <w:pStyle w:val="17"/>
              <w:spacing w:before="24"/>
              <w:ind w:left="106" w:right="77"/>
              <w:rPr>
                <w:rFonts w:ascii="Times New Roman"/>
                <w:sz w:val="21"/>
              </w:rPr>
            </w:pPr>
            <w:r>
              <w:rPr>
                <w:rFonts w:ascii="Times New Roman"/>
                <w:sz w:val="21"/>
              </w:rPr>
              <w:t>0.6</w:t>
            </w:r>
          </w:p>
        </w:tc>
        <w:tc>
          <w:tcPr>
            <w:tcW w:w="1036" w:type="dxa"/>
            <w:tcBorders>
              <w:top w:val="single" w:color="000000" w:sz="4" w:space="0"/>
              <w:left w:val="single" w:color="000000" w:sz="4" w:space="0"/>
              <w:bottom w:val="single" w:color="000000" w:sz="4" w:space="0"/>
              <w:right w:val="single" w:color="000000" w:sz="4" w:space="0"/>
            </w:tcBorders>
          </w:tcPr>
          <w:p w14:paraId="20364671">
            <w:pPr>
              <w:pStyle w:val="17"/>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50940DF3">
            <w:pPr>
              <w:pStyle w:val="17"/>
              <w:spacing w:before="24"/>
              <w:ind w:left="190" w:right="165"/>
              <w:rPr>
                <w:rFonts w:ascii="Times New Roman"/>
                <w:sz w:val="21"/>
              </w:rPr>
            </w:pPr>
            <w:r>
              <w:rPr>
                <w:rFonts w:ascii="Times New Roman"/>
                <w:sz w:val="21"/>
              </w:rPr>
              <w:t>0.01</w:t>
            </w:r>
          </w:p>
        </w:tc>
      </w:tr>
      <w:tr w14:paraId="60AA92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59239D68">
            <w:pPr>
              <w:rPr>
                <w:sz w:val="2"/>
                <w:szCs w:val="2"/>
              </w:rPr>
            </w:pPr>
          </w:p>
        </w:tc>
        <w:tc>
          <w:tcPr>
            <w:tcW w:w="1073" w:type="dxa"/>
            <w:vMerge w:val="continue"/>
            <w:tcBorders>
              <w:top w:val="nil"/>
              <w:left w:val="single" w:color="000000" w:sz="4" w:space="0"/>
              <w:right w:val="single" w:color="000000" w:sz="4" w:space="0"/>
            </w:tcBorders>
          </w:tcPr>
          <w:p w14:paraId="096152C6">
            <w:pPr>
              <w:rPr>
                <w:sz w:val="2"/>
                <w:szCs w:val="2"/>
              </w:rPr>
            </w:pPr>
          </w:p>
        </w:tc>
        <w:tc>
          <w:tcPr>
            <w:tcW w:w="1096" w:type="dxa"/>
            <w:vMerge w:val="continue"/>
            <w:tcBorders>
              <w:top w:val="nil"/>
              <w:left w:val="single" w:color="000000" w:sz="4" w:space="0"/>
              <w:right w:val="single" w:color="000000" w:sz="4" w:space="0"/>
            </w:tcBorders>
          </w:tcPr>
          <w:p w14:paraId="2E6718BB">
            <w:pPr>
              <w:rPr>
                <w:sz w:val="2"/>
                <w:szCs w:val="2"/>
              </w:rPr>
            </w:pPr>
          </w:p>
        </w:tc>
        <w:tc>
          <w:tcPr>
            <w:tcW w:w="1073" w:type="dxa"/>
            <w:vMerge w:val="continue"/>
            <w:tcBorders>
              <w:top w:val="nil"/>
              <w:left w:val="single" w:color="000000" w:sz="4" w:space="0"/>
              <w:right w:val="single" w:color="000000" w:sz="4" w:space="0"/>
            </w:tcBorders>
          </w:tcPr>
          <w:p w14:paraId="384EE78F">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125434A8">
            <w:pPr>
              <w:pStyle w:val="17"/>
              <w:spacing w:before="10" w:line="262" w:lineRule="exact"/>
              <w:ind w:left="96" w:right="73"/>
              <w:rPr>
                <w:sz w:val="21"/>
              </w:rPr>
            </w:pPr>
            <w:r>
              <w:rPr>
                <w:sz w:val="21"/>
              </w:rPr>
              <w:t>三月</w:t>
            </w:r>
          </w:p>
        </w:tc>
        <w:tc>
          <w:tcPr>
            <w:tcW w:w="1285" w:type="dxa"/>
            <w:tcBorders>
              <w:top w:val="single" w:color="000000" w:sz="4" w:space="0"/>
              <w:left w:val="single" w:color="000000" w:sz="4" w:space="0"/>
              <w:bottom w:val="single" w:color="000000" w:sz="4" w:space="0"/>
              <w:right w:val="single" w:color="000000" w:sz="4" w:space="0"/>
            </w:tcBorders>
          </w:tcPr>
          <w:p w14:paraId="7C68321C">
            <w:pPr>
              <w:pStyle w:val="17"/>
              <w:spacing w:before="24"/>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78A89C91">
            <w:pPr>
              <w:pStyle w:val="17"/>
              <w:spacing w:before="24"/>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7C3E0484">
            <w:pPr>
              <w:pStyle w:val="17"/>
              <w:spacing w:before="24"/>
              <w:ind w:left="190" w:right="165"/>
              <w:rPr>
                <w:rFonts w:ascii="Times New Roman"/>
                <w:sz w:val="21"/>
              </w:rPr>
            </w:pPr>
            <w:r>
              <w:rPr>
                <w:rFonts w:ascii="Times New Roman"/>
                <w:sz w:val="21"/>
              </w:rPr>
              <w:t>0.03</w:t>
            </w:r>
          </w:p>
        </w:tc>
      </w:tr>
      <w:tr w14:paraId="6E8D5D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D53AB98">
            <w:pPr>
              <w:rPr>
                <w:sz w:val="2"/>
                <w:szCs w:val="2"/>
              </w:rPr>
            </w:pPr>
          </w:p>
        </w:tc>
        <w:tc>
          <w:tcPr>
            <w:tcW w:w="1073" w:type="dxa"/>
            <w:vMerge w:val="continue"/>
            <w:tcBorders>
              <w:top w:val="nil"/>
              <w:left w:val="single" w:color="000000" w:sz="4" w:space="0"/>
              <w:right w:val="single" w:color="000000" w:sz="4" w:space="0"/>
            </w:tcBorders>
          </w:tcPr>
          <w:p w14:paraId="0E8344DC">
            <w:pPr>
              <w:rPr>
                <w:sz w:val="2"/>
                <w:szCs w:val="2"/>
              </w:rPr>
            </w:pPr>
          </w:p>
        </w:tc>
        <w:tc>
          <w:tcPr>
            <w:tcW w:w="1096" w:type="dxa"/>
            <w:vMerge w:val="continue"/>
            <w:tcBorders>
              <w:top w:val="nil"/>
              <w:left w:val="single" w:color="000000" w:sz="4" w:space="0"/>
              <w:right w:val="single" w:color="000000" w:sz="4" w:space="0"/>
            </w:tcBorders>
          </w:tcPr>
          <w:p w14:paraId="6F212A5A">
            <w:pPr>
              <w:rPr>
                <w:sz w:val="2"/>
                <w:szCs w:val="2"/>
              </w:rPr>
            </w:pPr>
          </w:p>
        </w:tc>
        <w:tc>
          <w:tcPr>
            <w:tcW w:w="1073" w:type="dxa"/>
            <w:vMerge w:val="continue"/>
            <w:tcBorders>
              <w:top w:val="nil"/>
              <w:left w:val="single" w:color="000000" w:sz="4" w:space="0"/>
              <w:right w:val="single" w:color="000000" w:sz="4" w:space="0"/>
            </w:tcBorders>
          </w:tcPr>
          <w:p w14:paraId="2ACD0F37">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144A303C">
            <w:pPr>
              <w:pStyle w:val="17"/>
              <w:spacing w:before="12" w:line="260" w:lineRule="exact"/>
              <w:ind w:left="96" w:right="73"/>
              <w:rPr>
                <w:sz w:val="21"/>
              </w:rPr>
            </w:pPr>
            <w:r>
              <w:rPr>
                <w:sz w:val="21"/>
              </w:rPr>
              <w:t>四月</w:t>
            </w:r>
          </w:p>
        </w:tc>
        <w:tc>
          <w:tcPr>
            <w:tcW w:w="1285" w:type="dxa"/>
            <w:tcBorders>
              <w:top w:val="single" w:color="000000" w:sz="4" w:space="0"/>
              <w:left w:val="single" w:color="000000" w:sz="4" w:space="0"/>
              <w:bottom w:val="single" w:color="000000" w:sz="4" w:space="0"/>
              <w:right w:val="single" w:color="000000" w:sz="4" w:space="0"/>
            </w:tcBorders>
          </w:tcPr>
          <w:p w14:paraId="60B75BE1">
            <w:pPr>
              <w:pStyle w:val="17"/>
              <w:spacing w:before="26"/>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50C6676E">
            <w:pPr>
              <w:pStyle w:val="17"/>
              <w:spacing w:before="26"/>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443A5A5A">
            <w:pPr>
              <w:pStyle w:val="17"/>
              <w:spacing w:before="26"/>
              <w:ind w:left="190" w:right="165"/>
              <w:rPr>
                <w:rFonts w:ascii="Times New Roman"/>
                <w:sz w:val="21"/>
              </w:rPr>
            </w:pPr>
            <w:r>
              <w:rPr>
                <w:rFonts w:ascii="Times New Roman"/>
                <w:sz w:val="21"/>
              </w:rPr>
              <w:t>0.03</w:t>
            </w:r>
          </w:p>
        </w:tc>
      </w:tr>
      <w:tr w14:paraId="68D059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7CF9D6BA">
            <w:pPr>
              <w:rPr>
                <w:sz w:val="2"/>
                <w:szCs w:val="2"/>
              </w:rPr>
            </w:pPr>
          </w:p>
        </w:tc>
        <w:tc>
          <w:tcPr>
            <w:tcW w:w="1073" w:type="dxa"/>
            <w:vMerge w:val="continue"/>
            <w:tcBorders>
              <w:top w:val="nil"/>
              <w:left w:val="single" w:color="000000" w:sz="4" w:space="0"/>
              <w:right w:val="single" w:color="000000" w:sz="4" w:space="0"/>
            </w:tcBorders>
          </w:tcPr>
          <w:p w14:paraId="748C9B58">
            <w:pPr>
              <w:rPr>
                <w:sz w:val="2"/>
                <w:szCs w:val="2"/>
              </w:rPr>
            </w:pPr>
          </w:p>
        </w:tc>
        <w:tc>
          <w:tcPr>
            <w:tcW w:w="1096" w:type="dxa"/>
            <w:vMerge w:val="continue"/>
            <w:tcBorders>
              <w:top w:val="nil"/>
              <w:left w:val="single" w:color="000000" w:sz="4" w:space="0"/>
              <w:right w:val="single" w:color="000000" w:sz="4" w:space="0"/>
            </w:tcBorders>
          </w:tcPr>
          <w:p w14:paraId="6D837C4B">
            <w:pPr>
              <w:rPr>
                <w:sz w:val="2"/>
                <w:szCs w:val="2"/>
              </w:rPr>
            </w:pPr>
          </w:p>
        </w:tc>
        <w:tc>
          <w:tcPr>
            <w:tcW w:w="1073" w:type="dxa"/>
            <w:vMerge w:val="continue"/>
            <w:tcBorders>
              <w:top w:val="nil"/>
              <w:left w:val="single" w:color="000000" w:sz="4" w:space="0"/>
              <w:right w:val="single" w:color="000000" w:sz="4" w:space="0"/>
            </w:tcBorders>
          </w:tcPr>
          <w:p w14:paraId="6DE70D79">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7A9DAAF1">
            <w:pPr>
              <w:pStyle w:val="17"/>
              <w:spacing w:before="12" w:line="260" w:lineRule="exact"/>
              <w:ind w:left="96" w:right="73"/>
              <w:rPr>
                <w:sz w:val="21"/>
              </w:rPr>
            </w:pPr>
            <w:r>
              <w:rPr>
                <w:sz w:val="21"/>
              </w:rPr>
              <w:t>五月</w:t>
            </w:r>
          </w:p>
        </w:tc>
        <w:tc>
          <w:tcPr>
            <w:tcW w:w="1285" w:type="dxa"/>
            <w:tcBorders>
              <w:top w:val="single" w:color="000000" w:sz="4" w:space="0"/>
              <w:left w:val="single" w:color="000000" w:sz="4" w:space="0"/>
              <w:bottom w:val="single" w:color="000000" w:sz="4" w:space="0"/>
              <w:right w:val="single" w:color="000000" w:sz="4" w:space="0"/>
            </w:tcBorders>
          </w:tcPr>
          <w:p w14:paraId="698FBE9E">
            <w:pPr>
              <w:pStyle w:val="17"/>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46CD5213">
            <w:pPr>
              <w:pStyle w:val="17"/>
              <w:spacing w:before="25"/>
              <w:ind w:left="120" w:right="94"/>
              <w:rPr>
                <w:rFonts w:ascii="Times New Roman"/>
                <w:sz w:val="21"/>
              </w:rPr>
            </w:pPr>
            <w:r>
              <w:rPr>
                <w:rFonts w:ascii="Times New Roman"/>
                <w:sz w:val="21"/>
              </w:rPr>
              <w:t>0.2</w:t>
            </w:r>
          </w:p>
        </w:tc>
        <w:tc>
          <w:tcPr>
            <w:tcW w:w="1034" w:type="dxa"/>
            <w:tcBorders>
              <w:top w:val="single" w:color="000000" w:sz="4" w:space="0"/>
              <w:left w:val="single" w:color="000000" w:sz="4" w:space="0"/>
              <w:bottom w:val="single" w:color="000000" w:sz="4" w:space="0"/>
              <w:right w:val="nil"/>
            </w:tcBorders>
          </w:tcPr>
          <w:p w14:paraId="63F977AC">
            <w:pPr>
              <w:pStyle w:val="17"/>
              <w:spacing w:before="25"/>
              <w:ind w:left="190" w:right="165"/>
              <w:rPr>
                <w:rFonts w:ascii="Times New Roman"/>
                <w:sz w:val="21"/>
              </w:rPr>
            </w:pPr>
            <w:r>
              <w:rPr>
                <w:rFonts w:ascii="Times New Roman"/>
                <w:sz w:val="21"/>
              </w:rPr>
              <w:t>0.03</w:t>
            </w:r>
          </w:p>
        </w:tc>
      </w:tr>
      <w:tr w14:paraId="7477C0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10BCF426">
            <w:pPr>
              <w:rPr>
                <w:sz w:val="2"/>
                <w:szCs w:val="2"/>
              </w:rPr>
            </w:pPr>
          </w:p>
        </w:tc>
        <w:tc>
          <w:tcPr>
            <w:tcW w:w="1073" w:type="dxa"/>
            <w:vMerge w:val="continue"/>
            <w:tcBorders>
              <w:top w:val="nil"/>
              <w:left w:val="single" w:color="000000" w:sz="4" w:space="0"/>
              <w:right w:val="single" w:color="000000" w:sz="4" w:space="0"/>
            </w:tcBorders>
          </w:tcPr>
          <w:p w14:paraId="2C9CC77C">
            <w:pPr>
              <w:rPr>
                <w:sz w:val="2"/>
                <w:szCs w:val="2"/>
              </w:rPr>
            </w:pPr>
          </w:p>
        </w:tc>
        <w:tc>
          <w:tcPr>
            <w:tcW w:w="1096" w:type="dxa"/>
            <w:vMerge w:val="continue"/>
            <w:tcBorders>
              <w:top w:val="nil"/>
              <w:left w:val="single" w:color="000000" w:sz="4" w:space="0"/>
              <w:right w:val="single" w:color="000000" w:sz="4" w:space="0"/>
            </w:tcBorders>
          </w:tcPr>
          <w:p w14:paraId="6F666880">
            <w:pPr>
              <w:rPr>
                <w:sz w:val="2"/>
                <w:szCs w:val="2"/>
              </w:rPr>
            </w:pPr>
          </w:p>
        </w:tc>
        <w:tc>
          <w:tcPr>
            <w:tcW w:w="1073" w:type="dxa"/>
            <w:vMerge w:val="continue"/>
            <w:tcBorders>
              <w:top w:val="nil"/>
              <w:left w:val="single" w:color="000000" w:sz="4" w:space="0"/>
              <w:right w:val="single" w:color="000000" w:sz="4" w:space="0"/>
            </w:tcBorders>
          </w:tcPr>
          <w:p w14:paraId="7CFDFCCB">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5F33DE7">
            <w:pPr>
              <w:pStyle w:val="17"/>
              <w:spacing w:before="11" w:line="261" w:lineRule="exact"/>
              <w:ind w:left="96" w:right="73"/>
              <w:rPr>
                <w:sz w:val="21"/>
              </w:rPr>
            </w:pPr>
            <w:r>
              <w:rPr>
                <w:sz w:val="21"/>
              </w:rPr>
              <w:t>六月</w:t>
            </w:r>
          </w:p>
        </w:tc>
        <w:tc>
          <w:tcPr>
            <w:tcW w:w="1285" w:type="dxa"/>
            <w:tcBorders>
              <w:top w:val="single" w:color="000000" w:sz="4" w:space="0"/>
              <w:left w:val="single" w:color="000000" w:sz="4" w:space="0"/>
              <w:bottom w:val="single" w:color="000000" w:sz="4" w:space="0"/>
              <w:right w:val="single" w:color="000000" w:sz="4" w:space="0"/>
            </w:tcBorders>
          </w:tcPr>
          <w:p w14:paraId="647483C1">
            <w:pPr>
              <w:pStyle w:val="17"/>
              <w:spacing w:before="25"/>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49283924">
            <w:pPr>
              <w:pStyle w:val="17"/>
              <w:spacing w:before="25"/>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7604DFA1">
            <w:pPr>
              <w:pStyle w:val="17"/>
              <w:spacing w:before="25"/>
              <w:ind w:left="189" w:right="169"/>
              <w:rPr>
                <w:rFonts w:ascii="Times New Roman"/>
                <w:sz w:val="21"/>
              </w:rPr>
            </w:pPr>
            <w:r>
              <w:rPr>
                <w:rFonts w:ascii="Times New Roman"/>
                <w:sz w:val="21"/>
              </w:rPr>
              <w:t>0.2</w:t>
            </w:r>
          </w:p>
        </w:tc>
      </w:tr>
      <w:tr w14:paraId="5AA262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69ECA933">
            <w:pPr>
              <w:rPr>
                <w:sz w:val="2"/>
                <w:szCs w:val="2"/>
              </w:rPr>
            </w:pPr>
          </w:p>
        </w:tc>
        <w:tc>
          <w:tcPr>
            <w:tcW w:w="1073" w:type="dxa"/>
            <w:vMerge w:val="continue"/>
            <w:tcBorders>
              <w:top w:val="nil"/>
              <w:left w:val="single" w:color="000000" w:sz="4" w:space="0"/>
              <w:right w:val="single" w:color="000000" w:sz="4" w:space="0"/>
            </w:tcBorders>
          </w:tcPr>
          <w:p w14:paraId="0EA762C9">
            <w:pPr>
              <w:rPr>
                <w:sz w:val="2"/>
                <w:szCs w:val="2"/>
              </w:rPr>
            </w:pPr>
          </w:p>
        </w:tc>
        <w:tc>
          <w:tcPr>
            <w:tcW w:w="1096" w:type="dxa"/>
            <w:vMerge w:val="continue"/>
            <w:tcBorders>
              <w:top w:val="nil"/>
              <w:left w:val="single" w:color="000000" w:sz="4" w:space="0"/>
              <w:right w:val="single" w:color="000000" w:sz="4" w:space="0"/>
            </w:tcBorders>
          </w:tcPr>
          <w:p w14:paraId="1D022B18">
            <w:pPr>
              <w:rPr>
                <w:sz w:val="2"/>
                <w:szCs w:val="2"/>
              </w:rPr>
            </w:pPr>
          </w:p>
        </w:tc>
        <w:tc>
          <w:tcPr>
            <w:tcW w:w="1073" w:type="dxa"/>
            <w:vMerge w:val="continue"/>
            <w:tcBorders>
              <w:top w:val="nil"/>
              <w:left w:val="single" w:color="000000" w:sz="4" w:space="0"/>
              <w:right w:val="single" w:color="000000" w:sz="4" w:space="0"/>
            </w:tcBorders>
          </w:tcPr>
          <w:p w14:paraId="4484C3C2">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79A3F31C">
            <w:pPr>
              <w:pStyle w:val="17"/>
              <w:spacing w:before="11" w:line="261" w:lineRule="exact"/>
              <w:ind w:left="96" w:right="73"/>
              <w:rPr>
                <w:sz w:val="21"/>
              </w:rPr>
            </w:pPr>
            <w:r>
              <w:rPr>
                <w:sz w:val="21"/>
              </w:rPr>
              <w:t>七月</w:t>
            </w:r>
          </w:p>
        </w:tc>
        <w:tc>
          <w:tcPr>
            <w:tcW w:w="1285" w:type="dxa"/>
            <w:tcBorders>
              <w:top w:val="single" w:color="000000" w:sz="4" w:space="0"/>
              <w:left w:val="single" w:color="000000" w:sz="4" w:space="0"/>
              <w:bottom w:val="single" w:color="000000" w:sz="4" w:space="0"/>
              <w:right w:val="single" w:color="000000" w:sz="4" w:space="0"/>
            </w:tcBorders>
          </w:tcPr>
          <w:p w14:paraId="7AB21865">
            <w:pPr>
              <w:pStyle w:val="17"/>
              <w:spacing w:before="25"/>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6708F753">
            <w:pPr>
              <w:pStyle w:val="17"/>
              <w:spacing w:before="25"/>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51E85341">
            <w:pPr>
              <w:pStyle w:val="17"/>
              <w:spacing w:before="25"/>
              <w:ind w:left="189" w:right="169"/>
              <w:rPr>
                <w:rFonts w:ascii="Times New Roman"/>
                <w:sz w:val="21"/>
              </w:rPr>
            </w:pPr>
            <w:r>
              <w:rPr>
                <w:rFonts w:ascii="Times New Roman"/>
                <w:sz w:val="21"/>
              </w:rPr>
              <w:t>0.2</w:t>
            </w:r>
          </w:p>
        </w:tc>
      </w:tr>
      <w:tr w14:paraId="02DC9D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005E7303">
            <w:pPr>
              <w:rPr>
                <w:sz w:val="2"/>
                <w:szCs w:val="2"/>
              </w:rPr>
            </w:pPr>
          </w:p>
        </w:tc>
        <w:tc>
          <w:tcPr>
            <w:tcW w:w="1073" w:type="dxa"/>
            <w:vMerge w:val="continue"/>
            <w:tcBorders>
              <w:top w:val="nil"/>
              <w:left w:val="single" w:color="000000" w:sz="4" w:space="0"/>
              <w:right w:val="single" w:color="000000" w:sz="4" w:space="0"/>
            </w:tcBorders>
          </w:tcPr>
          <w:p w14:paraId="35903F56">
            <w:pPr>
              <w:rPr>
                <w:sz w:val="2"/>
                <w:szCs w:val="2"/>
              </w:rPr>
            </w:pPr>
          </w:p>
        </w:tc>
        <w:tc>
          <w:tcPr>
            <w:tcW w:w="1096" w:type="dxa"/>
            <w:vMerge w:val="continue"/>
            <w:tcBorders>
              <w:top w:val="nil"/>
              <w:left w:val="single" w:color="000000" w:sz="4" w:space="0"/>
              <w:right w:val="single" w:color="000000" w:sz="4" w:space="0"/>
            </w:tcBorders>
          </w:tcPr>
          <w:p w14:paraId="6533D054">
            <w:pPr>
              <w:rPr>
                <w:sz w:val="2"/>
                <w:szCs w:val="2"/>
              </w:rPr>
            </w:pPr>
          </w:p>
        </w:tc>
        <w:tc>
          <w:tcPr>
            <w:tcW w:w="1073" w:type="dxa"/>
            <w:vMerge w:val="continue"/>
            <w:tcBorders>
              <w:top w:val="nil"/>
              <w:left w:val="single" w:color="000000" w:sz="4" w:space="0"/>
              <w:right w:val="single" w:color="000000" w:sz="4" w:space="0"/>
            </w:tcBorders>
          </w:tcPr>
          <w:p w14:paraId="52BF2052">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6EBC34A6">
            <w:pPr>
              <w:pStyle w:val="17"/>
              <w:spacing w:before="10" w:line="261" w:lineRule="exact"/>
              <w:ind w:left="96" w:right="73"/>
              <w:rPr>
                <w:sz w:val="21"/>
              </w:rPr>
            </w:pPr>
            <w:r>
              <w:rPr>
                <w:sz w:val="21"/>
              </w:rPr>
              <w:t>八月</w:t>
            </w:r>
          </w:p>
        </w:tc>
        <w:tc>
          <w:tcPr>
            <w:tcW w:w="1285" w:type="dxa"/>
            <w:tcBorders>
              <w:top w:val="single" w:color="000000" w:sz="4" w:space="0"/>
              <w:left w:val="single" w:color="000000" w:sz="4" w:space="0"/>
              <w:bottom w:val="single" w:color="000000" w:sz="4" w:space="0"/>
              <w:right w:val="single" w:color="000000" w:sz="4" w:space="0"/>
            </w:tcBorders>
          </w:tcPr>
          <w:p w14:paraId="7FA9C864">
            <w:pPr>
              <w:pStyle w:val="17"/>
              <w:spacing w:before="24"/>
              <w:ind w:left="106" w:right="77"/>
              <w:rPr>
                <w:rFonts w:ascii="Times New Roman"/>
                <w:sz w:val="21"/>
              </w:rPr>
            </w:pPr>
            <w:r>
              <w:rPr>
                <w:rFonts w:ascii="Times New Roman"/>
                <w:sz w:val="21"/>
              </w:rPr>
              <w:t>0.2</w:t>
            </w:r>
          </w:p>
        </w:tc>
        <w:tc>
          <w:tcPr>
            <w:tcW w:w="1036" w:type="dxa"/>
            <w:tcBorders>
              <w:top w:val="single" w:color="000000" w:sz="4" w:space="0"/>
              <w:left w:val="single" w:color="000000" w:sz="4" w:space="0"/>
              <w:bottom w:val="single" w:color="000000" w:sz="4" w:space="0"/>
              <w:right w:val="single" w:color="000000" w:sz="4" w:space="0"/>
            </w:tcBorders>
          </w:tcPr>
          <w:p w14:paraId="1BD18E58">
            <w:pPr>
              <w:pStyle w:val="17"/>
              <w:spacing w:before="24"/>
              <w:ind w:left="120" w:right="94"/>
              <w:rPr>
                <w:rFonts w:ascii="Times New Roman"/>
                <w:sz w:val="21"/>
              </w:rPr>
            </w:pPr>
            <w:r>
              <w:rPr>
                <w:rFonts w:ascii="Times New Roman"/>
                <w:sz w:val="21"/>
              </w:rPr>
              <w:t>0.3</w:t>
            </w:r>
          </w:p>
        </w:tc>
        <w:tc>
          <w:tcPr>
            <w:tcW w:w="1034" w:type="dxa"/>
            <w:tcBorders>
              <w:top w:val="single" w:color="000000" w:sz="4" w:space="0"/>
              <w:left w:val="single" w:color="000000" w:sz="4" w:space="0"/>
              <w:bottom w:val="single" w:color="000000" w:sz="4" w:space="0"/>
              <w:right w:val="nil"/>
            </w:tcBorders>
          </w:tcPr>
          <w:p w14:paraId="375D04D9">
            <w:pPr>
              <w:pStyle w:val="17"/>
              <w:spacing w:before="24"/>
              <w:ind w:left="189" w:right="169"/>
              <w:rPr>
                <w:rFonts w:ascii="Times New Roman"/>
                <w:sz w:val="21"/>
              </w:rPr>
            </w:pPr>
            <w:r>
              <w:rPr>
                <w:rFonts w:ascii="Times New Roman"/>
                <w:sz w:val="21"/>
              </w:rPr>
              <w:t>0.2</w:t>
            </w:r>
          </w:p>
        </w:tc>
      </w:tr>
      <w:tr w14:paraId="7C60998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56DA301E">
            <w:pPr>
              <w:rPr>
                <w:sz w:val="2"/>
                <w:szCs w:val="2"/>
              </w:rPr>
            </w:pPr>
          </w:p>
        </w:tc>
        <w:tc>
          <w:tcPr>
            <w:tcW w:w="1073" w:type="dxa"/>
            <w:vMerge w:val="continue"/>
            <w:tcBorders>
              <w:top w:val="nil"/>
              <w:left w:val="single" w:color="000000" w:sz="4" w:space="0"/>
              <w:right w:val="single" w:color="000000" w:sz="4" w:space="0"/>
            </w:tcBorders>
          </w:tcPr>
          <w:p w14:paraId="6544FFBF">
            <w:pPr>
              <w:rPr>
                <w:sz w:val="2"/>
                <w:szCs w:val="2"/>
              </w:rPr>
            </w:pPr>
          </w:p>
        </w:tc>
        <w:tc>
          <w:tcPr>
            <w:tcW w:w="1096" w:type="dxa"/>
            <w:vMerge w:val="continue"/>
            <w:tcBorders>
              <w:top w:val="nil"/>
              <w:left w:val="single" w:color="000000" w:sz="4" w:space="0"/>
              <w:right w:val="single" w:color="000000" w:sz="4" w:space="0"/>
            </w:tcBorders>
          </w:tcPr>
          <w:p w14:paraId="1CA40E7F">
            <w:pPr>
              <w:rPr>
                <w:sz w:val="2"/>
                <w:szCs w:val="2"/>
              </w:rPr>
            </w:pPr>
          </w:p>
        </w:tc>
        <w:tc>
          <w:tcPr>
            <w:tcW w:w="1073" w:type="dxa"/>
            <w:vMerge w:val="continue"/>
            <w:tcBorders>
              <w:top w:val="nil"/>
              <w:left w:val="single" w:color="000000" w:sz="4" w:space="0"/>
              <w:right w:val="single" w:color="000000" w:sz="4" w:space="0"/>
            </w:tcBorders>
          </w:tcPr>
          <w:p w14:paraId="6954DE8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3F47C5B4">
            <w:pPr>
              <w:pStyle w:val="17"/>
              <w:spacing w:before="10" w:line="262" w:lineRule="exact"/>
              <w:ind w:left="96" w:right="73"/>
              <w:rPr>
                <w:sz w:val="21"/>
              </w:rPr>
            </w:pPr>
            <w:r>
              <w:rPr>
                <w:sz w:val="21"/>
              </w:rPr>
              <w:t>九月</w:t>
            </w:r>
          </w:p>
        </w:tc>
        <w:tc>
          <w:tcPr>
            <w:tcW w:w="1285" w:type="dxa"/>
            <w:tcBorders>
              <w:top w:val="single" w:color="000000" w:sz="4" w:space="0"/>
              <w:left w:val="single" w:color="000000" w:sz="4" w:space="0"/>
              <w:bottom w:val="single" w:color="000000" w:sz="4" w:space="0"/>
              <w:right w:val="single" w:color="000000" w:sz="4" w:space="0"/>
            </w:tcBorders>
          </w:tcPr>
          <w:p w14:paraId="03C9A9F9">
            <w:pPr>
              <w:pStyle w:val="17"/>
              <w:spacing w:before="24"/>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1FE9D2E7">
            <w:pPr>
              <w:pStyle w:val="17"/>
              <w:spacing w:before="24"/>
              <w:ind w:left="120" w:right="94"/>
              <w:rPr>
                <w:rFonts w:ascii="Times New Roman"/>
                <w:sz w:val="21"/>
              </w:rPr>
            </w:pPr>
            <w:r>
              <w:rPr>
                <w:rFonts w:ascii="Times New Roman"/>
                <w:sz w:val="21"/>
              </w:rPr>
              <w:t>0.4</w:t>
            </w:r>
          </w:p>
        </w:tc>
        <w:tc>
          <w:tcPr>
            <w:tcW w:w="1034" w:type="dxa"/>
            <w:tcBorders>
              <w:top w:val="single" w:color="000000" w:sz="4" w:space="0"/>
              <w:left w:val="single" w:color="000000" w:sz="4" w:space="0"/>
              <w:bottom w:val="single" w:color="000000" w:sz="4" w:space="0"/>
              <w:right w:val="nil"/>
            </w:tcBorders>
          </w:tcPr>
          <w:p w14:paraId="38E219C9">
            <w:pPr>
              <w:pStyle w:val="17"/>
              <w:spacing w:before="24"/>
              <w:ind w:left="190" w:right="165"/>
              <w:rPr>
                <w:rFonts w:ascii="Times New Roman"/>
                <w:sz w:val="21"/>
              </w:rPr>
            </w:pPr>
            <w:r>
              <w:rPr>
                <w:rFonts w:ascii="Times New Roman"/>
                <w:sz w:val="21"/>
              </w:rPr>
              <w:t>0.05</w:t>
            </w:r>
          </w:p>
        </w:tc>
      </w:tr>
      <w:tr w14:paraId="71C2C4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4685496F">
            <w:pPr>
              <w:rPr>
                <w:sz w:val="2"/>
                <w:szCs w:val="2"/>
              </w:rPr>
            </w:pPr>
          </w:p>
        </w:tc>
        <w:tc>
          <w:tcPr>
            <w:tcW w:w="1073" w:type="dxa"/>
            <w:vMerge w:val="continue"/>
            <w:tcBorders>
              <w:top w:val="nil"/>
              <w:left w:val="single" w:color="000000" w:sz="4" w:space="0"/>
              <w:right w:val="single" w:color="000000" w:sz="4" w:space="0"/>
            </w:tcBorders>
          </w:tcPr>
          <w:p w14:paraId="39588692">
            <w:pPr>
              <w:rPr>
                <w:sz w:val="2"/>
                <w:szCs w:val="2"/>
              </w:rPr>
            </w:pPr>
          </w:p>
        </w:tc>
        <w:tc>
          <w:tcPr>
            <w:tcW w:w="1096" w:type="dxa"/>
            <w:vMerge w:val="continue"/>
            <w:tcBorders>
              <w:top w:val="nil"/>
              <w:left w:val="single" w:color="000000" w:sz="4" w:space="0"/>
              <w:right w:val="single" w:color="000000" w:sz="4" w:space="0"/>
            </w:tcBorders>
          </w:tcPr>
          <w:p w14:paraId="40EA3FB9">
            <w:pPr>
              <w:rPr>
                <w:sz w:val="2"/>
                <w:szCs w:val="2"/>
              </w:rPr>
            </w:pPr>
          </w:p>
        </w:tc>
        <w:tc>
          <w:tcPr>
            <w:tcW w:w="1073" w:type="dxa"/>
            <w:vMerge w:val="continue"/>
            <w:tcBorders>
              <w:top w:val="nil"/>
              <w:left w:val="single" w:color="000000" w:sz="4" w:space="0"/>
              <w:right w:val="single" w:color="000000" w:sz="4" w:space="0"/>
            </w:tcBorders>
          </w:tcPr>
          <w:p w14:paraId="7E8C9E8E">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11B37390">
            <w:pPr>
              <w:pStyle w:val="17"/>
              <w:spacing w:before="12" w:line="260" w:lineRule="exact"/>
              <w:ind w:left="96" w:right="73"/>
              <w:rPr>
                <w:sz w:val="21"/>
              </w:rPr>
            </w:pPr>
            <w:r>
              <w:rPr>
                <w:sz w:val="21"/>
              </w:rPr>
              <w:t>十月</w:t>
            </w:r>
          </w:p>
        </w:tc>
        <w:tc>
          <w:tcPr>
            <w:tcW w:w="1285" w:type="dxa"/>
            <w:tcBorders>
              <w:top w:val="single" w:color="000000" w:sz="4" w:space="0"/>
              <w:left w:val="single" w:color="000000" w:sz="4" w:space="0"/>
              <w:bottom w:val="single" w:color="000000" w:sz="4" w:space="0"/>
              <w:right w:val="single" w:color="000000" w:sz="4" w:space="0"/>
            </w:tcBorders>
          </w:tcPr>
          <w:p w14:paraId="767BC712">
            <w:pPr>
              <w:pStyle w:val="17"/>
              <w:spacing w:before="26"/>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22AFE7A3">
            <w:pPr>
              <w:pStyle w:val="17"/>
              <w:spacing w:before="26"/>
              <w:ind w:left="120" w:right="94"/>
              <w:rPr>
                <w:rFonts w:ascii="Times New Roman"/>
                <w:sz w:val="21"/>
              </w:rPr>
            </w:pPr>
            <w:r>
              <w:rPr>
                <w:rFonts w:ascii="Times New Roman"/>
                <w:sz w:val="21"/>
              </w:rPr>
              <w:t>0.4</w:t>
            </w:r>
          </w:p>
        </w:tc>
        <w:tc>
          <w:tcPr>
            <w:tcW w:w="1034" w:type="dxa"/>
            <w:tcBorders>
              <w:top w:val="single" w:color="000000" w:sz="4" w:space="0"/>
              <w:left w:val="single" w:color="000000" w:sz="4" w:space="0"/>
              <w:bottom w:val="single" w:color="000000" w:sz="4" w:space="0"/>
              <w:right w:val="nil"/>
            </w:tcBorders>
          </w:tcPr>
          <w:p w14:paraId="75E4EDF3">
            <w:pPr>
              <w:pStyle w:val="17"/>
              <w:spacing w:before="26"/>
              <w:ind w:left="190" w:right="165"/>
              <w:rPr>
                <w:rFonts w:ascii="Times New Roman"/>
                <w:sz w:val="21"/>
              </w:rPr>
            </w:pPr>
            <w:r>
              <w:rPr>
                <w:rFonts w:ascii="Times New Roman"/>
                <w:sz w:val="21"/>
              </w:rPr>
              <w:t>0.05</w:t>
            </w:r>
          </w:p>
        </w:tc>
      </w:tr>
      <w:tr w14:paraId="480A72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trPr>
        <w:tc>
          <w:tcPr>
            <w:tcW w:w="1072" w:type="dxa"/>
            <w:vMerge w:val="continue"/>
            <w:tcBorders>
              <w:top w:val="nil"/>
              <w:left w:val="nil"/>
              <w:right w:val="single" w:color="000000" w:sz="4" w:space="0"/>
            </w:tcBorders>
          </w:tcPr>
          <w:p w14:paraId="643DBD4E">
            <w:pPr>
              <w:rPr>
                <w:sz w:val="2"/>
                <w:szCs w:val="2"/>
              </w:rPr>
            </w:pPr>
          </w:p>
        </w:tc>
        <w:tc>
          <w:tcPr>
            <w:tcW w:w="1073" w:type="dxa"/>
            <w:vMerge w:val="continue"/>
            <w:tcBorders>
              <w:top w:val="nil"/>
              <w:left w:val="single" w:color="000000" w:sz="4" w:space="0"/>
              <w:right w:val="single" w:color="000000" w:sz="4" w:space="0"/>
            </w:tcBorders>
          </w:tcPr>
          <w:p w14:paraId="659424B0">
            <w:pPr>
              <w:rPr>
                <w:sz w:val="2"/>
                <w:szCs w:val="2"/>
              </w:rPr>
            </w:pPr>
          </w:p>
        </w:tc>
        <w:tc>
          <w:tcPr>
            <w:tcW w:w="1096" w:type="dxa"/>
            <w:vMerge w:val="continue"/>
            <w:tcBorders>
              <w:top w:val="nil"/>
              <w:left w:val="single" w:color="000000" w:sz="4" w:space="0"/>
              <w:right w:val="single" w:color="000000" w:sz="4" w:space="0"/>
            </w:tcBorders>
          </w:tcPr>
          <w:p w14:paraId="2EC76A6F">
            <w:pPr>
              <w:rPr>
                <w:sz w:val="2"/>
                <w:szCs w:val="2"/>
              </w:rPr>
            </w:pPr>
          </w:p>
        </w:tc>
        <w:tc>
          <w:tcPr>
            <w:tcW w:w="1073" w:type="dxa"/>
            <w:vMerge w:val="continue"/>
            <w:tcBorders>
              <w:top w:val="nil"/>
              <w:left w:val="single" w:color="000000" w:sz="4" w:space="0"/>
              <w:right w:val="single" w:color="000000" w:sz="4" w:space="0"/>
            </w:tcBorders>
          </w:tcPr>
          <w:p w14:paraId="17FA2AE9">
            <w:pPr>
              <w:rPr>
                <w:sz w:val="2"/>
                <w:szCs w:val="2"/>
              </w:rPr>
            </w:pPr>
          </w:p>
        </w:tc>
        <w:tc>
          <w:tcPr>
            <w:tcW w:w="853" w:type="dxa"/>
            <w:tcBorders>
              <w:top w:val="single" w:color="000000" w:sz="4" w:space="0"/>
              <w:left w:val="single" w:color="000000" w:sz="4" w:space="0"/>
              <w:right w:val="single" w:color="000000" w:sz="4" w:space="0"/>
            </w:tcBorders>
          </w:tcPr>
          <w:p w14:paraId="24B8DFD9">
            <w:pPr>
              <w:pStyle w:val="17"/>
              <w:spacing w:before="12" w:line="268" w:lineRule="exact"/>
              <w:ind w:left="100" w:right="73"/>
              <w:rPr>
                <w:sz w:val="21"/>
              </w:rPr>
            </w:pPr>
            <w:r>
              <w:rPr>
                <w:sz w:val="21"/>
              </w:rPr>
              <w:t>十一月</w:t>
            </w:r>
          </w:p>
        </w:tc>
        <w:tc>
          <w:tcPr>
            <w:tcW w:w="1285" w:type="dxa"/>
            <w:tcBorders>
              <w:top w:val="single" w:color="000000" w:sz="4" w:space="0"/>
              <w:left w:val="single" w:color="000000" w:sz="4" w:space="0"/>
              <w:right w:val="single" w:color="000000" w:sz="4" w:space="0"/>
            </w:tcBorders>
          </w:tcPr>
          <w:p w14:paraId="20FC26F4">
            <w:pPr>
              <w:pStyle w:val="17"/>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right w:val="single" w:color="000000" w:sz="4" w:space="0"/>
            </w:tcBorders>
          </w:tcPr>
          <w:p w14:paraId="153ACE61">
            <w:pPr>
              <w:pStyle w:val="17"/>
              <w:spacing w:before="25"/>
              <w:ind w:left="120" w:right="94"/>
              <w:rPr>
                <w:rFonts w:ascii="Times New Roman"/>
                <w:sz w:val="21"/>
              </w:rPr>
            </w:pPr>
            <w:r>
              <w:rPr>
                <w:rFonts w:ascii="Times New Roman"/>
                <w:sz w:val="21"/>
              </w:rPr>
              <w:t>0.4</w:t>
            </w:r>
          </w:p>
        </w:tc>
        <w:tc>
          <w:tcPr>
            <w:tcW w:w="1034" w:type="dxa"/>
            <w:tcBorders>
              <w:top w:val="single" w:color="000000" w:sz="4" w:space="0"/>
              <w:left w:val="single" w:color="000000" w:sz="4" w:space="0"/>
              <w:right w:val="nil"/>
            </w:tcBorders>
          </w:tcPr>
          <w:p w14:paraId="0A113263">
            <w:pPr>
              <w:pStyle w:val="17"/>
              <w:spacing w:before="25"/>
              <w:ind w:left="190" w:right="165"/>
              <w:rPr>
                <w:rFonts w:ascii="Times New Roman"/>
                <w:sz w:val="21"/>
              </w:rPr>
            </w:pPr>
            <w:r>
              <w:rPr>
                <w:rFonts w:ascii="Times New Roman"/>
                <w:sz w:val="21"/>
              </w:rPr>
              <w:t>0.05</w:t>
            </w:r>
          </w:p>
        </w:tc>
      </w:tr>
    </w:tbl>
    <w:p w14:paraId="5B9268B1">
      <w:pPr>
        <w:spacing w:after="0"/>
        <w:rPr>
          <w:rFonts w:ascii="Times New Roman"/>
          <w:sz w:val="21"/>
        </w:rPr>
        <w:sectPr>
          <w:pgSz w:w="11910" w:h="16840"/>
          <w:pgMar w:top="1440" w:right="1380" w:bottom="1380" w:left="1380" w:header="0" w:footer="1192" w:gutter="0"/>
          <w:cols w:space="720" w:num="1"/>
        </w:sectPr>
      </w:pPr>
    </w:p>
    <w:tbl>
      <w:tblPr>
        <w:tblStyle w:val="13"/>
        <w:tblW w:w="0" w:type="auto"/>
        <w:tblInd w:w="2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2"/>
        <w:gridCol w:w="1073"/>
        <w:gridCol w:w="1096"/>
        <w:gridCol w:w="1073"/>
        <w:gridCol w:w="853"/>
        <w:gridCol w:w="1285"/>
        <w:gridCol w:w="1036"/>
        <w:gridCol w:w="1034"/>
      </w:tblGrid>
      <w:tr w14:paraId="4F5073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072" w:type="dxa"/>
            <w:tcBorders>
              <w:left w:val="nil"/>
              <w:bottom w:val="single" w:color="000000" w:sz="4" w:space="0"/>
              <w:right w:val="single" w:color="000000" w:sz="4" w:space="0"/>
            </w:tcBorders>
          </w:tcPr>
          <w:p w14:paraId="26363DA2">
            <w:pPr>
              <w:pStyle w:val="17"/>
              <w:jc w:val="left"/>
              <w:rPr>
                <w:rFonts w:ascii="Times New Roman"/>
                <w:sz w:val="20"/>
              </w:rPr>
            </w:pPr>
          </w:p>
        </w:tc>
        <w:tc>
          <w:tcPr>
            <w:tcW w:w="1073" w:type="dxa"/>
            <w:tcBorders>
              <w:left w:val="single" w:color="000000" w:sz="4" w:space="0"/>
              <w:bottom w:val="single" w:color="000000" w:sz="4" w:space="0"/>
              <w:right w:val="single" w:color="000000" w:sz="4" w:space="0"/>
            </w:tcBorders>
          </w:tcPr>
          <w:p w14:paraId="0BB2D257">
            <w:pPr>
              <w:pStyle w:val="17"/>
              <w:jc w:val="left"/>
              <w:rPr>
                <w:rFonts w:ascii="Times New Roman"/>
                <w:sz w:val="20"/>
              </w:rPr>
            </w:pPr>
          </w:p>
        </w:tc>
        <w:tc>
          <w:tcPr>
            <w:tcW w:w="1096" w:type="dxa"/>
            <w:tcBorders>
              <w:left w:val="single" w:color="000000" w:sz="4" w:space="0"/>
              <w:bottom w:val="single" w:color="000000" w:sz="4" w:space="0"/>
              <w:right w:val="single" w:color="000000" w:sz="4" w:space="0"/>
            </w:tcBorders>
          </w:tcPr>
          <w:p w14:paraId="1FF2A495">
            <w:pPr>
              <w:pStyle w:val="17"/>
              <w:jc w:val="left"/>
              <w:rPr>
                <w:rFonts w:ascii="Times New Roman"/>
                <w:sz w:val="20"/>
              </w:rPr>
            </w:pPr>
          </w:p>
        </w:tc>
        <w:tc>
          <w:tcPr>
            <w:tcW w:w="1073" w:type="dxa"/>
            <w:tcBorders>
              <w:left w:val="single" w:color="000000" w:sz="4" w:space="0"/>
              <w:bottom w:val="single" w:color="000000" w:sz="4" w:space="0"/>
              <w:right w:val="single" w:color="000000" w:sz="4" w:space="0"/>
            </w:tcBorders>
          </w:tcPr>
          <w:p w14:paraId="562CDFB7">
            <w:pPr>
              <w:pStyle w:val="17"/>
              <w:jc w:val="left"/>
              <w:rPr>
                <w:rFonts w:ascii="Times New Roman"/>
                <w:sz w:val="20"/>
              </w:rPr>
            </w:pPr>
          </w:p>
        </w:tc>
        <w:tc>
          <w:tcPr>
            <w:tcW w:w="853" w:type="dxa"/>
            <w:tcBorders>
              <w:left w:val="single" w:color="000000" w:sz="4" w:space="0"/>
              <w:bottom w:val="single" w:color="000000" w:sz="4" w:space="0"/>
              <w:right w:val="single" w:color="000000" w:sz="4" w:space="0"/>
            </w:tcBorders>
          </w:tcPr>
          <w:p w14:paraId="696FC823">
            <w:pPr>
              <w:pStyle w:val="17"/>
              <w:spacing w:before="20"/>
              <w:ind w:left="100" w:right="73"/>
              <w:rPr>
                <w:sz w:val="21"/>
              </w:rPr>
            </w:pPr>
            <w:r>
              <w:rPr>
                <w:sz w:val="21"/>
              </w:rPr>
              <w:t>十二月</w:t>
            </w:r>
          </w:p>
        </w:tc>
        <w:tc>
          <w:tcPr>
            <w:tcW w:w="1285" w:type="dxa"/>
            <w:tcBorders>
              <w:left w:val="single" w:color="000000" w:sz="4" w:space="0"/>
              <w:bottom w:val="single" w:color="000000" w:sz="4" w:space="0"/>
              <w:right w:val="single" w:color="000000" w:sz="4" w:space="0"/>
            </w:tcBorders>
          </w:tcPr>
          <w:p w14:paraId="7C1C815F">
            <w:pPr>
              <w:pStyle w:val="17"/>
              <w:spacing w:before="34"/>
              <w:ind w:left="106" w:right="77"/>
              <w:rPr>
                <w:rFonts w:ascii="Times New Roman"/>
                <w:sz w:val="21"/>
              </w:rPr>
            </w:pPr>
            <w:r>
              <w:rPr>
                <w:rFonts w:ascii="Times New Roman"/>
                <w:sz w:val="21"/>
              </w:rPr>
              <w:t>0.6</w:t>
            </w:r>
          </w:p>
        </w:tc>
        <w:tc>
          <w:tcPr>
            <w:tcW w:w="1036" w:type="dxa"/>
            <w:tcBorders>
              <w:left w:val="single" w:color="000000" w:sz="4" w:space="0"/>
              <w:bottom w:val="single" w:color="000000" w:sz="4" w:space="0"/>
              <w:right w:val="single" w:color="000000" w:sz="4" w:space="0"/>
            </w:tcBorders>
          </w:tcPr>
          <w:p w14:paraId="4E52CB01">
            <w:pPr>
              <w:pStyle w:val="17"/>
              <w:spacing w:before="34"/>
              <w:ind w:left="120" w:right="94"/>
              <w:rPr>
                <w:rFonts w:ascii="Times New Roman"/>
                <w:sz w:val="21"/>
              </w:rPr>
            </w:pPr>
            <w:r>
              <w:rPr>
                <w:rFonts w:ascii="Times New Roman"/>
                <w:sz w:val="21"/>
              </w:rPr>
              <w:t>0.5</w:t>
            </w:r>
          </w:p>
        </w:tc>
        <w:tc>
          <w:tcPr>
            <w:tcW w:w="1034" w:type="dxa"/>
            <w:tcBorders>
              <w:left w:val="single" w:color="000000" w:sz="4" w:space="0"/>
              <w:bottom w:val="single" w:color="000000" w:sz="4" w:space="0"/>
              <w:right w:val="nil"/>
            </w:tcBorders>
          </w:tcPr>
          <w:p w14:paraId="06FB449D">
            <w:pPr>
              <w:pStyle w:val="17"/>
              <w:spacing w:before="34"/>
              <w:ind w:left="190" w:right="165"/>
              <w:rPr>
                <w:rFonts w:ascii="Times New Roman"/>
                <w:sz w:val="21"/>
              </w:rPr>
            </w:pPr>
            <w:r>
              <w:rPr>
                <w:rFonts w:ascii="Times New Roman"/>
                <w:sz w:val="21"/>
              </w:rPr>
              <w:t>0.01</w:t>
            </w:r>
          </w:p>
        </w:tc>
      </w:tr>
      <w:tr w14:paraId="313809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72" w:type="dxa"/>
            <w:vMerge w:val="restart"/>
            <w:tcBorders>
              <w:top w:val="single" w:color="000000" w:sz="4" w:space="0"/>
              <w:left w:val="nil"/>
              <w:right w:val="single" w:color="000000" w:sz="4" w:space="0"/>
            </w:tcBorders>
          </w:tcPr>
          <w:p w14:paraId="5316EA10">
            <w:pPr>
              <w:pStyle w:val="17"/>
              <w:jc w:val="left"/>
              <w:rPr>
                <w:b/>
                <w:sz w:val="22"/>
              </w:rPr>
            </w:pPr>
          </w:p>
          <w:p w14:paraId="0850AE34">
            <w:pPr>
              <w:pStyle w:val="17"/>
              <w:jc w:val="left"/>
              <w:rPr>
                <w:b/>
                <w:sz w:val="22"/>
              </w:rPr>
            </w:pPr>
          </w:p>
          <w:p w14:paraId="10150DF0">
            <w:pPr>
              <w:pStyle w:val="17"/>
              <w:jc w:val="left"/>
              <w:rPr>
                <w:b/>
                <w:sz w:val="22"/>
              </w:rPr>
            </w:pPr>
          </w:p>
          <w:p w14:paraId="3AAC76F9">
            <w:pPr>
              <w:pStyle w:val="17"/>
              <w:jc w:val="left"/>
              <w:rPr>
                <w:b/>
                <w:sz w:val="22"/>
              </w:rPr>
            </w:pPr>
          </w:p>
          <w:p w14:paraId="18255D67">
            <w:pPr>
              <w:pStyle w:val="17"/>
              <w:jc w:val="left"/>
              <w:rPr>
                <w:b/>
                <w:sz w:val="22"/>
              </w:rPr>
            </w:pPr>
          </w:p>
          <w:p w14:paraId="62BDBABA">
            <w:pPr>
              <w:pStyle w:val="17"/>
              <w:spacing w:before="11"/>
              <w:jc w:val="left"/>
              <w:rPr>
                <w:b/>
                <w:sz w:val="30"/>
              </w:rPr>
            </w:pPr>
          </w:p>
          <w:p w14:paraId="4D9DBC98">
            <w:pPr>
              <w:pStyle w:val="17"/>
              <w:ind w:left="31"/>
              <w:rPr>
                <w:rFonts w:ascii="Times New Roman"/>
                <w:sz w:val="21"/>
              </w:rPr>
            </w:pPr>
            <w:r>
              <w:rPr>
                <w:rFonts w:ascii="Times New Roman"/>
                <w:w w:val="99"/>
                <w:sz w:val="21"/>
              </w:rPr>
              <w:t>2</w:t>
            </w:r>
          </w:p>
        </w:tc>
        <w:tc>
          <w:tcPr>
            <w:tcW w:w="1073" w:type="dxa"/>
            <w:vMerge w:val="restart"/>
            <w:tcBorders>
              <w:top w:val="single" w:color="000000" w:sz="4" w:space="0"/>
              <w:left w:val="single" w:color="000000" w:sz="4" w:space="0"/>
              <w:right w:val="single" w:color="000000" w:sz="4" w:space="0"/>
            </w:tcBorders>
          </w:tcPr>
          <w:p w14:paraId="4DCC2D12">
            <w:pPr>
              <w:pStyle w:val="17"/>
              <w:jc w:val="left"/>
              <w:rPr>
                <w:b/>
                <w:sz w:val="22"/>
              </w:rPr>
            </w:pPr>
          </w:p>
          <w:p w14:paraId="098207C2">
            <w:pPr>
              <w:pStyle w:val="17"/>
              <w:jc w:val="left"/>
              <w:rPr>
                <w:b/>
                <w:sz w:val="22"/>
              </w:rPr>
            </w:pPr>
          </w:p>
          <w:p w14:paraId="5AAB4636">
            <w:pPr>
              <w:pStyle w:val="17"/>
              <w:jc w:val="left"/>
              <w:rPr>
                <w:b/>
                <w:sz w:val="22"/>
              </w:rPr>
            </w:pPr>
          </w:p>
          <w:p w14:paraId="0C1E59DA">
            <w:pPr>
              <w:pStyle w:val="17"/>
              <w:jc w:val="left"/>
              <w:rPr>
                <w:b/>
                <w:sz w:val="22"/>
              </w:rPr>
            </w:pPr>
          </w:p>
          <w:p w14:paraId="5AE37A1D">
            <w:pPr>
              <w:pStyle w:val="17"/>
              <w:jc w:val="left"/>
              <w:rPr>
                <w:b/>
                <w:sz w:val="22"/>
              </w:rPr>
            </w:pPr>
          </w:p>
          <w:p w14:paraId="553C2FF5">
            <w:pPr>
              <w:pStyle w:val="17"/>
              <w:spacing w:before="11"/>
              <w:jc w:val="left"/>
              <w:rPr>
                <w:b/>
                <w:sz w:val="30"/>
              </w:rPr>
            </w:pPr>
          </w:p>
          <w:p w14:paraId="151EE6E8">
            <w:pPr>
              <w:pStyle w:val="17"/>
              <w:ind w:left="105" w:right="74"/>
              <w:rPr>
                <w:rFonts w:ascii="Times New Roman"/>
                <w:sz w:val="21"/>
              </w:rPr>
            </w:pPr>
            <w:r>
              <w:rPr>
                <w:rFonts w:ascii="Times New Roman"/>
                <w:sz w:val="21"/>
              </w:rPr>
              <w:t>180</w:t>
            </w:r>
          </w:p>
        </w:tc>
        <w:tc>
          <w:tcPr>
            <w:tcW w:w="1096" w:type="dxa"/>
            <w:vMerge w:val="restart"/>
            <w:tcBorders>
              <w:top w:val="single" w:color="000000" w:sz="4" w:space="0"/>
              <w:left w:val="single" w:color="000000" w:sz="4" w:space="0"/>
              <w:right w:val="single" w:color="000000" w:sz="4" w:space="0"/>
            </w:tcBorders>
          </w:tcPr>
          <w:p w14:paraId="4907C4B2">
            <w:pPr>
              <w:pStyle w:val="17"/>
              <w:jc w:val="left"/>
              <w:rPr>
                <w:b/>
                <w:sz w:val="22"/>
              </w:rPr>
            </w:pPr>
          </w:p>
          <w:p w14:paraId="08D44C0C">
            <w:pPr>
              <w:pStyle w:val="17"/>
              <w:jc w:val="left"/>
              <w:rPr>
                <w:b/>
                <w:sz w:val="22"/>
              </w:rPr>
            </w:pPr>
          </w:p>
          <w:p w14:paraId="4CBA4E6F">
            <w:pPr>
              <w:pStyle w:val="17"/>
              <w:jc w:val="left"/>
              <w:rPr>
                <w:b/>
                <w:sz w:val="22"/>
              </w:rPr>
            </w:pPr>
          </w:p>
          <w:p w14:paraId="7750F789">
            <w:pPr>
              <w:pStyle w:val="17"/>
              <w:jc w:val="left"/>
              <w:rPr>
                <w:b/>
                <w:sz w:val="22"/>
              </w:rPr>
            </w:pPr>
          </w:p>
          <w:p w14:paraId="7B43B044">
            <w:pPr>
              <w:pStyle w:val="17"/>
              <w:jc w:val="left"/>
              <w:rPr>
                <w:b/>
                <w:sz w:val="22"/>
              </w:rPr>
            </w:pPr>
          </w:p>
          <w:p w14:paraId="26EC2490">
            <w:pPr>
              <w:pStyle w:val="17"/>
              <w:spacing w:before="11"/>
              <w:jc w:val="left"/>
              <w:rPr>
                <w:b/>
                <w:sz w:val="30"/>
              </w:rPr>
            </w:pPr>
          </w:p>
          <w:p w14:paraId="725FFD27">
            <w:pPr>
              <w:pStyle w:val="17"/>
              <w:ind w:left="379" w:right="352"/>
              <w:rPr>
                <w:rFonts w:ascii="Times New Roman"/>
                <w:sz w:val="21"/>
              </w:rPr>
            </w:pPr>
            <w:r>
              <w:rPr>
                <w:rFonts w:ascii="Times New Roman"/>
                <w:sz w:val="21"/>
              </w:rPr>
              <w:t>45</w:t>
            </w:r>
          </w:p>
        </w:tc>
        <w:tc>
          <w:tcPr>
            <w:tcW w:w="1073" w:type="dxa"/>
            <w:vMerge w:val="restart"/>
            <w:tcBorders>
              <w:top w:val="single" w:color="000000" w:sz="4" w:space="0"/>
              <w:left w:val="single" w:color="000000" w:sz="4" w:space="0"/>
              <w:right w:val="single" w:color="000000" w:sz="4" w:space="0"/>
            </w:tcBorders>
          </w:tcPr>
          <w:p w14:paraId="2859400E">
            <w:pPr>
              <w:pStyle w:val="17"/>
              <w:jc w:val="left"/>
              <w:rPr>
                <w:b/>
                <w:sz w:val="20"/>
              </w:rPr>
            </w:pPr>
          </w:p>
          <w:p w14:paraId="63C125F0">
            <w:pPr>
              <w:pStyle w:val="17"/>
              <w:jc w:val="left"/>
              <w:rPr>
                <w:b/>
                <w:sz w:val="20"/>
              </w:rPr>
            </w:pPr>
          </w:p>
          <w:p w14:paraId="538C4D07">
            <w:pPr>
              <w:pStyle w:val="17"/>
              <w:jc w:val="left"/>
              <w:rPr>
                <w:b/>
                <w:sz w:val="20"/>
              </w:rPr>
            </w:pPr>
          </w:p>
          <w:p w14:paraId="2F53C2B3">
            <w:pPr>
              <w:pStyle w:val="17"/>
              <w:jc w:val="left"/>
              <w:rPr>
                <w:b/>
                <w:sz w:val="20"/>
              </w:rPr>
            </w:pPr>
          </w:p>
          <w:p w14:paraId="5B0DBC83">
            <w:pPr>
              <w:pStyle w:val="17"/>
              <w:jc w:val="left"/>
              <w:rPr>
                <w:b/>
                <w:sz w:val="20"/>
              </w:rPr>
            </w:pPr>
          </w:p>
          <w:p w14:paraId="5AB93E06">
            <w:pPr>
              <w:pStyle w:val="17"/>
              <w:jc w:val="left"/>
              <w:rPr>
                <w:b/>
                <w:sz w:val="20"/>
              </w:rPr>
            </w:pPr>
          </w:p>
          <w:p w14:paraId="57D1B786">
            <w:pPr>
              <w:pStyle w:val="17"/>
              <w:spacing w:before="10"/>
              <w:jc w:val="left"/>
              <w:rPr>
                <w:b/>
                <w:sz w:val="19"/>
              </w:rPr>
            </w:pPr>
          </w:p>
          <w:p w14:paraId="7B729AA7">
            <w:pPr>
              <w:pStyle w:val="17"/>
              <w:ind w:left="334"/>
              <w:jc w:val="left"/>
              <w:rPr>
                <w:sz w:val="21"/>
              </w:rPr>
            </w:pPr>
            <w:r>
              <w:rPr>
                <w:sz w:val="21"/>
              </w:rPr>
              <w:t>城市</w:t>
            </w:r>
          </w:p>
        </w:tc>
        <w:tc>
          <w:tcPr>
            <w:tcW w:w="853" w:type="dxa"/>
            <w:tcBorders>
              <w:top w:val="single" w:color="000000" w:sz="4" w:space="0"/>
              <w:left w:val="single" w:color="000000" w:sz="4" w:space="0"/>
              <w:bottom w:val="single" w:color="000000" w:sz="4" w:space="0"/>
              <w:right w:val="single" w:color="000000" w:sz="4" w:space="0"/>
            </w:tcBorders>
          </w:tcPr>
          <w:p w14:paraId="035E35CF">
            <w:pPr>
              <w:pStyle w:val="17"/>
              <w:spacing w:before="20" w:line="262" w:lineRule="exact"/>
              <w:ind w:left="96" w:right="73"/>
              <w:rPr>
                <w:sz w:val="21"/>
              </w:rPr>
            </w:pPr>
            <w:r>
              <w:rPr>
                <w:sz w:val="21"/>
              </w:rPr>
              <w:t>一月</w:t>
            </w:r>
          </w:p>
        </w:tc>
        <w:tc>
          <w:tcPr>
            <w:tcW w:w="1285" w:type="dxa"/>
            <w:tcBorders>
              <w:top w:val="single" w:color="000000" w:sz="4" w:space="0"/>
              <w:left w:val="single" w:color="000000" w:sz="4" w:space="0"/>
              <w:bottom w:val="single" w:color="000000" w:sz="4" w:space="0"/>
              <w:right w:val="single" w:color="000000" w:sz="4" w:space="0"/>
            </w:tcBorders>
          </w:tcPr>
          <w:p w14:paraId="4A3EC4AE">
            <w:pPr>
              <w:pStyle w:val="17"/>
              <w:spacing w:before="34"/>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bottom w:val="single" w:color="000000" w:sz="4" w:space="0"/>
              <w:right w:val="single" w:color="000000" w:sz="4" w:space="0"/>
            </w:tcBorders>
          </w:tcPr>
          <w:p w14:paraId="512A9647">
            <w:pPr>
              <w:pStyle w:val="17"/>
              <w:spacing w:before="3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0A7B834D">
            <w:pPr>
              <w:pStyle w:val="17"/>
              <w:spacing w:before="34"/>
              <w:ind w:left="20"/>
              <w:rPr>
                <w:rFonts w:ascii="Times New Roman"/>
                <w:sz w:val="21"/>
              </w:rPr>
            </w:pPr>
            <w:r>
              <w:rPr>
                <w:rFonts w:ascii="Times New Roman"/>
                <w:w w:val="99"/>
                <w:sz w:val="21"/>
              </w:rPr>
              <w:t>1</w:t>
            </w:r>
          </w:p>
        </w:tc>
      </w:tr>
      <w:tr w14:paraId="0D7239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10AB7FC9">
            <w:pPr>
              <w:rPr>
                <w:sz w:val="2"/>
                <w:szCs w:val="2"/>
              </w:rPr>
            </w:pPr>
          </w:p>
        </w:tc>
        <w:tc>
          <w:tcPr>
            <w:tcW w:w="1073" w:type="dxa"/>
            <w:vMerge w:val="continue"/>
            <w:tcBorders>
              <w:top w:val="nil"/>
              <w:left w:val="single" w:color="000000" w:sz="4" w:space="0"/>
              <w:right w:val="single" w:color="000000" w:sz="4" w:space="0"/>
            </w:tcBorders>
          </w:tcPr>
          <w:p w14:paraId="493AEBA9">
            <w:pPr>
              <w:rPr>
                <w:sz w:val="2"/>
                <w:szCs w:val="2"/>
              </w:rPr>
            </w:pPr>
          </w:p>
        </w:tc>
        <w:tc>
          <w:tcPr>
            <w:tcW w:w="1096" w:type="dxa"/>
            <w:vMerge w:val="continue"/>
            <w:tcBorders>
              <w:top w:val="nil"/>
              <w:left w:val="single" w:color="000000" w:sz="4" w:space="0"/>
              <w:right w:val="single" w:color="000000" w:sz="4" w:space="0"/>
            </w:tcBorders>
          </w:tcPr>
          <w:p w14:paraId="051BE971">
            <w:pPr>
              <w:rPr>
                <w:sz w:val="2"/>
                <w:szCs w:val="2"/>
              </w:rPr>
            </w:pPr>
          </w:p>
        </w:tc>
        <w:tc>
          <w:tcPr>
            <w:tcW w:w="1073" w:type="dxa"/>
            <w:vMerge w:val="continue"/>
            <w:tcBorders>
              <w:top w:val="nil"/>
              <w:left w:val="single" w:color="000000" w:sz="4" w:space="0"/>
              <w:right w:val="single" w:color="000000" w:sz="4" w:space="0"/>
            </w:tcBorders>
          </w:tcPr>
          <w:p w14:paraId="021CB92F">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35F95244">
            <w:pPr>
              <w:pStyle w:val="17"/>
              <w:spacing w:before="12" w:line="260" w:lineRule="exact"/>
              <w:ind w:left="96" w:right="73"/>
              <w:rPr>
                <w:sz w:val="21"/>
              </w:rPr>
            </w:pPr>
            <w:r>
              <w:rPr>
                <w:sz w:val="21"/>
              </w:rPr>
              <w:t>二月</w:t>
            </w:r>
          </w:p>
        </w:tc>
        <w:tc>
          <w:tcPr>
            <w:tcW w:w="1285" w:type="dxa"/>
            <w:tcBorders>
              <w:top w:val="single" w:color="000000" w:sz="4" w:space="0"/>
              <w:left w:val="single" w:color="000000" w:sz="4" w:space="0"/>
              <w:bottom w:val="single" w:color="000000" w:sz="4" w:space="0"/>
              <w:right w:val="single" w:color="000000" w:sz="4" w:space="0"/>
            </w:tcBorders>
          </w:tcPr>
          <w:p w14:paraId="39BFF27E">
            <w:pPr>
              <w:pStyle w:val="17"/>
              <w:spacing w:before="26"/>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bottom w:val="single" w:color="000000" w:sz="4" w:space="0"/>
              <w:right w:val="single" w:color="000000" w:sz="4" w:space="0"/>
            </w:tcBorders>
          </w:tcPr>
          <w:p w14:paraId="36F5824E">
            <w:pPr>
              <w:pStyle w:val="17"/>
              <w:spacing w:before="26"/>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4FDF451D">
            <w:pPr>
              <w:pStyle w:val="17"/>
              <w:spacing w:before="26"/>
              <w:ind w:left="20"/>
              <w:rPr>
                <w:rFonts w:ascii="Times New Roman"/>
                <w:sz w:val="21"/>
              </w:rPr>
            </w:pPr>
            <w:r>
              <w:rPr>
                <w:rFonts w:ascii="Times New Roman"/>
                <w:w w:val="99"/>
                <w:sz w:val="21"/>
              </w:rPr>
              <w:t>1</w:t>
            </w:r>
          </w:p>
        </w:tc>
      </w:tr>
      <w:tr w14:paraId="7D61BB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26C2C39F">
            <w:pPr>
              <w:rPr>
                <w:sz w:val="2"/>
                <w:szCs w:val="2"/>
              </w:rPr>
            </w:pPr>
          </w:p>
        </w:tc>
        <w:tc>
          <w:tcPr>
            <w:tcW w:w="1073" w:type="dxa"/>
            <w:vMerge w:val="continue"/>
            <w:tcBorders>
              <w:top w:val="nil"/>
              <w:left w:val="single" w:color="000000" w:sz="4" w:space="0"/>
              <w:right w:val="single" w:color="000000" w:sz="4" w:space="0"/>
            </w:tcBorders>
          </w:tcPr>
          <w:p w14:paraId="644579D5">
            <w:pPr>
              <w:rPr>
                <w:sz w:val="2"/>
                <w:szCs w:val="2"/>
              </w:rPr>
            </w:pPr>
          </w:p>
        </w:tc>
        <w:tc>
          <w:tcPr>
            <w:tcW w:w="1096" w:type="dxa"/>
            <w:vMerge w:val="continue"/>
            <w:tcBorders>
              <w:top w:val="nil"/>
              <w:left w:val="single" w:color="000000" w:sz="4" w:space="0"/>
              <w:right w:val="single" w:color="000000" w:sz="4" w:space="0"/>
            </w:tcBorders>
          </w:tcPr>
          <w:p w14:paraId="621BEA5D">
            <w:pPr>
              <w:rPr>
                <w:sz w:val="2"/>
                <w:szCs w:val="2"/>
              </w:rPr>
            </w:pPr>
          </w:p>
        </w:tc>
        <w:tc>
          <w:tcPr>
            <w:tcW w:w="1073" w:type="dxa"/>
            <w:vMerge w:val="continue"/>
            <w:tcBorders>
              <w:top w:val="nil"/>
              <w:left w:val="single" w:color="000000" w:sz="4" w:space="0"/>
              <w:right w:val="single" w:color="000000" w:sz="4" w:space="0"/>
            </w:tcBorders>
          </w:tcPr>
          <w:p w14:paraId="60A0DC18">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55B3A556">
            <w:pPr>
              <w:pStyle w:val="17"/>
              <w:spacing w:before="11" w:line="260" w:lineRule="exact"/>
              <w:ind w:left="96" w:right="73"/>
              <w:rPr>
                <w:sz w:val="21"/>
              </w:rPr>
            </w:pPr>
            <w:r>
              <w:rPr>
                <w:sz w:val="21"/>
              </w:rPr>
              <w:t>三月</w:t>
            </w:r>
          </w:p>
        </w:tc>
        <w:tc>
          <w:tcPr>
            <w:tcW w:w="1285" w:type="dxa"/>
            <w:tcBorders>
              <w:top w:val="single" w:color="000000" w:sz="4" w:space="0"/>
              <w:left w:val="single" w:color="000000" w:sz="4" w:space="0"/>
              <w:bottom w:val="single" w:color="000000" w:sz="4" w:space="0"/>
              <w:right w:val="single" w:color="000000" w:sz="4" w:space="0"/>
            </w:tcBorders>
          </w:tcPr>
          <w:p w14:paraId="67257D94">
            <w:pPr>
              <w:pStyle w:val="17"/>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3364444B">
            <w:pPr>
              <w:pStyle w:val="17"/>
              <w:spacing w:before="2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2FFF6BAF">
            <w:pPr>
              <w:pStyle w:val="17"/>
              <w:spacing w:before="25"/>
              <w:ind w:left="20"/>
              <w:rPr>
                <w:rFonts w:ascii="Times New Roman"/>
                <w:sz w:val="21"/>
              </w:rPr>
            </w:pPr>
            <w:r>
              <w:rPr>
                <w:rFonts w:ascii="Times New Roman"/>
                <w:w w:val="99"/>
                <w:sz w:val="21"/>
              </w:rPr>
              <w:t>1</w:t>
            </w:r>
          </w:p>
        </w:tc>
      </w:tr>
      <w:tr w14:paraId="1595F5C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4D2E57AA">
            <w:pPr>
              <w:rPr>
                <w:sz w:val="2"/>
                <w:szCs w:val="2"/>
              </w:rPr>
            </w:pPr>
          </w:p>
        </w:tc>
        <w:tc>
          <w:tcPr>
            <w:tcW w:w="1073" w:type="dxa"/>
            <w:vMerge w:val="continue"/>
            <w:tcBorders>
              <w:top w:val="nil"/>
              <w:left w:val="single" w:color="000000" w:sz="4" w:space="0"/>
              <w:right w:val="single" w:color="000000" w:sz="4" w:space="0"/>
            </w:tcBorders>
          </w:tcPr>
          <w:p w14:paraId="7479546F">
            <w:pPr>
              <w:rPr>
                <w:sz w:val="2"/>
                <w:szCs w:val="2"/>
              </w:rPr>
            </w:pPr>
          </w:p>
        </w:tc>
        <w:tc>
          <w:tcPr>
            <w:tcW w:w="1096" w:type="dxa"/>
            <w:vMerge w:val="continue"/>
            <w:tcBorders>
              <w:top w:val="nil"/>
              <w:left w:val="single" w:color="000000" w:sz="4" w:space="0"/>
              <w:right w:val="single" w:color="000000" w:sz="4" w:space="0"/>
            </w:tcBorders>
          </w:tcPr>
          <w:p w14:paraId="79383430">
            <w:pPr>
              <w:rPr>
                <w:sz w:val="2"/>
                <w:szCs w:val="2"/>
              </w:rPr>
            </w:pPr>
          </w:p>
        </w:tc>
        <w:tc>
          <w:tcPr>
            <w:tcW w:w="1073" w:type="dxa"/>
            <w:vMerge w:val="continue"/>
            <w:tcBorders>
              <w:top w:val="nil"/>
              <w:left w:val="single" w:color="000000" w:sz="4" w:space="0"/>
              <w:right w:val="single" w:color="000000" w:sz="4" w:space="0"/>
            </w:tcBorders>
          </w:tcPr>
          <w:p w14:paraId="30202168">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605CE39">
            <w:pPr>
              <w:pStyle w:val="17"/>
              <w:spacing w:before="11" w:line="261" w:lineRule="exact"/>
              <w:ind w:left="96" w:right="73"/>
              <w:rPr>
                <w:sz w:val="21"/>
              </w:rPr>
            </w:pPr>
            <w:r>
              <w:rPr>
                <w:sz w:val="21"/>
              </w:rPr>
              <w:t>四月</w:t>
            </w:r>
          </w:p>
        </w:tc>
        <w:tc>
          <w:tcPr>
            <w:tcW w:w="1285" w:type="dxa"/>
            <w:tcBorders>
              <w:top w:val="single" w:color="000000" w:sz="4" w:space="0"/>
              <w:left w:val="single" w:color="000000" w:sz="4" w:space="0"/>
              <w:bottom w:val="single" w:color="000000" w:sz="4" w:space="0"/>
              <w:right w:val="single" w:color="000000" w:sz="4" w:space="0"/>
            </w:tcBorders>
          </w:tcPr>
          <w:p w14:paraId="3E37A1C4">
            <w:pPr>
              <w:pStyle w:val="17"/>
              <w:spacing w:before="25"/>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3BB930DE">
            <w:pPr>
              <w:pStyle w:val="17"/>
              <w:spacing w:before="25"/>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230366BF">
            <w:pPr>
              <w:pStyle w:val="17"/>
              <w:spacing w:before="25"/>
              <w:ind w:left="20"/>
              <w:rPr>
                <w:rFonts w:ascii="Times New Roman"/>
                <w:sz w:val="21"/>
              </w:rPr>
            </w:pPr>
            <w:r>
              <w:rPr>
                <w:rFonts w:ascii="Times New Roman"/>
                <w:w w:val="99"/>
                <w:sz w:val="21"/>
              </w:rPr>
              <w:t>1</w:t>
            </w:r>
          </w:p>
        </w:tc>
      </w:tr>
      <w:tr w14:paraId="0CA311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03091657">
            <w:pPr>
              <w:rPr>
                <w:sz w:val="2"/>
                <w:szCs w:val="2"/>
              </w:rPr>
            </w:pPr>
          </w:p>
        </w:tc>
        <w:tc>
          <w:tcPr>
            <w:tcW w:w="1073" w:type="dxa"/>
            <w:vMerge w:val="continue"/>
            <w:tcBorders>
              <w:top w:val="nil"/>
              <w:left w:val="single" w:color="000000" w:sz="4" w:space="0"/>
              <w:right w:val="single" w:color="000000" w:sz="4" w:space="0"/>
            </w:tcBorders>
          </w:tcPr>
          <w:p w14:paraId="6F55CF06">
            <w:pPr>
              <w:rPr>
                <w:sz w:val="2"/>
                <w:szCs w:val="2"/>
              </w:rPr>
            </w:pPr>
          </w:p>
        </w:tc>
        <w:tc>
          <w:tcPr>
            <w:tcW w:w="1096" w:type="dxa"/>
            <w:vMerge w:val="continue"/>
            <w:tcBorders>
              <w:top w:val="nil"/>
              <w:left w:val="single" w:color="000000" w:sz="4" w:space="0"/>
              <w:right w:val="single" w:color="000000" w:sz="4" w:space="0"/>
            </w:tcBorders>
          </w:tcPr>
          <w:p w14:paraId="4BDEBB92">
            <w:pPr>
              <w:rPr>
                <w:sz w:val="2"/>
                <w:szCs w:val="2"/>
              </w:rPr>
            </w:pPr>
          </w:p>
        </w:tc>
        <w:tc>
          <w:tcPr>
            <w:tcW w:w="1073" w:type="dxa"/>
            <w:vMerge w:val="continue"/>
            <w:tcBorders>
              <w:top w:val="nil"/>
              <w:left w:val="single" w:color="000000" w:sz="4" w:space="0"/>
              <w:right w:val="single" w:color="000000" w:sz="4" w:space="0"/>
            </w:tcBorders>
          </w:tcPr>
          <w:p w14:paraId="38C92E40">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0515B3DD">
            <w:pPr>
              <w:pStyle w:val="17"/>
              <w:spacing w:before="11" w:line="261" w:lineRule="exact"/>
              <w:ind w:left="96" w:right="73"/>
              <w:rPr>
                <w:sz w:val="21"/>
              </w:rPr>
            </w:pPr>
            <w:r>
              <w:rPr>
                <w:sz w:val="21"/>
              </w:rPr>
              <w:t>五月</w:t>
            </w:r>
          </w:p>
        </w:tc>
        <w:tc>
          <w:tcPr>
            <w:tcW w:w="1285" w:type="dxa"/>
            <w:tcBorders>
              <w:top w:val="single" w:color="000000" w:sz="4" w:space="0"/>
              <w:left w:val="single" w:color="000000" w:sz="4" w:space="0"/>
              <w:bottom w:val="single" w:color="000000" w:sz="4" w:space="0"/>
              <w:right w:val="single" w:color="000000" w:sz="4" w:space="0"/>
            </w:tcBorders>
          </w:tcPr>
          <w:p w14:paraId="08859A57">
            <w:pPr>
              <w:pStyle w:val="17"/>
              <w:spacing w:before="24"/>
              <w:ind w:left="106" w:right="77"/>
              <w:rPr>
                <w:rFonts w:ascii="Times New Roman"/>
                <w:sz w:val="21"/>
              </w:rPr>
            </w:pPr>
            <w:r>
              <w:rPr>
                <w:rFonts w:ascii="Times New Roman"/>
                <w:sz w:val="21"/>
              </w:rPr>
              <w:t>0.14</w:t>
            </w:r>
          </w:p>
        </w:tc>
        <w:tc>
          <w:tcPr>
            <w:tcW w:w="1036" w:type="dxa"/>
            <w:tcBorders>
              <w:top w:val="single" w:color="000000" w:sz="4" w:space="0"/>
              <w:left w:val="single" w:color="000000" w:sz="4" w:space="0"/>
              <w:bottom w:val="single" w:color="000000" w:sz="4" w:space="0"/>
              <w:right w:val="single" w:color="000000" w:sz="4" w:space="0"/>
            </w:tcBorders>
          </w:tcPr>
          <w:p w14:paraId="3D137D89">
            <w:pPr>
              <w:pStyle w:val="17"/>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bottom w:val="single" w:color="000000" w:sz="4" w:space="0"/>
              <w:right w:val="nil"/>
            </w:tcBorders>
          </w:tcPr>
          <w:p w14:paraId="640E28A2">
            <w:pPr>
              <w:pStyle w:val="17"/>
              <w:spacing w:before="24"/>
              <w:ind w:left="20"/>
              <w:rPr>
                <w:rFonts w:ascii="Times New Roman"/>
                <w:sz w:val="21"/>
              </w:rPr>
            </w:pPr>
            <w:r>
              <w:rPr>
                <w:rFonts w:ascii="Times New Roman"/>
                <w:w w:val="99"/>
                <w:sz w:val="21"/>
              </w:rPr>
              <w:t>1</w:t>
            </w:r>
          </w:p>
        </w:tc>
      </w:tr>
      <w:tr w14:paraId="76C270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37CA4CE1">
            <w:pPr>
              <w:rPr>
                <w:sz w:val="2"/>
                <w:szCs w:val="2"/>
              </w:rPr>
            </w:pPr>
          </w:p>
        </w:tc>
        <w:tc>
          <w:tcPr>
            <w:tcW w:w="1073" w:type="dxa"/>
            <w:vMerge w:val="continue"/>
            <w:tcBorders>
              <w:top w:val="nil"/>
              <w:left w:val="single" w:color="000000" w:sz="4" w:space="0"/>
              <w:right w:val="single" w:color="000000" w:sz="4" w:space="0"/>
            </w:tcBorders>
          </w:tcPr>
          <w:p w14:paraId="5A4C012F">
            <w:pPr>
              <w:rPr>
                <w:sz w:val="2"/>
                <w:szCs w:val="2"/>
              </w:rPr>
            </w:pPr>
          </w:p>
        </w:tc>
        <w:tc>
          <w:tcPr>
            <w:tcW w:w="1096" w:type="dxa"/>
            <w:vMerge w:val="continue"/>
            <w:tcBorders>
              <w:top w:val="nil"/>
              <w:left w:val="single" w:color="000000" w:sz="4" w:space="0"/>
              <w:right w:val="single" w:color="000000" w:sz="4" w:space="0"/>
            </w:tcBorders>
          </w:tcPr>
          <w:p w14:paraId="0E06D55A">
            <w:pPr>
              <w:rPr>
                <w:sz w:val="2"/>
                <w:szCs w:val="2"/>
              </w:rPr>
            </w:pPr>
          </w:p>
        </w:tc>
        <w:tc>
          <w:tcPr>
            <w:tcW w:w="1073" w:type="dxa"/>
            <w:vMerge w:val="continue"/>
            <w:tcBorders>
              <w:top w:val="nil"/>
              <w:left w:val="single" w:color="000000" w:sz="4" w:space="0"/>
              <w:right w:val="single" w:color="000000" w:sz="4" w:space="0"/>
            </w:tcBorders>
          </w:tcPr>
          <w:p w14:paraId="4ABF5C6A">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64627D41">
            <w:pPr>
              <w:pStyle w:val="17"/>
              <w:spacing w:before="10" w:line="262" w:lineRule="exact"/>
              <w:ind w:left="96" w:right="73"/>
              <w:rPr>
                <w:sz w:val="21"/>
              </w:rPr>
            </w:pPr>
            <w:r>
              <w:rPr>
                <w:sz w:val="21"/>
              </w:rPr>
              <w:t>六月</w:t>
            </w:r>
          </w:p>
        </w:tc>
        <w:tc>
          <w:tcPr>
            <w:tcW w:w="1285" w:type="dxa"/>
            <w:tcBorders>
              <w:top w:val="single" w:color="000000" w:sz="4" w:space="0"/>
              <w:left w:val="single" w:color="000000" w:sz="4" w:space="0"/>
              <w:bottom w:val="single" w:color="000000" w:sz="4" w:space="0"/>
              <w:right w:val="single" w:color="000000" w:sz="4" w:space="0"/>
            </w:tcBorders>
          </w:tcPr>
          <w:p w14:paraId="6849A115">
            <w:pPr>
              <w:pStyle w:val="17"/>
              <w:spacing w:before="24"/>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2656BA49">
            <w:pPr>
              <w:pStyle w:val="17"/>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2478A928">
            <w:pPr>
              <w:pStyle w:val="17"/>
              <w:spacing w:before="24"/>
              <w:ind w:left="20"/>
              <w:rPr>
                <w:rFonts w:ascii="Times New Roman"/>
                <w:sz w:val="21"/>
              </w:rPr>
            </w:pPr>
            <w:r>
              <w:rPr>
                <w:rFonts w:ascii="Times New Roman"/>
                <w:w w:val="99"/>
                <w:sz w:val="21"/>
              </w:rPr>
              <w:t>1</w:t>
            </w:r>
          </w:p>
        </w:tc>
      </w:tr>
      <w:tr w14:paraId="615351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178DF295">
            <w:pPr>
              <w:rPr>
                <w:sz w:val="2"/>
                <w:szCs w:val="2"/>
              </w:rPr>
            </w:pPr>
          </w:p>
        </w:tc>
        <w:tc>
          <w:tcPr>
            <w:tcW w:w="1073" w:type="dxa"/>
            <w:vMerge w:val="continue"/>
            <w:tcBorders>
              <w:top w:val="nil"/>
              <w:left w:val="single" w:color="000000" w:sz="4" w:space="0"/>
              <w:right w:val="single" w:color="000000" w:sz="4" w:space="0"/>
            </w:tcBorders>
          </w:tcPr>
          <w:p w14:paraId="737D4A1D">
            <w:pPr>
              <w:rPr>
                <w:sz w:val="2"/>
                <w:szCs w:val="2"/>
              </w:rPr>
            </w:pPr>
          </w:p>
        </w:tc>
        <w:tc>
          <w:tcPr>
            <w:tcW w:w="1096" w:type="dxa"/>
            <w:vMerge w:val="continue"/>
            <w:tcBorders>
              <w:top w:val="nil"/>
              <w:left w:val="single" w:color="000000" w:sz="4" w:space="0"/>
              <w:right w:val="single" w:color="000000" w:sz="4" w:space="0"/>
            </w:tcBorders>
          </w:tcPr>
          <w:p w14:paraId="088390CE">
            <w:pPr>
              <w:rPr>
                <w:sz w:val="2"/>
                <w:szCs w:val="2"/>
              </w:rPr>
            </w:pPr>
          </w:p>
        </w:tc>
        <w:tc>
          <w:tcPr>
            <w:tcW w:w="1073" w:type="dxa"/>
            <w:vMerge w:val="continue"/>
            <w:tcBorders>
              <w:top w:val="nil"/>
              <w:left w:val="single" w:color="000000" w:sz="4" w:space="0"/>
              <w:right w:val="single" w:color="000000" w:sz="4" w:space="0"/>
            </w:tcBorders>
          </w:tcPr>
          <w:p w14:paraId="6D43025B">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5FFC8490">
            <w:pPr>
              <w:pStyle w:val="17"/>
              <w:spacing w:before="10" w:line="262" w:lineRule="exact"/>
              <w:ind w:left="96" w:right="73"/>
              <w:rPr>
                <w:sz w:val="21"/>
              </w:rPr>
            </w:pPr>
            <w:r>
              <w:rPr>
                <w:sz w:val="21"/>
              </w:rPr>
              <w:t>七月</w:t>
            </w:r>
          </w:p>
        </w:tc>
        <w:tc>
          <w:tcPr>
            <w:tcW w:w="1285" w:type="dxa"/>
            <w:tcBorders>
              <w:top w:val="single" w:color="000000" w:sz="4" w:space="0"/>
              <w:left w:val="single" w:color="000000" w:sz="4" w:space="0"/>
              <w:bottom w:val="single" w:color="000000" w:sz="4" w:space="0"/>
              <w:right w:val="single" w:color="000000" w:sz="4" w:space="0"/>
            </w:tcBorders>
          </w:tcPr>
          <w:p w14:paraId="0977F6E0">
            <w:pPr>
              <w:pStyle w:val="17"/>
              <w:spacing w:before="24"/>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75F42555">
            <w:pPr>
              <w:pStyle w:val="17"/>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51CA16D5">
            <w:pPr>
              <w:pStyle w:val="17"/>
              <w:spacing w:before="24"/>
              <w:ind w:left="20"/>
              <w:rPr>
                <w:rFonts w:ascii="Times New Roman"/>
                <w:sz w:val="21"/>
              </w:rPr>
            </w:pPr>
            <w:r>
              <w:rPr>
                <w:rFonts w:ascii="Times New Roman"/>
                <w:w w:val="99"/>
                <w:sz w:val="21"/>
              </w:rPr>
              <w:t>1</w:t>
            </w:r>
          </w:p>
        </w:tc>
      </w:tr>
      <w:tr w14:paraId="5C1B51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60E7D7D1">
            <w:pPr>
              <w:rPr>
                <w:sz w:val="2"/>
                <w:szCs w:val="2"/>
              </w:rPr>
            </w:pPr>
          </w:p>
        </w:tc>
        <w:tc>
          <w:tcPr>
            <w:tcW w:w="1073" w:type="dxa"/>
            <w:vMerge w:val="continue"/>
            <w:tcBorders>
              <w:top w:val="nil"/>
              <w:left w:val="single" w:color="000000" w:sz="4" w:space="0"/>
              <w:right w:val="single" w:color="000000" w:sz="4" w:space="0"/>
            </w:tcBorders>
          </w:tcPr>
          <w:p w14:paraId="55F44D2C">
            <w:pPr>
              <w:rPr>
                <w:sz w:val="2"/>
                <w:szCs w:val="2"/>
              </w:rPr>
            </w:pPr>
          </w:p>
        </w:tc>
        <w:tc>
          <w:tcPr>
            <w:tcW w:w="1096" w:type="dxa"/>
            <w:vMerge w:val="continue"/>
            <w:tcBorders>
              <w:top w:val="nil"/>
              <w:left w:val="single" w:color="000000" w:sz="4" w:space="0"/>
              <w:right w:val="single" w:color="000000" w:sz="4" w:space="0"/>
            </w:tcBorders>
          </w:tcPr>
          <w:p w14:paraId="33E4B4AF">
            <w:pPr>
              <w:rPr>
                <w:sz w:val="2"/>
                <w:szCs w:val="2"/>
              </w:rPr>
            </w:pPr>
          </w:p>
        </w:tc>
        <w:tc>
          <w:tcPr>
            <w:tcW w:w="1073" w:type="dxa"/>
            <w:vMerge w:val="continue"/>
            <w:tcBorders>
              <w:top w:val="nil"/>
              <w:left w:val="single" w:color="000000" w:sz="4" w:space="0"/>
              <w:right w:val="single" w:color="000000" w:sz="4" w:space="0"/>
            </w:tcBorders>
          </w:tcPr>
          <w:p w14:paraId="2976A76D">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1F541D8F">
            <w:pPr>
              <w:pStyle w:val="17"/>
              <w:spacing w:before="12" w:line="260" w:lineRule="exact"/>
              <w:ind w:left="96" w:right="73"/>
              <w:rPr>
                <w:sz w:val="21"/>
              </w:rPr>
            </w:pPr>
            <w:r>
              <w:rPr>
                <w:sz w:val="21"/>
              </w:rPr>
              <w:t>八月</w:t>
            </w:r>
          </w:p>
        </w:tc>
        <w:tc>
          <w:tcPr>
            <w:tcW w:w="1285" w:type="dxa"/>
            <w:tcBorders>
              <w:top w:val="single" w:color="000000" w:sz="4" w:space="0"/>
              <w:left w:val="single" w:color="000000" w:sz="4" w:space="0"/>
              <w:bottom w:val="single" w:color="000000" w:sz="4" w:space="0"/>
              <w:right w:val="single" w:color="000000" w:sz="4" w:space="0"/>
            </w:tcBorders>
          </w:tcPr>
          <w:p w14:paraId="582BBCD8">
            <w:pPr>
              <w:pStyle w:val="17"/>
              <w:spacing w:before="26"/>
              <w:ind w:left="106" w:right="77"/>
              <w:rPr>
                <w:rFonts w:ascii="Times New Roman"/>
                <w:sz w:val="21"/>
              </w:rPr>
            </w:pPr>
            <w:r>
              <w:rPr>
                <w:rFonts w:ascii="Times New Roman"/>
                <w:sz w:val="21"/>
              </w:rPr>
              <w:t>0.16</w:t>
            </w:r>
          </w:p>
        </w:tc>
        <w:tc>
          <w:tcPr>
            <w:tcW w:w="1036" w:type="dxa"/>
            <w:tcBorders>
              <w:top w:val="single" w:color="000000" w:sz="4" w:space="0"/>
              <w:left w:val="single" w:color="000000" w:sz="4" w:space="0"/>
              <w:bottom w:val="single" w:color="000000" w:sz="4" w:space="0"/>
              <w:right w:val="single" w:color="000000" w:sz="4" w:space="0"/>
            </w:tcBorders>
          </w:tcPr>
          <w:p w14:paraId="7643FC40">
            <w:pPr>
              <w:pStyle w:val="17"/>
              <w:spacing w:before="26"/>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143B2681">
            <w:pPr>
              <w:pStyle w:val="17"/>
              <w:spacing w:before="26"/>
              <w:ind w:left="20"/>
              <w:rPr>
                <w:rFonts w:ascii="Times New Roman"/>
                <w:sz w:val="21"/>
              </w:rPr>
            </w:pPr>
            <w:r>
              <w:rPr>
                <w:rFonts w:ascii="Times New Roman"/>
                <w:w w:val="99"/>
                <w:sz w:val="21"/>
              </w:rPr>
              <w:t>1</w:t>
            </w:r>
          </w:p>
        </w:tc>
      </w:tr>
      <w:tr w14:paraId="333010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0339AFFC">
            <w:pPr>
              <w:rPr>
                <w:sz w:val="2"/>
                <w:szCs w:val="2"/>
              </w:rPr>
            </w:pPr>
          </w:p>
        </w:tc>
        <w:tc>
          <w:tcPr>
            <w:tcW w:w="1073" w:type="dxa"/>
            <w:vMerge w:val="continue"/>
            <w:tcBorders>
              <w:top w:val="nil"/>
              <w:left w:val="single" w:color="000000" w:sz="4" w:space="0"/>
              <w:right w:val="single" w:color="000000" w:sz="4" w:space="0"/>
            </w:tcBorders>
          </w:tcPr>
          <w:p w14:paraId="598F1006">
            <w:pPr>
              <w:rPr>
                <w:sz w:val="2"/>
                <w:szCs w:val="2"/>
              </w:rPr>
            </w:pPr>
          </w:p>
        </w:tc>
        <w:tc>
          <w:tcPr>
            <w:tcW w:w="1096" w:type="dxa"/>
            <w:vMerge w:val="continue"/>
            <w:tcBorders>
              <w:top w:val="nil"/>
              <w:left w:val="single" w:color="000000" w:sz="4" w:space="0"/>
              <w:right w:val="single" w:color="000000" w:sz="4" w:space="0"/>
            </w:tcBorders>
          </w:tcPr>
          <w:p w14:paraId="2D6EE97C">
            <w:pPr>
              <w:rPr>
                <w:sz w:val="2"/>
                <w:szCs w:val="2"/>
              </w:rPr>
            </w:pPr>
          </w:p>
        </w:tc>
        <w:tc>
          <w:tcPr>
            <w:tcW w:w="1073" w:type="dxa"/>
            <w:vMerge w:val="continue"/>
            <w:tcBorders>
              <w:top w:val="nil"/>
              <w:left w:val="single" w:color="000000" w:sz="4" w:space="0"/>
              <w:right w:val="single" w:color="000000" w:sz="4" w:space="0"/>
            </w:tcBorders>
          </w:tcPr>
          <w:p w14:paraId="36622955">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2EE6EA70">
            <w:pPr>
              <w:pStyle w:val="17"/>
              <w:spacing w:before="11" w:line="260" w:lineRule="exact"/>
              <w:ind w:left="96" w:right="73"/>
              <w:rPr>
                <w:sz w:val="21"/>
              </w:rPr>
            </w:pPr>
            <w:r>
              <w:rPr>
                <w:sz w:val="21"/>
              </w:rPr>
              <w:t>九月</w:t>
            </w:r>
          </w:p>
        </w:tc>
        <w:tc>
          <w:tcPr>
            <w:tcW w:w="1285" w:type="dxa"/>
            <w:tcBorders>
              <w:top w:val="single" w:color="000000" w:sz="4" w:space="0"/>
              <w:left w:val="single" w:color="000000" w:sz="4" w:space="0"/>
              <w:bottom w:val="single" w:color="000000" w:sz="4" w:space="0"/>
              <w:right w:val="single" w:color="000000" w:sz="4" w:space="0"/>
            </w:tcBorders>
          </w:tcPr>
          <w:p w14:paraId="0E461421">
            <w:pPr>
              <w:pStyle w:val="17"/>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310DF414">
            <w:pPr>
              <w:pStyle w:val="17"/>
              <w:spacing w:before="25"/>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6E6112DE">
            <w:pPr>
              <w:pStyle w:val="17"/>
              <w:spacing w:before="25"/>
              <w:ind w:left="20"/>
              <w:rPr>
                <w:rFonts w:ascii="Times New Roman"/>
                <w:sz w:val="21"/>
              </w:rPr>
            </w:pPr>
            <w:r>
              <w:rPr>
                <w:rFonts w:ascii="Times New Roman"/>
                <w:w w:val="99"/>
                <w:sz w:val="21"/>
              </w:rPr>
              <w:t>1</w:t>
            </w:r>
          </w:p>
        </w:tc>
      </w:tr>
      <w:tr w14:paraId="7F2664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072" w:type="dxa"/>
            <w:vMerge w:val="continue"/>
            <w:tcBorders>
              <w:top w:val="nil"/>
              <w:left w:val="nil"/>
              <w:right w:val="single" w:color="000000" w:sz="4" w:space="0"/>
            </w:tcBorders>
          </w:tcPr>
          <w:p w14:paraId="0C2AC9AE">
            <w:pPr>
              <w:rPr>
                <w:sz w:val="2"/>
                <w:szCs w:val="2"/>
              </w:rPr>
            </w:pPr>
          </w:p>
        </w:tc>
        <w:tc>
          <w:tcPr>
            <w:tcW w:w="1073" w:type="dxa"/>
            <w:vMerge w:val="continue"/>
            <w:tcBorders>
              <w:top w:val="nil"/>
              <w:left w:val="single" w:color="000000" w:sz="4" w:space="0"/>
              <w:right w:val="single" w:color="000000" w:sz="4" w:space="0"/>
            </w:tcBorders>
          </w:tcPr>
          <w:p w14:paraId="552ED78F">
            <w:pPr>
              <w:rPr>
                <w:sz w:val="2"/>
                <w:szCs w:val="2"/>
              </w:rPr>
            </w:pPr>
          </w:p>
        </w:tc>
        <w:tc>
          <w:tcPr>
            <w:tcW w:w="1096" w:type="dxa"/>
            <w:vMerge w:val="continue"/>
            <w:tcBorders>
              <w:top w:val="nil"/>
              <w:left w:val="single" w:color="000000" w:sz="4" w:space="0"/>
              <w:right w:val="single" w:color="000000" w:sz="4" w:space="0"/>
            </w:tcBorders>
          </w:tcPr>
          <w:p w14:paraId="1F0EBC2E">
            <w:pPr>
              <w:rPr>
                <w:sz w:val="2"/>
                <w:szCs w:val="2"/>
              </w:rPr>
            </w:pPr>
          </w:p>
        </w:tc>
        <w:tc>
          <w:tcPr>
            <w:tcW w:w="1073" w:type="dxa"/>
            <w:vMerge w:val="continue"/>
            <w:tcBorders>
              <w:top w:val="nil"/>
              <w:left w:val="single" w:color="000000" w:sz="4" w:space="0"/>
              <w:right w:val="single" w:color="000000" w:sz="4" w:space="0"/>
            </w:tcBorders>
          </w:tcPr>
          <w:p w14:paraId="4682ABF2">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6B57477D">
            <w:pPr>
              <w:pStyle w:val="17"/>
              <w:spacing w:before="11" w:line="261" w:lineRule="exact"/>
              <w:ind w:left="96" w:right="73"/>
              <w:rPr>
                <w:sz w:val="21"/>
              </w:rPr>
            </w:pPr>
            <w:r>
              <w:rPr>
                <w:sz w:val="21"/>
              </w:rPr>
              <w:t>十月</w:t>
            </w:r>
          </w:p>
        </w:tc>
        <w:tc>
          <w:tcPr>
            <w:tcW w:w="1285" w:type="dxa"/>
            <w:tcBorders>
              <w:top w:val="single" w:color="000000" w:sz="4" w:space="0"/>
              <w:left w:val="single" w:color="000000" w:sz="4" w:space="0"/>
              <w:bottom w:val="single" w:color="000000" w:sz="4" w:space="0"/>
              <w:right w:val="single" w:color="000000" w:sz="4" w:space="0"/>
            </w:tcBorders>
          </w:tcPr>
          <w:p w14:paraId="4A37832E">
            <w:pPr>
              <w:pStyle w:val="17"/>
              <w:spacing w:before="25"/>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702DCA54">
            <w:pPr>
              <w:pStyle w:val="17"/>
              <w:spacing w:before="25"/>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3EE36921">
            <w:pPr>
              <w:pStyle w:val="17"/>
              <w:spacing w:before="25"/>
              <w:ind w:left="20"/>
              <w:rPr>
                <w:rFonts w:ascii="Times New Roman"/>
                <w:sz w:val="21"/>
              </w:rPr>
            </w:pPr>
            <w:r>
              <w:rPr>
                <w:rFonts w:ascii="Times New Roman"/>
                <w:w w:val="99"/>
                <w:sz w:val="21"/>
              </w:rPr>
              <w:t>1</w:t>
            </w:r>
          </w:p>
        </w:tc>
      </w:tr>
      <w:tr w14:paraId="4F188D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1072" w:type="dxa"/>
            <w:vMerge w:val="continue"/>
            <w:tcBorders>
              <w:top w:val="nil"/>
              <w:left w:val="nil"/>
              <w:right w:val="single" w:color="000000" w:sz="4" w:space="0"/>
            </w:tcBorders>
          </w:tcPr>
          <w:p w14:paraId="67954A67">
            <w:pPr>
              <w:rPr>
                <w:sz w:val="2"/>
                <w:szCs w:val="2"/>
              </w:rPr>
            </w:pPr>
          </w:p>
        </w:tc>
        <w:tc>
          <w:tcPr>
            <w:tcW w:w="1073" w:type="dxa"/>
            <w:vMerge w:val="continue"/>
            <w:tcBorders>
              <w:top w:val="nil"/>
              <w:left w:val="single" w:color="000000" w:sz="4" w:space="0"/>
              <w:right w:val="single" w:color="000000" w:sz="4" w:space="0"/>
            </w:tcBorders>
          </w:tcPr>
          <w:p w14:paraId="304C406F">
            <w:pPr>
              <w:rPr>
                <w:sz w:val="2"/>
                <w:szCs w:val="2"/>
              </w:rPr>
            </w:pPr>
          </w:p>
        </w:tc>
        <w:tc>
          <w:tcPr>
            <w:tcW w:w="1096" w:type="dxa"/>
            <w:vMerge w:val="continue"/>
            <w:tcBorders>
              <w:top w:val="nil"/>
              <w:left w:val="single" w:color="000000" w:sz="4" w:space="0"/>
              <w:right w:val="single" w:color="000000" w:sz="4" w:space="0"/>
            </w:tcBorders>
          </w:tcPr>
          <w:p w14:paraId="192AD709">
            <w:pPr>
              <w:rPr>
                <w:sz w:val="2"/>
                <w:szCs w:val="2"/>
              </w:rPr>
            </w:pPr>
          </w:p>
        </w:tc>
        <w:tc>
          <w:tcPr>
            <w:tcW w:w="1073" w:type="dxa"/>
            <w:vMerge w:val="continue"/>
            <w:tcBorders>
              <w:top w:val="nil"/>
              <w:left w:val="single" w:color="000000" w:sz="4" w:space="0"/>
              <w:right w:val="single" w:color="000000" w:sz="4" w:space="0"/>
            </w:tcBorders>
          </w:tcPr>
          <w:p w14:paraId="1DF5D09F">
            <w:pPr>
              <w:rPr>
                <w:sz w:val="2"/>
                <w:szCs w:val="2"/>
              </w:rPr>
            </w:pPr>
          </w:p>
        </w:tc>
        <w:tc>
          <w:tcPr>
            <w:tcW w:w="853" w:type="dxa"/>
            <w:tcBorders>
              <w:top w:val="single" w:color="000000" w:sz="4" w:space="0"/>
              <w:left w:val="single" w:color="000000" w:sz="4" w:space="0"/>
              <w:bottom w:val="single" w:color="000000" w:sz="4" w:space="0"/>
              <w:right w:val="single" w:color="000000" w:sz="4" w:space="0"/>
            </w:tcBorders>
          </w:tcPr>
          <w:p w14:paraId="39CD33F7">
            <w:pPr>
              <w:pStyle w:val="17"/>
              <w:spacing w:before="10" w:line="261" w:lineRule="exact"/>
              <w:ind w:left="100" w:right="73"/>
              <w:rPr>
                <w:sz w:val="21"/>
              </w:rPr>
            </w:pPr>
            <w:r>
              <w:rPr>
                <w:sz w:val="21"/>
              </w:rPr>
              <w:t>十一月</w:t>
            </w:r>
          </w:p>
        </w:tc>
        <w:tc>
          <w:tcPr>
            <w:tcW w:w="1285" w:type="dxa"/>
            <w:tcBorders>
              <w:top w:val="single" w:color="000000" w:sz="4" w:space="0"/>
              <w:left w:val="single" w:color="000000" w:sz="4" w:space="0"/>
              <w:bottom w:val="single" w:color="000000" w:sz="4" w:space="0"/>
              <w:right w:val="single" w:color="000000" w:sz="4" w:space="0"/>
            </w:tcBorders>
          </w:tcPr>
          <w:p w14:paraId="36391AD0">
            <w:pPr>
              <w:pStyle w:val="17"/>
              <w:spacing w:before="24"/>
              <w:ind w:left="106" w:right="77"/>
              <w:rPr>
                <w:rFonts w:ascii="Times New Roman"/>
                <w:sz w:val="21"/>
              </w:rPr>
            </w:pPr>
            <w:r>
              <w:rPr>
                <w:rFonts w:ascii="Times New Roman"/>
                <w:sz w:val="21"/>
              </w:rPr>
              <w:t>0.18</w:t>
            </w:r>
          </w:p>
        </w:tc>
        <w:tc>
          <w:tcPr>
            <w:tcW w:w="1036" w:type="dxa"/>
            <w:tcBorders>
              <w:top w:val="single" w:color="000000" w:sz="4" w:space="0"/>
              <w:left w:val="single" w:color="000000" w:sz="4" w:space="0"/>
              <w:bottom w:val="single" w:color="000000" w:sz="4" w:space="0"/>
              <w:right w:val="single" w:color="000000" w:sz="4" w:space="0"/>
            </w:tcBorders>
          </w:tcPr>
          <w:p w14:paraId="35B6743D">
            <w:pPr>
              <w:pStyle w:val="17"/>
              <w:spacing w:before="24"/>
              <w:ind w:left="26"/>
              <w:rPr>
                <w:rFonts w:ascii="Times New Roman"/>
                <w:sz w:val="21"/>
              </w:rPr>
            </w:pPr>
            <w:r>
              <w:rPr>
                <w:rFonts w:ascii="Times New Roman"/>
                <w:w w:val="99"/>
                <w:sz w:val="21"/>
              </w:rPr>
              <w:t>1</w:t>
            </w:r>
          </w:p>
        </w:tc>
        <w:tc>
          <w:tcPr>
            <w:tcW w:w="1034" w:type="dxa"/>
            <w:tcBorders>
              <w:top w:val="single" w:color="000000" w:sz="4" w:space="0"/>
              <w:left w:val="single" w:color="000000" w:sz="4" w:space="0"/>
              <w:bottom w:val="single" w:color="000000" w:sz="4" w:space="0"/>
              <w:right w:val="nil"/>
            </w:tcBorders>
          </w:tcPr>
          <w:p w14:paraId="42D38E84">
            <w:pPr>
              <w:pStyle w:val="17"/>
              <w:spacing w:before="24"/>
              <w:ind w:left="20"/>
              <w:rPr>
                <w:rFonts w:ascii="Times New Roman"/>
                <w:sz w:val="21"/>
              </w:rPr>
            </w:pPr>
            <w:r>
              <w:rPr>
                <w:rFonts w:ascii="Times New Roman"/>
                <w:w w:val="99"/>
                <w:sz w:val="21"/>
              </w:rPr>
              <w:t>1</w:t>
            </w:r>
          </w:p>
        </w:tc>
      </w:tr>
      <w:tr w14:paraId="12A1BB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072" w:type="dxa"/>
            <w:vMerge w:val="continue"/>
            <w:tcBorders>
              <w:top w:val="nil"/>
              <w:left w:val="nil"/>
              <w:right w:val="single" w:color="000000" w:sz="4" w:space="0"/>
            </w:tcBorders>
          </w:tcPr>
          <w:p w14:paraId="51DEB10D">
            <w:pPr>
              <w:rPr>
                <w:sz w:val="2"/>
                <w:szCs w:val="2"/>
              </w:rPr>
            </w:pPr>
          </w:p>
        </w:tc>
        <w:tc>
          <w:tcPr>
            <w:tcW w:w="1073" w:type="dxa"/>
            <w:vMerge w:val="continue"/>
            <w:tcBorders>
              <w:top w:val="nil"/>
              <w:left w:val="single" w:color="000000" w:sz="4" w:space="0"/>
              <w:right w:val="single" w:color="000000" w:sz="4" w:space="0"/>
            </w:tcBorders>
          </w:tcPr>
          <w:p w14:paraId="2AEBC776">
            <w:pPr>
              <w:rPr>
                <w:sz w:val="2"/>
                <w:szCs w:val="2"/>
              </w:rPr>
            </w:pPr>
          </w:p>
        </w:tc>
        <w:tc>
          <w:tcPr>
            <w:tcW w:w="1096" w:type="dxa"/>
            <w:vMerge w:val="continue"/>
            <w:tcBorders>
              <w:top w:val="nil"/>
              <w:left w:val="single" w:color="000000" w:sz="4" w:space="0"/>
              <w:right w:val="single" w:color="000000" w:sz="4" w:space="0"/>
            </w:tcBorders>
          </w:tcPr>
          <w:p w14:paraId="594AC50F">
            <w:pPr>
              <w:rPr>
                <w:sz w:val="2"/>
                <w:szCs w:val="2"/>
              </w:rPr>
            </w:pPr>
          </w:p>
        </w:tc>
        <w:tc>
          <w:tcPr>
            <w:tcW w:w="1073" w:type="dxa"/>
            <w:vMerge w:val="continue"/>
            <w:tcBorders>
              <w:top w:val="nil"/>
              <w:left w:val="single" w:color="000000" w:sz="4" w:space="0"/>
              <w:right w:val="single" w:color="000000" w:sz="4" w:space="0"/>
            </w:tcBorders>
          </w:tcPr>
          <w:p w14:paraId="62430B6E">
            <w:pPr>
              <w:rPr>
                <w:sz w:val="2"/>
                <w:szCs w:val="2"/>
              </w:rPr>
            </w:pPr>
          </w:p>
        </w:tc>
        <w:tc>
          <w:tcPr>
            <w:tcW w:w="853" w:type="dxa"/>
            <w:tcBorders>
              <w:top w:val="single" w:color="000000" w:sz="4" w:space="0"/>
              <w:left w:val="single" w:color="000000" w:sz="4" w:space="0"/>
              <w:right w:val="single" w:color="000000" w:sz="4" w:space="0"/>
            </w:tcBorders>
          </w:tcPr>
          <w:p w14:paraId="7DCAAFBA">
            <w:pPr>
              <w:pStyle w:val="17"/>
              <w:spacing w:before="10"/>
              <w:ind w:left="100" w:right="73"/>
              <w:rPr>
                <w:sz w:val="21"/>
              </w:rPr>
            </w:pPr>
            <w:r>
              <w:rPr>
                <w:sz w:val="21"/>
              </w:rPr>
              <w:t>十二月</w:t>
            </w:r>
          </w:p>
        </w:tc>
        <w:tc>
          <w:tcPr>
            <w:tcW w:w="1285" w:type="dxa"/>
            <w:tcBorders>
              <w:top w:val="single" w:color="000000" w:sz="4" w:space="0"/>
              <w:left w:val="single" w:color="000000" w:sz="4" w:space="0"/>
              <w:right w:val="single" w:color="000000" w:sz="4" w:space="0"/>
            </w:tcBorders>
          </w:tcPr>
          <w:p w14:paraId="01967D23">
            <w:pPr>
              <w:pStyle w:val="17"/>
              <w:spacing w:before="24"/>
              <w:ind w:left="106" w:right="77"/>
              <w:rPr>
                <w:rFonts w:ascii="Times New Roman"/>
                <w:sz w:val="21"/>
              </w:rPr>
            </w:pPr>
            <w:r>
              <w:rPr>
                <w:rFonts w:ascii="Times New Roman"/>
                <w:sz w:val="21"/>
              </w:rPr>
              <w:t>0.35</w:t>
            </w:r>
          </w:p>
        </w:tc>
        <w:tc>
          <w:tcPr>
            <w:tcW w:w="1036" w:type="dxa"/>
            <w:tcBorders>
              <w:top w:val="single" w:color="000000" w:sz="4" w:space="0"/>
              <w:left w:val="single" w:color="000000" w:sz="4" w:space="0"/>
              <w:right w:val="single" w:color="000000" w:sz="4" w:space="0"/>
            </w:tcBorders>
          </w:tcPr>
          <w:p w14:paraId="5D585B0B">
            <w:pPr>
              <w:pStyle w:val="17"/>
              <w:spacing w:before="24"/>
              <w:ind w:left="120" w:right="94"/>
              <w:rPr>
                <w:rFonts w:ascii="Times New Roman"/>
                <w:sz w:val="21"/>
              </w:rPr>
            </w:pPr>
            <w:r>
              <w:rPr>
                <w:rFonts w:ascii="Times New Roman"/>
                <w:sz w:val="21"/>
              </w:rPr>
              <w:t>0.5</w:t>
            </w:r>
          </w:p>
        </w:tc>
        <w:tc>
          <w:tcPr>
            <w:tcW w:w="1034" w:type="dxa"/>
            <w:tcBorders>
              <w:top w:val="single" w:color="000000" w:sz="4" w:space="0"/>
              <w:left w:val="single" w:color="000000" w:sz="4" w:space="0"/>
              <w:right w:val="nil"/>
            </w:tcBorders>
          </w:tcPr>
          <w:p w14:paraId="4E9EFDFD">
            <w:pPr>
              <w:pStyle w:val="17"/>
              <w:spacing w:before="24"/>
              <w:ind w:left="20"/>
              <w:rPr>
                <w:rFonts w:ascii="Times New Roman"/>
                <w:sz w:val="21"/>
              </w:rPr>
            </w:pPr>
            <w:r>
              <w:rPr>
                <w:rFonts w:ascii="Times New Roman"/>
                <w:w w:val="99"/>
                <w:sz w:val="21"/>
              </w:rPr>
              <w:t>1</w:t>
            </w:r>
          </w:p>
        </w:tc>
      </w:tr>
    </w:tbl>
    <w:p w14:paraId="573B18B0">
      <w:pPr>
        <w:pStyle w:val="10"/>
        <w:spacing w:before="12"/>
        <w:rPr>
          <w:b/>
        </w:rPr>
      </w:pPr>
    </w:p>
    <w:p w14:paraId="26347252">
      <w:pPr>
        <w:pStyle w:val="10"/>
        <w:spacing w:before="74"/>
        <w:ind w:left="900"/>
      </w:pPr>
      <w:r>
        <w:rPr>
          <w:rFonts w:ascii="Times New Roman" w:eastAsia="Times New Roman"/>
        </w:rPr>
        <w:t>5</w:t>
      </w:r>
      <w:r>
        <w:t>、估算模型参数</w:t>
      </w:r>
    </w:p>
    <w:p w14:paraId="588E203E">
      <w:pPr>
        <w:pStyle w:val="10"/>
        <w:spacing w:before="160"/>
        <w:ind w:left="900"/>
      </w:pPr>
      <w:r>
        <w:t>本项目估算模型参数见下表。</w:t>
      </w:r>
    </w:p>
    <w:p w14:paraId="2F4FCF46">
      <w:pPr>
        <w:pStyle w:val="9"/>
        <w:spacing w:before="81" w:after="3"/>
        <w:ind w:left="3494"/>
      </w:pPr>
      <w:r>
        <w:t xml:space="preserve">表 </w:t>
      </w:r>
      <w:r>
        <w:rPr>
          <w:rFonts w:ascii="Times New Roman" w:eastAsia="Times New Roman"/>
        </w:rPr>
        <w:t xml:space="preserve">4.1-14 </w:t>
      </w:r>
      <w:r>
        <w:t>项目估算模型参数表</w:t>
      </w:r>
    </w:p>
    <w:tbl>
      <w:tblPr>
        <w:tblStyle w:val="13"/>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93"/>
        <w:gridCol w:w="3213"/>
        <w:gridCol w:w="2605"/>
      </w:tblGrid>
      <w:tr w14:paraId="1FE67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1871A9EE">
            <w:pPr>
              <w:pStyle w:val="17"/>
              <w:spacing w:before="22"/>
              <w:ind w:left="2369" w:right="2357"/>
              <w:rPr>
                <w:sz w:val="21"/>
              </w:rPr>
            </w:pPr>
            <w:r>
              <w:rPr>
                <w:sz w:val="21"/>
              </w:rPr>
              <w:t>参数</w:t>
            </w:r>
          </w:p>
        </w:tc>
        <w:tc>
          <w:tcPr>
            <w:tcW w:w="2605" w:type="dxa"/>
            <w:tcBorders>
              <w:right w:val="nil"/>
            </w:tcBorders>
          </w:tcPr>
          <w:p w14:paraId="532EAD3E">
            <w:pPr>
              <w:pStyle w:val="17"/>
              <w:spacing w:before="22"/>
              <w:rPr>
                <w:sz w:val="21"/>
              </w:rPr>
            </w:pPr>
            <w:r>
              <w:rPr>
                <w:sz w:val="21"/>
              </w:rPr>
              <w:t>取值</w:t>
            </w:r>
          </w:p>
        </w:tc>
      </w:tr>
      <w:tr w14:paraId="20278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6452C5D1">
            <w:pPr>
              <w:pStyle w:val="17"/>
              <w:spacing w:before="182"/>
              <w:ind w:left="890"/>
              <w:jc w:val="left"/>
              <w:rPr>
                <w:sz w:val="21"/>
              </w:rPr>
            </w:pPr>
            <w:r>
              <w:rPr>
                <w:sz w:val="21"/>
              </w:rPr>
              <w:t>城市</w:t>
            </w:r>
            <w:r>
              <w:rPr>
                <w:rFonts w:ascii="Times New Roman" w:eastAsia="Times New Roman"/>
                <w:sz w:val="21"/>
              </w:rPr>
              <w:t>/</w:t>
            </w:r>
            <w:r>
              <w:rPr>
                <w:sz w:val="21"/>
              </w:rPr>
              <w:t>农村选项</w:t>
            </w:r>
          </w:p>
        </w:tc>
        <w:tc>
          <w:tcPr>
            <w:tcW w:w="3213" w:type="dxa"/>
          </w:tcPr>
          <w:p w14:paraId="6F156D87">
            <w:pPr>
              <w:pStyle w:val="17"/>
              <w:spacing w:before="21"/>
              <w:ind w:left="534" w:right="527"/>
              <w:rPr>
                <w:sz w:val="21"/>
              </w:rPr>
            </w:pPr>
            <w:r>
              <w:rPr>
                <w:sz w:val="21"/>
              </w:rPr>
              <w:t>城市</w:t>
            </w:r>
            <w:r>
              <w:rPr>
                <w:rFonts w:ascii="Times New Roman" w:eastAsia="Times New Roman"/>
                <w:sz w:val="21"/>
              </w:rPr>
              <w:t>/</w:t>
            </w:r>
            <w:r>
              <w:rPr>
                <w:sz w:val="21"/>
              </w:rPr>
              <w:t>农村</w:t>
            </w:r>
          </w:p>
        </w:tc>
        <w:tc>
          <w:tcPr>
            <w:tcW w:w="2605" w:type="dxa"/>
            <w:tcBorders>
              <w:right w:val="nil"/>
            </w:tcBorders>
          </w:tcPr>
          <w:p w14:paraId="599D1340">
            <w:pPr>
              <w:pStyle w:val="17"/>
              <w:spacing w:before="21"/>
              <w:rPr>
                <w:sz w:val="21"/>
              </w:rPr>
            </w:pPr>
            <w:r>
              <w:rPr>
                <w:sz w:val="21"/>
              </w:rPr>
              <w:t>农村</w:t>
            </w:r>
          </w:p>
        </w:tc>
      </w:tr>
      <w:tr w14:paraId="1666F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6CF689A6">
            <w:pPr>
              <w:rPr>
                <w:sz w:val="2"/>
                <w:szCs w:val="2"/>
              </w:rPr>
            </w:pPr>
          </w:p>
        </w:tc>
        <w:tc>
          <w:tcPr>
            <w:tcW w:w="3213" w:type="dxa"/>
          </w:tcPr>
          <w:p w14:paraId="70C4A4F6">
            <w:pPr>
              <w:pStyle w:val="17"/>
              <w:spacing w:before="21"/>
              <w:ind w:left="534" w:right="529"/>
              <w:rPr>
                <w:sz w:val="21"/>
              </w:rPr>
            </w:pPr>
            <w:r>
              <w:rPr>
                <w:sz w:val="21"/>
              </w:rPr>
              <w:t>人口数（城市选项时）</w:t>
            </w:r>
          </w:p>
        </w:tc>
        <w:tc>
          <w:tcPr>
            <w:tcW w:w="2605" w:type="dxa"/>
            <w:tcBorders>
              <w:right w:val="nil"/>
            </w:tcBorders>
          </w:tcPr>
          <w:p w14:paraId="260C3815">
            <w:pPr>
              <w:pStyle w:val="17"/>
              <w:spacing w:before="35"/>
              <w:ind w:left="5"/>
              <w:rPr>
                <w:rFonts w:ascii="Times New Roman"/>
                <w:sz w:val="21"/>
              </w:rPr>
            </w:pPr>
            <w:r>
              <w:rPr>
                <w:rFonts w:ascii="Times New Roman"/>
                <w:w w:val="99"/>
                <w:sz w:val="21"/>
              </w:rPr>
              <w:t>/</w:t>
            </w:r>
          </w:p>
        </w:tc>
      </w:tr>
      <w:tr w14:paraId="67B7B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5ADA9A32">
            <w:pPr>
              <w:pStyle w:val="17"/>
              <w:spacing w:before="21"/>
              <w:ind w:left="2369" w:right="2357"/>
              <w:rPr>
                <w:rFonts w:ascii="Times New Roman" w:hAnsi="Times New Roman" w:eastAsia="Times New Roman"/>
                <w:sz w:val="21"/>
              </w:rPr>
            </w:pPr>
            <w:r>
              <w:rPr>
                <w:sz w:val="21"/>
              </w:rPr>
              <w:t>最高环境温度</w:t>
            </w:r>
            <w:r>
              <w:rPr>
                <w:rFonts w:ascii="Times New Roman" w:hAnsi="Times New Roman" w:eastAsia="Times New Roman"/>
                <w:sz w:val="21"/>
              </w:rPr>
              <w:t>/℃</w:t>
            </w:r>
          </w:p>
        </w:tc>
        <w:tc>
          <w:tcPr>
            <w:tcW w:w="2605" w:type="dxa"/>
            <w:tcBorders>
              <w:right w:val="nil"/>
            </w:tcBorders>
          </w:tcPr>
          <w:p w14:paraId="1BE3E890">
            <w:pPr>
              <w:pStyle w:val="17"/>
              <w:spacing w:before="35"/>
              <w:rPr>
                <w:rFonts w:ascii="Times New Roman" w:hAnsi="Times New Roman"/>
                <w:sz w:val="21"/>
              </w:rPr>
            </w:pPr>
            <w:r>
              <w:rPr>
                <w:rFonts w:ascii="Times New Roman" w:hAnsi="Times New Roman"/>
                <w:sz w:val="21"/>
              </w:rPr>
              <w:t>40.4℃</w:t>
            </w:r>
          </w:p>
        </w:tc>
      </w:tr>
      <w:tr w14:paraId="40F7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6" w:type="dxa"/>
            <w:gridSpan w:val="2"/>
            <w:tcBorders>
              <w:left w:val="nil"/>
            </w:tcBorders>
          </w:tcPr>
          <w:p w14:paraId="41216944">
            <w:pPr>
              <w:pStyle w:val="17"/>
              <w:spacing w:before="20"/>
              <w:ind w:left="2369" w:right="2357"/>
              <w:rPr>
                <w:rFonts w:ascii="Times New Roman" w:hAnsi="Times New Roman" w:eastAsia="Times New Roman"/>
                <w:sz w:val="21"/>
              </w:rPr>
            </w:pPr>
            <w:r>
              <w:rPr>
                <w:sz w:val="21"/>
              </w:rPr>
              <w:t>最低环境温度</w:t>
            </w:r>
            <w:r>
              <w:rPr>
                <w:rFonts w:ascii="Times New Roman" w:hAnsi="Times New Roman" w:eastAsia="Times New Roman"/>
                <w:sz w:val="21"/>
              </w:rPr>
              <w:t>/℃</w:t>
            </w:r>
          </w:p>
        </w:tc>
        <w:tc>
          <w:tcPr>
            <w:tcW w:w="2605" w:type="dxa"/>
            <w:tcBorders>
              <w:right w:val="nil"/>
            </w:tcBorders>
          </w:tcPr>
          <w:p w14:paraId="58C488CA">
            <w:pPr>
              <w:pStyle w:val="17"/>
              <w:spacing w:before="34"/>
              <w:ind w:left="2"/>
              <w:rPr>
                <w:rFonts w:ascii="Times New Roman" w:hAnsi="Times New Roman"/>
                <w:sz w:val="21"/>
              </w:rPr>
            </w:pPr>
            <w:r>
              <w:rPr>
                <w:rFonts w:ascii="Times New Roman" w:hAnsi="Times New Roman"/>
                <w:sz w:val="21"/>
              </w:rPr>
              <w:t>-7.1℃</w:t>
            </w:r>
          </w:p>
        </w:tc>
      </w:tr>
      <w:tr w14:paraId="78BFC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06" w:type="dxa"/>
            <w:gridSpan w:val="2"/>
            <w:tcBorders>
              <w:left w:val="nil"/>
            </w:tcBorders>
          </w:tcPr>
          <w:p w14:paraId="3D573D7A">
            <w:pPr>
              <w:pStyle w:val="17"/>
              <w:spacing w:before="20"/>
              <w:ind w:left="2366" w:right="2357"/>
              <w:rPr>
                <w:sz w:val="21"/>
              </w:rPr>
            </w:pPr>
            <w:r>
              <w:rPr>
                <w:sz w:val="21"/>
              </w:rPr>
              <w:t>地表类型</w:t>
            </w:r>
          </w:p>
        </w:tc>
        <w:tc>
          <w:tcPr>
            <w:tcW w:w="2605" w:type="dxa"/>
            <w:tcBorders>
              <w:right w:val="nil"/>
            </w:tcBorders>
          </w:tcPr>
          <w:p w14:paraId="7A254A5B">
            <w:pPr>
              <w:pStyle w:val="17"/>
              <w:spacing w:before="20"/>
              <w:ind w:left="2"/>
              <w:rPr>
                <w:sz w:val="21"/>
              </w:rPr>
            </w:pPr>
            <w:r>
              <w:rPr>
                <w:sz w:val="21"/>
              </w:rPr>
              <w:t>城市</w:t>
            </w:r>
            <w:r>
              <w:rPr>
                <w:rFonts w:ascii="Times New Roman" w:eastAsia="Times New Roman"/>
                <w:sz w:val="21"/>
              </w:rPr>
              <w:t>/</w:t>
            </w:r>
            <w:r>
              <w:rPr>
                <w:sz w:val="21"/>
              </w:rPr>
              <w:t>农作地</w:t>
            </w:r>
          </w:p>
        </w:tc>
      </w:tr>
      <w:tr w14:paraId="2C1E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06" w:type="dxa"/>
            <w:gridSpan w:val="2"/>
            <w:tcBorders>
              <w:left w:val="nil"/>
            </w:tcBorders>
          </w:tcPr>
          <w:p w14:paraId="654DC1A8">
            <w:pPr>
              <w:pStyle w:val="17"/>
              <w:spacing w:before="22"/>
              <w:ind w:left="2369" w:right="2357"/>
              <w:rPr>
                <w:sz w:val="21"/>
              </w:rPr>
            </w:pPr>
            <w:r>
              <w:rPr>
                <w:sz w:val="21"/>
              </w:rPr>
              <w:t>区域湿度条件</w:t>
            </w:r>
          </w:p>
        </w:tc>
        <w:tc>
          <w:tcPr>
            <w:tcW w:w="2605" w:type="dxa"/>
            <w:tcBorders>
              <w:right w:val="nil"/>
            </w:tcBorders>
          </w:tcPr>
          <w:p w14:paraId="1D04DE90">
            <w:pPr>
              <w:pStyle w:val="17"/>
              <w:spacing w:before="22"/>
              <w:ind w:left="2"/>
              <w:rPr>
                <w:sz w:val="21"/>
              </w:rPr>
            </w:pPr>
            <w:r>
              <w:rPr>
                <w:sz w:val="21"/>
              </w:rPr>
              <w:t>潮湿气候</w:t>
            </w:r>
          </w:p>
        </w:tc>
      </w:tr>
      <w:tr w14:paraId="3E06C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15A10EFF">
            <w:pPr>
              <w:pStyle w:val="17"/>
              <w:spacing w:before="3"/>
              <w:jc w:val="left"/>
              <w:rPr>
                <w:b/>
                <w:sz w:val="14"/>
              </w:rPr>
            </w:pPr>
          </w:p>
          <w:p w14:paraId="4B53B391">
            <w:pPr>
              <w:pStyle w:val="17"/>
              <w:ind w:left="919"/>
              <w:jc w:val="left"/>
              <w:rPr>
                <w:sz w:val="21"/>
              </w:rPr>
            </w:pPr>
            <w:r>
              <w:rPr>
                <w:sz w:val="21"/>
              </w:rPr>
              <w:t>是否考虑地形</w:t>
            </w:r>
          </w:p>
        </w:tc>
        <w:tc>
          <w:tcPr>
            <w:tcW w:w="3213" w:type="dxa"/>
          </w:tcPr>
          <w:p w14:paraId="0E2EE903">
            <w:pPr>
              <w:pStyle w:val="17"/>
              <w:spacing w:before="22"/>
              <w:ind w:left="534" w:right="527"/>
              <w:rPr>
                <w:sz w:val="21"/>
              </w:rPr>
            </w:pPr>
            <w:r>
              <w:rPr>
                <w:sz w:val="21"/>
              </w:rPr>
              <w:t>考虑地形</w:t>
            </w:r>
          </w:p>
        </w:tc>
        <w:tc>
          <w:tcPr>
            <w:tcW w:w="2605" w:type="dxa"/>
            <w:tcBorders>
              <w:right w:val="nil"/>
            </w:tcBorders>
          </w:tcPr>
          <w:p w14:paraId="1626E63A">
            <w:pPr>
              <w:pStyle w:val="17"/>
              <w:tabs>
                <w:tab w:val="left" w:pos="631"/>
              </w:tabs>
              <w:spacing w:before="22"/>
              <w:rPr>
                <w:sz w:val="21"/>
              </w:rPr>
            </w:pPr>
            <w:r>
              <w:rPr>
                <w:rFonts w:hint="eastAsia" w:ascii="MS Gothic" w:hAnsi="MS Gothic" w:eastAsia="MS Gothic"/>
                <w:sz w:val="21"/>
              </w:rPr>
              <w:t>☑</w:t>
            </w:r>
            <w:r>
              <w:rPr>
                <w:sz w:val="21"/>
              </w:rPr>
              <w:t>是</w:t>
            </w:r>
            <w:r>
              <w:rPr>
                <w:sz w:val="21"/>
              </w:rPr>
              <w:tab/>
            </w:r>
            <w:r>
              <w:rPr>
                <w:rFonts w:ascii="Times New Roman" w:hAnsi="Times New Roman" w:eastAsia="Times New Roman"/>
                <w:sz w:val="21"/>
              </w:rPr>
              <w:t>□</w:t>
            </w:r>
            <w:r>
              <w:rPr>
                <w:sz w:val="21"/>
              </w:rPr>
              <w:t>否</w:t>
            </w:r>
          </w:p>
        </w:tc>
      </w:tr>
      <w:tr w14:paraId="5519E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3" w:type="dxa"/>
            <w:vMerge w:val="continue"/>
            <w:tcBorders>
              <w:top w:val="nil"/>
              <w:left w:val="nil"/>
            </w:tcBorders>
          </w:tcPr>
          <w:p w14:paraId="3816FBFC">
            <w:pPr>
              <w:rPr>
                <w:sz w:val="2"/>
                <w:szCs w:val="2"/>
              </w:rPr>
            </w:pPr>
          </w:p>
        </w:tc>
        <w:tc>
          <w:tcPr>
            <w:tcW w:w="3213" w:type="dxa"/>
          </w:tcPr>
          <w:p w14:paraId="527667EE">
            <w:pPr>
              <w:pStyle w:val="17"/>
              <w:spacing w:before="21"/>
              <w:ind w:left="534" w:right="527"/>
              <w:rPr>
                <w:rFonts w:ascii="Times New Roman" w:eastAsia="Times New Roman"/>
                <w:sz w:val="21"/>
              </w:rPr>
            </w:pPr>
            <w:r>
              <w:rPr>
                <w:sz w:val="21"/>
              </w:rPr>
              <w:t>地形数据分辨率</w:t>
            </w:r>
            <w:r>
              <w:rPr>
                <w:rFonts w:ascii="Times New Roman" w:eastAsia="Times New Roman"/>
                <w:sz w:val="21"/>
              </w:rPr>
              <w:t>/m</w:t>
            </w:r>
          </w:p>
        </w:tc>
        <w:tc>
          <w:tcPr>
            <w:tcW w:w="2605" w:type="dxa"/>
            <w:tcBorders>
              <w:right w:val="nil"/>
            </w:tcBorders>
          </w:tcPr>
          <w:p w14:paraId="140E7798">
            <w:pPr>
              <w:pStyle w:val="17"/>
              <w:spacing w:before="35"/>
              <w:ind w:left="3"/>
              <w:rPr>
                <w:rFonts w:ascii="Times New Roman"/>
                <w:sz w:val="21"/>
              </w:rPr>
            </w:pPr>
            <w:r>
              <w:rPr>
                <w:rFonts w:ascii="Times New Roman"/>
                <w:sz w:val="21"/>
              </w:rPr>
              <w:t>90</w:t>
            </w:r>
          </w:p>
        </w:tc>
      </w:tr>
      <w:tr w14:paraId="73FF9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restart"/>
            <w:tcBorders>
              <w:left w:val="nil"/>
            </w:tcBorders>
          </w:tcPr>
          <w:p w14:paraId="7F1B423A">
            <w:pPr>
              <w:pStyle w:val="17"/>
              <w:spacing w:before="9"/>
              <w:jc w:val="left"/>
              <w:rPr>
                <w:b/>
                <w:sz w:val="26"/>
              </w:rPr>
            </w:pPr>
          </w:p>
          <w:p w14:paraId="6941A9AD">
            <w:pPr>
              <w:pStyle w:val="17"/>
              <w:ind w:left="710"/>
              <w:jc w:val="left"/>
              <w:rPr>
                <w:sz w:val="21"/>
              </w:rPr>
            </w:pPr>
            <w:r>
              <w:rPr>
                <w:sz w:val="21"/>
              </w:rPr>
              <w:t>是否考虑岸线熏烟</w:t>
            </w:r>
          </w:p>
        </w:tc>
        <w:tc>
          <w:tcPr>
            <w:tcW w:w="3213" w:type="dxa"/>
          </w:tcPr>
          <w:p w14:paraId="5A651EA5">
            <w:pPr>
              <w:pStyle w:val="17"/>
              <w:spacing w:before="21"/>
              <w:ind w:left="534" w:right="529"/>
              <w:rPr>
                <w:sz w:val="21"/>
              </w:rPr>
            </w:pPr>
            <w:r>
              <w:rPr>
                <w:sz w:val="21"/>
              </w:rPr>
              <w:t>考虑岸线熏烟</w:t>
            </w:r>
          </w:p>
        </w:tc>
        <w:tc>
          <w:tcPr>
            <w:tcW w:w="2605" w:type="dxa"/>
            <w:tcBorders>
              <w:right w:val="nil"/>
            </w:tcBorders>
          </w:tcPr>
          <w:p w14:paraId="5D215014">
            <w:pPr>
              <w:pStyle w:val="17"/>
              <w:tabs>
                <w:tab w:val="left" w:pos="547"/>
              </w:tabs>
              <w:spacing w:before="21"/>
              <w:rPr>
                <w:sz w:val="21"/>
              </w:rPr>
            </w:pPr>
            <w:r>
              <w:rPr>
                <w:rFonts w:ascii="Times New Roman" w:hAnsi="Times New Roman" w:eastAsia="Times New Roman"/>
                <w:sz w:val="21"/>
              </w:rPr>
              <w:t>□</w:t>
            </w:r>
            <w:r>
              <w:rPr>
                <w:sz w:val="21"/>
              </w:rPr>
              <w:t>是</w:t>
            </w:r>
            <w:r>
              <w:rPr>
                <w:sz w:val="21"/>
              </w:rPr>
              <w:tab/>
            </w:r>
            <w:r>
              <w:rPr>
                <w:rFonts w:hint="eastAsia" w:ascii="MS Gothic" w:hAnsi="MS Gothic" w:eastAsia="MS Gothic"/>
                <w:sz w:val="21"/>
              </w:rPr>
              <w:t>☑</w:t>
            </w:r>
            <w:r>
              <w:rPr>
                <w:sz w:val="21"/>
              </w:rPr>
              <w:t>否</w:t>
            </w:r>
          </w:p>
        </w:tc>
      </w:tr>
      <w:tr w14:paraId="4055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4D2DF083">
            <w:pPr>
              <w:rPr>
                <w:sz w:val="2"/>
                <w:szCs w:val="2"/>
              </w:rPr>
            </w:pPr>
          </w:p>
        </w:tc>
        <w:tc>
          <w:tcPr>
            <w:tcW w:w="3213" w:type="dxa"/>
          </w:tcPr>
          <w:p w14:paraId="10492D52">
            <w:pPr>
              <w:pStyle w:val="17"/>
              <w:spacing w:before="20"/>
              <w:ind w:left="534" w:right="527"/>
              <w:rPr>
                <w:rFonts w:ascii="Times New Roman" w:eastAsia="Times New Roman"/>
                <w:sz w:val="21"/>
              </w:rPr>
            </w:pPr>
            <w:r>
              <w:rPr>
                <w:sz w:val="21"/>
              </w:rPr>
              <w:t>岸线距离</w:t>
            </w:r>
            <w:r>
              <w:rPr>
                <w:rFonts w:ascii="Times New Roman" w:eastAsia="Times New Roman"/>
                <w:sz w:val="21"/>
              </w:rPr>
              <w:t>/km</w:t>
            </w:r>
          </w:p>
        </w:tc>
        <w:tc>
          <w:tcPr>
            <w:tcW w:w="2605" w:type="dxa"/>
            <w:tcBorders>
              <w:right w:val="nil"/>
            </w:tcBorders>
          </w:tcPr>
          <w:p w14:paraId="58C7DAF3">
            <w:pPr>
              <w:pStyle w:val="17"/>
              <w:spacing w:before="34"/>
              <w:ind w:left="5"/>
              <w:rPr>
                <w:rFonts w:ascii="Times New Roman"/>
                <w:sz w:val="21"/>
              </w:rPr>
            </w:pPr>
            <w:r>
              <w:rPr>
                <w:rFonts w:ascii="Times New Roman"/>
                <w:w w:val="99"/>
                <w:sz w:val="21"/>
              </w:rPr>
              <w:t>/</w:t>
            </w:r>
          </w:p>
        </w:tc>
      </w:tr>
      <w:tr w14:paraId="6004C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3" w:type="dxa"/>
            <w:vMerge w:val="continue"/>
            <w:tcBorders>
              <w:top w:val="nil"/>
              <w:left w:val="nil"/>
            </w:tcBorders>
          </w:tcPr>
          <w:p w14:paraId="520BF8D0">
            <w:pPr>
              <w:rPr>
                <w:sz w:val="2"/>
                <w:szCs w:val="2"/>
              </w:rPr>
            </w:pPr>
          </w:p>
        </w:tc>
        <w:tc>
          <w:tcPr>
            <w:tcW w:w="3213" w:type="dxa"/>
          </w:tcPr>
          <w:p w14:paraId="2292BC2A">
            <w:pPr>
              <w:pStyle w:val="17"/>
              <w:spacing w:before="20"/>
              <w:ind w:left="534" w:right="527"/>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605" w:type="dxa"/>
            <w:tcBorders>
              <w:right w:val="nil"/>
            </w:tcBorders>
          </w:tcPr>
          <w:p w14:paraId="00204895">
            <w:pPr>
              <w:pStyle w:val="17"/>
              <w:spacing w:before="34"/>
              <w:ind w:left="5"/>
              <w:rPr>
                <w:rFonts w:ascii="Times New Roman"/>
                <w:sz w:val="21"/>
              </w:rPr>
            </w:pPr>
            <w:r>
              <w:rPr>
                <w:rFonts w:ascii="Times New Roman"/>
                <w:w w:val="99"/>
                <w:sz w:val="21"/>
              </w:rPr>
              <w:t>/</w:t>
            </w:r>
          </w:p>
        </w:tc>
      </w:tr>
    </w:tbl>
    <w:p w14:paraId="11331AD7">
      <w:pPr>
        <w:pStyle w:val="10"/>
        <w:spacing w:before="81"/>
        <w:ind w:left="900"/>
      </w:pPr>
      <w:r>
        <w:rPr>
          <w:rFonts w:ascii="Times New Roman" w:eastAsia="Times New Roman"/>
        </w:rPr>
        <w:t>6</w:t>
      </w:r>
      <w:r>
        <w:t>、关心点分布</w:t>
      </w:r>
    </w:p>
    <w:p w14:paraId="172F9621">
      <w:pPr>
        <w:pStyle w:val="10"/>
        <w:spacing w:before="160" w:line="364" w:lineRule="auto"/>
        <w:ind w:left="420" w:right="417" w:firstLine="480"/>
      </w:pPr>
      <w:r>
        <w:rPr>
          <w:spacing w:val="-9"/>
        </w:rPr>
        <w:t>根据现场调查，确定在大气环境影响评价范围内重点关注的受体</w:t>
      </w:r>
      <w:r>
        <w:t>（大气敏感点）主要情况见表</w:t>
      </w:r>
      <w:r>
        <w:rPr>
          <w:rFonts w:ascii="Times New Roman" w:eastAsia="Times New Roman"/>
        </w:rPr>
        <w:t>4.1-15</w:t>
      </w:r>
      <w:r>
        <w:t>。</w:t>
      </w:r>
    </w:p>
    <w:p w14:paraId="5BF2F841">
      <w:pPr>
        <w:pStyle w:val="9"/>
        <w:tabs>
          <w:tab w:val="left" w:pos="4684"/>
        </w:tabs>
        <w:spacing w:before="0" w:after="3" w:line="230" w:lineRule="exact"/>
        <w:ind w:left="3525"/>
      </w:pPr>
      <w:r>
        <w:t>表</w:t>
      </w:r>
      <w:r>
        <w:rPr>
          <w:spacing w:val="-62"/>
        </w:rPr>
        <w:t xml:space="preserve"> </w:t>
      </w:r>
      <w:r>
        <w:rPr>
          <w:rFonts w:ascii="Times New Roman" w:eastAsia="Times New Roman"/>
        </w:rPr>
        <w:t>4.1-15</w:t>
      </w:r>
      <w:r>
        <w:rPr>
          <w:rFonts w:ascii="Times New Roman" w:eastAsia="Times New Roman"/>
        </w:rPr>
        <w:tab/>
      </w:r>
      <w:r>
        <w:t>主要关心点分布表</w:t>
      </w:r>
    </w:p>
    <w:tbl>
      <w:tblPr>
        <w:tblStyle w:val="13"/>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974"/>
        <w:gridCol w:w="743"/>
        <w:gridCol w:w="764"/>
        <w:gridCol w:w="936"/>
        <w:gridCol w:w="936"/>
        <w:gridCol w:w="1137"/>
        <w:gridCol w:w="909"/>
        <w:gridCol w:w="815"/>
        <w:gridCol w:w="875"/>
      </w:tblGrid>
      <w:tr w14:paraId="15219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vMerge w:val="restart"/>
            <w:tcBorders>
              <w:left w:val="nil"/>
            </w:tcBorders>
          </w:tcPr>
          <w:p w14:paraId="225A340E">
            <w:pPr>
              <w:pStyle w:val="17"/>
              <w:spacing w:before="175" w:line="278" w:lineRule="auto"/>
              <w:ind w:left="113" w:right="98"/>
              <w:jc w:val="left"/>
              <w:rPr>
                <w:sz w:val="21"/>
              </w:rPr>
            </w:pPr>
            <w:r>
              <w:rPr>
                <w:sz w:val="21"/>
              </w:rPr>
              <w:t>序号</w:t>
            </w:r>
          </w:p>
        </w:tc>
        <w:tc>
          <w:tcPr>
            <w:tcW w:w="974" w:type="dxa"/>
            <w:vMerge w:val="restart"/>
          </w:tcPr>
          <w:p w14:paraId="0F06CDF7">
            <w:pPr>
              <w:pStyle w:val="17"/>
              <w:spacing w:before="11"/>
              <w:jc w:val="left"/>
              <w:rPr>
                <w:b/>
                <w:sz w:val="25"/>
              </w:rPr>
            </w:pPr>
          </w:p>
          <w:p w14:paraId="754FA40F">
            <w:pPr>
              <w:pStyle w:val="17"/>
              <w:ind w:left="277"/>
              <w:jc w:val="left"/>
              <w:rPr>
                <w:sz w:val="21"/>
              </w:rPr>
            </w:pPr>
            <w:r>
              <w:rPr>
                <w:sz w:val="21"/>
              </w:rPr>
              <w:t>名称</w:t>
            </w:r>
          </w:p>
        </w:tc>
        <w:tc>
          <w:tcPr>
            <w:tcW w:w="1507" w:type="dxa"/>
            <w:gridSpan w:val="2"/>
          </w:tcPr>
          <w:p w14:paraId="450750FF">
            <w:pPr>
              <w:pStyle w:val="17"/>
              <w:spacing w:before="33"/>
              <w:ind w:left="521" w:right="516"/>
              <w:rPr>
                <w:sz w:val="21"/>
              </w:rPr>
            </w:pPr>
            <w:r>
              <w:rPr>
                <w:sz w:val="21"/>
              </w:rPr>
              <w:t>坐标</w:t>
            </w:r>
          </w:p>
        </w:tc>
        <w:tc>
          <w:tcPr>
            <w:tcW w:w="936" w:type="dxa"/>
            <w:vMerge w:val="restart"/>
          </w:tcPr>
          <w:p w14:paraId="22E3BF76">
            <w:pPr>
              <w:pStyle w:val="17"/>
              <w:spacing w:before="175"/>
              <w:ind w:left="256"/>
              <w:jc w:val="left"/>
              <w:rPr>
                <w:sz w:val="21"/>
              </w:rPr>
            </w:pPr>
            <w:r>
              <w:rPr>
                <w:sz w:val="21"/>
              </w:rPr>
              <w:t>高程</w:t>
            </w:r>
          </w:p>
          <w:p w14:paraId="28D36601">
            <w:pPr>
              <w:pStyle w:val="17"/>
              <w:spacing w:before="43"/>
              <w:ind w:left="175"/>
              <w:jc w:val="left"/>
              <w:rPr>
                <w:sz w:val="21"/>
              </w:rPr>
            </w:pPr>
            <w:r>
              <w:rPr>
                <w:sz w:val="21"/>
              </w:rPr>
              <w:t>（</w:t>
            </w:r>
            <w:r>
              <w:rPr>
                <w:rFonts w:ascii="Times New Roman" w:eastAsia="Times New Roman"/>
                <w:sz w:val="21"/>
              </w:rPr>
              <w:t>m</w:t>
            </w:r>
            <w:r>
              <w:rPr>
                <w:sz w:val="21"/>
              </w:rPr>
              <w:t>）</w:t>
            </w:r>
          </w:p>
        </w:tc>
        <w:tc>
          <w:tcPr>
            <w:tcW w:w="936" w:type="dxa"/>
            <w:vMerge w:val="restart"/>
          </w:tcPr>
          <w:p w14:paraId="15F03801">
            <w:pPr>
              <w:pStyle w:val="17"/>
              <w:spacing w:before="175" w:line="278" w:lineRule="auto"/>
              <w:ind w:left="362" w:right="141" w:hanging="209"/>
              <w:jc w:val="left"/>
              <w:rPr>
                <w:sz w:val="21"/>
              </w:rPr>
            </w:pPr>
            <w:r>
              <w:rPr>
                <w:sz w:val="21"/>
              </w:rPr>
              <w:t>保护对象</w:t>
            </w:r>
          </w:p>
        </w:tc>
        <w:tc>
          <w:tcPr>
            <w:tcW w:w="1137" w:type="dxa"/>
            <w:vMerge w:val="restart"/>
          </w:tcPr>
          <w:p w14:paraId="3E80BFFC">
            <w:pPr>
              <w:pStyle w:val="17"/>
              <w:spacing w:before="11"/>
              <w:jc w:val="left"/>
              <w:rPr>
                <w:b/>
                <w:sz w:val="25"/>
              </w:rPr>
            </w:pPr>
          </w:p>
          <w:p w14:paraId="1D19E04F">
            <w:pPr>
              <w:pStyle w:val="17"/>
              <w:ind w:left="148"/>
              <w:jc w:val="left"/>
              <w:rPr>
                <w:sz w:val="21"/>
              </w:rPr>
            </w:pPr>
            <w:r>
              <w:rPr>
                <w:sz w:val="21"/>
              </w:rPr>
              <w:t>保护内容</w:t>
            </w:r>
          </w:p>
        </w:tc>
        <w:tc>
          <w:tcPr>
            <w:tcW w:w="909" w:type="dxa"/>
            <w:vMerge w:val="restart"/>
          </w:tcPr>
          <w:p w14:paraId="20136420">
            <w:pPr>
              <w:pStyle w:val="17"/>
              <w:spacing w:before="175" w:line="278" w:lineRule="auto"/>
              <w:ind w:left="242" w:right="128" w:hanging="104"/>
              <w:jc w:val="left"/>
              <w:rPr>
                <w:sz w:val="21"/>
              </w:rPr>
            </w:pPr>
            <w:r>
              <w:rPr>
                <w:sz w:val="21"/>
              </w:rPr>
              <w:t>保护功能区</w:t>
            </w:r>
          </w:p>
        </w:tc>
        <w:tc>
          <w:tcPr>
            <w:tcW w:w="815" w:type="dxa"/>
            <w:vMerge w:val="restart"/>
          </w:tcPr>
          <w:p w14:paraId="0F068C79">
            <w:pPr>
              <w:pStyle w:val="17"/>
              <w:spacing w:before="19" w:line="278" w:lineRule="auto"/>
              <w:ind w:left="195" w:right="189"/>
              <w:jc w:val="left"/>
              <w:rPr>
                <w:sz w:val="21"/>
              </w:rPr>
            </w:pPr>
            <w:r>
              <w:rPr>
                <w:w w:val="95"/>
                <w:sz w:val="21"/>
              </w:rPr>
              <w:t>相对厂址</w:t>
            </w:r>
          </w:p>
          <w:p w14:paraId="75ED530D">
            <w:pPr>
              <w:pStyle w:val="17"/>
              <w:spacing w:line="269" w:lineRule="exact"/>
              <w:ind w:left="195"/>
              <w:jc w:val="left"/>
              <w:rPr>
                <w:sz w:val="21"/>
              </w:rPr>
            </w:pPr>
            <w:r>
              <w:rPr>
                <w:w w:val="95"/>
                <w:sz w:val="21"/>
              </w:rPr>
              <w:t>方位</w:t>
            </w:r>
          </w:p>
        </w:tc>
        <w:tc>
          <w:tcPr>
            <w:tcW w:w="875" w:type="dxa"/>
            <w:vMerge w:val="restart"/>
            <w:tcBorders>
              <w:right w:val="nil"/>
            </w:tcBorders>
          </w:tcPr>
          <w:p w14:paraId="143B992F">
            <w:pPr>
              <w:pStyle w:val="17"/>
              <w:spacing w:before="19" w:line="278" w:lineRule="auto"/>
              <w:ind w:left="122" w:right="116"/>
              <w:rPr>
                <w:sz w:val="21"/>
              </w:rPr>
            </w:pPr>
            <w:r>
              <w:rPr>
                <w:w w:val="95"/>
                <w:sz w:val="21"/>
              </w:rPr>
              <w:t>相对厂界距离</w:t>
            </w:r>
          </w:p>
          <w:p w14:paraId="1A81E4BD">
            <w:pPr>
              <w:pStyle w:val="17"/>
              <w:spacing w:before="14"/>
              <w:ind w:left="118" w:right="116"/>
              <w:rPr>
                <w:rFonts w:ascii="Times New Roman"/>
                <w:sz w:val="21"/>
              </w:rPr>
            </w:pPr>
            <w:r>
              <w:rPr>
                <w:rFonts w:ascii="Times New Roman"/>
                <w:sz w:val="21"/>
              </w:rPr>
              <w:t>/m</w:t>
            </w:r>
          </w:p>
        </w:tc>
      </w:tr>
      <w:tr w14:paraId="3CB0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28" w:type="dxa"/>
            <w:vMerge w:val="continue"/>
            <w:tcBorders>
              <w:top w:val="nil"/>
              <w:left w:val="nil"/>
            </w:tcBorders>
          </w:tcPr>
          <w:p w14:paraId="7F973AC1">
            <w:pPr>
              <w:rPr>
                <w:sz w:val="2"/>
                <w:szCs w:val="2"/>
              </w:rPr>
            </w:pPr>
          </w:p>
        </w:tc>
        <w:tc>
          <w:tcPr>
            <w:tcW w:w="974" w:type="dxa"/>
            <w:vMerge w:val="continue"/>
            <w:tcBorders>
              <w:top w:val="nil"/>
            </w:tcBorders>
          </w:tcPr>
          <w:p w14:paraId="5400DA2D">
            <w:pPr>
              <w:rPr>
                <w:sz w:val="2"/>
                <w:szCs w:val="2"/>
              </w:rPr>
            </w:pPr>
          </w:p>
        </w:tc>
        <w:tc>
          <w:tcPr>
            <w:tcW w:w="743" w:type="dxa"/>
          </w:tcPr>
          <w:p w14:paraId="2C285D3F">
            <w:pPr>
              <w:pStyle w:val="17"/>
              <w:spacing w:before="170"/>
              <w:ind w:right="285"/>
              <w:jc w:val="right"/>
              <w:rPr>
                <w:rFonts w:ascii="Times New Roman"/>
                <w:sz w:val="21"/>
              </w:rPr>
            </w:pPr>
            <w:r>
              <w:rPr>
                <w:rFonts w:ascii="Times New Roman"/>
                <w:w w:val="99"/>
                <w:sz w:val="21"/>
              </w:rPr>
              <w:t>X</w:t>
            </w:r>
          </w:p>
        </w:tc>
        <w:tc>
          <w:tcPr>
            <w:tcW w:w="764" w:type="dxa"/>
          </w:tcPr>
          <w:p w14:paraId="6663C5E4">
            <w:pPr>
              <w:pStyle w:val="17"/>
              <w:spacing w:before="170"/>
              <w:ind w:left="8"/>
              <w:rPr>
                <w:rFonts w:ascii="Times New Roman"/>
                <w:sz w:val="21"/>
              </w:rPr>
            </w:pPr>
            <w:r>
              <w:rPr>
                <w:rFonts w:ascii="Times New Roman"/>
                <w:w w:val="99"/>
                <w:sz w:val="21"/>
              </w:rPr>
              <w:t>Y</w:t>
            </w:r>
          </w:p>
        </w:tc>
        <w:tc>
          <w:tcPr>
            <w:tcW w:w="936" w:type="dxa"/>
            <w:vMerge w:val="continue"/>
            <w:tcBorders>
              <w:top w:val="nil"/>
            </w:tcBorders>
          </w:tcPr>
          <w:p w14:paraId="18B83C6D">
            <w:pPr>
              <w:rPr>
                <w:sz w:val="2"/>
                <w:szCs w:val="2"/>
              </w:rPr>
            </w:pPr>
          </w:p>
        </w:tc>
        <w:tc>
          <w:tcPr>
            <w:tcW w:w="936" w:type="dxa"/>
            <w:vMerge w:val="continue"/>
            <w:tcBorders>
              <w:top w:val="nil"/>
            </w:tcBorders>
          </w:tcPr>
          <w:p w14:paraId="6D621597">
            <w:pPr>
              <w:rPr>
                <w:sz w:val="2"/>
                <w:szCs w:val="2"/>
              </w:rPr>
            </w:pPr>
          </w:p>
        </w:tc>
        <w:tc>
          <w:tcPr>
            <w:tcW w:w="1137" w:type="dxa"/>
            <w:vMerge w:val="continue"/>
            <w:tcBorders>
              <w:top w:val="nil"/>
            </w:tcBorders>
          </w:tcPr>
          <w:p w14:paraId="1E1B7122">
            <w:pPr>
              <w:rPr>
                <w:sz w:val="2"/>
                <w:szCs w:val="2"/>
              </w:rPr>
            </w:pPr>
          </w:p>
        </w:tc>
        <w:tc>
          <w:tcPr>
            <w:tcW w:w="909" w:type="dxa"/>
            <w:vMerge w:val="continue"/>
            <w:tcBorders>
              <w:top w:val="nil"/>
            </w:tcBorders>
          </w:tcPr>
          <w:p w14:paraId="13645268">
            <w:pPr>
              <w:rPr>
                <w:sz w:val="2"/>
                <w:szCs w:val="2"/>
              </w:rPr>
            </w:pPr>
          </w:p>
        </w:tc>
        <w:tc>
          <w:tcPr>
            <w:tcW w:w="815" w:type="dxa"/>
            <w:vMerge w:val="continue"/>
            <w:tcBorders>
              <w:top w:val="nil"/>
            </w:tcBorders>
          </w:tcPr>
          <w:p w14:paraId="49BF6A11">
            <w:pPr>
              <w:rPr>
                <w:sz w:val="2"/>
                <w:szCs w:val="2"/>
              </w:rPr>
            </w:pPr>
          </w:p>
        </w:tc>
        <w:tc>
          <w:tcPr>
            <w:tcW w:w="875" w:type="dxa"/>
            <w:vMerge w:val="continue"/>
            <w:tcBorders>
              <w:top w:val="nil"/>
              <w:right w:val="nil"/>
            </w:tcBorders>
          </w:tcPr>
          <w:p w14:paraId="506AEAF6">
            <w:pPr>
              <w:rPr>
                <w:sz w:val="2"/>
                <w:szCs w:val="2"/>
              </w:rPr>
            </w:pPr>
          </w:p>
        </w:tc>
      </w:tr>
      <w:tr w14:paraId="663C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tcBorders>
              <w:left w:val="nil"/>
            </w:tcBorders>
          </w:tcPr>
          <w:p w14:paraId="158EE929">
            <w:pPr>
              <w:pStyle w:val="17"/>
              <w:spacing w:before="47"/>
              <w:ind w:left="165"/>
              <w:jc w:val="left"/>
              <w:rPr>
                <w:rFonts w:ascii="Times New Roman"/>
                <w:sz w:val="21"/>
              </w:rPr>
            </w:pPr>
            <w:r>
              <w:rPr>
                <w:rFonts w:ascii="Times New Roman"/>
                <w:w w:val="99"/>
                <w:sz w:val="21"/>
              </w:rPr>
              <w:t>1</w:t>
            </w:r>
          </w:p>
        </w:tc>
        <w:tc>
          <w:tcPr>
            <w:tcW w:w="974" w:type="dxa"/>
          </w:tcPr>
          <w:p w14:paraId="16F44741">
            <w:pPr>
              <w:pStyle w:val="17"/>
              <w:spacing w:before="33"/>
              <w:ind w:left="151" w:right="142"/>
              <w:rPr>
                <w:sz w:val="21"/>
              </w:rPr>
            </w:pPr>
            <w:r>
              <w:rPr>
                <w:sz w:val="21"/>
              </w:rPr>
              <w:t>新书村</w:t>
            </w:r>
          </w:p>
        </w:tc>
        <w:tc>
          <w:tcPr>
            <w:tcW w:w="743" w:type="dxa"/>
          </w:tcPr>
          <w:p w14:paraId="2C7F6A62">
            <w:pPr>
              <w:pStyle w:val="17"/>
              <w:spacing w:before="47"/>
              <w:ind w:right="237"/>
              <w:jc w:val="right"/>
              <w:rPr>
                <w:rFonts w:ascii="Times New Roman"/>
                <w:sz w:val="21"/>
              </w:rPr>
            </w:pPr>
            <w:r>
              <w:rPr>
                <w:rFonts w:ascii="Times New Roman"/>
                <w:w w:val="95"/>
                <w:sz w:val="21"/>
              </w:rPr>
              <w:t>-691</w:t>
            </w:r>
          </w:p>
        </w:tc>
        <w:tc>
          <w:tcPr>
            <w:tcW w:w="764" w:type="dxa"/>
          </w:tcPr>
          <w:p w14:paraId="201CCBAF">
            <w:pPr>
              <w:pStyle w:val="17"/>
              <w:spacing w:before="47"/>
              <w:ind w:left="108"/>
              <w:jc w:val="left"/>
              <w:rPr>
                <w:rFonts w:ascii="Times New Roman"/>
                <w:sz w:val="21"/>
              </w:rPr>
            </w:pPr>
            <w:r>
              <w:rPr>
                <w:rFonts w:ascii="Times New Roman"/>
                <w:sz w:val="21"/>
              </w:rPr>
              <w:t>-158</w:t>
            </w:r>
          </w:p>
        </w:tc>
        <w:tc>
          <w:tcPr>
            <w:tcW w:w="936" w:type="dxa"/>
          </w:tcPr>
          <w:p w14:paraId="40AE60E0">
            <w:pPr>
              <w:pStyle w:val="17"/>
              <w:spacing w:before="47"/>
              <w:ind w:left="210" w:right="202"/>
              <w:rPr>
                <w:rFonts w:ascii="Times New Roman"/>
                <w:sz w:val="21"/>
              </w:rPr>
            </w:pPr>
            <w:r>
              <w:rPr>
                <w:rFonts w:ascii="Times New Roman"/>
                <w:sz w:val="21"/>
              </w:rPr>
              <w:t>64.83</w:t>
            </w:r>
          </w:p>
        </w:tc>
        <w:tc>
          <w:tcPr>
            <w:tcW w:w="936" w:type="dxa"/>
          </w:tcPr>
          <w:p w14:paraId="1C65BA3A">
            <w:pPr>
              <w:pStyle w:val="17"/>
              <w:spacing w:before="33"/>
              <w:ind w:left="207" w:right="202"/>
              <w:rPr>
                <w:sz w:val="21"/>
              </w:rPr>
            </w:pPr>
            <w:r>
              <w:rPr>
                <w:sz w:val="21"/>
              </w:rPr>
              <w:t>居民</w:t>
            </w:r>
          </w:p>
        </w:tc>
        <w:tc>
          <w:tcPr>
            <w:tcW w:w="1137" w:type="dxa"/>
          </w:tcPr>
          <w:p w14:paraId="653711E9">
            <w:pPr>
              <w:pStyle w:val="17"/>
              <w:spacing w:before="33"/>
              <w:ind w:left="8"/>
              <w:rPr>
                <w:sz w:val="21"/>
              </w:rPr>
            </w:pPr>
            <w:r>
              <w:rPr>
                <w:sz w:val="21"/>
              </w:rPr>
              <w:t xml:space="preserve">约 </w:t>
            </w:r>
            <w:r>
              <w:rPr>
                <w:rFonts w:ascii="Times New Roman" w:eastAsia="Times New Roman"/>
                <w:sz w:val="21"/>
              </w:rPr>
              <w:t xml:space="preserve">3000 </w:t>
            </w:r>
            <w:r>
              <w:rPr>
                <w:sz w:val="21"/>
              </w:rPr>
              <w:t>人</w:t>
            </w:r>
          </w:p>
        </w:tc>
        <w:tc>
          <w:tcPr>
            <w:tcW w:w="909" w:type="dxa"/>
          </w:tcPr>
          <w:p w14:paraId="62A97059">
            <w:pPr>
              <w:pStyle w:val="17"/>
              <w:spacing w:before="33"/>
              <w:ind w:left="119" w:right="110"/>
              <w:rPr>
                <w:sz w:val="21"/>
              </w:rPr>
            </w:pPr>
            <w:r>
              <w:rPr>
                <w:sz w:val="21"/>
              </w:rPr>
              <w:t>二类区</w:t>
            </w:r>
          </w:p>
        </w:tc>
        <w:tc>
          <w:tcPr>
            <w:tcW w:w="815" w:type="dxa"/>
          </w:tcPr>
          <w:p w14:paraId="55EF941D">
            <w:pPr>
              <w:pStyle w:val="17"/>
              <w:spacing w:before="33"/>
              <w:ind w:left="6"/>
              <w:rPr>
                <w:sz w:val="21"/>
              </w:rPr>
            </w:pPr>
            <w:r>
              <w:rPr>
                <w:w w:val="99"/>
                <w:sz w:val="21"/>
              </w:rPr>
              <w:t>西</w:t>
            </w:r>
          </w:p>
        </w:tc>
        <w:tc>
          <w:tcPr>
            <w:tcW w:w="875" w:type="dxa"/>
            <w:tcBorders>
              <w:right w:val="nil"/>
            </w:tcBorders>
          </w:tcPr>
          <w:p w14:paraId="0B4E17FB">
            <w:pPr>
              <w:pStyle w:val="17"/>
              <w:spacing w:before="47"/>
              <w:ind w:left="280"/>
              <w:jc w:val="left"/>
              <w:rPr>
                <w:rFonts w:ascii="Times New Roman"/>
                <w:sz w:val="21"/>
              </w:rPr>
            </w:pPr>
            <w:r>
              <w:rPr>
                <w:rFonts w:ascii="Times New Roman"/>
                <w:sz w:val="21"/>
              </w:rPr>
              <w:t>670</w:t>
            </w:r>
          </w:p>
        </w:tc>
      </w:tr>
      <w:tr w14:paraId="52528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6DF5E735">
            <w:pPr>
              <w:pStyle w:val="17"/>
              <w:spacing w:before="189"/>
              <w:ind w:left="165"/>
              <w:jc w:val="left"/>
              <w:rPr>
                <w:rFonts w:ascii="Times New Roman"/>
                <w:sz w:val="21"/>
              </w:rPr>
            </w:pPr>
            <w:r>
              <w:rPr>
                <w:rFonts w:ascii="Times New Roman"/>
                <w:w w:val="99"/>
                <w:sz w:val="21"/>
              </w:rPr>
              <w:t>2</w:t>
            </w:r>
          </w:p>
        </w:tc>
        <w:tc>
          <w:tcPr>
            <w:tcW w:w="974" w:type="dxa"/>
          </w:tcPr>
          <w:p w14:paraId="5DAC870B">
            <w:pPr>
              <w:pStyle w:val="17"/>
              <w:spacing w:before="175"/>
              <w:ind w:left="151" w:right="142"/>
              <w:rPr>
                <w:sz w:val="21"/>
              </w:rPr>
            </w:pPr>
            <w:r>
              <w:rPr>
                <w:sz w:val="21"/>
              </w:rPr>
              <w:t>八里村</w:t>
            </w:r>
          </w:p>
        </w:tc>
        <w:tc>
          <w:tcPr>
            <w:tcW w:w="743" w:type="dxa"/>
          </w:tcPr>
          <w:p w14:paraId="026AA956">
            <w:pPr>
              <w:pStyle w:val="17"/>
              <w:spacing w:before="189"/>
              <w:ind w:right="237"/>
              <w:jc w:val="right"/>
              <w:rPr>
                <w:rFonts w:ascii="Times New Roman"/>
                <w:sz w:val="21"/>
              </w:rPr>
            </w:pPr>
            <w:r>
              <w:rPr>
                <w:rFonts w:ascii="Times New Roman"/>
                <w:w w:val="95"/>
                <w:sz w:val="21"/>
              </w:rPr>
              <w:t>-698</w:t>
            </w:r>
          </w:p>
        </w:tc>
        <w:tc>
          <w:tcPr>
            <w:tcW w:w="764" w:type="dxa"/>
          </w:tcPr>
          <w:p w14:paraId="2D46962E">
            <w:pPr>
              <w:pStyle w:val="17"/>
              <w:spacing w:before="189"/>
              <w:ind w:left="108"/>
              <w:jc w:val="left"/>
              <w:rPr>
                <w:rFonts w:ascii="Times New Roman"/>
                <w:sz w:val="21"/>
              </w:rPr>
            </w:pPr>
            <w:r>
              <w:rPr>
                <w:rFonts w:ascii="Times New Roman"/>
                <w:sz w:val="21"/>
              </w:rPr>
              <w:t>-255</w:t>
            </w:r>
          </w:p>
        </w:tc>
        <w:tc>
          <w:tcPr>
            <w:tcW w:w="936" w:type="dxa"/>
          </w:tcPr>
          <w:p w14:paraId="1D974BAB">
            <w:pPr>
              <w:pStyle w:val="17"/>
              <w:spacing w:before="189"/>
              <w:ind w:left="210" w:right="202"/>
              <w:rPr>
                <w:rFonts w:ascii="Times New Roman"/>
                <w:sz w:val="21"/>
              </w:rPr>
            </w:pPr>
            <w:r>
              <w:rPr>
                <w:rFonts w:ascii="Times New Roman"/>
                <w:sz w:val="21"/>
              </w:rPr>
              <w:t>63.63</w:t>
            </w:r>
          </w:p>
        </w:tc>
        <w:tc>
          <w:tcPr>
            <w:tcW w:w="936" w:type="dxa"/>
          </w:tcPr>
          <w:p w14:paraId="0D7D7701">
            <w:pPr>
              <w:pStyle w:val="17"/>
              <w:spacing w:before="175"/>
              <w:ind w:left="207" w:right="202"/>
              <w:rPr>
                <w:sz w:val="21"/>
              </w:rPr>
            </w:pPr>
            <w:r>
              <w:rPr>
                <w:sz w:val="21"/>
              </w:rPr>
              <w:t>居民</w:t>
            </w:r>
          </w:p>
        </w:tc>
        <w:tc>
          <w:tcPr>
            <w:tcW w:w="1137" w:type="dxa"/>
          </w:tcPr>
          <w:p w14:paraId="34F140F0">
            <w:pPr>
              <w:pStyle w:val="17"/>
              <w:spacing w:before="19"/>
              <w:ind w:left="13"/>
              <w:rPr>
                <w:sz w:val="21"/>
              </w:rPr>
            </w:pPr>
            <w:r>
              <w:rPr>
                <w:sz w:val="21"/>
              </w:rPr>
              <w:t xml:space="preserve">约 </w:t>
            </w:r>
            <w:r>
              <w:rPr>
                <w:rFonts w:ascii="Times New Roman" w:eastAsia="Times New Roman"/>
                <w:sz w:val="21"/>
              </w:rPr>
              <w:t xml:space="preserve">200 </w:t>
            </w:r>
            <w:r>
              <w:rPr>
                <w:sz w:val="21"/>
              </w:rPr>
              <w:t>户，</w:t>
            </w:r>
          </w:p>
          <w:p w14:paraId="6B8BBAB2">
            <w:pPr>
              <w:pStyle w:val="17"/>
              <w:spacing w:before="43"/>
              <w:ind w:left="8"/>
              <w:rPr>
                <w:sz w:val="21"/>
              </w:rPr>
            </w:pPr>
            <w:r>
              <w:rPr>
                <w:sz w:val="21"/>
              </w:rPr>
              <w:t xml:space="preserve">约 </w:t>
            </w:r>
            <w:r>
              <w:rPr>
                <w:rFonts w:ascii="Times New Roman" w:eastAsia="Times New Roman"/>
                <w:sz w:val="21"/>
              </w:rPr>
              <w:t xml:space="preserve">700 </w:t>
            </w:r>
            <w:r>
              <w:rPr>
                <w:sz w:val="21"/>
              </w:rPr>
              <w:t>人</w:t>
            </w:r>
          </w:p>
        </w:tc>
        <w:tc>
          <w:tcPr>
            <w:tcW w:w="909" w:type="dxa"/>
          </w:tcPr>
          <w:p w14:paraId="7333936B">
            <w:pPr>
              <w:pStyle w:val="17"/>
              <w:spacing w:before="175"/>
              <w:ind w:left="119" w:right="110"/>
              <w:rPr>
                <w:sz w:val="21"/>
              </w:rPr>
            </w:pPr>
            <w:r>
              <w:rPr>
                <w:sz w:val="21"/>
              </w:rPr>
              <w:t>二类区</w:t>
            </w:r>
          </w:p>
        </w:tc>
        <w:tc>
          <w:tcPr>
            <w:tcW w:w="815" w:type="dxa"/>
          </w:tcPr>
          <w:p w14:paraId="67BE044C">
            <w:pPr>
              <w:pStyle w:val="17"/>
              <w:spacing w:before="175"/>
              <w:ind w:left="6"/>
              <w:rPr>
                <w:sz w:val="21"/>
              </w:rPr>
            </w:pPr>
            <w:r>
              <w:rPr>
                <w:w w:val="99"/>
                <w:sz w:val="21"/>
              </w:rPr>
              <w:t>西</w:t>
            </w:r>
          </w:p>
        </w:tc>
        <w:tc>
          <w:tcPr>
            <w:tcW w:w="875" w:type="dxa"/>
            <w:tcBorders>
              <w:right w:val="nil"/>
            </w:tcBorders>
          </w:tcPr>
          <w:p w14:paraId="407FAAEC">
            <w:pPr>
              <w:pStyle w:val="17"/>
              <w:spacing w:before="189"/>
              <w:ind w:left="280"/>
              <w:jc w:val="left"/>
              <w:rPr>
                <w:rFonts w:ascii="Times New Roman"/>
                <w:sz w:val="21"/>
              </w:rPr>
            </w:pPr>
            <w:r>
              <w:rPr>
                <w:rFonts w:ascii="Times New Roman"/>
                <w:sz w:val="21"/>
              </w:rPr>
              <w:t>700</w:t>
            </w:r>
          </w:p>
        </w:tc>
      </w:tr>
      <w:tr w14:paraId="726BD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28" w:type="dxa"/>
            <w:tcBorders>
              <w:left w:val="nil"/>
            </w:tcBorders>
          </w:tcPr>
          <w:p w14:paraId="006B405D">
            <w:pPr>
              <w:pStyle w:val="17"/>
              <w:spacing w:before="47"/>
              <w:ind w:left="165"/>
              <w:jc w:val="left"/>
              <w:rPr>
                <w:rFonts w:ascii="Times New Roman"/>
                <w:sz w:val="21"/>
              </w:rPr>
            </w:pPr>
            <w:r>
              <w:rPr>
                <w:rFonts w:ascii="Times New Roman"/>
                <w:w w:val="99"/>
                <w:sz w:val="21"/>
              </w:rPr>
              <w:t>3</w:t>
            </w:r>
          </w:p>
        </w:tc>
        <w:tc>
          <w:tcPr>
            <w:tcW w:w="974" w:type="dxa"/>
          </w:tcPr>
          <w:p w14:paraId="52048726">
            <w:pPr>
              <w:pStyle w:val="17"/>
              <w:spacing w:before="33"/>
              <w:ind w:left="151" w:right="142"/>
              <w:rPr>
                <w:sz w:val="21"/>
              </w:rPr>
            </w:pPr>
            <w:r>
              <w:rPr>
                <w:sz w:val="21"/>
              </w:rPr>
              <w:t>新桥村</w:t>
            </w:r>
          </w:p>
        </w:tc>
        <w:tc>
          <w:tcPr>
            <w:tcW w:w="743" w:type="dxa"/>
          </w:tcPr>
          <w:p w14:paraId="35A3B628">
            <w:pPr>
              <w:pStyle w:val="17"/>
              <w:spacing w:before="47"/>
              <w:ind w:right="237"/>
              <w:jc w:val="right"/>
              <w:rPr>
                <w:rFonts w:ascii="Times New Roman"/>
                <w:sz w:val="21"/>
              </w:rPr>
            </w:pPr>
            <w:r>
              <w:rPr>
                <w:rFonts w:ascii="Times New Roman"/>
                <w:w w:val="95"/>
                <w:sz w:val="21"/>
              </w:rPr>
              <w:t>-795</w:t>
            </w:r>
          </w:p>
        </w:tc>
        <w:tc>
          <w:tcPr>
            <w:tcW w:w="764" w:type="dxa"/>
          </w:tcPr>
          <w:p w14:paraId="6F553285">
            <w:pPr>
              <w:pStyle w:val="17"/>
              <w:spacing w:before="47"/>
              <w:ind w:left="108"/>
              <w:jc w:val="left"/>
              <w:rPr>
                <w:rFonts w:ascii="Times New Roman"/>
                <w:sz w:val="21"/>
              </w:rPr>
            </w:pPr>
            <w:r>
              <w:rPr>
                <w:rFonts w:ascii="Times New Roman"/>
                <w:sz w:val="21"/>
              </w:rPr>
              <w:t>-1454</w:t>
            </w:r>
          </w:p>
        </w:tc>
        <w:tc>
          <w:tcPr>
            <w:tcW w:w="936" w:type="dxa"/>
          </w:tcPr>
          <w:p w14:paraId="375DB2E5">
            <w:pPr>
              <w:pStyle w:val="17"/>
              <w:spacing w:before="47"/>
              <w:ind w:left="210" w:right="202"/>
              <w:rPr>
                <w:rFonts w:ascii="Times New Roman"/>
                <w:sz w:val="21"/>
              </w:rPr>
            </w:pPr>
            <w:r>
              <w:rPr>
                <w:rFonts w:ascii="Times New Roman"/>
                <w:sz w:val="21"/>
              </w:rPr>
              <w:t>68</w:t>
            </w:r>
          </w:p>
        </w:tc>
        <w:tc>
          <w:tcPr>
            <w:tcW w:w="936" w:type="dxa"/>
          </w:tcPr>
          <w:p w14:paraId="36583CD2">
            <w:pPr>
              <w:pStyle w:val="17"/>
              <w:spacing w:before="33"/>
              <w:ind w:left="207" w:right="202"/>
              <w:rPr>
                <w:sz w:val="21"/>
              </w:rPr>
            </w:pPr>
            <w:r>
              <w:rPr>
                <w:sz w:val="21"/>
              </w:rPr>
              <w:t>居民</w:t>
            </w:r>
          </w:p>
        </w:tc>
        <w:tc>
          <w:tcPr>
            <w:tcW w:w="1137" w:type="dxa"/>
          </w:tcPr>
          <w:p w14:paraId="008EFCE5">
            <w:pPr>
              <w:pStyle w:val="17"/>
              <w:spacing w:before="33"/>
              <w:ind w:left="13"/>
              <w:rPr>
                <w:sz w:val="21"/>
              </w:rPr>
            </w:pPr>
            <w:r>
              <w:rPr>
                <w:sz w:val="21"/>
              </w:rPr>
              <w:t xml:space="preserve">约 </w:t>
            </w:r>
            <w:r>
              <w:rPr>
                <w:rFonts w:ascii="Times New Roman" w:eastAsia="Times New Roman"/>
                <w:sz w:val="21"/>
              </w:rPr>
              <w:t xml:space="preserve">160 </w:t>
            </w:r>
            <w:r>
              <w:rPr>
                <w:sz w:val="21"/>
              </w:rPr>
              <w:t>户，</w:t>
            </w:r>
          </w:p>
        </w:tc>
        <w:tc>
          <w:tcPr>
            <w:tcW w:w="909" w:type="dxa"/>
          </w:tcPr>
          <w:p w14:paraId="4CF617FB">
            <w:pPr>
              <w:pStyle w:val="17"/>
              <w:spacing w:before="33"/>
              <w:ind w:left="119" w:right="110"/>
              <w:rPr>
                <w:sz w:val="21"/>
              </w:rPr>
            </w:pPr>
            <w:r>
              <w:rPr>
                <w:sz w:val="21"/>
              </w:rPr>
              <w:t>二类区</w:t>
            </w:r>
          </w:p>
        </w:tc>
        <w:tc>
          <w:tcPr>
            <w:tcW w:w="815" w:type="dxa"/>
          </w:tcPr>
          <w:p w14:paraId="33FA7FD2">
            <w:pPr>
              <w:pStyle w:val="17"/>
              <w:spacing w:before="33"/>
              <w:ind w:left="174" w:right="171"/>
              <w:rPr>
                <w:sz w:val="21"/>
              </w:rPr>
            </w:pPr>
            <w:r>
              <w:rPr>
                <w:sz w:val="21"/>
              </w:rPr>
              <w:t>西南</w:t>
            </w:r>
          </w:p>
        </w:tc>
        <w:tc>
          <w:tcPr>
            <w:tcW w:w="875" w:type="dxa"/>
            <w:tcBorders>
              <w:right w:val="nil"/>
            </w:tcBorders>
          </w:tcPr>
          <w:p w14:paraId="75D98BF5">
            <w:pPr>
              <w:pStyle w:val="17"/>
              <w:spacing w:before="47"/>
              <w:ind w:left="227"/>
              <w:jc w:val="left"/>
              <w:rPr>
                <w:rFonts w:ascii="Times New Roman"/>
                <w:sz w:val="21"/>
              </w:rPr>
            </w:pPr>
            <w:r>
              <w:rPr>
                <w:rFonts w:ascii="Times New Roman"/>
                <w:sz w:val="21"/>
              </w:rPr>
              <w:t>1610</w:t>
            </w:r>
          </w:p>
        </w:tc>
      </w:tr>
    </w:tbl>
    <w:p w14:paraId="4A2E6DCE">
      <w:pPr>
        <w:spacing w:after="0"/>
        <w:jc w:val="left"/>
        <w:rPr>
          <w:rFonts w:ascii="Times New Roman"/>
          <w:sz w:val="21"/>
        </w:rPr>
        <w:sectPr>
          <w:footerReference r:id="rId27" w:type="default"/>
          <w:pgSz w:w="11910" w:h="16840"/>
          <w:pgMar w:top="1420" w:right="1380" w:bottom="1380" w:left="1380" w:header="0" w:footer="1192" w:gutter="0"/>
          <w:pgNumType w:start="100"/>
          <w:cols w:space="720" w:num="1"/>
        </w:sectPr>
      </w:pPr>
    </w:p>
    <w:tbl>
      <w:tblPr>
        <w:tblStyle w:val="13"/>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8"/>
        <w:gridCol w:w="974"/>
        <w:gridCol w:w="743"/>
        <w:gridCol w:w="764"/>
        <w:gridCol w:w="936"/>
        <w:gridCol w:w="936"/>
        <w:gridCol w:w="1137"/>
        <w:gridCol w:w="909"/>
        <w:gridCol w:w="815"/>
        <w:gridCol w:w="875"/>
      </w:tblGrid>
      <w:tr w14:paraId="2E1ED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 w:type="dxa"/>
            <w:tcBorders>
              <w:left w:val="nil"/>
            </w:tcBorders>
          </w:tcPr>
          <w:p w14:paraId="52E9F9BB">
            <w:pPr>
              <w:pStyle w:val="17"/>
              <w:jc w:val="left"/>
              <w:rPr>
                <w:rFonts w:ascii="Times New Roman"/>
                <w:sz w:val="22"/>
              </w:rPr>
            </w:pPr>
          </w:p>
        </w:tc>
        <w:tc>
          <w:tcPr>
            <w:tcW w:w="974" w:type="dxa"/>
          </w:tcPr>
          <w:p w14:paraId="5CFDFA20">
            <w:pPr>
              <w:pStyle w:val="17"/>
              <w:jc w:val="left"/>
              <w:rPr>
                <w:rFonts w:ascii="Times New Roman"/>
                <w:sz w:val="22"/>
              </w:rPr>
            </w:pPr>
          </w:p>
        </w:tc>
        <w:tc>
          <w:tcPr>
            <w:tcW w:w="743" w:type="dxa"/>
          </w:tcPr>
          <w:p w14:paraId="5431A44D">
            <w:pPr>
              <w:pStyle w:val="17"/>
              <w:jc w:val="left"/>
              <w:rPr>
                <w:rFonts w:ascii="Times New Roman"/>
                <w:sz w:val="22"/>
              </w:rPr>
            </w:pPr>
          </w:p>
        </w:tc>
        <w:tc>
          <w:tcPr>
            <w:tcW w:w="764" w:type="dxa"/>
          </w:tcPr>
          <w:p w14:paraId="3ADD2BF1">
            <w:pPr>
              <w:pStyle w:val="17"/>
              <w:jc w:val="left"/>
              <w:rPr>
                <w:rFonts w:ascii="Times New Roman"/>
                <w:sz w:val="22"/>
              </w:rPr>
            </w:pPr>
          </w:p>
        </w:tc>
        <w:tc>
          <w:tcPr>
            <w:tcW w:w="936" w:type="dxa"/>
          </w:tcPr>
          <w:p w14:paraId="1F93D52D">
            <w:pPr>
              <w:pStyle w:val="17"/>
              <w:jc w:val="left"/>
              <w:rPr>
                <w:rFonts w:ascii="Times New Roman"/>
                <w:sz w:val="22"/>
              </w:rPr>
            </w:pPr>
          </w:p>
        </w:tc>
        <w:tc>
          <w:tcPr>
            <w:tcW w:w="936" w:type="dxa"/>
          </w:tcPr>
          <w:p w14:paraId="4B49A567">
            <w:pPr>
              <w:pStyle w:val="17"/>
              <w:jc w:val="left"/>
              <w:rPr>
                <w:rFonts w:ascii="Times New Roman"/>
                <w:sz w:val="22"/>
              </w:rPr>
            </w:pPr>
          </w:p>
        </w:tc>
        <w:tc>
          <w:tcPr>
            <w:tcW w:w="1137" w:type="dxa"/>
          </w:tcPr>
          <w:p w14:paraId="299728C6">
            <w:pPr>
              <w:pStyle w:val="17"/>
              <w:spacing w:before="21"/>
              <w:ind w:left="148"/>
              <w:jc w:val="left"/>
              <w:rPr>
                <w:sz w:val="21"/>
              </w:rPr>
            </w:pPr>
            <w:r>
              <w:rPr>
                <w:sz w:val="21"/>
              </w:rPr>
              <w:t xml:space="preserve">约 </w:t>
            </w:r>
            <w:r>
              <w:rPr>
                <w:rFonts w:ascii="Times New Roman" w:eastAsia="Times New Roman"/>
                <w:sz w:val="21"/>
              </w:rPr>
              <w:t xml:space="preserve">560 </w:t>
            </w:r>
            <w:r>
              <w:rPr>
                <w:sz w:val="21"/>
              </w:rPr>
              <w:t>人</w:t>
            </w:r>
          </w:p>
        </w:tc>
        <w:tc>
          <w:tcPr>
            <w:tcW w:w="909" w:type="dxa"/>
          </w:tcPr>
          <w:p w14:paraId="0C358152">
            <w:pPr>
              <w:pStyle w:val="17"/>
              <w:jc w:val="left"/>
              <w:rPr>
                <w:rFonts w:ascii="Times New Roman"/>
                <w:sz w:val="22"/>
              </w:rPr>
            </w:pPr>
          </w:p>
        </w:tc>
        <w:tc>
          <w:tcPr>
            <w:tcW w:w="815" w:type="dxa"/>
          </w:tcPr>
          <w:p w14:paraId="083653E3">
            <w:pPr>
              <w:pStyle w:val="17"/>
              <w:jc w:val="left"/>
              <w:rPr>
                <w:rFonts w:ascii="Times New Roman"/>
                <w:sz w:val="22"/>
              </w:rPr>
            </w:pPr>
          </w:p>
        </w:tc>
        <w:tc>
          <w:tcPr>
            <w:tcW w:w="875" w:type="dxa"/>
            <w:tcBorders>
              <w:right w:val="nil"/>
            </w:tcBorders>
          </w:tcPr>
          <w:p w14:paraId="49E7A428">
            <w:pPr>
              <w:pStyle w:val="17"/>
              <w:jc w:val="left"/>
              <w:rPr>
                <w:rFonts w:ascii="Times New Roman"/>
                <w:sz w:val="22"/>
              </w:rPr>
            </w:pPr>
          </w:p>
        </w:tc>
      </w:tr>
      <w:tr w14:paraId="12C3C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8" w:type="dxa"/>
            <w:tcBorders>
              <w:left w:val="nil"/>
            </w:tcBorders>
          </w:tcPr>
          <w:p w14:paraId="0FF08570">
            <w:pPr>
              <w:pStyle w:val="17"/>
              <w:spacing w:before="191"/>
              <w:ind w:left="165"/>
              <w:jc w:val="left"/>
              <w:rPr>
                <w:rFonts w:ascii="Times New Roman"/>
                <w:sz w:val="21"/>
              </w:rPr>
            </w:pPr>
            <w:r>
              <w:rPr>
                <w:rFonts w:ascii="Times New Roman"/>
                <w:w w:val="99"/>
                <w:sz w:val="21"/>
              </w:rPr>
              <w:t>4</w:t>
            </w:r>
          </w:p>
        </w:tc>
        <w:tc>
          <w:tcPr>
            <w:tcW w:w="974" w:type="dxa"/>
          </w:tcPr>
          <w:p w14:paraId="37F6CA89">
            <w:pPr>
              <w:pStyle w:val="17"/>
              <w:spacing w:before="21"/>
              <w:ind w:left="151" w:right="142"/>
              <w:rPr>
                <w:sz w:val="21"/>
              </w:rPr>
            </w:pPr>
            <w:r>
              <w:rPr>
                <w:sz w:val="21"/>
              </w:rPr>
              <w:t>童家塅</w:t>
            </w:r>
          </w:p>
          <w:p w14:paraId="45694538">
            <w:pPr>
              <w:pStyle w:val="17"/>
              <w:spacing w:before="43"/>
              <w:ind w:left="6"/>
              <w:rPr>
                <w:sz w:val="21"/>
              </w:rPr>
            </w:pPr>
            <w:r>
              <w:rPr>
                <w:w w:val="99"/>
                <w:sz w:val="21"/>
              </w:rPr>
              <w:t>村</w:t>
            </w:r>
          </w:p>
        </w:tc>
        <w:tc>
          <w:tcPr>
            <w:tcW w:w="743" w:type="dxa"/>
          </w:tcPr>
          <w:p w14:paraId="3292F831">
            <w:pPr>
              <w:pStyle w:val="17"/>
              <w:spacing w:before="191"/>
              <w:ind w:left="107"/>
              <w:jc w:val="left"/>
              <w:rPr>
                <w:rFonts w:ascii="Times New Roman"/>
                <w:sz w:val="21"/>
              </w:rPr>
            </w:pPr>
            <w:r>
              <w:rPr>
                <w:rFonts w:ascii="Times New Roman"/>
                <w:sz w:val="21"/>
              </w:rPr>
              <w:t>-4436</w:t>
            </w:r>
          </w:p>
        </w:tc>
        <w:tc>
          <w:tcPr>
            <w:tcW w:w="764" w:type="dxa"/>
          </w:tcPr>
          <w:p w14:paraId="37825AE9">
            <w:pPr>
              <w:pStyle w:val="17"/>
              <w:spacing w:before="191"/>
              <w:ind w:left="108"/>
              <w:jc w:val="left"/>
              <w:rPr>
                <w:rFonts w:ascii="Times New Roman"/>
                <w:sz w:val="21"/>
              </w:rPr>
            </w:pPr>
            <w:r>
              <w:rPr>
                <w:rFonts w:ascii="Times New Roman"/>
                <w:sz w:val="21"/>
              </w:rPr>
              <w:t>374</w:t>
            </w:r>
          </w:p>
        </w:tc>
        <w:tc>
          <w:tcPr>
            <w:tcW w:w="936" w:type="dxa"/>
          </w:tcPr>
          <w:p w14:paraId="2A0839AA">
            <w:pPr>
              <w:pStyle w:val="17"/>
              <w:spacing w:before="191"/>
              <w:ind w:left="230"/>
              <w:jc w:val="left"/>
              <w:rPr>
                <w:rFonts w:ascii="Times New Roman"/>
                <w:sz w:val="21"/>
              </w:rPr>
            </w:pPr>
            <w:r>
              <w:rPr>
                <w:rFonts w:ascii="Times New Roman"/>
                <w:sz w:val="21"/>
              </w:rPr>
              <w:t>43.33</w:t>
            </w:r>
          </w:p>
        </w:tc>
        <w:tc>
          <w:tcPr>
            <w:tcW w:w="936" w:type="dxa"/>
          </w:tcPr>
          <w:p w14:paraId="7B89044A">
            <w:pPr>
              <w:pStyle w:val="17"/>
              <w:spacing w:before="177"/>
              <w:ind w:left="207" w:right="202"/>
              <w:rPr>
                <w:sz w:val="21"/>
              </w:rPr>
            </w:pPr>
            <w:r>
              <w:rPr>
                <w:sz w:val="21"/>
              </w:rPr>
              <w:t>居民</w:t>
            </w:r>
          </w:p>
        </w:tc>
        <w:tc>
          <w:tcPr>
            <w:tcW w:w="1137" w:type="dxa"/>
          </w:tcPr>
          <w:p w14:paraId="37C4E0BC">
            <w:pPr>
              <w:pStyle w:val="17"/>
              <w:spacing w:before="21"/>
              <w:ind w:left="13"/>
              <w:rPr>
                <w:sz w:val="21"/>
              </w:rPr>
            </w:pPr>
            <w:r>
              <w:rPr>
                <w:sz w:val="21"/>
              </w:rPr>
              <w:t xml:space="preserve">约 </w:t>
            </w:r>
            <w:r>
              <w:rPr>
                <w:rFonts w:ascii="Times New Roman" w:eastAsia="Times New Roman"/>
                <w:sz w:val="21"/>
              </w:rPr>
              <w:t xml:space="preserve">180 </w:t>
            </w:r>
            <w:r>
              <w:rPr>
                <w:sz w:val="21"/>
              </w:rPr>
              <w:t>户，</w:t>
            </w:r>
          </w:p>
          <w:p w14:paraId="0C10A332">
            <w:pPr>
              <w:pStyle w:val="17"/>
              <w:spacing w:before="43"/>
              <w:ind w:left="8"/>
              <w:rPr>
                <w:sz w:val="21"/>
              </w:rPr>
            </w:pPr>
            <w:r>
              <w:rPr>
                <w:sz w:val="21"/>
              </w:rPr>
              <w:t xml:space="preserve">约 </w:t>
            </w:r>
            <w:r>
              <w:rPr>
                <w:rFonts w:ascii="Times New Roman" w:eastAsia="Times New Roman"/>
                <w:sz w:val="21"/>
              </w:rPr>
              <w:t xml:space="preserve">630 </w:t>
            </w:r>
            <w:r>
              <w:rPr>
                <w:sz w:val="21"/>
              </w:rPr>
              <w:t>人</w:t>
            </w:r>
          </w:p>
        </w:tc>
        <w:tc>
          <w:tcPr>
            <w:tcW w:w="909" w:type="dxa"/>
          </w:tcPr>
          <w:p w14:paraId="4C29A4AE">
            <w:pPr>
              <w:pStyle w:val="17"/>
              <w:spacing w:before="177"/>
              <w:ind w:left="119" w:right="110"/>
              <w:rPr>
                <w:sz w:val="21"/>
              </w:rPr>
            </w:pPr>
            <w:r>
              <w:rPr>
                <w:sz w:val="21"/>
              </w:rPr>
              <w:t>二类区</w:t>
            </w:r>
          </w:p>
        </w:tc>
        <w:tc>
          <w:tcPr>
            <w:tcW w:w="815" w:type="dxa"/>
          </w:tcPr>
          <w:p w14:paraId="1955D05C">
            <w:pPr>
              <w:pStyle w:val="17"/>
              <w:spacing w:before="177"/>
              <w:ind w:left="6"/>
              <w:rPr>
                <w:sz w:val="21"/>
              </w:rPr>
            </w:pPr>
            <w:r>
              <w:rPr>
                <w:w w:val="99"/>
                <w:sz w:val="21"/>
              </w:rPr>
              <w:t>东</w:t>
            </w:r>
          </w:p>
        </w:tc>
        <w:tc>
          <w:tcPr>
            <w:tcW w:w="875" w:type="dxa"/>
            <w:tcBorders>
              <w:right w:val="nil"/>
            </w:tcBorders>
          </w:tcPr>
          <w:p w14:paraId="6DCA5A96">
            <w:pPr>
              <w:pStyle w:val="17"/>
              <w:spacing w:before="191"/>
              <w:ind w:left="280"/>
              <w:jc w:val="left"/>
              <w:rPr>
                <w:rFonts w:ascii="Times New Roman"/>
                <w:sz w:val="21"/>
              </w:rPr>
            </w:pPr>
            <w:r>
              <w:rPr>
                <w:rFonts w:ascii="Times New Roman"/>
                <w:sz w:val="21"/>
              </w:rPr>
              <w:t>510</w:t>
            </w:r>
          </w:p>
        </w:tc>
      </w:tr>
      <w:tr w14:paraId="47C06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433A0A57">
            <w:pPr>
              <w:pStyle w:val="17"/>
              <w:spacing w:before="191"/>
              <w:ind w:left="165"/>
              <w:jc w:val="left"/>
              <w:rPr>
                <w:rFonts w:ascii="Times New Roman"/>
                <w:sz w:val="21"/>
              </w:rPr>
            </w:pPr>
            <w:r>
              <w:rPr>
                <w:rFonts w:ascii="Times New Roman"/>
                <w:w w:val="99"/>
                <w:sz w:val="21"/>
              </w:rPr>
              <w:t>5</w:t>
            </w:r>
          </w:p>
        </w:tc>
        <w:tc>
          <w:tcPr>
            <w:tcW w:w="974" w:type="dxa"/>
          </w:tcPr>
          <w:p w14:paraId="2130F0C3">
            <w:pPr>
              <w:pStyle w:val="17"/>
              <w:spacing w:before="177"/>
              <w:ind w:left="151" w:right="142"/>
              <w:rPr>
                <w:sz w:val="21"/>
              </w:rPr>
            </w:pPr>
            <w:r>
              <w:rPr>
                <w:sz w:val="21"/>
              </w:rPr>
              <w:t>武莲村</w:t>
            </w:r>
          </w:p>
        </w:tc>
        <w:tc>
          <w:tcPr>
            <w:tcW w:w="743" w:type="dxa"/>
          </w:tcPr>
          <w:p w14:paraId="0FBBF3AE">
            <w:pPr>
              <w:pStyle w:val="17"/>
              <w:spacing w:before="191"/>
              <w:ind w:left="107"/>
              <w:jc w:val="left"/>
              <w:rPr>
                <w:rFonts w:ascii="Times New Roman"/>
                <w:sz w:val="21"/>
              </w:rPr>
            </w:pPr>
            <w:r>
              <w:rPr>
                <w:rFonts w:ascii="Times New Roman"/>
                <w:sz w:val="21"/>
              </w:rPr>
              <w:t>-63</w:t>
            </w:r>
          </w:p>
        </w:tc>
        <w:tc>
          <w:tcPr>
            <w:tcW w:w="764" w:type="dxa"/>
          </w:tcPr>
          <w:p w14:paraId="15DC001B">
            <w:pPr>
              <w:pStyle w:val="17"/>
              <w:spacing w:before="191"/>
              <w:ind w:left="108"/>
              <w:jc w:val="left"/>
              <w:rPr>
                <w:rFonts w:ascii="Times New Roman"/>
                <w:sz w:val="21"/>
              </w:rPr>
            </w:pPr>
            <w:r>
              <w:rPr>
                <w:rFonts w:ascii="Times New Roman"/>
                <w:sz w:val="21"/>
              </w:rPr>
              <w:t>1191</w:t>
            </w:r>
          </w:p>
        </w:tc>
        <w:tc>
          <w:tcPr>
            <w:tcW w:w="936" w:type="dxa"/>
          </w:tcPr>
          <w:p w14:paraId="039E3A7E">
            <w:pPr>
              <w:pStyle w:val="17"/>
              <w:spacing w:before="191"/>
              <w:ind w:left="230"/>
              <w:jc w:val="left"/>
              <w:rPr>
                <w:rFonts w:ascii="Times New Roman"/>
                <w:sz w:val="21"/>
              </w:rPr>
            </w:pPr>
            <w:r>
              <w:rPr>
                <w:rFonts w:ascii="Times New Roman"/>
                <w:sz w:val="21"/>
              </w:rPr>
              <w:t>39.28</w:t>
            </w:r>
          </w:p>
        </w:tc>
        <w:tc>
          <w:tcPr>
            <w:tcW w:w="936" w:type="dxa"/>
          </w:tcPr>
          <w:p w14:paraId="12990A19">
            <w:pPr>
              <w:pStyle w:val="17"/>
              <w:spacing w:before="177"/>
              <w:ind w:left="207" w:right="202"/>
              <w:rPr>
                <w:sz w:val="21"/>
              </w:rPr>
            </w:pPr>
            <w:r>
              <w:rPr>
                <w:sz w:val="21"/>
              </w:rPr>
              <w:t>居民</w:t>
            </w:r>
          </w:p>
        </w:tc>
        <w:tc>
          <w:tcPr>
            <w:tcW w:w="1137" w:type="dxa"/>
          </w:tcPr>
          <w:p w14:paraId="5F2140C9">
            <w:pPr>
              <w:pStyle w:val="17"/>
              <w:spacing w:before="21"/>
              <w:ind w:left="13"/>
              <w:rPr>
                <w:sz w:val="21"/>
              </w:rPr>
            </w:pPr>
            <w:r>
              <w:rPr>
                <w:sz w:val="21"/>
              </w:rPr>
              <w:t xml:space="preserve">约 </w:t>
            </w:r>
            <w:r>
              <w:rPr>
                <w:rFonts w:ascii="Times New Roman" w:eastAsia="Times New Roman"/>
                <w:sz w:val="21"/>
              </w:rPr>
              <w:t xml:space="preserve">180 </w:t>
            </w:r>
            <w:r>
              <w:rPr>
                <w:sz w:val="21"/>
              </w:rPr>
              <w:t>户，</w:t>
            </w:r>
          </w:p>
          <w:p w14:paraId="57F6D9E7">
            <w:pPr>
              <w:pStyle w:val="17"/>
              <w:spacing w:before="43"/>
              <w:ind w:left="8"/>
              <w:rPr>
                <w:sz w:val="21"/>
              </w:rPr>
            </w:pPr>
            <w:r>
              <w:rPr>
                <w:sz w:val="21"/>
              </w:rPr>
              <w:t xml:space="preserve">约 </w:t>
            </w:r>
            <w:r>
              <w:rPr>
                <w:rFonts w:ascii="Times New Roman" w:eastAsia="Times New Roman"/>
                <w:sz w:val="21"/>
              </w:rPr>
              <w:t xml:space="preserve">630 </w:t>
            </w:r>
            <w:r>
              <w:rPr>
                <w:sz w:val="21"/>
              </w:rPr>
              <w:t>人</w:t>
            </w:r>
          </w:p>
        </w:tc>
        <w:tc>
          <w:tcPr>
            <w:tcW w:w="909" w:type="dxa"/>
          </w:tcPr>
          <w:p w14:paraId="366A3527">
            <w:pPr>
              <w:pStyle w:val="17"/>
              <w:spacing w:before="177"/>
              <w:ind w:left="119" w:right="110"/>
              <w:rPr>
                <w:sz w:val="21"/>
              </w:rPr>
            </w:pPr>
            <w:r>
              <w:rPr>
                <w:sz w:val="21"/>
              </w:rPr>
              <w:t>二类区</w:t>
            </w:r>
          </w:p>
        </w:tc>
        <w:tc>
          <w:tcPr>
            <w:tcW w:w="815" w:type="dxa"/>
          </w:tcPr>
          <w:p w14:paraId="072E711E">
            <w:pPr>
              <w:pStyle w:val="17"/>
              <w:spacing w:before="177"/>
              <w:ind w:left="6"/>
              <w:rPr>
                <w:sz w:val="21"/>
              </w:rPr>
            </w:pPr>
            <w:r>
              <w:rPr>
                <w:w w:val="99"/>
                <w:sz w:val="21"/>
              </w:rPr>
              <w:t>北</w:t>
            </w:r>
          </w:p>
        </w:tc>
        <w:tc>
          <w:tcPr>
            <w:tcW w:w="875" w:type="dxa"/>
            <w:tcBorders>
              <w:right w:val="nil"/>
            </w:tcBorders>
          </w:tcPr>
          <w:p w14:paraId="399EE694">
            <w:pPr>
              <w:pStyle w:val="17"/>
              <w:spacing w:before="191"/>
              <w:ind w:left="230"/>
              <w:jc w:val="left"/>
              <w:rPr>
                <w:rFonts w:ascii="Times New Roman"/>
                <w:sz w:val="21"/>
              </w:rPr>
            </w:pPr>
            <w:r>
              <w:rPr>
                <w:rFonts w:ascii="Times New Roman"/>
                <w:sz w:val="21"/>
              </w:rPr>
              <w:t>1160</w:t>
            </w:r>
          </w:p>
        </w:tc>
      </w:tr>
      <w:tr w14:paraId="0EBE8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23B24EDC">
            <w:pPr>
              <w:pStyle w:val="17"/>
              <w:spacing w:before="190"/>
              <w:ind w:left="165"/>
              <w:jc w:val="left"/>
              <w:rPr>
                <w:rFonts w:ascii="Times New Roman"/>
                <w:sz w:val="21"/>
              </w:rPr>
            </w:pPr>
            <w:r>
              <w:rPr>
                <w:rFonts w:ascii="Times New Roman"/>
                <w:w w:val="99"/>
                <w:sz w:val="21"/>
              </w:rPr>
              <w:t>6</w:t>
            </w:r>
          </w:p>
        </w:tc>
        <w:tc>
          <w:tcPr>
            <w:tcW w:w="974" w:type="dxa"/>
          </w:tcPr>
          <w:p w14:paraId="55A97A1B">
            <w:pPr>
              <w:pStyle w:val="17"/>
              <w:spacing w:before="177"/>
              <w:ind w:left="151" w:right="142"/>
              <w:rPr>
                <w:sz w:val="21"/>
              </w:rPr>
            </w:pPr>
            <w:r>
              <w:rPr>
                <w:sz w:val="21"/>
              </w:rPr>
              <w:t>三和村</w:t>
            </w:r>
          </w:p>
        </w:tc>
        <w:tc>
          <w:tcPr>
            <w:tcW w:w="743" w:type="dxa"/>
          </w:tcPr>
          <w:p w14:paraId="4C8B3724">
            <w:pPr>
              <w:pStyle w:val="17"/>
              <w:spacing w:before="190"/>
              <w:ind w:left="160"/>
              <w:jc w:val="left"/>
              <w:rPr>
                <w:rFonts w:ascii="Times New Roman"/>
                <w:sz w:val="21"/>
              </w:rPr>
            </w:pPr>
            <w:r>
              <w:rPr>
                <w:rFonts w:ascii="Times New Roman"/>
                <w:sz w:val="21"/>
              </w:rPr>
              <w:t>1237</w:t>
            </w:r>
          </w:p>
        </w:tc>
        <w:tc>
          <w:tcPr>
            <w:tcW w:w="764" w:type="dxa"/>
          </w:tcPr>
          <w:p w14:paraId="6F7A4D27">
            <w:pPr>
              <w:pStyle w:val="17"/>
              <w:spacing w:before="190"/>
              <w:ind w:left="171"/>
              <w:jc w:val="left"/>
              <w:rPr>
                <w:rFonts w:ascii="Times New Roman"/>
                <w:sz w:val="21"/>
              </w:rPr>
            </w:pPr>
            <w:r>
              <w:rPr>
                <w:rFonts w:ascii="Times New Roman"/>
                <w:sz w:val="21"/>
              </w:rPr>
              <w:t>1042</w:t>
            </w:r>
          </w:p>
        </w:tc>
        <w:tc>
          <w:tcPr>
            <w:tcW w:w="936" w:type="dxa"/>
          </w:tcPr>
          <w:p w14:paraId="1BB83D00">
            <w:pPr>
              <w:pStyle w:val="17"/>
              <w:spacing w:before="190"/>
              <w:ind w:left="230"/>
              <w:jc w:val="left"/>
              <w:rPr>
                <w:rFonts w:ascii="Times New Roman"/>
                <w:sz w:val="21"/>
              </w:rPr>
            </w:pPr>
            <w:r>
              <w:rPr>
                <w:rFonts w:ascii="Times New Roman"/>
                <w:sz w:val="21"/>
              </w:rPr>
              <w:t>61.08</w:t>
            </w:r>
          </w:p>
        </w:tc>
        <w:tc>
          <w:tcPr>
            <w:tcW w:w="936" w:type="dxa"/>
          </w:tcPr>
          <w:p w14:paraId="2153A16A">
            <w:pPr>
              <w:pStyle w:val="17"/>
              <w:spacing w:before="177"/>
              <w:ind w:left="207" w:right="202"/>
              <w:rPr>
                <w:sz w:val="21"/>
              </w:rPr>
            </w:pPr>
            <w:r>
              <w:rPr>
                <w:sz w:val="21"/>
              </w:rPr>
              <w:t>居民</w:t>
            </w:r>
          </w:p>
        </w:tc>
        <w:tc>
          <w:tcPr>
            <w:tcW w:w="1137" w:type="dxa"/>
          </w:tcPr>
          <w:p w14:paraId="0A7B086B">
            <w:pPr>
              <w:pStyle w:val="17"/>
              <w:spacing w:before="21"/>
              <w:ind w:left="13"/>
              <w:rPr>
                <w:sz w:val="21"/>
              </w:rPr>
            </w:pPr>
            <w:r>
              <w:rPr>
                <w:sz w:val="21"/>
              </w:rPr>
              <w:t xml:space="preserve">约 </w:t>
            </w:r>
            <w:r>
              <w:rPr>
                <w:rFonts w:ascii="Times New Roman" w:eastAsia="Times New Roman"/>
                <w:sz w:val="21"/>
              </w:rPr>
              <w:t xml:space="preserve">200 </w:t>
            </w:r>
            <w:r>
              <w:rPr>
                <w:sz w:val="21"/>
              </w:rPr>
              <w:t>户，</w:t>
            </w:r>
          </w:p>
          <w:p w14:paraId="08D6A352">
            <w:pPr>
              <w:pStyle w:val="17"/>
              <w:spacing w:before="42"/>
              <w:ind w:left="8"/>
              <w:rPr>
                <w:sz w:val="21"/>
              </w:rPr>
            </w:pPr>
            <w:r>
              <w:rPr>
                <w:sz w:val="21"/>
              </w:rPr>
              <w:t xml:space="preserve">约 </w:t>
            </w:r>
            <w:r>
              <w:rPr>
                <w:rFonts w:ascii="Times New Roman" w:eastAsia="Times New Roman"/>
                <w:sz w:val="21"/>
              </w:rPr>
              <w:t xml:space="preserve">700 </w:t>
            </w:r>
            <w:r>
              <w:rPr>
                <w:sz w:val="21"/>
              </w:rPr>
              <w:t>人</w:t>
            </w:r>
          </w:p>
        </w:tc>
        <w:tc>
          <w:tcPr>
            <w:tcW w:w="909" w:type="dxa"/>
          </w:tcPr>
          <w:p w14:paraId="5C29BAD0">
            <w:pPr>
              <w:pStyle w:val="17"/>
              <w:spacing w:before="177"/>
              <w:ind w:left="119" w:right="110"/>
              <w:rPr>
                <w:sz w:val="21"/>
              </w:rPr>
            </w:pPr>
            <w:r>
              <w:rPr>
                <w:sz w:val="21"/>
              </w:rPr>
              <w:t>二类区</w:t>
            </w:r>
          </w:p>
        </w:tc>
        <w:tc>
          <w:tcPr>
            <w:tcW w:w="815" w:type="dxa"/>
          </w:tcPr>
          <w:p w14:paraId="6492F71B">
            <w:pPr>
              <w:pStyle w:val="17"/>
              <w:spacing w:before="177"/>
              <w:ind w:left="174" w:right="171"/>
              <w:rPr>
                <w:sz w:val="21"/>
              </w:rPr>
            </w:pPr>
            <w:r>
              <w:rPr>
                <w:sz w:val="21"/>
              </w:rPr>
              <w:t>东北</w:t>
            </w:r>
          </w:p>
        </w:tc>
        <w:tc>
          <w:tcPr>
            <w:tcW w:w="875" w:type="dxa"/>
            <w:tcBorders>
              <w:right w:val="nil"/>
            </w:tcBorders>
          </w:tcPr>
          <w:p w14:paraId="703A2709">
            <w:pPr>
              <w:pStyle w:val="17"/>
              <w:spacing w:before="190"/>
              <w:ind w:left="227"/>
              <w:jc w:val="left"/>
              <w:rPr>
                <w:rFonts w:ascii="Times New Roman"/>
                <w:sz w:val="21"/>
              </w:rPr>
            </w:pPr>
            <w:r>
              <w:rPr>
                <w:rFonts w:ascii="Times New Roman"/>
                <w:sz w:val="21"/>
              </w:rPr>
              <w:t>1575</w:t>
            </w:r>
          </w:p>
        </w:tc>
      </w:tr>
      <w:tr w14:paraId="66ABF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8" w:type="dxa"/>
            <w:tcBorders>
              <w:left w:val="nil"/>
            </w:tcBorders>
          </w:tcPr>
          <w:p w14:paraId="2B36319A">
            <w:pPr>
              <w:pStyle w:val="17"/>
              <w:spacing w:before="190"/>
              <w:ind w:left="165"/>
              <w:jc w:val="left"/>
              <w:rPr>
                <w:rFonts w:ascii="Times New Roman"/>
                <w:sz w:val="21"/>
              </w:rPr>
            </w:pPr>
            <w:r>
              <w:rPr>
                <w:rFonts w:ascii="Times New Roman"/>
                <w:w w:val="99"/>
                <w:sz w:val="21"/>
              </w:rPr>
              <w:t>7</w:t>
            </w:r>
          </w:p>
        </w:tc>
        <w:tc>
          <w:tcPr>
            <w:tcW w:w="974" w:type="dxa"/>
          </w:tcPr>
          <w:p w14:paraId="1C3FD5DF">
            <w:pPr>
              <w:pStyle w:val="17"/>
              <w:spacing w:before="20"/>
              <w:ind w:left="151" w:right="142"/>
              <w:rPr>
                <w:sz w:val="21"/>
              </w:rPr>
            </w:pPr>
            <w:r>
              <w:rPr>
                <w:sz w:val="21"/>
              </w:rPr>
              <w:t>中家桥</w:t>
            </w:r>
          </w:p>
          <w:p w14:paraId="20E6F950">
            <w:pPr>
              <w:pStyle w:val="17"/>
              <w:spacing w:before="43"/>
              <w:ind w:left="6"/>
              <w:rPr>
                <w:sz w:val="21"/>
              </w:rPr>
            </w:pPr>
            <w:r>
              <w:rPr>
                <w:w w:val="99"/>
                <w:sz w:val="21"/>
              </w:rPr>
              <w:t>村</w:t>
            </w:r>
          </w:p>
        </w:tc>
        <w:tc>
          <w:tcPr>
            <w:tcW w:w="743" w:type="dxa"/>
          </w:tcPr>
          <w:p w14:paraId="74AF654F">
            <w:pPr>
              <w:pStyle w:val="17"/>
              <w:spacing w:before="190"/>
              <w:ind w:left="107"/>
              <w:jc w:val="left"/>
              <w:rPr>
                <w:rFonts w:ascii="Times New Roman"/>
                <w:sz w:val="21"/>
              </w:rPr>
            </w:pPr>
            <w:r>
              <w:rPr>
                <w:rFonts w:ascii="Times New Roman"/>
                <w:sz w:val="21"/>
              </w:rPr>
              <w:t>961</w:t>
            </w:r>
          </w:p>
        </w:tc>
        <w:tc>
          <w:tcPr>
            <w:tcW w:w="764" w:type="dxa"/>
          </w:tcPr>
          <w:p w14:paraId="224B6134">
            <w:pPr>
              <w:pStyle w:val="17"/>
              <w:spacing w:before="190"/>
              <w:ind w:left="108"/>
              <w:jc w:val="left"/>
              <w:rPr>
                <w:rFonts w:ascii="Times New Roman"/>
                <w:sz w:val="21"/>
              </w:rPr>
            </w:pPr>
            <w:r>
              <w:rPr>
                <w:rFonts w:ascii="Times New Roman"/>
                <w:sz w:val="21"/>
              </w:rPr>
              <w:t>-813</w:t>
            </w:r>
          </w:p>
        </w:tc>
        <w:tc>
          <w:tcPr>
            <w:tcW w:w="936" w:type="dxa"/>
          </w:tcPr>
          <w:p w14:paraId="05A3B5A5">
            <w:pPr>
              <w:pStyle w:val="17"/>
              <w:spacing w:before="190"/>
              <w:ind w:left="230"/>
              <w:jc w:val="left"/>
              <w:rPr>
                <w:rFonts w:ascii="Times New Roman"/>
                <w:sz w:val="21"/>
              </w:rPr>
            </w:pPr>
            <w:r>
              <w:rPr>
                <w:rFonts w:ascii="Times New Roman"/>
                <w:sz w:val="21"/>
              </w:rPr>
              <w:t>49.12</w:t>
            </w:r>
          </w:p>
        </w:tc>
        <w:tc>
          <w:tcPr>
            <w:tcW w:w="936" w:type="dxa"/>
          </w:tcPr>
          <w:p w14:paraId="1E4CE69C">
            <w:pPr>
              <w:pStyle w:val="17"/>
              <w:spacing w:before="176"/>
              <w:ind w:left="207" w:right="202"/>
              <w:rPr>
                <w:sz w:val="21"/>
              </w:rPr>
            </w:pPr>
            <w:r>
              <w:rPr>
                <w:sz w:val="21"/>
              </w:rPr>
              <w:t>居民</w:t>
            </w:r>
          </w:p>
        </w:tc>
        <w:tc>
          <w:tcPr>
            <w:tcW w:w="1137" w:type="dxa"/>
          </w:tcPr>
          <w:p w14:paraId="3DD9BC00">
            <w:pPr>
              <w:pStyle w:val="17"/>
              <w:spacing w:before="20"/>
              <w:ind w:left="13"/>
              <w:rPr>
                <w:sz w:val="21"/>
              </w:rPr>
            </w:pPr>
            <w:r>
              <w:rPr>
                <w:sz w:val="21"/>
              </w:rPr>
              <w:t xml:space="preserve">约 </w:t>
            </w:r>
            <w:r>
              <w:rPr>
                <w:rFonts w:ascii="Times New Roman" w:eastAsia="Times New Roman"/>
                <w:sz w:val="21"/>
              </w:rPr>
              <w:t xml:space="preserve">150 </w:t>
            </w:r>
            <w:r>
              <w:rPr>
                <w:sz w:val="21"/>
              </w:rPr>
              <w:t>户，</w:t>
            </w:r>
          </w:p>
          <w:p w14:paraId="35905188">
            <w:pPr>
              <w:pStyle w:val="17"/>
              <w:spacing w:before="43"/>
              <w:ind w:left="8"/>
              <w:rPr>
                <w:sz w:val="21"/>
              </w:rPr>
            </w:pPr>
            <w:r>
              <w:rPr>
                <w:sz w:val="21"/>
              </w:rPr>
              <w:t xml:space="preserve">约 </w:t>
            </w:r>
            <w:r>
              <w:rPr>
                <w:rFonts w:ascii="Times New Roman" w:eastAsia="Times New Roman"/>
                <w:sz w:val="21"/>
              </w:rPr>
              <w:t xml:space="preserve">525 </w:t>
            </w:r>
            <w:r>
              <w:rPr>
                <w:sz w:val="21"/>
              </w:rPr>
              <w:t>人</w:t>
            </w:r>
          </w:p>
        </w:tc>
        <w:tc>
          <w:tcPr>
            <w:tcW w:w="909" w:type="dxa"/>
          </w:tcPr>
          <w:p w14:paraId="35E164EA">
            <w:pPr>
              <w:pStyle w:val="17"/>
              <w:spacing w:before="176"/>
              <w:ind w:left="119" w:right="110"/>
              <w:rPr>
                <w:sz w:val="21"/>
              </w:rPr>
            </w:pPr>
            <w:r>
              <w:rPr>
                <w:sz w:val="21"/>
              </w:rPr>
              <w:t>二类区</w:t>
            </w:r>
          </w:p>
        </w:tc>
        <w:tc>
          <w:tcPr>
            <w:tcW w:w="815" w:type="dxa"/>
          </w:tcPr>
          <w:p w14:paraId="3FDA58EC">
            <w:pPr>
              <w:pStyle w:val="17"/>
              <w:spacing w:before="176"/>
              <w:ind w:left="174" w:right="171"/>
              <w:rPr>
                <w:sz w:val="21"/>
              </w:rPr>
            </w:pPr>
            <w:r>
              <w:rPr>
                <w:sz w:val="21"/>
              </w:rPr>
              <w:t>东南</w:t>
            </w:r>
          </w:p>
        </w:tc>
        <w:tc>
          <w:tcPr>
            <w:tcW w:w="875" w:type="dxa"/>
            <w:tcBorders>
              <w:right w:val="nil"/>
            </w:tcBorders>
          </w:tcPr>
          <w:p w14:paraId="48124137">
            <w:pPr>
              <w:pStyle w:val="17"/>
              <w:spacing w:before="190"/>
              <w:ind w:left="227"/>
              <w:jc w:val="left"/>
              <w:rPr>
                <w:rFonts w:ascii="Times New Roman"/>
                <w:sz w:val="21"/>
              </w:rPr>
            </w:pPr>
            <w:r>
              <w:rPr>
                <w:rFonts w:ascii="Times New Roman"/>
                <w:sz w:val="21"/>
              </w:rPr>
              <w:t>1215</w:t>
            </w:r>
          </w:p>
        </w:tc>
      </w:tr>
      <w:tr w14:paraId="2D85A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8" w:type="dxa"/>
            <w:tcBorders>
              <w:left w:val="nil"/>
            </w:tcBorders>
          </w:tcPr>
          <w:p w14:paraId="202C03B2">
            <w:pPr>
              <w:pStyle w:val="17"/>
              <w:spacing w:before="190"/>
              <w:ind w:left="165"/>
              <w:jc w:val="left"/>
              <w:rPr>
                <w:rFonts w:ascii="Times New Roman"/>
                <w:sz w:val="21"/>
              </w:rPr>
            </w:pPr>
            <w:r>
              <w:rPr>
                <w:rFonts w:ascii="Times New Roman"/>
                <w:w w:val="99"/>
                <w:sz w:val="21"/>
              </w:rPr>
              <w:t>8</w:t>
            </w:r>
          </w:p>
        </w:tc>
        <w:tc>
          <w:tcPr>
            <w:tcW w:w="974" w:type="dxa"/>
          </w:tcPr>
          <w:p w14:paraId="000E8F9F">
            <w:pPr>
              <w:pStyle w:val="17"/>
              <w:spacing w:before="20"/>
              <w:ind w:left="172"/>
              <w:jc w:val="left"/>
              <w:rPr>
                <w:sz w:val="21"/>
              </w:rPr>
            </w:pPr>
            <w:r>
              <w:rPr>
                <w:w w:val="95"/>
                <w:sz w:val="21"/>
              </w:rPr>
              <w:t>新市中</w:t>
            </w:r>
          </w:p>
          <w:p w14:paraId="3B77D98D">
            <w:pPr>
              <w:pStyle w:val="17"/>
              <w:spacing w:before="43"/>
              <w:ind w:left="172"/>
              <w:jc w:val="left"/>
              <w:rPr>
                <w:sz w:val="21"/>
              </w:rPr>
            </w:pPr>
            <w:r>
              <w:rPr>
                <w:w w:val="95"/>
                <w:sz w:val="21"/>
              </w:rPr>
              <w:t>心小学</w:t>
            </w:r>
          </w:p>
        </w:tc>
        <w:tc>
          <w:tcPr>
            <w:tcW w:w="743" w:type="dxa"/>
          </w:tcPr>
          <w:p w14:paraId="55C8DA47">
            <w:pPr>
              <w:pStyle w:val="17"/>
              <w:spacing w:before="190"/>
              <w:ind w:left="107"/>
              <w:jc w:val="left"/>
              <w:rPr>
                <w:rFonts w:ascii="Times New Roman"/>
                <w:sz w:val="21"/>
              </w:rPr>
            </w:pPr>
            <w:r>
              <w:rPr>
                <w:rFonts w:ascii="Times New Roman"/>
                <w:sz w:val="21"/>
              </w:rPr>
              <w:t>-1878</w:t>
            </w:r>
          </w:p>
        </w:tc>
        <w:tc>
          <w:tcPr>
            <w:tcW w:w="764" w:type="dxa"/>
          </w:tcPr>
          <w:p w14:paraId="09236A4D">
            <w:pPr>
              <w:pStyle w:val="17"/>
              <w:spacing w:before="190"/>
              <w:ind w:left="108"/>
              <w:jc w:val="left"/>
              <w:rPr>
                <w:rFonts w:ascii="Times New Roman"/>
                <w:sz w:val="21"/>
              </w:rPr>
            </w:pPr>
            <w:r>
              <w:rPr>
                <w:rFonts w:ascii="Times New Roman"/>
                <w:sz w:val="21"/>
              </w:rPr>
              <w:t>1595</w:t>
            </w:r>
          </w:p>
        </w:tc>
        <w:tc>
          <w:tcPr>
            <w:tcW w:w="936" w:type="dxa"/>
          </w:tcPr>
          <w:p w14:paraId="199C9812">
            <w:pPr>
              <w:pStyle w:val="17"/>
              <w:spacing w:before="190"/>
              <w:ind w:left="230"/>
              <w:jc w:val="left"/>
              <w:rPr>
                <w:rFonts w:ascii="Times New Roman"/>
                <w:sz w:val="21"/>
              </w:rPr>
            </w:pPr>
            <w:r>
              <w:rPr>
                <w:rFonts w:ascii="Times New Roman"/>
                <w:sz w:val="21"/>
              </w:rPr>
              <w:t>54.65</w:t>
            </w:r>
          </w:p>
        </w:tc>
        <w:tc>
          <w:tcPr>
            <w:tcW w:w="936" w:type="dxa"/>
          </w:tcPr>
          <w:p w14:paraId="1A6B959D">
            <w:pPr>
              <w:pStyle w:val="17"/>
              <w:spacing w:before="176"/>
              <w:ind w:left="207" w:right="202"/>
              <w:rPr>
                <w:sz w:val="21"/>
              </w:rPr>
            </w:pPr>
            <w:r>
              <w:rPr>
                <w:sz w:val="21"/>
              </w:rPr>
              <w:t>学校</w:t>
            </w:r>
          </w:p>
        </w:tc>
        <w:tc>
          <w:tcPr>
            <w:tcW w:w="1137" w:type="dxa"/>
          </w:tcPr>
          <w:p w14:paraId="18FB2A32">
            <w:pPr>
              <w:pStyle w:val="17"/>
              <w:spacing w:before="20"/>
              <w:ind w:left="45"/>
              <w:jc w:val="left"/>
              <w:rPr>
                <w:sz w:val="21"/>
              </w:rPr>
            </w:pPr>
            <w:r>
              <w:rPr>
                <w:sz w:val="21"/>
              </w:rPr>
              <w:t>学校，师生</w:t>
            </w:r>
          </w:p>
          <w:p w14:paraId="2DC18FC2">
            <w:pPr>
              <w:pStyle w:val="17"/>
              <w:spacing w:before="43"/>
              <w:ind w:left="122"/>
              <w:jc w:val="left"/>
              <w:rPr>
                <w:sz w:val="21"/>
              </w:rPr>
            </w:pPr>
            <w:r>
              <w:rPr>
                <w:sz w:val="21"/>
              </w:rPr>
              <w:t xml:space="preserve">约 </w:t>
            </w:r>
            <w:r>
              <w:rPr>
                <w:rFonts w:ascii="Times New Roman" w:eastAsia="Times New Roman"/>
                <w:sz w:val="21"/>
              </w:rPr>
              <w:t xml:space="preserve">300 </w:t>
            </w:r>
            <w:r>
              <w:rPr>
                <w:sz w:val="21"/>
              </w:rPr>
              <w:t>人</w:t>
            </w:r>
          </w:p>
        </w:tc>
        <w:tc>
          <w:tcPr>
            <w:tcW w:w="909" w:type="dxa"/>
          </w:tcPr>
          <w:p w14:paraId="51507B10">
            <w:pPr>
              <w:pStyle w:val="17"/>
              <w:spacing w:before="176"/>
              <w:ind w:left="119" w:right="110"/>
              <w:rPr>
                <w:sz w:val="21"/>
              </w:rPr>
            </w:pPr>
            <w:r>
              <w:rPr>
                <w:sz w:val="21"/>
              </w:rPr>
              <w:t>二类区</w:t>
            </w:r>
          </w:p>
        </w:tc>
        <w:tc>
          <w:tcPr>
            <w:tcW w:w="815" w:type="dxa"/>
          </w:tcPr>
          <w:p w14:paraId="5738EDE5">
            <w:pPr>
              <w:pStyle w:val="17"/>
              <w:spacing w:before="176"/>
              <w:ind w:left="174" w:right="171"/>
              <w:rPr>
                <w:sz w:val="21"/>
              </w:rPr>
            </w:pPr>
            <w:r>
              <w:rPr>
                <w:sz w:val="21"/>
              </w:rPr>
              <w:t>西北</w:t>
            </w:r>
          </w:p>
        </w:tc>
        <w:tc>
          <w:tcPr>
            <w:tcW w:w="875" w:type="dxa"/>
            <w:tcBorders>
              <w:right w:val="nil"/>
            </w:tcBorders>
          </w:tcPr>
          <w:p w14:paraId="149DC299">
            <w:pPr>
              <w:pStyle w:val="17"/>
              <w:spacing w:before="190"/>
              <w:ind w:left="227"/>
              <w:jc w:val="left"/>
              <w:rPr>
                <w:rFonts w:ascii="Times New Roman"/>
                <w:sz w:val="21"/>
              </w:rPr>
            </w:pPr>
            <w:r>
              <w:rPr>
                <w:rFonts w:ascii="Times New Roman"/>
                <w:sz w:val="21"/>
              </w:rPr>
              <w:t>2425</w:t>
            </w:r>
          </w:p>
        </w:tc>
      </w:tr>
    </w:tbl>
    <w:p w14:paraId="7CF84662">
      <w:pPr>
        <w:pStyle w:val="9"/>
        <w:spacing w:before="81"/>
        <w:ind w:left="420"/>
      </w:pPr>
      <w:r>
        <w:t>注：以厂区中心为坐标原点，以正北方向为正</w:t>
      </w:r>
      <w:r>
        <w:rPr>
          <w:rFonts w:ascii="Times New Roman" w:eastAsia="Times New Roman"/>
        </w:rPr>
        <w:t>Y</w:t>
      </w:r>
      <w:r>
        <w:t>轴，正东方向为正</w:t>
      </w:r>
      <w:r>
        <w:rPr>
          <w:rFonts w:ascii="Times New Roman" w:eastAsia="Times New Roman"/>
        </w:rPr>
        <w:t>X</w:t>
      </w:r>
      <w:r>
        <w:t>轴。</w:t>
      </w:r>
    </w:p>
    <w:p w14:paraId="74B157B4">
      <w:pPr>
        <w:pStyle w:val="10"/>
        <w:spacing w:before="160"/>
        <w:ind w:left="900"/>
      </w:pPr>
      <w:r>
        <w:rPr>
          <w:rFonts w:ascii="Times New Roman" w:eastAsia="Times New Roman"/>
        </w:rPr>
        <w:t>7</w:t>
      </w:r>
      <w:r>
        <w:t>、保证率日平均质量浓度处理</w:t>
      </w:r>
    </w:p>
    <w:p w14:paraId="4AEF067D">
      <w:pPr>
        <w:pStyle w:val="10"/>
        <w:spacing w:before="161" w:line="364" w:lineRule="auto"/>
        <w:ind w:left="420" w:right="417" w:firstLine="480"/>
        <w:jc w:val="both"/>
      </w:pPr>
      <w:r>
        <w:t>按照《环境影响评价技术导则 大气环境》（</w:t>
      </w:r>
      <w:r>
        <w:rPr>
          <w:rFonts w:ascii="Times New Roman" w:eastAsia="Times New Roman"/>
        </w:rPr>
        <w:t>HJ2.2-2018</w:t>
      </w:r>
      <w:r>
        <w:t>）的规定，对于保</w:t>
      </w:r>
      <w:r>
        <w:rPr>
          <w:spacing w:val="-3"/>
        </w:rPr>
        <w:t>证率日平均质量浓度在按导则方法计算叠加后预测点上的日平均质量浓度，然后</w:t>
      </w:r>
      <w:r>
        <w:rPr>
          <w:spacing w:val="-7"/>
        </w:rPr>
        <w:t>对该预测点所有日平均质量浓度从小到大进行排序，根据各污染物日平均质量浓</w:t>
      </w:r>
      <w:r>
        <w:rPr>
          <w:spacing w:val="-11"/>
        </w:rPr>
        <w:t>度的保证率</w:t>
      </w:r>
      <w:r>
        <w:rPr>
          <w:spacing w:val="-14"/>
        </w:rPr>
        <w:t>（</w:t>
      </w:r>
      <w:r>
        <w:rPr>
          <w:rFonts w:ascii="Times New Roman" w:eastAsia="Times New Roman"/>
          <w:spacing w:val="-14"/>
        </w:rPr>
        <w:t>p</w:t>
      </w:r>
      <w:r>
        <w:rPr>
          <w:spacing w:val="-14"/>
        </w:rPr>
        <w:t xml:space="preserve">），计算排在 </w:t>
      </w:r>
      <w:r>
        <w:rPr>
          <w:rFonts w:ascii="Times New Roman" w:eastAsia="Times New Roman"/>
        </w:rPr>
        <w:t xml:space="preserve">p </w:t>
      </w:r>
      <w:r>
        <w:rPr>
          <w:spacing w:val="-9"/>
        </w:rPr>
        <w:t xml:space="preserve">百分位数的第 </w:t>
      </w:r>
      <w:r>
        <w:rPr>
          <w:rFonts w:ascii="Times New Roman" w:eastAsia="Times New Roman"/>
        </w:rPr>
        <w:t xml:space="preserve">m </w:t>
      </w:r>
      <w:r>
        <w:rPr>
          <w:spacing w:val="-13"/>
        </w:rPr>
        <w:t xml:space="preserve">个序数，序数 </w:t>
      </w:r>
      <w:r>
        <w:rPr>
          <w:rFonts w:ascii="Times New Roman" w:eastAsia="Times New Roman"/>
        </w:rPr>
        <w:t xml:space="preserve">m </w:t>
      </w:r>
      <w:r>
        <w:t>对应的日平均质</w:t>
      </w:r>
      <w:r>
        <w:rPr>
          <w:spacing w:val="-5"/>
        </w:rPr>
        <w:t>量浓度即为保证率日平均浓度。</w:t>
      </w:r>
      <w:r>
        <w:rPr>
          <w:rFonts w:ascii="Times New Roman" w:eastAsia="Times New Roman"/>
        </w:rPr>
        <w:t xml:space="preserve">p </w:t>
      </w:r>
      <w:r>
        <w:rPr>
          <w:spacing w:val="-31"/>
        </w:rPr>
        <w:t xml:space="preserve">按 </w:t>
      </w:r>
      <w:r>
        <w:rPr>
          <w:rFonts w:ascii="Times New Roman" w:eastAsia="Times New Roman"/>
        </w:rPr>
        <w:t xml:space="preserve">HJ663 </w:t>
      </w:r>
      <w:r>
        <w:rPr>
          <w:spacing w:val="-6"/>
        </w:rPr>
        <w:t xml:space="preserve">规定的对应污染物年评价 </w:t>
      </w:r>
      <w:r>
        <w:rPr>
          <w:rFonts w:ascii="Times New Roman" w:eastAsia="Times New Roman"/>
        </w:rPr>
        <w:t xml:space="preserve">24h </w:t>
      </w:r>
      <w:r>
        <w:t>平均百</w:t>
      </w:r>
      <w:r>
        <w:rPr>
          <w:spacing w:val="-10"/>
          <w:position w:val="2"/>
        </w:rPr>
        <w:t xml:space="preserve">分位数取值，其中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spacing w:val="-29"/>
          <w:position w:val="2"/>
          <w:vertAlign w:val="baseline"/>
        </w:rPr>
        <w:t xml:space="preserve">取 </w:t>
      </w:r>
      <w:r>
        <w:rPr>
          <w:rFonts w:ascii="Times New Roman" w:eastAsia="Times New Roman"/>
          <w:spacing w:val="-8"/>
          <w:position w:val="2"/>
          <w:vertAlign w:val="baseline"/>
        </w:rPr>
        <w:t>95</w:t>
      </w:r>
      <w:r>
        <w:rPr>
          <w:spacing w:val="-17"/>
          <w:position w:val="2"/>
          <w:vertAlign w:val="baseline"/>
        </w:rPr>
        <w:t xml:space="preserve">，对于 </w:t>
      </w:r>
      <w:r>
        <w:rPr>
          <w:rFonts w:ascii="Times New Roman" w:eastAsia="Times New Roman"/>
          <w:position w:val="2"/>
          <w:vertAlign w:val="baseline"/>
        </w:rPr>
        <w:t xml:space="preserve">HJ663 </w:t>
      </w:r>
      <w:r>
        <w:rPr>
          <w:spacing w:val="-3"/>
          <w:position w:val="2"/>
          <w:vertAlign w:val="baseline"/>
        </w:rPr>
        <w:t>中未规定的污染物，不进行保证率计</w:t>
      </w:r>
      <w:r>
        <w:rPr>
          <w:spacing w:val="-3"/>
          <w:vertAlign w:val="baseline"/>
        </w:rPr>
        <w:t>算。</w:t>
      </w:r>
    </w:p>
    <w:p w14:paraId="7A15CFFB">
      <w:pPr>
        <w:pStyle w:val="10"/>
        <w:spacing w:line="307" w:lineRule="exact"/>
        <w:ind w:left="900"/>
      </w:pPr>
      <w:r>
        <w:rPr>
          <w:rFonts w:ascii="Times New Roman" w:eastAsia="Times New Roman"/>
        </w:rPr>
        <w:t>8</w:t>
      </w:r>
      <w:r>
        <w:t>、区域背景浓度</w:t>
      </w:r>
    </w:p>
    <w:p w14:paraId="4C218FEB">
      <w:pPr>
        <w:pStyle w:val="10"/>
        <w:spacing w:before="160"/>
        <w:ind w:left="900"/>
      </w:pPr>
      <w:r>
        <w:t>（一）基本污染物背景浓度</w:t>
      </w:r>
    </w:p>
    <w:p w14:paraId="55A662E3">
      <w:pPr>
        <w:pStyle w:val="10"/>
        <w:spacing w:before="157" w:line="362" w:lineRule="auto"/>
        <w:ind w:left="420" w:right="417" w:firstLine="480"/>
      </w:pPr>
      <w:r>
        <w:rPr>
          <w:position w:val="2"/>
        </w:rPr>
        <w:t>本项目基本污染物</w:t>
      </w:r>
      <w:r>
        <w:rPr>
          <w:rFonts w:ascii="Times New Roman" w:hAnsi="Times New Roman" w:eastAsia="Times New Roman"/>
          <w:position w:val="2"/>
        </w:rPr>
        <w:t>PM</w:t>
      </w:r>
      <w:r>
        <w:rPr>
          <w:rFonts w:ascii="Times New Roman" w:hAnsi="Times New Roman" w:eastAsia="Times New Roman"/>
          <w:position w:val="2"/>
          <w:vertAlign w:val="subscript"/>
        </w:rPr>
        <w:t>10</w:t>
      </w:r>
      <w:r>
        <w:rPr>
          <w:position w:val="2"/>
          <w:vertAlign w:val="baseline"/>
        </w:rPr>
        <w:t>背景浓度均采用汨罗市监测站</w:t>
      </w:r>
      <w:r>
        <w:rPr>
          <w:rFonts w:ascii="Times New Roman" w:hAnsi="Times New Roman" w:eastAsia="Times New Roman"/>
          <w:position w:val="2"/>
          <w:vertAlign w:val="baseline"/>
        </w:rPr>
        <w:t xml:space="preserve">2022 </w:t>
      </w:r>
      <w:r>
        <w:rPr>
          <w:position w:val="2"/>
          <w:vertAlign w:val="baseline"/>
        </w:rPr>
        <w:t>年逐日的监测浓度，</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position w:val="2"/>
          <w:vertAlign w:val="baseline"/>
        </w:rPr>
        <w:t xml:space="preserve">的年均浓度为 </w:t>
      </w:r>
      <w:r>
        <w:rPr>
          <w:rFonts w:ascii="Times New Roman" w:hAnsi="Times New Roman" w:eastAsia="Times New Roman"/>
          <w:position w:val="2"/>
          <w:vertAlign w:val="baseline"/>
        </w:rPr>
        <w:t>46.8μg/m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95 </w:t>
      </w:r>
      <w:r>
        <w:rPr>
          <w:position w:val="2"/>
          <w:vertAlign w:val="baseline"/>
        </w:rPr>
        <w:t xml:space="preserve">百分位数日平均质量浓度为 </w:t>
      </w:r>
      <w:r>
        <w:rPr>
          <w:rFonts w:ascii="Times New Roman" w:hAnsi="Times New Roman" w:eastAsia="Times New Roman"/>
          <w:position w:val="2"/>
          <w:vertAlign w:val="baseline"/>
        </w:rPr>
        <w:t>96μg/m</w:t>
      </w:r>
      <w:r>
        <w:rPr>
          <w:rFonts w:ascii="Times New Roman" w:hAnsi="Times New Roman" w:eastAsia="Times New Roman"/>
          <w:position w:val="2"/>
          <w:vertAlign w:val="superscript"/>
        </w:rPr>
        <w:t>3</w:t>
      </w:r>
      <w:r>
        <w:rPr>
          <w:position w:val="2"/>
          <w:vertAlign w:val="baseline"/>
        </w:rPr>
        <w:t>。</w:t>
      </w:r>
    </w:p>
    <w:p w14:paraId="1F5CFD89">
      <w:pPr>
        <w:pStyle w:val="10"/>
        <w:spacing w:before="2"/>
        <w:ind w:left="900"/>
      </w:pPr>
      <w:r>
        <w:t>（二）其他污染物背景浓度</w:t>
      </w:r>
    </w:p>
    <w:p w14:paraId="55027EC0">
      <w:pPr>
        <w:pStyle w:val="10"/>
        <w:spacing w:before="161"/>
        <w:ind w:left="900"/>
      </w:pPr>
      <w:r>
        <w:t xml:space="preserve">本项目排放的特征污染物非甲烷总烃背景浓度最大小时值为 </w:t>
      </w:r>
      <w:r>
        <w:rPr>
          <w:rFonts w:ascii="Times New Roman" w:hAnsi="Times New Roman" w:eastAsia="Times New Roman"/>
        </w:rPr>
        <w:t>1720μg/m</w:t>
      </w:r>
      <w:r>
        <w:rPr>
          <w:rFonts w:ascii="Times New Roman" w:hAnsi="Times New Roman" w:eastAsia="Times New Roman"/>
          <w:position w:val="8"/>
          <w:sz w:val="15"/>
        </w:rPr>
        <w:t>3</w:t>
      </w:r>
      <w:r>
        <w:t>，</w:t>
      </w:r>
    </w:p>
    <w:p w14:paraId="1823AD9B">
      <w:pPr>
        <w:pStyle w:val="10"/>
        <w:spacing w:before="160"/>
        <w:ind w:left="420"/>
      </w:pPr>
      <w:r>
        <w:rPr>
          <w:rFonts w:ascii="Times New Roman" w:eastAsia="Times New Roman"/>
        </w:rPr>
        <w:t xml:space="preserve">TSP </w:t>
      </w:r>
      <w:r>
        <w:t xml:space="preserve">最大日均值为 </w:t>
      </w:r>
      <w:r>
        <w:rPr>
          <w:rFonts w:ascii="Times New Roman" w:eastAsia="Times New Roman"/>
        </w:rPr>
        <w:t>122ug/m</w:t>
      </w:r>
      <w:r>
        <w:rPr>
          <w:rFonts w:ascii="Times New Roman" w:eastAsia="Times New Roman"/>
          <w:position w:val="8"/>
          <w:sz w:val="15"/>
        </w:rPr>
        <w:t>3</w:t>
      </w:r>
      <w:r>
        <w:t>。</w:t>
      </w:r>
    </w:p>
    <w:p w14:paraId="55AF3B35">
      <w:pPr>
        <w:pStyle w:val="16"/>
        <w:numPr>
          <w:ilvl w:val="2"/>
          <w:numId w:val="16"/>
        </w:numPr>
        <w:tabs>
          <w:tab w:val="left" w:pos="1095"/>
        </w:tabs>
        <w:spacing w:before="221" w:after="0" w:line="240" w:lineRule="auto"/>
        <w:ind w:left="1094" w:right="0" w:hanging="674"/>
        <w:jc w:val="left"/>
        <w:rPr>
          <w:rFonts w:ascii="Times New Roman" w:eastAsia="Times New Roman"/>
          <w:b/>
          <w:sz w:val="30"/>
        </w:rPr>
      </w:pPr>
      <w:r>
        <w:rPr>
          <w:b/>
          <w:sz w:val="30"/>
        </w:rPr>
        <w:t>预测评价</w:t>
      </w:r>
    </w:p>
    <w:p w14:paraId="4A28436E">
      <w:pPr>
        <w:pStyle w:val="9"/>
        <w:numPr>
          <w:ilvl w:val="3"/>
          <w:numId w:val="16"/>
        </w:numPr>
        <w:tabs>
          <w:tab w:val="left" w:pos="1140"/>
        </w:tabs>
        <w:spacing w:before="220" w:after="0" w:line="240" w:lineRule="auto"/>
        <w:ind w:left="1140" w:right="0" w:hanging="720"/>
        <w:jc w:val="left"/>
      </w:pPr>
      <w:r>
        <w:t>正常排放情况下本项目新增污染源污染物贡献浓度预测</w:t>
      </w:r>
    </w:p>
    <w:p w14:paraId="6B7EA334">
      <w:pPr>
        <w:pStyle w:val="10"/>
        <w:spacing w:before="161" w:line="364" w:lineRule="auto"/>
        <w:ind w:left="420" w:right="417" w:firstLine="480"/>
      </w:pPr>
      <w:r>
        <w:rPr>
          <w:spacing w:val="-7"/>
        </w:rPr>
        <w:t>根据项目废气排放特征，结合所在区域环境标准值、评价区环境空气质量现</w:t>
      </w:r>
      <w:r>
        <w:t>状，依据《环境影响评价技术导则 大气环境》（</w:t>
      </w:r>
      <w:r>
        <w:rPr>
          <w:rFonts w:ascii="Times New Roman" w:eastAsia="Times New Roman"/>
        </w:rPr>
        <w:t>HJ2.2-2018</w:t>
      </w:r>
      <w:r>
        <w:t>），采用其推荐的</w:t>
      </w:r>
    </w:p>
    <w:p w14:paraId="5706A496">
      <w:pPr>
        <w:pStyle w:val="10"/>
        <w:spacing w:before="1"/>
        <w:ind w:left="420"/>
      </w:pPr>
      <w:r>
        <w:rPr>
          <w:rFonts w:ascii="Times New Roman" w:eastAsia="Times New Roman"/>
        </w:rPr>
        <w:t>AERSCREEN</w:t>
      </w:r>
      <w:r>
        <w:t>估算模型，对本项目污染物进行估算，结果如下：</w:t>
      </w:r>
    </w:p>
    <w:p w14:paraId="02E2226B">
      <w:pPr>
        <w:spacing w:after="0"/>
        <w:sectPr>
          <w:pgSz w:w="11910" w:h="16840"/>
          <w:pgMar w:top="1420" w:right="1380" w:bottom="1380" w:left="1380" w:header="0" w:footer="1192" w:gutter="0"/>
          <w:cols w:space="720" w:num="1"/>
        </w:sectPr>
      </w:pPr>
    </w:p>
    <w:p w14:paraId="16EE069D">
      <w:pPr>
        <w:pStyle w:val="9"/>
        <w:spacing w:before="155"/>
      </w:pPr>
      <w:r>
        <w:t>（</w:t>
      </w:r>
      <w:r>
        <w:rPr>
          <w:rFonts w:ascii="Times New Roman" w:eastAsia="Times New Roman"/>
        </w:rPr>
        <w:t>1</w:t>
      </w:r>
      <w:r>
        <w:t>）非甲烷总烃</w:t>
      </w:r>
    </w:p>
    <w:p w14:paraId="5C1F3E98">
      <w:pPr>
        <w:pStyle w:val="9"/>
        <w:spacing w:before="160"/>
      </w:pPr>
      <w:r>
        <w:t>本项目新增非甲烷总烃网格点贡献值预测结果见下表：</w:t>
      </w:r>
    </w:p>
    <w:p w14:paraId="3A2295AE">
      <w:pPr>
        <w:pStyle w:val="9"/>
        <w:tabs>
          <w:tab w:val="left" w:pos="1517"/>
        </w:tabs>
        <w:spacing w:before="81" w:after="3"/>
        <w:ind w:left="357"/>
        <w:jc w:val="center"/>
      </w:pPr>
      <w:r>
        <w:t>表</w:t>
      </w:r>
      <w:r>
        <w:rPr>
          <w:spacing w:val="-62"/>
        </w:rPr>
        <w:t xml:space="preserve"> </w:t>
      </w:r>
      <w:r>
        <w:rPr>
          <w:rFonts w:ascii="Times New Roman" w:eastAsia="Times New Roman"/>
        </w:rPr>
        <w:t>4.1-16</w:t>
      </w:r>
      <w:r>
        <w:rPr>
          <w:rFonts w:ascii="Times New Roman" w:eastAsia="Times New Roman"/>
        </w:rPr>
        <w:tab/>
      </w:r>
      <w:r>
        <w:t>非甲烷总烃网格点贡献值预测结果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0D0FE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1E4A8E3D">
            <w:pPr>
              <w:pStyle w:val="17"/>
              <w:spacing w:before="150" w:line="242" w:lineRule="auto"/>
              <w:ind w:left="132" w:right="115"/>
              <w:jc w:val="left"/>
              <w:rPr>
                <w:sz w:val="21"/>
              </w:rPr>
            </w:pPr>
            <w:r>
              <w:rPr>
                <w:sz w:val="21"/>
              </w:rPr>
              <w:t>序号</w:t>
            </w:r>
          </w:p>
        </w:tc>
        <w:tc>
          <w:tcPr>
            <w:tcW w:w="1577" w:type="dxa"/>
            <w:vMerge w:val="restart"/>
          </w:tcPr>
          <w:p w14:paraId="43A66E14">
            <w:pPr>
              <w:pStyle w:val="17"/>
              <w:spacing w:before="5"/>
              <w:jc w:val="left"/>
              <w:rPr>
                <w:b/>
                <w:sz w:val="22"/>
              </w:rPr>
            </w:pPr>
          </w:p>
          <w:p w14:paraId="5175A418">
            <w:pPr>
              <w:pStyle w:val="17"/>
              <w:ind w:left="472"/>
              <w:jc w:val="left"/>
              <w:rPr>
                <w:sz w:val="21"/>
              </w:rPr>
            </w:pPr>
            <w:r>
              <w:rPr>
                <w:sz w:val="21"/>
              </w:rPr>
              <w:t>点名称</w:t>
            </w:r>
          </w:p>
        </w:tc>
        <w:tc>
          <w:tcPr>
            <w:tcW w:w="1587" w:type="dxa"/>
            <w:gridSpan w:val="2"/>
          </w:tcPr>
          <w:p w14:paraId="4526293E">
            <w:pPr>
              <w:pStyle w:val="17"/>
              <w:spacing w:before="1"/>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02591A2F">
            <w:pPr>
              <w:pStyle w:val="17"/>
              <w:spacing w:before="5" w:line="250"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6A67094D">
            <w:pPr>
              <w:pStyle w:val="17"/>
              <w:spacing w:before="30"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32E7D106">
            <w:pPr>
              <w:pStyle w:val="17"/>
              <w:spacing w:before="150" w:line="242" w:lineRule="auto"/>
              <w:ind w:left="178" w:right="168"/>
              <w:jc w:val="left"/>
              <w:rPr>
                <w:sz w:val="21"/>
              </w:rPr>
            </w:pPr>
            <w:r>
              <w:rPr>
                <w:w w:val="95"/>
                <w:sz w:val="21"/>
              </w:rPr>
              <w:t>浓度类型</w:t>
            </w:r>
          </w:p>
        </w:tc>
        <w:tc>
          <w:tcPr>
            <w:tcW w:w="1259" w:type="dxa"/>
            <w:vMerge w:val="restart"/>
          </w:tcPr>
          <w:p w14:paraId="34515945">
            <w:pPr>
              <w:pStyle w:val="17"/>
              <w:spacing w:before="150"/>
              <w:ind w:left="208"/>
              <w:jc w:val="left"/>
              <w:rPr>
                <w:sz w:val="21"/>
              </w:rPr>
            </w:pPr>
            <w:r>
              <w:rPr>
                <w:w w:val="95"/>
                <w:sz w:val="21"/>
              </w:rPr>
              <w:t>浓度增量</w:t>
            </w:r>
          </w:p>
          <w:p w14:paraId="1B234DBB">
            <w:pPr>
              <w:pStyle w:val="17"/>
              <w:spacing w:before="4"/>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7F2F0ABB">
            <w:pPr>
              <w:pStyle w:val="17"/>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7D1DFB66">
            <w:pPr>
              <w:pStyle w:val="17"/>
              <w:spacing w:before="150"/>
              <w:ind w:left="195"/>
              <w:jc w:val="left"/>
              <w:rPr>
                <w:sz w:val="21"/>
              </w:rPr>
            </w:pPr>
            <w:r>
              <w:rPr>
                <w:w w:val="95"/>
                <w:sz w:val="21"/>
              </w:rPr>
              <w:t>背景浓度</w:t>
            </w:r>
          </w:p>
          <w:p w14:paraId="0A7541E1">
            <w:pPr>
              <w:pStyle w:val="17"/>
              <w:spacing w:before="4"/>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5BCDBACD">
            <w:pPr>
              <w:pStyle w:val="17"/>
              <w:spacing w:before="150"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63584216">
            <w:pPr>
              <w:pStyle w:val="17"/>
              <w:spacing w:before="150"/>
              <w:ind w:left="194"/>
              <w:jc w:val="left"/>
              <w:rPr>
                <w:sz w:val="21"/>
              </w:rPr>
            </w:pPr>
            <w:r>
              <w:rPr>
                <w:w w:val="95"/>
                <w:sz w:val="21"/>
              </w:rPr>
              <w:t>评价标准</w:t>
            </w:r>
          </w:p>
          <w:p w14:paraId="186AE202">
            <w:pPr>
              <w:pStyle w:val="17"/>
              <w:spacing w:before="4"/>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6FB269B9">
            <w:pPr>
              <w:pStyle w:val="17"/>
              <w:spacing w:before="150" w:line="244"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622C5CEA">
            <w:pPr>
              <w:pStyle w:val="17"/>
              <w:spacing w:before="150" w:line="242" w:lineRule="auto"/>
              <w:ind w:left="145" w:right="141"/>
              <w:jc w:val="left"/>
              <w:rPr>
                <w:sz w:val="21"/>
              </w:rPr>
            </w:pPr>
            <w:r>
              <w:rPr>
                <w:w w:val="95"/>
                <w:sz w:val="21"/>
              </w:rPr>
              <w:t>是否超标</w:t>
            </w:r>
          </w:p>
        </w:tc>
      </w:tr>
      <w:tr w14:paraId="7B980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2D6297DE">
            <w:pPr>
              <w:rPr>
                <w:sz w:val="2"/>
                <w:szCs w:val="2"/>
              </w:rPr>
            </w:pPr>
          </w:p>
        </w:tc>
        <w:tc>
          <w:tcPr>
            <w:tcW w:w="1577" w:type="dxa"/>
            <w:vMerge w:val="continue"/>
            <w:tcBorders>
              <w:top w:val="nil"/>
            </w:tcBorders>
          </w:tcPr>
          <w:p w14:paraId="0F9D77A7">
            <w:pPr>
              <w:rPr>
                <w:sz w:val="2"/>
                <w:szCs w:val="2"/>
              </w:rPr>
            </w:pPr>
          </w:p>
        </w:tc>
        <w:tc>
          <w:tcPr>
            <w:tcW w:w="826" w:type="dxa"/>
          </w:tcPr>
          <w:p w14:paraId="23673F40">
            <w:pPr>
              <w:pStyle w:val="17"/>
              <w:spacing w:before="22"/>
              <w:ind w:left="10"/>
              <w:rPr>
                <w:rFonts w:ascii="Times New Roman"/>
                <w:sz w:val="21"/>
              </w:rPr>
            </w:pPr>
            <w:r>
              <w:rPr>
                <w:rFonts w:ascii="Times New Roman"/>
                <w:w w:val="99"/>
                <w:sz w:val="21"/>
              </w:rPr>
              <w:t>X</w:t>
            </w:r>
          </w:p>
        </w:tc>
        <w:tc>
          <w:tcPr>
            <w:tcW w:w="761" w:type="dxa"/>
          </w:tcPr>
          <w:p w14:paraId="73883CD5">
            <w:pPr>
              <w:pStyle w:val="17"/>
              <w:spacing w:before="22"/>
              <w:ind w:left="7"/>
              <w:rPr>
                <w:rFonts w:ascii="Times New Roman"/>
                <w:sz w:val="21"/>
              </w:rPr>
            </w:pPr>
            <w:r>
              <w:rPr>
                <w:rFonts w:ascii="Times New Roman"/>
                <w:w w:val="99"/>
                <w:sz w:val="21"/>
              </w:rPr>
              <w:t>Y</w:t>
            </w:r>
          </w:p>
        </w:tc>
        <w:tc>
          <w:tcPr>
            <w:tcW w:w="823" w:type="dxa"/>
            <w:vMerge w:val="continue"/>
            <w:tcBorders>
              <w:top w:val="nil"/>
            </w:tcBorders>
          </w:tcPr>
          <w:p w14:paraId="70416ADC">
            <w:pPr>
              <w:rPr>
                <w:sz w:val="2"/>
                <w:szCs w:val="2"/>
              </w:rPr>
            </w:pPr>
          </w:p>
        </w:tc>
        <w:tc>
          <w:tcPr>
            <w:tcW w:w="777" w:type="dxa"/>
            <w:vMerge w:val="continue"/>
            <w:tcBorders>
              <w:top w:val="nil"/>
            </w:tcBorders>
          </w:tcPr>
          <w:p w14:paraId="25AA4474">
            <w:pPr>
              <w:rPr>
                <w:sz w:val="2"/>
                <w:szCs w:val="2"/>
              </w:rPr>
            </w:pPr>
          </w:p>
        </w:tc>
        <w:tc>
          <w:tcPr>
            <w:tcW w:w="1259" w:type="dxa"/>
            <w:vMerge w:val="continue"/>
            <w:tcBorders>
              <w:top w:val="nil"/>
            </w:tcBorders>
          </w:tcPr>
          <w:p w14:paraId="29C0F6AA">
            <w:pPr>
              <w:rPr>
                <w:sz w:val="2"/>
                <w:szCs w:val="2"/>
              </w:rPr>
            </w:pPr>
          </w:p>
        </w:tc>
        <w:tc>
          <w:tcPr>
            <w:tcW w:w="1317" w:type="dxa"/>
            <w:vMerge w:val="continue"/>
            <w:tcBorders>
              <w:top w:val="nil"/>
            </w:tcBorders>
          </w:tcPr>
          <w:p w14:paraId="330B7CD2">
            <w:pPr>
              <w:rPr>
                <w:sz w:val="2"/>
                <w:szCs w:val="2"/>
              </w:rPr>
            </w:pPr>
          </w:p>
        </w:tc>
        <w:tc>
          <w:tcPr>
            <w:tcW w:w="1230" w:type="dxa"/>
            <w:vMerge w:val="continue"/>
            <w:tcBorders>
              <w:top w:val="nil"/>
            </w:tcBorders>
          </w:tcPr>
          <w:p w14:paraId="5F9BB726">
            <w:pPr>
              <w:rPr>
                <w:sz w:val="2"/>
                <w:szCs w:val="2"/>
              </w:rPr>
            </w:pPr>
          </w:p>
        </w:tc>
        <w:tc>
          <w:tcPr>
            <w:tcW w:w="1725" w:type="dxa"/>
            <w:vMerge w:val="continue"/>
            <w:tcBorders>
              <w:top w:val="nil"/>
            </w:tcBorders>
          </w:tcPr>
          <w:p w14:paraId="18E69A9A">
            <w:pPr>
              <w:rPr>
                <w:sz w:val="2"/>
                <w:szCs w:val="2"/>
              </w:rPr>
            </w:pPr>
          </w:p>
        </w:tc>
        <w:tc>
          <w:tcPr>
            <w:tcW w:w="1230" w:type="dxa"/>
            <w:vMerge w:val="continue"/>
            <w:tcBorders>
              <w:top w:val="nil"/>
            </w:tcBorders>
          </w:tcPr>
          <w:p w14:paraId="01FF44E0">
            <w:pPr>
              <w:rPr>
                <w:sz w:val="2"/>
                <w:szCs w:val="2"/>
              </w:rPr>
            </w:pPr>
          </w:p>
        </w:tc>
        <w:tc>
          <w:tcPr>
            <w:tcW w:w="1517" w:type="dxa"/>
            <w:vMerge w:val="continue"/>
            <w:tcBorders>
              <w:top w:val="nil"/>
            </w:tcBorders>
          </w:tcPr>
          <w:p w14:paraId="2A170A51">
            <w:pPr>
              <w:rPr>
                <w:sz w:val="2"/>
                <w:szCs w:val="2"/>
              </w:rPr>
            </w:pPr>
          </w:p>
        </w:tc>
        <w:tc>
          <w:tcPr>
            <w:tcW w:w="712" w:type="dxa"/>
            <w:vMerge w:val="continue"/>
            <w:tcBorders>
              <w:top w:val="nil"/>
              <w:right w:val="nil"/>
            </w:tcBorders>
          </w:tcPr>
          <w:p w14:paraId="21BE2441">
            <w:pPr>
              <w:rPr>
                <w:sz w:val="2"/>
                <w:szCs w:val="2"/>
              </w:rPr>
            </w:pPr>
          </w:p>
        </w:tc>
      </w:tr>
      <w:tr w14:paraId="314C7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BF01FFB">
            <w:pPr>
              <w:pStyle w:val="17"/>
              <w:spacing w:before="34"/>
              <w:ind w:right="169"/>
              <w:jc w:val="right"/>
              <w:rPr>
                <w:rFonts w:ascii="Times New Roman"/>
                <w:sz w:val="21"/>
              </w:rPr>
            </w:pPr>
            <w:r>
              <w:rPr>
                <w:rFonts w:ascii="Times New Roman"/>
                <w:w w:val="99"/>
                <w:sz w:val="21"/>
              </w:rPr>
              <w:t>1</w:t>
            </w:r>
          </w:p>
        </w:tc>
        <w:tc>
          <w:tcPr>
            <w:tcW w:w="1577" w:type="dxa"/>
          </w:tcPr>
          <w:p w14:paraId="7A9DCFC6">
            <w:pPr>
              <w:pStyle w:val="17"/>
              <w:spacing w:before="20"/>
              <w:ind w:left="136" w:right="130"/>
              <w:rPr>
                <w:sz w:val="21"/>
              </w:rPr>
            </w:pPr>
            <w:r>
              <w:rPr>
                <w:sz w:val="21"/>
              </w:rPr>
              <w:t>新书村</w:t>
            </w:r>
          </w:p>
        </w:tc>
        <w:tc>
          <w:tcPr>
            <w:tcW w:w="826" w:type="dxa"/>
          </w:tcPr>
          <w:p w14:paraId="18FDA6B9">
            <w:pPr>
              <w:pStyle w:val="17"/>
              <w:spacing w:before="34"/>
              <w:ind w:left="107"/>
              <w:jc w:val="left"/>
              <w:rPr>
                <w:rFonts w:ascii="Times New Roman"/>
                <w:sz w:val="21"/>
              </w:rPr>
            </w:pPr>
            <w:r>
              <w:rPr>
                <w:rFonts w:ascii="Times New Roman"/>
                <w:sz w:val="21"/>
              </w:rPr>
              <w:t>-691</w:t>
            </w:r>
          </w:p>
        </w:tc>
        <w:tc>
          <w:tcPr>
            <w:tcW w:w="761" w:type="dxa"/>
          </w:tcPr>
          <w:p w14:paraId="4B4BDFB0">
            <w:pPr>
              <w:pStyle w:val="17"/>
              <w:spacing w:before="34"/>
              <w:ind w:left="85" w:right="235"/>
              <w:rPr>
                <w:rFonts w:ascii="Times New Roman"/>
                <w:sz w:val="21"/>
              </w:rPr>
            </w:pPr>
            <w:r>
              <w:rPr>
                <w:rFonts w:ascii="Times New Roman"/>
                <w:sz w:val="21"/>
              </w:rPr>
              <w:t>-158</w:t>
            </w:r>
          </w:p>
        </w:tc>
        <w:tc>
          <w:tcPr>
            <w:tcW w:w="823" w:type="dxa"/>
          </w:tcPr>
          <w:p w14:paraId="4844C1A3">
            <w:pPr>
              <w:pStyle w:val="17"/>
              <w:spacing w:before="34"/>
              <w:ind w:left="154" w:right="146"/>
              <w:rPr>
                <w:rFonts w:ascii="Times New Roman"/>
                <w:sz w:val="21"/>
              </w:rPr>
            </w:pPr>
            <w:r>
              <w:rPr>
                <w:rFonts w:ascii="Times New Roman"/>
                <w:sz w:val="21"/>
              </w:rPr>
              <w:t>64.83</w:t>
            </w:r>
          </w:p>
        </w:tc>
        <w:tc>
          <w:tcPr>
            <w:tcW w:w="777" w:type="dxa"/>
          </w:tcPr>
          <w:p w14:paraId="76C70C51">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49CBC0BD">
            <w:pPr>
              <w:pStyle w:val="17"/>
              <w:spacing w:before="34"/>
              <w:ind w:left="188" w:right="180"/>
              <w:rPr>
                <w:rFonts w:ascii="Times New Roman"/>
                <w:sz w:val="21"/>
              </w:rPr>
            </w:pPr>
            <w:r>
              <w:rPr>
                <w:rFonts w:ascii="Times New Roman"/>
                <w:sz w:val="21"/>
              </w:rPr>
              <w:t>6.02E+01</w:t>
            </w:r>
          </w:p>
        </w:tc>
        <w:tc>
          <w:tcPr>
            <w:tcW w:w="1317" w:type="dxa"/>
          </w:tcPr>
          <w:p w14:paraId="4928C7A5">
            <w:pPr>
              <w:pStyle w:val="17"/>
              <w:spacing w:before="34"/>
              <w:ind w:left="108" w:right="98"/>
              <w:rPr>
                <w:rFonts w:ascii="Times New Roman"/>
                <w:sz w:val="21"/>
              </w:rPr>
            </w:pPr>
            <w:r>
              <w:rPr>
                <w:rFonts w:ascii="Times New Roman"/>
                <w:sz w:val="21"/>
              </w:rPr>
              <w:t>23082304</w:t>
            </w:r>
          </w:p>
        </w:tc>
        <w:tc>
          <w:tcPr>
            <w:tcW w:w="1230" w:type="dxa"/>
          </w:tcPr>
          <w:p w14:paraId="3F4EB74B">
            <w:pPr>
              <w:pStyle w:val="17"/>
              <w:spacing w:before="34"/>
              <w:ind w:left="175" w:right="166"/>
              <w:rPr>
                <w:rFonts w:ascii="Times New Roman"/>
                <w:sz w:val="21"/>
              </w:rPr>
            </w:pPr>
            <w:r>
              <w:rPr>
                <w:rFonts w:ascii="Times New Roman"/>
                <w:sz w:val="21"/>
              </w:rPr>
              <w:t>0.00E+00</w:t>
            </w:r>
          </w:p>
        </w:tc>
        <w:tc>
          <w:tcPr>
            <w:tcW w:w="1725" w:type="dxa"/>
          </w:tcPr>
          <w:p w14:paraId="1B0171C1">
            <w:pPr>
              <w:pStyle w:val="17"/>
              <w:spacing w:before="34"/>
              <w:ind w:left="419" w:right="413"/>
              <w:rPr>
                <w:rFonts w:ascii="Times New Roman"/>
                <w:sz w:val="21"/>
              </w:rPr>
            </w:pPr>
            <w:r>
              <w:rPr>
                <w:rFonts w:ascii="Times New Roman"/>
                <w:sz w:val="21"/>
              </w:rPr>
              <w:t>6.02E+01</w:t>
            </w:r>
          </w:p>
        </w:tc>
        <w:tc>
          <w:tcPr>
            <w:tcW w:w="1230" w:type="dxa"/>
          </w:tcPr>
          <w:p w14:paraId="519617F7">
            <w:pPr>
              <w:pStyle w:val="17"/>
              <w:spacing w:before="34"/>
              <w:ind w:left="174" w:right="166"/>
              <w:rPr>
                <w:rFonts w:ascii="Times New Roman"/>
                <w:sz w:val="21"/>
              </w:rPr>
            </w:pPr>
            <w:r>
              <w:rPr>
                <w:rFonts w:ascii="Times New Roman"/>
                <w:sz w:val="21"/>
              </w:rPr>
              <w:t>2.00E+03</w:t>
            </w:r>
          </w:p>
        </w:tc>
        <w:tc>
          <w:tcPr>
            <w:tcW w:w="1517" w:type="dxa"/>
          </w:tcPr>
          <w:p w14:paraId="03D0C8FF">
            <w:pPr>
              <w:pStyle w:val="17"/>
              <w:spacing w:before="34"/>
              <w:ind w:left="499" w:right="492"/>
              <w:rPr>
                <w:rFonts w:ascii="Times New Roman"/>
                <w:sz w:val="21"/>
              </w:rPr>
            </w:pPr>
            <w:r>
              <w:rPr>
                <w:rFonts w:ascii="Times New Roman"/>
                <w:sz w:val="21"/>
              </w:rPr>
              <w:t>3.01</w:t>
            </w:r>
          </w:p>
        </w:tc>
        <w:tc>
          <w:tcPr>
            <w:tcW w:w="712" w:type="dxa"/>
            <w:tcBorders>
              <w:right w:val="nil"/>
            </w:tcBorders>
          </w:tcPr>
          <w:p w14:paraId="732AC336">
            <w:pPr>
              <w:pStyle w:val="17"/>
              <w:spacing w:before="20"/>
              <w:ind w:left="122" w:right="121"/>
              <w:rPr>
                <w:sz w:val="21"/>
              </w:rPr>
            </w:pPr>
            <w:r>
              <w:rPr>
                <w:sz w:val="21"/>
              </w:rPr>
              <w:t>达标</w:t>
            </w:r>
          </w:p>
        </w:tc>
      </w:tr>
      <w:tr w14:paraId="5D1C0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3C59E34">
            <w:pPr>
              <w:pStyle w:val="17"/>
              <w:spacing w:before="33"/>
              <w:ind w:right="169"/>
              <w:jc w:val="right"/>
              <w:rPr>
                <w:rFonts w:ascii="Times New Roman"/>
                <w:sz w:val="21"/>
              </w:rPr>
            </w:pPr>
            <w:r>
              <w:rPr>
                <w:rFonts w:ascii="Times New Roman"/>
                <w:w w:val="99"/>
                <w:sz w:val="21"/>
              </w:rPr>
              <w:t>2</w:t>
            </w:r>
          </w:p>
        </w:tc>
        <w:tc>
          <w:tcPr>
            <w:tcW w:w="1577" w:type="dxa"/>
          </w:tcPr>
          <w:p w14:paraId="07C53EAE">
            <w:pPr>
              <w:pStyle w:val="17"/>
              <w:spacing w:before="19"/>
              <w:ind w:left="136" w:right="130"/>
              <w:rPr>
                <w:sz w:val="21"/>
              </w:rPr>
            </w:pPr>
            <w:r>
              <w:rPr>
                <w:sz w:val="21"/>
              </w:rPr>
              <w:t>八里村</w:t>
            </w:r>
          </w:p>
        </w:tc>
        <w:tc>
          <w:tcPr>
            <w:tcW w:w="826" w:type="dxa"/>
          </w:tcPr>
          <w:p w14:paraId="4014F077">
            <w:pPr>
              <w:pStyle w:val="17"/>
              <w:spacing w:before="33"/>
              <w:ind w:left="107"/>
              <w:jc w:val="left"/>
              <w:rPr>
                <w:rFonts w:ascii="Times New Roman"/>
                <w:sz w:val="21"/>
              </w:rPr>
            </w:pPr>
            <w:r>
              <w:rPr>
                <w:rFonts w:ascii="Times New Roman"/>
                <w:sz w:val="21"/>
              </w:rPr>
              <w:t>-698</w:t>
            </w:r>
          </w:p>
        </w:tc>
        <w:tc>
          <w:tcPr>
            <w:tcW w:w="761" w:type="dxa"/>
          </w:tcPr>
          <w:p w14:paraId="652B9019">
            <w:pPr>
              <w:pStyle w:val="17"/>
              <w:spacing w:before="33"/>
              <w:ind w:left="85" w:right="235"/>
              <w:rPr>
                <w:rFonts w:ascii="Times New Roman"/>
                <w:sz w:val="21"/>
              </w:rPr>
            </w:pPr>
            <w:r>
              <w:rPr>
                <w:rFonts w:ascii="Times New Roman"/>
                <w:sz w:val="21"/>
              </w:rPr>
              <w:t>-255</w:t>
            </w:r>
          </w:p>
        </w:tc>
        <w:tc>
          <w:tcPr>
            <w:tcW w:w="823" w:type="dxa"/>
          </w:tcPr>
          <w:p w14:paraId="25B00439">
            <w:pPr>
              <w:pStyle w:val="17"/>
              <w:spacing w:before="33"/>
              <w:ind w:left="154" w:right="146"/>
              <w:rPr>
                <w:rFonts w:ascii="Times New Roman"/>
                <w:sz w:val="21"/>
              </w:rPr>
            </w:pPr>
            <w:r>
              <w:rPr>
                <w:rFonts w:ascii="Times New Roman"/>
                <w:sz w:val="21"/>
              </w:rPr>
              <w:t>63.63</w:t>
            </w:r>
          </w:p>
        </w:tc>
        <w:tc>
          <w:tcPr>
            <w:tcW w:w="777" w:type="dxa"/>
          </w:tcPr>
          <w:p w14:paraId="38453ED2">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461D2F3C">
            <w:pPr>
              <w:pStyle w:val="17"/>
              <w:spacing w:before="33"/>
              <w:ind w:left="188" w:right="180"/>
              <w:rPr>
                <w:rFonts w:ascii="Times New Roman"/>
                <w:sz w:val="21"/>
              </w:rPr>
            </w:pPr>
            <w:r>
              <w:rPr>
                <w:rFonts w:ascii="Times New Roman"/>
                <w:sz w:val="21"/>
              </w:rPr>
              <w:t>5.01E+01</w:t>
            </w:r>
          </w:p>
        </w:tc>
        <w:tc>
          <w:tcPr>
            <w:tcW w:w="1317" w:type="dxa"/>
          </w:tcPr>
          <w:p w14:paraId="2E58A0BD">
            <w:pPr>
              <w:pStyle w:val="17"/>
              <w:spacing w:before="33"/>
              <w:ind w:left="108" w:right="98"/>
              <w:rPr>
                <w:rFonts w:ascii="Times New Roman"/>
                <w:sz w:val="21"/>
              </w:rPr>
            </w:pPr>
            <w:r>
              <w:rPr>
                <w:rFonts w:ascii="Times New Roman"/>
                <w:sz w:val="21"/>
              </w:rPr>
              <w:t>23082301</w:t>
            </w:r>
          </w:p>
        </w:tc>
        <w:tc>
          <w:tcPr>
            <w:tcW w:w="1230" w:type="dxa"/>
          </w:tcPr>
          <w:p w14:paraId="78BB464A">
            <w:pPr>
              <w:pStyle w:val="17"/>
              <w:spacing w:before="33"/>
              <w:ind w:left="175" w:right="166"/>
              <w:rPr>
                <w:rFonts w:ascii="Times New Roman"/>
                <w:sz w:val="21"/>
              </w:rPr>
            </w:pPr>
            <w:r>
              <w:rPr>
                <w:rFonts w:ascii="Times New Roman"/>
                <w:sz w:val="21"/>
              </w:rPr>
              <w:t>0.00E+00</w:t>
            </w:r>
          </w:p>
        </w:tc>
        <w:tc>
          <w:tcPr>
            <w:tcW w:w="1725" w:type="dxa"/>
          </w:tcPr>
          <w:p w14:paraId="637917DA">
            <w:pPr>
              <w:pStyle w:val="17"/>
              <w:spacing w:before="33"/>
              <w:ind w:left="419" w:right="413"/>
              <w:rPr>
                <w:rFonts w:ascii="Times New Roman"/>
                <w:sz w:val="21"/>
              </w:rPr>
            </w:pPr>
            <w:r>
              <w:rPr>
                <w:rFonts w:ascii="Times New Roman"/>
                <w:sz w:val="21"/>
              </w:rPr>
              <w:t>5.01E+01</w:t>
            </w:r>
          </w:p>
        </w:tc>
        <w:tc>
          <w:tcPr>
            <w:tcW w:w="1230" w:type="dxa"/>
          </w:tcPr>
          <w:p w14:paraId="7EF1010C">
            <w:pPr>
              <w:pStyle w:val="17"/>
              <w:spacing w:before="33"/>
              <w:ind w:left="174" w:right="166"/>
              <w:rPr>
                <w:rFonts w:ascii="Times New Roman"/>
                <w:sz w:val="21"/>
              </w:rPr>
            </w:pPr>
            <w:r>
              <w:rPr>
                <w:rFonts w:ascii="Times New Roman"/>
                <w:sz w:val="21"/>
              </w:rPr>
              <w:t>2.00E+03</w:t>
            </w:r>
          </w:p>
        </w:tc>
        <w:tc>
          <w:tcPr>
            <w:tcW w:w="1517" w:type="dxa"/>
          </w:tcPr>
          <w:p w14:paraId="2AB9E85A">
            <w:pPr>
              <w:pStyle w:val="17"/>
              <w:spacing w:before="33"/>
              <w:ind w:left="499" w:right="492"/>
              <w:rPr>
                <w:rFonts w:ascii="Times New Roman"/>
                <w:sz w:val="21"/>
              </w:rPr>
            </w:pPr>
            <w:r>
              <w:rPr>
                <w:rFonts w:ascii="Times New Roman"/>
                <w:sz w:val="21"/>
              </w:rPr>
              <w:t>2.51</w:t>
            </w:r>
          </w:p>
        </w:tc>
        <w:tc>
          <w:tcPr>
            <w:tcW w:w="712" w:type="dxa"/>
            <w:tcBorders>
              <w:right w:val="nil"/>
            </w:tcBorders>
          </w:tcPr>
          <w:p w14:paraId="06318850">
            <w:pPr>
              <w:pStyle w:val="17"/>
              <w:spacing w:before="19"/>
              <w:ind w:left="122" w:right="121"/>
              <w:rPr>
                <w:sz w:val="21"/>
              </w:rPr>
            </w:pPr>
            <w:r>
              <w:rPr>
                <w:sz w:val="21"/>
              </w:rPr>
              <w:t>达标</w:t>
            </w:r>
          </w:p>
        </w:tc>
      </w:tr>
      <w:tr w14:paraId="1703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8C8DFCE">
            <w:pPr>
              <w:pStyle w:val="17"/>
              <w:spacing w:before="33"/>
              <w:ind w:right="169"/>
              <w:jc w:val="right"/>
              <w:rPr>
                <w:rFonts w:ascii="Times New Roman"/>
                <w:sz w:val="21"/>
              </w:rPr>
            </w:pPr>
            <w:r>
              <w:rPr>
                <w:rFonts w:ascii="Times New Roman"/>
                <w:w w:val="99"/>
                <w:sz w:val="21"/>
              </w:rPr>
              <w:t>3</w:t>
            </w:r>
          </w:p>
        </w:tc>
        <w:tc>
          <w:tcPr>
            <w:tcW w:w="1577" w:type="dxa"/>
          </w:tcPr>
          <w:p w14:paraId="48D0A518">
            <w:pPr>
              <w:pStyle w:val="17"/>
              <w:spacing w:before="19"/>
              <w:ind w:left="136" w:right="130"/>
              <w:rPr>
                <w:sz w:val="21"/>
              </w:rPr>
            </w:pPr>
            <w:r>
              <w:rPr>
                <w:sz w:val="21"/>
              </w:rPr>
              <w:t>新桥村</w:t>
            </w:r>
          </w:p>
        </w:tc>
        <w:tc>
          <w:tcPr>
            <w:tcW w:w="826" w:type="dxa"/>
          </w:tcPr>
          <w:p w14:paraId="0C51BA45">
            <w:pPr>
              <w:pStyle w:val="17"/>
              <w:spacing w:before="33"/>
              <w:ind w:left="107"/>
              <w:jc w:val="left"/>
              <w:rPr>
                <w:rFonts w:ascii="Times New Roman"/>
                <w:sz w:val="21"/>
              </w:rPr>
            </w:pPr>
            <w:r>
              <w:rPr>
                <w:rFonts w:ascii="Times New Roman"/>
                <w:sz w:val="21"/>
              </w:rPr>
              <w:t>-795</w:t>
            </w:r>
          </w:p>
        </w:tc>
        <w:tc>
          <w:tcPr>
            <w:tcW w:w="761" w:type="dxa"/>
          </w:tcPr>
          <w:p w14:paraId="181BA135">
            <w:pPr>
              <w:pStyle w:val="17"/>
              <w:spacing w:before="33"/>
              <w:ind w:left="85" w:right="129"/>
              <w:rPr>
                <w:rFonts w:ascii="Times New Roman"/>
                <w:sz w:val="21"/>
              </w:rPr>
            </w:pPr>
            <w:r>
              <w:rPr>
                <w:rFonts w:ascii="Times New Roman"/>
                <w:sz w:val="21"/>
              </w:rPr>
              <w:t>-1454</w:t>
            </w:r>
          </w:p>
        </w:tc>
        <w:tc>
          <w:tcPr>
            <w:tcW w:w="823" w:type="dxa"/>
          </w:tcPr>
          <w:p w14:paraId="0FBAC13D">
            <w:pPr>
              <w:pStyle w:val="17"/>
              <w:spacing w:before="33"/>
              <w:ind w:left="154" w:right="146"/>
              <w:rPr>
                <w:rFonts w:ascii="Times New Roman"/>
                <w:sz w:val="21"/>
              </w:rPr>
            </w:pPr>
            <w:r>
              <w:rPr>
                <w:rFonts w:ascii="Times New Roman"/>
                <w:sz w:val="21"/>
              </w:rPr>
              <w:t>68</w:t>
            </w:r>
          </w:p>
        </w:tc>
        <w:tc>
          <w:tcPr>
            <w:tcW w:w="777" w:type="dxa"/>
          </w:tcPr>
          <w:p w14:paraId="4F6E6A6B">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61FC9E32">
            <w:pPr>
              <w:pStyle w:val="17"/>
              <w:spacing w:before="33"/>
              <w:ind w:left="188" w:right="180"/>
              <w:rPr>
                <w:rFonts w:ascii="Times New Roman"/>
                <w:sz w:val="21"/>
              </w:rPr>
            </w:pPr>
            <w:r>
              <w:rPr>
                <w:rFonts w:ascii="Times New Roman"/>
                <w:sz w:val="21"/>
              </w:rPr>
              <w:t>4.95E+01</w:t>
            </w:r>
          </w:p>
        </w:tc>
        <w:tc>
          <w:tcPr>
            <w:tcW w:w="1317" w:type="dxa"/>
          </w:tcPr>
          <w:p w14:paraId="2F1DBDE7">
            <w:pPr>
              <w:pStyle w:val="17"/>
              <w:spacing w:before="33"/>
              <w:ind w:left="108" w:right="98"/>
              <w:rPr>
                <w:rFonts w:ascii="Times New Roman"/>
                <w:sz w:val="21"/>
              </w:rPr>
            </w:pPr>
            <w:r>
              <w:rPr>
                <w:rFonts w:ascii="Times New Roman"/>
                <w:sz w:val="21"/>
              </w:rPr>
              <w:t>23082004</w:t>
            </w:r>
          </w:p>
        </w:tc>
        <w:tc>
          <w:tcPr>
            <w:tcW w:w="1230" w:type="dxa"/>
          </w:tcPr>
          <w:p w14:paraId="393D1AC8">
            <w:pPr>
              <w:pStyle w:val="17"/>
              <w:spacing w:before="33"/>
              <w:ind w:left="175" w:right="166"/>
              <w:rPr>
                <w:rFonts w:ascii="Times New Roman"/>
                <w:sz w:val="21"/>
              </w:rPr>
            </w:pPr>
            <w:r>
              <w:rPr>
                <w:rFonts w:ascii="Times New Roman"/>
                <w:sz w:val="21"/>
              </w:rPr>
              <w:t>0.00E+00</w:t>
            </w:r>
          </w:p>
        </w:tc>
        <w:tc>
          <w:tcPr>
            <w:tcW w:w="1725" w:type="dxa"/>
          </w:tcPr>
          <w:p w14:paraId="4CE621D1">
            <w:pPr>
              <w:pStyle w:val="17"/>
              <w:spacing w:before="33"/>
              <w:ind w:left="419" w:right="413"/>
              <w:rPr>
                <w:rFonts w:ascii="Times New Roman"/>
                <w:sz w:val="21"/>
              </w:rPr>
            </w:pPr>
            <w:r>
              <w:rPr>
                <w:rFonts w:ascii="Times New Roman"/>
                <w:sz w:val="21"/>
              </w:rPr>
              <w:t>4.95E+01</w:t>
            </w:r>
          </w:p>
        </w:tc>
        <w:tc>
          <w:tcPr>
            <w:tcW w:w="1230" w:type="dxa"/>
          </w:tcPr>
          <w:p w14:paraId="0E202F69">
            <w:pPr>
              <w:pStyle w:val="17"/>
              <w:spacing w:before="33"/>
              <w:ind w:left="174" w:right="166"/>
              <w:rPr>
                <w:rFonts w:ascii="Times New Roman"/>
                <w:sz w:val="21"/>
              </w:rPr>
            </w:pPr>
            <w:r>
              <w:rPr>
                <w:rFonts w:ascii="Times New Roman"/>
                <w:sz w:val="21"/>
              </w:rPr>
              <w:t>2.00E+03</w:t>
            </w:r>
          </w:p>
        </w:tc>
        <w:tc>
          <w:tcPr>
            <w:tcW w:w="1517" w:type="dxa"/>
          </w:tcPr>
          <w:p w14:paraId="0C2940CC">
            <w:pPr>
              <w:pStyle w:val="17"/>
              <w:spacing w:before="33"/>
              <w:ind w:left="499" w:right="492"/>
              <w:rPr>
                <w:rFonts w:ascii="Times New Roman"/>
                <w:sz w:val="21"/>
              </w:rPr>
            </w:pPr>
            <w:r>
              <w:rPr>
                <w:rFonts w:ascii="Times New Roman"/>
                <w:sz w:val="21"/>
              </w:rPr>
              <w:t>2.47</w:t>
            </w:r>
          </w:p>
        </w:tc>
        <w:tc>
          <w:tcPr>
            <w:tcW w:w="712" w:type="dxa"/>
            <w:tcBorders>
              <w:right w:val="nil"/>
            </w:tcBorders>
          </w:tcPr>
          <w:p w14:paraId="3F5A3F30">
            <w:pPr>
              <w:pStyle w:val="17"/>
              <w:spacing w:before="19"/>
              <w:ind w:left="122" w:right="121"/>
              <w:rPr>
                <w:sz w:val="21"/>
              </w:rPr>
            </w:pPr>
            <w:r>
              <w:rPr>
                <w:sz w:val="21"/>
              </w:rPr>
              <w:t>达标</w:t>
            </w:r>
          </w:p>
        </w:tc>
      </w:tr>
      <w:tr w14:paraId="7CFD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1C7F1E6">
            <w:pPr>
              <w:pStyle w:val="17"/>
              <w:spacing w:before="35"/>
              <w:ind w:right="169"/>
              <w:jc w:val="right"/>
              <w:rPr>
                <w:rFonts w:ascii="Times New Roman"/>
                <w:sz w:val="21"/>
              </w:rPr>
            </w:pPr>
            <w:r>
              <w:rPr>
                <w:rFonts w:ascii="Times New Roman"/>
                <w:w w:val="99"/>
                <w:sz w:val="21"/>
              </w:rPr>
              <w:t>4</w:t>
            </w:r>
          </w:p>
        </w:tc>
        <w:tc>
          <w:tcPr>
            <w:tcW w:w="1577" w:type="dxa"/>
          </w:tcPr>
          <w:p w14:paraId="05025D63">
            <w:pPr>
              <w:pStyle w:val="17"/>
              <w:spacing w:before="21"/>
              <w:ind w:left="133" w:right="130"/>
              <w:rPr>
                <w:sz w:val="21"/>
              </w:rPr>
            </w:pPr>
            <w:r>
              <w:rPr>
                <w:sz w:val="21"/>
              </w:rPr>
              <w:t>童家塅村</w:t>
            </w:r>
          </w:p>
        </w:tc>
        <w:tc>
          <w:tcPr>
            <w:tcW w:w="826" w:type="dxa"/>
          </w:tcPr>
          <w:p w14:paraId="2722A7EA">
            <w:pPr>
              <w:pStyle w:val="17"/>
              <w:spacing w:before="35"/>
              <w:ind w:left="107"/>
              <w:jc w:val="left"/>
              <w:rPr>
                <w:rFonts w:ascii="Times New Roman"/>
                <w:sz w:val="21"/>
              </w:rPr>
            </w:pPr>
            <w:r>
              <w:rPr>
                <w:rFonts w:ascii="Times New Roman"/>
                <w:sz w:val="21"/>
              </w:rPr>
              <w:t>-4436</w:t>
            </w:r>
          </w:p>
        </w:tc>
        <w:tc>
          <w:tcPr>
            <w:tcW w:w="761" w:type="dxa"/>
          </w:tcPr>
          <w:p w14:paraId="4A0282A2">
            <w:pPr>
              <w:pStyle w:val="17"/>
              <w:spacing w:before="35"/>
              <w:ind w:left="19" w:right="238"/>
              <w:rPr>
                <w:rFonts w:ascii="Times New Roman"/>
                <w:sz w:val="21"/>
              </w:rPr>
            </w:pPr>
            <w:r>
              <w:rPr>
                <w:rFonts w:ascii="Times New Roman"/>
                <w:sz w:val="21"/>
              </w:rPr>
              <w:t>374</w:t>
            </w:r>
          </w:p>
        </w:tc>
        <w:tc>
          <w:tcPr>
            <w:tcW w:w="823" w:type="dxa"/>
          </w:tcPr>
          <w:p w14:paraId="78D1B9FF">
            <w:pPr>
              <w:pStyle w:val="17"/>
              <w:spacing w:before="35"/>
              <w:ind w:left="154" w:right="146"/>
              <w:rPr>
                <w:rFonts w:ascii="Times New Roman"/>
                <w:sz w:val="21"/>
              </w:rPr>
            </w:pPr>
            <w:r>
              <w:rPr>
                <w:rFonts w:ascii="Times New Roman"/>
                <w:sz w:val="21"/>
              </w:rPr>
              <w:t>43.33</w:t>
            </w:r>
          </w:p>
        </w:tc>
        <w:tc>
          <w:tcPr>
            <w:tcW w:w="777" w:type="dxa"/>
          </w:tcPr>
          <w:p w14:paraId="7FF305BD">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2AC0D113">
            <w:pPr>
              <w:pStyle w:val="17"/>
              <w:spacing w:before="35"/>
              <w:ind w:left="188" w:right="180"/>
              <w:rPr>
                <w:rFonts w:ascii="Times New Roman"/>
                <w:sz w:val="21"/>
              </w:rPr>
            </w:pPr>
            <w:r>
              <w:rPr>
                <w:rFonts w:ascii="Times New Roman"/>
                <w:sz w:val="21"/>
              </w:rPr>
              <w:t>1.40E+01</w:t>
            </w:r>
          </w:p>
        </w:tc>
        <w:tc>
          <w:tcPr>
            <w:tcW w:w="1317" w:type="dxa"/>
          </w:tcPr>
          <w:p w14:paraId="425D0744">
            <w:pPr>
              <w:pStyle w:val="17"/>
              <w:spacing w:before="35"/>
              <w:ind w:left="108" w:right="98"/>
              <w:rPr>
                <w:rFonts w:ascii="Times New Roman"/>
                <w:sz w:val="21"/>
              </w:rPr>
            </w:pPr>
            <w:r>
              <w:rPr>
                <w:rFonts w:ascii="Times New Roman"/>
                <w:sz w:val="21"/>
              </w:rPr>
              <w:t>23090807</w:t>
            </w:r>
          </w:p>
        </w:tc>
        <w:tc>
          <w:tcPr>
            <w:tcW w:w="1230" w:type="dxa"/>
          </w:tcPr>
          <w:p w14:paraId="07FF52F8">
            <w:pPr>
              <w:pStyle w:val="17"/>
              <w:spacing w:before="35"/>
              <w:ind w:left="175" w:right="166"/>
              <w:rPr>
                <w:rFonts w:ascii="Times New Roman"/>
                <w:sz w:val="21"/>
              </w:rPr>
            </w:pPr>
            <w:r>
              <w:rPr>
                <w:rFonts w:ascii="Times New Roman"/>
                <w:sz w:val="21"/>
              </w:rPr>
              <w:t>0.00E+00</w:t>
            </w:r>
          </w:p>
        </w:tc>
        <w:tc>
          <w:tcPr>
            <w:tcW w:w="1725" w:type="dxa"/>
          </w:tcPr>
          <w:p w14:paraId="23806EF4">
            <w:pPr>
              <w:pStyle w:val="17"/>
              <w:spacing w:before="35"/>
              <w:ind w:left="419" w:right="413"/>
              <w:rPr>
                <w:rFonts w:ascii="Times New Roman"/>
                <w:sz w:val="21"/>
              </w:rPr>
            </w:pPr>
            <w:r>
              <w:rPr>
                <w:rFonts w:ascii="Times New Roman"/>
                <w:sz w:val="21"/>
              </w:rPr>
              <w:t>1.40E+01</w:t>
            </w:r>
          </w:p>
        </w:tc>
        <w:tc>
          <w:tcPr>
            <w:tcW w:w="1230" w:type="dxa"/>
          </w:tcPr>
          <w:p w14:paraId="14097015">
            <w:pPr>
              <w:pStyle w:val="17"/>
              <w:spacing w:before="35"/>
              <w:ind w:left="174" w:right="166"/>
              <w:rPr>
                <w:rFonts w:ascii="Times New Roman"/>
                <w:sz w:val="21"/>
              </w:rPr>
            </w:pPr>
            <w:r>
              <w:rPr>
                <w:rFonts w:ascii="Times New Roman"/>
                <w:sz w:val="21"/>
              </w:rPr>
              <w:t>2.00E+03</w:t>
            </w:r>
          </w:p>
        </w:tc>
        <w:tc>
          <w:tcPr>
            <w:tcW w:w="1517" w:type="dxa"/>
          </w:tcPr>
          <w:p w14:paraId="16FF0ECE">
            <w:pPr>
              <w:pStyle w:val="17"/>
              <w:spacing w:before="35"/>
              <w:ind w:left="499" w:right="492"/>
              <w:rPr>
                <w:rFonts w:ascii="Times New Roman"/>
                <w:sz w:val="21"/>
              </w:rPr>
            </w:pPr>
            <w:r>
              <w:rPr>
                <w:rFonts w:ascii="Times New Roman"/>
                <w:sz w:val="21"/>
              </w:rPr>
              <w:t>0.70</w:t>
            </w:r>
          </w:p>
        </w:tc>
        <w:tc>
          <w:tcPr>
            <w:tcW w:w="712" w:type="dxa"/>
            <w:tcBorders>
              <w:right w:val="nil"/>
            </w:tcBorders>
          </w:tcPr>
          <w:p w14:paraId="0AFCE932">
            <w:pPr>
              <w:pStyle w:val="17"/>
              <w:spacing w:before="18"/>
              <w:ind w:left="122" w:right="121"/>
              <w:rPr>
                <w:sz w:val="21"/>
              </w:rPr>
            </w:pPr>
            <w:r>
              <w:rPr>
                <w:sz w:val="21"/>
              </w:rPr>
              <w:t>达标</w:t>
            </w:r>
          </w:p>
        </w:tc>
      </w:tr>
      <w:tr w14:paraId="44E25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237FA74">
            <w:pPr>
              <w:pStyle w:val="17"/>
              <w:spacing w:before="34"/>
              <w:ind w:right="169"/>
              <w:jc w:val="right"/>
              <w:rPr>
                <w:rFonts w:ascii="Times New Roman"/>
                <w:sz w:val="21"/>
              </w:rPr>
            </w:pPr>
            <w:r>
              <w:rPr>
                <w:rFonts w:ascii="Times New Roman"/>
                <w:w w:val="99"/>
                <w:sz w:val="21"/>
              </w:rPr>
              <w:t>5</w:t>
            </w:r>
          </w:p>
        </w:tc>
        <w:tc>
          <w:tcPr>
            <w:tcW w:w="1577" w:type="dxa"/>
          </w:tcPr>
          <w:p w14:paraId="4B19675D">
            <w:pPr>
              <w:pStyle w:val="17"/>
              <w:spacing w:before="21"/>
              <w:ind w:left="136" w:right="130"/>
              <w:rPr>
                <w:sz w:val="21"/>
              </w:rPr>
            </w:pPr>
            <w:r>
              <w:rPr>
                <w:sz w:val="21"/>
              </w:rPr>
              <w:t>武莲村</w:t>
            </w:r>
          </w:p>
        </w:tc>
        <w:tc>
          <w:tcPr>
            <w:tcW w:w="826" w:type="dxa"/>
          </w:tcPr>
          <w:p w14:paraId="47FB8177">
            <w:pPr>
              <w:pStyle w:val="17"/>
              <w:spacing w:before="34"/>
              <w:ind w:left="107"/>
              <w:jc w:val="left"/>
              <w:rPr>
                <w:rFonts w:ascii="Times New Roman"/>
                <w:sz w:val="21"/>
              </w:rPr>
            </w:pPr>
            <w:r>
              <w:rPr>
                <w:rFonts w:ascii="Times New Roman"/>
                <w:sz w:val="21"/>
              </w:rPr>
              <w:t>-63</w:t>
            </w:r>
          </w:p>
        </w:tc>
        <w:tc>
          <w:tcPr>
            <w:tcW w:w="761" w:type="dxa"/>
          </w:tcPr>
          <w:p w14:paraId="717735FA">
            <w:pPr>
              <w:pStyle w:val="17"/>
              <w:spacing w:before="34"/>
              <w:ind w:left="11" w:right="132"/>
              <w:rPr>
                <w:rFonts w:ascii="Times New Roman"/>
                <w:sz w:val="21"/>
              </w:rPr>
            </w:pPr>
            <w:r>
              <w:rPr>
                <w:rFonts w:ascii="Times New Roman"/>
                <w:sz w:val="21"/>
              </w:rPr>
              <w:t>1191</w:t>
            </w:r>
          </w:p>
        </w:tc>
        <w:tc>
          <w:tcPr>
            <w:tcW w:w="823" w:type="dxa"/>
          </w:tcPr>
          <w:p w14:paraId="682174C1">
            <w:pPr>
              <w:pStyle w:val="17"/>
              <w:spacing w:before="34"/>
              <w:ind w:left="154" w:right="146"/>
              <w:rPr>
                <w:rFonts w:ascii="Times New Roman"/>
                <w:sz w:val="21"/>
              </w:rPr>
            </w:pPr>
            <w:r>
              <w:rPr>
                <w:rFonts w:ascii="Times New Roman"/>
                <w:sz w:val="21"/>
              </w:rPr>
              <w:t>39.28</w:t>
            </w:r>
          </w:p>
        </w:tc>
        <w:tc>
          <w:tcPr>
            <w:tcW w:w="777" w:type="dxa"/>
          </w:tcPr>
          <w:p w14:paraId="5C324707">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356ECC3D">
            <w:pPr>
              <w:pStyle w:val="17"/>
              <w:spacing w:before="34"/>
              <w:ind w:left="188" w:right="180"/>
              <w:rPr>
                <w:rFonts w:ascii="Times New Roman"/>
                <w:sz w:val="21"/>
              </w:rPr>
            </w:pPr>
            <w:r>
              <w:rPr>
                <w:rFonts w:ascii="Times New Roman"/>
                <w:sz w:val="21"/>
              </w:rPr>
              <w:t>3.05E+01</w:t>
            </w:r>
          </w:p>
        </w:tc>
        <w:tc>
          <w:tcPr>
            <w:tcW w:w="1317" w:type="dxa"/>
          </w:tcPr>
          <w:p w14:paraId="3D2DA3B8">
            <w:pPr>
              <w:pStyle w:val="17"/>
              <w:spacing w:before="34"/>
              <w:ind w:left="108" w:right="98"/>
              <w:rPr>
                <w:rFonts w:ascii="Times New Roman"/>
                <w:sz w:val="21"/>
              </w:rPr>
            </w:pPr>
            <w:r>
              <w:rPr>
                <w:rFonts w:ascii="Times New Roman"/>
                <w:sz w:val="21"/>
              </w:rPr>
              <w:t>23080406</w:t>
            </w:r>
          </w:p>
        </w:tc>
        <w:tc>
          <w:tcPr>
            <w:tcW w:w="1230" w:type="dxa"/>
          </w:tcPr>
          <w:p w14:paraId="04CE3929">
            <w:pPr>
              <w:pStyle w:val="17"/>
              <w:spacing w:before="34"/>
              <w:ind w:left="175" w:right="166"/>
              <w:rPr>
                <w:rFonts w:ascii="Times New Roman"/>
                <w:sz w:val="21"/>
              </w:rPr>
            </w:pPr>
            <w:r>
              <w:rPr>
                <w:rFonts w:ascii="Times New Roman"/>
                <w:sz w:val="21"/>
              </w:rPr>
              <w:t>0.00E+00</w:t>
            </w:r>
          </w:p>
        </w:tc>
        <w:tc>
          <w:tcPr>
            <w:tcW w:w="1725" w:type="dxa"/>
          </w:tcPr>
          <w:p w14:paraId="26D754D2">
            <w:pPr>
              <w:pStyle w:val="17"/>
              <w:spacing w:before="34"/>
              <w:ind w:left="419" w:right="413"/>
              <w:rPr>
                <w:rFonts w:ascii="Times New Roman"/>
                <w:sz w:val="21"/>
              </w:rPr>
            </w:pPr>
            <w:r>
              <w:rPr>
                <w:rFonts w:ascii="Times New Roman"/>
                <w:sz w:val="21"/>
              </w:rPr>
              <w:t>3.05E+01</w:t>
            </w:r>
          </w:p>
        </w:tc>
        <w:tc>
          <w:tcPr>
            <w:tcW w:w="1230" w:type="dxa"/>
          </w:tcPr>
          <w:p w14:paraId="359F2CF5">
            <w:pPr>
              <w:pStyle w:val="17"/>
              <w:spacing w:before="34"/>
              <w:ind w:left="174" w:right="166"/>
              <w:rPr>
                <w:rFonts w:ascii="Times New Roman"/>
                <w:sz w:val="21"/>
              </w:rPr>
            </w:pPr>
            <w:r>
              <w:rPr>
                <w:rFonts w:ascii="Times New Roman"/>
                <w:sz w:val="21"/>
              </w:rPr>
              <w:t>2.00E+03</w:t>
            </w:r>
          </w:p>
        </w:tc>
        <w:tc>
          <w:tcPr>
            <w:tcW w:w="1517" w:type="dxa"/>
          </w:tcPr>
          <w:p w14:paraId="777F00FE">
            <w:pPr>
              <w:pStyle w:val="17"/>
              <w:spacing w:before="34"/>
              <w:ind w:left="499" w:right="492"/>
              <w:rPr>
                <w:rFonts w:ascii="Times New Roman"/>
                <w:sz w:val="21"/>
              </w:rPr>
            </w:pPr>
            <w:r>
              <w:rPr>
                <w:rFonts w:ascii="Times New Roman"/>
                <w:sz w:val="21"/>
              </w:rPr>
              <w:t>1.53</w:t>
            </w:r>
          </w:p>
        </w:tc>
        <w:tc>
          <w:tcPr>
            <w:tcW w:w="712" w:type="dxa"/>
            <w:tcBorders>
              <w:right w:val="nil"/>
            </w:tcBorders>
          </w:tcPr>
          <w:p w14:paraId="37D552F1">
            <w:pPr>
              <w:pStyle w:val="17"/>
              <w:spacing w:before="18"/>
              <w:ind w:left="122" w:right="121"/>
              <w:rPr>
                <w:sz w:val="21"/>
              </w:rPr>
            </w:pPr>
            <w:r>
              <w:rPr>
                <w:sz w:val="21"/>
              </w:rPr>
              <w:t>达标</w:t>
            </w:r>
          </w:p>
        </w:tc>
      </w:tr>
      <w:tr w14:paraId="4BDEB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9524831">
            <w:pPr>
              <w:pStyle w:val="17"/>
              <w:spacing w:before="34"/>
              <w:ind w:right="169"/>
              <w:jc w:val="right"/>
              <w:rPr>
                <w:rFonts w:ascii="Times New Roman"/>
                <w:sz w:val="21"/>
              </w:rPr>
            </w:pPr>
            <w:r>
              <w:rPr>
                <w:rFonts w:ascii="Times New Roman"/>
                <w:w w:val="99"/>
                <w:sz w:val="21"/>
              </w:rPr>
              <w:t>6</w:t>
            </w:r>
          </w:p>
        </w:tc>
        <w:tc>
          <w:tcPr>
            <w:tcW w:w="1577" w:type="dxa"/>
          </w:tcPr>
          <w:p w14:paraId="07DF554A">
            <w:pPr>
              <w:pStyle w:val="17"/>
              <w:spacing w:before="20"/>
              <w:ind w:left="136" w:right="130"/>
              <w:rPr>
                <w:sz w:val="21"/>
              </w:rPr>
            </w:pPr>
            <w:r>
              <w:rPr>
                <w:sz w:val="21"/>
              </w:rPr>
              <w:t>三和村</w:t>
            </w:r>
          </w:p>
        </w:tc>
        <w:tc>
          <w:tcPr>
            <w:tcW w:w="826" w:type="dxa"/>
          </w:tcPr>
          <w:p w14:paraId="5CCFF68C">
            <w:pPr>
              <w:pStyle w:val="17"/>
              <w:spacing w:before="34"/>
              <w:ind w:left="203"/>
              <w:jc w:val="left"/>
              <w:rPr>
                <w:rFonts w:ascii="Times New Roman"/>
                <w:sz w:val="21"/>
              </w:rPr>
            </w:pPr>
            <w:r>
              <w:rPr>
                <w:rFonts w:ascii="Times New Roman"/>
                <w:sz w:val="21"/>
              </w:rPr>
              <w:t>1237</w:t>
            </w:r>
          </w:p>
        </w:tc>
        <w:tc>
          <w:tcPr>
            <w:tcW w:w="761" w:type="dxa"/>
          </w:tcPr>
          <w:p w14:paraId="45D85BDE">
            <w:pPr>
              <w:pStyle w:val="17"/>
              <w:spacing w:before="34"/>
              <w:ind w:left="85" w:right="77"/>
              <w:rPr>
                <w:rFonts w:ascii="Times New Roman"/>
                <w:sz w:val="21"/>
              </w:rPr>
            </w:pPr>
            <w:r>
              <w:rPr>
                <w:rFonts w:ascii="Times New Roman"/>
                <w:sz w:val="21"/>
              </w:rPr>
              <w:t>1042</w:t>
            </w:r>
          </w:p>
        </w:tc>
        <w:tc>
          <w:tcPr>
            <w:tcW w:w="823" w:type="dxa"/>
          </w:tcPr>
          <w:p w14:paraId="2438399D">
            <w:pPr>
              <w:pStyle w:val="17"/>
              <w:spacing w:before="34"/>
              <w:ind w:left="154" w:right="146"/>
              <w:rPr>
                <w:rFonts w:ascii="Times New Roman"/>
                <w:sz w:val="21"/>
              </w:rPr>
            </w:pPr>
            <w:r>
              <w:rPr>
                <w:rFonts w:ascii="Times New Roman"/>
                <w:sz w:val="21"/>
              </w:rPr>
              <w:t>61.08</w:t>
            </w:r>
          </w:p>
        </w:tc>
        <w:tc>
          <w:tcPr>
            <w:tcW w:w="777" w:type="dxa"/>
          </w:tcPr>
          <w:p w14:paraId="6C3E6F32">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294F361F">
            <w:pPr>
              <w:pStyle w:val="17"/>
              <w:spacing w:before="34"/>
              <w:ind w:left="188" w:right="180"/>
              <w:rPr>
                <w:rFonts w:ascii="Times New Roman"/>
                <w:sz w:val="21"/>
              </w:rPr>
            </w:pPr>
            <w:r>
              <w:rPr>
                <w:rFonts w:ascii="Times New Roman"/>
                <w:sz w:val="21"/>
              </w:rPr>
              <w:t>3.54E+01</w:t>
            </w:r>
          </w:p>
        </w:tc>
        <w:tc>
          <w:tcPr>
            <w:tcW w:w="1317" w:type="dxa"/>
          </w:tcPr>
          <w:p w14:paraId="1AD1584E">
            <w:pPr>
              <w:pStyle w:val="17"/>
              <w:spacing w:before="34"/>
              <w:ind w:left="108" w:right="98"/>
              <w:rPr>
                <w:rFonts w:ascii="Times New Roman"/>
                <w:sz w:val="21"/>
              </w:rPr>
            </w:pPr>
            <w:r>
              <w:rPr>
                <w:rFonts w:ascii="Times New Roman"/>
                <w:sz w:val="21"/>
              </w:rPr>
              <w:t>23122907</w:t>
            </w:r>
          </w:p>
        </w:tc>
        <w:tc>
          <w:tcPr>
            <w:tcW w:w="1230" w:type="dxa"/>
          </w:tcPr>
          <w:p w14:paraId="27130245">
            <w:pPr>
              <w:pStyle w:val="17"/>
              <w:spacing w:before="34"/>
              <w:ind w:left="175" w:right="166"/>
              <w:rPr>
                <w:rFonts w:ascii="Times New Roman"/>
                <w:sz w:val="21"/>
              </w:rPr>
            </w:pPr>
            <w:r>
              <w:rPr>
                <w:rFonts w:ascii="Times New Roman"/>
                <w:sz w:val="21"/>
              </w:rPr>
              <w:t>0.00E+00</w:t>
            </w:r>
          </w:p>
        </w:tc>
        <w:tc>
          <w:tcPr>
            <w:tcW w:w="1725" w:type="dxa"/>
          </w:tcPr>
          <w:p w14:paraId="16F06E4B">
            <w:pPr>
              <w:pStyle w:val="17"/>
              <w:spacing w:before="34"/>
              <w:ind w:left="419" w:right="413"/>
              <w:rPr>
                <w:rFonts w:ascii="Times New Roman"/>
                <w:sz w:val="21"/>
              </w:rPr>
            </w:pPr>
            <w:r>
              <w:rPr>
                <w:rFonts w:ascii="Times New Roman"/>
                <w:sz w:val="21"/>
              </w:rPr>
              <w:t>3.54E+01</w:t>
            </w:r>
          </w:p>
        </w:tc>
        <w:tc>
          <w:tcPr>
            <w:tcW w:w="1230" w:type="dxa"/>
          </w:tcPr>
          <w:p w14:paraId="45AB8034">
            <w:pPr>
              <w:pStyle w:val="17"/>
              <w:spacing w:before="34"/>
              <w:ind w:left="174" w:right="166"/>
              <w:rPr>
                <w:rFonts w:ascii="Times New Roman"/>
                <w:sz w:val="21"/>
              </w:rPr>
            </w:pPr>
            <w:r>
              <w:rPr>
                <w:rFonts w:ascii="Times New Roman"/>
                <w:sz w:val="21"/>
              </w:rPr>
              <w:t>2.00E+03</w:t>
            </w:r>
          </w:p>
        </w:tc>
        <w:tc>
          <w:tcPr>
            <w:tcW w:w="1517" w:type="dxa"/>
          </w:tcPr>
          <w:p w14:paraId="6AA70E00">
            <w:pPr>
              <w:pStyle w:val="17"/>
              <w:spacing w:before="34"/>
              <w:ind w:left="499" w:right="492"/>
              <w:rPr>
                <w:rFonts w:ascii="Times New Roman"/>
                <w:sz w:val="21"/>
              </w:rPr>
            </w:pPr>
            <w:r>
              <w:rPr>
                <w:rFonts w:ascii="Times New Roman"/>
                <w:sz w:val="21"/>
              </w:rPr>
              <w:t>1.77</w:t>
            </w:r>
          </w:p>
        </w:tc>
        <w:tc>
          <w:tcPr>
            <w:tcW w:w="712" w:type="dxa"/>
            <w:tcBorders>
              <w:right w:val="nil"/>
            </w:tcBorders>
          </w:tcPr>
          <w:p w14:paraId="2C1D5748">
            <w:pPr>
              <w:pStyle w:val="17"/>
              <w:spacing w:before="18"/>
              <w:ind w:left="122" w:right="121"/>
              <w:rPr>
                <w:sz w:val="21"/>
              </w:rPr>
            </w:pPr>
            <w:r>
              <w:rPr>
                <w:sz w:val="21"/>
              </w:rPr>
              <w:t>达标</w:t>
            </w:r>
          </w:p>
        </w:tc>
      </w:tr>
      <w:tr w14:paraId="2E7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E28CD7B">
            <w:pPr>
              <w:pStyle w:val="17"/>
              <w:spacing w:before="34"/>
              <w:ind w:right="169"/>
              <w:jc w:val="right"/>
              <w:rPr>
                <w:rFonts w:ascii="Times New Roman"/>
                <w:sz w:val="21"/>
              </w:rPr>
            </w:pPr>
            <w:r>
              <w:rPr>
                <w:rFonts w:ascii="Times New Roman"/>
                <w:w w:val="99"/>
                <w:sz w:val="21"/>
              </w:rPr>
              <w:t>7</w:t>
            </w:r>
          </w:p>
        </w:tc>
        <w:tc>
          <w:tcPr>
            <w:tcW w:w="1577" w:type="dxa"/>
          </w:tcPr>
          <w:p w14:paraId="7B3CF6D3">
            <w:pPr>
              <w:pStyle w:val="17"/>
              <w:spacing w:before="20"/>
              <w:ind w:left="133" w:right="130"/>
              <w:rPr>
                <w:sz w:val="21"/>
              </w:rPr>
            </w:pPr>
            <w:r>
              <w:rPr>
                <w:sz w:val="21"/>
              </w:rPr>
              <w:t>中家桥村</w:t>
            </w:r>
          </w:p>
        </w:tc>
        <w:tc>
          <w:tcPr>
            <w:tcW w:w="826" w:type="dxa"/>
          </w:tcPr>
          <w:p w14:paraId="2E843124">
            <w:pPr>
              <w:pStyle w:val="17"/>
              <w:spacing w:before="34"/>
              <w:ind w:left="107"/>
              <w:jc w:val="left"/>
              <w:rPr>
                <w:rFonts w:ascii="Times New Roman"/>
                <w:sz w:val="21"/>
              </w:rPr>
            </w:pPr>
            <w:r>
              <w:rPr>
                <w:rFonts w:ascii="Times New Roman"/>
                <w:sz w:val="21"/>
              </w:rPr>
              <w:t>961</w:t>
            </w:r>
          </w:p>
        </w:tc>
        <w:tc>
          <w:tcPr>
            <w:tcW w:w="761" w:type="dxa"/>
          </w:tcPr>
          <w:p w14:paraId="0B9455B4">
            <w:pPr>
              <w:pStyle w:val="17"/>
              <w:spacing w:before="34"/>
              <w:ind w:left="85" w:right="235"/>
              <w:rPr>
                <w:rFonts w:ascii="Times New Roman"/>
                <w:sz w:val="21"/>
              </w:rPr>
            </w:pPr>
            <w:r>
              <w:rPr>
                <w:rFonts w:ascii="Times New Roman"/>
                <w:sz w:val="21"/>
              </w:rPr>
              <w:t>-813</w:t>
            </w:r>
          </w:p>
        </w:tc>
        <w:tc>
          <w:tcPr>
            <w:tcW w:w="823" w:type="dxa"/>
          </w:tcPr>
          <w:p w14:paraId="61E753FC">
            <w:pPr>
              <w:pStyle w:val="17"/>
              <w:spacing w:before="34"/>
              <w:ind w:left="154" w:right="146"/>
              <w:rPr>
                <w:rFonts w:ascii="Times New Roman"/>
                <w:sz w:val="21"/>
              </w:rPr>
            </w:pPr>
            <w:r>
              <w:rPr>
                <w:rFonts w:ascii="Times New Roman"/>
                <w:sz w:val="21"/>
              </w:rPr>
              <w:t>49.12</w:t>
            </w:r>
          </w:p>
        </w:tc>
        <w:tc>
          <w:tcPr>
            <w:tcW w:w="777" w:type="dxa"/>
          </w:tcPr>
          <w:p w14:paraId="143DCD1F">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3658ED6A">
            <w:pPr>
              <w:pStyle w:val="17"/>
              <w:spacing w:before="34"/>
              <w:ind w:left="188" w:right="180"/>
              <w:rPr>
                <w:rFonts w:ascii="Times New Roman"/>
                <w:sz w:val="21"/>
              </w:rPr>
            </w:pPr>
            <w:r>
              <w:rPr>
                <w:rFonts w:ascii="Times New Roman"/>
                <w:sz w:val="21"/>
              </w:rPr>
              <w:t>3.38E+01</w:t>
            </w:r>
          </w:p>
        </w:tc>
        <w:tc>
          <w:tcPr>
            <w:tcW w:w="1317" w:type="dxa"/>
          </w:tcPr>
          <w:p w14:paraId="0DE96013">
            <w:pPr>
              <w:pStyle w:val="17"/>
              <w:spacing w:before="34"/>
              <w:ind w:left="108" w:right="98"/>
              <w:rPr>
                <w:rFonts w:ascii="Times New Roman"/>
                <w:sz w:val="21"/>
              </w:rPr>
            </w:pPr>
            <w:r>
              <w:rPr>
                <w:rFonts w:ascii="Times New Roman"/>
                <w:sz w:val="21"/>
              </w:rPr>
              <w:t>23060804</w:t>
            </w:r>
          </w:p>
        </w:tc>
        <w:tc>
          <w:tcPr>
            <w:tcW w:w="1230" w:type="dxa"/>
          </w:tcPr>
          <w:p w14:paraId="6721490C">
            <w:pPr>
              <w:pStyle w:val="17"/>
              <w:spacing w:before="34"/>
              <w:ind w:left="175" w:right="166"/>
              <w:rPr>
                <w:rFonts w:ascii="Times New Roman"/>
                <w:sz w:val="21"/>
              </w:rPr>
            </w:pPr>
            <w:r>
              <w:rPr>
                <w:rFonts w:ascii="Times New Roman"/>
                <w:sz w:val="21"/>
              </w:rPr>
              <w:t>0.00E+00</w:t>
            </w:r>
          </w:p>
        </w:tc>
        <w:tc>
          <w:tcPr>
            <w:tcW w:w="1725" w:type="dxa"/>
          </w:tcPr>
          <w:p w14:paraId="4418520D">
            <w:pPr>
              <w:pStyle w:val="17"/>
              <w:spacing w:before="34"/>
              <w:ind w:left="419" w:right="413"/>
              <w:rPr>
                <w:rFonts w:ascii="Times New Roman"/>
                <w:sz w:val="21"/>
              </w:rPr>
            </w:pPr>
            <w:r>
              <w:rPr>
                <w:rFonts w:ascii="Times New Roman"/>
                <w:sz w:val="21"/>
              </w:rPr>
              <w:t>3.38E+01</w:t>
            </w:r>
          </w:p>
        </w:tc>
        <w:tc>
          <w:tcPr>
            <w:tcW w:w="1230" w:type="dxa"/>
          </w:tcPr>
          <w:p w14:paraId="75E6B394">
            <w:pPr>
              <w:pStyle w:val="17"/>
              <w:spacing w:before="34"/>
              <w:ind w:left="174" w:right="166"/>
              <w:rPr>
                <w:rFonts w:ascii="Times New Roman"/>
                <w:sz w:val="21"/>
              </w:rPr>
            </w:pPr>
            <w:r>
              <w:rPr>
                <w:rFonts w:ascii="Times New Roman"/>
                <w:sz w:val="21"/>
              </w:rPr>
              <w:t>2.00E+03</w:t>
            </w:r>
          </w:p>
        </w:tc>
        <w:tc>
          <w:tcPr>
            <w:tcW w:w="1517" w:type="dxa"/>
          </w:tcPr>
          <w:p w14:paraId="4182593C">
            <w:pPr>
              <w:pStyle w:val="17"/>
              <w:spacing w:before="34"/>
              <w:ind w:left="499" w:right="492"/>
              <w:rPr>
                <w:rFonts w:ascii="Times New Roman"/>
                <w:sz w:val="21"/>
              </w:rPr>
            </w:pPr>
            <w:r>
              <w:rPr>
                <w:rFonts w:ascii="Times New Roman"/>
                <w:sz w:val="21"/>
              </w:rPr>
              <w:t>1.69</w:t>
            </w:r>
          </w:p>
        </w:tc>
        <w:tc>
          <w:tcPr>
            <w:tcW w:w="712" w:type="dxa"/>
            <w:tcBorders>
              <w:right w:val="nil"/>
            </w:tcBorders>
          </w:tcPr>
          <w:p w14:paraId="3AC80F78">
            <w:pPr>
              <w:pStyle w:val="17"/>
              <w:spacing w:before="20"/>
              <w:ind w:left="122" w:right="121"/>
              <w:rPr>
                <w:sz w:val="21"/>
              </w:rPr>
            </w:pPr>
            <w:r>
              <w:rPr>
                <w:sz w:val="21"/>
              </w:rPr>
              <w:t>达标</w:t>
            </w:r>
          </w:p>
        </w:tc>
      </w:tr>
      <w:tr w14:paraId="11FB4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667C2A1">
            <w:pPr>
              <w:pStyle w:val="17"/>
              <w:spacing w:before="33"/>
              <w:ind w:right="169"/>
              <w:jc w:val="right"/>
              <w:rPr>
                <w:rFonts w:ascii="Times New Roman"/>
                <w:sz w:val="21"/>
              </w:rPr>
            </w:pPr>
            <w:r>
              <w:rPr>
                <w:rFonts w:ascii="Times New Roman"/>
                <w:w w:val="99"/>
                <w:sz w:val="21"/>
              </w:rPr>
              <w:t>8</w:t>
            </w:r>
          </w:p>
        </w:tc>
        <w:tc>
          <w:tcPr>
            <w:tcW w:w="1577" w:type="dxa"/>
          </w:tcPr>
          <w:p w14:paraId="3C814A57">
            <w:pPr>
              <w:pStyle w:val="17"/>
              <w:spacing w:before="19"/>
              <w:ind w:left="136" w:right="130"/>
              <w:rPr>
                <w:sz w:val="21"/>
              </w:rPr>
            </w:pPr>
            <w:r>
              <w:rPr>
                <w:sz w:val="21"/>
              </w:rPr>
              <w:t>新市中心小学</w:t>
            </w:r>
          </w:p>
        </w:tc>
        <w:tc>
          <w:tcPr>
            <w:tcW w:w="826" w:type="dxa"/>
          </w:tcPr>
          <w:p w14:paraId="5B85CA5F">
            <w:pPr>
              <w:pStyle w:val="17"/>
              <w:spacing w:before="33"/>
              <w:ind w:left="107"/>
              <w:jc w:val="left"/>
              <w:rPr>
                <w:rFonts w:ascii="Times New Roman"/>
                <w:sz w:val="21"/>
              </w:rPr>
            </w:pPr>
            <w:r>
              <w:rPr>
                <w:rFonts w:ascii="Times New Roman"/>
                <w:sz w:val="21"/>
              </w:rPr>
              <w:t>-1878</w:t>
            </w:r>
          </w:p>
        </w:tc>
        <w:tc>
          <w:tcPr>
            <w:tcW w:w="761" w:type="dxa"/>
          </w:tcPr>
          <w:p w14:paraId="5260777A">
            <w:pPr>
              <w:pStyle w:val="17"/>
              <w:spacing w:before="33"/>
              <w:ind w:left="18" w:right="132"/>
              <w:rPr>
                <w:rFonts w:ascii="Times New Roman"/>
                <w:sz w:val="21"/>
              </w:rPr>
            </w:pPr>
            <w:r>
              <w:rPr>
                <w:rFonts w:ascii="Times New Roman"/>
                <w:sz w:val="21"/>
              </w:rPr>
              <w:t>1595</w:t>
            </w:r>
          </w:p>
        </w:tc>
        <w:tc>
          <w:tcPr>
            <w:tcW w:w="823" w:type="dxa"/>
          </w:tcPr>
          <w:p w14:paraId="420B7E7E">
            <w:pPr>
              <w:pStyle w:val="17"/>
              <w:spacing w:before="33"/>
              <w:ind w:left="154" w:right="146"/>
              <w:rPr>
                <w:rFonts w:ascii="Times New Roman"/>
                <w:sz w:val="21"/>
              </w:rPr>
            </w:pPr>
            <w:r>
              <w:rPr>
                <w:rFonts w:ascii="Times New Roman"/>
                <w:sz w:val="21"/>
              </w:rPr>
              <w:t>54.65</w:t>
            </w:r>
          </w:p>
        </w:tc>
        <w:tc>
          <w:tcPr>
            <w:tcW w:w="777" w:type="dxa"/>
          </w:tcPr>
          <w:p w14:paraId="2E0374B3">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4C24C45D">
            <w:pPr>
              <w:pStyle w:val="17"/>
              <w:spacing w:before="33"/>
              <w:ind w:left="188" w:right="180"/>
              <w:rPr>
                <w:rFonts w:ascii="Times New Roman"/>
                <w:sz w:val="21"/>
              </w:rPr>
            </w:pPr>
            <w:r>
              <w:rPr>
                <w:rFonts w:ascii="Times New Roman"/>
                <w:sz w:val="21"/>
              </w:rPr>
              <w:t>2.36E+01</w:t>
            </w:r>
          </w:p>
        </w:tc>
        <w:tc>
          <w:tcPr>
            <w:tcW w:w="1317" w:type="dxa"/>
          </w:tcPr>
          <w:p w14:paraId="484FD4B7">
            <w:pPr>
              <w:pStyle w:val="17"/>
              <w:spacing w:before="33"/>
              <w:ind w:left="108" w:right="98"/>
              <w:rPr>
                <w:rFonts w:ascii="Times New Roman"/>
                <w:sz w:val="21"/>
              </w:rPr>
            </w:pPr>
            <w:r>
              <w:rPr>
                <w:rFonts w:ascii="Times New Roman"/>
                <w:sz w:val="21"/>
              </w:rPr>
              <w:t>23082024</w:t>
            </w:r>
          </w:p>
        </w:tc>
        <w:tc>
          <w:tcPr>
            <w:tcW w:w="1230" w:type="dxa"/>
          </w:tcPr>
          <w:p w14:paraId="756E4AE2">
            <w:pPr>
              <w:pStyle w:val="17"/>
              <w:spacing w:before="33"/>
              <w:ind w:left="175" w:right="166"/>
              <w:rPr>
                <w:rFonts w:ascii="Times New Roman"/>
                <w:sz w:val="21"/>
              </w:rPr>
            </w:pPr>
            <w:r>
              <w:rPr>
                <w:rFonts w:ascii="Times New Roman"/>
                <w:sz w:val="21"/>
              </w:rPr>
              <w:t>0.00E+00</w:t>
            </w:r>
          </w:p>
        </w:tc>
        <w:tc>
          <w:tcPr>
            <w:tcW w:w="1725" w:type="dxa"/>
          </w:tcPr>
          <w:p w14:paraId="787B289F">
            <w:pPr>
              <w:pStyle w:val="17"/>
              <w:spacing w:before="33"/>
              <w:ind w:left="419" w:right="413"/>
              <w:rPr>
                <w:rFonts w:ascii="Times New Roman"/>
                <w:sz w:val="21"/>
              </w:rPr>
            </w:pPr>
            <w:r>
              <w:rPr>
                <w:rFonts w:ascii="Times New Roman"/>
                <w:sz w:val="21"/>
              </w:rPr>
              <w:t>2.36E+01</w:t>
            </w:r>
          </w:p>
        </w:tc>
        <w:tc>
          <w:tcPr>
            <w:tcW w:w="1230" w:type="dxa"/>
          </w:tcPr>
          <w:p w14:paraId="227322E6">
            <w:pPr>
              <w:pStyle w:val="17"/>
              <w:spacing w:before="33"/>
              <w:ind w:left="174" w:right="166"/>
              <w:rPr>
                <w:rFonts w:ascii="Times New Roman"/>
                <w:sz w:val="21"/>
              </w:rPr>
            </w:pPr>
            <w:r>
              <w:rPr>
                <w:rFonts w:ascii="Times New Roman"/>
                <w:sz w:val="21"/>
              </w:rPr>
              <w:t>2.00E+03</w:t>
            </w:r>
          </w:p>
        </w:tc>
        <w:tc>
          <w:tcPr>
            <w:tcW w:w="1517" w:type="dxa"/>
          </w:tcPr>
          <w:p w14:paraId="4C08E8B6">
            <w:pPr>
              <w:pStyle w:val="17"/>
              <w:spacing w:before="33"/>
              <w:ind w:left="499" w:right="492"/>
              <w:rPr>
                <w:rFonts w:ascii="Times New Roman"/>
                <w:sz w:val="21"/>
              </w:rPr>
            </w:pPr>
            <w:r>
              <w:rPr>
                <w:rFonts w:ascii="Times New Roman"/>
                <w:sz w:val="21"/>
              </w:rPr>
              <w:t>1.18</w:t>
            </w:r>
          </w:p>
        </w:tc>
        <w:tc>
          <w:tcPr>
            <w:tcW w:w="712" w:type="dxa"/>
            <w:tcBorders>
              <w:right w:val="nil"/>
            </w:tcBorders>
          </w:tcPr>
          <w:p w14:paraId="6D63C18D">
            <w:pPr>
              <w:pStyle w:val="17"/>
              <w:spacing w:before="19"/>
              <w:ind w:left="122" w:right="121"/>
              <w:rPr>
                <w:sz w:val="21"/>
              </w:rPr>
            </w:pPr>
            <w:r>
              <w:rPr>
                <w:sz w:val="21"/>
              </w:rPr>
              <w:t>达标</w:t>
            </w:r>
          </w:p>
        </w:tc>
      </w:tr>
      <w:tr w14:paraId="20EC4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0515BD14">
            <w:pPr>
              <w:pStyle w:val="17"/>
              <w:spacing w:before="14" w:line="238" w:lineRule="exact"/>
              <w:ind w:right="169"/>
              <w:jc w:val="right"/>
              <w:rPr>
                <w:rFonts w:ascii="Times New Roman"/>
                <w:b/>
                <w:sz w:val="21"/>
              </w:rPr>
            </w:pPr>
            <w:r>
              <w:rPr>
                <w:rFonts w:ascii="Times New Roman"/>
                <w:b/>
                <w:w w:val="99"/>
                <w:sz w:val="21"/>
              </w:rPr>
              <w:t>9</w:t>
            </w:r>
          </w:p>
        </w:tc>
        <w:tc>
          <w:tcPr>
            <w:tcW w:w="1577" w:type="dxa"/>
          </w:tcPr>
          <w:p w14:paraId="103CFE2C">
            <w:pPr>
              <w:pStyle w:val="17"/>
              <w:spacing w:line="252" w:lineRule="exact"/>
              <w:ind w:left="136" w:right="128"/>
              <w:rPr>
                <w:b/>
                <w:sz w:val="21"/>
              </w:rPr>
            </w:pPr>
            <w:r>
              <w:rPr>
                <w:b/>
                <w:sz w:val="21"/>
              </w:rPr>
              <w:t>网格</w:t>
            </w:r>
          </w:p>
        </w:tc>
        <w:tc>
          <w:tcPr>
            <w:tcW w:w="826" w:type="dxa"/>
          </w:tcPr>
          <w:p w14:paraId="7AA269D0">
            <w:pPr>
              <w:pStyle w:val="17"/>
              <w:spacing w:before="14" w:line="238" w:lineRule="exact"/>
              <w:ind w:left="6"/>
              <w:rPr>
                <w:rFonts w:ascii="Times New Roman"/>
                <w:b/>
                <w:sz w:val="21"/>
              </w:rPr>
            </w:pPr>
            <w:r>
              <w:rPr>
                <w:rFonts w:ascii="Times New Roman"/>
                <w:b/>
                <w:w w:val="99"/>
                <w:sz w:val="21"/>
              </w:rPr>
              <w:t>0</w:t>
            </w:r>
          </w:p>
        </w:tc>
        <w:tc>
          <w:tcPr>
            <w:tcW w:w="761" w:type="dxa"/>
          </w:tcPr>
          <w:p w14:paraId="130FEEBC">
            <w:pPr>
              <w:pStyle w:val="17"/>
              <w:spacing w:before="14" w:line="238" w:lineRule="exact"/>
              <w:ind w:left="85" w:right="77"/>
              <w:rPr>
                <w:rFonts w:ascii="Times New Roman"/>
                <w:b/>
                <w:sz w:val="21"/>
              </w:rPr>
            </w:pPr>
            <w:r>
              <w:rPr>
                <w:rFonts w:ascii="Times New Roman"/>
                <w:b/>
                <w:sz w:val="21"/>
              </w:rPr>
              <w:t>100</w:t>
            </w:r>
          </w:p>
        </w:tc>
        <w:tc>
          <w:tcPr>
            <w:tcW w:w="823" w:type="dxa"/>
          </w:tcPr>
          <w:p w14:paraId="44683015">
            <w:pPr>
              <w:pStyle w:val="17"/>
              <w:spacing w:before="14" w:line="238" w:lineRule="exact"/>
              <w:ind w:left="154" w:right="146"/>
              <w:rPr>
                <w:rFonts w:ascii="Times New Roman"/>
                <w:b/>
                <w:sz w:val="21"/>
              </w:rPr>
            </w:pPr>
            <w:r>
              <w:rPr>
                <w:rFonts w:ascii="Times New Roman"/>
                <w:b/>
                <w:sz w:val="21"/>
              </w:rPr>
              <w:t>68.90</w:t>
            </w:r>
          </w:p>
        </w:tc>
        <w:tc>
          <w:tcPr>
            <w:tcW w:w="777" w:type="dxa"/>
          </w:tcPr>
          <w:p w14:paraId="76D0AC00">
            <w:pPr>
              <w:pStyle w:val="17"/>
              <w:spacing w:line="252" w:lineRule="exact"/>
              <w:ind w:left="106"/>
              <w:jc w:val="left"/>
              <w:rPr>
                <w:b/>
                <w:sz w:val="21"/>
              </w:rPr>
            </w:pPr>
            <w:r>
              <w:rPr>
                <w:rFonts w:ascii="Times New Roman" w:eastAsia="Times New Roman"/>
                <w:b/>
                <w:sz w:val="21"/>
              </w:rPr>
              <w:t xml:space="preserve">1 </w:t>
            </w:r>
            <w:r>
              <w:rPr>
                <w:b/>
                <w:sz w:val="21"/>
              </w:rPr>
              <w:t>小时</w:t>
            </w:r>
          </w:p>
        </w:tc>
        <w:tc>
          <w:tcPr>
            <w:tcW w:w="1259" w:type="dxa"/>
          </w:tcPr>
          <w:p w14:paraId="03B5CF0D">
            <w:pPr>
              <w:pStyle w:val="17"/>
              <w:spacing w:before="14" w:line="238" w:lineRule="exact"/>
              <w:ind w:left="191" w:right="180"/>
              <w:rPr>
                <w:rFonts w:ascii="Times New Roman"/>
                <w:b/>
                <w:sz w:val="21"/>
              </w:rPr>
            </w:pPr>
            <w:r>
              <w:rPr>
                <w:rFonts w:ascii="Times New Roman"/>
                <w:b/>
                <w:sz w:val="21"/>
              </w:rPr>
              <w:t>6.66E+02</w:t>
            </w:r>
          </w:p>
        </w:tc>
        <w:tc>
          <w:tcPr>
            <w:tcW w:w="1317" w:type="dxa"/>
          </w:tcPr>
          <w:p w14:paraId="1FFB85E8">
            <w:pPr>
              <w:pStyle w:val="17"/>
              <w:spacing w:before="14" w:line="238" w:lineRule="exact"/>
              <w:ind w:left="108" w:right="98"/>
              <w:rPr>
                <w:rFonts w:ascii="Times New Roman"/>
                <w:b/>
                <w:sz w:val="21"/>
              </w:rPr>
            </w:pPr>
            <w:r>
              <w:rPr>
                <w:rFonts w:ascii="Times New Roman"/>
                <w:b/>
                <w:sz w:val="21"/>
              </w:rPr>
              <w:t>23090722</w:t>
            </w:r>
          </w:p>
        </w:tc>
        <w:tc>
          <w:tcPr>
            <w:tcW w:w="1230" w:type="dxa"/>
          </w:tcPr>
          <w:p w14:paraId="7C684EC6">
            <w:pPr>
              <w:pStyle w:val="17"/>
              <w:spacing w:before="14" w:line="238" w:lineRule="exact"/>
              <w:ind w:left="175" w:right="166"/>
              <w:rPr>
                <w:rFonts w:ascii="Times New Roman"/>
                <w:b/>
                <w:sz w:val="21"/>
              </w:rPr>
            </w:pPr>
            <w:r>
              <w:rPr>
                <w:rFonts w:ascii="Times New Roman"/>
                <w:b/>
                <w:sz w:val="21"/>
              </w:rPr>
              <w:t>0.00E+00</w:t>
            </w:r>
          </w:p>
        </w:tc>
        <w:tc>
          <w:tcPr>
            <w:tcW w:w="1725" w:type="dxa"/>
          </w:tcPr>
          <w:p w14:paraId="3E18BC32">
            <w:pPr>
              <w:pStyle w:val="17"/>
              <w:spacing w:before="14" w:line="238" w:lineRule="exact"/>
              <w:ind w:left="424" w:right="413"/>
              <w:rPr>
                <w:rFonts w:ascii="Times New Roman"/>
                <w:b/>
                <w:sz w:val="21"/>
              </w:rPr>
            </w:pPr>
            <w:r>
              <w:rPr>
                <w:rFonts w:ascii="Times New Roman"/>
                <w:b/>
                <w:sz w:val="21"/>
              </w:rPr>
              <w:t>6.66E+02</w:t>
            </w:r>
          </w:p>
        </w:tc>
        <w:tc>
          <w:tcPr>
            <w:tcW w:w="1230" w:type="dxa"/>
          </w:tcPr>
          <w:p w14:paraId="745394AD">
            <w:pPr>
              <w:pStyle w:val="17"/>
              <w:spacing w:before="14" w:line="238" w:lineRule="exact"/>
              <w:ind w:left="174" w:right="166"/>
              <w:rPr>
                <w:rFonts w:ascii="Times New Roman"/>
                <w:b/>
                <w:sz w:val="21"/>
              </w:rPr>
            </w:pPr>
            <w:r>
              <w:rPr>
                <w:rFonts w:ascii="Times New Roman"/>
                <w:b/>
                <w:sz w:val="21"/>
              </w:rPr>
              <w:t>2.00E+03</w:t>
            </w:r>
          </w:p>
        </w:tc>
        <w:tc>
          <w:tcPr>
            <w:tcW w:w="1517" w:type="dxa"/>
          </w:tcPr>
          <w:p w14:paraId="0B1DE308">
            <w:pPr>
              <w:pStyle w:val="17"/>
              <w:spacing w:before="14" w:line="238" w:lineRule="exact"/>
              <w:ind w:left="501" w:right="492"/>
              <w:rPr>
                <w:rFonts w:ascii="Times New Roman"/>
                <w:b/>
                <w:sz w:val="21"/>
              </w:rPr>
            </w:pPr>
            <w:r>
              <w:rPr>
                <w:rFonts w:ascii="Times New Roman"/>
                <w:b/>
                <w:sz w:val="21"/>
              </w:rPr>
              <w:t>33.29</w:t>
            </w:r>
          </w:p>
        </w:tc>
        <w:tc>
          <w:tcPr>
            <w:tcW w:w="712" w:type="dxa"/>
            <w:tcBorders>
              <w:right w:val="nil"/>
            </w:tcBorders>
          </w:tcPr>
          <w:p w14:paraId="4670E4C3">
            <w:pPr>
              <w:pStyle w:val="17"/>
              <w:spacing w:line="252" w:lineRule="exact"/>
              <w:ind w:left="124" w:right="121"/>
              <w:rPr>
                <w:b/>
                <w:sz w:val="21"/>
              </w:rPr>
            </w:pPr>
            <w:r>
              <w:rPr>
                <w:b/>
                <w:sz w:val="21"/>
              </w:rPr>
              <w:t>达标</w:t>
            </w:r>
          </w:p>
        </w:tc>
      </w:tr>
    </w:tbl>
    <w:p w14:paraId="2534B0EF">
      <w:pPr>
        <w:spacing w:before="100"/>
        <w:ind w:left="660" w:right="0" w:firstLine="0"/>
        <w:jc w:val="left"/>
        <w:rPr>
          <w:sz w:val="21"/>
        </w:rPr>
      </w:pPr>
      <w:r>
        <w:rPr>
          <w:spacing w:val="-7"/>
          <w:w w:val="99"/>
          <w:sz w:val="21"/>
        </w:rPr>
        <w:t>从上表可知，本项目新增非甲烷总烃</w:t>
      </w:r>
      <w:r>
        <w:rPr>
          <w:spacing w:val="-50"/>
          <w:sz w:val="21"/>
        </w:rPr>
        <w:t xml:space="preserve"> </w:t>
      </w:r>
      <w:r>
        <w:rPr>
          <w:rFonts w:ascii="Times New Roman" w:eastAsia="Times New Roman"/>
          <w:spacing w:val="0"/>
          <w:w w:val="99"/>
          <w:sz w:val="21"/>
        </w:rPr>
        <w:t>1</w:t>
      </w:r>
      <w:r>
        <w:rPr>
          <w:rFonts w:ascii="Times New Roman" w:eastAsia="Times New Roman"/>
          <w:w w:val="99"/>
          <w:sz w:val="21"/>
        </w:rPr>
        <w:t>h</w:t>
      </w:r>
      <w:r>
        <w:rPr>
          <w:rFonts w:ascii="Times New Roman" w:eastAsia="Times New Roman"/>
          <w:spacing w:val="-1"/>
          <w:sz w:val="21"/>
        </w:rPr>
        <w:t xml:space="preserve"> </w:t>
      </w:r>
      <w:r>
        <w:rPr>
          <w:spacing w:val="-1"/>
          <w:w w:val="99"/>
          <w:sz w:val="21"/>
        </w:rPr>
        <w:t>平均浓度贡献值的最大占标率分别为</w:t>
      </w:r>
      <w:r>
        <w:rPr>
          <w:spacing w:val="-50"/>
          <w:sz w:val="21"/>
        </w:rPr>
        <w:t xml:space="preserve"> </w:t>
      </w:r>
      <w:r>
        <w:rPr>
          <w:rFonts w:ascii="Times New Roman" w:eastAsia="Times New Roman"/>
          <w:spacing w:val="0"/>
          <w:w w:val="99"/>
          <w:sz w:val="21"/>
        </w:rPr>
        <w:t>33</w:t>
      </w:r>
      <w:r>
        <w:rPr>
          <w:rFonts w:ascii="Times New Roman" w:eastAsia="Times New Roman"/>
          <w:w w:val="99"/>
          <w:sz w:val="21"/>
        </w:rPr>
        <w:t>.</w:t>
      </w:r>
      <w:r>
        <w:rPr>
          <w:rFonts w:ascii="Times New Roman" w:eastAsia="Times New Roman"/>
          <w:spacing w:val="-2"/>
          <w:w w:val="99"/>
          <w:sz w:val="21"/>
        </w:rPr>
        <w:t>29</w:t>
      </w:r>
      <w:r>
        <w:rPr>
          <w:rFonts w:ascii="Times New Roman" w:eastAsia="Times New Roman"/>
          <w:spacing w:val="0"/>
          <w:w w:val="99"/>
          <w:sz w:val="21"/>
        </w:rPr>
        <w:t>%</w:t>
      </w:r>
      <w:r>
        <w:rPr>
          <w:spacing w:val="-15"/>
          <w:w w:val="99"/>
          <w:sz w:val="21"/>
        </w:rPr>
        <w:t>，满足《大气污染物综合排放标准详解》中限值要求</w:t>
      </w:r>
      <w:r>
        <w:rPr>
          <w:spacing w:val="-1"/>
          <w:w w:val="99"/>
          <w:sz w:val="21"/>
        </w:rPr>
        <w:t>（</w:t>
      </w:r>
      <w:r>
        <w:rPr>
          <w:rFonts w:ascii="Times New Roman" w:eastAsia="Times New Roman"/>
          <w:spacing w:val="0"/>
          <w:w w:val="99"/>
          <w:sz w:val="21"/>
        </w:rPr>
        <w:t>2</w:t>
      </w:r>
      <w:r>
        <w:rPr>
          <w:rFonts w:ascii="Times New Roman" w:eastAsia="Times New Roman"/>
          <w:w w:val="99"/>
          <w:sz w:val="21"/>
        </w:rPr>
        <w:t>.</w:t>
      </w:r>
      <w:r>
        <w:rPr>
          <w:rFonts w:ascii="Times New Roman" w:eastAsia="Times New Roman"/>
          <w:spacing w:val="0"/>
          <w:w w:val="99"/>
          <w:sz w:val="21"/>
        </w:rPr>
        <w:t>0</w:t>
      </w:r>
      <w:r>
        <w:rPr>
          <w:rFonts w:ascii="Times New Roman" w:eastAsia="Times New Roman"/>
          <w:spacing w:val="-2"/>
          <w:w w:val="99"/>
          <w:sz w:val="21"/>
        </w:rPr>
        <w:t>mg</w:t>
      </w:r>
      <w:r>
        <w:rPr>
          <w:rFonts w:ascii="Times New Roman" w:eastAsia="Times New Roman"/>
          <w:spacing w:val="0"/>
          <w:w w:val="99"/>
          <w:sz w:val="21"/>
        </w:rPr>
        <w:t>/</w:t>
      </w:r>
      <w:r>
        <w:rPr>
          <w:rFonts w:ascii="Times New Roman" w:eastAsia="Times New Roman"/>
          <w:spacing w:val="2"/>
          <w:w w:val="99"/>
          <w:sz w:val="21"/>
        </w:rPr>
        <w:t>m</w:t>
      </w:r>
      <w:r>
        <w:rPr>
          <w:rFonts w:ascii="Times New Roman" w:eastAsia="Times New Roman"/>
          <w:spacing w:val="-2"/>
          <w:w w:val="105"/>
          <w:position w:val="7"/>
          <w:sz w:val="13"/>
        </w:rPr>
        <w:t>3</w:t>
      </w:r>
      <w:r>
        <w:rPr>
          <w:spacing w:val="-104"/>
          <w:w w:val="99"/>
          <w:sz w:val="21"/>
        </w:rPr>
        <w:t>）</w:t>
      </w:r>
      <w:r>
        <w:rPr>
          <w:w w:val="99"/>
          <w:sz w:val="21"/>
        </w:rPr>
        <w:t>。</w:t>
      </w:r>
    </w:p>
    <w:p w14:paraId="64252FEA">
      <w:pPr>
        <w:spacing w:after="0"/>
        <w:jc w:val="left"/>
        <w:rPr>
          <w:sz w:val="21"/>
        </w:rPr>
        <w:sectPr>
          <w:footerReference r:id="rId28" w:type="default"/>
          <w:pgSz w:w="16840" w:h="11910" w:orient="landscape"/>
          <w:pgMar w:top="1100" w:right="1080" w:bottom="1380" w:left="1200" w:header="0" w:footer="1192" w:gutter="0"/>
          <w:pgNumType w:start="102"/>
          <w:cols w:space="720" w:num="1"/>
        </w:sectPr>
      </w:pPr>
    </w:p>
    <w:p w14:paraId="3C213C0A">
      <w:pPr>
        <w:pStyle w:val="10"/>
        <w:spacing w:before="12"/>
        <w:rPr>
          <w:sz w:val="5"/>
        </w:rPr>
      </w:pPr>
    </w:p>
    <w:p w14:paraId="4EB33492">
      <w:pPr>
        <w:pStyle w:val="10"/>
        <w:ind w:left="289"/>
        <w:rPr>
          <w:sz w:val="20"/>
        </w:rPr>
      </w:pPr>
      <w:r>
        <w:rPr>
          <w:sz w:val="20"/>
        </w:rPr>
        <w:pict>
          <v:group id="_x0000_s3113" o:spid="_x0000_s3113" o:spt="203" style="height:436.5pt;width:692.1pt;" coordsize="13842,8730">
            <o:lock v:ext="edit"/>
            <v:shape id="_x0000_s3114" o:spid="_x0000_s3114" o:spt="75" type="#_x0000_t75" style="position:absolute;left:15;top:15;height:8700;width:13812;" filled="f" stroked="f" coordsize="21600,21600">
              <v:path/>
              <v:fill on="f" focussize="0,0"/>
              <v:stroke on="f"/>
              <v:imagedata r:id="rId121" o:title=""/>
              <o:lock v:ext="edit" aspectratio="t"/>
            </v:shape>
            <v:shape id="_x0000_s3115" o:spid="_x0000_s3115" style="position:absolute;left:0;top:0;height:8730;width:13842;" fillcolor="#000000" filled="t" stroked="f" coordsize="13842,8730" path="m13835,8730l8,8730,5,8730,3,8729,1,8727,0,8725,0,8723,0,8,0,5,1,3,3,1,5,0,8,0,13835,0,13837,0,13839,1,13841,3,13842,5,13842,8,15,8,8,15,15,15,15,8715,8,8715,15,8723,13842,8723,13842,8725,13841,8727,13839,8729,13837,8730,13835,8730xm15,15l8,15,15,8,15,15xm13827,15l15,15,15,8,13827,8,13827,15xm13827,8723l13827,8,13834,15,13842,15,13842,8715,13835,8715,13827,8723xm13842,15l13834,15,13827,8,13842,8,13842,15xm15,8723l8,8715,15,8715,15,8723xm13827,8723l15,8723,15,8715,13827,8715,13827,8723xm13842,8723l13827,8723,13835,8715,13842,8715,13842,8723xe">
              <v:path arrowok="t"/>
              <v:fill on="t" focussize="0,0"/>
              <v:stroke on="f"/>
              <v:imagedata o:title=""/>
              <o:lock v:ext="edit"/>
            </v:shape>
            <w10:wrap type="none"/>
            <w10:anchorlock/>
          </v:group>
        </w:pict>
      </w:r>
    </w:p>
    <w:p w14:paraId="1E42B2A3">
      <w:pPr>
        <w:pStyle w:val="9"/>
        <w:spacing w:before="0" w:line="288" w:lineRule="exact"/>
        <w:ind w:left="3052"/>
      </w:pPr>
      <w:r>
        <w:t xml:space="preserve">图 </w:t>
      </w:r>
      <w:r>
        <w:rPr>
          <w:rFonts w:ascii="Times New Roman" w:eastAsia="Times New Roman"/>
        </w:rPr>
        <w:t xml:space="preserve">4.1-7 </w:t>
      </w:r>
      <w:r>
        <w:t xml:space="preserve">本项目新增污染源非甲烷总烃 </w:t>
      </w:r>
      <w:r>
        <w:rPr>
          <w:rFonts w:ascii="Times New Roman" w:eastAsia="Times New Roman"/>
        </w:rPr>
        <w:t xml:space="preserve">1 </w:t>
      </w:r>
      <w:r>
        <w:t>小时均值网格点贡献值预测结果分布图</w:t>
      </w:r>
    </w:p>
    <w:p w14:paraId="0DB1265D">
      <w:pPr>
        <w:spacing w:after="0" w:line="288" w:lineRule="exact"/>
        <w:sectPr>
          <w:pgSz w:w="16840" w:h="11910" w:orient="landscape"/>
          <w:pgMar w:top="1100" w:right="1080" w:bottom="1380" w:left="1200" w:header="0" w:footer="1192" w:gutter="0"/>
          <w:cols w:space="720" w:num="1"/>
        </w:sectPr>
      </w:pPr>
    </w:p>
    <w:p w14:paraId="73407EB2">
      <w:pPr>
        <w:pStyle w:val="9"/>
        <w:spacing w:before="72"/>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7E4A6426">
      <w:pPr>
        <w:pStyle w:val="9"/>
        <w:spacing w:before="80"/>
      </w:pPr>
      <w:r>
        <w:rPr>
          <w:position w:val="2"/>
        </w:rPr>
        <w:t xml:space="preserve">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网格点贡献值预测结果见下表：</w:t>
      </w:r>
    </w:p>
    <w:p w14:paraId="22CA37C1">
      <w:pPr>
        <w:pStyle w:val="9"/>
        <w:tabs>
          <w:tab w:val="left" w:pos="1517"/>
        </w:tabs>
        <w:spacing w:before="76"/>
        <w:ind w:left="357"/>
        <w:jc w:val="center"/>
      </w:pPr>
      <w:r>
        <w:rPr>
          <w:position w:val="2"/>
        </w:rPr>
        <w:t>表</w:t>
      </w:r>
      <w:r>
        <w:rPr>
          <w:spacing w:val="-62"/>
          <w:position w:val="2"/>
        </w:rPr>
        <w:t xml:space="preserve"> </w:t>
      </w:r>
      <w:r>
        <w:rPr>
          <w:rFonts w:ascii="Times New Roman" w:eastAsia="Times New Roman"/>
          <w:position w:val="2"/>
        </w:rPr>
        <w:t>4.1-17</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网格点贡献值预测结果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26693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64" w:type="dxa"/>
            <w:vMerge w:val="restart"/>
            <w:tcBorders>
              <w:left w:val="nil"/>
            </w:tcBorders>
          </w:tcPr>
          <w:p w14:paraId="35E7A061">
            <w:pPr>
              <w:pStyle w:val="17"/>
              <w:spacing w:before="150" w:line="242" w:lineRule="auto"/>
              <w:ind w:left="132" w:right="115"/>
              <w:jc w:val="left"/>
              <w:rPr>
                <w:sz w:val="21"/>
              </w:rPr>
            </w:pPr>
            <w:r>
              <w:rPr>
                <w:sz w:val="21"/>
              </w:rPr>
              <w:t>序号</w:t>
            </w:r>
          </w:p>
        </w:tc>
        <w:tc>
          <w:tcPr>
            <w:tcW w:w="1265" w:type="dxa"/>
            <w:vMerge w:val="restart"/>
          </w:tcPr>
          <w:p w14:paraId="0A07E76D">
            <w:pPr>
              <w:pStyle w:val="17"/>
              <w:spacing w:before="5"/>
              <w:jc w:val="left"/>
              <w:rPr>
                <w:b/>
                <w:sz w:val="22"/>
              </w:rPr>
            </w:pPr>
          </w:p>
          <w:p w14:paraId="7DAFEBD0">
            <w:pPr>
              <w:pStyle w:val="17"/>
              <w:ind w:left="316"/>
              <w:jc w:val="left"/>
              <w:rPr>
                <w:sz w:val="21"/>
              </w:rPr>
            </w:pPr>
            <w:r>
              <w:rPr>
                <w:sz w:val="21"/>
              </w:rPr>
              <w:t>点名称</w:t>
            </w:r>
          </w:p>
        </w:tc>
        <w:tc>
          <w:tcPr>
            <w:tcW w:w="1543" w:type="dxa"/>
            <w:gridSpan w:val="2"/>
          </w:tcPr>
          <w:p w14:paraId="5BD4601F">
            <w:pPr>
              <w:pStyle w:val="17"/>
              <w:spacing w:before="1"/>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4060EF0E">
            <w:pPr>
              <w:pStyle w:val="17"/>
              <w:spacing w:before="5" w:line="250"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2CB4763F">
            <w:pPr>
              <w:pStyle w:val="17"/>
              <w:spacing w:before="150"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7F3A86C8">
            <w:pPr>
              <w:pStyle w:val="17"/>
              <w:spacing w:before="150" w:line="242" w:lineRule="auto"/>
              <w:ind w:left="412" w:right="192" w:hanging="212"/>
              <w:jc w:val="left"/>
              <w:rPr>
                <w:sz w:val="21"/>
              </w:rPr>
            </w:pPr>
            <w:r>
              <w:rPr>
                <w:sz w:val="21"/>
              </w:rPr>
              <w:t>浓度类型</w:t>
            </w:r>
          </w:p>
        </w:tc>
        <w:tc>
          <w:tcPr>
            <w:tcW w:w="1259" w:type="dxa"/>
            <w:vMerge w:val="restart"/>
          </w:tcPr>
          <w:p w14:paraId="7234CAC1">
            <w:pPr>
              <w:pStyle w:val="17"/>
              <w:spacing w:before="150"/>
              <w:ind w:left="208"/>
              <w:jc w:val="left"/>
              <w:rPr>
                <w:sz w:val="21"/>
              </w:rPr>
            </w:pPr>
            <w:r>
              <w:rPr>
                <w:w w:val="95"/>
                <w:sz w:val="21"/>
              </w:rPr>
              <w:t>浓度增量</w:t>
            </w:r>
          </w:p>
          <w:p w14:paraId="59F8BC80">
            <w:pPr>
              <w:pStyle w:val="17"/>
              <w:spacing w:before="4"/>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091DDA6E">
            <w:pPr>
              <w:pStyle w:val="17"/>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66FE8050">
            <w:pPr>
              <w:pStyle w:val="17"/>
              <w:spacing w:before="150"/>
              <w:ind w:left="195"/>
              <w:jc w:val="left"/>
              <w:rPr>
                <w:sz w:val="21"/>
              </w:rPr>
            </w:pPr>
            <w:r>
              <w:rPr>
                <w:w w:val="95"/>
                <w:sz w:val="21"/>
              </w:rPr>
              <w:t>背景浓度</w:t>
            </w:r>
          </w:p>
          <w:p w14:paraId="2B0ABE2C">
            <w:pPr>
              <w:pStyle w:val="17"/>
              <w:spacing w:before="4"/>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0D5FA0BF">
            <w:pPr>
              <w:pStyle w:val="17"/>
              <w:spacing w:before="150"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37E2A144">
            <w:pPr>
              <w:pStyle w:val="17"/>
              <w:spacing w:before="150"/>
              <w:ind w:left="194"/>
              <w:jc w:val="left"/>
              <w:rPr>
                <w:sz w:val="21"/>
              </w:rPr>
            </w:pPr>
            <w:r>
              <w:rPr>
                <w:w w:val="95"/>
                <w:sz w:val="21"/>
              </w:rPr>
              <w:t>评价标准</w:t>
            </w:r>
          </w:p>
          <w:p w14:paraId="20D00010">
            <w:pPr>
              <w:pStyle w:val="17"/>
              <w:spacing w:before="4"/>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7161711B">
            <w:pPr>
              <w:pStyle w:val="17"/>
              <w:spacing w:before="150" w:line="244"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2672C575">
            <w:pPr>
              <w:pStyle w:val="17"/>
              <w:spacing w:before="150" w:line="242" w:lineRule="auto"/>
              <w:ind w:left="145" w:right="141"/>
              <w:jc w:val="left"/>
              <w:rPr>
                <w:sz w:val="21"/>
              </w:rPr>
            </w:pPr>
            <w:r>
              <w:rPr>
                <w:w w:val="95"/>
                <w:sz w:val="21"/>
              </w:rPr>
              <w:t>是否超标</w:t>
            </w:r>
          </w:p>
        </w:tc>
      </w:tr>
      <w:tr w14:paraId="413AC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7450AFAD">
            <w:pPr>
              <w:rPr>
                <w:sz w:val="2"/>
                <w:szCs w:val="2"/>
              </w:rPr>
            </w:pPr>
          </w:p>
        </w:tc>
        <w:tc>
          <w:tcPr>
            <w:tcW w:w="1265" w:type="dxa"/>
            <w:vMerge w:val="continue"/>
            <w:tcBorders>
              <w:top w:val="nil"/>
            </w:tcBorders>
          </w:tcPr>
          <w:p w14:paraId="698D6FF5">
            <w:pPr>
              <w:rPr>
                <w:sz w:val="2"/>
                <w:szCs w:val="2"/>
              </w:rPr>
            </w:pPr>
          </w:p>
        </w:tc>
        <w:tc>
          <w:tcPr>
            <w:tcW w:w="771" w:type="dxa"/>
          </w:tcPr>
          <w:p w14:paraId="285E75E3">
            <w:pPr>
              <w:pStyle w:val="17"/>
              <w:spacing w:before="22"/>
              <w:ind w:left="7"/>
              <w:rPr>
                <w:rFonts w:ascii="Times New Roman"/>
                <w:sz w:val="21"/>
              </w:rPr>
            </w:pPr>
            <w:r>
              <w:rPr>
                <w:rFonts w:ascii="Times New Roman"/>
                <w:w w:val="99"/>
                <w:sz w:val="21"/>
              </w:rPr>
              <w:t>X</w:t>
            </w:r>
          </w:p>
        </w:tc>
        <w:tc>
          <w:tcPr>
            <w:tcW w:w="772" w:type="dxa"/>
          </w:tcPr>
          <w:p w14:paraId="251FD750">
            <w:pPr>
              <w:pStyle w:val="17"/>
              <w:spacing w:before="22"/>
              <w:ind w:left="10"/>
              <w:rPr>
                <w:rFonts w:ascii="Times New Roman"/>
                <w:sz w:val="21"/>
              </w:rPr>
            </w:pPr>
            <w:r>
              <w:rPr>
                <w:rFonts w:ascii="Times New Roman"/>
                <w:w w:val="99"/>
                <w:sz w:val="21"/>
              </w:rPr>
              <w:t>Y</w:t>
            </w:r>
          </w:p>
        </w:tc>
        <w:tc>
          <w:tcPr>
            <w:tcW w:w="921" w:type="dxa"/>
            <w:vMerge w:val="continue"/>
            <w:tcBorders>
              <w:top w:val="nil"/>
            </w:tcBorders>
          </w:tcPr>
          <w:p w14:paraId="3F569F87">
            <w:pPr>
              <w:rPr>
                <w:sz w:val="2"/>
                <w:szCs w:val="2"/>
              </w:rPr>
            </w:pPr>
          </w:p>
        </w:tc>
        <w:tc>
          <w:tcPr>
            <w:tcW w:w="1035" w:type="dxa"/>
            <w:vMerge w:val="continue"/>
            <w:tcBorders>
              <w:top w:val="nil"/>
            </w:tcBorders>
          </w:tcPr>
          <w:p w14:paraId="0643190F">
            <w:pPr>
              <w:rPr>
                <w:sz w:val="2"/>
                <w:szCs w:val="2"/>
              </w:rPr>
            </w:pPr>
          </w:p>
        </w:tc>
        <w:tc>
          <w:tcPr>
            <w:tcW w:w="1259" w:type="dxa"/>
            <w:vMerge w:val="continue"/>
            <w:tcBorders>
              <w:top w:val="nil"/>
            </w:tcBorders>
          </w:tcPr>
          <w:p w14:paraId="3374A7EF">
            <w:pPr>
              <w:rPr>
                <w:sz w:val="2"/>
                <w:szCs w:val="2"/>
              </w:rPr>
            </w:pPr>
          </w:p>
        </w:tc>
        <w:tc>
          <w:tcPr>
            <w:tcW w:w="1317" w:type="dxa"/>
            <w:vMerge w:val="continue"/>
            <w:tcBorders>
              <w:top w:val="nil"/>
            </w:tcBorders>
          </w:tcPr>
          <w:p w14:paraId="51F7A7BF">
            <w:pPr>
              <w:rPr>
                <w:sz w:val="2"/>
                <w:szCs w:val="2"/>
              </w:rPr>
            </w:pPr>
          </w:p>
        </w:tc>
        <w:tc>
          <w:tcPr>
            <w:tcW w:w="1230" w:type="dxa"/>
            <w:vMerge w:val="continue"/>
            <w:tcBorders>
              <w:top w:val="nil"/>
            </w:tcBorders>
          </w:tcPr>
          <w:p w14:paraId="436CAEE9">
            <w:pPr>
              <w:rPr>
                <w:sz w:val="2"/>
                <w:szCs w:val="2"/>
              </w:rPr>
            </w:pPr>
          </w:p>
        </w:tc>
        <w:tc>
          <w:tcPr>
            <w:tcW w:w="1725" w:type="dxa"/>
            <w:vMerge w:val="continue"/>
            <w:tcBorders>
              <w:top w:val="nil"/>
            </w:tcBorders>
          </w:tcPr>
          <w:p w14:paraId="0F48DFC1">
            <w:pPr>
              <w:rPr>
                <w:sz w:val="2"/>
                <w:szCs w:val="2"/>
              </w:rPr>
            </w:pPr>
          </w:p>
        </w:tc>
        <w:tc>
          <w:tcPr>
            <w:tcW w:w="1230" w:type="dxa"/>
            <w:vMerge w:val="continue"/>
            <w:tcBorders>
              <w:top w:val="nil"/>
            </w:tcBorders>
          </w:tcPr>
          <w:p w14:paraId="58CC92B0">
            <w:pPr>
              <w:rPr>
                <w:sz w:val="2"/>
                <w:szCs w:val="2"/>
              </w:rPr>
            </w:pPr>
          </w:p>
        </w:tc>
        <w:tc>
          <w:tcPr>
            <w:tcW w:w="1517" w:type="dxa"/>
            <w:vMerge w:val="continue"/>
            <w:tcBorders>
              <w:top w:val="nil"/>
            </w:tcBorders>
          </w:tcPr>
          <w:p w14:paraId="1D685049">
            <w:pPr>
              <w:rPr>
                <w:sz w:val="2"/>
                <w:szCs w:val="2"/>
              </w:rPr>
            </w:pPr>
          </w:p>
        </w:tc>
        <w:tc>
          <w:tcPr>
            <w:tcW w:w="712" w:type="dxa"/>
            <w:vMerge w:val="continue"/>
            <w:tcBorders>
              <w:top w:val="nil"/>
              <w:right w:val="nil"/>
            </w:tcBorders>
          </w:tcPr>
          <w:p w14:paraId="508E4F75">
            <w:pPr>
              <w:rPr>
                <w:sz w:val="2"/>
                <w:szCs w:val="2"/>
              </w:rPr>
            </w:pPr>
          </w:p>
        </w:tc>
      </w:tr>
      <w:tr w14:paraId="5AA22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9AB3EB7">
            <w:pPr>
              <w:pStyle w:val="17"/>
              <w:spacing w:before="34"/>
              <w:ind w:right="169"/>
              <w:jc w:val="right"/>
              <w:rPr>
                <w:rFonts w:ascii="Times New Roman"/>
                <w:sz w:val="21"/>
              </w:rPr>
            </w:pPr>
            <w:r>
              <w:rPr>
                <w:rFonts w:ascii="Times New Roman"/>
                <w:w w:val="99"/>
                <w:sz w:val="21"/>
              </w:rPr>
              <w:t>1</w:t>
            </w:r>
          </w:p>
        </w:tc>
        <w:tc>
          <w:tcPr>
            <w:tcW w:w="1265" w:type="dxa"/>
          </w:tcPr>
          <w:p w14:paraId="6D3F1470">
            <w:pPr>
              <w:pStyle w:val="17"/>
              <w:spacing w:before="20"/>
              <w:ind w:left="189" w:right="183"/>
              <w:rPr>
                <w:sz w:val="21"/>
              </w:rPr>
            </w:pPr>
            <w:r>
              <w:rPr>
                <w:sz w:val="21"/>
              </w:rPr>
              <w:t>新书村</w:t>
            </w:r>
          </w:p>
        </w:tc>
        <w:tc>
          <w:tcPr>
            <w:tcW w:w="771" w:type="dxa"/>
          </w:tcPr>
          <w:p w14:paraId="3C706BE7">
            <w:pPr>
              <w:pStyle w:val="17"/>
              <w:spacing w:before="34"/>
              <w:ind w:right="182"/>
              <w:jc w:val="right"/>
              <w:rPr>
                <w:rFonts w:ascii="Times New Roman"/>
                <w:sz w:val="21"/>
              </w:rPr>
            </w:pPr>
            <w:r>
              <w:rPr>
                <w:rFonts w:ascii="Times New Roman"/>
                <w:sz w:val="21"/>
              </w:rPr>
              <w:t>-691</w:t>
            </w:r>
          </w:p>
        </w:tc>
        <w:tc>
          <w:tcPr>
            <w:tcW w:w="772" w:type="dxa"/>
          </w:tcPr>
          <w:p w14:paraId="753DE661">
            <w:pPr>
              <w:pStyle w:val="17"/>
              <w:spacing w:before="34"/>
              <w:ind w:right="181"/>
              <w:jc w:val="right"/>
              <w:rPr>
                <w:rFonts w:ascii="Times New Roman"/>
                <w:sz w:val="21"/>
              </w:rPr>
            </w:pPr>
            <w:r>
              <w:rPr>
                <w:rFonts w:ascii="Times New Roman"/>
                <w:w w:val="95"/>
                <w:sz w:val="21"/>
              </w:rPr>
              <w:t>-158</w:t>
            </w:r>
          </w:p>
        </w:tc>
        <w:tc>
          <w:tcPr>
            <w:tcW w:w="921" w:type="dxa"/>
          </w:tcPr>
          <w:p w14:paraId="630D7058">
            <w:pPr>
              <w:pStyle w:val="17"/>
              <w:spacing w:before="34"/>
              <w:ind w:left="203" w:right="195"/>
              <w:rPr>
                <w:rFonts w:ascii="Times New Roman"/>
                <w:sz w:val="21"/>
              </w:rPr>
            </w:pPr>
            <w:r>
              <w:rPr>
                <w:rFonts w:ascii="Times New Roman"/>
                <w:sz w:val="21"/>
              </w:rPr>
              <w:t>64.83</w:t>
            </w:r>
          </w:p>
        </w:tc>
        <w:tc>
          <w:tcPr>
            <w:tcW w:w="1035" w:type="dxa"/>
          </w:tcPr>
          <w:p w14:paraId="75DB9E38">
            <w:pPr>
              <w:pStyle w:val="17"/>
              <w:spacing w:before="20"/>
              <w:ind w:left="201"/>
              <w:jc w:val="left"/>
              <w:rPr>
                <w:sz w:val="21"/>
              </w:rPr>
            </w:pPr>
            <w:r>
              <w:rPr>
                <w:sz w:val="21"/>
              </w:rPr>
              <w:t>小时值</w:t>
            </w:r>
          </w:p>
        </w:tc>
        <w:tc>
          <w:tcPr>
            <w:tcW w:w="1259" w:type="dxa"/>
          </w:tcPr>
          <w:p w14:paraId="1D5A0778">
            <w:pPr>
              <w:pStyle w:val="17"/>
              <w:spacing w:before="34"/>
              <w:ind w:left="188" w:right="180"/>
              <w:rPr>
                <w:rFonts w:ascii="Times New Roman"/>
                <w:sz w:val="21"/>
              </w:rPr>
            </w:pPr>
            <w:r>
              <w:rPr>
                <w:rFonts w:ascii="Times New Roman"/>
                <w:sz w:val="21"/>
              </w:rPr>
              <w:t>2.54E-01</w:t>
            </w:r>
          </w:p>
        </w:tc>
        <w:tc>
          <w:tcPr>
            <w:tcW w:w="1317" w:type="dxa"/>
          </w:tcPr>
          <w:p w14:paraId="5EF3BE42">
            <w:pPr>
              <w:pStyle w:val="17"/>
              <w:spacing w:before="34"/>
              <w:ind w:left="108" w:right="98"/>
              <w:rPr>
                <w:rFonts w:ascii="Times New Roman"/>
                <w:sz w:val="21"/>
              </w:rPr>
            </w:pPr>
            <w:r>
              <w:rPr>
                <w:rFonts w:ascii="Times New Roman"/>
                <w:sz w:val="21"/>
              </w:rPr>
              <w:t>23080306</w:t>
            </w:r>
          </w:p>
        </w:tc>
        <w:tc>
          <w:tcPr>
            <w:tcW w:w="1230" w:type="dxa"/>
          </w:tcPr>
          <w:p w14:paraId="1D9FB025">
            <w:pPr>
              <w:pStyle w:val="17"/>
              <w:spacing w:before="34"/>
              <w:ind w:left="175" w:right="166"/>
              <w:rPr>
                <w:rFonts w:ascii="Times New Roman"/>
                <w:sz w:val="21"/>
              </w:rPr>
            </w:pPr>
            <w:r>
              <w:rPr>
                <w:rFonts w:ascii="Times New Roman"/>
                <w:sz w:val="21"/>
              </w:rPr>
              <w:t>0.00E+00</w:t>
            </w:r>
          </w:p>
        </w:tc>
        <w:tc>
          <w:tcPr>
            <w:tcW w:w="1725" w:type="dxa"/>
          </w:tcPr>
          <w:p w14:paraId="38654561">
            <w:pPr>
              <w:pStyle w:val="17"/>
              <w:spacing w:before="34"/>
              <w:ind w:left="417" w:right="413"/>
              <w:rPr>
                <w:rFonts w:ascii="Times New Roman"/>
                <w:sz w:val="21"/>
              </w:rPr>
            </w:pPr>
            <w:r>
              <w:rPr>
                <w:rFonts w:ascii="Times New Roman"/>
                <w:sz w:val="21"/>
              </w:rPr>
              <w:t>2.54E-01</w:t>
            </w:r>
          </w:p>
        </w:tc>
        <w:tc>
          <w:tcPr>
            <w:tcW w:w="1230" w:type="dxa"/>
          </w:tcPr>
          <w:p w14:paraId="15284626">
            <w:pPr>
              <w:pStyle w:val="17"/>
              <w:spacing w:before="34"/>
              <w:ind w:left="174" w:right="166"/>
              <w:rPr>
                <w:rFonts w:ascii="Times New Roman"/>
                <w:sz w:val="21"/>
              </w:rPr>
            </w:pPr>
            <w:r>
              <w:rPr>
                <w:rFonts w:ascii="Times New Roman"/>
                <w:sz w:val="21"/>
              </w:rPr>
              <w:t>4.50E+02</w:t>
            </w:r>
          </w:p>
        </w:tc>
        <w:tc>
          <w:tcPr>
            <w:tcW w:w="1517" w:type="dxa"/>
          </w:tcPr>
          <w:p w14:paraId="0573D7BD">
            <w:pPr>
              <w:pStyle w:val="17"/>
              <w:spacing w:before="34"/>
              <w:ind w:left="499" w:right="492"/>
              <w:rPr>
                <w:rFonts w:ascii="Times New Roman"/>
                <w:sz w:val="21"/>
              </w:rPr>
            </w:pPr>
            <w:r>
              <w:rPr>
                <w:rFonts w:ascii="Times New Roman"/>
                <w:sz w:val="21"/>
              </w:rPr>
              <w:t>0.06</w:t>
            </w:r>
          </w:p>
        </w:tc>
        <w:tc>
          <w:tcPr>
            <w:tcW w:w="712" w:type="dxa"/>
            <w:tcBorders>
              <w:right w:val="nil"/>
            </w:tcBorders>
          </w:tcPr>
          <w:p w14:paraId="6F7F5525">
            <w:pPr>
              <w:pStyle w:val="17"/>
              <w:spacing w:before="20"/>
              <w:ind w:left="122" w:right="121"/>
              <w:rPr>
                <w:sz w:val="21"/>
              </w:rPr>
            </w:pPr>
            <w:r>
              <w:rPr>
                <w:sz w:val="21"/>
              </w:rPr>
              <w:t>达标</w:t>
            </w:r>
          </w:p>
        </w:tc>
      </w:tr>
      <w:tr w14:paraId="0F5F7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EFB8A6A">
            <w:pPr>
              <w:pStyle w:val="17"/>
              <w:jc w:val="left"/>
              <w:rPr>
                <w:rFonts w:ascii="Times New Roman"/>
                <w:sz w:val="20"/>
              </w:rPr>
            </w:pPr>
          </w:p>
        </w:tc>
        <w:tc>
          <w:tcPr>
            <w:tcW w:w="1265" w:type="dxa"/>
          </w:tcPr>
          <w:p w14:paraId="1A50A704">
            <w:pPr>
              <w:pStyle w:val="17"/>
              <w:jc w:val="left"/>
              <w:rPr>
                <w:rFonts w:ascii="Times New Roman"/>
                <w:sz w:val="20"/>
              </w:rPr>
            </w:pPr>
          </w:p>
        </w:tc>
        <w:tc>
          <w:tcPr>
            <w:tcW w:w="771" w:type="dxa"/>
          </w:tcPr>
          <w:p w14:paraId="1CE91E8D">
            <w:pPr>
              <w:pStyle w:val="17"/>
              <w:jc w:val="left"/>
              <w:rPr>
                <w:rFonts w:ascii="Times New Roman"/>
                <w:sz w:val="20"/>
              </w:rPr>
            </w:pPr>
          </w:p>
        </w:tc>
        <w:tc>
          <w:tcPr>
            <w:tcW w:w="772" w:type="dxa"/>
          </w:tcPr>
          <w:p w14:paraId="7EFC93D0">
            <w:pPr>
              <w:pStyle w:val="17"/>
              <w:jc w:val="left"/>
              <w:rPr>
                <w:rFonts w:ascii="Times New Roman"/>
                <w:sz w:val="20"/>
              </w:rPr>
            </w:pPr>
          </w:p>
        </w:tc>
        <w:tc>
          <w:tcPr>
            <w:tcW w:w="921" w:type="dxa"/>
          </w:tcPr>
          <w:p w14:paraId="4C2185F7">
            <w:pPr>
              <w:pStyle w:val="17"/>
              <w:jc w:val="left"/>
              <w:rPr>
                <w:rFonts w:ascii="Times New Roman"/>
                <w:sz w:val="20"/>
              </w:rPr>
            </w:pPr>
          </w:p>
        </w:tc>
        <w:tc>
          <w:tcPr>
            <w:tcW w:w="1035" w:type="dxa"/>
          </w:tcPr>
          <w:p w14:paraId="75A47074">
            <w:pPr>
              <w:pStyle w:val="17"/>
              <w:spacing w:before="19"/>
              <w:ind w:left="201"/>
              <w:jc w:val="left"/>
              <w:rPr>
                <w:sz w:val="21"/>
              </w:rPr>
            </w:pPr>
            <w:r>
              <w:rPr>
                <w:sz w:val="21"/>
              </w:rPr>
              <w:t>日均值</w:t>
            </w:r>
          </w:p>
        </w:tc>
        <w:tc>
          <w:tcPr>
            <w:tcW w:w="1259" w:type="dxa"/>
          </w:tcPr>
          <w:p w14:paraId="1F339C0F">
            <w:pPr>
              <w:pStyle w:val="17"/>
              <w:spacing w:before="33"/>
              <w:ind w:left="188" w:right="180"/>
              <w:rPr>
                <w:rFonts w:ascii="Times New Roman"/>
                <w:sz w:val="21"/>
              </w:rPr>
            </w:pPr>
            <w:r>
              <w:rPr>
                <w:rFonts w:ascii="Times New Roman"/>
                <w:sz w:val="21"/>
              </w:rPr>
              <w:t>3.42E-02</w:t>
            </w:r>
          </w:p>
        </w:tc>
        <w:tc>
          <w:tcPr>
            <w:tcW w:w="1317" w:type="dxa"/>
          </w:tcPr>
          <w:p w14:paraId="46DF5859">
            <w:pPr>
              <w:pStyle w:val="17"/>
              <w:spacing w:before="33"/>
              <w:ind w:left="108" w:right="98"/>
              <w:rPr>
                <w:rFonts w:ascii="Times New Roman"/>
                <w:sz w:val="21"/>
              </w:rPr>
            </w:pPr>
            <w:r>
              <w:rPr>
                <w:rFonts w:ascii="Times New Roman"/>
                <w:sz w:val="21"/>
              </w:rPr>
              <w:t>230823</w:t>
            </w:r>
          </w:p>
        </w:tc>
        <w:tc>
          <w:tcPr>
            <w:tcW w:w="1230" w:type="dxa"/>
          </w:tcPr>
          <w:p w14:paraId="2ABF64CC">
            <w:pPr>
              <w:pStyle w:val="17"/>
              <w:spacing w:before="33"/>
              <w:ind w:left="175" w:right="166"/>
              <w:rPr>
                <w:rFonts w:ascii="Times New Roman"/>
                <w:sz w:val="21"/>
              </w:rPr>
            </w:pPr>
            <w:r>
              <w:rPr>
                <w:rFonts w:ascii="Times New Roman"/>
                <w:sz w:val="21"/>
              </w:rPr>
              <w:t>0.00E+00</w:t>
            </w:r>
          </w:p>
        </w:tc>
        <w:tc>
          <w:tcPr>
            <w:tcW w:w="1725" w:type="dxa"/>
          </w:tcPr>
          <w:p w14:paraId="7FD86D74">
            <w:pPr>
              <w:pStyle w:val="17"/>
              <w:spacing w:before="33"/>
              <w:ind w:left="417" w:right="413"/>
              <w:rPr>
                <w:rFonts w:ascii="Times New Roman"/>
                <w:sz w:val="21"/>
              </w:rPr>
            </w:pPr>
            <w:r>
              <w:rPr>
                <w:rFonts w:ascii="Times New Roman"/>
                <w:sz w:val="21"/>
              </w:rPr>
              <w:t>3.42E-02</w:t>
            </w:r>
          </w:p>
        </w:tc>
        <w:tc>
          <w:tcPr>
            <w:tcW w:w="1230" w:type="dxa"/>
          </w:tcPr>
          <w:p w14:paraId="36BC05E1">
            <w:pPr>
              <w:pStyle w:val="17"/>
              <w:spacing w:before="33"/>
              <w:ind w:left="174" w:right="166"/>
              <w:rPr>
                <w:rFonts w:ascii="Times New Roman"/>
                <w:sz w:val="21"/>
              </w:rPr>
            </w:pPr>
            <w:r>
              <w:rPr>
                <w:rFonts w:ascii="Times New Roman"/>
                <w:sz w:val="21"/>
              </w:rPr>
              <w:t>1.50E+02</w:t>
            </w:r>
          </w:p>
        </w:tc>
        <w:tc>
          <w:tcPr>
            <w:tcW w:w="1517" w:type="dxa"/>
          </w:tcPr>
          <w:p w14:paraId="6A88F1F6">
            <w:pPr>
              <w:pStyle w:val="17"/>
              <w:spacing w:before="33"/>
              <w:ind w:left="499" w:right="492"/>
              <w:rPr>
                <w:rFonts w:ascii="Times New Roman"/>
                <w:sz w:val="21"/>
              </w:rPr>
            </w:pPr>
            <w:r>
              <w:rPr>
                <w:rFonts w:ascii="Times New Roman"/>
                <w:sz w:val="21"/>
              </w:rPr>
              <w:t>0.02</w:t>
            </w:r>
          </w:p>
        </w:tc>
        <w:tc>
          <w:tcPr>
            <w:tcW w:w="712" w:type="dxa"/>
            <w:tcBorders>
              <w:right w:val="nil"/>
            </w:tcBorders>
          </w:tcPr>
          <w:p w14:paraId="06A31AF3">
            <w:pPr>
              <w:pStyle w:val="17"/>
              <w:spacing w:before="19"/>
              <w:ind w:left="122" w:right="121"/>
              <w:rPr>
                <w:sz w:val="21"/>
              </w:rPr>
            </w:pPr>
            <w:r>
              <w:rPr>
                <w:sz w:val="21"/>
              </w:rPr>
              <w:t>达标</w:t>
            </w:r>
          </w:p>
        </w:tc>
      </w:tr>
      <w:tr w14:paraId="7AA77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A3DA3A9">
            <w:pPr>
              <w:pStyle w:val="17"/>
              <w:jc w:val="left"/>
              <w:rPr>
                <w:rFonts w:ascii="Times New Roman"/>
                <w:sz w:val="20"/>
              </w:rPr>
            </w:pPr>
          </w:p>
        </w:tc>
        <w:tc>
          <w:tcPr>
            <w:tcW w:w="1265" w:type="dxa"/>
          </w:tcPr>
          <w:p w14:paraId="1D262AAD">
            <w:pPr>
              <w:pStyle w:val="17"/>
              <w:jc w:val="left"/>
              <w:rPr>
                <w:rFonts w:ascii="Times New Roman"/>
                <w:sz w:val="20"/>
              </w:rPr>
            </w:pPr>
          </w:p>
        </w:tc>
        <w:tc>
          <w:tcPr>
            <w:tcW w:w="771" w:type="dxa"/>
          </w:tcPr>
          <w:p w14:paraId="54681712">
            <w:pPr>
              <w:pStyle w:val="17"/>
              <w:jc w:val="left"/>
              <w:rPr>
                <w:rFonts w:ascii="Times New Roman"/>
                <w:sz w:val="20"/>
              </w:rPr>
            </w:pPr>
          </w:p>
        </w:tc>
        <w:tc>
          <w:tcPr>
            <w:tcW w:w="772" w:type="dxa"/>
          </w:tcPr>
          <w:p w14:paraId="3161EDD8">
            <w:pPr>
              <w:pStyle w:val="17"/>
              <w:jc w:val="left"/>
              <w:rPr>
                <w:rFonts w:ascii="Times New Roman"/>
                <w:sz w:val="20"/>
              </w:rPr>
            </w:pPr>
          </w:p>
        </w:tc>
        <w:tc>
          <w:tcPr>
            <w:tcW w:w="921" w:type="dxa"/>
          </w:tcPr>
          <w:p w14:paraId="59B90332">
            <w:pPr>
              <w:pStyle w:val="17"/>
              <w:jc w:val="left"/>
              <w:rPr>
                <w:rFonts w:ascii="Times New Roman"/>
                <w:sz w:val="20"/>
              </w:rPr>
            </w:pPr>
          </w:p>
        </w:tc>
        <w:tc>
          <w:tcPr>
            <w:tcW w:w="1035" w:type="dxa"/>
          </w:tcPr>
          <w:p w14:paraId="749FE047">
            <w:pPr>
              <w:pStyle w:val="17"/>
              <w:spacing w:before="19"/>
              <w:ind w:left="201"/>
              <w:jc w:val="left"/>
              <w:rPr>
                <w:sz w:val="21"/>
              </w:rPr>
            </w:pPr>
            <w:r>
              <w:rPr>
                <w:sz w:val="21"/>
              </w:rPr>
              <w:t>年均值</w:t>
            </w:r>
          </w:p>
        </w:tc>
        <w:tc>
          <w:tcPr>
            <w:tcW w:w="1259" w:type="dxa"/>
          </w:tcPr>
          <w:p w14:paraId="309E82E9">
            <w:pPr>
              <w:pStyle w:val="17"/>
              <w:spacing w:before="33"/>
              <w:ind w:left="188" w:right="180"/>
              <w:rPr>
                <w:rFonts w:ascii="Times New Roman"/>
                <w:sz w:val="21"/>
              </w:rPr>
            </w:pPr>
            <w:r>
              <w:rPr>
                <w:rFonts w:ascii="Times New Roman"/>
                <w:sz w:val="21"/>
              </w:rPr>
              <w:t>1.09E-03</w:t>
            </w:r>
          </w:p>
        </w:tc>
        <w:tc>
          <w:tcPr>
            <w:tcW w:w="1317" w:type="dxa"/>
          </w:tcPr>
          <w:p w14:paraId="1087A14A">
            <w:pPr>
              <w:pStyle w:val="17"/>
              <w:spacing w:before="19"/>
              <w:ind w:left="107" w:right="98"/>
              <w:rPr>
                <w:sz w:val="21"/>
              </w:rPr>
            </w:pPr>
            <w:r>
              <w:rPr>
                <w:sz w:val="21"/>
              </w:rPr>
              <w:t>平均值</w:t>
            </w:r>
          </w:p>
        </w:tc>
        <w:tc>
          <w:tcPr>
            <w:tcW w:w="1230" w:type="dxa"/>
          </w:tcPr>
          <w:p w14:paraId="779AAC23">
            <w:pPr>
              <w:pStyle w:val="17"/>
              <w:spacing w:before="33"/>
              <w:ind w:left="175" w:right="166"/>
              <w:rPr>
                <w:rFonts w:ascii="Times New Roman"/>
                <w:sz w:val="21"/>
              </w:rPr>
            </w:pPr>
            <w:r>
              <w:rPr>
                <w:rFonts w:ascii="Times New Roman"/>
                <w:sz w:val="21"/>
              </w:rPr>
              <w:t>0.00E+00</w:t>
            </w:r>
          </w:p>
        </w:tc>
        <w:tc>
          <w:tcPr>
            <w:tcW w:w="1725" w:type="dxa"/>
          </w:tcPr>
          <w:p w14:paraId="2DE5569F">
            <w:pPr>
              <w:pStyle w:val="17"/>
              <w:spacing w:before="33"/>
              <w:ind w:left="417" w:right="413"/>
              <w:rPr>
                <w:rFonts w:ascii="Times New Roman"/>
                <w:sz w:val="21"/>
              </w:rPr>
            </w:pPr>
            <w:r>
              <w:rPr>
                <w:rFonts w:ascii="Times New Roman"/>
                <w:sz w:val="21"/>
              </w:rPr>
              <w:t>1.09E-03</w:t>
            </w:r>
          </w:p>
        </w:tc>
        <w:tc>
          <w:tcPr>
            <w:tcW w:w="1230" w:type="dxa"/>
          </w:tcPr>
          <w:p w14:paraId="0B2EB04F">
            <w:pPr>
              <w:pStyle w:val="17"/>
              <w:spacing w:before="33"/>
              <w:ind w:left="174" w:right="166"/>
              <w:rPr>
                <w:rFonts w:ascii="Times New Roman"/>
                <w:sz w:val="21"/>
              </w:rPr>
            </w:pPr>
            <w:r>
              <w:rPr>
                <w:rFonts w:ascii="Times New Roman"/>
                <w:sz w:val="21"/>
              </w:rPr>
              <w:t>7.00E+01</w:t>
            </w:r>
          </w:p>
        </w:tc>
        <w:tc>
          <w:tcPr>
            <w:tcW w:w="1517" w:type="dxa"/>
          </w:tcPr>
          <w:p w14:paraId="715DE999">
            <w:pPr>
              <w:pStyle w:val="17"/>
              <w:spacing w:before="33"/>
              <w:ind w:left="499" w:right="492"/>
              <w:rPr>
                <w:rFonts w:ascii="Times New Roman"/>
                <w:sz w:val="21"/>
              </w:rPr>
            </w:pPr>
            <w:r>
              <w:rPr>
                <w:rFonts w:ascii="Times New Roman"/>
                <w:sz w:val="21"/>
              </w:rPr>
              <w:t>0.00</w:t>
            </w:r>
          </w:p>
        </w:tc>
        <w:tc>
          <w:tcPr>
            <w:tcW w:w="712" w:type="dxa"/>
            <w:tcBorders>
              <w:right w:val="nil"/>
            </w:tcBorders>
          </w:tcPr>
          <w:p w14:paraId="1F77D02A">
            <w:pPr>
              <w:pStyle w:val="17"/>
              <w:spacing w:before="19"/>
              <w:ind w:left="122" w:right="121"/>
              <w:rPr>
                <w:sz w:val="21"/>
              </w:rPr>
            </w:pPr>
            <w:r>
              <w:rPr>
                <w:sz w:val="21"/>
              </w:rPr>
              <w:t>达标</w:t>
            </w:r>
          </w:p>
        </w:tc>
      </w:tr>
      <w:tr w14:paraId="516AD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DC029C4">
            <w:pPr>
              <w:pStyle w:val="17"/>
              <w:spacing w:before="35"/>
              <w:ind w:right="169"/>
              <w:jc w:val="right"/>
              <w:rPr>
                <w:rFonts w:ascii="Times New Roman"/>
                <w:sz w:val="21"/>
              </w:rPr>
            </w:pPr>
            <w:r>
              <w:rPr>
                <w:rFonts w:ascii="Times New Roman"/>
                <w:w w:val="99"/>
                <w:sz w:val="21"/>
              </w:rPr>
              <w:t>2</w:t>
            </w:r>
          </w:p>
        </w:tc>
        <w:tc>
          <w:tcPr>
            <w:tcW w:w="1265" w:type="dxa"/>
          </w:tcPr>
          <w:p w14:paraId="07BDDED2">
            <w:pPr>
              <w:pStyle w:val="17"/>
              <w:spacing w:before="21"/>
              <w:ind w:left="189" w:right="183"/>
              <w:rPr>
                <w:sz w:val="21"/>
              </w:rPr>
            </w:pPr>
            <w:r>
              <w:rPr>
                <w:sz w:val="21"/>
              </w:rPr>
              <w:t>八里村</w:t>
            </w:r>
          </w:p>
        </w:tc>
        <w:tc>
          <w:tcPr>
            <w:tcW w:w="771" w:type="dxa"/>
          </w:tcPr>
          <w:p w14:paraId="1DA50BF2">
            <w:pPr>
              <w:pStyle w:val="17"/>
              <w:spacing w:before="35"/>
              <w:ind w:right="182"/>
              <w:jc w:val="right"/>
              <w:rPr>
                <w:rFonts w:ascii="Times New Roman"/>
                <w:sz w:val="21"/>
              </w:rPr>
            </w:pPr>
            <w:r>
              <w:rPr>
                <w:rFonts w:ascii="Times New Roman"/>
                <w:sz w:val="21"/>
              </w:rPr>
              <w:t>-698</w:t>
            </w:r>
          </w:p>
        </w:tc>
        <w:tc>
          <w:tcPr>
            <w:tcW w:w="772" w:type="dxa"/>
          </w:tcPr>
          <w:p w14:paraId="385EC884">
            <w:pPr>
              <w:pStyle w:val="17"/>
              <w:spacing w:before="35"/>
              <w:ind w:right="181"/>
              <w:jc w:val="right"/>
              <w:rPr>
                <w:rFonts w:ascii="Times New Roman"/>
                <w:sz w:val="21"/>
              </w:rPr>
            </w:pPr>
            <w:r>
              <w:rPr>
                <w:rFonts w:ascii="Times New Roman"/>
                <w:w w:val="95"/>
                <w:sz w:val="21"/>
              </w:rPr>
              <w:t>-255</w:t>
            </w:r>
          </w:p>
        </w:tc>
        <w:tc>
          <w:tcPr>
            <w:tcW w:w="921" w:type="dxa"/>
          </w:tcPr>
          <w:p w14:paraId="19268C23">
            <w:pPr>
              <w:pStyle w:val="17"/>
              <w:spacing w:before="35"/>
              <w:ind w:left="203" w:right="195"/>
              <w:rPr>
                <w:rFonts w:ascii="Times New Roman"/>
                <w:sz w:val="21"/>
              </w:rPr>
            </w:pPr>
            <w:r>
              <w:rPr>
                <w:rFonts w:ascii="Times New Roman"/>
                <w:sz w:val="21"/>
              </w:rPr>
              <w:t>63.63</w:t>
            </w:r>
          </w:p>
        </w:tc>
        <w:tc>
          <w:tcPr>
            <w:tcW w:w="1035" w:type="dxa"/>
          </w:tcPr>
          <w:p w14:paraId="49BA273F">
            <w:pPr>
              <w:pStyle w:val="17"/>
              <w:spacing w:before="19"/>
              <w:ind w:left="201"/>
              <w:jc w:val="left"/>
              <w:rPr>
                <w:sz w:val="21"/>
              </w:rPr>
            </w:pPr>
            <w:r>
              <w:rPr>
                <w:sz w:val="21"/>
              </w:rPr>
              <w:t>小时值</w:t>
            </w:r>
          </w:p>
        </w:tc>
        <w:tc>
          <w:tcPr>
            <w:tcW w:w="1259" w:type="dxa"/>
          </w:tcPr>
          <w:p w14:paraId="78028F55">
            <w:pPr>
              <w:pStyle w:val="17"/>
              <w:spacing w:before="35"/>
              <w:ind w:left="188" w:right="180"/>
              <w:rPr>
                <w:rFonts w:ascii="Times New Roman"/>
                <w:sz w:val="21"/>
              </w:rPr>
            </w:pPr>
            <w:r>
              <w:rPr>
                <w:rFonts w:ascii="Times New Roman"/>
                <w:sz w:val="21"/>
              </w:rPr>
              <w:t>1.97E-01</w:t>
            </w:r>
          </w:p>
        </w:tc>
        <w:tc>
          <w:tcPr>
            <w:tcW w:w="1317" w:type="dxa"/>
          </w:tcPr>
          <w:p w14:paraId="208A3302">
            <w:pPr>
              <w:pStyle w:val="17"/>
              <w:spacing w:before="35"/>
              <w:ind w:left="108" w:right="98"/>
              <w:rPr>
                <w:rFonts w:ascii="Times New Roman"/>
                <w:sz w:val="21"/>
              </w:rPr>
            </w:pPr>
            <w:r>
              <w:rPr>
                <w:rFonts w:ascii="Times New Roman"/>
                <w:sz w:val="21"/>
              </w:rPr>
              <w:t>23081505</w:t>
            </w:r>
          </w:p>
        </w:tc>
        <w:tc>
          <w:tcPr>
            <w:tcW w:w="1230" w:type="dxa"/>
          </w:tcPr>
          <w:p w14:paraId="053EFCC5">
            <w:pPr>
              <w:pStyle w:val="17"/>
              <w:spacing w:before="35"/>
              <w:ind w:left="175" w:right="166"/>
              <w:rPr>
                <w:rFonts w:ascii="Times New Roman"/>
                <w:sz w:val="21"/>
              </w:rPr>
            </w:pPr>
            <w:r>
              <w:rPr>
                <w:rFonts w:ascii="Times New Roman"/>
                <w:sz w:val="21"/>
              </w:rPr>
              <w:t>0.00E+00</w:t>
            </w:r>
          </w:p>
        </w:tc>
        <w:tc>
          <w:tcPr>
            <w:tcW w:w="1725" w:type="dxa"/>
          </w:tcPr>
          <w:p w14:paraId="3E6FFD29">
            <w:pPr>
              <w:pStyle w:val="17"/>
              <w:spacing w:before="35"/>
              <w:ind w:left="417" w:right="413"/>
              <w:rPr>
                <w:rFonts w:ascii="Times New Roman"/>
                <w:sz w:val="21"/>
              </w:rPr>
            </w:pPr>
            <w:r>
              <w:rPr>
                <w:rFonts w:ascii="Times New Roman"/>
                <w:sz w:val="21"/>
              </w:rPr>
              <w:t>1.97E-01</w:t>
            </w:r>
          </w:p>
        </w:tc>
        <w:tc>
          <w:tcPr>
            <w:tcW w:w="1230" w:type="dxa"/>
          </w:tcPr>
          <w:p w14:paraId="667BF917">
            <w:pPr>
              <w:pStyle w:val="17"/>
              <w:spacing w:before="35"/>
              <w:ind w:left="174" w:right="166"/>
              <w:rPr>
                <w:rFonts w:ascii="Times New Roman"/>
                <w:sz w:val="21"/>
              </w:rPr>
            </w:pPr>
            <w:r>
              <w:rPr>
                <w:rFonts w:ascii="Times New Roman"/>
                <w:sz w:val="21"/>
              </w:rPr>
              <w:t>4.50E+02</w:t>
            </w:r>
          </w:p>
        </w:tc>
        <w:tc>
          <w:tcPr>
            <w:tcW w:w="1517" w:type="dxa"/>
          </w:tcPr>
          <w:p w14:paraId="669753FA">
            <w:pPr>
              <w:pStyle w:val="17"/>
              <w:spacing w:before="35"/>
              <w:ind w:left="499" w:right="492"/>
              <w:rPr>
                <w:rFonts w:ascii="Times New Roman"/>
                <w:sz w:val="21"/>
              </w:rPr>
            </w:pPr>
            <w:r>
              <w:rPr>
                <w:rFonts w:ascii="Times New Roman"/>
                <w:sz w:val="21"/>
              </w:rPr>
              <w:t>0.04</w:t>
            </w:r>
          </w:p>
        </w:tc>
        <w:tc>
          <w:tcPr>
            <w:tcW w:w="712" w:type="dxa"/>
            <w:tcBorders>
              <w:right w:val="nil"/>
            </w:tcBorders>
          </w:tcPr>
          <w:p w14:paraId="7B0CA01B">
            <w:pPr>
              <w:pStyle w:val="17"/>
              <w:spacing w:before="19"/>
              <w:ind w:left="122" w:right="121"/>
              <w:rPr>
                <w:sz w:val="21"/>
              </w:rPr>
            </w:pPr>
            <w:r>
              <w:rPr>
                <w:sz w:val="21"/>
              </w:rPr>
              <w:t>达标</w:t>
            </w:r>
          </w:p>
        </w:tc>
      </w:tr>
      <w:tr w14:paraId="4C883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4CB5A61">
            <w:pPr>
              <w:pStyle w:val="17"/>
              <w:jc w:val="left"/>
              <w:rPr>
                <w:rFonts w:ascii="Times New Roman"/>
                <w:sz w:val="20"/>
              </w:rPr>
            </w:pPr>
          </w:p>
        </w:tc>
        <w:tc>
          <w:tcPr>
            <w:tcW w:w="1265" w:type="dxa"/>
          </w:tcPr>
          <w:p w14:paraId="20C04D3E">
            <w:pPr>
              <w:pStyle w:val="17"/>
              <w:jc w:val="left"/>
              <w:rPr>
                <w:rFonts w:ascii="Times New Roman"/>
                <w:sz w:val="20"/>
              </w:rPr>
            </w:pPr>
          </w:p>
        </w:tc>
        <w:tc>
          <w:tcPr>
            <w:tcW w:w="771" w:type="dxa"/>
          </w:tcPr>
          <w:p w14:paraId="5EA6F6E8">
            <w:pPr>
              <w:pStyle w:val="17"/>
              <w:jc w:val="left"/>
              <w:rPr>
                <w:rFonts w:ascii="Times New Roman"/>
                <w:sz w:val="20"/>
              </w:rPr>
            </w:pPr>
          </w:p>
        </w:tc>
        <w:tc>
          <w:tcPr>
            <w:tcW w:w="772" w:type="dxa"/>
          </w:tcPr>
          <w:p w14:paraId="4D92B3FF">
            <w:pPr>
              <w:pStyle w:val="17"/>
              <w:jc w:val="left"/>
              <w:rPr>
                <w:rFonts w:ascii="Times New Roman"/>
                <w:sz w:val="20"/>
              </w:rPr>
            </w:pPr>
          </w:p>
        </w:tc>
        <w:tc>
          <w:tcPr>
            <w:tcW w:w="921" w:type="dxa"/>
          </w:tcPr>
          <w:p w14:paraId="420FF32D">
            <w:pPr>
              <w:pStyle w:val="17"/>
              <w:jc w:val="left"/>
              <w:rPr>
                <w:rFonts w:ascii="Times New Roman"/>
                <w:sz w:val="20"/>
              </w:rPr>
            </w:pPr>
          </w:p>
        </w:tc>
        <w:tc>
          <w:tcPr>
            <w:tcW w:w="1035" w:type="dxa"/>
          </w:tcPr>
          <w:p w14:paraId="50F194A5">
            <w:pPr>
              <w:pStyle w:val="17"/>
              <w:spacing w:before="18"/>
              <w:ind w:left="201"/>
              <w:jc w:val="left"/>
              <w:rPr>
                <w:sz w:val="21"/>
              </w:rPr>
            </w:pPr>
            <w:r>
              <w:rPr>
                <w:sz w:val="21"/>
              </w:rPr>
              <w:t>日均值</w:t>
            </w:r>
          </w:p>
        </w:tc>
        <w:tc>
          <w:tcPr>
            <w:tcW w:w="1259" w:type="dxa"/>
          </w:tcPr>
          <w:p w14:paraId="4BD9121E">
            <w:pPr>
              <w:pStyle w:val="17"/>
              <w:spacing w:before="34"/>
              <w:ind w:left="188" w:right="180"/>
              <w:rPr>
                <w:rFonts w:ascii="Times New Roman"/>
                <w:sz w:val="21"/>
              </w:rPr>
            </w:pPr>
            <w:r>
              <w:rPr>
                <w:rFonts w:ascii="Times New Roman"/>
                <w:sz w:val="21"/>
              </w:rPr>
              <w:t>2.03E-02</w:t>
            </w:r>
          </w:p>
        </w:tc>
        <w:tc>
          <w:tcPr>
            <w:tcW w:w="1317" w:type="dxa"/>
          </w:tcPr>
          <w:p w14:paraId="459FAEA5">
            <w:pPr>
              <w:pStyle w:val="17"/>
              <w:spacing w:before="34"/>
              <w:ind w:left="108" w:right="98"/>
              <w:rPr>
                <w:rFonts w:ascii="Times New Roman"/>
                <w:sz w:val="21"/>
              </w:rPr>
            </w:pPr>
            <w:r>
              <w:rPr>
                <w:rFonts w:ascii="Times New Roman"/>
                <w:sz w:val="21"/>
              </w:rPr>
              <w:t>230819</w:t>
            </w:r>
          </w:p>
        </w:tc>
        <w:tc>
          <w:tcPr>
            <w:tcW w:w="1230" w:type="dxa"/>
          </w:tcPr>
          <w:p w14:paraId="50535D5D">
            <w:pPr>
              <w:pStyle w:val="17"/>
              <w:spacing w:before="34"/>
              <w:ind w:left="175" w:right="166"/>
              <w:rPr>
                <w:rFonts w:ascii="Times New Roman"/>
                <w:sz w:val="21"/>
              </w:rPr>
            </w:pPr>
            <w:r>
              <w:rPr>
                <w:rFonts w:ascii="Times New Roman"/>
                <w:sz w:val="21"/>
              </w:rPr>
              <w:t>0.00E+00</w:t>
            </w:r>
          </w:p>
        </w:tc>
        <w:tc>
          <w:tcPr>
            <w:tcW w:w="1725" w:type="dxa"/>
          </w:tcPr>
          <w:p w14:paraId="47B52DB7">
            <w:pPr>
              <w:pStyle w:val="17"/>
              <w:spacing w:before="34"/>
              <w:ind w:left="417" w:right="413"/>
              <w:rPr>
                <w:rFonts w:ascii="Times New Roman"/>
                <w:sz w:val="21"/>
              </w:rPr>
            </w:pPr>
            <w:r>
              <w:rPr>
                <w:rFonts w:ascii="Times New Roman"/>
                <w:sz w:val="21"/>
              </w:rPr>
              <w:t>2.03E-02</w:t>
            </w:r>
          </w:p>
        </w:tc>
        <w:tc>
          <w:tcPr>
            <w:tcW w:w="1230" w:type="dxa"/>
          </w:tcPr>
          <w:p w14:paraId="603EDBBB">
            <w:pPr>
              <w:pStyle w:val="17"/>
              <w:spacing w:before="34"/>
              <w:ind w:left="174" w:right="166"/>
              <w:rPr>
                <w:rFonts w:ascii="Times New Roman"/>
                <w:sz w:val="21"/>
              </w:rPr>
            </w:pPr>
            <w:r>
              <w:rPr>
                <w:rFonts w:ascii="Times New Roman"/>
                <w:sz w:val="21"/>
              </w:rPr>
              <w:t>1.50E+02</w:t>
            </w:r>
          </w:p>
        </w:tc>
        <w:tc>
          <w:tcPr>
            <w:tcW w:w="1517" w:type="dxa"/>
          </w:tcPr>
          <w:p w14:paraId="72F32126">
            <w:pPr>
              <w:pStyle w:val="17"/>
              <w:spacing w:before="34"/>
              <w:ind w:left="499" w:right="492"/>
              <w:rPr>
                <w:rFonts w:ascii="Times New Roman"/>
                <w:sz w:val="21"/>
              </w:rPr>
            </w:pPr>
            <w:r>
              <w:rPr>
                <w:rFonts w:ascii="Times New Roman"/>
                <w:sz w:val="21"/>
              </w:rPr>
              <w:t>0.01</w:t>
            </w:r>
          </w:p>
        </w:tc>
        <w:tc>
          <w:tcPr>
            <w:tcW w:w="712" w:type="dxa"/>
            <w:tcBorders>
              <w:right w:val="nil"/>
            </w:tcBorders>
          </w:tcPr>
          <w:p w14:paraId="594E30B2">
            <w:pPr>
              <w:pStyle w:val="17"/>
              <w:spacing w:before="18"/>
              <w:ind w:left="122" w:right="121"/>
              <w:rPr>
                <w:sz w:val="21"/>
              </w:rPr>
            </w:pPr>
            <w:r>
              <w:rPr>
                <w:sz w:val="21"/>
              </w:rPr>
              <w:t>达标</w:t>
            </w:r>
          </w:p>
        </w:tc>
      </w:tr>
      <w:tr w14:paraId="32F21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04AED89">
            <w:pPr>
              <w:pStyle w:val="17"/>
              <w:jc w:val="left"/>
              <w:rPr>
                <w:rFonts w:ascii="Times New Roman"/>
                <w:sz w:val="20"/>
              </w:rPr>
            </w:pPr>
          </w:p>
        </w:tc>
        <w:tc>
          <w:tcPr>
            <w:tcW w:w="1265" w:type="dxa"/>
          </w:tcPr>
          <w:p w14:paraId="17039BBB">
            <w:pPr>
              <w:pStyle w:val="17"/>
              <w:jc w:val="left"/>
              <w:rPr>
                <w:rFonts w:ascii="Times New Roman"/>
                <w:sz w:val="20"/>
              </w:rPr>
            </w:pPr>
          </w:p>
        </w:tc>
        <w:tc>
          <w:tcPr>
            <w:tcW w:w="771" w:type="dxa"/>
          </w:tcPr>
          <w:p w14:paraId="289FC137">
            <w:pPr>
              <w:pStyle w:val="17"/>
              <w:jc w:val="left"/>
              <w:rPr>
                <w:rFonts w:ascii="Times New Roman"/>
                <w:sz w:val="20"/>
              </w:rPr>
            </w:pPr>
          </w:p>
        </w:tc>
        <w:tc>
          <w:tcPr>
            <w:tcW w:w="772" w:type="dxa"/>
          </w:tcPr>
          <w:p w14:paraId="2C2FDA86">
            <w:pPr>
              <w:pStyle w:val="17"/>
              <w:jc w:val="left"/>
              <w:rPr>
                <w:rFonts w:ascii="Times New Roman"/>
                <w:sz w:val="20"/>
              </w:rPr>
            </w:pPr>
          </w:p>
        </w:tc>
        <w:tc>
          <w:tcPr>
            <w:tcW w:w="921" w:type="dxa"/>
          </w:tcPr>
          <w:p w14:paraId="6ADDEAA8">
            <w:pPr>
              <w:pStyle w:val="17"/>
              <w:jc w:val="left"/>
              <w:rPr>
                <w:rFonts w:ascii="Times New Roman"/>
                <w:sz w:val="20"/>
              </w:rPr>
            </w:pPr>
          </w:p>
        </w:tc>
        <w:tc>
          <w:tcPr>
            <w:tcW w:w="1035" w:type="dxa"/>
          </w:tcPr>
          <w:p w14:paraId="6A2CCD38">
            <w:pPr>
              <w:pStyle w:val="17"/>
              <w:spacing w:before="18"/>
              <w:ind w:left="201"/>
              <w:jc w:val="left"/>
              <w:rPr>
                <w:sz w:val="21"/>
              </w:rPr>
            </w:pPr>
            <w:r>
              <w:rPr>
                <w:sz w:val="21"/>
              </w:rPr>
              <w:t>年均值</w:t>
            </w:r>
          </w:p>
        </w:tc>
        <w:tc>
          <w:tcPr>
            <w:tcW w:w="1259" w:type="dxa"/>
          </w:tcPr>
          <w:p w14:paraId="0F819D5D">
            <w:pPr>
              <w:pStyle w:val="17"/>
              <w:spacing w:before="34"/>
              <w:ind w:left="188" w:right="180"/>
              <w:rPr>
                <w:rFonts w:ascii="Times New Roman"/>
                <w:sz w:val="21"/>
              </w:rPr>
            </w:pPr>
            <w:r>
              <w:rPr>
                <w:rFonts w:ascii="Times New Roman"/>
                <w:sz w:val="21"/>
              </w:rPr>
              <w:t>8.80E-04</w:t>
            </w:r>
          </w:p>
        </w:tc>
        <w:tc>
          <w:tcPr>
            <w:tcW w:w="1317" w:type="dxa"/>
          </w:tcPr>
          <w:p w14:paraId="7011DFF1">
            <w:pPr>
              <w:pStyle w:val="17"/>
              <w:spacing w:before="18"/>
              <w:ind w:left="107" w:right="98"/>
              <w:rPr>
                <w:sz w:val="21"/>
              </w:rPr>
            </w:pPr>
            <w:r>
              <w:rPr>
                <w:sz w:val="21"/>
              </w:rPr>
              <w:t>平均值</w:t>
            </w:r>
          </w:p>
        </w:tc>
        <w:tc>
          <w:tcPr>
            <w:tcW w:w="1230" w:type="dxa"/>
          </w:tcPr>
          <w:p w14:paraId="3C39B1D5">
            <w:pPr>
              <w:pStyle w:val="17"/>
              <w:spacing w:before="34"/>
              <w:ind w:left="175" w:right="166"/>
              <w:rPr>
                <w:rFonts w:ascii="Times New Roman"/>
                <w:sz w:val="21"/>
              </w:rPr>
            </w:pPr>
            <w:r>
              <w:rPr>
                <w:rFonts w:ascii="Times New Roman"/>
                <w:sz w:val="21"/>
              </w:rPr>
              <w:t>0.00E+00</w:t>
            </w:r>
          </w:p>
        </w:tc>
        <w:tc>
          <w:tcPr>
            <w:tcW w:w="1725" w:type="dxa"/>
          </w:tcPr>
          <w:p w14:paraId="3F856DCF">
            <w:pPr>
              <w:pStyle w:val="17"/>
              <w:spacing w:before="34"/>
              <w:ind w:left="417" w:right="413"/>
              <w:rPr>
                <w:rFonts w:ascii="Times New Roman"/>
                <w:sz w:val="21"/>
              </w:rPr>
            </w:pPr>
            <w:r>
              <w:rPr>
                <w:rFonts w:ascii="Times New Roman"/>
                <w:sz w:val="21"/>
              </w:rPr>
              <w:t>8.80E-04</w:t>
            </w:r>
          </w:p>
        </w:tc>
        <w:tc>
          <w:tcPr>
            <w:tcW w:w="1230" w:type="dxa"/>
          </w:tcPr>
          <w:p w14:paraId="34A8C2DE">
            <w:pPr>
              <w:pStyle w:val="17"/>
              <w:spacing w:before="34"/>
              <w:ind w:left="174" w:right="166"/>
              <w:rPr>
                <w:rFonts w:ascii="Times New Roman"/>
                <w:sz w:val="21"/>
              </w:rPr>
            </w:pPr>
            <w:r>
              <w:rPr>
                <w:rFonts w:ascii="Times New Roman"/>
                <w:sz w:val="21"/>
              </w:rPr>
              <w:t>7.00E+01</w:t>
            </w:r>
          </w:p>
        </w:tc>
        <w:tc>
          <w:tcPr>
            <w:tcW w:w="1517" w:type="dxa"/>
          </w:tcPr>
          <w:p w14:paraId="3B436AD1">
            <w:pPr>
              <w:pStyle w:val="17"/>
              <w:spacing w:before="34"/>
              <w:ind w:left="499" w:right="492"/>
              <w:rPr>
                <w:rFonts w:ascii="Times New Roman"/>
                <w:sz w:val="21"/>
              </w:rPr>
            </w:pPr>
            <w:r>
              <w:rPr>
                <w:rFonts w:ascii="Times New Roman"/>
                <w:sz w:val="21"/>
              </w:rPr>
              <w:t>0.00</w:t>
            </w:r>
          </w:p>
        </w:tc>
        <w:tc>
          <w:tcPr>
            <w:tcW w:w="712" w:type="dxa"/>
            <w:tcBorders>
              <w:right w:val="nil"/>
            </w:tcBorders>
          </w:tcPr>
          <w:p w14:paraId="0E7F8FE3">
            <w:pPr>
              <w:pStyle w:val="17"/>
              <w:spacing w:before="18"/>
              <w:ind w:left="122" w:right="121"/>
              <w:rPr>
                <w:sz w:val="21"/>
              </w:rPr>
            </w:pPr>
            <w:r>
              <w:rPr>
                <w:sz w:val="21"/>
              </w:rPr>
              <w:t>达标</w:t>
            </w:r>
          </w:p>
        </w:tc>
      </w:tr>
      <w:tr w14:paraId="2F604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9B9A505">
            <w:pPr>
              <w:pStyle w:val="17"/>
              <w:spacing w:before="34"/>
              <w:ind w:right="169"/>
              <w:jc w:val="right"/>
              <w:rPr>
                <w:rFonts w:ascii="Times New Roman"/>
                <w:sz w:val="21"/>
              </w:rPr>
            </w:pPr>
            <w:r>
              <w:rPr>
                <w:rFonts w:ascii="Times New Roman"/>
                <w:w w:val="99"/>
                <w:sz w:val="21"/>
              </w:rPr>
              <w:t>3</w:t>
            </w:r>
          </w:p>
        </w:tc>
        <w:tc>
          <w:tcPr>
            <w:tcW w:w="1265" w:type="dxa"/>
          </w:tcPr>
          <w:p w14:paraId="5C6CE609">
            <w:pPr>
              <w:pStyle w:val="17"/>
              <w:spacing w:before="20"/>
              <w:ind w:left="189" w:right="183"/>
              <w:rPr>
                <w:sz w:val="21"/>
              </w:rPr>
            </w:pPr>
            <w:r>
              <w:rPr>
                <w:sz w:val="21"/>
              </w:rPr>
              <w:t>新桥村</w:t>
            </w:r>
          </w:p>
        </w:tc>
        <w:tc>
          <w:tcPr>
            <w:tcW w:w="771" w:type="dxa"/>
          </w:tcPr>
          <w:p w14:paraId="50139C52">
            <w:pPr>
              <w:pStyle w:val="17"/>
              <w:spacing w:before="34"/>
              <w:ind w:right="182"/>
              <w:jc w:val="right"/>
              <w:rPr>
                <w:rFonts w:ascii="Times New Roman"/>
                <w:sz w:val="21"/>
              </w:rPr>
            </w:pPr>
            <w:r>
              <w:rPr>
                <w:rFonts w:ascii="Times New Roman"/>
                <w:sz w:val="21"/>
              </w:rPr>
              <w:t>-795</w:t>
            </w:r>
          </w:p>
        </w:tc>
        <w:tc>
          <w:tcPr>
            <w:tcW w:w="772" w:type="dxa"/>
          </w:tcPr>
          <w:p w14:paraId="40449539">
            <w:pPr>
              <w:pStyle w:val="17"/>
              <w:spacing w:before="34"/>
              <w:ind w:right="128"/>
              <w:jc w:val="right"/>
              <w:rPr>
                <w:rFonts w:ascii="Times New Roman"/>
                <w:sz w:val="21"/>
              </w:rPr>
            </w:pPr>
            <w:r>
              <w:rPr>
                <w:rFonts w:ascii="Times New Roman"/>
                <w:w w:val="95"/>
                <w:sz w:val="21"/>
              </w:rPr>
              <w:t>-1454</w:t>
            </w:r>
          </w:p>
        </w:tc>
        <w:tc>
          <w:tcPr>
            <w:tcW w:w="921" w:type="dxa"/>
          </w:tcPr>
          <w:p w14:paraId="40819CBD">
            <w:pPr>
              <w:pStyle w:val="17"/>
              <w:spacing w:before="34"/>
              <w:ind w:left="203" w:right="195"/>
              <w:rPr>
                <w:rFonts w:ascii="Times New Roman"/>
                <w:sz w:val="21"/>
              </w:rPr>
            </w:pPr>
            <w:r>
              <w:rPr>
                <w:rFonts w:ascii="Times New Roman"/>
                <w:sz w:val="21"/>
              </w:rPr>
              <w:t>68</w:t>
            </w:r>
          </w:p>
        </w:tc>
        <w:tc>
          <w:tcPr>
            <w:tcW w:w="1035" w:type="dxa"/>
          </w:tcPr>
          <w:p w14:paraId="16E8A914">
            <w:pPr>
              <w:pStyle w:val="17"/>
              <w:spacing w:before="20"/>
              <w:ind w:left="201"/>
              <w:jc w:val="left"/>
              <w:rPr>
                <w:sz w:val="21"/>
              </w:rPr>
            </w:pPr>
            <w:r>
              <w:rPr>
                <w:sz w:val="21"/>
              </w:rPr>
              <w:t>小时值</w:t>
            </w:r>
          </w:p>
        </w:tc>
        <w:tc>
          <w:tcPr>
            <w:tcW w:w="1259" w:type="dxa"/>
          </w:tcPr>
          <w:p w14:paraId="16D29BA2">
            <w:pPr>
              <w:pStyle w:val="17"/>
              <w:spacing w:before="34"/>
              <w:ind w:left="188" w:right="180"/>
              <w:rPr>
                <w:rFonts w:ascii="Times New Roman"/>
                <w:sz w:val="21"/>
              </w:rPr>
            </w:pPr>
            <w:r>
              <w:rPr>
                <w:rFonts w:ascii="Times New Roman"/>
                <w:sz w:val="21"/>
              </w:rPr>
              <w:t>1.61E-01</w:t>
            </w:r>
          </w:p>
        </w:tc>
        <w:tc>
          <w:tcPr>
            <w:tcW w:w="1317" w:type="dxa"/>
          </w:tcPr>
          <w:p w14:paraId="20DBE54C">
            <w:pPr>
              <w:pStyle w:val="17"/>
              <w:spacing w:before="34"/>
              <w:ind w:left="108" w:right="98"/>
              <w:rPr>
                <w:rFonts w:ascii="Times New Roman"/>
                <w:sz w:val="21"/>
              </w:rPr>
            </w:pPr>
            <w:r>
              <w:rPr>
                <w:rFonts w:ascii="Times New Roman"/>
                <w:sz w:val="21"/>
              </w:rPr>
              <w:t>23082004</w:t>
            </w:r>
          </w:p>
        </w:tc>
        <w:tc>
          <w:tcPr>
            <w:tcW w:w="1230" w:type="dxa"/>
          </w:tcPr>
          <w:p w14:paraId="31912A2C">
            <w:pPr>
              <w:pStyle w:val="17"/>
              <w:spacing w:before="34"/>
              <w:ind w:left="175" w:right="166"/>
              <w:rPr>
                <w:rFonts w:ascii="Times New Roman"/>
                <w:sz w:val="21"/>
              </w:rPr>
            </w:pPr>
            <w:r>
              <w:rPr>
                <w:rFonts w:ascii="Times New Roman"/>
                <w:sz w:val="21"/>
              </w:rPr>
              <w:t>0.00E+00</w:t>
            </w:r>
          </w:p>
        </w:tc>
        <w:tc>
          <w:tcPr>
            <w:tcW w:w="1725" w:type="dxa"/>
          </w:tcPr>
          <w:p w14:paraId="72274E2A">
            <w:pPr>
              <w:pStyle w:val="17"/>
              <w:spacing w:before="34"/>
              <w:ind w:left="417" w:right="413"/>
              <w:rPr>
                <w:rFonts w:ascii="Times New Roman"/>
                <w:sz w:val="21"/>
              </w:rPr>
            </w:pPr>
            <w:r>
              <w:rPr>
                <w:rFonts w:ascii="Times New Roman"/>
                <w:sz w:val="21"/>
              </w:rPr>
              <w:t>1.61E-01</w:t>
            </w:r>
          </w:p>
        </w:tc>
        <w:tc>
          <w:tcPr>
            <w:tcW w:w="1230" w:type="dxa"/>
          </w:tcPr>
          <w:p w14:paraId="2509EF48">
            <w:pPr>
              <w:pStyle w:val="17"/>
              <w:spacing w:before="34"/>
              <w:ind w:left="174" w:right="166"/>
              <w:rPr>
                <w:rFonts w:ascii="Times New Roman"/>
                <w:sz w:val="21"/>
              </w:rPr>
            </w:pPr>
            <w:r>
              <w:rPr>
                <w:rFonts w:ascii="Times New Roman"/>
                <w:sz w:val="21"/>
              </w:rPr>
              <w:t>4.50E+02</w:t>
            </w:r>
          </w:p>
        </w:tc>
        <w:tc>
          <w:tcPr>
            <w:tcW w:w="1517" w:type="dxa"/>
          </w:tcPr>
          <w:p w14:paraId="02E1FD5F">
            <w:pPr>
              <w:pStyle w:val="17"/>
              <w:spacing w:before="34"/>
              <w:ind w:left="499" w:right="492"/>
              <w:rPr>
                <w:rFonts w:ascii="Times New Roman"/>
                <w:sz w:val="21"/>
              </w:rPr>
            </w:pPr>
            <w:r>
              <w:rPr>
                <w:rFonts w:ascii="Times New Roman"/>
                <w:sz w:val="21"/>
              </w:rPr>
              <w:t>0.04</w:t>
            </w:r>
          </w:p>
        </w:tc>
        <w:tc>
          <w:tcPr>
            <w:tcW w:w="712" w:type="dxa"/>
            <w:tcBorders>
              <w:right w:val="nil"/>
            </w:tcBorders>
          </w:tcPr>
          <w:p w14:paraId="12FF82BE">
            <w:pPr>
              <w:pStyle w:val="17"/>
              <w:spacing w:before="20"/>
              <w:ind w:left="122" w:right="121"/>
              <w:rPr>
                <w:sz w:val="21"/>
              </w:rPr>
            </w:pPr>
            <w:r>
              <w:rPr>
                <w:sz w:val="21"/>
              </w:rPr>
              <w:t>达标</w:t>
            </w:r>
          </w:p>
        </w:tc>
      </w:tr>
      <w:tr w14:paraId="1E02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686C5E2">
            <w:pPr>
              <w:pStyle w:val="17"/>
              <w:jc w:val="left"/>
              <w:rPr>
                <w:rFonts w:ascii="Times New Roman"/>
                <w:sz w:val="20"/>
              </w:rPr>
            </w:pPr>
          </w:p>
        </w:tc>
        <w:tc>
          <w:tcPr>
            <w:tcW w:w="1265" w:type="dxa"/>
          </w:tcPr>
          <w:p w14:paraId="58C0D9A1">
            <w:pPr>
              <w:pStyle w:val="17"/>
              <w:jc w:val="left"/>
              <w:rPr>
                <w:rFonts w:ascii="Times New Roman"/>
                <w:sz w:val="20"/>
              </w:rPr>
            </w:pPr>
          </w:p>
        </w:tc>
        <w:tc>
          <w:tcPr>
            <w:tcW w:w="771" w:type="dxa"/>
          </w:tcPr>
          <w:p w14:paraId="108BC737">
            <w:pPr>
              <w:pStyle w:val="17"/>
              <w:jc w:val="left"/>
              <w:rPr>
                <w:rFonts w:ascii="Times New Roman"/>
                <w:sz w:val="20"/>
              </w:rPr>
            </w:pPr>
          </w:p>
        </w:tc>
        <w:tc>
          <w:tcPr>
            <w:tcW w:w="772" w:type="dxa"/>
          </w:tcPr>
          <w:p w14:paraId="4FB12F5F">
            <w:pPr>
              <w:pStyle w:val="17"/>
              <w:jc w:val="left"/>
              <w:rPr>
                <w:rFonts w:ascii="Times New Roman"/>
                <w:sz w:val="20"/>
              </w:rPr>
            </w:pPr>
          </w:p>
        </w:tc>
        <w:tc>
          <w:tcPr>
            <w:tcW w:w="921" w:type="dxa"/>
          </w:tcPr>
          <w:p w14:paraId="2765C3DF">
            <w:pPr>
              <w:pStyle w:val="17"/>
              <w:jc w:val="left"/>
              <w:rPr>
                <w:rFonts w:ascii="Times New Roman"/>
                <w:sz w:val="20"/>
              </w:rPr>
            </w:pPr>
          </w:p>
        </w:tc>
        <w:tc>
          <w:tcPr>
            <w:tcW w:w="1035" w:type="dxa"/>
          </w:tcPr>
          <w:p w14:paraId="24A2EC6A">
            <w:pPr>
              <w:pStyle w:val="17"/>
              <w:spacing w:before="19"/>
              <w:ind w:left="201"/>
              <w:jc w:val="left"/>
              <w:rPr>
                <w:sz w:val="21"/>
              </w:rPr>
            </w:pPr>
            <w:r>
              <w:rPr>
                <w:sz w:val="21"/>
              </w:rPr>
              <w:t>日均值</w:t>
            </w:r>
          </w:p>
        </w:tc>
        <w:tc>
          <w:tcPr>
            <w:tcW w:w="1259" w:type="dxa"/>
          </w:tcPr>
          <w:p w14:paraId="420FC3F2">
            <w:pPr>
              <w:pStyle w:val="17"/>
              <w:spacing w:before="33"/>
              <w:ind w:left="188" w:right="180"/>
              <w:rPr>
                <w:rFonts w:ascii="Times New Roman"/>
                <w:sz w:val="21"/>
              </w:rPr>
            </w:pPr>
            <w:r>
              <w:rPr>
                <w:rFonts w:ascii="Times New Roman"/>
                <w:sz w:val="21"/>
              </w:rPr>
              <w:t>9.25E-03</w:t>
            </w:r>
          </w:p>
        </w:tc>
        <w:tc>
          <w:tcPr>
            <w:tcW w:w="1317" w:type="dxa"/>
          </w:tcPr>
          <w:p w14:paraId="699E9CE5">
            <w:pPr>
              <w:pStyle w:val="17"/>
              <w:spacing w:before="33"/>
              <w:ind w:left="108" w:right="98"/>
              <w:rPr>
                <w:rFonts w:ascii="Times New Roman"/>
                <w:sz w:val="21"/>
              </w:rPr>
            </w:pPr>
            <w:r>
              <w:rPr>
                <w:rFonts w:ascii="Times New Roman"/>
                <w:sz w:val="21"/>
              </w:rPr>
              <w:t>230907</w:t>
            </w:r>
          </w:p>
        </w:tc>
        <w:tc>
          <w:tcPr>
            <w:tcW w:w="1230" w:type="dxa"/>
          </w:tcPr>
          <w:p w14:paraId="0CEEE4AE">
            <w:pPr>
              <w:pStyle w:val="17"/>
              <w:spacing w:before="33"/>
              <w:ind w:left="175" w:right="166"/>
              <w:rPr>
                <w:rFonts w:ascii="Times New Roman"/>
                <w:sz w:val="21"/>
              </w:rPr>
            </w:pPr>
            <w:r>
              <w:rPr>
                <w:rFonts w:ascii="Times New Roman"/>
                <w:sz w:val="21"/>
              </w:rPr>
              <w:t>0.00E+00</w:t>
            </w:r>
          </w:p>
        </w:tc>
        <w:tc>
          <w:tcPr>
            <w:tcW w:w="1725" w:type="dxa"/>
          </w:tcPr>
          <w:p w14:paraId="457EBB8F">
            <w:pPr>
              <w:pStyle w:val="17"/>
              <w:spacing w:before="33"/>
              <w:ind w:left="417" w:right="413"/>
              <w:rPr>
                <w:rFonts w:ascii="Times New Roman"/>
                <w:sz w:val="21"/>
              </w:rPr>
            </w:pPr>
            <w:r>
              <w:rPr>
                <w:rFonts w:ascii="Times New Roman"/>
                <w:sz w:val="21"/>
              </w:rPr>
              <w:t>9.25E-03</w:t>
            </w:r>
          </w:p>
        </w:tc>
        <w:tc>
          <w:tcPr>
            <w:tcW w:w="1230" w:type="dxa"/>
          </w:tcPr>
          <w:p w14:paraId="07C23891">
            <w:pPr>
              <w:pStyle w:val="17"/>
              <w:spacing w:before="33"/>
              <w:ind w:left="174" w:right="166"/>
              <w:rPr>
                <w:rFonts w:ascii="Times New Roman"/>
                <w:sz w:val="21"/>
              </w:rPr>
            </w:pPr>
            <w:r>
              <w:rPr>
                <w:rFonts w:ascii="Times New Roman"/>
                <w:sz w:val="21"/>
              </w:rPr>
              <w:t>1.50E+02</w:t>
            </w:r>
          </w:p>
        </w:tc>
        <w:tc>
          <w:tcPr>
            <w:tcW w:w="1517" w:type="dxa"/>
          </w:tcPr>
          <w:p w14:paraId="7ABA771E">
            <w:pPr>
              <w:pStyle w:val="17"/>
              <w:spacing w:before="33"/>
              <w:ind w:left="499" w:right="492"/>
              <w:rPr>
                <w:rFonts w:ascii="Times New Roman"/>
                <w:sz w:val="21"/>
              </w:rPr>
            </w:pPr>
            <w:r>
              <w:rPr>
                <w:rFonts w:ascii="Times New Roman"/>
                <w:sz w:val="21"/>
              </w:rPr>
              <w:t>0.01</w:t>
            </w:r>
          </w:p>
        </w:tc>
        <w:tc>
          <w:tcPr>
            <w:tcW w:w="712" w:type="dxa"/>
            <w:tcBorders>
              <w:right w:val="nil"/>
            </w:tcBorders>
          </w:tcPr>
          <w:p w14:paraId="20D98DBF">
            <w:pPr>
              <w:pStyle w:val="17"/>
              <w:spacing w:before="19"/>
              <w:ind w:left="122" w:right="121"/>
              <w:rPr>
                <w:sz w:val="21"/>
              </w:rPr>
            </w:pPr>
            <w:r>
              <w:rPr>
                <w:sz w:val="21"/>
              </w:rPr>
              <w:t>达标</w:t>
            </w:r>
          </w:p>
        </w:tc>
      </w:tr>
      <w:tr w14:paraId="07DF8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E6238FF">
            <w:pPr>
              <w:pStyle w:val="17"/>
              <w:jc w:val="left"/>
              <w:rPr>
                <w:rFonts w:ascii="Times New Roman"/>
                <w:sz w:val="20"/>
              </w:rPr>
            </w:pPr>
          </w:p>
        </w:tc>
        <w:tc>
          <w:tcPr>
            <w:tcW w:w="1265" w:type="dxa"/>
          </w:tcPr>
          <w:p w14:paraId="2994A695">
            <w:pPr>
              <w:pStyle w:val="17"/>
              <w:jc w:val="left"/>
              <w:rPr>
                <w:rFonts w:ascii="Times New Roman"/>
                <w:sz w:val="20"/>
              </w:rPr>
            </w:pPr>
          </w:p>
        </w:tc>
        <w:tc>
          <w:tcPr>
            <w:tcW w:w="771" w:type="dxa"/>
          </w:tcPr>
          <w:p w14:paraId="67BE76D7">
            <w:pPr>
              <w:pStyle w:val="17"/>
              <w:jc w:val="left"/>
              <w:rPr>
                <w:rFonts w:ascii="Times New Roman"/>
                <w:sz w:val="20"/>
              </w:rPr>
            </w:pPr>
          </w:p>
        </w:tc>
        <w:tc>
          <w:tcPr>
            <w:tcW w:w="772" w:type="dxa"/>
          </w:tcPr>
          <w:p w14:paraId="73539DB5">
            <w:pPr>
              <w:pStyle w:val="17"/>
              <w:jc w:val="left"/>
              <w:rPr>
                <w:rFonts w:ascii="Times New Roman"/>
                <w:sz w:val="20"/>
              </w:rPr>
            </w:pPr>
          </w:p>
        </w:tc>
        <w:tc>
          <w:tcPr>
            <w:tcW w:w="921" w:type="dxa"/>
          </w:tcPr>
          <w:p w14:paraId="1230676A">
            <w:pPr>
              <w:pStyle w:val="17"/>
              <w:jc w:val="left"/>
              <w:rPr>
                <w:rFonts w:ascii="Times New Roman"/>
                <w:sz w:val="20"/>
              </w:rPr>
            </w:pPr>
          </w:p>
        </w:tc>
        <w:tc>
          <w:tcPr>
            <w:tcW w:w="1035" w:type="dxa"/>
          </w:tcPr>
          <w:p w14:paraId="2A1D2C8C">
            <w:pPr>
              <w:pStyle w:val="17"/>
              <w:spacing w:before="19"/>
              <w:ind w:left="201"/>
              <w:jc w:val="left"/>
              <w:rPr>
                <w:sz w:val="21"/>
              </w:rPr>
            </w:pPr>
            <w:r>
              <w:rPr>
                <w:sz w:val="21"/>
              </w:rPr>
              <w:t>年均值</w:t>
            </w:r>
          </w:p>
        </w:tc>
        <w:tc>
          <w:tcPr>
            <w:tcW w:w="1259" w:type="dxa"/>
          </w:tcPr>
          <w:p w14:paraId="18B0A13F">
            <w:pPr>
              <w:pStyle w:val="17"/>
              <w:spacing w:before="33"/>
              <w:ind w:left="188" w:right="180"/>
              <w:rPr>
                <w:rFonts w:ascii="Times New Roman"/>
                <w:sz w:val="21"/>
              </w:rPr>
            </w:pPr>
            <w:r>
              <w:rPr>
                <w:rFonts w:ascii="Times New Roman"/>
                <w:sz w:val="21"/>
              </w:rPr>
              <w:t>6.70E-04</w:t>
            </w:r>
          </w:p>
        </w:tc>
        <w:tc>
          <w:tcPr>
            <w:tcW w:w="1317" w:type="dxa"/>
          </w:tcPr>
          <w:p w14:paraId="5DC3D877">
            <w:pPr>
              <w:pStyle w:val="17"/>
              <w:spacing w:before="19"/>
              <w:ind w:left="107" w:right="98"/>
              <w:rPr>
                <w:sz w:val="21"/>
              </w:rPr>
            </w:pPr>
            <w:r>
              <w:rPr>
                <w:sz w:val="21"/>
              </w:rPr>
              <w:t>平均值</w:t>
            </w:r>
          </w:p>
        </w:tc>
        <w:tc>
          <w:tcPr>
            <w:tcW w:w="1230" w:type="dxa"/>
          </w:tcPr>
          <w:p w14:paraId="576D429E">
            <w:pPr>
              <w:pStyle w:val="17"/>
              <w:spacing w:before="33"/>
              <w:ind w:left="175" w:right="166"/>
              <w:rPr>
                <w:rFonts w:ascii="Times New Roman"/>
                <w:sz w:val="21"/>
              </w:rPr>
            </w:pPr>
            <w:r>
              <w:rPr>
                <w:rFonts w:ascii="Times New Roman"/>
                <w:sz w:val="21"/>
              </w:rPr>
              <w:t>0.00E+00</w:t>
            </w:r>
          </w:p>
        </w:tc>
        <w:tc>
          <w:tcPr>
            <w:tcW w:w="1725" w:type="dxa"/>
          </w:tcPr>
          <w:p w14:paraId="46705F09">
            <w:pPr>
              <w:pStyle w:val="17"/>
              <w:spacing w:before="33"/>
              <w:ind w:left="417" w:right="413"/>
              <w:rPr>
                <w:rFonts w:ascii="Times New Roman"/>
                <w:sz w:val="21"/>
              </w:rPr>
            </w:pPr>
            <w:r>
              <w:rPr>
                <w:rFonts w:ascii="Times New Roman"/>
                <w:sz w:val="21"/>
              </w:rPr>
              <w:t>6.70E-04</w:t>
            </w:r>
          </w:p>
        </w:tc>
        <w:tc>
          <w:tcPr>
            <w:tcW w:w="1230" w:type="dxa"/>
          </w:tcPr>
          <w:p w14:paraId="69ADA3BD">
            <w:pPr>
              <w:pStyle w:val="17"/>
              <w:spacing w:before="33"/>
              <w:ind w:left="174" w:right="166"/>
              <w:rPr>
                <w:rFonts w:ascii="Times New Roman"/>
                <w:sz w:val="21"/>
              </w:rPr>
            </w:pPr>
            <w:r>
              <w:rPr>
                <w:rFonts w:ascii="Times New Roman"/>
                <w:sz w:val="21"/>
              </w:rPr>
              <w:t>7.00E+01</w:t>
            </w:r>
          </w:p>
        </w:tc>
        <w:tc>
          <w:tcPr>
            <w:tcW w:w="1517" w:type="dxa"/>
          </w:tcPr>
          <w:p w14:paraId="2C3A0A9B">
            <w:pPr>
              <w:pStyle w:val="17"/>
              <w:spacing w:before="33"/>
              <w:ind w:left="499" w:right="492"/>
              <w:rPr>
                <w:rFonts w:ascii="Times New Roman"/>
                <w:sz w:val="21"/>
              </w:rPr>
            </w:pPr>
            <w:r>
              <w:rPr>
                <w:rFonts w:ascii="Times New Roman"/>
                <w:sz w:val="21"/>
              </w:rPr>
              <w:t>0.00</w:t>
            </w:r>
          </w:p>
        </w:tc>
        <w:tc>
          <w:tcPr>
            <w:tcW w:w="712" w:type="dxa"/>
            <w:tcBorders>
              <w:right w:val="nil"/>
            </w:tcBorders>
          </w:tcPr>
          <w:p w14:paraId="30F52E80">
            <w:pPr>
              <w:pStyle w:val="17"/>
              <w:spacing w:before="19"/>
              <w:ind w:left="122" w:right="121"/>
              <w:rPr>
                <w:sz w:val="21"/>
              </w:rPr>
            </w:pPr>
            <w:r>
              <w:rPr>
                <w:sz w:val="21"/>
              </w:rPr>
              <w:t>达标</w:t>
            </w:r>
          </w:p>
        </w:tc>
      </w:tr>
      <w:tr w14:paraId="26B1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7A74DE0">
            <w:pPr>
              <w:pStyle w:val="17"/>
              <w:spacing w:before="35"/>
              <w:ind w:right="169"/>
              <w:jc w:val="right"/>
              <w:rPr>
                <w:rFonts w:ascii="Times New Roman"/>
                <w:sz w:val="21"/>
              </w:rPr>
            </w:pPr>
            <w:r>
              <w:rPr>
                <w:rFonts w:ascii="Times New Roman"/>
                <w:w w:val="99"/>
                <w:sz w:val="21"/>
              </w:rPr>
              <w:t>4</w:t>
            </w:r>
          </w:p>
        </w:tc>
        <w:tc>
          <w:tcPr>
            <w:tcW w:w="1265" w:type="dxa"/>
          </w:tcPr>
          <w:p w14:paraId="0EE27068">
            <w:pPr>
              <w:pStyle w:val="17"/>
              <w:spacing w:before="21"/>
              <w:ind w:left="189" w:right="186"/>
              <w:rPr>
                <w:sz w:val="21"/>
              </w:rPr>
            </w:pPr>
            <w:r>
              <w:rPr>
                <w:sz w:val="21"/>
              </w:rPr>
              <w:t>童家塅村</w:t>
            </w:r>
          </w:p>
        </w:tc>
        <w:tc>
          <w:tcPr>
            <w:tcW w:w="771" w:type="dxa"/>
          </w:tcPr>
          <w:p w14:paraId="1DEF2A5C">
            <w:pPr>
              <w:pStyle w:val="17"/>
              <w:spacing w:before="35"/>
              <w:ind w:right="129"/>
              <w:jc w:val="right"/>
              <w:rPr>
                <w:rFonts w:ascii="Times New Roman"/>
                <w:sz w:val="21"/>
              </w:rPr>
            </w:pPr>
            <w:r>
              <w:rPr>
                <w:rFonts w:ascii="Times New Roman"/>
                <w:w w:val="95"/>
                <w:sz w:val="21"/>
              </w:rPr>
              <w:t>-4436</w:t>
            </w:r>
          </w:p>
        </w:tc>
        <w:tc>
          <w:tcPr>
            <w:tcW w:w="772" w:type="dxa"/>
          </w:tcPr>
          <w:p w14:paraId="738C0537">
            <w:pPr>
              <w:pStyle w:val="17"/>
              <w:spacing w:before="35"/>
              <w:ind w:left="226"/>
              <w:jc w:val="left"/>
              <w:rPr>
                <w:rFonts w:ascii="Times New Roman"/>
                <w:sz w:val="21"/>
              </w:rPr>
            </w:pPr>
            <w:r>
              <w:rPr>
                <w:rFonts w:ascii="Times New Roman"/>
                <w:sz w:val="21"/>
              </w:rPr>
              <w:t>374</w:t>
            </w:r>
          </w:p>
        </w:tc>
        <w:tc>
          <w:tcPr>
            <w:tcW w:w="921" w:type="dxa"/>
          </w:tcPr>
          <w:p w14:paraId="38EA903B">
            <w:pPr>
              <w:pStyle w:val="17"/>
              <w:spacing w:before="35"/>
              <w:ind w:left="203" w:right="195"/>
              <w:rPr>
                <w:rFonts w:ascii="Times New Roman"/>
                <w:sz w:val="21"/>
              </w:rPr>
            </w:pPr>
            <w:r>
              <w:rPr>
                <w:rFonts w:ascii="Times New Roman"/>
                <w:sz w:val="21"/>
              </w:rPr>
              <w:t>43.33</w:t>
            </w:r>
          </w:p>
        </w:tc>
        <w:tc>
          <w:tcPr>
            <w:tcW w:w="1035" w:type="dxa"/>
          </w:tcPr>
          <w:p w14:paraId="71F7161A">
            <w:pPr>
              <w:pStyle w:val="17"/>
              <w:spacing w:before="18"/>
              <w:ind w:left="201"/>
              <w:jc w:val="left"/>
              <w:rPr>
                <w:sz w:val="21"/>
              </w:rPr>
            </w:pPr>
            <w:r>
              <w:rPr>
                <w:sz w:val="21"/>
              </w:rPr>
              <w:t>小时值</w:t>
            </w:r>
          </w:p>
        </w:tc>
        <w:tc>
          <w:tcPr>
            <w:tcW w:w="1259" w:type="dxa"/>
          </w:tcPr>
          <w:p w14:paraId="5EDA3503">
            <w:pPr>
              <w:pStyle w:val="17"/>
              <w:spacing w:before="35"/>
              <w:ind w:left="188" w:right="180"/>
              <w:rPr>
                <w:rFonts w:ascii="Times New Roman"/>
                <w:sz w:val="21"/>
              </w:rPr>
            </w:pPr>
            <w:r>
              <w:rPr>
                <w:rFonts w:ascii="Times New Roman"/>
                <w:sz w:val="21"/>
              </w:rPr>
              <w:t>6.71E-02</w:t>
            </w:r>
          </w:p>
        </w:tc>
        <w:tc>
          <w:tcPr>
            <w:tcW w:w="1317" w:type="dxa"/>
          </w:tcPr>
          <w:p w14:paraId="22B7DB2D">
            <w:pPr>
              <w:pStyle w:val="17"/>
              <w:spacing w:before="35"/>
              <w:ind w:left="108" w:right="98"/>
              <w:rPr>
                <w:rFonts w:ascii="Times New Roman"/>
                <w:sz w:val="21"/>
              </w:rPr>
            </w:pPr>
            <w:r>
              <w:rPr>
                <w:rFonts w:ascii="Times New Roman"/>
                <w:sz w:val="21"/>
              </w:rPr>
              <w:t>23090807</w:t>
            </w:r>
          </w:p>
        </w:tc>
        <w:tc>
          <w:tcPr>
            <w:tcW w:w="1230" w:type="dxa"/>
          </w:tcPr>
          <w:p w14:paraId="45FB675B">
            <w:pPr>
              <w:pStyle w:val="17"/>
              <w:spacing w:before="35"/>
              <w:ind w:left="175" w:right="166"/>
              <w:rPr>
                <w:rFonts w:ascii="Times New Roman"/>
                <w:sz w:val="21"/>
              </w:rPr>
            </w:pPr>
            <w:r>
              <w:rPr>
                <w:rFonts w:ascii="Times New Roman"/>
                <w:sz w:val="21"/>
              </w:rPr>
              <w:t>0.00E+00</w:t>
            </w:r>
          </w:p>
        </w:tc>
        <w:tc>
          <w:tcPr>
            <w:tcW w:w="1725" w:type="dxa"/>
          </w:tcPr>
          <w:p w14:paraId="64E67496">
            <w:pPr>
              <w:pStyle w:val="17"/>
              <w:spacing w:before="35"/>
              <w:ind w:left="417" w:right="413"/>
              <w:rPr>
                <w:rFonts w:ascii="Times New Roman"/>
                <w:sz w:val="21"/>
              </w:rPr>
            </w:pPr>
            <w:r>
              <w:rPr>
                <w:rFonts w:ascii="Times New Roman"/>
                <w:sz w:val="21"/>
              </w:rPr>
              <w:t>6.71E-02</w:t>
            </w:r>
          </w:p>
        </w:tc>
        <w:tc>
          <w:tcPr>
            <w:tcW w:w="1230" w:type="dxa"/>
          </w:tcPr>
          <w:p w14:paraId="1DB92ABD">
            <w:pPr>
              <w:pStyle w:val="17"/>
              <w:spacing w:before="35"/>
              <w:ind w:left="174" w:right="166"/>
              <w:rPr>
                <w:rFonts w:ascii="Times New Roman"/>
                <w:sz w:val="21"/>
              </w:rPr>
            </w:pPr>
            <w:r>
              <w:rPr>
                <w:rFonts w:ascii="Times New Roman"/>
                <w:sz w:val="21"/>
              </w:rPr>
              <w:t>4.50E+02</w:t>
            </w:r>
          </w:p>
        </w:tc>
        <w:tc>
          <w:tcPr>
            <w:tcW w:w="1517" w:type="dxa"/>
          </w:tcPr>
          <w:p w14:paraId="4DB46148">
            <w:pPr>
              <w:pStyle w:val="17"/>
              <w:spacing w:before="35"/>
              <w:ind w:left="499" w:right="492"/>
              <w:rPr>
                <w:rFonts w:ascii="Times New Roman"/>
                <w:sz w:val="21"/>
              </w:rPr>
            </w:pPr>
            <w:r>
              <w:rPr>
                <w:rFonts w:ascii="Times New Roman"/>
                <w:sz w:val="21"/>
              </w:rPr>
              <w:t>0.01</w:t>
            </w:r>
          </w:p>
        </w:tc>
        <w:tc>
          <w:tcPr>
            <w:tcW w:w="712" w:type="dxa"/>
            <w:tcBorders>
              <w:right w:val="nil"/>
            </w:tcBorders>
          </w:tcPr>
          <w:p w14:paraId="424A54AF">
            <w:pPr>
              <w:pStyle w:val="17"/>
              <w:spacing w:before="18"/>
              <w:ind w:left="122" w:right="121"/>
              <w:rPr>
                <w:sz w:val="21"/>
              </w:rPr>
            </w:pPr>
            <w:r>
              <w:rPr>
                <w:sz w:val="21"/>
              </w:rPr>
              <w:t>达标</w:t>
            </w:r>
          </w:p>
        </w:tc>
      </w:tr>
      <w:tr w14:paraId="0CE39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0B512D8">
            <w:pPr>
              <w:pStyle w:val="17"/>
              <w:jc w:val="left"/>
              <w:rPr>
                <w:rFonts w:ascii="Times New Roman"/>
                <w:sz w:val="20"/>
              </w:rPr>
            </w:pPr>
          </w:p>
        </w:tc>
        <w:tc>
          <w:tcPr>
            <w:tcW w:w="1265" w:type="dxa"/>
          </w:tcPr>
          <w:p w14:paraId="2A5BEFE7">
            <w:pPr>
              <w:pStyle w:val="17"/>
              <w:jc w:val="left"/>
              <w:rPr>
                <w:rFonts w:ascii="Times New Roman"/>
                <w:sz w:val="20"/>
              </w:rPr>
            </w:pPr>
          </w:p>
        </w:tc>
        <w:tc>
          <w:tcPr>
            <w:tcW w:w="771" w:type="dxa"/>
          </w:tcPr>
          <w:p w14:paraId="7F40014F">
            <w:pPr>
              <w:pStyle w:val="17"/>
              <w:jc w:val="left"/>
              <w:rPr>
                <w:rFonts w:ascii="Times New Roman"/>
                <w:sz w:val="20"/>
              </w:rPr>
            </w:pPr>
          </w:p>
        </w:tc>
        <w:tc>
          <w:tcPr>
            <w:tcW w:w="772" w:type="dxa"/>
          </w:tcPr>
          <w:p w14:paraId="6DB6FC6B">
            <w:pPr>
              <w:pStyle w:val="17"/>
              <w:jc w:val="left"/>
              <w:rPr>
                <w:rFonts w:ascii="Times New Roman"/>
                <w:sz w:val="20"/>
              </w:rPr>
            </w:pPr>
          </w:p>
        </w:tc>
        <w:tc>
          <w:tcPr>
            <w:tcW w:w="921" w:type="dxa"/>
          </w:tcPr>
          <w:p w14:paraId="6EC24193">
            <w:pPr>
              <w:pStyle w:val="17"/>
              <w:jc w:val="left"/>
              <w:rPr>
                <w:rFonts w:ascii="Times New Roman"/>
                <w:sz w:val="20"/>
              </w:rPr>
            </w:pPr>
          </w:p>
        </w:tc>
        <w:tc>
          <w:tcPr>
            <w:tcW w:w="1035" w:type="dxa"/>
          </w:tcPr>
          <w:p w14:paraId="48A337AE">
            <w:pPr>
              <w:pStyle w:val="17"/>
              <w:spacing w:before="18"/>
              <w:ind w:left="201"/>
              <w:jc w:val="left"/>
              <w:rPr>
                <w:sz w:val="21"/>
              </w:rPr>
            </w:pPr>
            <w:r>
              <w:rPr>
                <w:sz w:val="21"/>
              </w:rPr>
              <w:t>日均值</w:t>
            </w:r>
          </w:p>
        </w:tc>
        <w:tc>
          <w:tcPr>
            <w:tcW w:w="1259" w:type="dxa"/>
          </w:tcPr>
          <w:p w14:paraId="09E27146">
            <w:pPr>
              <w:pStyle w:val="17"/>
              <w:spacing w:before="34"/>
              <w:ind w:left="188" w:right="180"/>
              <w:rPr>
                <w:rFonts w:ascii="Times New Roman"/>
                <w:sz w:val="21"/>
              </w:rPr>
            </w:pPr>
            <w:r>
              <w:rPr>
                <w:rFonts w:ascii="Times New Roman"/>
                <w:sz w:val="21"/>
              </w:rPr>
              <w:t>4.94E-03</w:t>
            </w:r>
          </w:p>
        </w:tc>
        <w:tc>
          <w:tcPr>
            <w:tcW w:w="1317" w:type="dxa"/>
          </w:tcPr>
          <w:p w14:paraId="4CC0247F">
            <w:pPr>
              <w:pStyle w:val="17"/>
              <w:spacing w:before="34"/>
              <w:ind w:left="108" w:right="98"/>
              <w:rPr>
                <w:rFonts w:ascii="Times New Roman"/>
                <w:sz w:val="21"/>
              </w:rPr>
            </w:pPr>
            <w:r>
              <w:rPr>
                <w:rFonts w:ascii="Times New Roman"/>
                <w:sz w:val="21"/>
              </w:rPr>
              <w:t>230816</w:t>
            </w:r>
          </w:p>
        </w:tc>
        <w:tc>
          <w:tcPr>
            <w:tcW w:w="1230" w:type="dxa"/>
          </w:tcPr>
          <w:p w14:paraId="3C7C082E">
            <w:pPr>
              <w:pStyle w:val="17"/>
              <w:spacing w:before="34"/>
              <w:ind w:left="175" w:right="166"/>
              <w:rPr>
                <w:rFonts w:ascii="Times New Roman"/>
                <w:sz w:val="21"/>
              </w:rPr>
            </w:pPr>
            <w:r>
              <w:rPr>
                <w:rFonts w:ascii="Times New Roman"/>
                <w:sz w:val="21"/>
              </w:rPr>
              <w:t>0.00E+00</w:t>
            </w:r>
          </w:p>
        </w:tc>
        <w:tc>
          <w:tcPr>
            <w:tcW w:w="1725" w:type="dxa"/>
          </w:tcPr>
          <w:p w14:paraId="23F7DB3A">
            <w:pPr>
              <w:pStyle w:val="17"/>
              <w:spacing w:before="34"/>
              <w:ind w:left="417" w:right="413"/>
              <w:rPr>
                <w:rFonts w:ascii="Times New Roman"/>
                <w:sz w:val="21"/>
              </w:rPr>
            </w:pPr>
            <w:r>
              <w:rPr>
                <w:rFonts w:ascii="Times New Roman"/>
                <w:sz w:val="21"/>
              </w:rPr>
              <w:t>4.94E-03</w:t>
            </w:r>
          </w:p>
        </w:tc>
        <w:tc>
          <w:tcPr>
            <w:tcW w:w="1230" w:type="dxa"/>
          </w:tcPr>
          <w:p w14:paraId="663E5425">
            <w:pPr>
              <w:pStyle w:val="17"/>
              <w:spacing w:before="34"/>
              <w:ind w:left="174" w:right="166"/>
              <w:rPr>
                <w:rFonts w:ascii="Times New Roman"/>
                <w:sz w:val="21"/>
              </w:rPr>
            </w:pPr>
            <w:r>
              <w:rPr>
                <w:rFonts w:ascii="Times New Roman"/>
                <w:sz w:val="21"/>
              </w:rPr>
              <w:t>1.50E+02</w:t>
            </w:r>
          </w:p>
        </w:tc>
        <w:tc>
          <w:tcPr>
            <w:tcW w:w="1517" w:type="dxa"/>
          </w:tcPr>
          <w:p w14:paraId="534EA995">
            <w:pPr>
              <w:pStyle w:val="17"/>
              <w:spacing w:before="34"/>
              <w:ind w:left="499" w:right="492"/>
              <w:rPr>
                <w:rFonts w:ascii="Times New Roman"/>
                <w:sz w:val="21"/>
              </w:rPr>
            </w:pPr>
            <w:r>
              <w:rPr>
                <w:rFonts w:ascii="Times New Roman"/>
                <w:sz w:val="21"/>
              </w:rPr>
              <w:t>0.00</w:t>
            </w:r>
          </w:p>
        </w:tc>
        <w:tc>
          <w:tcPr>
            <w:tcW w:w="712" w:type="dxa"/>
            <w:tcBorders>
              <w:right w:val="nil"/>
            </w:tcBorders>
          </w:tcPr>
          <w:p w14:paraId="4DA4C094">
            <w:pPr>
              <w:pStyle w:val="17"/>
              <w:spacing w:before="18"/>
              <w:ind w:left="122" w:right="121"/>
              <w:rPr>
                <w:sz w:val="21"/>
              </w:rPr>
            </w:pPr>
            <w:r>
              <w:rPr>
                <w:sz w:val="21"/>
              </w:rPr>
              <w:t>达标</w:t>
            </w:r>
          </w:p>
        </w:tc>
      </w:tr>
      <w:tr w14:paraId="09587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6CB7ABD">
            <w:pPr>
              <w:pStyle w:val="17"/>
              <w:jc w:val="left"/>
              <w:rPr>
                <w:rFonts w:ascii="Times New Roman"/>
                <w:sz w:val="20"/>
              </w:rPr>
            </w:pPr>
          </w:p>
        </w:tc>
        <w:tc>
          <w:tcPr>
            <w:tcW w:w="1265" w:type="dxa"/>
          </w:tcPr>
          <w:p w14:paraId="2ECE6D92">
            <w:pPr>
              <w:pStyle w:val="17"/>
              <w:jc w:val="left"/>
              <w:rPr>
                <w:rFonts w:ascii="Times New Roman"/>
                <w:sz w:val="20"/>
              </w:rPr>
            </w:pPr>
          </w:p>
        </w:tc>
        <w:tc>
          <w:tcPr>
            <w:tcW w:w="771" w:type="dxa"/>
          </w:tcPr>
          <w:p w14:paraId="4AEB3D7F">
            <w:pPr>
              <w:pStyle w:val="17"/>
              <w:jc w:val="left"/>
              <w:rPr>
                <w:rFonts w:ascii="Times New Roman"/>
                <w:sz w:val="20"/>
              </w:rPr>
            </w:pPr>
          </w:p>
        </w:tc>
        <w:tc>
          <w:tcPr>
            <w:tcW w:w="772" w:type="dxa"/>
          </w:tcPr>
          <w:p w14:paraId="0C56F898">
            <w:pPr>
              <w:pStyle w:val="17"/>
              <w:jc w:val="left"/>
              <w:rPr>
                <w:rFonts w:ascii="Times New Roman"/>
                <w:sz w:val="20"/>
              </w:rPr>
            </w:pPr>
          </w:p>
        </w:tc>
        <w:tc>
          <w:tcPr>
            <w:tcW w:w="921" w:type="dxa"/>
          </w:tcPr>
          <w:p w14:paraId="4F62C864">
            <w:pPr>
              <w:pStyle w:val="17"/>
              <w:jc w:val="left"/>
              <w:rPr>
                <w:rFonts w:ascii="Times New Roman"/>
                <w:sz w:val="20"/>
              </w:rPr>
            </w:pPr>
          </w:p>
        </w:tc>
        <w:tc>
          <w:tcPr>
            <w:tcW w:w="1035" w:type="dxa"/>
          </w:tcPr>
          <w:p w14:paraId="35F4A0DB">
            <w:pPr>
              <w:pStyle w:val="17"/>
              <w:spacing w:before="18"/>
              <w:ind w:left="201"/>
              <w:jc w:val="left"/>
              <w:rPr>
                <w:sz w:val="21"/>
              </w:rPr>
            </w:pPr>
            <w:r>
              <w:rPr>
                <w:sz w:val="21"/>
              </w:rPr>
              <w:t>年均值</w:t>
            </w:r>
          </w:p>
        </w:tc>
        <w:tc>
          <w:tcPr>
            <w:tcW w:w="1259" w:type="dxa"/>
          </w:tcPr>
          <w:p w14:paraId="40DD571A">
            <w:pPr>
              <w:pStyle w:val="17"/>
              <w:spacing w:before="34"/>
              <w:ind w:left="188" w:right="180"/>
              <w:rPr>
                <w:rFonts w:ascii="Times New Roman"/>
                <w:sz w:val="21"/>
              </w:rPr>
            </w:pPr>
            <w:r>
              <w:rPr>
                <w:rFonts w:ascii="Times New Roman"/>
                <w:sz w:val="21"/>
              </w:rPr>
              <w:t>3.30E-04</w:t>
            </w:r>
          </w:p>
        </w:tc>
        <w:tc>
          <w:tcPr>
            <w:tcW w:w="1317" w:type="dxa"/>
          </w:tcPr>
          <w:p w14:paraId="149F19E3">
            <w:pPr>
              <w:pStyle w:val="17"/>
              <w:spacing w:before="18"/>
              <w:ind w:left="107" w:right="98"/>
              <w:rPr>
                <w:sz w:val="21"/>
              </w:rPr>
            </w:pPr>
            <w:r>
              <w:rPr>
                <w:sz w:val="21"/>
              </w:rPr>
              <w:t>平均值</w:t>
            </w:r>
          </w:p>
        </w:tc>
        <w:tc>
          <w:tcPr>
            <w:tcW w:w="1230" w:type="dxa"/>
          </w:tcPr>
          <w:p w14:paraId="53E2E9E5">
            <w:pPr>
              <w:pStyle w:val="17"/>
              <w:spacing w:before="34"/>
              <w:ind w:left="175" w:right="166"/>
              <w:rPr>
                <w:rFonts w:ascii="Times New Roman"/>
                <w:sz w:val="21"/>
              </w:rPr>
            </w:pPr>
            <w:r>
              <w:rPr>
                <w:rFonts w:ascii="Times New Roman"/>
                <w:sz w:val="21"/>
              </w:rPr>
              <w:t>0.00E+00</w:t>
            </w:r>
          </w:p>
        </w:tc>
        <w:tc>
          <w:tcPr>
            <w:tcW w:w="1725" w:type="dxa"/>
          </w:tcPr>
          <w:p w14:paraId="234C1601">
            <w:pPr>
              <w:pStyle w:val="17"/>
              <w:spacing w:before="34"/>
              <w:ind w:left="417" w:right="413"/>
              <w:rPr>
                <w:rFonts w:ascii="Times New Roman"/>
                <w:sz w:val="21"/>
              </w:rPr>
            </w:pPr>
            <w:r>
              <w:rPr>
                <w:rFonts w:ascii="Times New Roman"/>
                <w:sz w:val="21"/>
              </w:rPr>
              <w:t>3.30E-04</w:t>
            </w:r>
          </w:p>
        </w:tc>
        <w:tc>
          <w:tcPr>
            <w:tcW w:w="1230" w:type="dxa"/>
          </w:tcPr>
          <w:p w14:paraId="7C0136DC">
            <w:pPr>
              <w:pStyle w:val="17"/>
              <w:spacing w:before="34"/>
              <w:ind w:left="174" w:right="166"/>
              <w:rPr>
                <w:rFonts w:ascii="Times New Roman"/>
                <w:sz w:val="21"/>
              </w:rPr>
            </w:pPr>
            <w:r>
              <w:rPr>
                <w:rFonts w:ascii="Times New Roman"/>
                <w:sz w:val="21"/>
              </w:rPr>
              <w:t>7.00E+01</w:t>
            </w:r>
          </w:p>
        </w:tc>
        <w:tc>
          <w:tcPr>
            <w:tcW w:w="1517" w:type="dxa"/>
          </w:tcPr>
          <w:p w14:paraId="41E64686">
            <w:pPr>
              <w:pStyle w:val="17"/>
              <w:spacing w:before="34"/>
              <w:ind w:left="499" w:right="492"/>
              <w:rPr>
                <w:rFonts w:ascii="Times New Roman"/>
                <w:sz w:val="21"/>
              </w:rPr>
            </w:pPr>
            <w:r>
              <w:rPr>
                <w:rFonts w:ascii="Times New Roman"/>
                <w:sz w:val="21"/>
              </w:rPr>
              <w:t>0.00</w:t>
            </w:r>
          </w:p>
        </w:tc>
        <w:tc>
          <w:tcPr>
            <w:tcW w:w="712" w:type="dxa"/>
            <w:tcBorders>
              <w:right w:val="nil"/>
            </w:tcBorders>
          </w:tcPr>
          <w:p w14:paraId="7999B719">
            <w:pPr>
              <w:pStyle w:val="17"/>
              <w:spacing w:before="18"/>
              <w:ind w:left="122" w:right="121"/>
              <w:rPr>
                <w:sz w:val="21"/>
              </w:rPr>
            </w:pPr>
            <w:r>
              <w:rPr>
                <w:sz w:val="21"/>
              </w:rPr>
              <w:t>达标</w:t>
            </w:r>
          </w:p>
        </w:tc>
      </w:tr>
      <w:tr w14:paraId="17159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E4EB270">
            <w:pPr>
              <w:pStyle w:val="17"/>
              <w:spacing w:before="34"/>
              <w:ind w:right="169"/>
              <w:jc w:val="right"/>
              <w:rPr>
                <w:rFonts w:ascii="Times New Roman"/>
                <w:sz w:val="21"/>
              </w:rPr>
            </w:pPr>
            <w:r>
              <w:rPr>
                <w:rFonts w:ascii="Times New Roman"/>
                <w:w w:val="99"/>
                <w:sz w:val="21"/>
              </w:rPr>
              <w:t>5</w:t>
            </w:r>
          </w:p>
        </w:tc>
        <w:tc>
          <w:tcPr>
            <w:tcW w:w="1265" w:type="dxa"/>
          </w:tcPr>
          <w:p w14:paraId="70C7DAE0">
            <w:pPr>
              <w:pStyle w:val="17"/>
              <w:spacing w:before="20"/>
              <w:ind w:left="189" w:right="183"/>
              <w:rPr>
                <w:sz w:val="21"/>
              </w:rPr>
            </w:pPr>
            <w:r>
              <w:rPr>
                <w:sz w:val="21"/>
              </w:rPr>
              <w:t>武莲村</w:t>
            </w:r>
          </w:p>
        </w:tc>
        <w:tc>
          <w:tcPr>
            <w:tcW w:w="771" w:type="dxa"/>
          </w:tcPr>
          <w:p w14:paraId="40056CE9">
            <w:pPr>
              <w:pStyle w:val="17"/>
              <w:spacing w:before="34"/>
              <w:ind w:right="235"/>
              <w:jc w:val="right"/>
              <w:rPr>
                <w:rFonts w:ascii="Times New Roman"/>
                <w:sz w:val="21"/>
              </w:rPr>
            </w:pPr>
            <w:r>
              <w:rPr>
                <w:rFonts w:ascii="Times New Roman"/>
                <w:w w:val="95"/>
                <w:sz w:val="21"/>
              </w:rPr>
              <w:t>-63</w:t>
            </w:r>
          </w:p>
        </w:tc>
        <w:tc>
          <w:tcPr>
            <w:tcW w:w="772" w:type="dxa"/>
          </w:tcPr>
          <w:p w14:paraId="64799452">
            <w:pPr>
              <w:pStyle w:val="17"/>
              <w:spacing w:before="34"/>
              <w:ind w:right="167"/>
              <w:jc w:val="right"/>
              <w:rPr>
                <w:rFonts w:ascii="Times New Roman"/>
                <w:sz w:val="21"/>
              </w:rPr>
            </w:pPr>
            <w:r>
              <w:rPr>
                <w:rFonts w:ascii="Times New Roman"/>
                <w:sz w:val="21"/>
              </w:rPr>
              <w:t>1191</w:t>
            </w:r>
          </w:p>
        </w:tc>
        <w:tc>
          <w:tcPr>
            <w:tcW w:w="921" w:type="dxa"/>
          </w:tcPr>
          <w:p w14:paraId="43F08A43">
            <w:pPr>
              <w:pStyle w:val="17"/>
              <w:spacing w:before="34"/>
              <w:ind w:left="203" w:right="195"/>
              <w:rPr>
                <w:rFonts w:ascii="Times New Roman"/>
                <w:sz w:val="21"/>
              </w:rPr>
            </w:pPr>
            <w:r>
              <w:rPr>
                <w:rFonts w:ascii="Times New Roman"/>
                <w:sz w:val="21"/>
              </w:rPr>
              <w:t>39.28</w:t>
            </w:r>
          </w:p>
        </w:tc>
        <w:tc>
          <w:tcPr>
            <w:tcW w:w="1035" w:type="dxa"/>
          </w:tcPr>
          <w:p w14:paraId="4373B975">
            <w:pPr>
              <w:pStyle w:val="17"/>
              <w:spacing w:before="20"/>
              <w:ind w:left="201"/>
              <w:jc w:val="left"/>
              <w:rPr>
                <w:sz w:val="21"/>
              </w:rPr>
            </w:pPr>
            <w:r>
              <w:rPr>
                <w:sz w:val="21"/>
              </w:rPr>
              <w:t>小时值</w:t>
            </w:r>
          </w:p>
        </w:tc>
        <w:tc>
          <w:tcPr>
            <w:tcW w:w="1259" w:type="dxa"/>
          </w:tcPr>
          <w:p w14:paraId="662B0E77">
            <w:pPr>
              <w:pStyle w:val="17"/>
              <w:spacing w:before="34"/>
              <w:ind w:left="188" w:right="180"/>
              <w:rPr>
                <w:rFonts w:ascii="Times New Roman"/>
                <w:sz w:val="21"/>
              </w:rPr>
            </w:pPr>
            <w:r>
              <w:rPr>
                <w:rFonts w:ascii="Times New Roman"/>
                <w:sz w:val="21"/>
              </w:rPr>
              <w:t>1.22E-01</w:t>
            </w:r>
          </w:p>
        </w:tc>
        <w:tc>
          <w:tcPr>
            <w:tcW w:w="1317" w:type="dxa"/>
          </w:tcPr>
          <w:p w14:paraId="3873D2DC">
            <w:pPr>
              <w:pStyle w:val="17"/>
              <w:spacing w:before="34"/>
              <w:ind w:left="108" w:right="98"/>
              <w:rPr>
                <w:rFonts w:ascii="Times New Roman"/>
                <w:sz w:val="21"/>
              </w:rPr>
            </w:pPr>
            <w:r>
              <w:rPr>
                <w:rFonts w:ascii="Times New Roman"/>
                <w:sz w:val="21"/>
              </w:rPr>
              <w:t>23060801</w:t>
            </w:r>
          </w:p>
        </w:tc>
        <w:tc>
          <w:tcPr>
            <w:tcW w:w="1230" w:type="dxa"/>
          </w:tcPr>
          <w:p w14:paraId="12949095">
            <w:pPr>
              <w:pStyle w:val="17"/>
              <w:spacing w:before="34"/>
              <w:ind w:left="175" w:right="166"/>
              <w:rPr>
                <w:rFonts w:ascii="Times New Roman"/>
                <w:sz w:val="21"/>
              </w:rPr>
            </w:pPr>
            <w:r>
              <w:rPr>
                <w:rFonts w:ascii="Times New Roman"/>
                <w:sz w:val="21"/>
              </w:rPr>
              <w:t>0.00E+00</w:t>
            </w:r>
          </w:p>
        </w:tc>
        <w:tc>
          <w:tcPr>
            <w:tcW w:w="1725" w:type="dxa"/>
          </w:tcPr>
          <w:p w14:paraId="16E6CAE3">
            <w:pPr>
              <w:pStyle w:val="17"/>
              <w:spacing w:before="34"/>
              <w:ind w:left="417" w:right="413"/>
              <w:rPr>
                <w:rFonts w:ascii="Times New Roman"/>
                <w:sz w:val="21"/>
              </w:rPr>
            </w:pPr>
            <w:r>
              <w:rPr>
                <w:rFonts w:ascii="Times New Roman"/>
                <w:sz w:val="21"/>
              </w:rPr>
              <w:t>1.22E-01</w:t>
            </w:r>
          </w:p>
        </w:tc>
        <w:tc>
          <w:tcPr>
            <w:tcW w:w="1230" w:type="dxa"/>
          </w:tcPr>
          <w:p w14:paraId="50B8521B">
            <w:pPr>
              <w:pStyle w:val="17"/>
              <w:spacing w:before="34"/>
              <w:ind w:left="174" w:right="166"/>
              <w:rPr>
                <w:rFonts w:ascii="Times New Roman"/>
                <w:sz w:val="21"/>
              </w:rPr>
            </w:pPr>
            <w:r>
              <w:rPr>
                <w:rFonts w:ascii="Times New Roman"/>
                <w:sz w:val="21"/>
              </w:rPr>
              <w:t>4.50E+02</w:t>
            </w:r>
          </w:p>
        </w:tc>
        <w:tc>
          <w:tcPr>
            <w:tcW w:w="1517" w:type="dxa"/>
          </w:tcPr>
          <w:p w14:paraId="352075E5">
            <w:pPr>
              <w:pStyle w:val="17"/>
              <w:spacing w:before="34"/>
              <w:ind w:left="499" w:right="492"/>
              <w:rPr>
                <w:rFonts w:ascii="Times New Roman"/>
                <w:sz w:val="21"/>
              </w:rPr>
            </w:pPr>
            <w:r>
              <w:rPr>
                <w:rFonts w:ascii="Times New Roman"/>
                <w:sz w:val="21"/>
              </w:rPr>
              <w:t>0.03</w:t>
            </w:r>
          </w:p>
        </w:tc>
        <w:tc>
          <w:tcPr>
            <w:tcW w:w="712" w:type="dxa"/>
            <w:tcBorders>
              <w:right w:val="nil"/>
            </w:tcBorders>
          </w:tcPr>
          <w:p w14:paraId="260A7945">
            <w:pPr>
              <w:pStyle w:val="17"/>
              <w:spacing w:before="20"/>
              <w:ind w:left="122" w:right="121"/>
              <w:rPr>
                <w:sz w:val="21"/>
              </w:rPr>
            </w:pPr>
            <w:r>
              <w:rPr>
                <w:sz w:val="21"/>
              </w:rPr>
              <w:t>达标</w:t>
            </w:r>
          </w:p>
        </w:tc>
      </w:tr>
      <w:tr w14:paraId="5EEB0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7E58868">
            <w:pPr>
              <w:pStyle w:val="17"/>
              <w:jc w:val="left"/>
              <w:rPr>
                <w:rFonts w:ascii="Times New Roman"/>
                <w:sz w:val="20"/>
              </w:rPr>
            </w:pPr>
          </w:p>
        </w:tc>
        <w:tc>
          <w:tcPr>
            <w:tcW w:w="1265" w:type="dxa"/>
          </w:tcPr>
          <w:p w14:paraId="12FA7049">
            <w:pPr>
              <w:pStyle w:val="17"/>
              <w:jc w:val="left"/>
              <w:rPr>
                <w:rFonts w:ascii="Times New Roman"/>
                <w:sz w:val="20"/>
              </w:rPr>
            </w:pPr>
          </w:p>
        </w:tc>
        <w:tc>
          <w:tcPr>
            <w:tcW w:w="771" w:type="dxa"/>
          </w:tcPr>
          <w:p w14:paraId="155034A3">
            <w:pPr>
              <w:pStyle w:val="17"/>
              <w:jc w:val="left"/>
              <w:rPr>
                <w:rFonts w:ascii="Times New Roman"/>
                <w:sz w:val="20"/>
              </w:rPr>
            </w:pPr>
          </w:p>
        </w:tc>
        <w:tc>
          <w:tcPr>
            <w:tcW w:w="772" w:type="dxa"/>
          </w:tcPr>
          <w:p w14:paraId="0F96E5F4">
            <w:pPr>
              <w:pStyle w:val="17"/>
              <w:jc w:val="left"/>
              <w:rPr>
                <w:rFonts w:ascii="Times New Roman"/>
                <w:sz w:val="20"/>
              </w:rPr>
            </w:pPr>
          </w:p>
        </w:tc>
        <w:tc>
          <w:tcPr>
            <w:tcW w:w="921" w:type="dxa"/>
          </w:tcPr>
          <w:p w14:paraId="0E9F6CB4">
            <w:pPr>
              <w:pStyle w:val="17"/>
              <w:jc w:val="left"/>
              <w:rPr>
                <w:rFonts w:ascii="Times New Roman"/>
                <w:sz w:val="20"/>
              </w:rPr>
            </w:pPr>
          </w:p>
        </w:tc>
        <w:tc>
          <w:tcPr>
            <w:tcW w:w="1035" w:type="dxa"/>
          </w:tcPr>
          <w:p w14:paraId="40A934A1">
            <w:pPr>
              <w:pStyle w:val="17"/>
              <w:spacing w:before="19"/>
              <w:ind w:left="201"/>
              <w:jc w:val="left"/>
              <w:rPr>
                <w:sz w:val="21"/>
              </w:rPr>
            </w:pPr>
            <w:r>
              <w:rPr>
                <w:sz w:val="21"/>
              </w:rPr>
              <w:t>日均值</w:t>
            </w:r>
          </w:p>
        </w:tc>
        <w:tc>
          <w:tcPr>
            <w:tcW w:w="1259" w:type="dxa"/>
          </w:tcPr>
          <w:p w14:paraId="18809215">
            <w:pPr>
              <w:pStyle w:val="17"/>
              <w:spacing w:before="33"/>
              <w:ind w:left="188" w:right="180"/>
              <w:rPr>
                <w:rFonts w:ascii="Times New Roman"/>
                <w:sz w:val="21"/>
              </w:rPr>
            </w:pPr>
            <w:r>
              <w:rPr>
                <w:rFonts w:ascii="Times New Roman"/>
                <w:sz w:val="21"/>
              </w:rPr>
              <w:t>6.99E-03</w:t>
            </w:r>
          </w:p>
        </w:tc>
        <w:tc>
          <w:tcPr>
            <w:tcW w:w="1317" w:type="dxa"/>
          </w:tcPr>
          <w:p w14:paraId="13A1B38A">
            <w:pPr>
              <w:pStyle w:val="17"/>
              <w:spacing w:before="33"/>
              <w:ind w:left="108" w:right="98"/>
              <w:rPr>
                <w:rFonts w:ascii="Times New Roman"/>
                <w:sz w:val="21"/>
              </w:rPr>
            </w:pPr>
            <w:r>
              <w:rPr>
                <w:rFonts w:ascii="Times New Roman"/>
                <w:sz w:val="21"/>
              </w:rPr>
              <w:t>230608</w:t>
            </w:r>
          </w:p>
        </w:tc>
        <w:tc>
          <w:tcPr>
            <w:tcW w:w="1230" w:type="dxa"/>
          </w:tcPr>
          <w:p w14:paraId="7E2E27B6">
            <w:pPr>
              <w:pStyle w:val="17"/>
              <w:spacing w:before="33"/>
              <w:ind w:left="175" w:right="166"/>
              <w:rPr>
                <w:rFonts w:ascii="Times New Roman"/>
                <w:sz w:val="21"/>
              </w:rPr>
            </w:pPr>
            <w:r>
              <w:rPr>
                <w:rFonts w:ascii="Times New Roman"/>
                <w:sz w:val="21"/>
              </w:rPr>
              <w:t>0.00E+00</w:t>
            </w:r>
          </w:p>
        </w:tc>
        <w:tc>
          <w:tcPr>
            <w:tcW w:w="1725" w:type="dxa"/>
          </w:tcPr>
          <w:p w14:paraId="7F2A76DF">
            <w:pPr>
              <w:pStyle w:val="17"/>
              <w:spacing w:before="33"/>
              <w:ind w:left="417" w:right="413"/>
              <w:rPr>
                <w:rFonts w:ascii="Times New Roman"/>
                <w:sz w:val="21"/>
              </w:rPr>
            </w:pPr>
            <w:r>
              <w:rPr>
                <w:rFonts w:ascii="Times New Roman"/>
                <w:sz w:val="21"/>
              </w:rPr>
              <w:t>6.99E-03</w:t>
            </w:r>
          </w:p>
        </w:tc>
        <w:tc>
          <w:tcPr>
            <w:tcW w:w="1230" w:type="dxa"/>
          </w:tcPr>
          <w:p w14:paraId="6B43F05C">
            <w:pPr>
              <w:pStyle w:val="17"/>
              <w:spacing w:before="33"/>
              <w:ind w:left="174" w:right="166"/>
              <w:rPr>
                <w:rFonts w:ascii="Times New Roman"/>
                <w:sz w:val="21"/>
              </w:rPr>
            </w:pPr>
            <w:r>
              <w:rPr>
                <w:rFonts w:ascii="Times New Roman"/>
                <w:sz w:val="21"/>
              </w:rPr>
              <w:t>1.50E+02</w:t>
            </w:r>
          </w:p>
        </w:tc>
        <w:tc>
          <w:tcPr>
            <w:tcW w:w="1517" w:type="dxa"/>
          </w:tcPr>
          <w:p w14:paraId="10670ECD">
            <w:pPr>
              <w:pStyle w:val="17"/>
              <w:spacing w:before="33"/>
              <w:ind w:left="499" w:right="492"/>
              <w:rPr>
                <w:rFonts w:ascii="Times New Roman"/>
                <w:sz w:val="21"/>
              </w:rPr>
            </w:pPr>
            <w:r>
              <w:rPr>
                <w:rFonts w:ascii="Times New Roman"/>
                <w:sz w:val="21"/>
              </w:rPr>
              <w:t>0.00</w:t>
            </w:r>
          </w:p>
        </w:tc>
        <w:tc>
          <w:tcPr>
            <w:tcW w:w="712" w:type="dxa"/>
            <w:tcBorders>
              <w:right w:val="nil"/>
            </w:tcBorders>
          </w:tcPr>
          <w:p w14:paraId="471833DF">
            <w:pPr>
              <w:pStyle w:val="17"/>
              <w:spacing w:before="19"/>
              <w:ind w:left="122" w:right="121"/>
              <w:rPr>
                <w:sz w:val="21"/>
              </w:rPr>
            </w:pPr>
            <w:r>
              <w:rPr>
                <w:sz w:val="21"/>
              </w:rPr>
              <w:t>达标</w:t>
            </w:r>
          </w:p>
        </w:tc>
      </w:tr>
      <w:tr w14:paraId="1B472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D232F5C">
            <w:pPr>
              <w:pStyle w:val="17"/>
              <w:jc w:val="left"/>
              <w:rPr>
                <w:rFonts w:ascii="Times New Roman"/>
                <w:sz w:val="20"/>
              </w:rPr>
            </w:pPr>
          </w:p>
        </w:tc>
        <w:tc>
          <w:tcPr>
            <w:tcW w:w="1265" w:type="dxa"/>
          </w:tcPr>
          <w:p w14:paraId="60784A67">
            <w:pPr>
              <w:pStyle w:val="17"/>
              <w:jc w:val="left"/>
              <w:rPr>
                <w:rFonts w:ascii="Times New Roman"/>
                <w:sz w:val="20"/>
              </w:rPr>
            </w:pPr>
          </w:p>
        </w:tc>
        <w:tc>
          <w:tcPr>
            <w:tcW w:w="771" w:type="dxa"/>
          </w:tcPr>
          <w:p w14:paraId="2412473A">
            <w:pPr>
              <w:pStyle w:val="17"/>
              <w:jc w:val="left"/>
              <w:rPr>
                <w:rFonts w:ascii="Times New Roman"/>
                <w:sz w:val="20"/>
              </w:rPr>
            </w:pPr>
          </w:p>
        </w:tc>
        <w:tc>
          <w:tcPr>
            <w:tcW w:w="772" w:type="dxa"/>
          </w:tcPr>
          <w:p w14:paraId="6EF3BC4B">
            <w:pPr>
              <w:pStyle w:val="17"/>
              <w:jc w:val="left"/>
              <w:rPr>
                <w:rFonts w:ascii="Times New Roman"/>
                <w:sz w:val="20"/>
              </w:rPr>
            </w:pPr>
          </w:p>
        </w:tc>
        <w:tc>
          <w:tcPr>
            <w:tcW w:w="921" w:type="dxa"/>
          </w:tcPr>
          <w:p w14:paraId="1B9BCA5A">
            <w:pPr>
              <w:pStyle w:val="17"/>
              <w:jc w:val="left"/>
              <w:rPr>
                <w:rFonts w:ascii="Times New Roman"/>
                <w:sz w:val="20"/>
              </w:rPr>
            </w:pPr>
          </w:p>
        </w:tc>
        <w:tc>
          <w:tcPr>
            <w:tcW w:w="1035" w:type="dxa"/>
          </w:tcPr>
          <w:p w14:paraId="51A2D327">
            <w:pPr>
              <w:pStyle w:val="17"/>
              <w:spacing w:before="19"/>
              <w:ind w:left="201"/>
              <w:jc w:val="left"/>
              <w:rPr>
                <w:sz w:val="21"/>
              </w:rPr>
            </w:pPr>
            <w:r>
              <w:rPr>
                <w:sz w:val="21"/>
              </w:rPr>
              <w:t>年均值</w:t>
            </w:r>
          </w:p>
        </w:tc>
        <w:tc>
          <w:tcPr>
            <w:tcW w:w="1259" w:type="dxa"/>
          </w:tcPr>
          <w:p w14:paraId="11BF7196">
            <w:pPr>
              <w:pStyle w:val="17"/>
              <w:spacing w:before="33"/>
              <w:ind w:left="188" w:right="180"/>
              <w:rPr>
                <w:rFonts w:ascii="Times New Roman"/>
                <w:sz w:val="21"/>
              </w:rPr>
            </w:pPr>
            <w:r>
              <w:rPr>
                <w:rFonts w:ascii="Times New Roman"/>
                <w:sz w:val="21"/>
              </w:rPr>
              <w:t>3.00E-04</w:t>
            </w:r>
          </w:p>
        </w:tc>
        <w:tc>
          <w:tcPr>
            <w:tcW w:w="1317" w:type="dxa"/>
          </w:tcPr>
          <w:p w14:paraId="63FEB273">
            <w:pPr>
              <w:pStyle w:val="17"/>
              <w:spacing w:before="19"/>
              <w:ind w:left="107" w:right="98"/>
              <w:rPr>
                <w:sz w:val="21"/>
              </w:rPr>
            </w:pPr>
            <w:r>
              <w:rPr>
                <w:sz w:val="21"/>
              </w:rPr>
              <w:t>平均值</w:t>
            </w:r>
          </w:p>
        </w:tc>
        <w:tc>
          <w:tcPr>
            <w:tcW w:w="1230" w:type="dxa"/>
          </w:tcPr>
          <w:p w14:paraId="12526301">
            <w:pPr>
              <w:pStyle w:val="17"/>
              <w:spacing w:before="33"/>
              <w:ind w:left="175" w:right="166"/>
              <w:rPr>
                <w:rFonts w:ascii="Times New Roman"/>
                <w:sz w:val="21"/>
              </w:rPr>
            </w:pPr>
            <w:r>
              <w:rPr>
                <w:rFonts w:ascii="Times New Roman"/>
                <w:sz w:val="21"/>
              </w:rPr>
              <w:t>0.00E+00</w:t>
            </w:r>
          </w:p>
        </w:tc>
        <w:tc>
          <w:tcPr>
            <w:tcW w:w="1725" w:type="dxa"/>
          </w:tcPr>
          <w:p w14:paraId="2C19421B">
            <w:pPr>
              <w:pStyle w:val="17"/>
              <w:spacing w:before="33"/>
              <w:ind w:left="417" w:right="413"/>
              <w:rPr>
                <w:rFonts w:ascii="Times New Roman"/>
                <w:sz w:val="21"/>
              </w:rPr>
            </w:pPr>
            <w:r>
              <w:rPr>
                <w:rFonts w:ascii="Times New Roman"/>
                <w:sz w:val="21"/>
              </w:rPr>
              <w:t>3.00E-04</w:t>
            </w:r>
          </w:p>
        </w:tc>
        <w:tc>
          <w:tcPr>
            <w:tcW w:w="1230" w:type="dxa"/>
          </w:tcPr>
          <w:p w14:paraId="55B98392">
            <w:pPr>
              <w:pStyle w:val="17"/>
              <w:spacing w:before="33"/>
              <w:ind w:left="174" w:right="166"/>
              <w:rPr>
                <w:rFonts w:ascii="Times New Roman"/>
                <w:sz w:val="21"/>
              </w:rPr>
            </w:pPr>
            <w:r>
              <w:rPr>
                <w:rFonts w:ascii="Times New Roman"/>
                <w:sz w:val="21"/>
              </w:rPr>
              <w:t>7.00E+01</w:t>
            </w:r>
          </w:p>
        </w:tc>
        <w:tc>
          <w:tcPr>
            <w:tcW w:w="1517" w:type="dxa"/>
          </w:tcPr>
          <w:p w14:paraId="49EEC0C7">
            <w:pPr>
              <w:pStyle w:val="17"/>
              <w:spacing w:before="33"/>
              <w:ind w:left="499" w:right="492"/>
              <w:rPr>
                <w:rFonts w:ascii="Times New Roman"/>
                <w:sz w:val="21"/>
              </w:rPr>
            </w:pPr>
            <w:r>
              <w:rPr>
                <w:rFonts w:ascii="Times New Roman"/>
                <w:sz w:val="21"/>
              </w:rPr>
              <w:t>0.00</w:t>
            </w:r>
          </w:p>
        </w:tc>
        <w:tc>
          <w:tcPr>
            <w:tcW w:w="712" w:type="dxa"/>
            <w:tcBorders>
              <w:right w:val="nil"/>
            </w:tcBorders>
          </w:tcPr>
          <w:p w14:paraId="09C79BB9">
            <w:pPr>
              <w:pStyle w:val="17"/>
              <w:spacing w:before="19"/>
              <w:ind w:left="122" w:right="121"/>
              <w:rPr>
                <w:sz w:val="21"/>
              </w:rPr>
            </w:pPr>
            <w:r>
              <w:rPr>
                <w:sz w:val="21"/>
              </w:rPr>
              <w:t>达标</w:t>
            </w:r>
          </w:p>
        </w:tc>
      </w:tr>
      <w:tr w14:paraId="4C25F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B41DDCC">
            <w:pPr>
              <w:pStyle w:val="17"/>
              <w:spacing w:before="35"/>
              <w:ind w:right="169"/>
              <w:jc w:val="right"/>
              <w:rPr>
                <w:rFonts w:ascii="Times New Roman"/>
                <w:sz w:val="21"/>
              </w:rPr>
            </w:pPr>
            <w:r>
              <w:rPr>
                <w:rFonts w:ascii="Times New Roman"/>
                <w:w w:val="99"/>
                <w:sz w:val="21"/>
              </w:rPr>
              <w:t>6</w:t>
            </w:r>
          </w:p>
        </w:tc>
        <w:tc>
          <w:tcPr>
            <w:tcW w:w="1265" w:type="dxa"/>
          </w:tcPr>
          <w:p w14:paraId="567717D9">
            <w:pPr>
              <w:pStyle w:val="17"/>
              <w:spacing w:before="21"/>
              <w:ind w:left="189" w:right="183"/>
              <w:rPr>
                <w:sz w:val="21"/>
              </w:rPr>
            </w:pPr>
            <w:r>
              <w:rPr>
                <w:sz w:val="21"/>
              </w:rPr>
              <w:t>三和村</w:t>
            </w:r>
          </w:p>
        </w:tc>
        <w:tc>
          <w:tcPr>
            <w:tcW w:w="771" w:type="dxa"/>
          </w:tcPr>
          <w:p w14:paraId="210AC5D2">
            <w:pPr>
              <w:pStyle w:val="17"/>
              <w:spacing w:before="35"/>
              <w:ind w:right="163"/>
              <w:jc w:val="right"/>
              <w:rPr>
                <w:rFonts w:ascii="Times New Roman"/>
                <w:sz w:val="21"/>
              </w:rPr>
            </w:pPr>
            <w:r>
              <w:rPr>
                <w:rFonts w:ascii="Times New Roman"/>
                <w:sz w:val="21"/>
              </w:rPr>
              <w:t>1237</w:t>
            </w:r>
          </w:p>
        </w:tc>
        <w:tc>
          <w:tcPr>
            <w:tcW w:w="772" w:type="dxa"/>
          </w:tcPr>
          <w:p w14:paraId="371EE8A3">
            <w:pPr>
              <w:pStyle w:val="17"/>
              <w:spacing w:before="35"/>
              <w:ind w:right="162"/>
              <w:jc w:val="right"/>
              <w:rPr>
                <w:rFonts w:ascii="Times New Roman"/>
                <w:sz w:val="21"/>
              </w:rPr>
            </w:pPr>
            <w:r>
              <w:rPr>
                <w:rFonts w:ascii="Times New Roman"/>
                <w:sz w:val="21"/>
              </w:rPr>
              <w:t>1042</w:t>
            </w:r>
          </w:p>
        </w:tc>
        <w:tc>
          <w:tcPr>
            <w:tcW w:w="921" w:type="dxa"/>
          </w:tcPr>
          <w:p w14:paraId="56001357">
            <w:pPr>
              <w:pStyle w:val="17"/>
              <w:spacing w:before="35"/>
              <w:ind w:left="203" w:right="195"/>
              <w:rPr>
                <w:rFonts w:ascii="Times New Roman"/>
                <w:sz w:val="21"/>
              </w:rPr>
            </w:pPr>
            <w:r>
              <w:rPr>
                <w:rFonts w:ascii="Times New Roman"/>
                <w:sz w:val="21"/>
              </w:rPr>
              <w:t>61.08</w:t>
            </w:r>
          </w:p>
        </w:tc>
        <w:tc>
          <w:tcPr>
            <w:tcW w:w="1035" w:type="dxa"/>
          </w:tcPr>
          <w:p w14:paraId="5AC8485C">
            <w:pPr>
              <w:pStyle w:val="17"/>
              <w:spacing w:before="18"/>
              <w:ind w:left="201"/>
              <w:jc w:val="left"/>
              <w:rPr>
                <w:sz w:val="21"/>
              </w:rPr>
            </w:pPr>
            <w:r>
              <w:rPr>
                <w:sz w:val="21"/>
              </w:rPr>
              <w:t>小时值</w:t>
            </w:r>
          </w:p>
        </w:tc>
        <w:tc>
          <w:tcPr>
            <w:tcW w:w="1259" w:type="dxa"/>
          </w:tcPr>
          <w:p w14:paraId="0BD48EFB">
            <w:pPr>
              <w:pStyle w:val="17"/>
              <w:spacing w:before="35"/>
              <w:ind w:left="188" w:right="180"/>
              <w:rPr>
                <w:rFonts w:ascii="Times New Roman"/>
                <w:sz w:val="21"/>
              </w:rPr>
            </w:pPr>
            <w:r>
              <w:rPr>
                <w:rFonts w:ascii="Times New Roman"/>
                <w:sz w:val="21"/>
              </w:rPr>
              <w:t>1.43E-01</w:t>
            </w:r>
          </w:p>
        </w:tc>
        <w:tc>
          <w:tcPr>
            <w:tcW w:w="1317" w:type="dxa"/>
          </w:tcPr>
          <w:p w14:paraId="37F38792">
            <w:pPr>
              <w:pStyle w:val="17"/>
              <w:spacing w:before="35"/>
              <w:ind w:left="108" w:right="98"/>
              <w:rPr>
                <w:rFonts w:ascii="Times New Roman"/>
                <w:sz w:val="21"/>
              </w:rPr>
            </w:pPr>
            <w:r>
              <w:rPr>
                <w:rFonts w:ascii="Times New Roman"/>
                <w:sz w:val="21"/>
              </w:rPr>
              <w:t>23082022</w:t>
            </w:r>
          </w:p>
        </w:tc>
        <w:tc>
          <w:tcPr>
            <w:tcW w:w="1230" w:type="dxa"/>
          </w:tcPr>
          <w:p w14:paraId="47F1698A">
            <w:pPr>
              <w:pStyle w:val="17"/>
              <w:spacing w:before="35"/>
              <w:ind w:left="175" w:right="166"/>
              <w:rPr>
                <w:rFonts w:ascii="Times New Roman"/>
                <w:sz w:val="21"/>
              </w:rPr>
            </w:pPr>
            <w:r>
              <w:rPr>
                <w:rFonts w:ascii="Times New Roman"/>
                <w:sz w:val="21"/>
              </w:rPr>
              <w:t>0.00E+00</w:t>
            </w:r>
          </w:p>
        </w:tc>
        <w:tc>
          <w:tcPr>
            <w:tcW w:w="1725" w:type="dxa"/>
          </w:tcPr>
          <w:p w14:paraId="1ABE52BD">
            <w:pPr>
              <w:pStyle w:val="17"/>
              <w:spacing w:before="35"/>
              <w:ind w:left="417" w:right="413"/>
              <w:rPr>
                <w:rFonts w:ascii="Times New Roman"/>
                <w:sz w:val="21"/>
              </w:rPr>
            </w:pPr>
            <w:r>
              <w:rPr>
                <w:rFonts w:ascii="Times New Roman"/>
                <w:sz w:val="21"/>
              </w:rPr>
              <w:t>1.43E-01</w:t>
            </w:r>
          </w:p>
        </w:tc>
        <w:tc>
          <w:tcPr>
            <w:tcW w:w="1230" w:type="dxa"/>
          </w:tcPr>
          <w:p w14:paraId="3B9BB923">
            <w:pPr>
              <w:pStyle w:val="17"/>
              <w:spacing w:before="35"/>
              <w:ind w:left="174" w:right="166"/>
              <w:rPr>
                <w:rFonts w:ascii="Times New Roman"/>
                <w:sz w:val="21"/>
              </w:rPr>
            </w:pPr>
            <w:r>
              <w:rPr>
                <w:rFonts w:ascii="Times New Roman"/>
                <w:sz w:val="21"/>
              </w:rPr>
              <w:t>4.50E+02</w:t>
            </w:r>
          </w:p>
        </w:tc>
        <w:tc>
          <w:tcPr>
            <w:tcW w:w="1517" w:type="dxa"/>
          </w:tcPr>
          <w:p w14:paraId="3C796589">
            <w:pPr>
              <w:pStyle w:val="17"/>
              <w:spacing w:before="35"/>
              <w:ind w:left="499" w:right="492"/>
              <w:rPr>
                <w:rFonts w:ascii="Times New Roman"/>
                <w:sz w:val="21"/>
              </w:rPr>
            </w:pPr>
            <w:r>
              <w:rPr>
                <w:rFonts w:ascii="Times New Roman"/>
                <w:sz w:val="21"/>
              </w:rPr>
              <w:t>0.03</w:t>
            </w:r>
          </w:p>
        </w:tc>
        <w:tc>
          <w:tcPr>
            <w:tcW w:w="712" w:type="dxa"/>
            <w:tcBorders>
              <w:right w:val="nil"/>
            </w:tcBorders>
          </w:tcPr>
          <w:p w14:paraId="793E6301">
            <w:pPr>
              <w:pStyle w:val="17"/>
              <w:spacing w:before="18"/>
              <w:ind w:left="122" w:right="121"/>
              <w:rPr>
                <w:sz w:val="21"/>
              </w:rPr>
            </w:pPr>
            <w:r>
              <w:rPr>
                <w:sz w:val="21"/>
              </w:rPr>
              <w:t>达标</w:t>
            </w:r>
          </w:p>
        </w:tc>
      </w:tr>
      <w:tr w14:paraId="36AA1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ED218B5">
            <w:pPr>
              <w:pStyle w:val="17"/>
              <w:jc w:val="left"/>
              <w:rPr>
                <w:rFonts w:ascii="Times New Roman"/>
                <w:sz w:val="20"/>
              </w:rPr>
            </w:pPr>
          </w:p>
        </w:tc>
        <w:tc>
          <w:tcPr>
            <w:tcW w:w="1265" w:type="dxa"/>
          </w:tcPr>
          <w:p w14:paraId="09A8062F">
            <w:pPr>
              <w:pStyle w:val="17"/>
              <w:jc w:val="left"/>
              <w:rPr>
                <w:rFonts w:ascii="Times New Roman"/>
                <w:sz w:val="20"/>
              </w:rPr>
            </w:pPr>
          </w:p>
        </w:tc>
        <w:tc>
          <w:tcPr>
            <w:tcW w:w="771" w:type="dxa"/>
          </w:tcPr>
          <w:p w14:paraId="3D97233D">
            <w:pPr>
              <w:pStyle w:val="17"/>
              <w:jc w:val="left"/>
              <w:rPr>
                <w:rFonts w:ascii="Times New Roman"/>
                <w:sz w:val="20"/>
              </w:rPr>
            </w:pPr>
          </w:p>
        </w:tc>
        <w:tc>
          <w:tcPr>
            <w:tcW w:w="772" w:type="dxa"/>
          </w:tcPr>
          <w:p w14:paraId="47277DCB">
            <w:pPr>
              <w:pStyle w:val="17"/>
              <w:jc w:val="left"/>
              <w:rPr>
                <w:rFonts w:ascii="Times New Roman"/>
                <w:sz w:val="20"/>
              </w:rPr>
            </w:pPr>
          </w:p>
        </w:tc>
        <w:tc>
          <w:tcPr>
            <w:tcW w:w="921" w:type="dxa"/>
          </w:tcPr>
          <w:p w14:paraId="2CE4A80A">
            <w:pPr>
              <w:pStyle w:val="17"/>
              <w:jc w:val="left"/>
              <w:rPr>
                <w:rFonts w:ascii="Times New Roman"/>
                <w:sz w:val="20"/>
              </w:rPr>
            </w:pPr>
          </w:p>
        </w:tc>
        <w:tc>
          <w:tcPr>
            <w:tcW w:w="1035" w:type="dxa"/>
          </w:tcPr>
          <w:p w14:paraId="50B2DFDB">
            <w:pPr>
              <w:pStyle w:val="17"/>
              <w:spacing w:before="18"/>
              <w:ind w:left="201"/>
              <w:jc w:val="left"/>
              <w:rPr>
                <w:sz w:val="21"/>
              </w:rPr>
            </w:pPr>
            <w:r>
              <w:rPr>
                <w:sz w:val="21"/>
              </w:rPr>
              <w:t>日均值</w:t>
            </w:r>
          </w:p>
        </w:tc>
        <w:tc>
          <w:tcPr>
            <w:tcW w:w="1259" w:type="dxa"/>
          </w:tcPr>
          <w:p w14:paraId="4951C8C7">
            <w:pPr>
              <w:pStyle w:val="17"/>
              <w:spacing w:before="34"/>
              <w:ind w:left="188" w:right="180"/>
              <w:rPr>
                <w:rFonts w:ascii="Times New Roman"/>
                <w:sz w:val="21"/>
              </w:rPr>
            </w:pPr>
            <w:r>
              <w:rPr>
                <w:rFonts w:ascii="Times New Roman"/>
                <w:sz w:val="21"/>
              </w:rPr>
              <w:t>7.94E-03</w:t>
            </w:r>
          </w:p>
        </w:tc>
        <w:tc>
          <w:tcPr>
            <w:tcW w:w="1317" w:type="dxa"/>
          </w:tcPr>
          <w:p w14:paraId="2F3A4825">
            <w:pPr>
              <w:pStyle w:val="17"/>
              <w:spacing w:before="34"/>
              <w:ind w:left="108" w:right="98"/>
              <w:rPr>
                <w:rFonts w:ascii="Times New Roman"/>
                <w:sz w:val="21"/>
              </w:rPr>
            </w:pPr>
            <w:r>
              <w:rPr>
                <w:rFonts w:ascii="Times New Roman"/>
                <w:sz w:val="21"/>
              </w:rPr>
              <w:t>230715</w:t>
            </w:r>
          </w:p>
        </w:tc>
        <w:tc>
          <w:tcPr>
            <w:tcW w:w="1230" w:type="dxa"/>
          </w:tcPr>
          <w:p w14:paraId="1394DD1D">
            <w:pPr>
              <w:pStyle w:val="17"/>
              <w:spacing w:before="34"/>
              <w:ind w:left="175" w:right="166"/>
              <w:rPr>
                <w:rFonts w:ascii="Times New Roman"/>
                <w:sz w:val="21"/>
              </w:rPr>
            </w:pPr>
            <w:r>
              <w:rPr>
                <w:rFonts w:ascii="Times New Roman"/>
                <w:sz w:val="21"/>
              </w:rPr>
              <w:t>0.00E+00</w:t>
            </w:r>
          </w:p>
        </w:tc>
        <w:tc>
          <w:tcPr>
            <w:tcW w:w="1725" w:type="dxa"/>
          </w:tcPr>
          <w:p w14:paraId="54848ADE">
            <w:pPr>
              <w:pStyle w:val="17"/>
              <w:spacing w:before="34"/>
              <w:ind w:left="417" w:right="413"/>
              <w:rPr>
                <w:rFonts w:ascii="Times New Roman"/>
                <w:sz w:val="21"/>
              </w:rPr>
            </w:pPr>
            <w:r>
              <w:rPr>
                <w:rFonts w:ascii="Times New Roman"/>
                <w:sz w:val="21"/>
              </w:rPr>
              <w:t>7.94E-03</w:t>
            </w:r>
          </w:p>
        </w:tc>
        <w:tc>
          <w:tcPr>
            <w:tcW w:w="1230" w:type="dxa"/>
          </w:tcPr>
          <w:p w14:paraId="57977149">
            <w:pPr>
              <w:pStyle w:val="17"/>
              <w:spacing w:before="34"/>
              <w:ind w:left="174" w:right="166"/>
              <w:rPr>
                <w:rFonts w:ascii="Times New Roman"/>
                <w:sz w:val="21"/>
              </w:rPr>
            </w:pPr>
            <w:r>
              <w:rPr>
                <w:rFonts w:ascii="Times New Roman"/>
                <w:sz w:val="21"/>
              </w:rPr>
              <w:t>1.50E+02</w:t>
            </w:r>
          </w:p>
        </w:tc>
        <w:tc>
          <w:tcPr>
            <w:tcW w:w="1517" w:type="dxa"/>
          </w:tcPr>
          <w:p w14:paraId="39AB694D">
            <w:pPr>
              <w:pStyle w:val="17"/>
              <w:spacing w:before="34"/>
              <w:ind w:left="499" w:right="492"/>
              <w:rPr>
                <w:rFonts w:ascii="Times New Roman"/>
                <w:sz w:val="21"/>
              </w:rPr>
            </w:pPr>
            <w:r>
              <w:rPr>
                <w:rFonts w:ascii="Times New Roman"/>
                <w:sz w:val="21"/>
              </w:rPr>
              <w:t>0.01</w:t>
            </w:r>
          </w:p>
        </w:tc>
        <w:tc>
          <w:tcPr>
            <w:tcW w:w="712" w:type="dxa"/>
            <w:tcBorders>
              <w:right w:val="nil"/>
            </w:tcBorders>
          </w:tcPr>
          <w:p w14:paraId="19EEAF76">
            <w:pPr>
              <w:pStyle w:val="17"/>
              <w:spacing w:before="18"/>
              <w:ind w:left="122" w:right="121"/>
              <w:rPr>
                <w:sz w:val="21"/>
              </w:rPr>
            </w:pPr>
            <w:r>
              <w:rPr>
                <w:sz w:val="21"/>
              </w:rPr>
              <w:t>达标</w:t>
            </w:r>
          </w:p>
        </w:tc>
      </w:tr>
      <w:tr w14:paraId="5296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49DBC9F">
            <w:pPr>
              <w:pStyle w:val="17"/>
              <w:jc w:val="left"/>
              <w:rPr>
                <w:rFonts w:ascii="Times New Roman"/>
                <w:sz w:val="20"/>
              </w:rPr>
            </w:pPr>
          </w:p>
        </w:tc>
        <w:tc>
          <w:tcPr>
            <w:tcW w:w="1265" w:type="dxa"/>
          </w:tcPr>
          <w:p w14:paraId="10D4651F">
            <w:pPr>
              <w:pStyle w:val="17"/>
              <w:jc w:val="left"/>
              <w:rPr>
                <w:rFonts w:ascii="Times New Roman"/>
                <w:sz w:val="20"/>
              </w:rPr>
            </w:pPr>
          </w:p>
        </w:tc>
        <w:tc>
          <w:tcPr>
            <w:tcW w:w="771" w:type="dxa"/>
          </w:tcPr>
          <w:p w14:paraId="223FF4E0">
            <w:pPr>
              <w:pStyle w:val="17"/>
              <w:jc w:val="left"/>
              <w:rPr>
                <w:rFonts w:ascii="Times New Roman"/>
                <w:sz w:val="20"/>
              </w:rPr>
            </w:pPr>
          </w:p>
        </w:tc>
        <w:tc>
          <w:tcPr>
            <w:tcW w:w="772" w:type="dxa"/>
          </w:tcPr>
          <w:p w14:paraId="7EB2CA8E">
            <w:pPr>
              <w:pStyle w:val="17"/>
              <w:jc w:val="left"/>
              <w:rPr>
                <w:rFonts w:ascii="Times New Roman"/>
                <w:sz w:val="20"/>
              </w:rPr>
            </w:pPr>
          </w:p>
        </w:tc>
        <w:tc>
          <w:tcPr>
            <w:tcW w:w="921" w:type="dxa"/>
          </w:tcPr>
          <w:p w14:paraId="09093F02">
            <w:pPr>
              <w:pStyle w:val="17"/>
              <w:jc w:val="left"/>
              <w:rPr>
                <w:rFonts w:ascii="Times New Roman"/>
                <w:sz w:val="20"/>
              </w:rPr>
            </w:pPr>
          </w:p>
        </w:tc>
        <w:tc>
          <w:tcPr>
            <w:tcW w:w="1035" w:type="dxa"/>
          </w:tcPr>
          <w:p w14:paraId="29BB0362">
            <w:pPr>
              <w:pStyle w:val="17"/>
              <w:spacing w:before="18"/>
              <w:ind w:left="201"/>
              <w:jc w:val="left"/>
              <w:rPr>
                <w:sz w:val="21"/>
              </w:rPr>
            </w:pPr>
            <w:r>
              <w:rPr>
                <w:sz w:val="21"/>
              </w:rPr>
              <w:t>年均值</w:t>
            </w:r>
          </w:p>
        </w:tc>
        <w:tc>
          <w:tcPr>
            <w:tcW w:w="1259" w:type="dxa"/>
          </w:tcPr>
          <w:p w14:paraId="7D7DD54D">
            <w:pPr>
              <w:pStyle w:val="17"/>
              <w:spacing w:before="34"/>
              <w:ind w:left="188" w:right="180"/>
              <w:rPr>
                <w:rFonts w:ascii="Times New Roman"/>
                <w:sz w:val="21"/>
              </w:rPr>
            </w:pPr>
            <w:r>
              <w:rPr>
                <w:rFonts w:ascii="Times New Roman"/>
                <w:sz w:val="21"/>
              </w:rPr>
              <w:t>1.90E-04</w:t>
            </w:r>
          </w:p>
        </w:tc>
        <w:tc>
          <w:tcPr>
            <w:tcW w:w="1317" w:type="dxa"/>
          </w:tcPr>
          <w:p w14:paraId="46D7193A">
            <w:pPr>
              <w:pStyle w:val="17"/>
              <w:spacing w:before="18"/>
              <w:ind w:left="107" w:right="98"/>
              <w:rPr>
                <w:sz w:val="21"/>
              </w:rPr>
            </w:pPr>
            <w:r>
              <w:rPr>
                <w:sz w:val="21"/>
              </w:rPr>
              <w:t>平均值</w:t>
            </w:r>
          </w:p>
        </w:tc>
        <w:tc>
          <w:tcPr>
            <w:tcW w:w="1230" w:type="dxa"/>
          </w:tcPr>
          <w:p w14:paraId="3EECE559">
            <w:pPr>
              <w:pStyle w:val="17"/>
              <w:spacing w:before="34"/>
              <w:ind w:left="175" w:right="166"/>
              <w:rPr>
                <w:rFonts w:ascii="Times New Roman"/>
                <w:sz w:val="21"/>
              </w:rPr>
            </w:pPr>
            <w:r>
              <w:rPr>
                <w:rFonts w:ascii="Times New Roman"/>
                <w:sz w:val="21"/>
              </w:rPr>
              <w:t>0.00E+00</w:t>
            </w:r>
          </w:p>
        </w:tc>
        <w:tc>
          <w:tcPr>
            <w:tcW w:w="1725" w:type="dxa"/>
          </w:tcPr>
          <w:p w14:paraId="626E31FA">
            <w:pPr>
              <w:pStyle w:val="17"/>
              <w:spacing w:before="34"/>
              <w:ind w:left="417" w:right="413"/>
              <w:rPr>
                <w:rFonts w:ascii="Times New Roman"/>
                <w:sz w:val="21"/>
              </w:rPr>
            </w:pPr>
            <w:r>
              <w:rPr>
                <w:rFonts w:ascii="Times New Roman"/>
                <w:sz w:val="21"/>
              </w:rPr>
              <w:t>1.90E-04</w:t>
            </w:r>
          </w:p>
        </w:tc>
        <w:tc>
          <w:tcPr>
            <w:tcW w:w="1230" w:type="dxa"/>
          </w:tcPr>
          <w:p w14:paraId="1E1CFC7D">
            <w:pPr>
              <w:pStyle w:val="17"/>
              <w:spacing w:before="34"/>
              <w:ind w:left="174" w:right="166"/>
              <w:rPr>
                <w:rFonts w:ascii="Times New Roman"/>
                <w:sz w:val="21"/>
              </w:rPr>
            </w:pPr>
            <w:r>
              <w:rPr>
                <w:rFonts w:ascii="Times New Roman"/>
                <w:sz w:val="21"/>
              </w:rPr>
              <w:t>7.00E+01</w:t>
            </w:r>
          </w:p>
        </w:tc>
        <w:tc>
          <w:tcPr>
            <w:tcW w:w="1517" w:type="dxa"/>
          </w:tcPr>
          <w:p w14:paraId="646A51D0">
            <w:pPr>
              <w:pStyle w:val="17"/>
              <w:spacing w:before="34"/>
              <w:ind w:left="499" w:right="492"/>
              <w:rPr>
                <w:rFonts w:ascii="Times New Roman"/>
                <w:sz w:val="21"/>
              </w:rPr>
            </w:pPr>
            <w:r>
              <w:rPr>
                <w:rFonts w:ascii="Times New Roman"/>
                <w:sz w:val="21"/>
              </w:rPr>
              <w:t>0.00</w:t>
            </w:r>
          </w:p>
        </w:tc>
        <w:tc>
          <w:tcPr>
            <w:tcW w:w="712" w:type="dxa"/>
            <w:tcBorders>
              <w:right w:val="nil"/>
            </w:tcBorders>
          </w:tcPr>
          <w:p w14:paraId="12D13D4A">
            <w:pPr>
              <w:pStyle w:val="17"/>
              <w:spacing w:before="18"/>
              <w:ind w:left="122" w:right="121"/>
              <w:rPr>
                <w:sz w:val="21"/>
              </w:rPr>
            </w:pPr>
            <w:r>
              <w:rPr>
                <w:sz w:val="21"/>
              </w:rPr>
              <w:t>达标</w:t>
            </w:r>
          </w:p>
        </w:tc>
      </w:tr>
      <w:tr w14:paraId="0704A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51DE2D1">
            <w:pPr>
              <w:pStyle w:val="17"/>
              <w:spacing w:before="34"/>
              <w:ind w:right="169"/>
              <w:jc w:val="right"/>
              <w:rPr>
                <w:rFonts w:ascii="Times New Roman"/>
                <w:sz w:val="21"/>
              </w:rPr>
            </w:pPr>
            <w:r>
              <w:rPr>
                <w:rFonts w:ascii="Times New Roman"/>
                <w:w w:val="99"/>
                <w:sz w:val="21"/>
              </w:rPr>
              <w:t>7</w:t>
            </w:r>
          </w:p>
        </w:tc>
        <w:tc>
          <w:tcPr>
            <w:tcW w:w="1265" w:type="dxa"/>
          </w:tcPr>
          <w:p w14:paraId="3CD833B1">
            <w:pPr>
              <w:pStyle w:val="17"/>
              <w:spacing w:before="20"/>
              <w:ind w:left="189" w:right="186"/>
              <w:rPr>
                <w:sz w:val="21"/>
              </w:rPr>
            </w:pPr>
            <w:r>
              <w:rPr>
                <w:sz w:val="21"/>
              </w:rPr>
              <w:t>中家桥村</w:t>
            </w:r>
          </w:p>
        </w:tc>
        <w:tc>
          <w:tcPr>
            <w:tcW w:w="771" w:type="dxa"/>
          </w:tcPr>
          <w:p w14:paraId="4BA5F36C">
            <w:pPr>
              <w:pStyle w:val="17"/>
              <w:spacing w:before="34"/>
              <w:ind w:right="216"/>
              <w:jc w:val="right"/>
              <w:rPr>
                <w:rFonts w:ascii="Times New Roman"/>
                <w:sz w:val="21"/>
              </w:rPr>
            </w:pPr>
            <w:r>
              <w:rPr>
                <w:rFonts w:ascii="Times New Roman"/>
                <w:sz w:val="21"/>
              </w:rPr>
              <w:t>961</w:t>
            </w:r>
          </w:p>
        </w:tc>
        <w:tc>
          <w:tcPr>
            <w:tcW w:w="772" w:type="dxa"/>
          </w:tcPr>
          <w:p w14:paraId="605946A4">
            <w:pPr>
              <w:pStyle w:val="17"/>
              <w:spacing w:before="34"/>
              <w:ind w:right="181"/>
              <w:jc w:val="right"/>
              <w:rPr>
                <w:rFonts w:ascii="Times New Roman"/>
                <w:sz w:val="21"/>
              </w:rPr>
            </w:pPr>
            <w:r>
              <w:rPr>
                <w:rFonts w:ascii="Times New Roman"/>
                <w:w w:val="95"/>
                <w:sz w:val="21"/>
              </w:rPr>
              <w:t>-813</w:t>
            </w:r>
          </w:p>
        </w:tc>
        <w:tc>
          <w:tcPr>
            <w:tcW w:w="921" w:type="dxa"/>
          </w:tcPr>
          <w:p w14:paraId="50984FF6">
            <w:pPr>
              <w:pStyle w:val="17"/>
              <w:spacing w:before="34"/>
              <w:ind w:left="203" w:right="195"/>
              <w:rPr>
                <w:rFonts w:ascii="Times New Roman"/>
                <w:sz w:val="21"/>
              </w:rPr>
            </w:pPr>
            <w:r>
              <w:rPr>
                <w:rFonts w:ascii="Times New Roman"/>
                <w:sz w:val="21"/>
              </w:rPr>
              <w:t>49.12</w:t>
            </w:r>
          </w:p>
        </w:tc>
        <w:tc>
          <w:tcPr>
            <w:tcW w:w="1035" w:type="dxa"/>
          </w:tcPr>
          <w:p w14:paraId="43C059EC">
            <w:pPr>
              <w:pStyle w:val="17"/>
              <w:spacing w:before="20"/>
              <w:ind w:left="201"/>
              <w:jc w:val="left"/>
              <w:rPr>
                <w:sz w:val="21"/>
              </w:rPr>
            </w:pPr>
            <w:r>
              <w:rPr>
                <w:sz w:val="21"/>
              </w:rPr>
              <w:t>小时值</w:t>
            </w:r>
          </w:p>
        </w:tc>
        <w:tc>
          <w:tcPr>
            <w:tcW w:w="1259" w:type="dxa"/>
          </w:tcPr>
          <w:p w14:paraId="7B08E20F">
            <w:pPr>
              <w:pStyle w:val="17"/>
              <w:spacing w:before="34"/>
              <w:ind w:left="188" w:right="180"/>
              <w:rPr>
                <w:rFonts w:ascii="Times New Roman"/>
                <w:sz w:val="21"/>
              </w:rPr>
            </w:pPr>
            <w:r>
              <w:rPr>
                <w:rFonts w:ascii="Times New Roman"/>
                <w:sz w:val="21"/>
              </w:rPr>
              <w:t>1.33E-01</w:t>
            </w:r>
          </w:p>
        </w:tc>
        <w:tc>
          <w:tcPr>
            <w:tcW w:w="1317" w:type="dxa"/>
          </w:tcPr>
          <w:p w14:paraId="58E10E95">
            <w:pPr>
              <w:pStyle w:val="17"/>
              <w:spacing w:before="34"/>
              <w:ind w:left="108" w:right="98"/>
              <w:rPr>
                <w:rFonts w:ascii="Times New Roman"/>
                <w:sz w:val="21"/>
              </w:rPr>
            </w:pPr>
            <w:r>
              <w:rPr>
                <w:rFonts w:ascii="Times New Roman"/>
                <w:sz w:val="21"/>
              </w:rPr>
              <w:t>23060804</w:t>
            </w:r>
          </w:p>
        </w:tc>
        <w:tc>
          <w:tcPr>
            <w:tcW w:w="1230" w:type="dxa"/>
          </w:tcPr>
          <w:p w14:paraId="6C2FAB5A">
            <w:pPr>
              <w:pStyle w:val="17"/>
              <w:spacing w:before="34"/>
              <w:ind w:left="175" w:right="166"/>
              <w:rPr>
                <w:rFonts w:ascii="Times New Roman"/>
                <w:sz w:val="21"/>
              </w:rPr>
            </w:pPr>
            <w:r>
              <w:rPr>
                <w:rFonts w:ascii="Times New Roman"/>
                <w:sz w:val="21"/>
              </w:rPr>
              <w:t>0.00E+00</w:t>
            </w:r>
          </w:p>
        </w:tc>
        <w:tc>
          <w:tcPr>
            <w:tcW w:w="1725" w:type="dxa"/>
          </w:tcPr>
          <w:p w14:paraId="428715F3">
            <w:pPr>
              <w:pStyle w:val="17"/>
              <w:spacing w:before="34"/>
              <w:ind w:left="417" w:right="413"/>
              <w:rPr>
                <w:rFonts w:ascii="Times New Roman"/>
                <w:sz w:val="21"/>
              </w:rPr>
            </w:pPr>
            <w:r>
              <w:rPr>
                <w:rFonts w:ascii="Times New Roman"/>
                <w:sz w:val="21"/>
              </w:rPr>
              <w:t>1.33E-01</w:t>
            </w:r>
          </w:p>
        </w:tc>
        <w:tc>
          <w:tcPr>
            <w:tcW w:w="1230" w:type="dxa"/>
          </w:tcPr>
          <w:p w14:paraId="6FA134D4">
            <w:pPr>
              <w:pStyle w:val="17"/>
              <w:spacing w:before="34"/>
              <w:ind w:left="174" w:right="166"/>
              <w:rPr>
                <w:rFonts w:ascii="Times New Roman"/>
                <w:sz w:val="21"/>
              </w:rPr>
            </w:pPr>
            <w:r>
              <w:rPr>
                <w:rFonts w:ascii="Times New Roman"/>
                <w:sz w:val="21"/>
              </w:rPr>
              <w:t>4.50E+02</w:t>
            </w:r>
          </w:p>
        </w:tc>
        <w:tc>
          <w:tcPr>
            <w:tcW w:w="1517" w:type="dxa"/>
          </w:tcPr>
          <w:p w14:paraId="66C8399F">
            <w:pPr>
              <w:pStyle w:val="17"/>
              <w:spacing w:before="34"/>
              <w:ind w:left="499" w:right="492"/>
              <w:rPr>
                <w:rFonts w:ascii="Times New Roman"/>
                <w:sz w:val="21"/>
              </w:rPr>
            </w:pPr>
            <w:r>
              <w:rPr>
                <w:rFonts w:ascii="Times New Roman"/>
                <w:sz w:val="21"/>
              </w:rPr>
              <w:t>0.03</w:t>
            </w:r>
          </w:p>
        </w:tc>
        <w:tc>
          <w:tcPr>
            <w:tcW w:w="712" w:type="dxa"/>
            <w:tcBorders>
              <w:right w:val="nil"/>
            </w:tcBorders>
          </w:tcPr>
          <w:p w14:paraId="6B45081F">
            <w:pPr>
              <w:pStyle w:val="17"/>
              <w:spacing w:before="20"/>
              <w:ind w:left="122" w:right="121"/>
              <w:rPr>
                <w:sz w:val="21"/>
              </w:rPr>
            </w:pPr>
            <w:r>
              <w:rPr>
                <w:sz w:val="21"/>
              </w:rPr>
              <w:t>达标</w:t>
            </w:r>
          </w:p>
        </w:tc>
      </w:tr>
      <w:tr w14:paraId="3792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8C8835C">
            <w:pPr>
              <w:pStyle w:val="17"/>
              <w:jc w:val="left"/>
              <w:rPr>
                <w:rFonts w:ascii="Times New Roman"/>
                <w:sz w:val="20"/>
              </w:rPr>
            </w:pPr>
          </w:p>
        </w:tc>
        <w:tc>
          <w:tcPr>
            <w:tcW w:w="1265" w:type="dxa"/>
          </w:tcPr>
          <w:p w14:paraId="1CD90ECD">
            <w:pPr>
              <w:pStyle w:val="17"/>
              <w:jc w:val="left"/>
              <w:rPr>
                <w:rFonts w:ascii="Times New Roman"/>
                <w:sz w:val="20"/>
              </w:rPr>
            </w:pPr>
          </w:p>
        </w:tc>
        <w:tc>
          <w:tcPr>
            <w:tcW w:w="771" w:type="dxa"/>
          </w:tcPr>
          <w:p w14:paraId="7C43A1EC">
            <w:pPr>
              <w:pStyle w:val="17"/>
              <w:jc w:val="left"/>
              <w:rPr>
                <w:rFonts w:ascii="Times New Roman"/>
                <w:sz w:val="20"/>
              </w:rPr>
            </w:pPr>
          </w:p>
        </w:tc>
        <w:tc>
          <w:tcPr>
            <w:tcW w:w="772" w:type="dxa"/>
          </w:tcPr>
          <w:p w14:paraId="6EC195A3">
            <w:pPr>
              <w:pStyle w:val="17"/>
              <w:jc w:val="left"/>
              <w:rPr>
                <w:rFonts w:ascii="Times New Roman"/>
                <w:sz w:val="20"/>
              </w:rPr>
            </w:pPr>
          </w:p>
        </w:tc>
        <w:tc>
          <w:tcPr>
            <w:tcW w:w="921" w:type="dxa"/>
          </w:tcPr>
          <w:p w14:paraId="4266AB0E">
            <w:pPr>
              <w:pStyle w:val="17"/>
              <w:jc w:val="left"/>
              <w:rPr>
                <w:rFonts w:ascii="Times New Roman"/>
                <w:sz w:val="20"/>
              </w:rPr>
            </w:pPr>
          </w:p>
        </w:tc>
        <w:tc>
          <w:tcPr>
            <w:tcW w:w="1035" w:type="dxa"/>
          </w:tcPr>
          <w:p w14:paraId="18EE9548">
            <w:pPr>
              <w:pStyle w:val="17"/>
              <w:spacing w:before="19"/>
              <w:ind w:left="201"/>
              <w:jc w:val="left"/>
              <w:rPr>
                <w:sz w:val="21"/>
              </w:rPr>
            </w:pPr>
            <w:r>
              <w:rPr>
                <w:sz w:val="21"/>
              </w:rPr>
              <w:t>日均值</w:t>
            </w:r>
          </w:p>
        </w:tc>
        <w:tc>
          <w:tcPr>
            <w:tcW w:w="1259" w:type="dxa"/>
          </w:tcPr>
          <w:p w14:paraId="46D52323">
            <w:pPr>
              <w:pStyle w:val="17"/>
              <w:spacing w:before="33"/>
              <w:ind w:left="188" w:right="180"/>
              <w:rPr>
                <w:rFonts w:ascii="Times New Roman"/>
                <w:sz w:val="21"/>
              </w:rPr>
            </w:pPr>
            <w:r>
              <w:rPr>
                <w:rFonts w:ascii="Times New Roman"/>
                <w:sz w:val="21"/>
              </w:rPr>
              <w:t>1.14E-02</w:t>
            </w:r>
          </w:p>
        </w:tc>
        <w:tc>
          <w:tcPr>
            <w:tcW w:w="1317" w:type="dxa"/>
          </w:tcPr>
          <w:p w14:paraId="1DB53305">
            <w:pPr>
              <w:pStyle w:val="17"/>
              <w:spacing w:before="33"/>
              <w:ind w:left="108" w:right="98"/>
              <w:rPr>
                <w:rFonts w:ascii="Times New Roman"/>
                <w:sz w:val="21"/>
              </w:rPr>
            </w:pPr>
            <w:r>
              <w:rPr>
                <w:rFonts w:ascii="Times New Roman"/>
                <w:sz w:val="21"/>
              </w:rPr>
              <w:t>231013</w:t>
            </w:r>
          </w:p>
        </w:tc>
        <w:tc>
          <w:tcPr>
            <w:tcW w:w="1230" w:type="dxa"/>
          </w:tcPr>
          <w:p w14:paraId="4BBB6019">
            <w:pPr>
              <w:pStyle w:val="17"/>
              <w:spacing w:before="33"/>
              <w:ind w:left="175" w:right="166"/>
              <w:rPr>
                <w:rFonts w:ascii="Times New Roman"/>
                <w:sz w:val="21"/>
              </w:rPr>
            </w:pPr>
            <w:r>
              <w:rPr>
                <w:rFonts w:ascii="Times New Roman"/>
                <w:sz w:val="21"/>
              </w:rPr>
              <w:t>0.00E+00</w:t>
            </w:r>
          </w:p>
        </w:tc>
        <w:tc>
          <w:tcPr>
            <w:tcW w:w="1725" w:type="dxa"/>
          </w:tcPr>
          <w:p w14:paraId="69758D64">
            <w:pPr>
              <w:pStyle w:val="17"/>
              <w:spacing w:before="33"/>
              <w:ind w:left="417" w:right="413"/>
              <w:rPr>
                <w:rFonts w:ascii="Times New Roman"/>
                <w:sz w:val="21"/>
              </w:rPr>
            </w:pPr>
            <w:r>
              <w:rPr>
                <w:rFonts w:ascii="Times New Roman"/>
                <w:sz w:val="21"/>
              </w:rPr>
              <w:t>1.14E-02</w:t>
            </w:r>
          </w:p>
        </w:tc>
        <w:tc>
          <w:tcPr>
            <w:tcW w:w="1230" w:type="dxa"/>
          </w:tcPr>
          <w:p w14:paraId="387BDB89">
            <w:pPr>
              <w:pStyle w:val="17"/>
              <w:spacing w:before="33"/>
              <w:ind w:left="174" w:right="166"/>
              <w:rPr>
                <w:rFonts w:ascii="Times New Roman"/>
                <w:sz w:val="21"/>
              </w:rPr>
            </w:pPr>
            <w:r>
              <w:rPr>
                <w:rFonts w:ascii="Times New Roman"/>
                <w:sz w:val="21"/>
              </w:rPr>
              <w:t>1.50E+02</w:t>
            </w:r>
          </w:p>
        </w:tc>
        <w:tc>
          <w:tcPr>
            <w:tcW w:w="1517" w:type="dxa"/>
          </w:tcPr>
          <w:p w14:paraId="6C17C028">
            <w:pPr>
              <w:pStyle w:val="17"/>
              <w:spacing w:before="33"/>
              <w:ind w:left="499" w:right="492"/>
              <w:rPr>
                <w:rFonts w:ascii="Times New Roman"/>
                <w:sz w:val="21"/>
              </w:rPr>
            </w:pPr>
            <w:r>
              <w:rPr>
                <w:rFonts w:ascii="Times New Roman"/>
                <w:sz w:val="21"/>
              </w:rPr>
              <w:t>0.01</w:t>
            </w:r>
          </w:p>
        </w:tc>
        <w:tc>
          <w:tcPr>
            <w:tcW w:w="712" w:type="dxa"/>
            <w:tcBorders>
              <w:right w:val="nil"/>
            </w:tcBorders>
          </w:tcPr>
          <w:p w14:paraId="42929934">
            <w:pPr>
              <w:pStyle w:val="17"/>
              <w:spacing w:before="19"/>
              <w:ind w:left="122" w:right="121"/>
              <w:rPr>
                <w:sz w:val="21"/>
              </w:rPr>
            </w:pPr>
            <w:r>
              <w:rPr>
                <w:sz w:val="21"/>
              </w:rPr>
              <w:t>达标</w:t>
            </w:r>
          </w:p>
        </w:tc>
      </w:tr>
      <w:tr w14:paraId="6E9AB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6EA918C">
            <w:pPr>
              <w:pStyle w:val="17"/>
              <w:jc w:val="left"/>
              <w:rPr>
                <w:rFonts w:ascii="Times New Roman"/>
                <w:sz w:val="20"/>
              </w:rPr>
            </w:pPr>
          </w:p>
        </w:tc>
        <w:tc>
          <w:tcPr>
            <w:tcW w:w="1265" w:type="dxa"/>
          </w:tcPr>
          <w:p w14:paraId="54199CA4">
            <w:pPr>
              <w:pStyle w:val="17"/>
              <w:jc w:val="left"/>
              <w:rPr>
                <w:rFonts w:ascii="Times New Roman"/>
                <w:sz w:val="20"/>
              </w:rPr>
            </w:pPr>
          </w:p>
        </w:tc>
        <w:tc>
          <w:tcPr>
            <w:tcW w:w="771" w:type="dxa"/>
          </w:tcPr>
          <w:p w14:paraId="3E1E16E2">
            <w:pPr>
              <w:pStyle w:val="17"/>
              <w:jc w:val="left"/>
              <w:rPr>
                <w:rFonts w:ascii="Times New Roman"/>
                <w:sz w:val="20"/>
              </w:rPr>
            </w:pPr>
          </w:p>
        </w:tc>
        <w:tc>
          <w:tcPr>
            <w:tcW w:w="772" w:type="dxa"/>
          </w:tcPr>
          <w:p w14:paraId="6ECBE83D">
            <w:pPr>
              <w:pStyle w:val="17"/>
              <w:jc w:val="left"/>
              <w:rPr>
                <w:rFonts w:ascii="Times New Roman"/>
                <w:sz w:val="20"/>
              </w:rPr>
            </w:pPr>
          </w:p>
        </w:tc>
        <w:tc>
          <w:tcPr>
            <w:tcW w:w="921" w:type="dxa"/>
          </w:tcPr>
          <w:p w14:paraId="73E6715D">
            <w:pPr>
              <w:pStyle w:val="17"/>
              <w:jc w:val="left"/>
              <w:rPr>
                <w:rFonts w:ascii="Times New Roman"/>
                <w:sz w:val="20"/>
              </w:rPr>
            </w:pPr>
          </w:p>
        </w:tc>
        <w:tc>
          <w:tcPr>
            <w:tcW w:w="1035" w:type="dxa"/>
          </w:tcPr>
          <w:p w14:paraId="21D2719B">
            <w:pPr>
              <w:pStyle w:val="17"/>
              <w:spacing w:before="19"/>
              <w:ind w:left="201"/>
              <w:jc w:val="left"/>
              <w:rPr>
                <w:sz w:val="21"/>
              </w:rPr>
            </w:pPr>
            <w:r>
              <w:rPr>
                <w:sz w:val="21"/>
              </w:rPr>
              <w:t>年均值</w:t>
            </w:r>
          </w:p>
        </w:tc>
        <w:tc>
          <w:tcPr>
            <w:tcW w:w="1259" w:type="dxa"/>
          </w:tcPr>
          <w:p w14:paraId="69329686">
            <w:pPr>
              <w:pStyle w:val="17"/>
              <w:spacing w:before="33"/>
              <w:ind w:left="188" w:right="180"/>
              <w:rPr>
                <w:rFonts w:ascii="Times New Roman"/>
                <w:sz w:val="21"/>
              </w:rPr>
            </w:pPr>
            <w:r>
              <w:rPr>
                <w:rFonts w:ascii="Times New Roman"/>
                <w:sz w:val="21"/>
              </w:rPr>
              <w:t>1.46E-03</w:t>
            </w:r>
          </w:p>
        </w:tc>
        <w:tc>
          <w:tcPr>
            <w:tcW w:w="1317" w:type="dxa"/>
          </w:tcPr>
          <w:p w14:paraId="3A277EF7">
            <w:pPr>
              <w:pStyle w:val="17"/>
              <w:spacing w:before="19"/>
              <w:ind w:left="107" w:right="98"/>
              <w:rPr>
                <w:sz w:val="21"/>
              </w:rPr>
            </w:pPr>
            <w:r>
              <w:rPr>
                <w:sz w:val="21"/>
              </w:rPr>
              <w:t>平均值</w:t>
            </w:r>
          </w:p>
        </w:tc>
        <w:tc>
          <w:tcPr>
            <w:tcW w:w="1230" w:type="dxa"/>
          </w:tcPr>
          <w:p w14:paraId="1A6F0D08">
            <w:pPr>
              <w:pStyle w:val="17"/>
              <w:spacing w:before="33"/>
              <w:ind w:left="175" w:right="166"/>
              <w:rPr>
                <w:rFonts w:ascii="Times New Roman"/>
                <w:sz w:val="21"/>
              </w:rPr>
            </w:pPr>
            <w:r>
              <w:rPr>
                <w:rFonts w:ascii="Times New Roman"/>
                <w:sz w:val="21"/>
              </w:rPr>
              <w:t>0.00E+00</w:t>
            </w:r>
          </w:p>
        </w:tc>
        <w:tc>
          <w:tcPr>
            <w:tcW w:w="1725" w:type="dxa"/>
          </w:tcPr>
          <w:p w14:paraId="15BF2E0A">
            <w:pPr>
              <w:pStyle w:val="17"/>
              <w:spacing w:before="33"/>
              <w:ind w:left="417" w:right="413"/>
              <w:rPr>
                <w:rFonts w:ascii="Times New Roman"/>
                <w:sz w:val="21"/>
              </w:rPr>
            </w:pPr>
            <w:r>
              <w:rPr>
                <w:rFonts w:ascii="Times New Roman"/>
                <w:sz w:val="21"/>
              </w:rPr>
              <w:t>1.46E-03</w:t>
            </w:r>
          </w:p>
        </w:tc>
        <w:tc>
          <w:tcPr>
            <w:tcW w:w="1230" w:type="dxa"/>
          </w:tcPr>
          <w:p w14:paraId="3B771DB9">
            <w:pPr>
              <w:pStyle w:val="17"/>
              <w:spacing w:before="33"/>
              <w:ind w:left="174" w:right="166"/>
              <w:rPr>
                <w:rFonts w:ascii="Times New Roman"/>
                <w:sz w:val="21"/>
              </w:rPr>
            </w:pPr>
            <w:r>
              <w:rPr>
                <w:rFonts w:ascii="Times New Roman"/>
                <w:sz w:val="21"/>
              </w:rPr>
              <w:t>7.00E+01</w:t>
            </w:r>
          </w:p>
        </w:tc>
        <w:tc>
          <w:tcPr>
            <w:tcW w:w="1517" w:type="dxa"/>
          </w:tcPr>
          <w:p w14:paraId="155C9A5B">
            <w:pPr>
              <w:pStyle w:val="17"/>
              <w:spacing w:before="33"/>
              <w:ind w:left="499" w:right="492"/>
              <w:rPr>
                <w:rFonts w:ascii="Times New Roman"/>
                <w:sz w:val="21"/>
              </w:rPr>
            </w:pPr>
            <w:r>
              <w:rPr>
                <w:rFonts w:ascii="Times New Roman"/>
                <w:sz w:val="21"/>
              </w:rPr>
              <w:t>0.00</w:t>
            </w:r>
          </w:p>
        </w:tc>
        <w:tc>
          <w:tcPr>
            <w:tcW w:w="712" w:type="dxa"/>
            <w:tcBorders>
              <w:right w:val="nil"/>
            </w:tcBorders>
          </w:tcPr>
          <w:p w14:paraId="57520BFB">
            <w:pPr>
              <w:pStyle w:val="17"/>
              <w:spacing w:before="19"/>
              <w:ind w:left="122" w:right="121"/>
              <w:rPr>
                <w:sz w:val="21"/>
              </w:rPr>
            </w:pPr>
            <w:r>
              <w:rPr>
                <w:sz w:val="21"/>
              </w:rPr>
              <w:t>达标</w:t>
            </w:r>
          </w:p>
        </w:tc>
      </w:tr>
      <w:tr w14:paraId="1F407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4F09B0D4">
            <w:pPr>
              <w:pStyle w:val="17"/>
              <w:spacing w:before="35"/>
              <w:ind w:right="169"/>
              <w:jc w:val="right"/>
              <w:rPr>
                <w:rFonts w:ascii="Times New Roman"/>
                <w:sz w:val="21"/>
              </w:rPr>
            </w:pPr>
            <w:r>
              <w:rPr>
                <w:rFonts w:ascii="Times New Roman"/>
                <w:w w:val="99"/>
                <w:sz w:val="21"/>
              </w:rPr>
              <w:t>8</w:t>
            </w:r>
          </w:p>
        </w:tc>
        <w:tc>
          <w:tcPr>
            <w:tcW w:w="1265" w:type="dxa"/>
          </w:tcPr>
          <w:p w14:paraId="32017F12">
            <w:pPr>
              <w:pStyle w:val="17"/>
              <w:spacing w:before="21" w:line="269" w:lineRule="exact"/>
              <w:ind w:left="189" w:right="186"/>
              <w:rPr>
                <w:sz w:val="21"/>
              </w:rPr>
            </w:pPr>
            <w:r>
              <w:rPr>
                <w:sz w:val="21"/>
              </w:rPr>
              <w:t>新市中心</w:t>
            </w:r>
          </w:p>
        </w:tc>
        <w:tc>
          <w:tcPr>
            <w:tcW w:w="771" w:type="dxa"/>
          </w:tcPr>
          <w:p w14:paraId="04A561AE">
            <w:pPr>
              <w:pStyle w:val="17"/>
              <w:spacing w:before="35"/>
              <w:ind w:right="129"/>
              <w:jc w:val="right"/>
              <w:rPr>
                <w:rFonts w:ascii="Times New Roman"/>
                <w:sz w:val="21"/>
              </w:rPr>
            </w:pPr>
            <w:r>
              <w:rPr>
                <w:rFonts w:ascii="Times New Roman"/>
                <w:w w:val="95"/>
                <w:sz w:val="21"/>
              </w:rPr>
              <w:t>-1878</w:t>
            </w:r>
          </w:p>
        </w:tc>
        <w:tc>
          <w:tcPr>
            <w:tcW w:w="772" w:type="dxa"/>
          </w:tcPr>
          <w:p w14:paraId="1ABCD4C2">
            <w:pPr>
              <w:pStyle w:val="17"/>
              <w:spacing w:before="35"/>
              <w:ind w:right="162"/>
              <w:jc w:val="right"/>
              <w:rPr>
                <w:rFonts w:ascii="Times New Roman"/>
                <w:sz w:val="21"/>
              </w:rPr>
            </w:pPr>
            <w:r>
              <w:rPr>
                <w:rFonts w:ascii="Times New Roman"/>
                <w:sz w:val="21"/>
              </w:rPr>
              <w:t>1595</w:t>
            </w:r>
          </w:p>
        </w:tc>
        <w:tc>
          <w:tcPr>
            <w:tcW w:w="921" w:type="dxa"/>
          </w:tcPr>
          <w:p w14:paraId="3B17BD80">
            <w:pPr>
              <w:pStyle w:val="17"/>
              <w:spacing w:before="35"/>
              <w:ind w:left="203" w:right="195"/>
              <w:rPr>
                <w:rFonts w:ascii="Times New Roman"/>
                <w:sz w:val="21"/>
              </w:rPr>
            </w:pPr>
            <w:r>
              <w:rPr>
                <w:rFonts w:ascii="Times New Roman"/>
                <w:sz w:val="21"/>
              </w:rPr>
              <w:t>54.65</w:t>
            </w:r>
          </w:p>
        </w:tc>
        <w:tc>
          <w:tcPr>
            <w:tcW w:w="1035" w:type="dxa"/>
          </w:tcPr>
          <w:p w14:paraId="16891048">
            <w:pPr>
              <w:pStyle w:val="17"/>
              <w:spacing w:before="18"/>
              <w:ind w:left="201"/>
              <w:jc w:val="left"/>
              <w:rPr>
                <w:sz w:val="21"/>
              </w:rPr>
            </w:pPr>
            <w:r>
              <w:rPr>
                <w:sz w:val="21"/>
              </w:rPr>
              <w:t>小时值</w:t>
            </w:r>
          </w:p>
        </w:tc>
        <w:tc>
          <w:tcPr>
            <w:tcW w:w="1259" w:type="dxa"/>
          </w:tcPr>
          <w:p w14:paraId="4C2B7E45">
            <w:pPr>
              <w:pStyle w:val="17"/>
              <w:spacing w:before="35"/>
              <w:ind w:left="188" w:right="180"/>
              <w:rPr>
                <w:rFonts w:ascii="Times New Roman"/>
                <w:sz w:val="21"/>
              </w:rPr>
            </w:pPr>
            <w:r>
              <w:rPr>
                <w:rFonts w:ascii="Times New Roman"/>
                <w:sz w:val="21"/>
              </w:rPr>
              <w:t>1.31E-01</w:t>
            </w:r>
          </w:p>
        </w:tc>
        <w:tc>
          <w:tcPr>
            <w:tcW w:w="1317" w:type="dxa"/>
          </w:tcPr>
          <w:p w14:paraId="5CC4D2CF">
            <w:pPr>
              <w:pStyle w:val="17"/>
              <w:spacing w:before="35"/>
              <w:ind w:left="108" w:right="98"/>
              <w:rPr>
                <w:rFonts w:ascii="Times New Roman"/>
                <w:sz w:val="21"/>
              </w:rPr>
            </w:pPr>
            <w:r>
              <w:rPr>
                <w:rFonts w:ascii="Times New Roman"/>
                <w:sz w:val="21"/>
              </w:rPr>
              <w:t>23082607</w:t>
            </w:r>
          </w:p>
        </w:tc>
        <w:tc>
          <w:tcPr>
            <w:tcW w:w="1230" w:type="dxa"/>
          </w:tcPr>
          <w:p w14:paraId="54172136">
            <w:pPr>
              <w:pStyle w:val="17"/>
              <w:spacing w:before="35"/>
              <w:ind w:left="175" w:right="166"/>
              <w:rPr>
                <w:rFonts w:ascii="Times New Roman"/>
                <w:sz w:val="21"/>
              </w:rPr>
            </w:pPr>
            <w:r>
              <w:rPr>
                <w:rFonts w:ascii="Times New Roman"/>
                <w:sz w:val="21"/>
              </w:rPr>
              <w:t>0.00E+00</w:t>
            </w:r>
          </w:p>
        </w:tc>
        <w:tc>
          <w:tcPr>
            <w:tcW w:w="1725" w:type="dxa"/>
          </w:tcPr>
          <w:p w14:paraId="265C7C76">
            <w:pPr>
              <w:pStyle w:val="17"/>
              <w:spacing w:before="35"/>
              <w:ind w:left="417" w:right="413"/>
              <w:rPr>
                <w:rFonts w:ascii="Times New Roman"/>
                <w:sz w:val="21"/>
              </w:rPr>
            </w:pPr>
            <w:r>
              <w:rPr>
                <w:rFonts w:ascii="Times New Roman"/>
                <w:sz w:val="21"/>
              </w:rPr>
              <w:t>1.31E-01</w:t>
            </w:r>
          </w:p>
        </w:tc>
        <w:tc>
          <w:tcPr>
            <w:tcW w:w="1230" w:type="dxa"/>
          </w:tcPr>
          <w:p w14:paraId="61C241E7">
            <w:pPr>
              <w:pStyle w:val="17"/>
              <w:spacing w:before="35"/>
              <w:ind w:left="174" w:right="166"/>
              <w:rPr>
                <w:rFonts w:ascii="Times New Roman"/>
                <w:sz w:val="21"/>
              </w:rPr>
            </w:pPr>
            <w:r>
              <w:rPr>
                <w:rFonts w:ascii="Times New Roman"/>
                <w:sz w:val="21"/>
              </w:rPr>
              <w:t>4.50E+02</w:t>
            </w:r>
          </w:p>
        </w:tc>
        <w:tc>
          <w:tcPr>
            <w:tcW w:w="1517" w:type="dxa"/>
          </w:tcPr>
          <w:p w14:paraId="0D222C0B">
            <w:pPr>
              <w:pStyle w:val="17"/>
              <w:spacing w:before="35"/>
              <w:ind w:left="499" w:right="492"/>
              <w:rPr>
                <w:rFonts w:ascii="Times New Roman"/>
                <w:sz w:val="21"/>
              </w:rPr>
            </w:pPr>
            <w:r>
              <w:rPr>
                <w:rFonts w:ascii="Times New Roman"/>
                <w:sz w:val="21"/>
              </w:rPr>
              <w:t>0.03</w:t>
            </w:r>
          </w:p>
        </w:tc>
        <w:tc>
          <w:tcPr>
            <w:tcW w:w="712" w:type="dxa"/>
            <w:tcBorders>
              <w:right w:val="nil"/>
            </w:tcBorders>
          </w:tcPr>
          <w:p w14:paraId="0FA15D70">
            <w:pPr>
              <w:pStyle w:val="17"/>
              <w:spacing w:before="18"/>
              <w:ind w:left="122" w:right="121"/>
              <w:rPr>
                <w:sz w:val="21"/>
              </w:rPr>
            </w:pPr>
            <w:r>
              <w:rPr>
                <w:sz w:val="21"/>
              </w:rPr>
              <w:t>达标</w:t>
            </w:r>
          </w:p>
        </w:tc>
      </w:tr>
    </w:tbl>
    <w:p w14:paraId="464DCB3C">
      <w:pPr>
        <w:spacing w:after="0"/>
        <w:rPr>
          <w:sz w:val="21"/>
        </w:rPr>
        <w:sectPr>
          <w:pgSz w:w="16840" w:h="11910" w:orient="landscape"/>
          <w:pgMar w:top="1100" w:right="1080" w:bottom="1380" w:left="1200" w:header="0" w:footer="1192" w:gutter="0"/>
          <w:cols w:space="720" w:num="1"/>
        </w:sectPr>
      </w:pPr>
    </w:p>
    <w:p w14:paraId="085DF695">
      <w:pPr>
        <w:pStyle w:val="10"/>
        <w:spacing w:before="8"/>
        <w:rPr>
          <w:b/>
          <w:sz w:val="5"/>
        </w:rPr>
      </w:pP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43101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8645651">
            <w:pPr>
              <w:pStyle w:val="17"/>
              <w:jc w:val="left"/>
              <w:rPr>
                <w:rFonts w:ascii="Times New Roman"/>
                <w:sz w:val="20"/>
              </w:rPr>
            </w:pPr>
          </w:p>
        </w:tc>
        <w:tc>
          <w:tcPr>
            <w:tcW w:w="1265" w:type="dxa"/>
          </w:tcPr>
          <w:p w14:paraId="7AEB52DD">
            <w:pPr>
              <w:pStyle w:val="17"/>
              <w:spacing w:before="20"/>
              <w:ind w:left="189" w:right="183"/>
              <w:rPr>
                <w:sz w:val="21"/>
              </w:rPr>
            </w:pPr>
            <w:r>
              <w:rPr>
                <w:sz w:val="21"/>
              </w:rPr>
              <w:t>小学</w:t>
            </w:r>
          </w:p>
        </w:tc>
        <w:tc>
          <w:tcPr>
            <w:tcW w:w="771" w:type="dxa"/>
          </w:tcPr>
          <w:p w14:paraId="6A0D588F">
            <w:pPr>
              <w:pStyle w:val="17"/>
              <w:jc w:val="left"/>
              <w:rPr>
                <w:rFonts w:ascii="Times New Roman"/>
                <w:sz w:val="20"/>
              </w:rPr>
            </w:pPr>
          </w:p>
        </w:tc>
        <w:tc>
          <w:tcPr>
            <w:tcW w:w="772" w:type="dxa"/>
          </w:tcPr>
          <w:p w14:paraId="76F23CE0">
            <w:pPr>
              <w:pStyle w:val="17"/>
              <w:jc w:val="left"/>
              <w:rPr>
                <w:rFonts w:ascii="Times New Roman"/>
                <w:sz w:val="20"/>
              </w:rPr>
            </w:pPr>
          </w:p>
        </w:tc>
        <w:tc>
          <w:tcPr>
            <w:tcW w:w="921" w:type="dxa"/>
          </w:tcPr>
          <w:p w14:paraId="2515B492">
            <w:pPr>
              <w:pStyle w:val="17"/>
              <w:jc w:val="left"/>
              <w:rPr>
                <w:rFonts w:ascii="Times New Roman"/>
                <w:sz w:val="20"/>
              </w:rPr>
            </w:pPr>
          </w:p>
        </w:tc>
        <w:tc>
          <w:tcPr>
            <w:tcW w:w="1035" w:type="dxa"/>
          </w:tcPr>
          <w:p w14:paraId="3EEBBDA7">
            <w:pPr>
              <w:pStyle w:val="17"/>
              <w:jc w:val="left"/>
              <w:rPr>
                <w:rFonts w:ascii="Times New Roman"/>
                <w:sz w:val="20"/>
              </w:rPr>
            </w:pPr>
          </w:p>
        </w:tc>
        <w:tc>
          <w:tcPr>
            <w:tcW w:w="1259" w:type="dxa"/>
          </w:tcPr>
          <w:p w14:paraId="61764E18">
            <w:pPr>
              <w:pStyle w:val="17"/>
              <w:jc w:val="left"/>
              <w:rPr>
                <w:rFonts w:ascii="Times New Roman"/>
                <w:sz w:val="20"/>
              </w:rPr>
            </w:pPr>
          </w:p>
        </w:tc>
        <w:tc>
          <w:tcPr>
            <w:tcW w:w="1317" w:type="dxa"/>
          </w:tcPr>
          <w:p w14:paraId="1FE29260">
            <w:pPr>
              <w:pStyle w:val="17"/>
              <w:jc w:val="left"/>
              <w:rPr>
                <w:rFonts w:ascii="Times New Roman"/>
                <w:sz w:val="20"/>
              </w:rPr>
            </w:pPr>
          </w:p>
        </w:tc>
        <w:tc>
          <w:tcPr>
            <w:tcW w:w="1230" w:type="dxa"/>
          </w:tcPr>
          <w:p w14:paraId="32B8FD39">
            <w:pPr>
              <w:pStyle w:val="17"/>
              <w:jc w:val="left"/>
              <w:rPr>
                <w:rFonts w:ascii="Times New Roman"/>
                <w:sz w:val="20"/>
              </w:rPr>
            </w:pPr>
          </w:p>
        </w:tc>
        <w:tc>
          <w:tcPr>
            <w:tcW w:w="1725" w:type="dxa"/>
          </w:tcPr>
          <w:p w14:paraId="3BD1C353">
            <w:pPr>
              <w:pStyle w:val="17"/>
              <w:jc w:val="left"/>
              <w:rPr>
                <w:rFonts w:ascii="Times New Roman"/>
                <w:sz w:val="20"/>
              </w:rPr>
            </w:pPr>
          </w:p>
        </w:tc>
        <w:tc>
          <w:tcPr>
            <w:tcW w:w="1230" w:type="dxa"/>
          </w:tcPr>
          <w:p w14:paraId="6B248442">
            <w:pPr>
              <w:pStyle w:val="17"/>
              <w:jc w:val="left"/>
              <w:rPr>
                <w:rFonts w:ascii="Times New Roman"/>
                <w:sz w:val="20"/>
              </w:rPr>
            </w:pPr>
          </w:p>
        </w:tc>
        <w:tc>
          <w:tcPr>
            <w:tcW w:w="1517" w:type="dxa"/>
          </w:tcPr>
          <w:p w14:paraId="72FDAA5F">
            <w:pPr>
              <w:pStyle w:val="17"/>
              <w:jc w:val="left"/>
              <w:rPr>
                <w:rFonts w:ascii="Times New Roman"/>
                <w:sz w:val="20"/>
              </w:rPr>
            </w:pPr>
          </w:p>
        </w:tc>
        <w:tc>
          <w:tcPr>
            <w:tcW w:w="712" w:type="dxa"/>
            <w:tcBorders>
              <w:right w:val="nil"/>
            </w:tcBorders>
          </w:tcPr>
          <w:p w14:paraId="520B7070">
            <w:pPr>
              <w:pStyle w:val="17"/>
              <w:jc w:val="left"/>
              <w:rPr>
                <w:rFonts w:ascii="Times New Roman"/>
                <w:sz w:val="20"/>
              </w:rPr>
            </w:pPr>
          </w:p>
        </w:tc>
      </w:tr>
      <w:tr w14:paraId="6A2A2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7CF1ED5">
            <w:pPr>
              <w:pStyle w:val="17"/>
              <w:jc w:val="left"/>
              <w:rPr>
                <w:rFonts w:ascii="Times New Roman"/>
                <w:sz w:val="20"/>
              </w:rPr>
            </w:pPr>
          </w:p>
        </w:tc>
        <w:tc>
          <w:tcPr>
            <w:tcW w:w="1265" w:type="dxa"/>
          </w:tcPr>
          <w:p w14:paraId="078A12BB">
            <w:pPr>
              <w:pStyle w:val="17"/>
              <w:jc w:val="left"/>
              <w:rPr>
                <w:rFonts w:ascii="Times New Roman"/>
                <w:sz w:val="20"/>
              </w:rPr>
            </w:pPr>
          </w:p>
        </w:tc>
        <w:tc>
          <w:tcPr>
            <w:tcW w:w="771" w:type="dxa"/>
          </w:tcPr>
          <w:p w14:paraId="00CE0AC8">
            <w:pPr>
              <w:pStyle w:val="17"/>
              <w:jc w:val="left"/>
              <w:rPr>
                <w:rFonts w:ascii="Times New Roman"/>
                <w:sz w:val="20"/>
              </w:rPr>
            </w:pPr>
          </w:p>
        </w:tc>
        <w:tc>
          <w:tcPr>
            <w:tcW w:w="772" w:type="dxa"/>
          </w:tcPr>
          <w:p w14:paraId="6FEB56DF">
            <w:pPr>
              <w:pStyle w:val="17"/>
              <w:jc w:val="left"/>
              <w:rPr>
                <w:rFonts w:ascii="Times New Roman"/>
                <w:sz w:val="20"/>
              </w:rPr>
            </w:pPr>
          </w:p>
        </w:tc>
        <w:tc>
          <w:tcPr>
            <w:tcW w:w="921" w:type="dxa"/>
          </w:tcPr>
          <w:p w14:paraId="7EDF5B1C">
            <w:pPr>
              <w:pStyle w:val="17"/>
              <w:jc w:val="left"/>
              <w:rPr>
                <w:rFonts w:ascii="Times New Roman"/>
                <w:sz w:val="20"/>
              </w:rPr>
            </w:pPr>
          </w:p>
        </w:tc>
        <w:tc>
          <w:tcPr>
            <w:tcW w:w="1035" w:type="dxa"/>
          </w:tcPr>
          <w:p w14:paraId="2DCF795B">
            <w:pPr>
              <w:pStyle w:val="17"/>
              <w:spacing w:before="20"/>
              <w:ind w:left="201"/>
              <w:jc w:val="left"/>
              <w:rPr>
                <w:sz w:val="21"/>
              </w:rPr>
            </w:pPr>
            <w:r>
              <w:rPr>
                <w:sz w:val="21"/>
              </w:rPr>
              <w:t>日均值</w:t>
            </w:r>
          </w:p>
        </w:tc>
        <w:tc>
          <w:tcPr>
            <w:tcW w:w="1259" w:type="dxa"/>
          </w:tcPr>
          <w:p w14:paraId="47EA21BE">
            <w:pPr>
              <w:pStyle w:val="17"/>
              <w:spacing w:before="34"/>
              <w:ind w:left="241"/>
              <w:jc w:val="left"/>
              <w:rPr>
                <w:rFonts w:ascii="Times New Roman"/>
                <w:sz w:val="21"/>
              </w:rPr>
            </w:pPr>
            <w:r>
              <w:rPr>
                <w:rFonts w:ascii="Times New Roman"/>
                <w:sz w:val="21"/>
              </w:rPr>
              <w:t>9.96E-03</w:t>
            </w:r>
          </w:p>
        </w:tc>
        <w:tc>
          <w:tcPr>
            <w:tcW w:w="1317" w:type="dxa"/>
          </w:tcPr>
          <w:p w14:paraId="11EBDD8A">
            <w:pPr>
              <w:pStyle w:val="17"/>
              <w:spacing w:before="34"/>
              <w:ind w:left="108" w:right="98"/>
              <w:rPr>
                <w:rFonts w:ascii="Times New Roman"/>
                <w:sz w:val="21"/>
              </w:rPr>
            </w:pPr>
            <w:r>
              <w:rPr>
                <w:rFonts w:ascii="Times New Roman"/>
                <w:sz w:val="21"/>
              </w:rPr>
              <w:t>230725</w:t>
            </w:r>
          </w:p>
        </w:tc>
        <w:tc>
          <w:tcPr>
            <w:tcW w:w="1230" w:type="dxa"/>
          </w:tcPr>
          <w:p w14:paraId="1DF60072">
            <w:pPr>
              <w:pStyle w:val="17"/>
              <w:spacing w:before="34"/>
              <w:ind w:left="175" w:right="166"/>
              <w:rPr>
                <w:rFonts w:ascii="Times New Roman"/>
                <w:sz w:val="21"/>
              </w:rPr>
            </w:pPr>
            <w:r>
              <w:rPr>
                <w:rFonts w:ascii="Times New Roman"/>
                <w:sz w:val="21"/>
              </w:rPr>
              <w:t>0.00E+00</w:t>
            </w:r>
          </w:p>
        </w:tc>
        <w:tc>
          <w:tcPr>
            <w:tcW w:w="1725" w:type="dxa"/>
          </w:tcPr>
          <w:p w14:paraId="6888E154">
            <w:pPr>
              <w:pStyle w:val="17"/>
              <w:spacing w:before="34"/>
              <w:ind w:left="417" w:right="413"/>
              <w:rPr>
                <w:rFonts w:ascii="Times New Roman"/>
                <w:sz w:val="21"/>
              </w:rPr>
            </w:pPr>
            <w:r>
              <w:rPr>
                <w:rFonts w:ascii="Times New Roman"/>
                <w:sz w:val="21"/>
              </w:rPr>
              <w:t>9.96E-03</w:t>
            </w:r>
          </w:p>
        </w:tc>
        <w:tc>
          <w:tcPr>
            <w:tcW w:w="1230" w:type="dxa"/>
          </w:tcPr>
          <w:p w14:paraId="0D487D1F">
            <w:pPr>
              <w:pStyle w:val="17"/>
              <w:spacing w:before="34"/>
              <w:ind w:left="174" w:right="166"/>
              <w:rPr>
                <w:rFonts w:ascii="Times New Roman"/>
                <w:sz w:val="21"/>
              </w:rPr>
            </w:pPr>
            <w:r>
              <w:rPr>
                <w:rFonts w:ascii="Times New Roman"/>
                <w:sz w:val="21"/>
              </w:rPr>
              <w:t>1.50E+02</w:t>
            </w:r>
          </w:p>
        </w:tc>
        <w:tc>
          <w:tcPr>
            <w:tcW w:w="1517" w:type="dxa"/>
          </w:tcPr>
          <w:p w14:paraId="7E070BBA">
            <w:pPr>
              <w:pStyle w:val="17"/>
              <w:spacing w:before="34"/>
              <w:ind w:left="499" w:right="492"/>
              <w:rPr>
                <w:rFonts w:ascii="Times New Roman"/>
                <w:sz w:val="21"/>
              </w:rPr>
            </w:pPr>
            <w:r>
              <w:rPr>
                <w:rFonts w:ascii="Times New Roman"/>
                <w:sz w:val="21"/>
              </w:rPr>
              <w:t>0.01</w:t>
            </w:r>
          </w:p>
        </w:tc>
        <w:tc>
          <w:tcPr>
            <w:tcW w:w="712" w:type="dxa"/>
            <w:tcBorders>
              <w:right w:val="nil"/>
            </w:tcBorders>
          </w:tcPr>
          <w:p w14:paraId="223B71FB">
            <w:pPr>
              <w:pStyle w:val="17"/>
              <w:spacing w:before="20"/>
              <w:ind w:left="122" w:right="121"/>
              <w:rPr>
                <w:sz w:val="21"/>
              </w:rPr>
            </w:pPr>
            <w:r>
              <w:rPr>
                <w:sz w:val="21"/>
              </w:rPr>
              <w:t>达标</w:t>
            </w:r>
          </w:p>
        </w:tc>
      </w:tr>
      <w:tr w14:paraId="7A857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2D51720">
            <w:pPr>
              <w:pStyle w:val="17"/>
              <w:jc w:val="left"/>
              <w:rPr>
                <w:rFonts w:ascii="Times New Roman"/>
                <w:sz w:val="20"/>
              </w:rPr>
            </w:pPr>
          </w:p>
        </w:tc>
        <w:tc>
          <w:tcPr>
            <w:tcW w:w="1265" w:type="dxa"/>
          </w:tcPr>
          <w:p w14:paraId="03BC441A">
            <w:pPr>
              <w:pStyle w:val="17"/>
              <w:jc w:val="left"/>
              <w:rPr>
                <w:rFonts w:ascii="Times New Roman"/>
                <w:sz w:val="20"/>
              </w:rPr>
            </w:pPr>
          </w:p>
        </w:tc>
        <w:tc>
          <w:tcPr>
            <w:tcW w:w="771" w:type="dxa"/>
          </w:tcPr>
          <w:p w14:paraId="4892214C">
            <w:pPr>
              <w:pStyle w:val="17"/>
              <w:jc w:val="left"/>
              <w:rPr>
                <w:rFonts w:ascii="Times New Roman"/>
                <w:sz w:val="20"/>
              </w:rPr>
            </w:pPr>
          </w:p>
        </w:tc>
        <w:tc>
          <w:tcPr>
            <w:tcW w:w="772" w:type="dxa"/>
          </w:tcPr>
          <w:p w14:paraId="74C90D9F">
            <w:pPr>
              <w:pStyle w:val="17"/>
              <w:jc w:val="left"/>
              <w:rPr>
                <w:rFonts w:ascii="Times New Roman"/>
                <w:sz w:val="20"/>
              </w:rPr>
            </w:pPr>
          </w:p>
        </w:tc>
        <w:tc>
          <w:tcPr>
            <w:tcW w:w="921" w:type="dxa"/>
          </w:tcPr>
          <w:p w14:paraId="3DCAE422">
            <w:pPr>
              <w:pStyle w:val="17"/>
              <w:jc w:val="left"/>
              <w:rPr>
                <w:rFonts w:ascii="Times New Roman"/>
                <w:sz w:val="20"/>
              </w:rPr>
            </w:pPr>
          </w:p>
        </w:tc>
        <w:tc>
          <w:tcPr>
            <w:tcW w:w="1035" w:type="dxa"/>
          </w:tcPr>
          <w:p w14:paraId="1119A965">
            <w:pPr>
              <w:pStyle w:val="17"/>
              <w:spacing w:before="19"/>
              <w:ind w:left="201"/>
              <w:jc w:val="left"/>
              <w:rPr>
                <w:sz w:val="21"/>
              </w:rPr>
            </w:pPr>
            <w:r>
              <w:rPr>
                <w:sz w:val="21"/>
              </w:rPr>
              <w:t>年均值</w:t>
            </w:r>
          </w:p>
        </w:tc>
        <w:tc>
          <w:tcPr>
            <w:tcW w:w="1259" w:type="dxa"/>
          </w:tcPr>
          <w:p w14:paraId="2578B39C">
            <w:pPr>
              <w:pStyle w:val="17"/>
              <w:spacing w:before="36"/>
              <w:ind w:left="244"/>
              <w:jc w:val="left"/>
              <w:rPr>
                <w:rFonts w:ascii="Times New Roman"/>
                <w:sz w:val="21"/>
              </w:rPr>
            </w:pPr>
            <w:r>
              <w:rPr>
                <w:rFonts w:ascii="Times New Roman"/>
                <w:sz w:val="21"/>
              </w:rPr>
              <w:t>1.11E-03</w:t>
            </w:r>
          </w:p>
        </w:tc>
        <w:tc>
          <w:tcPr>
            <w:tcW w:w="1317" w:type="dxa"/>
          </w:tcPr>
          <w:p w14:paraId="178CB3AE">
            <w:pPr>
              <w:pStyle w:val="17"/>
              <w:spacing w:before="19"/>
              <w:ind w:left="107" w:right="98"/>
              <w:rPr>
                <w:sz w:val="21"/>
              </w:rPr>
            </w:pPr>
            <w:r>
              <w:rPr>
                <w:sz w:val="21"/>
              </w:rPr>
              <w:t>平均值</w:t>
            </w:r>
          </w:p>
        </w:tc>
        <w:tc>
          <w:tcPr>
            <w:tcW w:w="1230" w:type="dxa"/>
          </w:tcPr>
          <w:p w14:paraId="279B5382">
            <w:pPr>
              <w:pStyle w:val="17"/>
              <w:spacing w:before="36"/>
              <w:ind w:left="175" w:right="166"/>
              <w:rPr>
                <w:rFonts w:ascii="Times New Roman"/>
                <w:sz w:val="21"/>
              </w:rPr>
            </w:pPr>
            <w:r>
              <w:rPr>
                <w:rFonts w:ascii="Times New Roman"/>
                <w:sz w:val="21"/>
              </w:rPr>
              <w:t>0.00E+00</w:t>
            </w:r>
          </w:p>
        </w:tc>
        <w:tc>
          <w:tcPr>
            <w:tcW w:w="1725" w:type="dxa"/>
          </w:tcPr>
          <w:p w14:paraId="41B3ED69">
            <w:pPr>
              <w:pStyle w:val="17"/>
              <w:spacing w:before="36"/>
              <w:ind w:left="419" w:right="413"/>
              <w:rPr>
                <w:rFonts w:ascii="Times New Roman"/>
                <w:sz w:val="21"/>
              </w:rPr>
            </w:pPr>
            <w:r>
              <w:rPr>
                <w:rFonts w:ascii="Times New Roman"/>
                <w:sz w:val="21"/>
              </w:rPr>
              <w:t>1.11E-03</w:t>
            </w:r>
          </w:p>
        </w:tc>
        <w:tc>
          <w:tcPr>
            <w:tcW w:w="1230" w:type="dxa"/>
          </w:tcPr>
          <w:p w14:paraId="15B489DD">
            <w:pPr>
              <w:pStyle w:val="17"/>
              <w:spacing w:before="36"/>
              <w:ind w:left="174" w:right="166"/>
              <w:rPr>
                <w:rFonts w:ascii="Times New Roman"/>
                <w:sz w:val="21"/>
              </w:rPr>
            </w:pPr>
            <w:r>
              <w:rPr>
                <w:rFonts w:ascii="Times New Roman"/>
                <w:sz w:val="21"/>
              </w:rPr>
              <w:t>7.00E+01</w:t>
            </w:r>
          </w:p>
        </w:tc>
        <w:tc>
          <w:tcPr>
            <w:tcW w:w="1517" w:type="dxa"/>
          </w:tcPr>
          <w:p w14:paraId="52514479">
            <w:pPr>
              <w:pStyle w:val="17"/>
              <w:spacing w:before="36"/>
              <w:ind w:left="499" w:right="492"/>
              <w:rPr>
                <w:rFonts w:ascii="Times New Roman"/>
                <w:sz w:val="21"/>
              </w:rPr>
            </w:pPr>
            <w:r>
              <w:rPr>
                <w:rFonts w:ascii="Times New Roman"/>
                <w:sz w:val="21"/>
              </w:rPr>
              <w:t>0.00</w:t>
            </w:r>
          </w:p>
        </w:tc>
        <w:tc>
          <w:tcPr>
            <w:tcW w:w="712" w:type="dxa"/>
            <w:tcBorders>
              <w:right w:val="nil"/>
            </w:tcBorders>
          </w:tcPr>
          <w:p w14:paraId="2DA59C38">
            <w:pPr>
              <w:pStyle w:val="17"/>
              <w:spacing w:before="19"/>
              <w:ind w:left="122" w:right="121"/>
              <w:rPr>
                <w:sz w:val="21"/>
              </w:rPr>
            </w:pPr>
            <w:r>
              <w:rPr>
                <w:sz w:val="21"/>
              </w:rPr>
              <w:t>达标</w:t>
            </w:r>
          </w:p>
        </w:tc>
      </w:tr>
      <w:tr w14:paraId="4104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15583582">
            <w:pPr>
              <w:pStyle w:val="17"/>
              <w:spacing w:before="14" w:line="238" w:lineRule="exact"/>
              <w:ind w:left="11"/>
              <w:rPr>
                <w:rFonts w:ascii="Times New Roman"/>
                <w:sz w:val="21"/>
              </w:rPr>
            </w:pPr>
            <w:r>
              <w:rPr>
                <w:rFonts w:ascii="Times New Roman"/>
                <w:w w:val="99"/>
                <w:sz w:val="21"/>
              </w:rPr>
              <w:t>9</w:t>
            </w:r>
          </w:p>
        </w:tc>
        <w:tc>
          <w:tcPr>
            <w:tcW w:w="1265" w:type="dxa"/>
          </w:tcPr>
          <w:p w14:paraId="4BB09751">
            <w:pPr>
              <w:pStyle w:val="17"/>
              <w:spacing w:line="252" w:lineRule="exact"/>
              <w:ind w:left="189" w:right="183"/>
              <w:rPr>
                <w:sz w:val="21"/>
              </w:rPr>
            </w:pPr>
            <w:r>
              <w:rPr>
                <w:sz w:val="21"/>
              </w:rPr>
              <w:t>网格</w:t>
            </w:r>
          </w:p>
        </w:tc>
        <w:tc>
          <w:tcPr>
            <w:tcW w:w="771" w:type="dxa"/>
          </w:tcPr>
          <w:p w14:paraId="29866C6A">
            <w:pPr>
              <w:pStyle w:val="17"/>
              <w:spacing w:before="14" w:line="238" w:lineRule="exact"/>
              <w:ind w:left="332"/>
              <w:jc w:val="left"/>
              <w:rPr>
                <w:rFonts w:ascii="Times New Roman"/>
                <w:sz w:val="21"/>
              </w:rPr>
            </w:pPr>
            <w:r>
              <w:rPr>
                <w:rFonts w:ascii="Times New Roman"/>
                <w:w w:val="99"/>
                <w:sz w:val="21"/>
              </w:rPr>
              <w:t>0</w:t>
            </w:r>
          </w:p>
        </w:tc>
        <w:tc>
          <w:tcPr>
            <w:tcW w:w="772" w:type="dxa"/>
          </w:tcPr>
          <w:p w14:paraId="0E63380B">
            <w:pPr>
              <w:pStyle w:val="17"/>
              <w:spacing w:before="14" w:line="238" w:lineRule="exact"/>
              <w:ind w:left="226"/>
              <w:jc w:val="left"/>
              <w:rPr>
                <w:rFonts w:ascii="Times New Roman"/>
                <w:sz w:val="21"/>
              </w:rPr>
            </w:pPr>
            <w:r>
              <w:rPr>
                <w:rFonts w:ascii="Times New Roman"/>
                <w:sz w:val="21"/>
              </w:rPr>
              <w:t>100</w:t>
            </w:r>
          </w:p>
        </w:tc>
        <w:tc>
          <w:tcPr>
            <w:tcW w:w="921" w:type="dxa"/>
          </w:tcPr>
          <w:p w14:paraId="6349E443">
            <w:pPr>
              <w:pStyle w:val="17"/>
              <w:spacing w:before="14" w:line="238" w:lineRule="exact"/>
              <w:ind w:left="203" w:right="195"/>
              <w:rPr>
                <w:rFonts w:ascii="Times New Roman"/>
                <w:sz w:val="21"/>
              </w:rPr>
            </w:pPr>
            <w:r>
              <w:rPr>
                <w:rFonts w:ascii="Times New Roman"/>
                <w:sz w:val="21"/>
              </w:rPr>
              <w:t>68.90</w:t>
            </w:r>
          </w:p>
        </w:tc>
        <w:tc>
          <w:tcPr>
            <w:tcW w:w="1035" w:type="dxa"/>
          </w:tcPr>
          <w:p w14:paraId="14A42390">
            <w:pPr>
              <w:pStyle w:val="17"/>
              <w:spacing w:line="252" w:lineRule="exact"/>
              <w:ind w:left="201"/>
              <w:jc w:val="left"/>
              <w:rPr>
                <w:sz w:val="21"/>
              </w:rPr>
            </w:pPr>
            <w:r>
              <w:rPr>
                <w:sz w:val="21"/>
              </w:rPr>
              <w:t>小时值</w:t>
            </w:r>
          </w:p>
        </w:tc>
        <w:tc>
          <w:tcPr>
            <w:tcW w:w="1259" w:type="dxa"/>
          </w:tcPr>
          <w:p w14:paraId="04C3CA89">
            <w:pPr>
              <w:pStyle w:val="17"/>
              <w:spacing w:before="14" w:line="238" w:lineRule="exact"/>
              <w:ind w:left="217"/>
              <w:jc w:val="left"/>
              <w:rPr>
                <w:rFonts w:ascii="Times New Roman"/>
                <w:sz w:val="21"/>
              </w:rPr>
            </w:pPr>
            <w:r>
              <w:rPr>
                <w:rFonts w:ascii="Times New Roman"/>
                <w:sz w:val="21"/>
              </w:rPr>
              <w:t>3.38E+00</w:t>
            </w:r>
          </w:p>
        </w:tc>
        <w:tc>
          <w:tcPr>
            <w:tcW w:w="1317" w:type="dxa"/>
          </w:tcPr>
          <w:p w14:paraId="2FC8C910">
            <w:pPr>
              <w:pStyle w:val="17"/>
              <w:spacing w:before="14" w:line="238" w:lineRule="exact"/>
              <w:ind w:left="108" w:right="98"/>
              <w:rPr>
                <w:rFonts w:ascii="Times New Roman"/>
                <w:sz w:val="21"/>
              </w:rPr>
            </w:pPr>
            <w:r>
              <w:rPr>
                <w:rFonts w:ascii="Times New Roman"/>
                <w:sz w:val="21"/>
              </w:rPr>
              <w:t>23090722</w:t>
            </w:r>
          </w:p>
        </w:tc>
        <w:tc>
          <w:tcPr>
            <w:tcW w:w="1230" w:type="dxa"/>
          </w:tcPr>
          <w:p w14:paraId="7488FC5D">
            <w:pPr>
              <w:pStyle w:val="17"/>
              <w:spacing w:before="14" w:line="238" w:lineRule="exact"/>
              <w:ind w:left="175" w:right="166"/>
              <w:rPr>
                <w:rFonts w:ascii="Times New Roman"/>
                <w:sz w:val="21"/>
              </w:rPr>
            </w:pPr>
            <w:r>
              <w:rPr>
                <w:rFonts w:ascii="Times New Roman"/>
                <w:sz w:val="21"/>
              </w:rPr>
              <w:t>0.00E+00</w:t>
            </w:r>
          </w:p>
        </w:tc>
        <w:tc>
          <w:tcPr>
            <w:tcW w:w="1725" w:type="dxa"/>
          </w:tcPr>
          <w:p w14:paraId="2DBE8036">
            <w:pPr>
              <w:pStyle w:val="17"/>
              <w:spacing w:before="14" w:line="238" w:lineRule="exact"/>
              <w:ind w:left="419" w:right="413"/>
              <w:rPr>
                <w:rFonts w:ascii="Times New Roman"/>
                <w:sz w:val="21"/>
              </w:rPr>
            </w:pPr>
            <w:r>
              <w:rPr>
                <w:rFonts w:ascii="Times New Roman"/>
                <w:sz w:val="21"/>
              </w:rPr>
              <w:t>3.38E+00</w:t>
            </w:r>
          </w:p>
        </w:tc>
        <w:tc>
          <w:tcPr>
            <w:tcW w:w="1230" w:type="dxa"/>
          </w:tcPr>
          <w:p w14:paraId="4069E357">
            <w:pPr>
              <w:pStyle w:val="17"/>
              <w:spacing w:before="14" w:line="238" w:lineRule="exact"/>
              <w:ind w:left="174" w:right="166"/>
              <w:rPr>
                <w:rFonts w:ascii="Times New Roman"/>
                <w:sz w:val="21"/>
              </w:rPr>
            </w:pPr>
            <w:r>
              <w:rPr>
                <w:rFonts w:ascii="Times New Roman"/>
                <w:sz w:val="21"/>
              </w:rPr>
              <w:t>4.50E+02</w:t>
            </w:r>
          </w:p>
        </w:tc>
        <w:tc>
          <w:tcPr>
            <w:tcW w:w="1517" w:type="dxa"/>
          </w:tcPr>
          <w:p w14:paraId="3A10CDD8">
            <w:pPr>
              <w:pStyle w:val="17"/>
              <w:spacing w:before="14" w:line="238" w:lineRule="exact"/>
              <w:ind w:left="499" w:right="492"/>
              <w:rPr>
                <w:rFonts w:ascii="Times New Roman"/>
                <w:sz w:val="21"/>
              </w:rPr>
            </w:pPr>
            <w:r>
              <w:rPr>
                <w:rFonts w:ascii="Times New Roman"/>
                <w:sz w:val="21"/>
              </w:rPr>
              <w:t>0.75</w:t>
            </w:r>
          </w:p>
        </w:tc>
        <w:tc>
          <w:tcPr>
            <w:tcW w:w="712" w:type="dxa"/>
            <w:tcBorders>
              <w:right w:val="nil"/>
            </w:tcBorders>
          </w:tcPr>
          <w:p w14:paraId="0046612C">
            <w:pPr>
              <w:pStyle w:val="17"/>
              <w:spacing w:line="252" w:lineRule="exact"/>
              <w:ind w:left="122" w:right="121"/>
              <w:rPr>
                <w:sz w:val="21"/>
              </w:rPr>
            </w:pPr>
            <w:r>
              <w:rPr>
                <w:sz w:val="21"/>
              </w:rPr>
              <w:t>达标</w:t>
            </w:r>
          </w:p>
        </w:tc>
      </w:tr>
      <w:tr w14:paraId="4FA4C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6C466558">
            <w:pPr>
              <w:pStyle w:val="17"/>
              <w:jc w:val="left"/>
              <w:rPr>
                <w:rFonts w:ascii="Times New Roman"/>
                <w:sz w:val="20"/>
              </w:rPr>
            </w:pPr>
          </w:p>
        </w:tc>
        <w:tc>
          <w:tcPr>
            <w:tcW w:w="1265" w:type="dxa"/>
          </w:tcPr>
          <w:p w14:paraId="510269E7">
            <w:pPr>
              <w:pStyle w:val="17"/>
              <w:jc w:val="left"/>
              <w:rPr>
                <w:rFonts w:ascii="Times New Roman"/>
                <w:sz w:val="20"/>
              </w:rPr>
            </w:pPr>
          </w:p>
        </w:tc>
        <w:tc>
          <w:tcPr>
            <w:tcW w:w="771" w:type="dxa"/>
          </w:tcPr>
          <w:p w14:paraId="2F769E71">
            <w:pPr>
              <w:pStyle w:val="17"/>
              <w:spacing w:before="15" w:line="238" w:lineRule="exact"/>
              <w:ind w:left="332"/>
              <w:jc w:val="left"/>
              <w:rPr>
                <w:rFonts w:ascii="Times New Roman"/>
                <w:sz w:val="21"/>
              </w:rPr>
            </w:pPr>
            <w:r>
              <w:rPr>
                <w:rFonts w:ascii="Times New Roman"/>
                <w:w w:val="99"/>
                <w:sz w:val="21"/>
              </w:rPr>
              <w:t>0</w:t>
            </w:r>
          </w:p>
        </w:tc>
        <w:tc>
          <w:tcPr>
            <w:tcW w:w="772" w:type="dxa"/>
          </w:tcPr>
          <w:p w14:paraId="420C11A3">
            <w:pPr>
              <w:pStyle w:val="17"/>
              <w:spacing w:before="15" w:line="238" w:lineRule="exact"/>
              <w:ind w:left="226"/>
              <w:jc w:val="left"/>
              <w:rPr>
                <w:rFonts w:ascii="Times New Roman"/>
                <w:sz w:val="21"/>
              </w:rPr>
            </w:pPr>
            <w:r>
              <w:rPr>
                <w:rFonts w:ascii="Times New Roman"/>
                <w:sz w:val="21"/>
              </w:rPr>
              <w:t>100</w:t>
            </w:r>
          </w:p>
        </w:tc>
        <w:tc>
          <w:tcPr>
            <w:tcW w:w="921" w:type="dxa"/>
          </w:tcPr>
          <w:p w14:paraId="783CC8F8">
            <w:pPr>
              <w:pStyle w:val="17"/>
              <w:spacing w:before="15" w:line="238" w:lineRule="exact"/>
              <w:ind w:left="203" w:right="195"/>
              <w:rPr>
                <w:rFonts w:ascii="Times New Roman"/>
                <w:sz w:val="21"/>
              </w:rPr>
            </w:pPr>
            <w:r>
              <w:rPr>
                <w:rFonts w:ascii="Times New Roman"/>
                <w:sz w:val="21"/>
              </w:rPr>
              <w:t>68.90</w:t>
            </w:r>
          </w:p>
        </w:tc>
        <w:tc>
          <w:tcPr>
            <w:tcW w:w="1035" w:type="dxa"/>
          </w:tcPr>
          <w:p w14:paraId="04D69366">
            <w:pPr>
              <w:pStyle w:val="17"/>
              <w:spacing w:before="1" w:line="252" w:lineRule="exact"/>
              <w:ind w:left="201"/>
              <w:jc w:val="left"/>
              <w:rPr>
                <w:sz w:val="21"/>
              </w:rPr>
            </w:pPr>
            <w:r>
              <w:rPr>
                <w:sz w:val="21"/>
              </w:rPr>
              <w:t>日均值</w:t>
            </w:r>
          </w:p>
        </w:tc>
        <w:tc>
          <w:tcPr>
            <w:tcW w:w="1259" w:type="dxa"/>
          </w:tcPr>
          <w:p w14:paraId="071EBE57">
            <w:pPr>
              <w:pStyle w:val="17"/>
              <w:spacing w:before="15" w:line="238" w:lineRule="exact"/>
              <w:ind w:left="241"/>
              <w:jc w:val="left"/>
              <w:rPr>
                <w:rFonts w:ascii="Times New Roman"/>
                <w:sz w:val="21"/>
              </w:rPr>
            </w:pPr>
            <w:r>
              <w:rPr>
                <w:rFonts w:ascii="Times New Roman"/>
                <w:sz w:val="21"/>
              </w:rPr>
              <w:t>2.19E-01</w:t>
            </w:r>
          </w:p>
        </w:tc>
        <w:tc>
          <w:tcPr>
            <w:tcW w:w="1317" w:type="dxa"/>
          </w:tcPr>
          <w:p w14:paraId="140CCDA8">
            <w:pPr>
              <w:pStyle w:val="17"/>
              <w:spacing w:before="15" w:line="238" w:lineRule="exact"/>
              <w:ind w:left="108" w:right="98"/>
              <w:rPr>
                <w:rFonts w:ascii="Times New Roman"/>
                <w:sz w:val="21"/>
              </w:rPr>
            </w:pPr>
            <w:r>
              <w:rPr>
                <w:rFonts w:ascii="Times New Roman"/>
                <w:sz w:val="21"/>
              </w:rPr>
              <w:t>230907</w:t>
            </w:r>
          </w:p>
        </w:tc>
        <w:tc>
          <w:tcPr>
            <w:tcW w:w="1230" w:type="dxa"/>
          </w:tcPr>
          <w:p w14:paraId="723169E2">
            <w:pPr>
              <w:pStyle w:val="17"/>
              <w:spacing w:before="15" w:line="238" w:lineRule="exact"/>
              <w:ind w:left="175" w:right="166"/>
              <w:rPr>
                <w:rFonts w:ascii="Times New Roman"/>
                <w:sz w:val="21"/>
              </w:rPr>
            </w:pPr>
            <w:r>
              <w:rPr>
                <w:rFonts w:ascii="Times New Roman"/>
                <w:sz w:val="21"/>
              </w:rPr>
              <w:t>0.00E+00</w:t>
            </w:r>
          </w:p>
        </w:tc>
        <w:tc>
          <w:tcPr>
            <w:tcW w:w="1725" w:type="dxa"/>
          </w:tcPr>
          <w:p w14:paraId="0CFDD7AC">
            <w:pPr>
              <w:pStyle w:val="17"/>
              <w:spacing w:before="15" w:line="238" w:lineRule="exact"/>
              <w:ind w:left="417" w:right="413"/>
              <w:rPr>
                <w:rFonts w:ascii="Times New Roman"/>
                <w:sz w:val="21"/>
              </w:rPr>
            </w:pPr>
            <w:r>
              <w:rPr>
                <w:rFonts w:ascii="Times New Roman"/>
                <w:sz w:val="21"/>
              </w:rPr>
              <w:t>2.19E-01</w:t>
            </w:r>
          </w:p>
        </w:tc>
        <w:tc>
          <w:tcPr>
            <w:tcW w:w="1230" w:type="dxa"/>
          </w:tcPr>
          <w:p w14:paraId="6488F161">
            <w:pPr>
              <w:pStyle w:val="17"/>
              <w:spacing w:before="15" w:line="238" w:lineRule="exact"/>
              <w:ind w:left="174" w:right="166"/>
              <w:rPr>
                <w:rFonts w:ascii="Times New Roman"/>
                <w:sz w:val="21"/>
              </w:rPr>
            </w:pPr>
            <w:r>
              <w:rPr>
                <w:rFonts w:ascii="Times New Roman"/>
                <w:sz w:val="21"/>
              </w:rPr>
              <w:t>1.50E+02</w:t>
            </w:r>
          </w:p>
        </w:tc>
        <w:tc>
          <w:tcPr>
            <w:tcW w:w="1517" w:type="dxa"/>
          </w:tcPr>
          <w:p w14:paraId="75408879">
            <w:pPr>
              <w:pStyle w:val="17"/>
              <w:spacing w:before="15" w:line="238" w:lineRule="exact"/>
              <w:ind w:left="499" w:right="492"/>
              <w:rPr>
                <w:rFonts w:ascii="Times New Roman"/>
                <w:sz w:val="21"/>
              </w:rPr>
            </w:pPr>
            <w:r>
              <w:rPr>
                <w:rFonts w:ascii="Times New Roman"/>
                <w:sz w:val="21"/>
              </w:rPr>
              <w:t>0.15</w:t>
            </w:r>
          </w:p>
        </w:tc>
        <w:tc>
          <w:tcPr>
            <w:tcW w:w="712" w:type="dxa"/>
            <w:tcBorders>
              <w:right w:val="nil"/>
            </w:tcBorders>
          </w:tcPr>
          <w:p w14:paraId="54D86922">
            <w:pPr>
              <w:pStyle w:val="17"/>
              <w:spacing w:before="1" w:line="252" w:lineRule="exact"/>
              <w:ind w:left="122" w:right="121"/>
              <w:rPr>
                <w:sz w:val="21"/>
              </w:rPr>
            </w:pPr>
            <w:r>
              <w:rPr>
                <w:sz w:val="21"/>
              </w:rPr>
              <w:t>达标</w:t>
            </w:r>
          </w:p>
        </w:tc>
      </w:tr>
      <w:tr w14:paraId="592BF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5CDCCE0A">
            <w:pPr>
              <w:pStyle w:val="17"/>
              <w:jc w:val="left"/>
              <w:rPr>
                <w:rFonts w:ascii="Times New Roman"/>
                <w:sz w:val="20"/>
              </w:rPr>
            </w:pPr>
          </w:p>
        </w:tc>
        <w:tc>
          <w:tcPr>
            <w:tcW w:w="1265" w:type="dxa"/>
          </w:tcPr>
          <w:p w14:paraId="72061B4B">
            <w:pPr>
              <w:pStyle w:val="17"/>
              <w:jc w:val="left"/>
              <w:rPr>
                <w:rFonts w:ascii="Times New Roman"/>
                <w:sz w:val="20"/>
              </w:rPr>
            </w:pPr>
          </w:p>
        </w:tc>
        <w:tc>
          <w:tcPr>
            <w:tcW w:w="771" w:type="dxa"/>
          </w:tcPr>
          <w:p w14:paraId="4E2B900D">
            <w:pPr>
              <w:pStyle w:val="17"/>
              <w:spacing w:before="13" w:line="239" w:lineRule="exact"/>
              <w:ind w:left="332"/>
              <w:jc w:val="left"/>
              <w:rPr>
                <w:rFonts w:ascii="Times New Roman"/>
                <w:sz w:val="21"/>
              </w:rPr>
            </w:pPr>
            <w:r>
              <w:rPr>
                <w:rFonts w:ascii="Times New Roman"/>
                <w:w w:val="99"/>
                <w:sz w:val="21"/>
              </w:rPr>
              <w:t>0</w:t>
            </w:r>
          </w:p>
        </w:tc>
        <w:tc>
          <w:tcPr>
            <w:tcW w:w="772" w:type="dxa"/>
          </w:tcPr>
          <w:p w14:paraId="62A02188">
            <w:pPr>
              <w:pStyle w:val="17"/>
              <w:spacing w:before="13" w:line="239" w:lineRule="exact"/>
              <w:ind w:left="192"/>
              <w:jc w:val="left"/>
              <w:rPr>
                <w:rFonts w:ascii="Times New Roman"/>
                <w:sz w:val="21"/>
              </w:rPr>
            </w:pPr>
            <w:r>
              <w:rPr>
                <w:rFonts w:ascii="Times New Roman"/>
                <w:sz w:val="21"/>
              </w:rPr>
              <w:t>-150</w:t>
            </w:r>
          </w:p>
        </w:tc>
        <w:tc>
          <w:tcPr>
            <w:tcW w:w="921" w:type="dxa"/>
          </w:tcPr>
          <w:p w14:paraId="64F9378B">
            <w:pPr>
              <w:pStyle w:val="17"/>
              <w:spacing w:before="13" w:line="239" w:lineRule="exact"/>
              <w:ind w:left="203" w:right="195"/>
              <w:rPr>
                <w:rFonts w:ascii="Times New Roman"/>
                <w:sz w:val="21"/>
              </w:rPr>
            </w:pPr>
            <w:r>
              <w:rPr>
                <w:rFonts w:ascii="Times New Roman"/>
                <w:sz w:val="21"/>
              </w:rPr>
              <w:t>45.90</w:t>
            </w:r>
          </w:p>
        </w:tc>
        <w:tc>
          <w:tcPr>
            <w:tcW w:w="1035" w:type="dxa"/>
          </w:tcPr>
          <w:p w14:paraId="5A28FDCE">
            <w:pPr>
              <w:pStyle w:val="17"/>
              <w:spacing w:line="252" w:lineRule="exact"/>
              <w:ind w:left="201"/>
              <w:jc w:val="left"/>
              <w:rPr>
                <w:sz w:val="21"/>
              </w:rPr>
            </w:pPr>
            <w:r>
              <w:rPr>
                <w:sz w:val="21"/>
              </w:rPr>
              <w:t>年均值</w:t>
            </w:r>
          </w:p>
        </w:tc>
        <w:tc>
          <w:tcPr>
            <w:tcW w:w="1259" w:type="dxa"/>
          </w:tcPr>
          <w:p w14:paraId="740B5AF7">
            <w:pPr>
              <w:pStyle w:val="17"/>
              <w:spacing w:before="13" w:line="239" w:lineRule="exact"/>
              <w:ind w:left="241"/>
              <w:jc w:val="left"/>
              <w:rPr>
                <w:rFonts w:ascii="Times New Roman"/>
                <w:sz w:val="21"/>
              </w:rPr>
            </w:pPr>
            <w:r>
              <w:rPr>
                <w:rFonts w:ascii="Times New Roman"/>
                <w:sz w:val="21"/>
              </w:rPr>
              <w:t>2.26E-02</w:t>
            </w:r>
          </w:p>
        </w:tc>
        <w:tc>
          <w:tcPr>
            <w:tcW w:w="1317" w:type="dxa"/>
          </w:tcPr>
          <w:p w14:paraId="413A3384">
            <w:pPr>
              <w:pStyle w:val="17"/>
              <w:spacing w:line="252" w:lineRule="exact"/>
              <w:ind w:left="107" w:right="98"/>
              <w:rPr>
                <w:sz w:val="21"/>
              </w:rPr>
            </w:pPr>
            <w:r>
              <w:rPr>
                <w:sz w:val="21"/>
              </w:rPr>
              <w:t>平均值</w:t>
            </w:r>
          </w:p>
        </w:tc>
        <w:tc>
          <w:tcPr>
            <w:tcW w:w="1230" w:type="dxa"/>
          </w:tcPr>
          <w:p w14:paraId="75A328D8">
            <w:pPr>
              <w:pStyle w:val="17"/>
              <w:spacing w:before="13" w:line="239" w:lineRule="exact"/>
              <w:ind w:left="175" w:right="166"/>
              <w:rPr>
                <w:rFonts w:ascii="Times New Roman"/>
                <w:sz w:val="21"/>
              </w:rPr>
            </w:pPr>
            <w:r>
              <w:rPr>
                <w:rFonts w:ascii="Times New Roman"/>
                <w:sz w:val="21"/>
              </w:rPr>
              <w:t>0.00E+00</w:t>
            </w:r>
          </w:p>
        </w:tc>
        <w:tc>
          <w:tcPr>
            <w:tcW w:w="1725" w:type="dxa"/>
          </w:tcPr>
          <w:p w14:paraId="61C2E09D">
            <w:pPr>
              <w:pStyle w:val="17"/>
              <w:spacing w:before="13" w:line="239" w:lineRule="exact"/>
              <w:ind w:left="417" w:right="413"/>
              <w:rPr>
                <w:rFonts w:ascii="Times New Roman"/>
                <w:sz w:val="21"/>
              </w:rPr>
            </w:pPr>
            <w:r>
              <w:rPr>
                <w:rFonts w:ascii="Times New Roman"/>
                <w:sz w:val="21"/>
              </w:rPr>
              <w:t>2.26E-02</w:t>
            </w:r>
          </w:p>
        </w:tc>
        <w:tc>
          <w:tcPr>
            <w:tcW w:w="1230" w:type="dxa"/>
          </w:tcPr>
          <w:p w14:paraId="5A9036A3">
            <w:pPr>
              <w:pStyle w:val="17"/>
              <w:spacing w:before="13" w:line="239" w:lineRule="exact"/>
              <w:ind w:left="174" w:right="166"/>
              <w:rPr>
                <w:rFonts w:ascii="Times New Roman"/>
                <w:sz w:val="21"/>
              </w:rPr>
            </w:pPr>
            <w:r>
              <w:rPr>
                <w:rFonts w:ascii="Times New Roman"/>
                <w:sz w:val="21"/>
              </w:rPr>
              <w:t>7.00E+01</w:t>
            </w:r>
          </w:p>
        </w:tc>
        <w:tc>
          <w:tcPr>
            <w:tcW w:w="1517" w:type="dxa"/>
          </w:tcPr>
          <w:p w14:paraId="69A314BA">
            <w:pPr>
              <w:pStyle w:val="17"/>
              <w:spacing w:before="13" w:line="239" w:lineRule="exact"/>
              <w:ind w:left="499" w:right="492"/>
              <w:rPr>
                <w:rFonts w:ascii="Times New Roman"/>
                <w:sz w:val="21"/>
              </w:rPr>
            </w:pPr>
            <w:r>
              <w:rPr>
                <w:rFonts w:ascii="Times New Roman"/>
                <w:sz w:val="21"/>
              </w:rPr>
              <w:t>0.03</w:t>
            </w:r>
          </w:p>
        </w:tc>
        <w:tc>
          <w:tcPr>
            <w:tcW w:w="712" w:type="dxa"/>
            <w:tcBorders>
              <w:right w:val="nil"/>
            </w:tcBorders>
          </w:tcPr>
          <w:p w14:paraId="293323CC">
            <w:pPr>
              <w:pStyle w:val="17"/>
              <w:spacing w:line="252" w:lineRule="exact"/>
              <w:ind w:left="122" w:right="121"/>
              <w:rPr>
                <w:sz w:val="21"/>
              </w:rPr>
            </w:pPr>
            <w:r>
              <w:rPr>
                <w:sz w:val="21"/>
              </w:rPr>
              <w:t>达标</w:t>
            </w:r>
          </w:p>
        </w:tc>
      </w:tr>
    </w:tbl>
    <w:p w14:paraId="034B1C4E">
      <w:pPr>
        <w:pStyle w:val="10"/>
        <w:spacing w:before="78" w:line="364" w:lineRule="auto"/>
        <w:ind w:left="240" w:right="357" w:firstLine="480"/>
      </w:pPr>
      <w:r>
        <w:rPr>
          <w:spacing w:val="-8"/>
          <w:position w:val="2"/>
        </w:rPr>
        <w:t xml:space="preserve">从上表可知，本项目新增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1h </w:t>
      </w:r>
      <w:r>
        <w:rPr>
          <w:spacing w:val="-9"/>
          <w:position w:val="2"/>
          <w:vertAlign w:val="baseline"/>
        </w:rPr>
        <w:t xml:space="preserve">平均、日平均、年平均浓度贡献值的最大占标率分别为 </w:t>
      </w:r>
      <w:r>
        <w:rPr>
          <w:rFonts w:ascii="Times New Roman" w:eastAsia="Times New Roman"/>
          <w:position w:val="2"/>
          <w:vertAlign w:val="baseline"/>
        </w:rPr>
        <w:t>0.75%</w:t>
      </w:r>
      <w:r>
        <w:rPr>
          <w:spacing w:val="-17"/>
          <w:position w:val="2"/>
          <w:vertAlign w:val="baseline"/>
        </w:rPr>
        <w:t>、</w:t>
      </w:r>
      <w:r>
        <w:rPr>
          <w:rFonts w:ascii="Times New Roman" w:eastAsia="Times New Roman"/>
          <w:position w:val="2"/>
          <w:vertAlign w:val="baseline"/>
        </w:rPr>
        <w:t>0.15%</w:t>
      </w:r>
      <w:r>
        <w:rPr>
          <w:spacing w:val="-15"/>
          <w:position w:val="2"/>
          <w:vertAlign w:val="baseline"/>
        </w:rPr>
        <w:t>、</w:t>
      </w:r>
      <w:r>
        <w:rPr>
          <w:rFonts w:ascii="Times New Roman" w:eastAsia="Times New Roman"/>
          <w:spacing w:val="-3"/>
          <w:position w:val="2"/>
          <w:vertAlign w:val="baseline"/>
        </w:rPr>
        <w:t>0.03%</w:t>
      </w:r>
      <w:r>
        <w:rPr>
          <w:spacing w:val="-5"/>
          <w:position w:val="2"/>
          <w:vertAlign w:val="baseline"/>
        </w:rPr>
        <w:t>，满足《环境空气</w:t>
      </w:r>
      <w:r>
        <w:rPr>
          <w:spacing w:val="-5"/>
          <w:vertAlign w:val="baseline"/>
        </w:rPr>
        <w:t>质量标准》（</w:t>
      </w:r>
      <w:r>
        <w:rPr>
          <w:rFonts w:ascii="Times New Roman" w:eastAsia="Times New Roman"/>
          <w:spacing w:val="-5"/>
          <w:vertAlign w:val="baseline"/>
        </w:rPr>
        <w:t>GB3095-2012</w:t>
      </w:r>
      <w:r>
        <w:rPr>
          <w:spacing w:val="-5"/>
          <w:vertAlign w:val="baseline"/>
        </w:rPr>
        <w:t>）中的二级标准要求。</w:t>
      </w:r>
    </w:p>
    <w:p w14:paraId="3DDD9A9A">
      <w:pPr>
        <w:spacing w:after="0" w:line="364" w:lineRule="auto"/>
        <w:sectPr>
          <w:pgSz w:w="16840" w:h="11910" w:orient="landscape"/>
          <w:pgMar w:top="1100" w:right="1080" w:bottom="1380" w:left="1200" w:header="0" w:footer="1192" w:gutter="0"/>
          <w:cols w:space="720" w:num="1"/>
        </w:sectPr>
      </w:pPr>
    </w:p>
    <w:p w14:paraId="0352ADEB">
      <w:pPr>
        <w:pStyle w:val="10"/>
        <w:spacing w:before="5"/>
        <w:rPr>
          <w:sz w:val="15"/>
        </w:rPr>
      </w:pPr>
    </w:p>
    <w:p w14:paraId="3C9C6EEF">
      <w:pPr>
        <w:pStyle w:val="10"/>
        <w:ind w:left="254"/>
        <w:rPr>
          <w:sz w:val="20"/>
        </w:rPr>
      </w:pPr>
      <w:r>
        <w:rPr>
          <w:sz w:val="20"/>
        </w:rPr>
        <w:drawing>
          <wp:inline distT="0" distB="0" distL="0" distR="0">
            <wp:extent cx="8895715" cy="5400040"/>
            <wp:effectExtent l="0" t="0" r="0" b="0"/>
            <wp:docPr id="4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2.jpeg"/>
                    <pic:cNvPicPr>
                      <a:picLocks noChangeAspect="1"/>
                    </pic:cNvPicPr>
                  </pic:nvPicPr>
                  <pic:blipFill>
                    <a:blip r:embed="rId122" cstate="print"/>
                    <a:stretch>
                      <a:fillRect/>
                    </a:stretch>
                  </pic:blipFill>
                  <pic:spPr>
                    <a:xfrm>
                      <a:off x="0" y="0"/>
                      <a:ext cx="8895951" cy="5400294"/>
                    </a:xfrm>
                    <a:prstGeom prst="rect">
                      <a:avLst/>
                    </a:prstGeom>
                  </pic:spPr>
                </pic:pic>
              </a:graphicData>
            </a:graphic>
          </wp:inline>
        </w:drawing>
      </w:r>
    </w:p>
    <w:p w14:paraId="4AC55629">
      <w:pPr>
        <w:pStyle w:val="9"/>
        <w:spacing w:before="106"/>
        <w:ind w:left="3244"/>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1</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 xml:space="preserve">网格点 </w:t>
      </w:r>
      <w:r>
        <w:rPr>
          <w:rFonts w:ascii="Times New Roman" w:eastAsia="Times New Roman"/>
          <w:position w:val="2"/>
          <w:vertAlign w:val="baseline"/>
        </w:rPr>
        <w:t xml:space="preserve">1h </w:t>
      </w:r>
      <w:r>
        <w:rPr>
          <w:position w:val="2"/>
          <w:vertAlign w:val="baseline"/>
        </w:rPr>
        <w:t>均值贡献值预测结果分布图</w:t>
      </w:r>
    </w:p>
    <w:p w14:paraId="394432C1">
      <w:pPr>
        <w:spacing w:after="0"/>
        <w:sectPr>
          <w:pgSz w:w="16840" w:h="11910" w:orient="landscape"/>
          <w:pgMar w:top="1100" w:right="1080" w:bottom="1380" w:left="1200" w:header="0" w:footer="1192" w:gutter="0"/>
          <w:cols w:space="720" w:num="1"/>
        </w:sectPr>
      </w:pPr>
    </w:p>
    <w:p w14:paraId="35D48682">
      <w:pPr>
        <w:pStyle w:val="10"/>
        <w:spacing w:before="3"/>
        <w:rPr>
          <w:b/>
          <w:sz w:val="8"/>
        </w:rPr>
      </w:pPr>
    </w:p>
    <w:p w14:paraId="4BC5808D">
      <w:pPr>
        <w:pStyle w:val="10"/>
        <w:ind w:left="439"/>
        <w:rPr>
          <w:sz w:val="20"/>
        </w:rPr>
      </w:pPr>
      <w:r>
        <w:rPr>
          <w:sz w:val="20"/>
        </w:rPr>
        <w:drawing>
          <wp:inline distT="0" distB="0" distL="0" distR="0">
            <wp:extent cx="8580755" cy="5492750"/>
            <wp:effectExtent l="0" t="0" r="0" b="0"/>
            <wp:docPr id="4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3.jpeg"/>
                    <pic:cNvPicPr>
                      <a:picLocks noChangeAspect="1"/>
                    </pic:cNvPicPr>
                  </pic:nvPicPr>
                  <pic:blipFill>
                    <a:blip r:embed="rId123" cstate="print"/>
                    <a:stretch>
                      <a:fillRect/>
                    </a:stretch>
                  </pic:blipFill>
                  <pic:spPr>
                    <a:xfrm>
                      <a:off x="0" y="0"/>
                      <a:ext cx="8580891" cy="5493353"/>
                    </a:xfrm>
                    <a:prstGeom prst="rect">
                      <a:avLst/>
                    </a:prstGeom>
                  </pic:spPr>
                </pic:pic>
              </a:graphicData>
            </a:graphic>
          </wp:inline>
        </w:drawing>
      </w:r>
    </w:p>
    <w:p w14:paraId="633B4135">
      <w:pPr>
        <w:pStyle w:val="9"/>
        <w:spacing w:before="51"/>
        <w:ind w:left="3312"/>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2</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网格点日均值贡献值预测结果分布图</w:t>
      </w:r>
    </w:p>
    <w:p w14:paraId="57A6189F">
      <w:pPr>
        <w:spacing w:after="0"/>
        <w:sectPr>
          <w:pgSz w:w="16840" w:h="11910" w:orient="landscape"/>
          <w:pgMar w:top="1100" w:right="1080" w:bottom="1380" w:left="1200" w:header="0" w:footer="1192" w:gutter="0"/>
          <w:cols w:space="720" w:num="1"/>
        </w:sectPr>
      </w:pPr>
    </w:p>
    <w:p w14:paraId="3170558D">
      <w:pPr>
        <w:pStyle w:val="10"/>
        <w:spacing w:before="10"/>
        <w:rPr>
          <w:b/>
          <w:sz w:val="11"/>
        </w:rPr>
      </w:pPr>
    </w:p>
    <w:p w14:paraId="47DF7749">
      <w:pPr>
        <w:pStyle w:val="10"/>
        <w:ind w:left="408"/>
        <w:rPr>
          <w:sz w:val="20"/>
        </w:rPr>
      </w:pPr>
      <w:r>
        <w:rPr>
          <w:sz w:val="20"/>
        </w:rPr>
        <w:drawing>
          <wp:inline distT="0" distB="0" distL="0" distR="0">
            <wp:extent cx="8585200" cy="5407025"/>
            <wp:effectExtent l="0" t="0" r="0" b="0"/>
            <wp:docPr id="4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4.jpeg"/>
                    <pic:cNvPicPr>
                      <a:picLocks noChangeAspect="1"/>
                    </pic:cNvPicPr>
                  </pic:nvPicPr>
                  <pic:blipFill>
                    <a:blip r:embed="rId124" cstate="print"/>
                    <a:stretch>
                      <a:fillRect/>
                    </a:stretch>
                  </pic:blipFill>
                  <pic:spPr>
                    <a:xfrm>
                      <a:off x="0" y="0"/>
                      <a:ext cx="8585405" cy="5407533"/>
                    </a:xfrm>
                    <a:prstGeom prst="rect">
                      <a:avLst/>
                    </a:prstGeom>
                  </pic:spPr>
                </pic:pic>
              </a:graphicData>
            </a:graphic>
          </wp:inline>
        </w:drawing>
      </w:r>
    </w:p>
    <w:p w14:paraId="0CE00945">
      <w:pPr>
        <w:pStyle w:val="10"/>
        <w:spacing w:before="6"/>
        <w:rPr>
          <w:b/>
          <w:sz w:val="5"/>
        </w:rPr>
      </w:pPr>
    </w:p>
    <w:p w14:paraId="2612FCB9">
      <w:pPr>
        <w:pStyle w:val="9"/>
        <w:spacing w:before="71"/>
        <w:ind w:left="3312"/>
      </w:pPr>
      <w:r>
        <w:rPr>
          <w:position w:val="2"/>
        </w:rPr>
        <w:t xml:space="preserve">图 </w:t>
      </w:r>
      <w:r>
        <w:rPr>
          <w:rFonts w:ascii="Times New Roman" w:eastAsia="Times New Roman"/>
          <w:position w:val="2"/>
        </w:rPr>
        <w:t>4.1-8</w:t>
      </w:r>
      <w:r>
        <w:rPr>
          <w:position w:val="2"/>
        </w:rPr>
        <w:t>（</w:t>
      </w:r>
      <w:r>
        <w:rPr>
          <w:rFonts w:ascii="Times New Roman" w:eastAsia="Times New Roman"/>
          <w:position w:val="2"/>
        </w:rPr>
        <w:t>3</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网格点年均值贡献值预测结果分布图</w:t>
      </w:r>
    </w:p>
    <w:p w14:paraId="174690E8">
      <w:pPr>
        <w:spacing w:after="0"/>
        <w:sectPr>
          <w:pgSz w:w="16840" w:h="11910" w:orient="landscape"/>
          <w:pgMar w:top="1100" w:right="1080" w:bottom="1380" w:left="1200" w:header="0" w:footer="1192" w:gutter="0"/>
          <w:cols w:space="720" w:num="1"/>
        </w:sectPr>
      </w:pPr>
    </w:p>
    <w:p w14:paraId="48E577B6">
      <w:pPr>
        <w:pStyle w:val="9"/>
        <w:spacing w:before="16"/>
        <w:rPr>
          <w:rFonts w:hint="eastAsia" w:ascii="微软雅黑" w:eastAsia="微软雅黑"/>
        </w:rPr>
      </w:pPr>
      <w:r>
        <w:rPr>
          <w:rFonts w:hint="eastAsia" w:ascii="微软雅黑" w:eastAsia="微软雅黑"/>
        </w:rPr>
        <w:t>（3）TSP</w:t>
      </w:r>
    </w:p>
    <w:p w14:paraId="7A6BA821">
      <w:pPr>
        <w:pStyle w:val="9"/>
        <w:spacing w:before="147"/>
      </w:pPr>
      <w:r>
        <w:t xml:space="preserve">本项目新增 </w:t>
      </w:r>
      <w:r>
        <w:rPr>
          <w:rFonts w:ascii="Times New Roman" w:eastAsia="Times New Roman"/>
        </w:rPr>
        <w:t xml:space="preserve">TSP </w:t>
      </w:r>
      <w:r>
        <w:t>网格点贡献值预测结果见下表：</w:t>
      </w:r>
    </w:p>
    <w:p w14:paraId="5F8D3F5A">
      <w:pPr>
        <w:pStyle w:val="9"/>
        <w:tabs>
          <w:tab w:val="left" w:pos="1517"/>
        </w:tabs>
        <w:spacing w:before="161" w:after="3"/>
        <w:ind w:left="357"/>
        <w:jc w:val="center"/>
      </w:pPr>
      <w:r>
        <w:t>表</w:t>
      </w:r>
      <w:r>
        <w:rPr>
          <w:spacing w:val="-62"/>
        </w:rPr>
        <w:t xml:space="preserve"> </w:t>
      </w:r>
      <w:r>
        <w:rPr>
          <w:rFonts w:ascii="Times New Roman" w:eastAsia="Times New Roman"/>
        </w:rPr>
        <w:t>4.1-18</w:t>
      </w:r>
      <w:r>
        <w:rPr>
          <w:rFonts w:ascii="Times New Roman" w:eastAsia="Times New Roman"/>
        </w:rPr>
        <w:tab/>
      </w:r>
      <w:r>
        <w:rPr>
          <w:rFonts w:ascii="Times New Roman" w:eastAsia="Times New Roman"/>
        </w:rPr>
        <w:t>TSP</w:t>
      </w:r>
      <w:r>
        <w:rPr>
          <w:rFonts w:ascii="Times New Roman" w:eastAsia="Times New Roman"/>
          <w:spacing w:val="-2"/>
        </w:rPr>
        <w:t xml:space="preserve"> </w:t>
      </w:r>
      <w:r>
        <w:t>网格点贡献值预测结果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5674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1F0177AE">
            <w:pPr>
              <w:pStyle w:val="17"/>
              <w:spacing w:before="149" w:line="244" w:lineRule="auto"/>
              <w:ind w:left="132" w:right="115"/>
              <w:jc w:val="left"/>
              <w:rPr>
                <w:sz w:val="21"/>
              </w:rPr>
            </w:pPr>
            <w:r>
              <w:rPr>
                <w:sz w:val="21"/>
              </w:rPr>
              <w:t>序号</w:t>
            </w:r>
          </w:p>
        </w:tc>
        <w:tc>
          <w:tcPr>
            <w:tcW w:w="1265" w:type="dxa"/>
            <w:vMerge w:val="restart"/>
          </w:tcPr>
          <w:p w14:paraId="4DCCD60A">
            <w:pPr>
              <w:pStyle w:val="17"/>
              <w:spacing w:before="4"/>
              <w:jc w:val="left"/>
              <w:rPr>
                <w:b/>
                <w:sz w:val="22"/>
              </w:rPr>
            </w:pPr>
          </w:p>
          <w:p w14:paraId="1FC2F1F1">
            <w:pPr>
              <w:pStyle w:val="17"/>
              <w:ind w:left="316"/>
              <w:jc w:val="left"/>
              <w:rPr>
                <w:sz w:val="21"/>
              </w:rPr>
            </w:pPr>
            <w:r>
              <w:rPr>
                <w:sz w:val="21"/>
              </w:rPr>
              <w:t>点名称</w:t>
            </w:r>
          </w:p>
        </w:tc>
        <w:tc>
          <w:tcPr>
            <w:tcW w:w="1543" w:type="dxa"/>
            <w:gridSpan w:val="2"/>
          </w:tcPr>
          <w:p w14:paraId="181CE4BC">
            <w:pPr>
              <w:pStyle w:val="17"/>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10D42FDD">
            <w:pPr>
              <w:pStyle w:val="17"/>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6FC7CE14">
            <w:pPr>
              <w:pStyle w:val="17"/>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1C5603C0">
            <w:pPr>
              <w:pStyle w:val="17"/>
              <w:spacing w:before="149" w:line="244" w:lineRule="auto"/>
              <w:ind w:left="412" w:right="192" w:hanging="212"/>
              <w:jc w:val="left"/>
              <w:rPr>
                <w:sz w:val="21"/>
              </w:rPr>
            </w:pPr>
            <w:r>
              <w:rPr>
                <w:sz w:val="21"/>
              </w:rPr>
              <w:t>浓度类型</w:t>
            </w:r>
          </w:p>
        </w:tc>
        <w:tc>
          <w:tcPr>
            <w:tcW w:w="1259" w:type="dxa"/>
            <w:vMerge w:val="restart"/>
          </w:tcPr>
          <w:p w14:paraId="7AE31F68">
            <w:pPr>
              <w:pStyle w:val="17"/>
              <w:spacing w:before="149"/>
              <w:ind w:left="208"/>
              <w:jc w:val="left"/>
              <w:rPr>
                <w:sz w:val="21"/>
              </w:rPr>
            </w:pPr>
            <w:r>
              <w:rPr>
                <w:w w:val="95"/>
                <w:sz w:val="21"/>
              </w:rPr>
              <w:t>浓度增量</w:t>
            </w:r>
          </w:p>
          <w:p w14:paraId="60271876">
            <w:pPr>
              <w:pStyle w:val="17"/>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613FEA95">
            <w:pPr>
              <w:pStyle w:val="17"/>
              <w:spacing w:before="44"/>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06102F33">
            <w:pPr>
              <w:pStyle w:val="17"/>
              <w:spacing w:before="149"/>
              <w:ind w:left="195"/>
              <w:jc w:val="left"/>
              <w:rPr>
                <w:sz w:val="21"/>
              </w:rPr>
            </w:pPr>
            <w:r>
              <w:rPr>
                <w:w w:val="95"/>
                <w:sz w:val="21"/>
              </w:rPr>
              <w:t>背景浓度</w:t>
            </w:r>
          </w:p>
          <w:p w14:paraId="59FF7C78">
            <w:pPr>
              <w:pStyle w:val="17"/>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42E1C5D7">
            <w:pPr>
              <w:pStyle w:val="17"/>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45F2343F">
            <w:pPr>
              <w:pStyle w:val="17"/>
              <w:spacing w:before="149"/>
              <w:ind w:left="194"/>
              <w:jc w:val="left"/>
              <w:rPr>
                <w:sz w:val="21"/>
              </w:rPr>
            </w:pPr>
            <w:r>
              <w:rPr>
                <w:w w:val="95"/>
                <w:sz w:val="21"/>
              </w:rPr>
              <w:t>评价标准</w:t>
            </w:r>
          </w:p>
          <w:p w14:paraId="72D85723">
            <w:pPr>
              <w:pStyle w:val="17"/>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7579065B">
            <w:pPr>
              <w:pStyle w:val="17"/>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3109EE0B">
            <w:pPr>
              <w:pStyle w:val="17"/>
              <w:spacing w:before="149" w:line="244" w:lineRule="auto"/>
              <w:ind w:left="145" w:right="141"/>
              <w:jc w:val="left"/>
              <w:rPr>
                <w:sz w:val="21"/>
              </w:rPr>
            </w:pPr>
            <w:r>
              <w:rPr>
                <w:w w:val="95"/>
                <w:sz w:val="21"/>
              </w:rPr>
              <w:t>是否超标</w:t>
            </w:r>
          </w:p>
        </w:tc>
      </w:tr>
      <w:tr w14:paraId="14B29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5CF6C6A9">
            <w:pPr>
              <w:rPr>
                <w:sz w:val="2"/>
                <w:szCs w:val="2"/>
              </w:rPr>
            </w:pPr>
          </w:p>
        </w:tc>
        <w:tc>
          <w:tcPr>
            <w:tcW w:w="1265" w:type="dxa"/>
            <w:vMerge w:val="continue"/>
            <w:tcBorders>
              <w:top w:val="nil"/>
            </w:tcBorders>
          </w:tcPr>
          <w:p w14:paraId="1320C6E1">
            <w:pPr>
              <w:rPr>
                <w:sz w:val="2"/>
                <w:szCs w:val="2"/>
              </w:rPr>
            </w:pPr>
          </w:p>
        </w:tc>
        <w:tc>
          <w:tcPr>
            <w:tcW w:w="771" w:type="dxa"/>
          </w:tcPr>
          <w:p w14:paraId="2BE2D719">
            <w:pPr>
              <w:pStyle w:val="17"/>
              <w:spacing w:before="23"/>
              <w:ind w:left="7"/>
              <w:rPr>
                <w:rFonts w:ascii="Times New Roman"/>
                <w:sz w:val="21"/>
              </w:rPr>
            </w:pPr>
            <w:r>
              <w:rPr>
                <w:rFonts w:ascii="Times New Roman"/>
                <w:w w:val="99"/>
                <w:sz w:val="21"/>
              </w:rPr>
              <w:t>X</w:t>
            </w:r>
          </w:p>
        </w:tc>
        <w:tc>
          <w:tcPr>
            <w:tcW w:w="772" w:type="dxa"/>
          </w:tcPr>
          <w:p w14:paraId="6A92D6DF">
            <w:pPr>
              <w:pStyle w:val="17"/>
              <w:spacing w:before="23"/>
              <w:ind w:left="10"/>
              <w:rPr>
                <w:rFonts w:ascii="Times New Roman"/>
                <w:sz w:val="21"/>
              </w:rPr>
            </w:pPr>
            <w:r>
              <w:rPr>
                <w:rFonts w:ascii="Times New Roman"/>
                <w:w w:val="99"/>
                <w:sz w:val="21"/>
              </w:rPr>
              <w:t>Y</w:t>
            </w:r>
          </w:p>
        </w:tc>
        <w:tc>
          <w:tcPr>
            <w:tcW w:w="921" w:type="dxa"/>
            <w:vMerge w:val="continue"/>
            <w:tcBorders>
              <w:top w:val="nil"/>
            </w:tcBorders>
          </w:tcPr>
          <w:p w14:paraId="6A6CA787">
            <w:pPr>
              <w:rPr>
                <w:sz w:val="2"/>
                <w:szCs w:val="2"/>
              </w:rPr>
            </w:pPr>
          </w:p>
        </w:tc>
        <w:tc>
          <w:tcPr>
            <w:tcW w:w="1035" w:type="dxa"/>
            <w:vMerge w:val="continue"/>
            <w:tcBorders>
              <w:top w:val="nil"/>
            </w:tcBorders>
          </w:tcPr>
          <w:p w14:paraId="1A6D56DC">
            <w:pPr>
              <w:rPr>
                <w:sz w:val="2"/>
                <w:szCs w:val="2"/>
              </w:rPr>
            </w:pPr>
          </w:p>
        </w:tc>
        <w:tc>
          <w:tcPr>
            <w:tcW w:w="1259" w:type="dxa"/>
            <w:vMerge w:val="continue"/>
            <w:tcBorders>
              <w:top w:val="nil"/>
            </w:tcBorders>
          </w:tcPr>
          <w:p w14:paraId="6F2E4BC1">
            <w:pPr>
              <w:rPr>
                <w:sz w:val="2"/>
                <w:szCs w:val="2"/>
              </w:rPr>
            </w:pPr>
          </w:p>
        </w:tc>
        <w:tc>
          <w:tcPr>
            <w:tcW w:w="1317" w:type="dxa"/>
            <w:vMerge w:val="continue"/>
            <w:tcBorders>
              <w:top w:val="nil"/>
            </w:tcBorders>
          </w:tcPr>
          <w:p w14:paraId="0ED6B0E0">
            <w:pPr>
              <w:rPr>
                <w:sz w:val="2"/>
                <w:szCs w:val="2"/>
              </w:rPr>
            </w:pPr>
          </w:p>
        </w:tc>
        <w:tc>
          <w:tcPr>
            <w:tcW w:w="1230" w:type="dxa"/>
            <w:vMerge w:val="continue"/>
            <w:tcBorders>
              <w:top w:val="nil"/>
            </w:tcBorders>
          </w:tcPr>
          <w:p w14:paraId="77AB6B8D">
            <w:pPr>
              <w:rPr>
                <w:sz w:val="2"/>
                <w:szCs w:val="2"/>
              </w:rPr>
            </w:pPr>
          </w:p>
        </w:tc>
        <w:tc>
          <w:tcPr>
            <w:tcW w:w="1725" w:type="dxa"/>
            <w:vMerge w:val="continue"/>
            <w:tcBorders>
              <w:top w:val="nil"/>
            </w:tcBorders>
          </w:tcPr>
          <w:p w14:paraId="187494EA">
            <w:pPr>
              <w:rPr>
                <w:sz w:val="2"/>
                <w:szCs w:val="2"/>
              </w:rPr>
            </w:pPr>
          </w:p>
        </w:tc>
        <w:tc>
          <w:tcPr>
            <w:tcW w:w="1230" w:type="dxa"/>
            <w:vMerge w:val="continue"/>
            <w:tcBorders>
              <w:top w:val="nil"/>
            </w:tcBorders>
          </w:tcPr>
          <w:p w14:paraId="33EE41F5">
            <w:pPr>
              <w:rPr>
                <w:sz w:val="2"/>
                <w:szCs w:val="2"/>
              </w:rPr>
            </w:pPr>
          </w:p>
        </w:tc>
        <w:tc>
          <w:tcPr>
            <w:tcW w:w="1517" w:type="dxa"/>
            <w:vMerge w:val="continue"/>
            <w:tcBorders>
              <w:top w:val="nil"/>
            </w:tcBorders>
          </w:tcPr>
          <w:p w14:paraId="46198262">
            <w:pPr>
              <w:rPr>
                <w:sz w:val="2"/>
                <w:szCs w:val="2"/>
              </w:rPr>
            </w:pPr>
          </w:p>
        </w:tc>
        <w:tc>
          <w:tcPr>
            <w:tcW w:w="712" w:type="dxa"/>
            <w:vMerge w:val="continue"/>
            <w:tcBorders>
              <w:top w:val="nil"/>
              <w:right w:val="nil"/>
            </w:tcBorders>
          </w:tcPr>
          <w:p w14:paraId="7AD7C222">
            <w:pPr>
              <w:rPr>
                <w:sz w:val="2"/>
                <w:szCs w:val="2"/>
              </w:rPr>
            </w:pPr>
          </w:p>
        </w:tc>
      </w:tr>
      <w:tr w14:paraId="2174C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E34AED8">
            <w:pPr>
              <w:pStyle w:val="17"/>
              <w:spacing w:before="35"/>
              <w:ind w:right="169"/>
              <w:jc w:val="right"/>
              <w:rPr>
                <w:rFonts w:ascii="Times New Roman"/>
                <w:sz w:val="21"/>
              </w:rPr>
            </w:pPr>
            <w:r>
              <w:rPr>
                <w:rFonts w:ascii="Times New Roman"/>
                <w:w w:val="99"/>
                <w:sz w:val="21"/>
              </w:rPr>
              <w:t>1</w:t>
            </w:r>
          </w:p>
        </w:tc>
        <w:tc>
          <w:tcPr>
            <w:tcW w:w="1265" w:type="dxa"/>
          </w:tcPr>
          <w:p w14:paraId="1323DB32">
            <w:pPr>
              <w:pStyle w:val="17"/>
              <w:spacing w:before="21"/>
              <w:ind w:left="189" w:right="183"/>
              <w:rPr>
                <w:sz w:val="21"/>
              </w:rPr>
            </w:pPr>
            <w:r>
              <w:rPr>
                <w:sz w:val="21"/>
              </w:rPr>
              <w:t>新书村</w:t>
            </w:r>
          </w:p>
        </w:tc>
        <w:tc>
          <w:tcPr>
            <w:tcW w:w="771" w:type="dxa"/>
          </w:tcPr>
          <w:p w14:paraId="37B4531B">
            <w:pPr>
              <w:pStyle w:val="17"/>
              <w:spacing w:before="35"/>
              <w:ind w:right="182"/>
              <w:jc w:val="right"/>
              <w:rPr>
                <w:rFonts w:ascii="Times New Roman"/>
                <w:sz w:val="21"/>
              </w:rPr>
            </w:pPr>
            <w:r>
              <w:rPr>
                <w:rFonts w:ascii="Times New Roman"/>
                <w:sz w:val="21"/>
              </w:rPr>
              <w:t>-691</w:t>
            </w:r>
          </w:p>
        </w:tc>
        <w:tc>
          <w:tcPr>
            <w:tcW w:w="772" w:type="dxa"/>
          </w:tcPr>
          <w:p w14:paraId="6F5CC159">
            <w:pPr>
              <w:pStyle w:val="17"/>
              <w:spacing w:before="35"/>
              <w:ind w:right="181"/>
              <w:jc w:val="right"/>
              <w:rPr>
                <w:rFonts w:ascii="Times New Roman"/>
                <w:sz w:val="21"/>
              </w:rPr>
            </w:pPr>
            <w:r>
              <w:rPr>
                <w:rFonts w:ascii="Times New Roman"/>
                <w:w w:val="95"/>
                <w:sz w:val="21"/>
              </w:rPr>
              <w:t>-158</w:t>
            </w:r>
          </w:p>
        </w:tc>
        <w:tc>
          <w:tcPr>
            <w:tcW w:w="921" w:type="dxa"/>
          </w:tcPr>
          <w:p w14:paraId="0B3CAD39">
            <w:pPr>
              <w:pStyle w:val="17"/>
              <w:spacing w:before="35"/>
              <w:ind w:left="203" w:right="195"/>
              <w:rPr>
                <w:rFonts w:ascii="Times New Roman"/>
                <w:sz w:val="21"/>
              </w:rPr>
            </w:pPr>
            <w:r>
              <w:rPr>
                <w:rFonts w:ascii="Times New Roman"/>
                <w:sz w:val="21"/>
              </w:rPr>
              <w:t>64.83</w:t>
            </w:r>
          </w:p>
        </w:tc>
        <w:tc>
          <w:tcPr>
            <w:tcW w:w="1035" w:type="dxa"/>
          </w:tcPr>
          <w:p w14:paraId="3706E9F7">
            <w:pPr>
              <w:pStyle w:val="17"/>
              <w:spacing w:before="19"/>
              <w:ind w:left="201"/>
              <w:jc w:val="left"/>
              <w:rPr>
                <w:sz w:val="21"/>
              </w:rPr>
            </w:pPr>
            <w:r>
              <w:rPr>
                <w:sz w:val="21"/>
              </w:rPr>
              <w:t>小时值</w:t>
            </w:r>
          </w:p>
        </w:tc>
        <w:tc>
          <w:tcPr>
            <w:tcW w:w="1259" w:type="dxa"/>
          </w:tcPr>
          <w:p w14:paraId="707A12CD">
            <w:pPr>
              <w:pStyle w:val="17"/>
              <w:spacing w:before="35"/>
              <w:ind w:left="217"/>
              <w:jc w:val="left"/>
              <w:rPr>
                <w:rFonts w:ascii="Times New Roman"/>
                <w:sz w:val="21"/>
              </w:rPr>
            </w:pPr>
            <w:r>
              <w:rPr>
                <w:rFonts w:ascii="Times New Roman"/>
                <w:sz w:val="21"/>
              </w:rPr>
              <w:t>7.17E+00</w:t>
            </w:r>
          </w:p>
        </w:tc>
        <w:tc>
          <w:tcPr>
            <w:tcW w:w="1317" w:type="dxa"/>
          </w:tcPr>
          <w:p w14:paraId="5BB70DD2">
            <w:pPr>
              <w:pStyle w:val="17"/>
              <w:spacing w:before="35"/>
              <w:ind w:left="108" w:right="98"/>
              <w:rPr>
                <w:rFonts w:ascii="Times New Roman"/>
                <w:sz w:val="21"/>
              </w:rPr>
            </w:pPr>
            <w:r>
              <w:rPr>
                <w:rFonts w:ascii="Times New Roman"/>
                <w:sz w:val="21"/>
              </w:rPr>
              <w:t>23010309</w:t>
            </w:r>
          </w:p>
        </w:tc>
        <w:tc>
          <w:tcPr>
            <w:tcW w:w="1230" w:type="dxa"/>
          </w:tcPr>
          <w:p w14:paraId="4A3E2EC2">
            <w:pPr>
              <w:pStyle w:val="17"/>
              <w:spacing w:before="35"/>
              <w:ind w:left="175" w:right="166"/>
              <w:rPr>
                <w:rFonts w:ascii="Times New Roman"/>
                <w:sz w:val="21"/>
              </w:rPr>
            </w:pPr>
            <w:r>
              <w:rPr>
                <w:rFonts w:ascii="Times New Roman"/>
                <w:sz w:val="21"/>
              </w:rPr>
              <w:t>0.00E+00</w:t>
            </w:r>
          </w:p>
        </w:tc>
        <w:tc>
          <w:tcPr>
            <w:tcW w:w="1725" w:type="dxa"/>
          </w:tcPr>
          <w:p w14:paraId="2578F20B">
            <w:pPr>
              <w:pStyle w:val="17"/>
              <w:spacing w:before="35"/>
              <w:ind w:left="419" w:right="413"/>
              <w:rPr>
                <w:rFonts w:ascii="Times New Roman"/>
                <w:sz w:val="21"/>
              </w:rPr>
            </w:pPr>
            <w:r>
              <w:rPr>
                <w:rFonts w:ascii="Times New Roman"/>
                <w:sz w:val="21"/>
              </w:rPr>
              <w:t>7.17E+00</w:t>
            </w:r>
          </w:p>
        </w:tc>
        <w:tc>
          <w:tcPr>
            <w:tcW w:w="1230" w:type="dxa"/>
          </w:tcPr>
          <w:p w14:paraId="2BDBF8E5">
            <w:pPr>
              <w:pStyle w:val="17"/>
              <w:spacing w:before="35"/>
              <w:ind w:left="174" w:right="166"/>
              <w:rPr>
                <w:rFonts w:ascii="Times New Roman"/>
                <w:sz w:val="21"/>
              </w:rPr>
            </w:pPr>
            <w:r>
              <w:rPr>
                <w:rFonts w:ascii="Times New Roman"/>
                <w:sz w:val="21"/>
              </w:rPr>
              <w:t>9.00E+02</w:t>
            </w:r>
          </w:p>
        </w:tc>
        <w:tc>
          <w:tcPr>
            <w:tcW w:w="1517" w:type="dxa"/>
          </w:tcPr>
          <w:p w14:paraId="3D9A5CA7">
            <w:pPr>
              <w:pStyle w:val="17"/>
              <w:spacing w:before="35"/>
              <w:ind w:left="499" w:right="492"/>
              <w:rPr>
                <w:rFonts w:ascii="Times New Roman"/>
                <w:sz w:val="21"/>
              </w:rPr>
            </w:pPr>
            <w:r>
              <w:rPr>
                <w:rFonts w:ascii="Times New Roman"/>
                <w:sz w:val="21"/>
              </w:rPr>
              <w:t>0.80</w:t>
            </w:r>
          </w:p>
        </w:tc>
        <w:tc>
          <w:tcPr>
            <w:tcW w:w="712" w:type="dxa"/>
            <w:tcBorders>
              <w:right w:val="nil"/>
            </w:tcBorders>
          </w:tcPr>
          <w:p w14:paraId="11428290">
            <w:pPr>
              <w:pStyle w:val="17"/>
              <w:spacing w:before="19"/>
              <w:ind w:left="122" w:right="121"/>
              <w:rPr>
                <w:sz w:val="21"/>
              </w:rPr>
            </w:pPr>
            <w:r>
              <w:rPr>
                <w:sz w:val="21"/>
              </w:rPr>
              <w:t>达标</w:t>
            </w:r>
          </w:p>
        </w:tc>
      </w:tr>
      <w:tr w14:paraId="01752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1D2877D">
            <w:pPr>
              <w:pStyle w:val="17"/>
              <w:jc w:val="left"/>
              <w:rPr>
                <w:rFonts w:ascii="Times New Roman"/>
                <w:sz w:val="20"/>
              </w:rPr>
            </w:pPr>
          </w:p>
        </w:tc>
        <w:tc>
          <w:tcPr>
            <w:tcW w:w="1265" w:type="dxa"/>
          </w:tcPr>
          <w:p w14:paraId="24335542">
            <w:pPr>
              <w:pStyle w:val="17"/>
              <w:jc w:val="left"/>
              <w:rPr>
                <w:rFonts w:ascii="Times New Roman"/>
                <w:sz w:val="20"/>
              </w:rPr>
            </w:pPr>
          </w:p>
        </w:tc>
        <w:tc>
          <w:tcPr>
            <w:tcW w:w="771" w:type="dxa"/>
          </w:tcPr>
          <w:p w14:paraId="68B3E420">
            <w:pPr>
              <w:pStyle w:val="17"/>
              <w:jc w:val="left"/>
              <w:rPr>
                <w:rFonts w:ascii="Times New Roman"/>
                <w:sz w:val="20"/>
              </w:rPr>
            </w:pPr>
          </w:p>
        </w:tc>
        <w:tc>
          <w:tcPr>
            <w:tcW w:w="772" w:type="dxa"/>
          </w:tcPr>
          <w:p w14:paraId="5F373880">
            <w:pPr>
              <w:pStyle w:val="17"/>
              <w:jc w:val="left"/>
              <w:rPr>
                <w:rFonts w:ascii="Times New Roman"/>
                <w:sz w:val="20"/>
              </w:rPr>
            </w:pPr>
          </w:p>
        </w:tc>
        <w:tc>
          <w:tcPr>
            <w:tcW w:w="921" w:type="dxa"/>
          </w:tcPr>
          <w:p w14:paraId="34992995">
            <w:pPr>
              <w:pStyle w:val="17"/>
              <w:jc w:val="left"/>
              <w:rPr>
                <w:rFonts w:ascii="Times New Roman"/>
                <w:sz w:val="20"/>
              </w:rPr>
            </w:pPr>
          </w:p>
        </w:tc>
        <w:tc>
          <w:tcPr>
            <w:tcW w:w="1035" w:type="dxa"/>
          </w:tcPr>
          <w:p w14:paraId="522A6C7F">
            <w:pPr>
              <w:pStyle w:val="17"/>
              <w:spacing w:before="19"/>
              <w:ind w:left="201"/>
              <w:jc w:val="left"/>
              <w:rPr>
                <w:sz w:val="21"/>
              </w:rPr>
            </w:pPr>
            <w:r>
              <w:rPr>
                <w:sz w:val="21"/>
              </w:rPr>
              <w:t>日均值</w:t>
            </w:r>
          </w:p>
        </w:tc>
        <w:tc>
          <w:tcPr>
            <w:tcW w:w="1259" w:type="dxa"/>
          </w:tcPr>
          <w:p w14:paraId="06C45CC3">
            <w:pPr>
              <w:pStyle w:val="17"/>
              <w:spacing w:before="35"/>
              <w:ind w:left="241"/>
              <w:jc w:val="left"/>
              <w:rPr>
                <w:rFonts w:ascii="Times New Roman"/>
                <w:sz w:val="21"/>
              </w:rPr>
            </w:pPr>
            <w:r>
              <w:rPr>
                <w:rFonts w:ascii="Times New Roman"/>
                <w:sz w:val="21"/>
              </w:rPr>
              <w:t>7.26E-01</w:t>
            </w:r>
          </w:p>
        </w:tc>
        <w:tc>
          <w:tcPr>
            <w:tcW w:w="1317" w:type="dxa"/>
          </w:tcPr>
          <w:p w14:paraId="603C76BB">
            <w:pPr>
              <w:pStyle w:val="17"/>
              <w:spacing w:before="35"/>
              <w:ind w:left="108" w:right="98"/>
              <w:rPr>
                <w:rFonts w:ascii="Times New Roman"/>
                <w:sz w:val="21"/>
              </w:rPr>
            </w:pPr>
            <w:r>
              <w:rPr>
                <w:rFonts w:ascii="Times New Roman"/>
                <w:sz w:val="21"/>
              </w:rPr>
              <w:t>230823</w:t>
            </w:r>
          </w:p>
        </w:tc>
        <w:tc>
          <w:tcPr>
            <w:tcW w:w="1230" w:type="dxa"/>
          </w:tcPr>
          <w:p w14:paraId="196BF301">
            <w:pPr>
              <w:pStyle w:val="17"/>
              <w:spacing w:before="35"/>
              <w:ind w:left="175" w:right="166"/>
              <w:rPr>
                <w:rFonts w:ascii="Times New Roman"/>
                <w:sz w:val="21"/>
              </w:rPr>
            </w:pPr>
            <w:r>
              <w:rPr>
                <w:rFonts w:ascii="Times New Roman"/>
                <w:sz w:val="21"/>
              </w:rPr>
              <w:t>0.00E+00</w:t>
            </w:r>
          </w:p>
        </w:tc>
        <w:tc>
          <w:tcPr>
            <w:tcW w:w="1725" w:type="dxa"/>
          </w:tcPr>
          <w:p w14:paraId="123DB544">
            <w:pPr>
              <w:pStyle w:val="17"/>
              <w:spacing w:before="35"/>
              <w:ind w:left="417" w:right="413"/>
              <w:rPr>
                <w:rFonts w:ascii="Times New Roman"/>
                <w:sz w:val="21"/>
              </w:rPr>
            </w:pPr>
            <w:r>
              <w:rPr>
                <w:rFonts w:ascii="Times New Roman"/>
                <w:sz w:val="21"/>
              </w:rPr>
              <w:t>7.26E-01</w:t>
            </w:r>
          </w:p>
        </w:tc>
        <w:tc>
          <w:tcPr>
            <w:tcW w:w="1230" w:type="dxa"/>
          </w:tcPr>
          <w:p w14:paraId="25AA59E2">
            <w:pPr>
              <w:pStyle w:val="17"/>
              <w:spacing w:before="35"/>
              <w:ind w:left="174" w:right="166"/>
              <w:rPr>
                <w:rFonts w:ascii="Times New Roman"/>
                <w:sz w:val="21"/>
              </w:rPr>
            </w:pPr>
            <w:r>
              <w:rPr>
                <w:rFonts w:ascii="Times New Roman"/>
                <w:sz w:val="21"/>
              </w:rPr>
              <w:t>3.00E+02</w:t>
            </w:r>
          </w:p>
        </w:tc>
        <w:tc>
          <w:tcPr>
            <w:tcW w:w="1517" w:type="dxa"/>
          </w:tcPr>
          <w:p w14:paraId="38E0BA14">
            <w:pPr>
              <w:pStyle w:val="17"/>
              <w:spacing w:before="35"/>
              <w:ind w:left="499" w:right="492"/>
              <w:rPr>
                <w:rFonts w:ascii="Times New Roman"/>
                <w:sz w:val="21"/>
              </w:rPr>
            </w:pPr>
            <w:r>
              <w:rPr>
                <w:rFonts w:ascii="Times New Roman"/>
                <w:sz w:val="21"/>
              </w:rPr>
              <w:t>0.24</w:t>
            </w:r>
          </w:p>
        </w:tc>
        <w:tc>
          <w:tcPr>
            <w:tcW w:w="712" w:type="dxa"/>
            <w:tcBorders>
              <w:right w:val="nil"/>
            </w:tcBorders>
          </w:tcPr>
          <w:p w14:paraId="2110C8F6">
            <w:pPr>
              <w:pStyle w:val="17"/>
              <w:spacing w:before="19"/>
              <w:ind w:left="122" w:right="121"/>
              <w:rPr>
                <w:sz w:val="21"/>
              </w:rPr>
            </w:pPr>
            <w:r>
              <w:rPr>
                <w:sz w:val="21"/>
              </w:rPr>
              <w:t>达标</w:t>
            </w:r>
          </w:p>
        </w:tc>
      </w:tr>
      <w:tr w14:paraId="31FE0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557214C">
            <w:pPr>
              <w:pStyle w:val="17"/>
              <w:jc w:val="left"/>
              <w:rPr>
                <w:rFonts w:ascii="Times New Roman"/>
                <w:sz w:val="20"/>
              </w:rPr>
            </w:pPr>
          </w:p>
        </w:tc>
        <w:tc>
          <w:tcPr>
            <w:tcW w:w="1265" w:type="dxa"/>
          </w:tcPr>
          <w:p w14:paraId="3D2DF482">
            <w:pPr>
              <w:pStyle w:val="17"/>
              <w:jc w:val="left"/>
              <w:rPr>
                <w:rFonts w:ascii="Times New Roman"/>
                <w:sz w:val="20"/>
              </w:rPr>
            </w:pPr>
          </w:p>
        </w:tc>
        <w:tc>
          <w:tcPr>
            <w:tcW w:w="771" w:type="dxa"/>
          </w:tcPr>
          <w:p w14:paraId="4ABD399A">
            <w:pPr>
              <w:pStyle w:val="17"/>
              <w:jc w:val="left"/>
              <w:rPr>
                <w:rFonts w:ascii="Times New Roman"/>
                <w:sz w:val="20"/>
              </w:rPr>
            </w:pPr>
          </w:p>
        </w:tc>
        <w:tc>
          <w:tcPr>
            <w:tcW w:w="772" w:type="dxa"/>
          </w:tcPr>
          <w:p w14:paraId="02AE14C9">
            <w:pPr>
              <w:pStyle w:val="17"/>
              <w:jc w:val="left"/>
              <w:rPr>
                <w:rFonts w:ascii="Times New Roman"/>
                <w:sz w:val="20"/>
              </w:rPr>
            </w:pPr>
          </w:p>
        </w:tc>
        <w:tc>
          <w:tcPr>
            <w:tcW w:w="921" w:type="dxa"/>
          </w:tcPr>
          <w:p w14:paraId="5C5F33FB">
            <w:pPr>
              <w:pStyle w:val="17"/>
              <w:jc w:val="left"/>
              <w:rPr>
                <w:rFonts w:ascii="Times New Roman"/>
                <w:sz w:val="20"/>
              </w:rPr>
            </w:pPr>
          </w:p>
        </w:tc>
        <w:tc>
          <w:tcPr>
            <w:tcW w:w="1035" w:type="dxa"/>
          </w:tcPr>
          <w:p w14:paraId="06EB568B">
            <w:pPr>
              <w:pStyle w:val="17"/>
              <w:spacing w:before="21"/>
              <w:ind w:left="201"/>
              <w:jc w:val="left"/>
              <w:rPr>
                <w:sz w:val="21"/>
              </w:rPr>
            </w:pPr>
            <w:r>
              <w:rPr>
                <w:sz w:val="21"/>
              </w:rPr>
              <w:t>年均值</w:t>
            </w:r>
          </w:p>
        </w:tc>
        <w:tc>
          <w:tcPr>
            <w:tcW w:w="1259" w:type="dxa"/>
          </w:tcPr>
          <w:p w14:paraId="56F5923A">
            <w:pPr>
              <w:pStyle w:val="17"/>
              <w:spacing w:before="35"/>
              <w:ind w:left="241"/>
              <w:jc w:val="left"/>
              <w:rPr>
                <w:rFonts w:ascii="Times New Roman"/>
                <w:sz w:val="21"/>
              </w:rPr>
            </w:pPr>
            <w:r>
              <w:rPr>
                <w:rFonts w:ascii="Times New Roman"/>
                <w:sz w:val="21"/>
              </w:rPr>
              <w:t>3.73E-02</w:t>
            </w:r>
          </w:p>
        </w:tc>
        <w:tc>
          <w:tcPr>
            <w:tcW w:w="1317" w:type="dxa"/>
          </w:tcPr>
          <w:p w14:paraId="18E54290">
            <w:pPr>
              <w:pStyle w:val="17"/>
              <w:spacing w:before="21"/>
              <w:ind w:left="107" w:right="98"/>
              <w:rPr>
                <w:sz w:val="21"/>
              </w:rPr>
            </w:pPr>
            <w:r>
              <w:rPr>
                <w:sz w:val="21"/>
              </w:rPr>
              <w:t>平均值</w:t>
            </w:r>
          </w:p>
        </w:tc>
        <w:tc>
          <w:tcPr>
            <w:tcW w:w="1230" w:type="dxa"/>
          </w:tcPr>
          <w:p w14:paraId="7CF81FC2">
            <w:pPr>
              <w:pStyle w:val="17"/>
              <w:spacing w:before="35"/>
              <w:ind w:left="175" w:right="166"/>
              <w:rPr>
                <w:rFonts w:ascii="Times New Roman"/>
                <w:sz w:val="21"/>
              </w:rPr>
            </w:pPr>
            <w:r>
              <w:rPr>
                <w:rFonts w:ascii="Times New Roman"/>
                <w:sz w:val="21"/>
              </w:rPr>
              <w:t>0.00E+00</w:t>
            </w:r>
          </w:p>
        </w:tc>
        <w:tc>
          <w:tcPr>
            <w:tcW w:w="1725" w:type="dxa"/>
          </w:tcPr>
          <w:p w14:paraId="20A9B9FE">
            <w:pPr>
              <w:pStyle w:val="17"/>
              <w:spacing w:before="35"/>
              <w:ind w:left="417" w:right="413"/>
              <w:rPr>
                <w:rFonts w:ascii="Times New Roman"/>
                <w:sz w:val="21"/>
              </w:rPr>
            </w:pPr>
            <w:r>
              <w:rPr>
                <w:rFonts w:ascii="Times New Roman"/>
                <w:sz w:val="21"/>
              </w:rPr>
              <w:t>3.73E-02</w:t>
            </w:r>
          </w:p>
        </w:tc>
        <w:tc>
          <w:tcPr>
            <w:tcW w:w="1230" w:type="dxa"/>
          </w:tcPr>
          <w:p w14:paraId="79E3F714">
            <w:pPr>
              <w:pStyle w:val="17"/>
              <w:spacing w:before="35"/>
              <w:ind w:left="174" w:right="166"/>
              <w:rPr>
                <w:rFonts w:ascii="Times New Roman"/>
                <w:sz w:val="21"/>
              </w:rPr>
            </w:pPr>
            <w:r>
              <w:rPr>
                <w:rFonts w:ascii="Times New Roman"/>
                <w:sz w:val="21"/>
              </w:rPr>
              <w:t>2.00E+02</w:t>
            </w:r>
          </w:p>
        </w:tc>
        <w:tc>
          <w:tcPr>
            <w:tcW w:w="1517" w:type="dxa"/>
          </w:tcPr>
          <w:p w14:paraId="60B04CB9">
            <w:pPr>
              <w:pStyle w:val="17"/>
              <w:spacing w:before="35"/>
              <w:ind w:left="499" w:right="492"/>
              <w:rPr>
                <w:rFonts w:ascii="Times New Roman"/>
                <w:sz w:val="21"/>
              </w:rPr>
            </w:pPr>
            <w:r>
              <w:rPr>
                <w:rFonts w:ascii="Times New Roman"/>
                <w:sz w:val="21"/>
              </w:rPr>
              <w:t>0.02</w:t>
            </w:r>
          </w:p>
        </w:tc>
        <w:tc>
          <w:tcPr>
            <w:tcW w:w="712" w:type="dxa"/>
            <w:tcBorders>
              <w:right w:val="nil"/>
            </w:tcBorders>
          </w:tcPr>
          <w:p w14:paraId="077457CC">
            <w:pPr>
              <w:pStyle w:val="17"/>
              <w:spacing w:before="21"/>
              <w:ind w:left="122" w:right="121"/>
              <w:rPr>
                <w:sz w:val="21"/>
              </w:rPr>
            </w:pPr>
            <w:r>
              <w:rPr>
                <w:sz w:val="21"/>
              </w:rPr>
              <w:t>达标</w:t>
            </w:r>
          </w:p>
        </w:tc>
      </w:tr>
      <w:tr w14:paraId="180B1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7F3F487">
            <w:pPr>
              <w:pStyle w:val="17"/>
              <w:spacing w:before="34"/>
              <w:ind w:right="169"/>
              <w:jc w:val="right"/>
              <w:rPr>
                <w:rFonts w:ascii="Times New Roman"/>
                <w:sz w:val="21"/>
              </w:rPr>
            </w:pPr>
            <w:r>
              <w:rPr>
                <w:rFonts w:ascii="Times New Roman"/>
                <w:w w:val="99"/>
                <w:sz w:val="21"/>
              </w:rPr>
              <w:t>2</w:t>
            </w:r>
          </w:p>
        </w:tc>
        <w:tc>
          <w:tcPr>
            <w:tcW w:w="1265" w:type="dxa"/>
          </w:tcPr>
          <w:p w14:paraId="18068D3D">
            <w:pPr>
              <w:pStyle w:val="17"/>
              <w:spacing w:before="20"/>
              <w:ind w:left="189" w:right="183"/>
              <w:rPr>
                <w:sz w:val="21"/>
              </w:rPr>
            </w:pPr>
            <w:r>
              <w:rPr>
                <w:sz w:val="21"/>
              </w:rPr>
              <w:t>八里村</w:t>
            </w:r>
          </w:p>
        </w:tc>
        <w:tc>
          <w:tcPr>
            <w:tcW w:w="771" w:type="dxa"/>
          </w:tcPr>
          <w:p w14:paraId="74D08498">
            <w:pPr>
              <w:pStyle w:val="17"/>
              <w:spacing w:before="34"/>
              <w:ind w:right="182"/>
              <w:jc w:val="right"/>
              <w:rPr>
                <w:rFonts w:ascii="Times New Roman"/>
                <w:sz w:val="21"/>
              </w:rPr>
            </w:pPr>
            <w:r>
              <w:rPr>
                <w:rFonts w:ascii="Times New Roman"/>
                <w:sz w:val="21"/>
              </w:rPr>
              <w:t>-698</w:t>
            </w:r>
          </w:p>
        </w:tc>
        <w:tc>
          <w:tcPr>
            <w:tcW w:w="772" w:type="dxa"/>
          </w:tcPr>
          <w:p w14:paraId="1C732181">
            <w:pPr>
              <w:pStyle w:val="17"/>
              <w:spacing w:before="34"/>
              <w:ind w:right="181"/>
              <w:jc w:val="right"/>
              <w:rPr>
                <w:rFonts w:ascii="Times New Roman"/>
                <w:sz w:val="21"/>
              </w:rPr>
            </w:pPr>
            <w:r>
              <w:rPr>
                <w:rFonts w:ascii="Times New Roman"/>
                <w:w w:val="95"/>
                <w:sz w:val="21"/>
              </w:rPr>
              <w:t>-255</w:t>
            </w:r>
          </w:p>
        </w:tc>
        <w:tc>
          <w:tcPr>
            <w:tcW w:w="921" w:type="dxa"/>
          </w:tcPr>
          <w:p w14:paraId="649AC18C">
            <w:pPr>
              <w:pStyle w:val="17"/>
              <w:spacing w:before="34"/>
              <w:ind w:left="203" w:right="195"/>
              <w:rPr>
                <w:rFonts w:ascii="Times New Roman"/>
                <w:sz w:val="21"/>
              </w:rPr>
            </w:pPr>
            <w:r>
              <w:rPr>
                <w:rFonts w:ascii="Times New Roman"/>
                <w:sz w:val="21"/>
              </w:rPr>
              <w:t>63.63</w:t>
            </w:r>
          </w:p>
        </w:tc>
        <w:tc>
          <w:tcPr>
            <w:tcW w:w="1035" w:type="dxa"/>
          </w:tcPr>
          <w:p w14:paraId="01D88B82">
            <w:pPr>
              <w:pStyle w:val="17"/>
              <w:spacing w:before="20"/>
              <w:ind w:left="201"/>
              <w:jc w:val="left"/>
              <w:rPr>
                <w:sz w:val="21"/>
              </w:rPr>
            </w:pPr>
            <w:r>
              <w:rPr>
                <w:sz w:val="21"/>
              </w:rPr>
              <w:t>小时值</w:t>
            </w:r>
          </w:p>
        </w:tc>
        <w:tc>
          <w:tcPr>
            <w:tcW w:w="1259" w:type="dxa"/>
          </w:tcPr>
          <w:p w14:paraId="2E3E8386">
            <w:pPr>
              <w:pStyle w:val="17"/>
              <w:spacing w:before="34"/>
              <w:ind w:left="217"/>
              <w:jc w:val="left"/>
              <w:rPr>
                <w:rFonts w:ascii="Times New Roman"/>
                <w:sz w:val="21"/>
              </w:rPr>
            </w:pPr>
            <w:r>
              <w:rPr>
                <w:rFonts w:ascii="Times New Roman"/>
                <w:sz w:val="21"/>
              </w:rPr>
              <w:t>5.78E+00</w:t>
            </w:r>
          </w:p>
        </w:tc>
        <w:tc>
          <w:tcPr>
            <w:tcW w:w="1317" w:type="dxa"/>
          </w:tcPr>
          <w:p w14:paraId="21B8CB77">
            <w:pPr>
              <w:pStyle w:val="17"/>
              <w:spacing w:before="34"/>
              <w:ind w:left="108" w:right="98"/>
              <w:rPr>
                <w:rFonts w:ascii="Times New Roman"/>
                <w:sz w:val="21"/>
              </w:rPr>
            </w:pPr>
            <w:r>
              <w:rPr>
                <w:rFonts w:ascii="Times New Roman"/>
                <w:sz w:val="21"/>
              </w:rPr>
              <w:t>23082301</w:t>
            </w:r>
          </w:p>
        </w:tc>
        <w:tc>
          <w:tcPr>
            <w:tcW w:w="1230" w:type="dxa"/>
          </w:tcPr>
          <w:p w14:paraId="727084E3">
            <w:pPr>
              <w:pStyle w:val="17"/>
              <w:spacing w:before="34"/>
              <w:ind w:left="175" w:right="166"/>
              <w:rPr>
                <w:rFonts w:ascii="Times New Roman"/>
                <w:sz w:val="21"/>
              </w:rPr>
            </w:pPr>
            <w:r>
              <w:rPr>
                <w:rFonts w:ascii="Times New Roman"/>
                <w:sz w:val="21"/>
              </w:rPr>
              <w:t>0.00E+00</w:t>
            </w:r>
          </w:p>
        </w:tc>
        <w:tc>
          <w:tcPr>
            <w:tcW w:w="1725" w:type="dxa"/>
          </w:tcPr>
          <w:p w14:paraId="49794D65">
            <w:pPr>
              <w:pStyle w:val="17"/>
              <w:spacing w:before="34"/>
              <w:ind w:left="419" w:right="413"/>
              <w:rPr>
                <w:rFonts w:ascii="Times New Roman"/>
                <w:sz w:val="21"/>
              </w:rPr>
            </w:pPr>
            <w:r>
              <w:rPr>
                <w:rFonts w:ascii="Times New Roman"/>
                <w:sz w:val="21"/>
              </w:rPr>
              <w:t>5.78E+00</w:t>
            </w:r>
          </w:p>
        </w:tc>
        <w:tc>
          <w:tcPr>
            <w:tcW w:w="1230" w:type="dxa"/>
          </w:tcPr>
          <w:p w14:paraId="3ADE33AB">
            <w:pPr>
              <w:pStyle w:val="17"/>
              <w:spacing w:before="34"/>
              <w:ind w:left="174" w:right="166"/>
              <w:rPr>
                <w:rFonts w:ascii="Times New Roman"/>
                <w:sz w:val="21"/>
              </w:rPr>
            </w:pPr>
            <w:r>
              <w:rPr>
                <w:rFonts w:ascii="Times New Roman"/>
                <w:sz w:val="21"/>
              </w:rPr>
              <w:t>9.00E+02</w:t>
            </w:r>
          </w:p>
        </w:tc>
        <w:tc>
          <w:tcPr>
            <w:tcW w:w="1517" w:type="dxa"/>
          </w:tcPr>
          <w:p w14:paraId="2FC97708">
            <w:pPr>
              <w:pStyle w:val="17"/>
              <w:spacing w:before="34"/>
              <w:ind w:left="499" w:right="492"/>
              <w:rPr>
                <w:rFonts w:ascii="Times New Roman"/>
                <w:sz w:val="21"/>
              </w:rPr>
            </w:pPr>
            <w:r>
              <w:rPr>
                <w:rFonts w:ascii="Times New Roman"/>
                <w:sz w:val="21"/>
              </w:rPr>
              <w:t>0.64</w:t>
            </w:r>
          </w:p>
        </w:tc>
        <w:tc>
          <w:tcPr>
            <w:tcW w:w="712" w:type="dxa"/>
            <w:tcBorders>
              <w:right w:val="nil"/>
            </w:tcBorders>
          </w:tcPr>
          <w:p w14:paraId="2C7C4958">
            <w:pPr>
              <w:pStyle w:val="17"/>
              <w:spacing w:before="20"/>
              <w:ind w:left="122" w:right="121"/>
              <w:rPr>
                <w:sz w:val="21"/>
              </w:rPr>
            </w:pPr>
            <w:r>
              <w:rPr>
                <w:sz w:val="21"/>
              </w:rPr>
              <w:t>达标</w:t>
            </w:r>
          </w:p>
        </w:tc>
      </w:tr>
      <w:tr w14:paraId="5CE09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36AAD41">
            <w:pPr>
              <w:pStyle w:val="17"/>
              <w:jc w:val="left"/>
              <w:rPr>
                <w:rFonts w:ascii="Times New Roman"/>
                <w:sz w:val="20"/>
              </w:rPr>
            </w:pPr>
          </w:p>
        </w:tc>
        <w:tc>
          <w:tcPr>
            <w:tcW w:w="1265" w:type="dxa"/>
          </w:tcPr>
          <w:p w14:paraId="27492A1E">
            <w:pPr>
              <w:pStyle w:val="17"/>
              <w:jc w:val="left"/>
              <w:rPr>
                <w:rFonts w:ascii="Times New Roman"/>
                <w:sz w:val="20"/>
              </w:rPr>
            </w:pPr>
          </w:p>
        </w:tc>
        <w:tc>
          <w:tcPr>
            <w:tcW w:w="771" w:type="dxa"/>
          </w:tcPr>
          <w:p w14:paraId="598A9A04">
            <w:pPr>
              <w:pStyle w:val="17"/>
              <w:jc w:val="left"/>
              <w:rPr>
                <w:rFonts w:ascii="Times New Roman"/>
                <w:sz w:val="20"/>
              </w:rPr>
            </w:pPr>
          </w:p>
        </w:tc>
        <w:tc>
          <w:tcPr>
            <w:tcW w:w="772" w:type="dxa"/>
          </w:tcPr>
          <w:p w14:paraId="6190DC0A">
            <w:pPr>
              <w:pStyle w:val="17"/>
              <w:jc w:val="left"/>
              <w:rPr>
                <w:rFonts w:ascii="Times New Roman"/>
                <w:sz w:val="20"/>
              </w:rPr>
            </w:pPr>
          </w:p>
        </w:tc>
        <w:tc>
          <w:tcPr>
            <w:tcW w:w="921" w:type="dxa"/>
          </w:tcPr>
          <w:p w14:paraId="7868E07D">
            <w:pPr>
              <w:pStyle w:val="17"/>
              <w:jc w:val="left"/>
              <w:rPr>
                <w:rFonts w:ascii="Times New Roman"/>
                <w:sz w:val="20"/>
              </w:rPr>
            </w:pPr>
          </w:p>
        </w:tc>
        <w:tc>
          <w:tcPr>
            <w:tcW w:w="1035" w:type="dxa"/>
          </w:tcPr>
          <w:p w14:paraId="1219E22F">
            <w:pPr>
              <w:pStyle w:val="17"/>
              <w:spacing w:before="20"/>
              <w:ind w:left="201"/>
              <w:jc w:val="left"/>
              <w:rPr>
                <w:sz w:val="21"/>
              </w:rPr>
            </w:pPr>
            <w:r>
              <w:rPr>
                <w:sz w:val="21"/>
              </w:rPr>
              <w:t>日均值</w:t>
            </w:r>
          </w:p>
        </w:tc>
        <w:tc>
          <w:tcPr>
            <w:tcW w:w="1259" w:type="dxa"/>
          </w:tcPr>
          <w:p w14:paraId="23875B82">
            <w:pPr>
              <w:pStyle w:val="17"/>
              <w:spacing w:before="34"/>
              <w:ind w:left="241"/>
              <w:jc w:val="left"/>
              <w:rPr>
                <w:rFonts w:ascii="Times New Roman"/>
                <w:sz w:val="21"/>
              </w:rPr>
            </w:pPr>
            <w:r>
              <w:rPr>
                <w:rFonts w:ascii="Times New Roman"/>
                <w:sz w:val="21"/>
              </w:rPr>
              <w:t>5.50E-01</w:t>
            </w:r>
          </w:p>
        </w:tc>
        <w:tc>
          <w:tcPr>
            <w:tcW w:w="1317" w:type="dxa"/>
          </w:tcPr>
          <w:p w14:paraId="0ADB03A2">
            <w:pPr>
              <w:pStyle w:val="17"/>
              <w:spacing w:before="34"/>
              <w:ind w:left="108" w:right="98"/>
              <w:rPr>
                <w:rFonts w:ascii="Times New Roman"/>
                <w:sz w:val="21"/>
              </w:rPr>
            </w:pPr>
            <w:r>
              <w:rPr>
                <w:rFonts w:ascii="Times New Roman"/>
                <w:sz w:val="21"/>
              </w:rPr>
              <w:t>230823</w:t>
            </w:r>
          </w:p>
        </w:tc>
        <w:tc>
          <w:tcPr>
            <w:tcW w:w="1230" w:type="dxa"/>
          </w:tcPr>
          <w:p w14:paraId="441F51F2">
            <w:pPr>
              <w:pStyle w:val="17"/>
              <w:spacing w:before="34"/>
              <w:ind w:left="175" w:right="166"/>
              <w:rPr>
                <w:rFonts w:ascii="Times New Roman"/>
                <w:sz w:val="21"/>
              </w:rPr>
            </w:pPr>
            <w:r>
              <w:rPr>
                <w:rFonts w:ascii="Times New Roman"/>
                <w:sz w:val="21"/>
              </w:rPr>
              <w:t>0.00E+00</w:t>
            </w:r>
          </w:p>
        </w:tc>
        <w:tc>
          <w:tcPr>
            <w:tcW w:w="1725" w:type="dxa"/>
          </w:tcPr>
          <w:p w14:paraId="68DB7E20">
            <w:pPr>
              <w:pStyle w:val="17"/>
              <w:spacing w:before="34"/>
              <w:ind w:left="417" w:right="413"/>
              <w:rPr>
                <w:rFonts w:ascii="Times New Roman"/>
                <w:sz w:val="21"/>
              </w:rPr>
            </w:pPr>
            <w:r>
              <w:rPr>
                <w:rFonts w:ascii="Times New Roman"/>
                <w:sz w:val="21"/>
              </w:rPr>
              <w:t>5.50E-01</w:t>
            </w:r>
          </w:p>
        </w:tc>
        <w:tc>
          <w:tcPr>
            <w:tcW w:w="1230" w:type="dxa"/>
          </w:tcPr>
          <w:p w14:paraId="1C62315A">
            <w:pPr>
              <w:pStyle w:val="17"/>
              <w:spacing w:before="34"/>
              <w:ind w:left="174" w:right="166"/>
              <w:rPr>
                <w:rFonts w:ascii="Times New Roman"/>
                <w:sz w:val="21"/>
              </w:rPr>
            </w:pPr>
            <w:r>
              <w:rPr>
                <w:rFonts w:ascii="Times New Roman"/>
                <w:sz w:val="21"/>
              </w:rPr>
              <w:t>3.00E+02</w:t>
            </w:r>
          </w:p>
        </w:tc>
        <w:tc>
          <w:tcPr>
            <w:tcW w:w="1517" w:type="dxa"/>
          </w:tcPr>
          <w:p w14:paraId="2332D661">
            <w:pPr>
              <w:pStyle w:val="17"/>
              <w:spacing w:before="34"/>
              <w:ind w:left="499" w:right="492"/>
              <w:rPr>
                <w:rFonts w:ascii="Times New Roman"/>
                <w:sz w:val="21"/>
              </w:rPr>
            </w:pPr>
            <w:r>
              <w:rPr>
                <w:rFonts w:ascii="Times New Roman"/>
                <w:sz w:val="21"/>
              </w:rPr>
              <w:t>0.18</w:t>
            </w:r>
          </w:p>
        </w:tc>
        <w:tc>
          <w:tcPr>
            <w:tcW w:w="712" w:type="dxa"/>
            <w:tcBorders>
              <w:right w:val="nil"/>
            </w:tcBorders>
          </w:tcPr>
          <w:p w14:paraId="76FADB46">
            <w:pPr>
              <w:pStyle w:val="17"/>
              <w:spacing w:before="20"/>
              <w:ind w:left="122" w:right="121"/>
              <w:rPr>
                <w:sz w:val="21"/>
              </w:rPr>
            </w:pPr>
            <w:r>
              <w:rPr>
                <w:sz w:val="21"/>
              </w:rPr>
              <w:t>达标</w:t>
            </w:r>
          </w:p>
        </w:tc>
      </w:tr>
      <w:tr w14:paraId="557D4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E11594A">
            <w:pPr>
              <w:pStyle w:val="17"/>
              <w:jc w:val="left"/>
              <w:rPr>
                <w:rFonts w:ascii="Times New Roman"/>
                <w:sz w:val="20"/>
              </w:rPr>
            </w:pPr>
          </w:p>
        </w:tc>
        <w:tc>
          <w:tcPr>
            <w:tcW w:w="1265" w:type="dxa"/>
          </w:tcPr>
          <w:p w14:paraId="1D27DD73">
            <w:pPr>
              <w:pStyle w:val="17"/>
              <w:jc w:val="left"/>
              <w:rPr>
                <w:rFonts w:ascii="Times New Roman"/>
                <w:sz w:val="20"/>
              </w:rPr>
            </w:pPr>
          </w:p>
        </w:tc>
        <w:tc>
          <w:tcPr>
            <w:tcW w:w="771" w:type="dxa"/>
          </w:tcPr>
          <w:p w14:paraId="199F129D">
            <w:pPr>
              <w:pStyle w:val="17"/>
              <w:jc w:val="left"/>
              <w:rPr>
                <w:rFonts w:ascii="Times New Roman"/>
                <w:sz w:val="20"/>
              </w:rPr>
            </w:pPr>
          </w:p>
        </w:tc>
        <w:tc>
          <w:tcPr>
            <w:tcW w:w="772" w:type="dxa"/>
          </w:tcPr>
          <w:p w14:paraId="39E796D3">
            <w:pPr>
              <w:pStyle w:val="17"/>
              <w:jc w:val="left"/>
              <w:rPr>
                <w:rFonts w:ascii="Times New Roman"/>
                <w:sz w:val="20"/>
              </w:rPr>
            </w:pPr>
          </w:p>
        </w:tc>
        <w:tc>
          <w:tcPr>
            <w:tcW w:w="921" w:type="dxa"/>
          </w:tcPr>
          <w:p w14:paraId="238BD103">
            <w:pPr>
              <w:pStyle w:val="17"/>
              <w:jc w:val="left"/>
              <w:rPr>
                <w:rFonts w:ascii="Times New Roman"/>
                <w:sz w:val="20"/>
              </w:rPr>
            </w:pPr>
          </w:p>
        </w:tc>
        <w:tc>
          <w:tcPr>
            <w:tcW w:w="1035" w:type="dxa"/>
          </w:tcPr>
          <w:p w14:paraId="0B43FACB">
            <w:pPr>
              <w:pStyle w:val="17"/>
              <w:spacing w:before="19"/>
              <w:ind w:left="201"/>
              <w:jc w:val="left"/>
              <w:rPr>
                <w:sz w:val="21"/>
              </w:rPr>
            </w:pPr>
            <w:r>
              <w:rPr>
                <w:sz w:val="21"/>
              </w:rPr>
              <w:t>年均值</w:t>
            </w:r>
          </w:p>
        </w:tc>
        <w:tc>
          <w:tcPr>
            <w:tcW w:w="1259" w:type="dxa"/>
          </w:tcPr>
          <w:p w14:paraId="36656956">
            <w:pPr>
              <w:pStyle w:val="17"/>
              <w:spacing w:before="36"/>
              <w:ind w:left="241"/>
              <w:jc w:val="left"/>
              <w:rPr>
                <w:rFonts w:ascii="Times New Roman"/>
                <w:sz w:val="21"/>
              </w:rPr>
            </w:pPr>
            <w:r>
              <w:rPr>
                <w:rFonts w:ascii="Times New Roman"/>
                <w:sz w:val="21"/>
              </w:rPr>
              <w:t>2.93E-02</w:t>
            </w:r>
          </w:p>
        </w:tc>
        <w:tc>
          <w:tcPr>
            <w:tcW w:w="1317" w:type="dxa"/>
          </w:tcPr>
          <w:p w14:paraId="479EAD20">
            <w:pPr>
              <w:pStyle w:val="17"/>
              <w:spacing w:before="19"/>
              <w:ind w:left="107" w:right="98"/>
              <w:rPr>
                <w:sz w:val="21"/>
              </w:rPr>
            </w:pPr>
            <w:r>
              <w:rPr>
                <w:sz w:val="21"/>
              </w:rPr>
              <w:t>平均值</w:t>
            </w:r>
          </w:p>
        </w:tc>
        <w:tc>
          <w:tcPr>
            <w:tcW w:w="1230" w:type="dxa"/>
          </w:tcPr>
          <w:p w14:paraId="7088D15A">
            <w:pPr>
              <w:pStyle w:val="17"/>
              <w:spacing w:before="36"/>
              <w:ind w:left="175" w:right="166"/>
              <w:rPr>
                <w:rFonts w:ascii="Times New Roman"/>
                <w:sz w:val="21"/>
              </w:rPr>
            </w:pPr>
            <w:r>
              <w:rPr>
                <w:rFonts w:ascii="Times New Roman"/>
                <w:sz w:val="21"/>
              </w:rPr>
              <w:t>0.00E+00</w:t>
            </w:r>
          </w:p>
        </w:tc>
        <w:tc>
          <w:tcPr>
            <w:tcW w:w="1725" w:type="dxa"/>
          </w:tcPr>
          <w:p w14:paraId="2DEE6675">
            <w:pPr>
              <w:pStyle w:val="17"/>
              <w:spacing w:before="36"/>
              <w:ind w:left="417" w:right="413"/>
              <w:rPr>
                <w:rFonts w:ascii="Times New Roman"/>
                <w:sz w:val="21"/>
              </w:rPr>
            </w:pPr>
            <w:r>
              <w:rPr>
                <w:rFonts w:ascii="Times New Roman"/>
                <w:sz w:val="21"/>
              </w:rPr>
              <w:t>2.93E-02</w:t>
            </w:r>
          </w:p>
        </w:tc>
        <w:tc>
          <w:tcPr>
            <w:tcW w:w="1230" w:type="dxa"/>
          </w:tcPr>
          <w:p w14:paraId="3EE86F7F">
            <w:pPr>
              <w:pStyle w:val="17"/>
              <w:spacing w:before="36"/>
              <w:ind w:left="174" w:right="166"/>
              <w:rPr>
                <w:rFonts w:ascii="Times New Roman"/>
                <w:sz w:val="21"/>
              </w:rPr>
            </w:pPr>
            <w:r>
              <w:rPr>
                <w:rFonts w:ascii="Times New Roman"/>
                <w:sz w:val="21"/>
              </w:rPr>
              <w:t>2.00E+02</w:t>
            </w:r>
          </w:p>
        </w:tc>
        <w:tc>
          <w:tcPr>
            <w:tcW w:w="1517" w:type="dxa"/>
          </w:tcPr>
          <w:p w14:paraId="24EE8677">
            <w:pPr>
              <w:pStyle w:val="17"/>
              <w:spacing w:before="36"/>
              <w:ind w:left="499" w:right="492"/>
              <w:rPr>
                <w:rFonts w:ascii="Times New Roman"/>
                <w:sz w:val="21"/>
              </w:rPr>
            </w:pPr>
            <w:r>
              <w:rPr>
                <w:rFonts w:ascii="Times New Roman"/>
                <w:sz w:val="21"/>
              </w:rPr>
              <w:t>0.01</w:t>
            </w:r>
          </w:p>
        </w:tc>
        <w:tc>
          <w:tcPr>
            <w:tcW w:w="712" w:type="dxa"/>
            <w:tcBorders>
              <w:right w:val="nil"/>
            </w:tcBorders>
          </w:tcPr>
          <w:p w14:paraId="10E177AB">
            <w:pPr>
              <w:pStyle w:val="17"/>
              <w:spacing w:before="19"/>
              <w:ind w:left="122" w:right="121"/>
              <w:rPr>
                <w:sz w:val="21"/>
              </w:rPr>
            </w:pPr>
            <w:r>
              <w:rPr>
                <w:sz w:val="21"/>
              </w:rPr>
              <w:t>达标</w:t>
            </w:r>
          </w:p>
        </w:tc>
      </w:tr>
      <w:tr w14:paraId="36821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DC6856A">
            <w:pPr>
              <w:pStyle w:val="17"/>
              <w:spacing w:before="35"/>
              <w:ind w:right="169"/>
              <w:jc w:val="right"/>
              <w:rPr>
                <w:rFonts w:ascii="Times New Roman"/>
                <w:sz w:val="21"/>
              </w:rPr>
            </w:pPr>
            <w:r>
              <w:rPr>
                <w:rFonts w:ascii="Times New Roman"/>
                <w:w w:val="99"/>
                <w:sz w:val="21"/>
              </w:rPr>
              <w:t>3</w:t>
            </w:r>
          </w:p>
        </w:tc>
        <w:tc>
          <w:tcPr>
            <w:tcW w:w="1265" w:type="dxa"/>
          </w:tcPr>
          <w:p w14:paraId="1A7D506B">
            <w:pPr>
              <w:pStyle w:val="17"/>
              <w:spacing w:before="22"/>
              <w:ind w:left="189" w:right="183"/>
              <w:rPr>
                <w:sz w:val="21"/>
              </w:rPr>
            </w:pPr>
            <w:r>
              <w:rPr>
                <w:sz w:val="21"/>
              </w:rPr>
              <w:t>新桥村</w:t>
            </w:r>
          </w:p>
        </w:tc>
        <w:tc>
          <w:tcPr>
            <w:tcW w:w="771" w:type="dxa"/>
          </w:tcPr>
          <w:p w14:paraId="54072A29">
            <w:pPr>
              <w:pStyle w:val="17"/>
              <w:spacing w:before="35"/>
              <w:ind w:right="182"/>
              <w:jc w:val="right"/>
              <w:rPr>
                <w:rFonts w:ascii="Times New Roman"/>
                <w:sz w:val="21"/>
              </w:rPr>
            </w:pPr>
            <w:r>
              <w:rPr>
                <w:rFonts w:ascii="Times New Roman"/>
                <w:sz w:val="21"/>
              </w:rPr>
              <w:t>-795</w:t>
            </w:r>
          </w:p>
        </w:tc>
        <w:tc>
          <w:tcPr>
            <w:tcW w:w="772" w:type="dxa"/>
          </w:tcPr>
          <w:p w14:paraId="47B07EA3">
            <w:pPr>
              <w:pStyle w:val="17"/>
              <w:spacing w:before="35"/>
              <w:ind w:right="128"/>
              <w:jc w:val="right"/>
              <w:rPr>
                <w:rFonts w:ascii="Times New Roman"/>
                <w:sz w:val="21"/>
              </w:rPr>
            </w:pPr>
            <w:r>
              <w:rPr>
                <w:rFonts w:ascii="Times New Roman"/>
                <w:w w:val="95"/>
                <w:sz w:val="21"/>
              </w:rPr>
              <w:t>-1454</w:t>
            </w:r>
          </w:p>
        </w:tc>
        <w:tc>
          <w:tcPr>
            <w:tcW w:w="921" w:type="dxa"/>
          </w:tcPr>
          <w:p w14:paraId="437BB3EC">
            <w:pPr>
              <w:pStyle w:val="17"/>
              <w:spacing w:before="35"/>
              <w:ind w:left="203" w:right="195"/>
              <w:rPr>
                <w:rFonts w:ascii="Times New Roman"/>
                <w:sz w:val="21"/>
              </w:rPr>
            </w:pPr>
            <w:r>
              <w:rPr>
                <w:rFonts w:ascii="Times New Roman"/>
                <w:sz w:val="21"/>
              </w:rPr>
              <w:t>68</w:t>
            </w:r>
          </w:p>
        </w:tc>
        <w:tc>
          <w:tcPr>
            <w:tcW w:w="1035" w:type="dxa"/>
          </w:tcPr>
          <w:p w14:paraId="5C75DFF0">
            <w:pPr>
              <w:pStyle w:val="17"/>
              <w:spacing w:before="19"/>
              <w:ind w:left="201"/>
              <w:jc w:val="left"/>
              <w:rPr>
                <w:sz w:val="21"/>
              </w:rPr>
            </w:pPr>
            <w:r>
              <w:rPr>
                <w:sz w:val="21"/>
              </w:rPr>
              <w:t>小时值</w:t>
            </w:r>
          </w:p>
        </w:tc>
        <w:tc>
          <w:tcPr>
            <w:tcW w:w="1259" w:type="dxa"/>
          </w:tcPr>
          <w:p w14:paraId="141D8D42">
            <w:pPr>
              <w:pStyle w:val="17"/>
              <w:spacing w:before="35"/>
              <w:ind w:left="217"/>
              <w:jc w:val="left"/>
              <w:rPr>
                <w:rFonts w:ascii="Times New Roman"/>
                <w:sz w:val="21"/>
              </w:rPr>
            </w:pPr>
            <w:r>
              <w:rPr>
                <w:rFonts w:ascii="Times New Roman"/>
                <w:sz w:val="21"/>
              </w:rPr>
              <w:t>4.22E+00</w:t>
            </w:r>
          </w:p>
        </w:tc>
        <w:tc>
          <w:tcPr>
            <w:tcW w:w="1317" w:type="dxa"/>
          </w:tcPr>
          <w:p w14:paraId="1F05BEBF">
            <w:pPr>
              <w:pStyle w:val="17"/>
              <w:spacing w:before="35"/>
              <w:ind w:left="108" w:right="98"/>
              <w:rPr>
                <w:rFonts w:ascii="Times New Roman"/>
                <w:sz w:val="21"/>
              </w:rPr>
            </w:pPr>
            <w:r>
              <w:rPr>
                <w:rFonts w:ascii="Times New Roman"/>
                <w:sz w:val="21"/>
              </w:rPr>
              <w:t>23082004</w:t>
            </w:r>
          </w:p>
        </w:tc>
        <w:tc>
          <w:tcPr>
            <w:tcW w:w="1230" w:type="dxa"/>
          </w:tcPr>
          <w:p w14:paraId="2D3F5288">
            <w:pPr>
              <w:pStyle w:val="17"/>
              <w:spacing w:before="35"/>
              <w:ind w:left="175" w:right="166"/>
              <w:rPr>
                <w:rFonts w:ascii="Times New Roman"/>
                <w:sz w:val="21"/>
              </w:rPr>
            </w:pPr>
            <w:r>
              <w:rPr>
                <w:rFonts w:ascii="Times New Roman"/>
                <w:sz w:val="21"/>
              </w:rPr>
              <w:t>0.00E+00</w:t>
            </w:r>
          </w:p>
        </w:tc>
        <w:tc>
          <w:tcPr>
            <w:tcW w:w="1725" w:type="dxa"/>
          </w:tcPr>
          <w:p w14:paraId="60B25440">
            <w:pPr>
              <w:pStyle w:val="17"/>
              <w:spacing w:before="35"/>
              <w:ind w:left="419" w:right="413"/>
              <w:rPr>
                <w:rFonts w:ascii="Times New Roman"/>
                <w:sz w:val="21"/>
              </w:rPr>
            </w:pPr>
            <w:r>
              <w:rPr>
                <w:rFonts w:ascii="Times New Roman"/>
                <w:sz w:val="21"/>
              </w:rPr>
              <w:t>4.22E+00</w:t>
            </w:r>
          </w:p>
        </w:tc>
        <w:tc>
          <w:tcPr>
            <w:tcW w:w="1230" w:type="dxa"/>
          </w:tcPr>
          <w:p w14:paraId="374CCFF7">
            <w:pPr>
              <w:pStyle w:val="17"/>
              <w:spacing w:before="35"/>
              <w:ind w:left="174" w:right="166"/>
              <w:rPr>
                <w:rFonts w:ascii="Times New Roman"/>
                <w:sz w:val="21"/>
              </w:rPr>
            </w:pPr>
            <w:r>
              <w:rPr>
                <w:rFonts w:ascii="Times New Roman"/>
                <w:sz w:val="21"/>
              </w:rPr>
              <w:t>9.00E+02</w:t>
            </w:r>
          </w:p>
        </w:tc>
        <w:tc>
          <w:tcPr>
            <w:tcW w:w="1517" w:type="dxa"/>
          </w:tcPr>
          <w:p w14:paraId="27DB6FC7">
            <w:pPr>
              <w:pStyle w:val="17"/>
              <w:spacing w:before="35"/>
              <w:ind w:left="499" w:right="492"/>
              <w:rPr>
                <w:rFonts w:ascii="Times New Roman"/>
                <w:sz w:val="21"/>
              </w:rPr>
            </w:pPr>
            <w:r>
              <w:rPr>
                <w:rFonts w:ascii="Times New Roman"/>
                <w:sz w:val="21"/>
              </w:rPr>
              <w:t>0.47</w:t>
            </w:r>
          </w:p>
        </w:tc>
        <w:tc>
          <w:tcPr>
            <w:tcW w:w="712" w:type="dxa"/>
            <w:tcBorders>
              <w:right w:val="nil"/>
            </w:tcBorders>
          </w:tcPr>
          <w:p w14:paraId="7C4879D8">
            <w:pPr>
              <w:pStyle w:val="17"/>
              <w:spacing w:before="19"/>
              <w:ind w:left="122" w:right="121"/>
              <w:rPr>
                <w:sz w:val="21"/>
              </w:rPr>
            </w:pPr>
            <w:r>
              <w:rPr>
                <w:sz w:val="21"/>
              </w:rPr>
              <w:t>达标</w:t>
            </w:r>
          </w:p>
        </w:tc>
      </w:tr>
      <w:tr w14:paraId="1952F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7DA954A">
            <w:pPr>
              <w:pStyle w:val="17"/>
              <w:jc w:val="left"/>
              <w:rPr>
                <w:rFonts w:ascii="Times New Roman"/>
                <w:sz w:val="20"/>
              </w:rPr>
            </w:pPr>
          </w:p>
        </w:tc>
        <w:tc>
          <w:tcPr>
            <w:tcW w:w="1265" w:type="dxa"/>
          </w:tcPr>
          <w:p w14:paraId="62880D14">
            <w:pPr>
              <w:pStyle w:val="17"/>
              <w:jc w:val="left"/>
              <w:rPr>
                <w:rFonts w:ascii="Times New Roman"/>
                <w:sz w:val="20"/>
              </w:rPr>
            </w:pPr>
          </w:p>
        </w:tc>
        <w:tc>
          <w:tcPr>
            <w:tcW w:w="771" w:type="dxa"/>
          </w:tcPr>
          <w:p w14:paraId="11DB9A69">
            <w:pPr>
              <w:pStyle w:val="17"/>
              <w:jc w:val="left"/>
              <w:rPr>
                <w:rFonts w:ascii="Times New Roman"/>
                <w:sz w:val="20"/>
              </w:rPr>
            </w:pPr>
          </w:p>
        </w:tc>
        <w:tc>
          <w:tcPr>
            <w:tcW w:w="772" w:type="dxa"/>
          </w:tcPr>
          <w:p w14:paraId="4AD86918">
            <w:pPr>
              <w:pStyle w:val="17"/>
              <w:jc w:val="left"/>
              <w:rPr>
                <w:rFonts w:ascii="Times New Roman"/>
                <w:sz w:val="20"/>
              </w:rPr>
            </w:pPr>
          </w:p>
        </w:tc>
        <w:tc>
          <w:tcPr>
            <w:tcW w:w="921" w:type="dxa"/>
          </w:tcPr>
          <w:p w14:paraId="58BA21DF">
            <w:pPr>
              <w:pStyle w:val="17"/>
              <w:jc w:val="left"/>
              <w:rPr>
                <w:rFonts w:ascii="Times New Roman"/>
                <w:sz w:val="20"/>
              </w:rPr>
            </w:pPr>
          </w:p>
        </w:tc>
        <w:tc>
          <w:tcPr>
            <w:tcW w:w="1035" w:type="dxa"/>
          </w:tcPr>
          <w:p w14:paraId="17861D55">
            <w:pPr>
              <w:pStyle w:val="17"/>
              <w:spacing w:before="19"/>
              <w:ind w:left="201"/>
              <w:jc w:val="left"/>
              <w:rPr>
                <w:sz w:val="21"/>
              </w:rPr>
            </w:pPr>
            <w:r>
              <w:rPr>
                <w:sz w:val="21"/>
              </w:rPr>
              <w:t>日均值</w:t>
            </w:r>
          </w:p>
        </w:tc>
        <w:tc>
          <w:tcPr>
            <w:tcW w:w="1259" w:type="dxa"/>
          </w:tcPr>
          <w:p w14:paraId="533D48A4">
            <w:pPr>
              <w:pStyle w:val="17"/>
              <w:spacing w:before="35"/>
              <w:ind w:left="241"/>
              <w:jc w:val="left"/>
              <w:rPr>
                <w:rFonts w:ascii="Times New Roman"/>
                <w:sz w:val="21"/>
              </w:rPr>
            </w:pPr>
            <w:r>
              <w:rPr>
                <w:rFonts w:ascii="Times New Roman"/>
                <w:sz w:val="21"/>
              </w:rPr>
              <w:t>1.76E-01</w:t>
            </w:r>
          </w:p>
        </w:tc>
        <w:tc>
          <w:tcPr>
            <w:tcW w:w="1317" w:type="dxa"/>
          </w:tcPr>
          <w:p w14:paraId="0954F3DF">
            <w:pPr>
              <w:pStyle w:val="17"/>
              <w:spacing w:before="35"/>
              <w:ind w:left="108" w:right="98"/>
              <w:rPr>
                <w:rFonts w:ascii="Times New Roman"/>
                <w:sz w:val="21"/>
              </w:rPr>
            </w:pPr>
            <w:r>
              <w:rPr>
                <w:rFonts w:ascii="Times New Roman"/>
                <w:sz w:val="21"/>
              </w:rPr>
              <w:t>230820</w:t>
            </w:r>
          </w:p>
        </w:tc>
        <w:tc>
          <w:tcPr>
            <w:tcW w:w="1230" w:type="dxa"/>
          </w:tcPr>
          <w:p w14:paraId="4D50D097">
            <w:pPr>
              <w:pStyle w:val="17"/>
              <w:spacing w:before="35"/>
              <w:ind w:left="175" w:right="166"/>
              <w:rPr>
                <w:rFonts w:ascii="Times New Roman"/>
                <w:sz w:val="21"/>
              </w:rPr>
            </w:pPr>
            <w:r>
              <w:rPr>
                <w:rFonts w:ascii="Times New Roman"/>
                <w:sz w:val="21"/>
              </w:rPr>
              <w:t>0.00E+00</w:t>
            </w:r>
          </w:p>
        </w:tc>
        <w:tc>
          <w:tcPr>
            <w:tcW w:w="1725" w:type="dxa"/>
          </w:tcPr>
          <w:p w14:paraId="2DB97FF3">
            <w:pPr>
              <w:pStyle w:val="17"/>
              <w:spacing w:before="35"/>
              <w:ind w:left="417" w:right="413"/>
              <w:rPr>
                <w:rFonts w:ascii="Times New Roman"/>
                <w:sz w:val="21"/>
              </w:rPr>
            </w:pPr>
            <w:r>
              <w:rPr>
                <w:rFonts w:ascii="Times New Roman"/>
                <w:sz w:val="21"/>
              </w:rPr>
              <w:t>1.76E-01</w:t>
            </w:r>
          </w:p>
        </w:tc>
        <w:tc>
          <w:tcPr>
            <w:tcW w:w="1230" w:type="dxa"/>
          </w:tcPr>
          <w:p w14:paraId="6C3170F5">
            <w:pPr>
              <w:pStyle w:val="17"/>
              <w:spacing w:before="35"/>
              <w:ind w:left="174" w:right="166"/>
              <w:rPr>
                <w:rFonts w:ascii="Times New Roman"/>
                <w:sz w:val="21"/>
              </w:rPr>
            </w:pPr>
            <w:r>
              <w:rPr>
                <w:rFonts w:ascii="Times New Roman"/>
                <w:sz w:val="21"/>
              </w:rPr>
              <w:t>3.00E+02</w:t>
            </w:r>
          </w:p>
        </w:tc>
        <w:tc>
          <w:tcPr>
            <w:tcW w:w="1517" w:type="dxa"/>
          </w:tcPr>
          <w:p w14:paraId="459F3A6B">
            <w:pPr>
              <w:pStyle w:val="17"/>
              <w:spacing w:before="35"/>
              <w:ind w:left="499" w:right="492"/>
              <w:rPr>
                <w:rFonts w:ascii="Times New Roman"/>
                <w:sz w:val="21"/>
              </w:rPr>
            </w:pPr>
            <w:r>
              <w:rPr>
                <w:rFonts w:ascii="Times New Roman"/>
                <w:sz w:val="21"/>
              </w:rPr>
              <w:t>0.06</w:t>
            </w:r>
          </w:p>
        </w:tc>
        <w:tc>
          <w:tcPr>
            <w:tcW w:w="712" w:type="dxa"/>
            <w:tcBorders>
              <w:right w:val="nil"/>
            </w:tcBorders>
          </w:tcPr>
          <w:p w14:paraId="3FBFC9BA">
            <w:pPr>
              <w:pStyle w:val="17"/>
              <w:spacing w:before="19"/>
              <w:ind w:left="122" w:right="121"/>
              <w:rPr>
                <w:sz w:val="21"/>
              </w:rPr>
            </w:pPr>
            <w:r>
              <w:rPr>
                <w:sz w:val="21"/>
              </w:rPr>
              <w:t>达标</w:t>
            </w:r>
          </w:p>
        </w:tc>
      </w:tr>
      <w:tr w14:paraId="2E7F6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97E3A6A">
            <w:pPr>
              <w:pStyle w:val="17"/>
              <w:jc w:val="left"/>
              <w:rPr>
                <w:rFonts w:ascii="Times New Roman"/>
                <w:sz w:val="20"/>
              </w:rPr>
            </w:pPr>
          </w:p>
        </w:tc>
        <w:tc>
          <w:tcPr>
            <w:tcW w:w="1265" w:type="dxa"/>
          </w:tcPr>
          <w:p w14:paraId="7BA3B05C">
            <w:pPr>
              <w:pStyle w:val="17"/>
              <w:jc w:val="left"/>
              <w:rPr>
                <w:rFonts w:ascii="Times New Roman"/>
                <w:sz w:val="20"/>
              </w:rPr>
            </w:pPr>
          </w:p>
        </w:tc>
        <w:tc>
          <w:tcPr>
            <w:tcW w:w="771" w:type="dxa"/>
          </w:tcPr>
          <w:p w14:paraId="626710E2">
            <w:pPr>
              <w:pStyle w:val="17"/>
              <w:jc w:val="left"/>
              <w:rPr>
                <w:rFonts w:ascii="Times New Roman"/>
                <w:sz w:val="20"/>
              </w:rPr>
            </w:pPr>
          </w:p>
        </w:tc>
        <w:tc>
          <w:tcPr>
            <w:tcW w:w="772" w:type="dxa"/>
          </w:tcPr>
          <w:p w14:paraId="2C1C07D2">
            <w:pPr>
              <w:pStyle w:val="17"/>
              <w:jc w:val="left"/>
              <w:rPr>
                <w:rFonts w:ascii="Times New Roman"/>
                <w:sz w:val="20"/>
              </w:rPr>
            </w:pPr>
          </w:p>
        </w:tc>
        <w:tc>
          <w:tcPr>
            <w:tcW w:w="921" w:type="dxa"/>
          </w:tcPr>
          <w:p w14:paraId="5B9D0C1B">
            <w:pPr>
              <w:pStyle w:val="17"/>
              <w:jc w:val="left"/>
              <w:rPr>
                <w:rFonts w:ascii="Times New Roman"/>
                <w:sz w:val="20"/>
              </w:rPr>
            </w:pPr>
          </w:p>
        </w:tc>
        <w:tc>
          <w:tcPr>
            <w:tcW w:w="1035" w:type="dxa"/>
          </w:tcPr>
          <w:p w14:paraId="15B646D0">
            <w:pPr>
              <w:pStyle w:val="17"/>
              <w:spacing w:before="21"/>
              <w:ind w:left="201"/>
              <w:jc w:val="left"/>
              <w:rPr>
                <w:sz w:val="21"/>
              </w:rPr>
            </w:pPr>
            <w:r>
              <w:rPr>
                <w:sz w:val="21"/>
              </w:rPr>
              <w:t>年均值</w:t>
            </w:r>
          </w:p>
        </w:tc>
        <w:tc>
          <w:tcPr>
            <w:tcW w:w="1259" w:type="dxa"/>
          </w:tcPr>
          <w:p w14:paraId="44A87C8B">
            <w:pPr>
              <w:pStyle w:val="17"/>
              <w:spacing w:before="35"/>
              <w:ind w:left="241"/>
              <w:jc w:val="left"/>
              <w:rPr>
                <w:rFonts w:ascii="Times New Roman"/>
                <w:sz w:val="21"/>
              </w:rPr>
            </w:pPr>
            <w:r>
              <w:rPr>
                <w:rFonts w:ascii="Times New Roman"/>
                <w:sz w:val="21"/>
              </w:rPr>
              <w:t>8.61E-03</w:t>
            </w:r>
          </w:p>
        </w:tc>
        <w:tc>
          <w:tcPr>
            <w:tcW w:w="1317" w:type="dxa"/>
          </w:tcPr>
          <w:p w14:paraId="08408006">
            <w:pPr>
              <w:pStyle w:val="17"/>
              <w:spacing w:before="21"/>
              <w:ind w:left="107" w:right="98"/>
              <w:rPr>
                <w:sz w:val="21"/>
              </w:rPr>
            </w:pPr>
            <w:r>
              <w:rPr>
                <w:sz w:val="21"/>
              </w:rPr>
              <w:t>平均值</w:t>
            </w:r>
          </w:p>
        </w:tc>
        <w:tc>
          <w:tcPr>
            <w:tcW w:w="1230" w:type="dxa"/>
          </w:tcPr>
          <w:p w14:paraId="3C48FDEB">
            <w:pPr>
              <w:pStyle w:val="17"/>
              <w:spacing w:before="35"/>
              <w:ind w:left="175" w:right="166"/>
              <w:rPr>
                <w:rFonts w:ascii="Times New Roman"/>
                <w:sz w:val="21"/>
              </w:rPr>
            </w:pPr>
            <w:r>
              <w:rPr>
                <w:rFonts w:ascii="Times New Roman"/>
                <w:sz w:val="21"/>
              </w:rPr>
              <w:t>0.00E+00</w:t>
            </w:r>
          </w:p>
        </w:tc>
        <w:tc>
          <w:tcPr>
            <w:tcW w:w="1725" w:type="dxa"/>
          </w:tcPr>
          <w:p w14:paraId="38B41C2B">
            <w:pPr>
              <w:pStyle w:val="17"/>
              <w:spacing w:before="35"/>
              <w:ind w:left="417" w:right="413"/>
              <w:rPr>
                <w:rFonts w:ascii="Times New Roman"/>
                <w:sz w:val="21"/>
              </w:rPr>
            </w:pPr>
            <w:r>
              <w:rPr>
                <w:rFonts w:ascii="Times New Roman"/>
                <w:sz w:val="21"/>
              </w:rPr>
              <w:t>8.61E-03</w:t>
            </w:r>
          </w:p>
        </w:tc>
        <w:tc>
          <w:tcPr>
            <w:tcW w:w="1230" w:type="dxa"/>
          </w:tcPr>
          <w:p w14:paraId="7B885E60">
            <w:pPr>
              <w:pStyle w:val="17"/>
              <w:spacing w:before="35"/>
              <w:ind w:left="174" w:right="166"/>
              <w:rPr>
                <w:rFonts w:ascii="Times New Roman"/>
                <w:sz w:val="21"/>
              </w:rPr>
            </w:pPr>
            <w:r>
              <w:rPr>
                <w:rFonts w:ascii="Times New Roman"/>
                <w:sz w:val="21"/>
              </w:rPr>
              <w:t>2.00E+02</w:t>
            </w:r>
          </w:p>
        </w:tc>
        <w:tc>
          <w:tcPr>
            <w:tcW w:w="1517" w:type="dxa"/>
          </w:tcPr>
          <w:p w14:paraId="043EBCC3">
            <w:pPr>
              <w:pStyle w:val="17"/>
              <w:spacing w:before="35"/>
              <w:ind w:left="499" w:right="492"/>
              <w:rPr>
                <w:rFonts w:ascii="Times New Roman"/>
                <w:sz w:val="21"/>
              </w:rPr>
            </w:pPr>
            <w:r>
              <w:rPr>
                <w:rFonts w:ascii="Times New Roman"/>
                <w:sz w:val="21"/>
              </w:rPr>
              <w:t>0.00</w:t>
            </w:r>
          </w:p>
        </w:tc>
        <w:tc>
          <w:tcPr>
            <w:tcW w:w="712" w:type="dxa"/>
            <w:tcBorders>
              <w:right w:val="nil"/>
            </w:tcBorders>
          </w:tcPr>
          <w:p w14:paraId="2CFC5AB1">
            <w:pPr>
              <w:pStyle w:val="17"/>
              <w:spacing w:before="21"/>
              <w:ind w:left="122" w:right="121"/>
              <w:rPr>
                <w:sz w:val="21"/>
              </w:rPr>
            </w:pPr>
            <w:r>
              <w:rPr>
                <w:sz w:val="21"/>
              </w:rPr>
              <w:t>达标</w:t>
            </w:r>
          </w:p>
        </w:tc>
      </w:tr>
      <w:tr w14:paraId="54F7C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2F719E0">
            <w:pPr>
              <w:pStyle w:val="17"/>
              <w:spacing w:before="34"/>
              <w:ind w:right="169"/>
              <w:jc w:val="right"/>
              <w:rPr>
                <w:rFonts w:ascii="Times New Roman"/>
                <w:sz w:val="21"/>
              </w:rPr>
            </w:pPr>
            <w:r>
              <w:rPr>
                <w:rFonts w:ascii="Times New Roman"/>
                <w:w w:val="99"/>
                <w:sz w:val="21"/>
              </w:rPr>
              <w:t>4</w:t>
            </w:r>
          </w:p>
        </w:tc>
        <w:tc>
          <w:tcPr>
            <w:tcW w:w="1265" w:type="dxa"/>
          </w:tcPr>
          <w:p w14:paraId="6E5C0398">
            <w:pPr>
              <w:pStyle w:val="17"/>
              <w:spacing w:before="20"/>
              <w:ind w:left="189" w:right="186"/>
              <w:rPr>
                <w:sz w:val="21"/>
              </w:rPr>
            </w:pPr>
            <w:r>
              <w:rPr>
                <w:sz w:val="21"/>
              </w:rPr>
              <w:t>童家塅村</w:t>
            </w:r>
          </w:p>
        </w:tc>
        <w:tc>
          <w:tcPr>
            <w:tcW w:w="771" w:type="dxa"/>
          </w:tcPr>
          <w:p w14:paraId="7C9E964B">
            <w:pPr>
              <w:pStyle w:val="17"/>
              <w:spacing w:before="34"/>
              <w:ind w:right="129"/>
              <w:jc w:val="right"/>
              <w:rPr>
                <w:rFonts w:ascii="Times New Roman"/>
                <w:sz w:val="21"/>
              </w:rPr>
            </w:pPr>
            <w:r>
              <w:rPr>
                <w:rFonts w:ascii="Times New Roman"/>
                <w:w w:val="95"/>
                <w:sz w:val="21"/>
              </w:rPr>
              <w:t>-4436</w:t>
            </w:r>
          </w:p>
        </w:tc>
        <w:tc>
          <w:tcPr>
            <w:tcW w:w="772" w:type="dxa"/>
          </w:tcPr>
          <w:p w14:paraId="549261C7">
            <w:pPr>
              <w:pStyle w:val="17"/>
              <w:spacing w:before="34"/>
              <w:ind w:left="226"/>
              <w:jc w:val="left"/>
              <w:rPr>
                <w:rFonts w:ascii="Times New Roman"/>
                <w:sz w:val="21"/>
              </w:rPr>
            </w:pPr>
            <w:r>
              <w:rPr>
                <w:rFonts w:ascii="Times New Roman"/>
                <w:sz w:val="21"/>
              </w:rPr>
              <w:t>374</w:t>
            </w:r>
          </w:p>
        </w:tc>
        <w:tc>
          <w:tcPr>
            <w:tcW w:w="921" w:type="dxa"/>
          </w:tcPr>
          <w:p w14:paraId="2ECF0E60">
            <w:pPr>
              <w:pStyle w:val="17"/>
              <w:spacing w:before="34"/>
              <w:ind w:left="203" w:right="195"/>
              <w:rPr>
                <w:rFonts w:ascii="Times New Roman"/>
                <w:sz w:val="21"/>
              </w:rPr>
            </w:pPr>
            <w:r>
              <w:rPr>
                <w:rFonts w:ascii="Times New Roman"/>
                <w:sz w:val="21"/>
              </w:rPr>
              <w:t>43.33</w:t>
            </w:r>
          </w:p>
        </w:tc>
        <w:tc>
          <w:tcPr>
            <w:tcW w:w="1035" w:type="dxa"/>
          </w:tcPr>
          <w:p w14:paraId="45A6674D">
            <w:pPr>
              <w:pStyle w:val="17"/>
              <w:spacing w:before="20"/>
              <w:ind w:left="201"/>
              <w:jc w:val="left"/>
              <w:rPr>
                <w:sz w:val="21"/>
              </w:rPr>
            </w:pPr>
            <w:r>
              <w:rPr>
                <w:sz w:val="21"/>
              </w:rPr>
              <w:t>小时值</w:t>
            </w:r>
          </w:p>
        </w:tc>
        <w:tc>
          <w:tcPr>
            <w:tcW w:w="1259" w:type="dxa"/>
          </w:tcPr>
          <w:p w14:paraId="590E8ABA">
            <w:pPr>
              <w:pStyle w:val="17"/>
              <w:spacing w:before="34"/>
              <w:ind w:left="217"/>
              <w:jc w:val="left"/>
              <w:rPr>
                <w:rFonts w:ascii="Times New Roman"/>
                <w:sz w:val="21"/>
              </w:rPr>
            </w:pPr>
            <w:r>
              <w:rPr>
                <w:rFonts w:ascii="Times New Roman"/>
                <w:sz w:val="21"/>
              </w:rPr>
              <w:t>1.77E+00</w:t>
            </w:r>
          </w:p>
        </w:tc>
        <w:tc>
          <w:tcPr>
            <w:tcW w:w="1317" w:type="dxa"/>
          </w:tcPr>
          <w:p w14:paraId="7FD1CE37">
            <w:pPr>
              <w:pStyle w:val="17"/>
              <w:spacing w:before="34"/>
              <w:ind w:left="108" w:right="98"/>
              <w:rPr>
                <w:rFonts w:ascii="Times New Roman"/>
                <w:sz w:val="21"/>
              </w:rPr>
            </w:pPr>
            <w:r>
              <w:rPr>
                <w:rFonts w:ascii="Times New Roman"/>
                <w:sz w:val="21"/>
              </w:rPr>
              <w:t>23062304</w:t>
            </w:r>
          </w:p>
        </w:tc>
        <w:tc>
          <w:tcPr>
            <w:tcW w:w="1230" w:type="dxa"/>
          </w:tcPr>
          <w:p w14:paraId="333B04B9">
            <w:pPr>
              <w:pStyle w:val="17"/>
              <w:spacing w:before="34"/>
              <w:ind w:left="175" w:right="166"/>
              <w:rPr>
                <w:rFonts w:ascii="Times New Roman"/>
                <w:sz w:val="21"/>
              </w:rPr>
            </w:pPr>
            <w:r>
              <w:rPr>
                <w:rFonts w:ascii="Times New Roman"/>
                <w:sz w:val="21"/>
              </w:rPr>
              <w:t>0.00E+00</w:t>
            </w:r>
          </w:p>
        </w:tc>
        <w:tc>
          <w:tcPr>
            <w:tcW w:w="1725" w:type="dxa"/>
          </w:tcPr>
          <w:p w14:paraId="79AC1915">
            <w:pPr>
              <w:pStyle w:val="17"/>
              <w:spacing w:before="34"/>
              <w:ind w:left="419" w:right="413"/>
              <w:rPr>
                <w:rFonts w:ascii="Times New Roman"/>
                <w:sz w:val="21"/>
              </w:rPr>
            </w:pPr>
            <w:r>
              <w:rPr>
                <w:rFonts w:ascii="Times New Roman"/>
                <w:sz w:val="21"/>
              </w:rPr>
              <w:t>1.77E+00</w:t>
            </w:r>
          </w:p>
        </w:tc>
        <w:tc>
          <w:tcPr>
            <w:tcW w:w="1230" w:type="dxa"/>
          </w:tcPr>
          <w:p w14:paraId="2C000356">
            <w:pPr>
              <w:pStyle w:val="17"/>
              <w:spacing w:before="34"/>
              <w:ind w:left="174" w:right="166"/>
              <w:rPr>
                <w:rFonts w:ascii="Times New Roman"/>
                <w:sz w:val="21"/>
              </w:rPr>
            </w:pPr>
            <w:r>
              <w:rPr>
                <w:rFonts w:ascii="Times New Roman"/>
                <w:sz w:val="21"/>
              </w:rPr>
              <w:t>9.00E+02</w:t>
            </w:r>
          </w:p>
        </w:tc>
        <w:tc>
          <w:tcPr>
            <w:tcW w:w="1517" w:type="dxa"/>
          </w:tcPr>
          <w:p w14:paraId="25C781A9">
            <w:pPr>
              <w:pStyle w:val="17"/>
              <w:spacing w:before="34"/>
              <w:ind w:left="499" w:right="492"/>
              <w:rPr>
                <w:rFonts w:ascii="Times New Roman"/>
                <w:sz w:val="21"/>
              </w:rPr>
            </w:pPr>
            <w:r>
              <w:rPr>
                <w:rFonts w:ascii="Times New Roman"/>
                <w:sz w:val="21"/>
              </w:rPr>
              <w:t>0.20</w:t>
            </w:r>
          </w:p>
        </w:tc>
        <w:tc>
          <w:tcPr>
            <w:tcW w:w="712" w:type="dxa"/>
            <w:tcBorders>
              <w:right w:val="nil"/>
            </w:tcBorders>
          </w:tcPr>
          <w:p w14:paraId="391FB06F">
            <w:pPr>
              <w:pStyle w:val="17"/>
              <w:spacing w:before="20"/>
              <w:ind w:left="122" w:right="121"/>
              <w:rPr>
                <w:sz w:val="21"/>
              </w:rPr>
            </w:pPr>
            <w:r>
              <w:rPr>
                <w:sz w:val="21"/>
              </w:rPr>
              <w:t>达标</w:t>
            </w:r>
          </w:p>
        </w:tc>
      </w:tr>
      <w:tr w14:paraId="5CF51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256A495">
            <w:pPr>
              <w:pStyle w:val="17"/>
              <w:jc w:val="left"/>
              <w:rPr>
                <w:rFonts w:ascii="Times New Roman"/>
                <w:sz w:val="20"/>
              </w:rPr>
            </w:pPr>
          </w:p>
        </w:tc>
        <w:tc>
          <w:tcPr>
            <w:tcW w:w="1265" w:type="dxa"/>
          </w:tcPr>
          <w:p w14:paraId="17E3620C">
            <w:pPr>
              <w:pStyle w:val="17"/>
              <w:jc w:val="left"/>
              <w:rPr>
                <w:rFonts w:ascii="Times New Roman"/>
                <w:sz w:val="20"/>
              </w:rPr>
            </w:pPr>
          </w:p>
        </w:tc>
        <w:tc>
          <w:tcPr>
            <w:tcW w:w="771" w:type="dxa"/>
          </w:tcPr>
          <w:p w14:paraId="33928C15">
            <w:pPr>
              <w:pStyle w:val="17"/>
              <w:jc w:val="left"/>
              <w:rPr>
                <w:rFonts w:ascii="Times New Roman"/>
                <w:sz w:val="20"/>
              </w:rPr>
            </w:pPr>
          </w:p>
        </w:tc>
        <w:tc>
          <w:tcPr>
            <w:tcW w:w="772" w:type="dxa"/>
          </w:tcPr>
          <w:p w14:paraId="7C937286">
            <w:pPr>
              <w:pStyle w:val="17"/>
              <w:jc w:val="left"/>
              <w:rPr>
                <w:rFonts w:ascii="Times New Roman"/>
                <w:sz w:val="20"/>
              </w:rPr>
            </w:pPr>
          </w:p>
        </w:tc>
        <w:tc>
          <w:tcPr>
            <w:tcW w:w="921" w:type="dxa"/>
          </w:tcPr>
          <w:p w14:paraId="7E1D4769">
            <w:pPr>
              <w:pStyle w:val="17"/>
              <w:jc w:val="left"/>
              <w:rPr>
                <w:rFonts w:ascii="Times New Roman"/>
                <w:sz w:val="20"/>
              </w:rPr>
            </w:pPr>
          </w:p>
        </w:tc>
        <w:tc>
          <w:tcPr>
            <w:tcW w:w="1035" w:type="dxa"/>
          </w:tcPr>
          <w:p w14:paraId="6A767A92">
            <w:pPr>
              <w:pStyle w:val="17"/>
              <w:spacing w:before="20"/>
              <w:ind w:left="201"/>
              <w:jc w:val="left"/>
              <w:rPr>
                <w:sz w:val="21"/>
              </w:rPr>
            </w:pPr>
            <w:r>
              <w:rPr>
                <w:sz w:val="21"/>
              </w:rPr>
              <w:t>日均值</w:t>
            </w:r>
          </w:p>
        </w:tc>
        <w:tc>
          <w:tcPr>
            <w:tcW w:w="1259" w:type="dxa"/>
          </w:tcPr>
          <w:p w14:paraId="34BE491B">
            <w:pPr>
              <w:pStyle w:val="17"/>
              <w:spacing w:before="34"/>
              <w:ind w:left="244"/>
              <w:jc w:val="left"/>
              <w:rPr>
                <w:rFonts w:ascii="Times New Roman"/>
                <w:sz w:val="21"/>
              </w:rPr>
            </w:pPr>
            <w:r>
              <w:rPr>
                <w:rFonts w:ascii="Times New Roman"/>
                <w:sz w:val="21"/>
              </w:rPr>
              <w:t>1.11E-01</w:t>
            </w:r>
          </w:p>
        </w:tc>
        <w:tc>
          <w:tcPr>
            <w:tcW w:w="1317" w:type="dxa"/>
          </w:tcPr>
          <w:p w14:paraId="439F9888">
            <w:pPr>
              <w:pStyle w:val="17"/>
              <w:spacing w:before="34"/>
              <w:ind w:left="108" w:right="96"/>
              <w:rPr>
                <w:rFonts w:ascii="Times New Roman"/>
                <w:sz w:val="21"/>
              </w:rPr>
            </w:pPr>
            <w:r>
              <w:rPr>
                <w:rFonts w:ascii="Times New Roman"/>
                <w:sz w:val="21"/>
              </w:rPr>
              <w:t>230111</w:t>
            </w:r>
          </w:p>
        </w:tc>
        <w:tc>
          <w:tcPr>
            <w:tcW w:w="1230" w:type="dxa"/>
          </w:tcPr>
          <w:p w14:paraId="4AF4B828">
            <w:pPr>
              <w:pStyle w:val="17"/>
              <w:spacing w:before="34"/>
              <w:ind w:left="175" w:right="166"/>
              <w:rPr>
                <w:rFonts w:ascii="Times New Roman"/>
                <w:sz w:val="21"/>
              </w:rPr>
            </w:pPr>
            <w:r>
              <w:rPr>
                <w:rFonts w:ascii="Times New Roman"/>
                <w:sz w:val="21"/>
              </w:rPr>
              <w:t>0.00E+00</w:t>
            </w:r>
          </w:p>
        </w:tc>
        <w:tc>
          <w:tcPr>
            <w:tcW w:w="1725" w:type="dxa"/>
          </w:tcPr>
          <w:p w14:paraId="128543D9">
            <w:pPr>
              <w:pStyle w:val="17"/>
              <w:spacing w:before="34"/>
              <w:ind w:left="419" w:right="413"/>
              <w:rPr>
                <w:rFonts w:ascii="Times New Roman"/>
                <w:sz w:val="21"/>
              </w:rPr>
            </w:pPr>
            <w:r>
              <w:rPr>
                <w:rFonts w:ascii="Times New Roman"/>
                <w:sz w:val="21"/>
              </w:rPr>
              <w:t>1.11E-01</w:t>
            </w:r>
          </w:p>
        </w:tc>
        <w:tc>
          <w:tcPr>
            <w:tcW w:w="1230" w:type="dxa"/>
          </w:tcPr>
          <w:p w14:paraId="0F396CED">
            <w:pPr>
              <w:pStyle w:val="17"/>
              <w:spacing w:before="34"/>
              <w:ind w:left="174" w:right="166"/>
              <w:rPr>
                <w:rFonts w:ascii="Times New Roman"/>
                <w:sz w:val="21"/>
              </w:rPr>
            </w:pPr>
            <w:r>
              <w:rPr>
                <w:rFonts w:ascii="Times New Roman"/>
                <w:sz w:val="21"/>
              </w:rPr>
              <w:t>3.00E+02</w:t>
            </w:r>
          </w:p>
        </w:tc>
        <w:tc>
          <w:tcPr>
            <w:tcW w:w="1517" w:type="dxa"/>
          </w:tcPr>
          <w:p w14:paraId="0DDE0321">
            <w:pPr>
              <w:pStyle w:val="17"/>
              <w:spacing w:before="34"/>
              <w:ind w:left="499" w:right="492"/>
              <w:rPr>
                <w:rFonts w:ascii="Times New Roman"/>
                <w:sz w:val="21"/>
              </w:rPr>
            </w:pPr>
            <w:r>
              <w:rPr>
                <w:rFonts w:ascii="Times New Roman"/>
                <w:sz w:val="21"/>
              </w:rPr>
              <w:t>0.04</w:t>
            </w:r>
          </w:p>
        </w:tc>
        <w:tc>
          <w:tcPr>
            <w:tcW w:w="712" w:type="dxa"/>
            <w:tcBorders>
              <w:right w:val="nil"/>
            </w:tcBorders>
          </w:tcPr>
          <w:p w14:paraId="2636F408">
            <w:pPr>
              <w:pStyle w:val="17"/>
              <w:spacing w:before="20"/>
              <w:ind w:left="122" w:right="121"/>
              <w:rPr>
                <w:sz w:val="21"/>
              </w:rPr>
            </w:pPr>
            <w:r>
              <w:rPr>
                <w:sz w:val="21"/>
              </w:rPr>
              <w:t>达标</w:t>
            </w:r>
          </w:p>
        </w:tc>
      </w:tr>
      <w:tr w14:paraId="72AAA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805CFC2">
            <w:pPr>
              <w:pStyle w:val="17"/>
              <w:jc w:val="left"/>
              <w:rPr>
                <w:rFonts w:ascii="Times New Roman"/>
                <w:sz w:val="20"/>
              </w:rPr>
            </w:pPr>
          </w:p>
        </w:tc>
        <w:tc>
          <w:tcPr>
            <w:tcW w:w="1265" w:type="dxa"/>
          </w:tcPr>
          <w:p w14:paraId="111DC004">
            <w:pPr>
              <w:pStyle w:val="17"/>
              <w:jc w:val="left"/>
              <w:rPr>
                <w:rFonts w:ascii="Times New Roman"/>
                <w:sz w:val="20"/>
              </w:rPr>
            </w:pPr>
          </w:p>
        </w:tc>
        <w:tc>
          <w:tcPr>
            <w:tcW w:w="771" w:type="dxa"/>
          </w:tcPr>
          <w:p w14:paraId="0AC4E043">
            <w:pPr>
              <w:pStyle w:val="17"/>
              <w:jc w:val="left"/>
              <w:rPr>
                <w:rFonts w:ascii="Times New Roman"/>
                <w:sz w:val="20"/>
              </w:rPr>
            </w:pPr>
          </w:p>
        </w:tc>
        <w:tc>
          <w:tcPr>
            <w:tcW w:w="772" w:type="dxa"/>
          </w:tcPr>
          <w:p w14:paraId="780D96CD">
            <w:pPr>
              <w:pStyle w:val="17"/>
              <w:jc w:val="left"/>
              <w:rPr>
                <w:rFonts w:ascii="Times New Roman"/>
                <w:sz w:val="20"/>
              </w:rPr>
            </w:pPr>
          </w:p>
        </w:tc>
        <w:tc>
          <w:tcPr>
            <w:tcW w:w="921" w:type="dxa"/>
          </w:tcPr>
          <w:p w14:paraId="5E73EEAB">
            <w:pPr>
              <w:pStyle w:val="17"/>
              <w:jc w:val="left"/>
              <w:rPr>
                <w:rFonts w:ascii="Times New Roman"/>
                <w:sz w:val="20"/>
              </w:rPr>
            </w:pPr>
          </w:p>
        </w:tc>
        <w:tc>
          <w:tcPr>
            <w:tcW w:w="1035" w:type="dxa"/>
          </w:tcPr>
          <w:p w14:paraId="718643F1">
            <w:pPr>
              <w:pStyle w:val="17"/>
              <w:spacing w:before="19"/>
              <w:ind w:left="201"/>
              <w:jc w:val="left"/>
              <w:rPr>
                <w:sz w:val="21"/>
              </w:rPr>
            </w:pPr>
            <w:r>
              <w:rPr>
                <w:sz w:val="21"/>
              </w:rPr>
              <w:t>年均值</w:t>
            </w:r>
          </w:p>
        </w:tc>
        <w:tc>
          <w:tcPr>
            <w:tcW w:w="1259" w:type="dxa"/>
          </w:tcPr>
          <w:p w14:paraId="4004ACC4">
            <w:pPr>
              <w:pStyle w:val="17"/>
              <w:spacing w:before="36"/>
              <w:ind w:left="241"/>
              <w:jc w:val="left"/>
              <w:rPr>
                <w:rFonts w:ascii="Times New Roman"/>
                <w:sz w:val="21"/>
              </w:rPr>
            </w:pPr>
            <w:r>
              <w:rPr>
                <w:rFonts w:ascii="Times New Roman"/>
                <w:sz w:val="21"/>
              </w:rPr>
              <w:t>6.49E-03</w:t>
            </w:r>
          </w:p>
        </w:tc>
        <w:tc>
          <w:tcPr>
            <w:tcW w:w="1317" w:type="dxa"/>
          </w:tcPr>
          <w:p w14:paraId="2BCF49C8">
            <w:pPr>
              <w:pStyle w:val="17"/>
              <w:spacing w:before="19"/>
              <w:ind w:left="107" w:right="98"/>
              <w:rPr>
                <w:sz w:val="21"/>
              </w:rPr>
            </w:pPr>
            <w:r>
              <w:rPr>
                <w:sz w:val="21"/>
              </w:rPr>
              <w:t>平均值</w:t>
            </w:r>
          </w:p>
        </w:tc>
        <w:tc>
          <w:tcPr>
            <w:tcW w:w="1230" w:type="dxa"/>
          </w:tcPr>
          <w:p w14:paraId="45A68826">
            <w:pPr>
              <w:pStyle w:val="17"/>
              <w:spacing w:before="36"/>
              <w:ind w:left="175" w:right="166"/>
              <w:rPr>
                <w:rFonts w:ascii="Times New Roman"/>
                <w:sz w:val="21"/>
              </w:rPr>
            </w:pPr>
            <w:r>
              <w:rPr>
                <w:rFonts w:ascii="Times New Roman"/>
                <w:sz w:val="21"/>
              </w:rPr>
              <w:t>0.00E+00</w:t>
            </w:r>
          </w:p>
        </w:tc>
        <w:tc>
          <w:tcPr>
            <w:tcW w:w="1725" w:type="dxa"/>
          </w:tcPr>
          <w:p w14:paraId="3E92CA8B">
            <w:pPr>
              <w:pStyle w:val="17"/>
              <w:spacing w:before="36"/>
              <w:ind w:left="417" w:right="413"/>
              <w:rPr>
                <w:rFonts w:ascii="Times New Roman"/>
                <w:sz w:val="21"/>
              </w:rPr>
            </w:pPr>
            <w:r>
              <w:rPr>
                <w:rFonts w:ascii="Times New Roman"/>
                <w:sz w:val="21"/>
              </w:rPr>
              <w:t>6.49E-03</w:t>
            </w:r>
          </w:p>
        </w:tc>
        <w:tc>
          <w:tcPr>
            <w:tcW w:w="1230" w:type="dxa"/>
          </w:tcPr>
          <w:p w14:paraId="4FA9F272">
            <w:pPr>
              <w:pStyle w:val="17"/>
              <w:spacing w:before="36"/>
              <w:ind w:left="174" w:right="166"/>
              <w:rPr>
                <w:rFonts w:ascii="Times New Roman"/>
                <w:sz w:val="21"/>
              </w:rPr>
            </w:pPr>
            <w:r>
              <w:rPr>
                <w:rFonts w:ascii="Times New Roman"/>
                <w:sz w:val="21"/>
              </w:rPr>
              <w:t>2.00E+02</w:t>
            </w:r>
          </w:p>
        </w:tc>
        <w:tc>
          <w:tcPr>
            <w:tcW w:w="1517" w:type="dxa"/>
          </w:tcPr>
          <w:p w14:paraId="1B1927DD">
            <w:pPr>
              <w:pStyle w:val="17"/>
              <w:spacing w:before="36"/>
              <w:ind w:left="499" w:right="492"/>
              <w:rPr>
                <w:rFonts w:ascii="Times New Roman"/>
                <w:sz w:val="21"/>
              </w:rPr>
            </w:pPr>
            <w:r>
              <w:rPr>
                <w:rFonts w:ascii="Times New Roman"/>
                <w:sz w:val="21"/>
              </w:rPr>
              <w:t>0.00</w:t>
            </w:r>
          </w:p>
        </w:tc>
        <w:tc>
          <w:tcPr>
            <w:tcW w:w="712" w:type="dxa"/>
            <w:tcBorders>
              <w:right w:val="nil"/>
            </w:tcBorders>
          </w:tcPr>
          <w:p w14:paraId="72F7EC48">
            <w:pPr>
              <w:pStyle w:val="17"/>
              <w:spacing w:before="19"/>
              <w:ind w:left="122" w:right="121"/>
              <w:rPr>
                <w:sz w:val="21"/>
              </w:rPr>
            </w:pPr>
            <w:r>
              <w:rPr>
                <w:sz w:val="21"/>
              </w:rPr>
              <w:t>达标</w:t>
            </w:r>
          </w:p>
        </w:tc>
      </w:tr>
      <w:tr w14:paraId="48D9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FB75F6C">
            <w:pPr>
              <w:pStyle w:val="17"/>
              <w:spacing w:before="35"/>
              <w:ind w:right="169"/>
              <w:jc w:val="right"/>
              <w:rPr>
                <w:rFonts w:ascii="Times New Roman"/>
                <w:sz w:val="21"/>
              </w:rPr>
            </w:pPr>
            <w:r>
              <w:rPr>
                <w:rFonts w:ascii="Times New Roman"/>
                <w:w w:val="99"/>
                <w:sz w:val="21"/>
              </w:rPr>
              <w:t>5</w:t>
            </w:r>
          </w:p>
        </w:tc>
        <w:tc>
          <w:tcPr>
            <w:tcW w:w="1265" w:type="dxa"/>
          </w:tcPr>
          <w:p w14:paraId="6030D23D">
            <w:pPr>
              <w:pStyle w:val="17"/>
              <w:spacing w:before="21"/>
              <w:ind w:left="189" w:right="183"/>
              <w:rPr>
                <w:sz w:val="21"/>
              </w:rPr>
            </w:pPr>
            <w:r>
              <w:rPr>
                <w:sz w:val="21"/>
              </w:rPr>
              <w:t>武莲村</w:t>
            </w:r>
          </w:p>
        </w:tc>
        <w:tc>
          <w:tcPr>
            <w:tcW w:w="771" w:type="dxa"/>
          </w:tcPr>
          <w:p w14:paraId="3A73B57C">
            <w:pPr>
              <w:pStyle w:val="17"/>
              <w:spacing w:before="35"/>
              <w:ind w:right="235"/>
              <w:jc w:val="right"/>
              <w:rPr>
                <w:rFonts w:ascii="Times New Roman"/>
                <w:sz w:val="21"/>
              </w:rPr>
            </w:pPr>
            <w:r>
              <w:rPr>
                <w:rFonts w:ascii="Times New Roman"/>
                <w:w w:val="95"/>
                <w:sz w:val="21"/>
              </w:rPr>
              <w:t>-63</w:t>
            </w:r>
          </w:p>
        </w:tc>
        <w:tc>
          <w:tcPr>
            <w:tcW w:w="772" w:type="dxa"/>
          </w:tcPr>
          <w:p w14:paraId="34AAAA37">
            <w:pPr>
              <w:pStyle w:val="17"/>
              <w:spacing w:before="35"/>
              <w:ind w:right="167"/>
              <w:jc w:val="right"/>
              <w:rPr>
                <w:rFonts w:ascii="Times New Roman"/>
                <w:sz w:val="21"/>
              </w:rPr>
            </w:pPr>
            <w:r>
              <w:rPr>
                <w:rFonts w:ascii="Times New Roman"/>
                <w:sz w:val="21"/>
              </w:rPr>
              <w:t>1191</w:t>
            </w:r>
          </w:p>
        </w:tc>
        <w:tc>
          <w:tcPr>
            <w:tcW w:w="921" w:type="dxa"/>
          </w:tcPr>
          <w:p w14:paraId="60E0125C">
            <w:pPr>
              <w:pStyle w:val="17"/>
              <w:spacing w:before="35"/>
              <w:ind w:left="203" w:right="195"/>
              <w:rPr>
                <w:rFonts w:ascii="Times New Roman"/>
                <w:sz w:val="21"/>
              </w:rPr>
            </w:pPr>
            <w:r>
              <w:rPr>
                <w:rFonts w:ascii="Times New Roman"/>
                <w:sz w:val="21"/>
              </w:rPr>
              <w:t>39.28</w:t>
            </w:r>
          </w:p>
        </w:tc>
        <w:tc>
          <w:tcPr>
            <w:tcW w:w="1035" w:type="dxa"/>
          </w:tcPr>
          <w:p w14:paraId="19DC5C6C">
            <w:pPr>
              <w:pStyle w:val="17"/>
              <w:spacing w:before="19"/>
              <w:ind w:left="201"/>
              <w:jc w:val="left"/>
              <w:rPr>
                <w:sz w:val="21"/>
              </w:rPr>
            </w:pPr>
            <w:r>
              <w:rPr>
                <w:sz w:val="21"/>
              </w:rPr>
              <w:t>小时值</w:t>
            </w:r>
          </w:p>
        </w:tc>
        <w:tc>
          <w:tcPr>
            <w:tcW w:w="1259" w:type="dxa"/>
          </w:tcPr>
          <w:p w14:paraId="7838571C">
            <w:pPr>
              <w:pStyle w:val="17"/>
              <w:spacing w:before="35"/>
              <w:ind w:left="217"/>
              <w:jc w:val="left"/>
              <w:rPr>
                <w:rFonts w:ascii="Times New Roman"/>
                <w:sz w:val="21"/>
              </w:rPr>
            </w:pPr>
            <w:r>
              <w:rPr>
                <w:rFonts w:ascii="Times New Roman"/>
                <w:sz w:val="21"/>
              </w:rPr>
              <w:t>3.74E+00</w:t>
            </w:r>
          </w:p>
        </w:tc>
        <w:tc>
          <w:tcPr>
            <w:tcW w:w="1317" w:type="dxa"/>
          </w:tcPr>
          <w:p w14:paraId="7A0ADE0E">
            <w:pPr>
              <w:pStyle w:val="17"/>
              <w:spacing w:before="35"/>
              <w:ind w:left="108" w:right="98"/>
              <w:rPr>
                <w:rFonts w:ascii="Times New Roman"/>
                <w:sz w:val="21"/>
              </w:rPr>
            </w:pPr>
            <w:r>
              <w:rPr>
                <w:rFonts w:ascii="Times New Roman"/>
                <w:sz w:val="21"/>
              </w:rPr>
              <w:t>23062005</w:t>
            </w:r>
          </w:p>
        </w:tc>
        <w:tc>
          <w:tcPr>
            <w:tcW w:w="1230" w:type="dxa"/>
          </w:tcPr>
          <w:p w14:paraId="6DED25FE">
            <w:pPr>
              <w:pStyle w:val="17"/>
              <w:spacing w:before="35"/>
              <w:ind w:left="175" w:right="166"/>
              <w:rPr>
                <w:rFonts w:ascii="Times New Roman"/>
                <w:sz w:val="21"/>
              </w:rPr>
            </w:pPr>
            <w:r>
              <w:rPr>
                <w:rFonts w:ascii="Times New Roman"/>
                <w:sz w:val="21"/>
              </w:rPr>
              <w:t>0.00E+00</w:t>
            </w:r>
          </w:p>
        </w:tc>
        <w:tc>
          <w:tcPr>
            <w:tcW w:w="1725" w:type="dxa"/>
          </w:tcPr>
          <w:p w14:paraId="6576370D">
            <w:pPr>
              <w:pStyle w:val="17"/>
              <w:spacing w:before="35"/>
              <w:ind w:left="419" w:right="413"/>
              <w:rPr>
                <w:rFonts w:ascii="Times New Roman"/>
                <w:sz w:val="21"/>
              </w:rPr>
            </w:pPr>
            <w:r>
              <w:rPr>
                <w:rFonts w:ascii="Times New Roman"/>
                <w:sz w:val="21"/>
              </w:rPr>
              <w:t>3.74E+00</w:t>
            </w:r>
          </w:p>
        </w:tc>
        <w:tc>
          <w:tcPr>
            <w:tcW w:w="1230" w:type="dxa"/>
          </w:tcPr>
          <w:p w14:paraId="2EA8DD65">
            <w:pPr>
              <w:pStyle w:val="17"/>
              <w:spacing w:before="35"/>
              <w:ind w:left="174" w:right="166"/>
              <w:rPr>
                <w:rFonts w:ascii="Times New Roman"/>
                <w:sz w:val="21"/>
              </w:rPr>
            </w:pPr>
            <w:r>
              <w:rPr>
                <w:rFonts w:ascii="Times New Roman"/>
                <w:sz w:val="21"/>
              </w:rPr>
              <w:t>9.00E+02</w:t>
            </w:r>
          </w:p>
        </w:tc>
        <w:tc>
          <w:tcPr>
            <w:tcW w:w="1517" w:type="dxa"/>
          </w:tcPr>
          <w:p w14:paraId="125FA418">
            <w:pPr>
              <w:pStyle w:val="17"/>
              <w:spacing w:before="35"/>
              <w:ind w:left="499" w:right="492"/>
              <w:rPr>
                <w:rFonts w:ascii="Times New Roman"/>
                <w:sz w:val="21"/>
              </w:rPr>
            </w:pPr>
            <w:r>
              <w:rPr>
                <w:rFonts w:ascii="Times New Roman"/>
                <w:sz w:val="21"/>
              </w:rPr>
              <w:t>0.42</w:t>
            </w:r>
          </w:p>
        </w:tc>
        <w:tc>
          <w:tcPr>
            <w:tcW w:w="712" w:type="dxa"/>
            <w:tcBorders>
              <w:right w:val="nil"/>
            </w:tcBorders>
          </w:tcPr>
          <w:p w14:paraId="7D158F1D">
            <w:pPr>
              <w:pStyle w:val="17"/>
              <w:spacing w:before="19"/>
              <w:ind w:left="122" w:right="121"/>
              <w:rPr>
                <w:sz w:val="21"/>
              </w:rPr>
            </w:pPr>
            <w:r>
              <w:rPr>
                <w:sz w:val="21"/>
              </w:rPr>
              <w:t>达标</w:t>
            </w:r>
          </w:p>
        </w:tc>
      </w:tr>
      <w:tr w14:paraId="5320E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92D3E6A">
            <w:pPr>
              <w:pStyle w:val="17"/>
              <w:jc w:val="left"/>
              <w:rPr>
                <w:rFonts w:ascii="Times New Roman"/>
                <w:sz w:val="20"/>
              </w:rPr>
            </w:pPr>
          </w:p>
        </w:tc>
        <w:tc>
          <w:tcPr>
            <w:tcW w:w="1265" w:type="dxa"/>
          </w:tcPr>
          <w:p w14:paraId="6652ACF8">
            <w:pPr>
              <w:pStyle w:val="17"/>
              <w:jc w:val="left"/>
              <w:rPr>
                <w:rFonts w:ascii="Times New Roman"/>
                <w:sz w:val="20"/>
              </w:rPr>
            </w:pPr>
          </w:p>
        </w:tc>
        <w:tc>
          <w:tcPr>
            <w:tcW w:w="771" w:type="dxa"/>
          </w:tcPr>
          <w:p w14:paraId="766F692F">
            <w:pPr>
              <w:pStyle w:val="17"/>
              <w:jc w:val="left"/>
              <w:rPr>
                <w:rFonts w:ascii="Times New Roman"/>
                <w:sz w:val="20"/>
              </w:rPr>
            </w:pPr>
          </w:p>
        </w:tc>
        <w:tc>
          <w:tcPr>
            <w:tcW w:w="772" w:type="dxa"/>
          </w:tcPr>
          <w:p w14:paraId="119D7091">
            <w:pPr>
              <w:pStyle w:val="17"/>
              <w:jc w:val="left"/>
              <w:rPr>
                <w:rFonts w:ascii="Times New Roman"/>
                <w:sz w:val="20"/>
              </w:rPr>
            </w:pPr>
          </w:p>
        </w:tc>
        <w:tc>
          <w:tcPr>
            <w:tcW w:w="921" w:type="dxa"/>
          </w:tcPr>
          <w:p w14:paraId="75363880">
            <w:pPr>
              <w:pStyle w:val="17"/>
              <w:jc w:val="left"/>
              <w:rPr>
                <w:rFonts w:ascii="Times New Roman"/>
                <w:sz w:val="20"/>
              </w:rPr>
            </w:pPr>
          </w:p>
        </w:tc>
        <w:tc>
          <w:tcPr>
            <w:tcW w:w="1035" w:type="dxa"/>
          </w:tcPr>
          <w:p w14:paraId="252C1069">
            <w:pPr>
              <w:pStyle w:val="17"/>
              <w:spacing w:before="19"/>
              <w:ind w:left="201"/>
              <w:jc w:val="left"/>
              <w:rPr>
                <w:sz w:val="21"/>
              </w:rPr>
            </w:pPr>
            <w:r>
              <w:rPr>
                <w:sz w:val="21"/>
              </w:rPr>
              <w:t>日均值</w:t>
            </w:r>
          </w:p>
        </w:tc>
        <w:tc>
          <w:tcPr>
            <w:tcW w:w="1259" w:type="dxa"/>
          </w:tcPr>
          <w:p w14:paraId="0C66AD55">
            <w:pPr>
              <w:pStyle w:val="17"/>
              <w:spacing w:before="35"/>
              <w:ind w:left="241"/>
              <w:jc w:val="left"/>
              <w:rPr>
                <w:rFonts w:ascii="Times New Roman"/>
                <w:sz w:val="21"/>
              </w:rPr>
            </w:pPr>
            <w:r>
              <w:rPr>
                <w:rFonts w:ascii="Times New Roman"/>
                <w:sz w:val="21"/>
              </w:rPr>
              <w:t>1.56E-01</w:t>
            </w:r>
          </w:p>
        </w:tc>
        <w:tc>
          <w:tcPr>
            <w:tcW w:w="1317" w:type="dxa"/>
          </w:tcPr>
          <w:p w14:paraId="0F5C3AA7">
            <w:pPr>
              <w:pStyle w:val="17"/>
              <w:spacing w:before="35"/>
              <w:ind w:left="108" w:right="98"/>
              <w:rPr>
                <w:rFonts w:ascii="Times New Roman"/>
                <w:sz w:val="21"/>
              </w:rPr>
            </w:pPr>
            <w:r>
              <w:rPr>
                <w:rFonts w:ascii="Times New Roman"/>
                <w:sz w:val="21"/>
              </w:rPr>
              <w:t>230620</w:t>
            </w:r>
          </w:p>
        </w:tc>
        <w:tc>
          <w:tcPr>
            <w:tcW w:w="1230" w:type="dxa"/>
          </w:tcPr>
          <w:p w14:paraId="68702B45">
            <w:pPr>
              <w:pStyle w:val="17"/>
              <w:spacing w:before="35"/>
              <w:ind w:left="175" w:right="166"/>
              <w:rPr>
                <w:rFonts w:ascii="Times New Roman"/>
                <w:sz w:val="21"/>
              </w:rPr>
            </w:pPr>
            <w:r>
              <w:rPr>
                <w:rFonts w:ascii="Times New Roman"/>
                <w:sz w:val="21"/>
              </w:rPr>
              <w:t>0.00E+00</w:t>
            </w:r>
          </w:p>
        </w:tc>
        <w:tc>
          <w:tcPr>
            <w:tcW w:w="1725" w:type="dxa"/>
          </w:tcPr>
          <w:p w14:paraId="57C3A2C9">
            <w:pPr>
              <w:pStyle w:val="17"/>
              <w:spacing w:before="35"/>
              <w:ind w:left="417" w:right="413"/>
              <w:rPr>
                <w:rFonts w:ascii="Times New Roman"/>
                <w:sz w:val="21"/>
              </w:rPr>
            </w:pPr>
            <w:r>
              <w:rPr>
                <w:rFonts w:ascii="Times New Roman"/>
                <w:sz w:val="21"/>
              </w:rPr>
              <w:t>1.56E-01</w:t>
            </w:r>
          </w:p>
        </w:tc>
        <w:tc>
          <w:tcPr>
            <w:tcW w:w="1230" w:type="dxa"/>
          </w:tcPr>
          <w:p w14:paraId="7A063001">
            <w:pPr>
              <w:pStyle w:val="17"/>
              <w:spacing w:before="35"/>
              <w:ind w:left="174" w:right="166"/>
              <w:rPr>
                <w:rFonts w:ascii="Times New Roman"/>
                <w:sz w:val="21"/>
              </w:rPr>
            </w:pPr>
            <w:r>
              <w:rPr>
                <w:rFonts w:ascii="Times New Roman"/>
                <w:sz w:val="21"/>
              </w:rPr>
              <w:t>3.00E+02</w:t>
            </w:r>
          </w:p>
        </w:tc>
        <w:tc>
          <w:tcPr>
            <w:tcW w:w="1517" w:type="dxa"/>
          </w:tcPr>
          <w:p w14:paraId="1F1EBAAE">
            <w:pPr>
              <w:pStyle w:val="17"/>
              <w:spacing w:before="35"/>
              <w:ind w:left="499" w:right="492"/>
              <w:rPr>
                <w:rFonts w:ascii="Times New Roman"/>
                <w:sz w:val="21"/>
              </w:rPr>
            </w:pPr>
            <w:r>
              <w:rPr>
                <w:rFonts w:ascii="Times New Roman"/>
                <w:sz w:val="21"/>
              </w:rPr>
              <w:t>0.05</w:t>
            </w:r>
          </w:p>
        </w:tc>
        <w:tc>
          <w:tcPr>
            <w:tcW w:w="712" w:type="dxa"/>
            <w:tcBorders>
              <w:right w:val="nil"/>
            </w:tcBorders>
          </w:tcPr>
          <w:p w14:paraId="230ADD7D">
            <w:pPr>
              <w:pStyle w:val="17"/>
              <w:spacing w:before="19"/>
              <w:ind w:left="122" w:right="121"/>
              <w:rPr>
                <w:sz w:val="21"/>
              </w:rPr>
            </w:pPr>
            <w:r>
              <w:rPr>
                <w:sz w:val="21"/>
              </w:rPr>
              <w:t>达标</w:t>
            </w:r>
          </w:p>
        </w:tc>
      </w:tr>
      <w:tr w14:paraId="57B15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3FB2BB4">
            <w:pPr>
              <w:pStyle w:val="17"/>
              <w:jc w:val="left"/>
              <w:rPr>
                <w:rFonts w:ascii="Times New Roman"/>
                <w:sz w:val="20"/>
              </w:rPr>
            </w:pPr>
          </w:p>
        </w:tc>
        <w:tc>
          <w:tcPr>
            <w:tcW w:w="1265" w:type="dxa"/>
          </w:tcPr>
          <w:p w14:paraId="4011E990">
            <w:pPr>
              <w:pStyle w:val="17"/>
              <w:jc w:val="left"/>
              <w:rPr>
                <w:rFonts w:ascii="Times New Roman"/>
                <w:sz w:val="20"/>
              </w:rPr>
            </w:pPr>
          </w:p>
        </w:tc>
        <w:tc>
          <w:tcPr>
            <w:tcW w:w="771" w:type="dxa"/>
          </w:tcPr>
          <w:p w14:paraId="32342362">
            <w:pPr>
              <w:pStyle w:val="17"/>
              <w:jc w:val="left"/>
              <w:rPr>
                <w:rFonts w:ascii="Times New Roman"/>
                <w:sz w:val="20"/>
              </w:rPr>
            </w:pPr>
          </w:p>
        </w:tc>
        <w:tc>
          <w:tcPr>
            <w:tcW w:w="772" w:type="dxa"/>
          </w:tcPr>
          <w:p w14:paraId="729E8C2E">
            <w:pPr>
              <w:pStyle w:val="17"/>
              <w:jc w:val="left"/>
              <w:rPr>
                <w:rFonts w:ascii="Times New Roman"/>
                <w:sz w:val="20"/>
              </w:rPr>
            </w:pPr>
          </w:p>
        </w:tc>
        <w:tc>
          <w:tcPr>
            <w:tcW w:w="921" w:type="dxa"/>
          </w:tcPr>
          <w:p w14:paraId="557031C2">
            <w:pPr>
              <w:pStyle w:val="17"/>
              <w:jc w:val="left"/>
              <w:rPr>
                <w:rFonts w:ascii="Times New Roman"/>
                <w:sz w:val="20"/>
              </w:rPr>
            </w:pPr>
          </w:p>
        </w:tc>
        <w:tc>
          <w:tcPr>
            <w:tcW w:w="1035" w:type="dxa"/>
          </w:tcPr>
          <w:p w14:paraId="04B91D6F">
            <w:pPr>
              <w:pStyle w:val="17"/>
              <w:spacing w:before="21"/>
              <w:ind w:left="201"/>
              <w:jc w:val="left"/>
              <w:rPr>
                <w:sz w:val="21"/>
              </w:rPr>
            </w:pPr>
            <w:r>
              <w:rPr>
                <w:sz w:val="21"/>
              </w:rPr>
              <w:t>年均值</w:t>
            </w:r>
          </w:p>
        </w:tc>
        <w:tc>
          <w:tcPr>
            <w:tcW w:w="1259" w:type="dxa"/>
          </w:tcPr>
          <w:p w14:paraId="1553887F">
            <w:pPr>
              <w:pStyle w:val="17"/>
              <w:spacing w:before="35"/>
              <w:ind w:left="241"/>
              <w:jc w:val="left"/>
              <w:rPr>
                <w:rFonts w:ascii="Times New Roman"/>
                <w:sz w:val="21"/>
              </w:rPr>
            </w:pPr>
            <w:r>
              <w:rPr>
                <w:rFonts w:ascii="Times New Roman"/>
                <w:sz w:val="21"/>
              </w:rPr>
              <w:t>8.62E-03</w:t>
            </w:r>
          </w:p>
        </w:tc>
        <w:tc>
          <w:tcPr>
            <w:tcW w:w="1317" w:type="dxa"/>
          </w:tcPr>
          <w:p w14:paraId="773824B4">
            <w:pPr>
              <w:pStyle w:val="17"/>
              <w:spacing w:before="21"/>
              <w:ind w:left="107" w:right="98"/>
              <w:rPr>
                <w:sz w:val="21"/>
              </w:rPr>
            </w:pPr>
            <w:r>
              <w:rPr>
                <w:sz w:val="21"/>
              </w:rPr>
              <w:t>平均值</w:t>
            </w:r>
          </w:p>
        </w:tc>
        <w:tc>
          <w:tcPr>
            <w:tcW w:w="1230" w:type="dxa"/>
          </w:tcPr>
          <w:p w14:paraId="102AB7AA">
            <w:pPr>
              <w:pStyle w:val="17"/>
              <w:spacing w:before="35"/>
              <w:ind w:left="175" w:right="166"/>
              <w:rPr>
                <w:rFonts w:ascii="Times New Roman"/>
                <w:sz w:val="21"/>
              </w:rPr>
            </w:pPr>
            <w:r>
              <w:rPr>
                <w:rFonts w:ascii="Times New Roman"/>
                <w:sz w:val="21"/>
              </w:rPr>
              <w:t>0.00E+00</w:t>
            </w:r>
          </w:p>
        </w:tc>
        <w:tc>
          <w:tcPr>
            <w:tcW w:w="1725" w:type="dxa"/>
          </w:tcPr>
          <w:p w14:paraId="353D97A2">
            <w:pPr>
              <w:pStyle w:val="17"/>
              <w:spacing w:before="35"/>
              <w:ind w:left="417" w:right="413"/>
              <w:rPr>
                <w:rFonts w:ascii="Times New Roman"/>
                <w:sz w:val="21"/>
              </w:rPr>
            </w:pPr>
            <w:r>
              <w:rPr>
                <w:rFonts w:ascii="Times New Roman"/>
                <w:sz w:val="21"/>
              </w:rPr>
              <w:t>8.62E-03</w:t>
            </w:r>
          </w:p>
        </w:tc>
        <w:tc>
          <w:tcPr>
            <w:tcW w:w="1230" w:type="dxa"/>
          </w:tcPr>
          <w:p w14:paraId="40B9B56D">
            <w:pPr>
              <w:pStyle w:val="17"/>
              <w:spacing w:before="35"/>
              <w:ind w:left="174" w:right="166"/>
              <w:rPr>
                <w:rFonts w:ascii="Times New Roman"/>
                <w:sz w:val="21"/>
              </w:rPr>
            </w:pPr>
            <w:r>
              <w:rPr>
                <w:rFonts w:ascii="Times New Roman"/>
                <w:sz w:val="21"/>
              </w:rPr>
              <w:t>2.00E+02</w:t>
            </w:r>
          </w:p>
        </w:tc>
        <w:tc>
          <w:tcPr>
            <w:tcW w:w="1517" w:type="dxa"/>
          </w:tcPr>
          <w:p w14:paraId="3D9B3C6F">
            <w:pPr>
              <w:pStyle w:val="17"/>
              <w:spacing w:before="35"/>
              <w:ind w:left="499" w:right="492"/>
              <w:rPr>
                <w:rFonts w:ascii="Times New Roman"/>
                <w:sz w:val="21"/>
              </w:rPr>
            </w:pPr>
            <w:r>
              <w:rPr>
                <w:rFonts w:ascii="Times New Roman"/>
                <w:sz w:val="21"/>
              </w:rPr>
              <w:t>0.00</w:t>
            </w:r>
          </w:p>
        </w:tc>
        <w:tc>
          <w:tcPr>
            <w:tcW w:w="712" w:type="dxa"/>
            <w:tcBorders>
              <w:right w:val="nil"/>
            </w:tcBorders>
          </w:tcPr>
          <w:p w14:paraId="124BD8F6">
            <w:pPr>
              <w:pStyle w:val="17"/>
              <w:spacing w:before="21"/>
              <w:ind w:left="122" w:right="121"/>
              <w:rPr>
                <w:sz w:val="21"/>
              </w:rPr>
            </w:pPr>
            <w:r>
              <w:rPr>
                <w:sz w:val="21"/>
              </w:rPr>
              <w:t>达标</w:t>
            </w:r>
          </w:p>
        </w:tc>
      </w:tr>
      <w:tr w14:paraId="2D1B4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2349C73">
            <w:pPr>
              <w:pStyle w:val="17"/>
              <w:spacing w:before="34"/>
              <w:ind w:right="169"/>
              <w:jc w:val="right"/>
              <w:rPr>
                <w:rFonts w:ascii="Times New Roman"/>
                <w:sz w:val="21"/>
              </w:rPr>
            </w:pPr>
            <w:r>
              <w:rPr>
                <w:rFonts w:ascii="Times New Roman"/>
                <w:w w:val="99"/>
                <w:sz w:val="21"/>
              </w:rPr>
              <w:t>6</w:t>
            </w:r>
          </w:p>
        </w:tc>
        <w:tc>
          <w:tcPr>
            <w:tcW w:w="1265" w:type="dxa"/>
          </w:tcPr>
          <w:p w14:paraId="6E748A00">
            <w:pPr>
              <w:pStyle w:val="17"/>
              <w:spacing w:before="20"/>
              <w:ind w:left="189" w:right="183"/>
              <w:rPr>
                <w:sz w:val="21"/>
              </w:rPr>
            </w:pPr>
            <w:r>
              <w:rPr>
                <w:sz w:val="21"/>
              </w:rPr>
              <w:t>三和村</w:t>
            </w:r>
          </w:p>
        </w:tc>
        <w:tc>
          <w:tcPr>
            <w:tcW w:w="771" w:type="dxa"/>
          </w:tcPr>
          <w:p w14:paraId="3E534BB9">
            <w:pPr>
              <w:pStyle w:val="17"/>
              <w:spacing w:before="34"/>
              <w:ind w:right="163"/>
              <w:jc w:val="right"/>
              <w:rPr>
                <w:rFonts w:ascii="Times New Roman"/>
                <w:sz w:val="21"/>
              </w:rPr>
            </w:pPr>
            <w:r>
              <w:rPr>
                <w:rFonts w:ascii="Times New Roman"/>
                <w:sz w:val="21"/>
              </w:rPr>
              <w:t>1237</w:t>
            </w:r>
          </w:p>
        </w:tc>
        <w:tc>
          <w:tcPr>
            <w:tcW w:w="772" w:type="dxa"/>
          </w:tcPr>
          <w:p w14:paraId="7E3C481B">
            <w:pPr>
              <w:pStyle w:val="17"/>
              <w:spacing w:before="34"/>
              <w:ind w:right="162"/>
              <w:jc w:val="right"/>
              <w:rPr>
                <w:rFonts w:ascii="Times New Roman"/>
                <w:sz w:val="21"/>
              </w:rPr>
            </w:pPr>
            <w:r>
              <w:rPr>
                <w:rFonts w:ascii="Times New Roman"/>
                <w:sz w:val="21"/>
              </w:rPr>
              <w:t>1042</w:t>
            </w:r>
          </w:p>
        </w:tc>
        <w:tc>
          <w:tcPr>
            <w:tcW w:w="921" w:type="dxa"/>
          </w:tcPr>
          <w:p w14:paraId="5F4671A2">
            <w:pPr>
              <w:pStyle w:val="17"/>
              <w:spacing w:before="34"/>
              <w:ind w:left="203" w:right="195"/>
              <w:rPr>
                <w:rFonts w:ascii="Times New Roman"/>
                <w:sz w:val="21"/>
              </w:rPr>
            </w:pPr>
            <w:r>
              <w:rPr>
                <w:rFonts w:ascii="Times New Roman"/>
                <w:sz w:val="21"/>
              </w:rPr>
              <w:t>61.08</w:t>
            </w:r>
          </w:p>
        </w:tc>
        <w:tc>
          <w:tcPr>
            <w:tcW w:w="1035" w:type="dxa"/>
          </w:tcPr>
          <w:p w14:paraId="5C2968B9">
            <w:pPr>
              <w:pStyle w:val="17"/>
              <w:spacing w:before="20"/>
              <w:ind w:left="201"/>
              <w:jc w:val="left"/>
              <w:rPr>
                <w:sz w:val="21"/>
              </w:rPr>
            </w:pPr>
            <w:r>
              <w:rPr>
                <w:sz w:val="21"/>
              </w:rPr>
              <w:t>小时值</w:t>
            </w:r>
          </w:p>
        </w:tc>
        <w:tc>
          <w:tcPr>
            <w:tcW w:w="1259" w:type="dxa"/>
          </w:tcPr>
          <w:p w14:paraId="6128EA12">
            <w:pPr>
              <w:pStyle w:val="17"/>
              <w:spacing w:before="34"/>
              <w:ind w:left="217"/>
              <w:jc w:val="left"/>
              <w:rPr>
                <w:rFonts w:ascii="Times New Roman"/>
                <w:sz w:val="21"/>
              </w:rPr>
            </w:pPr>
            <w:r>
              <w:rPr>
                <w:rFonts w:ascii="Times New Roman"/>
                <w:sz w:val="21"/>
              </w:rPr>
              <w:t>4.76E+00</w:t>
            </w:r>
          </w:p>
        </w:tc>
        <w:tc>
          <w:tcPr>
            <w:tcW w:w="1317" w:type="dxa"/>
          </w:tcPr>
          <w:p w14:paraId="4D9FFF4E">
            <w:pPr>
              <w:pStyle w:val="17"/>
              <w:spacing w:before="34"/>
              <w:ind w:left="108" w:right="98"/>
              <w:rPr>
                <w:rFonts w:ascii="Times New Roman"/>
                <w:sz w:val="21"/>
              </w:rPr>
            </w:pPr>
            <w:r>
              <w:rPr>
                <w:rFonts w:ascii="Times New Roman"/>
                <w:sz w:val="21"/>
              </w:rPr>
              <w:t>23122907</w:t>
            </w:r>
          </w:p>
        </w:tc>
        <w:tc>
          <w:tcPr>
            <w:tcW w:w="1230" w:type="dxa"/>
          </w:tcPr>
          <w:p w14:paraId="1D9158D7">
            <w:pPr>
              <w:pStyle w:val="17"/>
              <w:spacing w:before="34"/>
              <w:ind w:left="175" w:right="166"/>
              <w:rPr>
                <w:rFonts w:ascii="Times New Roman"/>
                <w:sz w:val="21"/>
              </w:rPr>
            </w:pPr>
            <w:r>
              <w:rPr>
                <w:rFonts w:ascii="Times New Roman"/>
                <w:sz w:val="21"/>
              </w:rPr>
              <w:t>0.00E+00</w:t>
            </w:r>
          </w:p>
        </w:tc>
        <w:tc>
          <w:tcPr>
            <w:tcW w:w="1725" w:type="dxa"/>
          </w:tcPr>
          <w:p w14:paraId="64FD0007">
            <w:pPr>
              <w:pStyle w:val="17"/>
              <w:spacing w:before="34"/>
              <w:ind w:left="419" w:right="413"/>
              <w:rPr>
                <w:rFonts w:ascii="Times New Roman"/>
                <w:sz w:val="21"/>
              </w:rPr>
            </w:pPr>
            <w:r>
              <w:rPr>
                <w:rFonts w:ascii="Times New Roman"/>
                <w:sz w:val="21"/>
              </w:rPr>
              <w:t>4.76E+00</w:t>
            </w:r>
          </w:p>
        </w:tc>
        <w:tc>
          <w:tcPr>
            <w:tcW w:w="1230" w:type="dxa"/>
          </w:tcPr>
          <w:p w14:paraId="49AF2610">
            <w:pPr>
              <w:pStyle w:val="17"/>
              <w:spacing w:before="34"/>
              <w:ind w:left="174" w:right="166"/>
              <w:rPr>
                <w:rFonts w:ascii="Times New Roman"/>
                <w:sz w:val="21"/>
              </w:rPr>
            </w:pPr>
            <w:r>
              <w:rPr>
                <w:rFonts w:ascii="Times New Roman"/>
                <w:sz w:val="21"/>
              </w:rPr>
              <w:t>9.00E+02</w:t>
            </w:r>
          </w:p>
        </w:tc>
        <w:tc>
          <w:tcPr>
            <w:tcW w:w="1517" w:type="dxa"/>
          </w:tcPr>
          <w:p w14:paraId="507209D3">
            <w:pPr>
              <w:pStyle w:val="17"/>
              <w:spacing w:before="34"/>
              <w:ind w:left="499" w:right="492"/>
              <w:rPr>
                <w:rFonts w:ascii="Times New Roman"/>
                <w:sz w:val="21"/>
              </w:rPr>
            </w:pPr>
            <w:r>
              <w:rPr>
                <w:rFonts w:ascii="Times New Roman"/>
                <w:sz w:val="21"/>
              </w:rPr>
              <w:t>0.53</w:t>
            </w:r>
          </w:p>
        </w:tc>
        <w:tc>
          <w:tcPr>
            <w:tcW w:w="712" w:type="dxa"/>
            <w:tcBorders>
              <w:right w:val="nil"/>
            </w:tcBorders>
          </w:tcPr>
          <w:p w14:paraId="3DA304C2">
            <w:pPr>
              <w:pStyle w:val="17"/>
              <w:spacing w:before="20"/>
              <w:ind w:left="122" w:right="121"/>
              <w:rPr>
                <w:sz w:val="21"/>
              </w:rPr>
            </w:pPr>
            <w:r>
              <w:rPr>
                <w:sz w:val="21"/>
              </w:rPr>
              <w:t>达标</w:t>
            </w:r>
          </w:p>
        </w:tc>
      </w:tr>
      <w:tr w14:paraId="30C4E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43F6D50">
            <w:pPr>
              <w:pStyle w:val="17"/>
              <w:jc w:val="left"/>
              <w:rPr>
                <w:rFonts w:ascii="Times New Roman"/>
                <w:sz w:val="20"/>
              </w:rPr>
            </w:pPr>
          </w:p>
        </w:tc>
        <w:tc>
          <w:tcPr>
            <w:tcW w:w="1265" w:type="dxa"/>
          </w:tcPr>
          <w:p w14:paraId="4B0CE179">
            <w:pPr>
              <w:pStyle w:val="17"/>
              <w:jc w:val="left"/>
              <w:rPr>
                <w:rFonts w:ascii="Times New Roman"/>
                <w:sz w:val="20"/>
              </w:rPr>
            </w:pPr>
          </w:p>
        </w:tc>
        <w:tc>
          <w:tcPr>
            <w:tcW w:w="771" w:type="dxa"/>
          </w:tcPr>
          <w:p w14:paraId="32300F6B">
            <w:pPr>
              <w:pStyle w:val="17"/>
              <w:jc w:val="left"/>
              <w:rPr>
                <w:rFonts w:ascii="Times New Roman"/>
                <w:sz w:val="20"/>
              </w:rPr>
            </w:pPr>
          </w:p>
        </w:tc>
        <w:tc>
          <w:tcPr>
            <w:tcW w:w="772" w:type="dxa"/>
          </w:tcPr>
          <w:p w14:paraId="152A4963">
            <w:pPr>
              <w:pStyle w:val="17"/>
              <w:jc w:val="left"/>
              <w:rPr>
                <w:rFonts w:ascii="Times New Roman"/>
                <w:sz w:val="20"/>
              </w:rPr>
            </w:pPr>
          </w:p>
        </w:tc>
        <w:tc>
          <w:tcPr>
            <w:tcW w:w="921" w:type="dxa"/>
          </w:tcPr>
          <w:p w14:paraId="2EF2A78A">
            <w:pPr>
              <w:pStyle w:val="17"/>
              <w:jc w:val="left"/>
              <w:rPr>
                <w:rFonts w:ascii="Times New Roman"/>
                <w:sz w:val="20"/>
              </w:rPr>
            </w:pPr>
          </w:p>
        </w:tc>
        <w:tc>
          <w:tcPr>
            <w:tcW w:w="1035" w:type="dxa"/>
          </w:tcPr>
          <w:p w14:paraId="6CE7DD5E">
            <w:pPr>
              <w:pStyle w:val="17"/>
              <w:spacing w:before="20"/>
              <w:ind w:left="201"/>
              <w:jc w:val="left"/>
              <w:rPr>
                <w:sz w:val="21"/>
              </w:rPr>
            </w:pPr>
            <w:r>
              <w:rPr>
                <w:sz w:val="21"/>
              </w:rPr>
              <w:t>日均值</w:t>
            </w:r>
          </w:p>
        </w:tc>
        <w:tc>
          <w:tcPr>
            <w:tcW w:w="1259" w:type="dxa"/>
          </w:tcPr>
          <w:p w14:paraId="3754B415">
            <w:pPr>
              <w:pStyle w:val="17"/>
              <w:spacing w:before="34"/>
              <w:ind w:left="241"/>
              <w:jc w:val="left"/>
              <w:rPr>
                <w:rFonts w:ascii="Times New Roman"/>
                <w:sz w:val="21"/>
              </w:rPr>
            </w:pPr>
            <w:r>
              <w:rPr>
                <w:rFonts w:ascii="Times New Roman"/>
                <w:sz w:val="21"/>
              </w:rPr>
              <w:t>2.35E-01</w:t>
            </w:r>
          </w:p>
        </w:tc>
        <w:tc>
          <w:tcPr>
            <w:tcW w:w="1317" w:type="dxa"/>
          </w:tcPr>
          <w:p w14:paraId="6A1F06AC">
            <w:pPr>
              <w:pStyle w:val="17"/>
              <w:spacing w:before="34"/>
              <w:ind w:left="108" w:right="98"/>
              <w:rPr>
                <w:rFonts w:ascii="Times New Roman"/>
                <w:sz w:val="21"/>
              </w:rPr>
            </w:pPr>
            <w:r>
              <w:rPr>
                <w:rFonts w:ascii="Times New Roman"/>
                <w:sz w:val="21"/>
              </w:rPr>
              <w:t>231229</w:t>
            </w:r>
          </w:p>
        </w:tc>
        <w:tc>
          <w:tcPr>
            <w:tcW w:w="1230" w:type="dxa"/>
          </w:tcPr>
          <w:p w14:paraId="3E48E191">
            <w:pPr>
              <w:pStyle w:val="17"/>
              <w:spacing w:before="34"/>
              <w:ind w:left="175" w:right="166"/>
              <w:rPr>
                <w:rFonts w:ascii="Times New Roman"/>
                <w:sz w:val="21"/>
              </w:rPr>
            </w:pPr>
            <w:r>
              <w:rPr>
                <w:rFonts w:ascii="Times New Roman"/>
                <w:sz w:val="21"/>
              </w:rPr>
              <w:t>0.00E+00</w:t>
            </w:r>
          </w:p>
        </w:tc>
        <w:tc>
          <w:tcPr>
            <w:tcW w:w="1725" w:type="dxa"/>
          </w:tcPr>
          <w:p w14:paraId="43553B62">
            <w:pPr>
              <w:pStyle w:val="17"/>
              <w:spacing w:before="34"/>
              <w:ind w:left="417" w:right="413"/>
              <w:rPr>
                <w:rFonts w:ascii="Times New Roman"/>
                <w:sz w:val="21"/>
              </w:rPr>
            </w:pPr>
            <w:r>
              <w:rPr>
                <w:rFonts w:ascii="Times New Roman"/>
                <w:sz w:val="21"/>
              </w:rPr>
              <w:t>2.35E-01</w:t>
            </w:r>
          </w:p>
        </w:tc>
        <w:tc>
          <w:tcPr>
            <w:tcW w:w="1230" w:type="dxa"/>
          </w:tcPr>
          <w:p w14:paraId="266862D5">
            <w:pPr>
              <w:pStyle w:val="17"/>
              <w:spacing w:before="34"/>
              <w:ind w:left="174" w:right="166"/>
              <w:rPr>
                <w:rFonts w:ascii="Times New Roman"/>
                <w:sz w:val="21"/>
              </w:rPr>
            </w:pPr>
            <w:r>
              <w:rPr>
                <w:rFonts w:ascii="Times New Roman"/>
                <w:sz w:val="21"/>
              </w:rPr>
              <w:t>3.00E+02</w:t>
            </w:r>
          </w:p>
        </w:tc>
        <w:tc>
          <w:tcPr>
            <w:tcW w:w="1517" w:type="dxa"/>
          </w:tcPr>
          <w:p w14:paraId="3C64BE01">
            <w:pPr>
              <w:pStyle w:val="17"/>
              <w:spacing w:before="34"/>
              <w:ind w:left="499" w:right="492"/>
              <w:rPr>
                <w:rFonts w:ascii="Times New Roman"/>
                <w:sz w:val="21"/>
              </w:rPr>
            </w:pPr>
            <w:r>
              <w:rPr>
                <w:rFonts w:ascii="Times New Roman"/>
                <w:sz w:val="21"/>
              </w:rPr>
              <w:t>0.08</w:t>
            </w:r>
          </w:p>
        </w:tc>
        <w:tc>
          <w:tcPr>
            <w:tcW w:w="712" w:type="dxa"/>
            <w:tcBorders>
              <w:right w:val="nil"/>
            </w:tcBorders>
          </w:tcPr>
          <w:p w14:paraId="19060690">
            <w:pPr>
              <w:pStyle w:val="17"/>
              <w:spacing w:before="20"/>
              <w:ind w:left="122" w:right="121"/>
              <w:rPr>
                <w:sz w:val="21"/>
              </w:rPr>
            </w:pPr>
            <w:r>
              <w:rPr>
                <w:sz w:val="21"/>
              </w:rPr>
              <w:t>达标</w:t>
            </w:r>
          </w:p>
        </w:tc>
      </w:tr>
      <w:tr w14:paraId="3EC8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7185BF9">
            <w:pPr>
              <w:pStyle w:val="17"/>
              <w:jc w:val="left"/>
              <w:rPr>
                <w:rFonts w:ascii="Times New Roman"/>
                <w:sz w:val="20"/>
              </w:rPr>
            </w:pPr>
          </w:p>
        </w:tc>
        <w:tc>
          <w:tcPr>
            <w:tcW w:w="1265" w:type="dxa"/>
          </w:tcPr>
          <w:p w14:paraId="4A5F9B30">
            <w:pPr>
              <w:pStyle w:val="17"/>
              <w:jc w:val="left"/>
              <w:rPr>
                <w:rFonts w:ascii="Times New Roman"/>
                <w:sz w:val="20"/>
              </w:rPr>
            </w:pPr>
          </w:p>
        </w:tc>
        <w:tc>
          <w:tcPr>
            <w:tcW w:w="771" w:type="dxa"/>
          </w:tcPr>
          <w:p w14:paraId="4618F772">
            <w:pPr>
              <w:pStyle w:val="17"/>
              <w:jc w:val="left"/>
              <w:rPr>
                <w:rFonts w:ascii="Times New Roman"/>
                <w:sz w:val="20"/>
              </w:rPr>
            </w:pPr>
          </w:p>
        </w:tc>
        <w:tc>
          <w:tcPr>
            <w:tcW w:w="772" w:type="dxa"/>
          </w:tcPr>
          <w:p w14:paraId="121854A1">
            <w:pPr>
              <w:pStyle w:val="17"/>
              <w:jc w:val="left"/>
              <w:rPr>
                <w:rFonts w:ascii="Times New Roman"/>
                <w:sz w:val="20"/>
              </w:rPr>
            </w:pPr>
          </w:p>
        </w:tc>
        <w:tc>
          <w:tcPr>
            <w:tcW w:w="921" w:type="dxa"/>
          </w:tcPr>
          <w:p w14:paraId="4B9F2078">
            <w:pPr>
              <w:pStyle w:val="17"/>
              <w:jc w:val="left"/>
              <w:rPr>
                <w:rFonts w:ascii="Times New Roman"/>
                <w:sz w:val="20"/>
              </w:rPr>
            </w:pPr>
          </w:p>
        </w:tc>
        <w:tc>
          <w:tcPr>
            <w:tcW w:w="1035" w:type="dxa"/>
          </w:tcPr>
          <w:p w14:paraId="3E5AE9D4">
            <w:pPr>
              <w:pStyle w:val="17"/>
              <w:spacing w:before="20"/>
              <w:ind w:left="201"/>
              <w:jc w:val="left"/>
              <w:rPr>
                <w:sz w:val="21"/>
              </w:rPr>
            </w:pPr>
            <w:r>
              <w:rPr>
                <w:sz w:val="21"/>
              </w:rPr>
              <w:t>年均值</w:t>
            </w:r>
          </w:p>
        </w:tc>
        <w:tc>
          <w:tcPr>
            <w:tcW w:w="1259" w:type="dxa"/>
          </w:tcPr>
          <w:p w14:paraId="1078F732">
            <w:pPr>
              <w:pStyle w:val="17"/>
              <w:spacing w:before="36"/>
              <w:ind w:left="241"/>
              <w:jc w:val="left"/>
              <w:rPr>
                <w:rFonts w:ascii="Times New Roman"/>
                <w:sz w:val="21"/>
              </w:rPr>
            </w:pPr>
            <w:r>
              <w:rPr>
                <w:rFonts w:ascii="Times New Roman"/>
                <w:sz w:val="21"/>
              </w:rPr>
              <w:t>6.02E-03</w:t>
            </w:r>
          </w:p>
        </w:tc>
        <w:tc>
          <w:tcPr>
            <w:tcW w:w="1317" w:type="dxa"/>
          </w:tcPr>
          <w:p w14:paraId="226D33A2">
            <w:pPr>
              <w:pStyle w:val="17"/>
              <w:spacing w:before="20"/>
              <w:ind w:left="107" w:right="98"/>
              <w:rPr>
                <w:sz w:val="21"/>
              </w:rPr>
            </w:pPr>
            <w:r>
              <w:rPr>
                <w:sz w:val="21"/>
              </w:rPr>
              <w:t>平均值</w:t>
            </w:r>
          </w:p>
        </w:tc>
        <w:tc>
          <w:tcPr>
            <w:tcW w:w="1230" w:type="dxa"/>
          </w:tcPr>
          <w:p w14:paraId="7D134B51">
            <w:pPr>
              <w:pStyle w:val="17"/>
              <w:spacing w:before="36"/>
              <w:ind w:left="175" w:right="166"/>
              <w:rPr>
                <w:rFonts w:ascii="Times New Roman"/>
                <w:sz w:val="21"/>
              </w:rPr>
            </w:pPr>
            <w:r>
              <w:rPr>
                <w:rFonts w:ascii="Times New Roman"/>
                <w:sz w:val="21"/>
              </w:rPr>
              <w:t>0.00E+00</w:t>
            </w:r>
          </w:p>
        </w:tc>
        <w:tc>
          <w:tcPr>
            <w:tcW w:w="1725" w:type="dxa"/>
          </w:tcPr>
          <w:p w14:paraId="63E11997">
            <w:pPr>
              <w:pStyle w:val="17"/>
              <w:spacing w:before="36"/>
              <w:ind w:left="417" w:right="413"/>
              <w:rPr>
                <w:rFonts w:ascii="Times New Roman"/>
                <w:sz w:val="21"/>
              </w:rPr>
            </w:pPr>
            <w:r>
              <w:rPr>
                <w:rFonts w:ascii="Times New Roman"/>
                <w:sz w:val="21"/>
              </w:rPr>
              <w:t>6.02E-03</w:t>
            </w:r>
          </w:p>
        </w:tc>
        <w:tc>
          <w:tcPr>
            <w:tcW w:w="1230" w:type="dxa"/>
          </w:tcPr>
          <w:p w14:paraId="2C4F8247">
            <w:pPr>
              <w:pStyle w:val="17"/>
              <w:spacing w:before="36"/>
              <w:ind w:left="174" w:right="166"/>
              <w:rPr>
                <w:rFonts w:ascii="Times New Roman"/>
                <w:sz w:val="21"/>
              </w:rPr>
            </w:pPr>
            <w:r>
              <w:rPr>
                <w:rFonts w:ascii="Times New Roman"/>
                <w:sz w:val="21"/>
              </w:rPr>
              <w:t>2.00E+02</w:t>
            </w:r>
          </w:p>
        </w:tc>
        <w:tc>
          <w:tcPr>
            <w:tcW w:w="1517" w:type="dxa"/>
          </w:tcPr>
          <w:p w14:paraId="3A9CB627">
            <w:pPr>
              <w:pStyle w:val="17"/>
              <w:spacing w:before="36"/>
              <w:ind w:left="499" w:right="492"/>
              <w:rPr>
                <w:rFonts w:ascii="Times New Roman"/>
                <w:sz w:val="21"/>
              </w:rPr>
            </w:pPr>
            <w:r>
              <w:rPr>
                <w:rFonts w:ascii="Times New Roman"/>
                <w:sz w:val="21"/>
              </w:rPr>
              <w:t>0.00</w:t>
            </w:r>
          </w:p>
        </w:tc>
        <w:tc>
          <w:tcPr>
            <w:tcW w:w="712" w:type="dxa"/>
            <w:tcBorders>
              <w:right w:val="nil"/>
            </w:tcBorders>
          </w:tcPr>
          <w:p w14:paraId="010FFFC4">
            <w:pPr>
              <w:pStyle w:val="17"/>
              <w:spacing w:before="20"/>
              <w:ind w:left="122" w:right="121"/>
              <w:rPr>
                <w:sz w:val="21"/>
              </w:rPr>
            </w:pPr>
            <w:r>
              <w:rPr>
                <w:sz w:val="21"/>
              </w:rPr>
              <w:t>达标</w:t>
            </w:r>
          </w:p>
        </w:tc>
      </w:tr>
      <w:tr w14:paraId="6A8C9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8D1E253">
            <w:pPr>
              <w:pStyle w:val="17"/>
              <w:spacing w:before="35"/>
              <w:ind w:right="169"/>
              <w:jc w:val="right"/>
              <w:rPr>
                <w:rFonts w:ascii="Times New Roman"/>
                <w:sz w:val="21"/>
              </w:rPr>
            </w:pPr>
            <w:r>
              <w:rPr>
                <w:rFonts w:ascii="Times New Roman"/>
                <w:w w:val="99"/>
                <w:sz w:val="21"/>
              </w:rPr>
              <w:t>7</w:t>
            </w:r>
          </w:p>
        </w:tc>
        <w:tc>
          <w:tcPr>
            <w:tcW w:w="1265" w:type="dxa"/>
          </w:tcPr>
          <w:p w14:paraId="6AE10B3C">
            <w:pPr>
              <w:pStyle w:val="17"/>
              <w:spacing w:before="22"/>
              <w:ind w:left="189" w:right="186"/>
              <w:rPr>
                <w:sz w:val="21"/>
              </w:rPr>
            </w:pPr>
            <w:r>
              <w:rPr>
                <w:sz w:val="21"/>
              </w:rPr>
              <w:t>中家桥村</w:t>
            </w:r>
          </w:p>
        </w:tc>
        <w:tc>
          <w:tcPr>
            <w:tcW w:w="771" w:type="dxa"/>
          </w:tcPr>
          <w:p w14:paraId="33BB3FB4">
            <w:pPr>
              <w:pStyle w:val="17"/>
              <w:spacing w:before="35"/>
              <w:ind w:right="216"/>
              <w:jc w:val="right"/>
              <w:rPr>
                <w:rFonts w:ascii="Times New Roman"/>
                <w:sz w:val="21"/>
              </w:rPr>
            </w:pPr>
            <w:r>
              <w:rPr>
                <w:rFonts w:ascii="Times New Roman"/>
                <w:sz w:val="21"/>
              </w:rPr>
              <w:t>961</w:t>
            </w:r>
          </w:p>
        </w:tc>
        <w:tc>
          <w:tcPr>
            <w:tcW w:w="772" w:type="dxa"/>
          </w:tcPr>
          <w:p w14:paraId="71C92999">
            <w:pPr>
              <w:pStyle w:val="17"/>
              <w:spacing w:before="35"/>
              <w:ind w:right="181"/>
              <w:jc w:val="right"/>
              <w:rPr>
                <w:rFonts w:ascii="Times New Roman"/>
                <w:sz w:val="21"/>
              </w:rPr>
            </w:pPr>
            <w:r>
              <w:rPr>
                <w:rFonts w:ascii="Times New Roman"/>
                <w:w w:val="95"/>
                <w:sz w:val="21"/>
              </w:rPr>
              <w:t>-813</w:t>
            </w:r>
          </w:p>
        </w:tc>
        <w:tc>
          <w:tcPr>
            <w:tcW w:w="921" w:type="dxa"/>
          </w:tcPr>
          <w:p w14:paraId="44C894AD">
            <w:pPr>
              <w:pStyle w:val="17"/>
              <w:spacing w:before="35"/>
              <w:ind w:left="203" w:right="195"/>
              <w:rPr>
                <w:rFonts w:ascii="Times New Roman"/>
                <w:sz w:val="21"/>
              </w:rPr>
            </w:pPr>
            <w:r>
              <w:rPr>
                <w:rFonts w:ascii="Times New Roman"/>
                <w:sz w:val="21"/>
              </w:rPr>
              <w:t>49.12</w:t>
            </w:r>
          </w:p>
        </w:tc>
        <w:tc>
          <w:tcPr>
            <w:tcW w:w="1035" w:type="dxa"/>
          </w:tcPr>
          <w:p w14:paraId="1CAEE189">
            <w:pPr>
              <w:pStyle w:val="17"/>
              <w:spacing w:before="19"/>
              <w:ind w:left="201"/>
              <w:jc w:val="left"/>
              <w:rPr>
                <w:sz w:val="21"/>
              </w:rPr>
            </w:pPr>
            <w:r>
              <w:rPr>
                <w:sz w:val="21"/>
              </w:rPr>
              <w:t>小时值</w:t>
            </w:r>
          </w:p>
        </w:tc>
        <w:tc>
          <w:tcPr>
            <w:tcW w:w="1259" w:type="dxa"/>
          </w:tcPr>
          <w:p w14:paraId="16193C2A">
            <w:pPr>
              <w:pStyle w:val="17"/>
              <w:spacing w:before="35"/>
              <w:ind w:left="217"/>
              <w:jc w:val="left"/>
              <w:rPr>
                <w:rFonts w:ascii="Times New Roman"/>
                <w:sz w:val="21"/>
              </w:rPr>
            </w:pPr>
            <w:r>
              <w:rPr>
                <w:rFonts w:ascii="Times New Roman"/>
                <w:sz w:val="21"/>
              </w:rPr>
              <w:t>3.01E+00</w:t>
            </w:r>
          </w:p>
        </w:tc>
        <w:tc>
          <w:tcPr>
            <w:tcW w:w="1317" w:type="dxa"/>
          </w:tcPr>
          <w:p w14:paraId="0777E424">
            <w:pPr>
              <w:pStyle w:val="17"/>
              <w:spacing w:before="35"/>
              <w:ind w:left="108" w:right="98"/>
              <w:rPr>
                <w:rFonts w:ascii="Times New Roman"/>
                <w:sz w:val="21"/>
              </w:rPr>
            </w:pPr>
            <w:r>
              <w:rPr>
                <w:rFonts w:ascii="Times New Roman"/>
                <w:sz w:val="21"/>
              </w:rPr>
              <w:t>23112506</w:t>
            </w:r>
          </w:p>
        </w:tc>
        <w:tc>
          <w:tcPr>
            <w:tcW w:w="1230" w:type="dxa"/>
          </w:tcPr>
          <w:p w14:paraId="67E2737E">
            <w:pPr>
              <w:pStyle w:val="17"/>
              <w:spacing w:before="35"/>
              <w:ind w:left="175" w:right="166"/>
              <w:rPr>
                <w:rFonts w:ascii="Times New Roman"/>
                <w:sz w:val="21"/>
              </w:rPr>
            </w:pPr>
            <w:r>
              <w:rPr>
                <w:rFonts w:ascii="Times New Roman"/>
                <w:sz w:val="21"/>
              </w:rPr>
              <w:t>0.00E+00</w:t>
            </w:r>
          </w:p>
        </w:tc>
        <w:tc>
          <w:tcPr>
            <w:tcW w:w="1725" w:type="dxa"/>
          </w:tcPr>
          <w:p w14:paraId="4C8A99AC">
            <w:pPr>
              <w:pStyle w:val="17"/>
              <w:spacing w:before="35"/>
              <w:ind w:left="419" w:right="413"/>
              <w:rPr>
                <w:rFonts w:ascii="Times New Roman"/>
                <w:sz w:val="21"/>
              </w:rPr>
            </w:pPr>
            <w:r>
              <w:rPr>
                <w:rFonts w:ascii="Times New Roman"/>
                <w:sz w:val="21"/>
              </w:rPr>
              <w:t>3.01E+00</w:t>
            </w:r>
          </w:p>
        </w:tc>
        <w:tc>
          <w:tcPr>
            <w:tcW w:w="1230" w:type="dxa"/>
          </w:tcPr>
          <w:p w14:paraId="21933F0D">
            <w:pPr>
              <w:pStyle w:val="17"/>
              <w:spacing w:before="35"/>
              <w:ind w:left="174" w:right="166"/>
              <w:rPr>
                <w:rFonts w:ascii="Times New Roman"/>
                <w:sz w:val="21"/>
              </w:rPr>
            </w:pPr>
            <w:r>
              <w:rPr>
                <w:rFonts w:ascii="Times New Roman"/>
                <w:sz w:val="21"/>
              </w:rPr>
              <w:t>9.00E+02</w:t>
            </w:r>
          </w:p>
        </w:tc>
        <w:tc>
          <w:tcPr>
            <w:tcW w:w="1517" w:type="dxa"/>
          </w:tcPr>
          <w:p w14:paraId="5C8E8D2C">
            <w:pPr>
              <w:pStyle w:val="17"/>
              <w:spacing w:before="35"/>
              <w:ind w:left="499" w:right="492"/>
              <w:rPr>
                <w:rFonts w:ascii="Times New Roman"/>
                <w:sz w:val="21"/>
              </w:rPr>
            </w:pPr>
            <w:r>
              <w:rPr>
                <w:rFonts w:ascii="Times New Roman"/>
                <w:sz w:val="21"/>
              </w:rPr>
              <w:t>0.33</w:t>
            </w:r>
          </w:p>
        </w:tc>
        <w:tc>
          <w:tcPr>
            <w:tcW w:w="712" w:type="dxa"/>
            <w:tcBorders>
              <w:right w:val="nil"/>
            </w:tcBorders>
          </w:tcPr>
          <w:p w14:paraId="02F5D0A8">
            <w:pPr>
              <w:pStyle w:val="17"/>
              <w:spacing w:before="19"/>
              <w:ind w:left="122" w:right="121"/>
              <w:rPr>
                <w:sz w:val="21"/>
              </w:rPr>
            </w:pPr>
            <w:r>
              <w:rPr>
                <w:sz w:val="21"/>
              </w:rPr>
              <w:t>达标</w:t>
            </w:r>
          </w:p>
        </w:tc>
      </w:tr>
      <w:tr w14:paraId="4A5B7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74200E1">
            <w:pPr>
              <w:pStyle w:val="17"/>
              <w:jc w:val="left"/>
              <w:rPr>
                <w:rFonts w:ascii="Times New Roman"/>
                <w:sz w:val="20"/>
              </w:rPr>
            </w:pPr>
          </w:p>
        </w:tc>
        <w:tc>
          <w:tcPr>
            <w:tcW w:w="1265" w:type="dxa"/>
          </w:tcPr>
          <w:p w14:paraId="39B9E06B">
            <w:pPr>
              <w:pStyle w:val="17"/>
              <w:jc w:val="left"/>
              <w:rPr>
                <w:rFonts w:ascii="Times New Roman"/>
                <w:sz w:val="20"/>
              </w:rPr>
            </w:pPr>
          </w:p>
        </w:tc>
        <w:tc>
          <w:tcPr>
            <w:tcW w:w="771" w:type="dxa"/>
          </w:tcPr>
          <w:p w14:paraId="69DF32A1">
            <w:pPr>
              <w:pStyle w:val="17"/>
              <w:jc w:val="left"/>
              <w:rPr>
                <w:rFonts w:ascii="Times New Roman"/>
                <w:sz w:val="20"/>
              </w:rPr>
            </w:pPr>
          </w:p>
        </w:tc>
        <w:tc>
          <w:tcPr>
            <w:tcW w:w="772" w:type="dxa"/>
          </w:tcPr>
          <w:p w14:paraId="28221FA2">
            <w:pPr>
              <w:pStyle w:val="17"/>
              <w:jc w:val="left"/>
              <w:rPr>
                <w:rFonts w:ascii="Times New Roman"/>
                <w:sz w:val="20"/>
              </w:rPr>
            </w:pPr>
          </w:p>
        </w:tc>
        <w:tc>
          <w:tcPr>
            <w:tcW w:w="921" w:type="dxa"/>
          </w:tcPr>
          <w:p w14:paraId="740E5A90">
            <w:pPr>
              <w:pStyle w:val="17"/>
              <w:jc w:val="left"/>
              <w:rPr>
                <w:rFonts w:ascii="Times New Roman"/>
                <w:sz w:val="20"/>
              </w:rPr>
            </w:pPr>
          </w:p>
        </w:tc>
        <w:tc>
          <w:tcPr>
            <w:tcW w:w="1035" w:type="dxa"/>
          </w:tcPr>
          <w:p w14:paraId="042C7C36">
            <w:pPr>
              <w:pStyle w:val="17"/>
              <w:spacing w:before="19"/>
              <w:ind w:left="201"/>
              <w:jc w:val="left"/>
              <w:rPr>
                <w:sz w:val="21"/>
              </w:rPr>
            </w:pPr>
            <w:r>
              <w:rPr>
                <w:sz w:val="21"/>
              </w:rPr>
              <w:t>日均值</w:t>
            </w:r>
          </w:p>
        </w:tc>
        <w:tc>
          <w:tcPr>
            <w:tcW w:w="1259" w:type="dxa"/>
          </w:tcPr>
          <w:p w14:paraId="188D7DE6">
            <w:pPr>
              <w:pStyle w:val="17"/>
              <w:spacing w:before="35"/>
              <w:ind w:left="241"/>
              <w:jc w:val="left"/>
              <w:rPr>
                <w:rFonts w:ascii="Times New Roman"/>
                <w:sz w:val="21"/>
              </w:rPr>
            </w:pPr>
            <w:r>
              <w:rPr>
                <w:rFonts w:ascii="Times New Roman"/>
                <w:sz w:val="21"/>
              </w:rPr>
              <w:t>2.09E-01</w:t>
            </w:r>
          </w:p>
        </w:tc>
        <w:tc>
          <w:tcPr>
            <w:tcW w:w="1317" w:type="dxa"/>
          </w:tcPr>
          <w:p w14:paraId="46B4E796">
            <w:pPr>
              <w:pStyle w:val="17"/>
              <w:spacing w:before="35"/>
              <w:ind w:left="105" w:right="98"/>
              <w:rPr>
                <w:rFonts w:ascii="Times New Roman"/>
                <w:sz w:val="21"/>
              </w:rPr>
            </w:pPr>
            <w:r>
              <w:rPr>
                <w:rFonts w:ascii="Times New Roman"/>
                <w:sz w:val="21"/>
              </w:rPr>
              <w:t>230117</w:t>
            </w:r>
          </w:p>
        </w:tc>
        <w:tc>
          <w:tcPr>
            <w:tcW w:w="1230" w:type="dxa"/>
          </w:tcPr>
          <w:p w14:paraId="40EBAC43">
            <w:pPr>
              <w:pStyle w:val="17"/>
              <w:spacing w:before="35"/>
              <w:ind w:left="175" w:right="166"/>
              <w:rPr>
                <w:rFonts w:ascii="Times New Roman"/>
                <w:sz w:val="21"/>
              </w:rPr>
            </w:pPr>
            <w:r>
              <w:rPr>
                <w:rFonts w:ascii="Times New Roman"/>
                <w:sz w:val="21"/>
              </w:rPr>
              <w:t>0.00E+00</w:t>
            </w:r>
          </w:p>
        </w:tc>
        <w:tc>
          <w:tcPr>
            <w:tcW w:w="1725" w:type="dxa"/>
          </w:tcPr>
          <w:p w14:paraId="3F8981A4">
            <w:pPr>
              <w:pStyle w:val="17"/>
              <w:spacing w:before="35"/>
              <w:ind w:left="417" w:right="413"/>
              <w:rPr>
                <w:rFonts w:ascii="Times New Roman"/>
                <w:sz w:val="21"/>
              </w:rPr>
            </w:pPr>
            <w:r>
              <w:rPr>
                <w:rFonts w:ascii="Times New Roman"/>
                <w:sz w:val="21"/>
              </w:rPr>
              <w:t>2.09E-01</w:t>
            </w:r>
          </w:p>
        </w:tc>
        <w:tc>
          <w:tcPr>
            <w:tcW w:w="1230" w:type="dxa"/>
          </w:tcPr>
          <w:p w14:paraId="2D05A0DD">
            <w:pPr>
              <w:pStyle w:val="17"/>
              <w:spacing w:before="35"/>
              <w:ind w:left="174" w:right="166"/>
              <w:rPr>
                <w:rFonts w:ascii="Times New Roman"/>
                <w:sz w:val="21"/>
              </w:rPr>
            </w:pPr>
            <w:r>
              <w:rPr>
                <w:rFonts w:ascii="Times New Roman"/>
                <w:sz w:val="21"/>
              </w:rPr>
              <w:t>3.00E+02</w:t>
            </w:r>
          </w:p>
        </w:tc>
        <w:tc>
          <w:tcPr>
            <w:tcW w:w="1517" w:type="dxa"/>
          </w:tcPr>
          <w:p w14:paraId="4E2981DB">
            <w:pPr>
              <w:pStyle w:val="17"/>
              <w:spacing w:before="35"/>
              <w:ind w:left="499" w:right="492"/>
              <w:rPr>
                <w:rFonts w:ascii="Times New Roman"/>
                <w:sz w:val="21"/>
              </w:rPr>
            </w:pPr>
            <w:r>
              <w:rPr>
                <w:rFonts w:ascii="Times New Roman"/>
                <w:sz w:val="21"/>
              </w:rPr>
              <w:t>0.07</w:t>
            </w:r>
          </w:p>
        </w:tc>
        <w:tc>
          <w:tcPr>
            <w:tcW w:w="712" w:type="dxa"/>
            <w:tcBorders>
              <w:right w:val="nil"/>
            </w:tcBorders>
          </w:tcPr>
          <w:p w14:paraId="3860A41D">
            <w:pPr>
              <w:pStyle w:val="17"/>
              <w:spacing w:before="19"/>
              <w:ind w:left="122" w:right="121"/>
              <w:rPr>
                <w:sz w:val="21"/>
              </w:rPr>
            </w:pPr>
            <w:r>
              <w:rPr>
                <w:sz w:val="21"/>
              </w:rPr>
              <w:t>达标</w:t>
            </w:r>
          </w:p>
        </w:tc>
      </w:tr>
      <w:tr w14:paraId="407E5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BF60911">
            <w:pPr>
              <w:pStyle w:val="17"/>
              <w:jc w:val="left"/>
              <w:rPr>
                <w:rFonts w:ascii="Times New Roman"/>
                <w:sz w:val="20"/>
              </w:rPr>
            </w:pPr>
          </w:p>
        </w:tc>
        <w:tc>
          <w:tcPr>
            <w:tcW w:w="1265" w:type="dxa"/>
          </w:tcPr>
          <w:p w14:paraId="31437071">
            <w:pPr>
              <w:pStyle w:val="17"/>
              <w:jc w:val="left"/>
              <w:rPr>
                <w:rFonts w:ascii="Times New Roman"/>
                <w:sz w:val="20"/>
              </w:rPr>
            </w:pPr>
          </w:p>
        </w:tc>
        <w:tc>
          <w:tcPr>
            <w:tcW w:w="771" w:type="dxa"/>
          </w:tcPr>
          <w:p w14:paraId="27B143DA">
            <w:pPr>
              <w:pStyle w:val="17"/>
              <w:jc w:val="left"/>
              <w:rPr>
                <w:rFonts w:ascii="Times New Roman"/>
                <w:sz w:val="20"/>
              </w:rPr>
            </w:pPr>
          </w:p>
        </w:tc>
        <w:tc>
          <w:tcPr>
            <w:tcW w:w="772" w:type="dxa"/>
          </w:tcPr>
          <w:p w14:paraId="0C2CEFF4">
            <w:pPr>
              <w:pStyle w:val="17"/>
              <w:jc w:val="left"/>
              <w:rPr>
                <w:rFonts w:ascii="Times New Roman"/>
                <w:sz w:val="20"/>
              </w:rPr>
            </w:pPr>
          </w:p>
        </w:tc>
        <w:tc>
          <w:tcPr>
            <w:tcW w:w="921" w:type="dxa"/>
          </w:tcPr>
          <w:p w14:paraId="24BC5FC9">
            <w:pPr>
              <w:pStyle w:val="17"/>
              <w:jc w:val="left"/>
              <w:rPr>
                <w:rFonts w:ascii="Times New Roman"/>
                <w:sz w:val="20"/>
              </w:rPr>
            </w:pPr>
          </w:p>
        </w:tc>
        <w:tc>
          <w:tcPr>
            <w:tcW w:w="1035" w:type="dxa"/>
          </w:tcPr>
          <w:p w14:paraId="0C51FCC6">
            <w:pPr>
              <w:pStyle w:val="17"/>
              <w:spacing w:before="21"/>
              <w:ind w:left="201"/>
              <w:jc w:val="left"/>
              <w:rPr>
                <w:sz w:val="21"/>
              </w:rPr>
            </w:pPr>
            <w:r>
              <w:rPr>
                <w:sz w:val="21"/>
              </w:rPr>
              <w:t>年均值</w:t>
            </w:r>
          </w:p>
        </w:tc>
        <w:tc>
          <w:tcPr>
            <w:tcW w:w="1259" w:type="dxa"/>
          </w:tcPr>
          <w:p w14:paraId="13BF5B66">
            <w:pPr>
              <w:pStyle w:val="17"/>
              <w:spacing w:before="35"/>
              <w:ind w:left="241"/>
              <w:jc w:val="left"/>
              <w:rPr>
                <w:rFonts w:ascii="Times New Roman"/>
                <w:sz w:val="21"/>
              </w:rPr>
            </w:pPr>
            <w:r>
              <w:rPr>
                <w:rFonts w:ascii="Times New Roman"/>
                <w:sz w:val="21"/>
              </w:rPr>
              <w:t>2.27E-02</w:t>
            </w:r>
          </w:p>
        </w:tc>
        <w:tc>
          <w:tcPr>
            <w:tcW w:w="1317" w:type="dxa"/>
          </w:tcPr>
          <w:p w14:paraId="4170AFF1">
            <w:pPr>
              <w:pStyle w:val="17"/>
              <w:spacing w:before="21"/>
              <w:ind w:left="107" w:right="98"/>
              <w:rPr>
                <w:sz w:val="21"/>
              </w:rPr>
            </w:pPr>
            <w:r>
              <w:rPr>
                <w:sz w:val="21"/>
              </w:rPr>
              <w:t>平均值</w:t>
            </w:r>
          </w:p>
        </w:tc>
        <w:tc>
          <w:tcPr>
            <w:tcW w:w="1230" w:type="dxa"/>
          </w:tcPr>
          <w:p w14:paraId="5699E863">
            <w:pPr>
              <w:pStyle w:val="17"/>
              <w:spacing w:before="35"/>
              <w:ind w:left="175" w:right="166"/>
              <w:rPr>
                <w:rFonts w:ascii="Times New Roman"/>
                <w:sz w:val="21"/>
              </w:rPr>
            </w:pPr>
            <w:r>
              <w:rPr>
                <w:rFonts w:ascii="Times New Roman"/>
                <w:sz w:val="21"/>
              </w:rPr>
              <w:t>0.00E+00</w:t>
            </w:r>
          </w:p>
        </w:tc>
        <w:tc>
          <w:tcPr>
            <w:tcW w:w="1725" w:type="dxa"/>
          </w:tcPr>
          <w:p w14:paraId="169E8111">
            <w:pPr>
              <w:pStyle w:val="17"/>
              <w:spacing w:before="35"/>
              <w:ind w:left="417" w:right="413"/>
              <w:rPr>
                <w:rFonts w:ascii="Times New Roman"/>
                <w:sz w:val="21"/>
              </w:rPr>
            </w:pPr>
            <w:r>
              <w:rPr>
                <w:rFonts w:ascii="Times New Roman"/>
                <w:sz w:val="21"/>
              </w:rPr>
              <w:t>2.27E-02</w:t>
            </w:r>
          </w:p>
        </w:tc>
        <w:tc>
          <w:tcPr>
            <w:tcW w:w="1230" w:type="dxa"/>
          </w:tcPr>
          <w:p w14:paraId="1173F3A6">
            <w:pPr>
              <w:pStyle w:val="17"/>
              <w:spacing w:before="35"/>
              <w:ind w:left="174" w:right="166"/>
              <w:rPr>
                <w:rFonts w:ascii="Times New Roman"/>
                <w:sz w:val="21"/>
              </w:rPr>
            </w:pPr>
            <w:r>
              <w:rPr>
                <w:rFonts w:ascii="Times New Roman"/>
                <w:sz w:val="21"/>
              </w:rPr>
              <w:t>2.00E+02</w:t>
            </w:r>
          </w:p>
        </w:tc>
        <w:tc>
          <w:tcPr>
            <w:tcW w:w="1517" w:type="dxa"/>
          </w:tcPr>
          <w:p w14:paraId="296F96A2">
            <w:pPr>
              <w:pStyle w:val="17"/>
              <w:spacing w:before="35"/>
              <w:ind w:left="499" w:right="492"/>
              <w:rPr>
                <w:rFonts w:ascii="Times New Roman"/>
                <w:sz w:val="21"/>
              </w:rPr>
            </w:pPr>
            <w:r>
              <w:rPr>
                <w:rFonts w:ascii="Times New Roman"/>
                <w:sz w:val="21"/>
              </w:rPr>
              <w:t>0.01</w:t>
            </w:r>
          </w:p>
        </w:tc>
        <w:tc>
          <w:tcPr>
            <w:tcW w:w="712" w:type="dxa"/>
            <w:tcBorders>
              <w:right w:val="nil"/>
            </w:tcBorders>
          </w:tcPr>
          <w:p w14:paraId="31541FAD">
            <w:pPr>
              <w:pStyle w:val="17"/>
              <w:spacing w:before="21"/>
              <w:ind w:left="122" w:right="121"/>
              <w:rPr>
                <w:sz w:val="21"/>
              </w:rPr>
            </w:pPr>
            <w:r>
              <w:rPr>
                <w:sz w:val="21"/>
              </w:rPr>
              <w:t>达标</w:t>
            </w:r>
          </w:p>
        </w:tc>
      </w:tr>
      <w:tr w14:paraId="0B352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6D2E8BF5">
            <w:pPr>
              <w:pStyle w:val="17"/>
              <w:spacing w:before="34"/>
              <w:ind w:right="169"/>
              <w:jc w:val="right"/>
              <w:rPr>
                <w:rFonts w:ascii="Times New Roman"/>
                <w:sz w:val="21"/>
              </w:rPr>
            </w:pPr>
            <w:r>
              <w:rPr>
                <w:rFonts w:ascii="Times New Roman"/>
                <w:w w:val="99"/>
                <w:sz w:val="21"/>
              </w:rPr>
              <w:t>8</w:t>
            </w:r>
          </w:p>
        </w:tc>
        <w:tc>
          <w:tcPr>
            <w:tcW w:w="1265" w:type="dxa"/>
          </w:tcPr>
          <w:p w14:paraId="55B60E22">
            <w:pPr>
              <w:pStyle w:val="17"/>
              <w:spacing w:before="20"/>
              <w:ind w:left="189" w:right="186"/>
              <w:rPr>
                <w:sz w:val="21"/>
              </w:rPr>
            </w:pPr>
            <w:r>
              <w:rPr>
                <w:sz w:val="21"/>
              </w:rPr>
              <w:t>新市中心</w:t>
            </w:r>
          </w:p>
        </w:tc>
        <w:tc>
          <w:tcPr>
            <w:tcW w:w="771" w:type="dxa"/>
          </w:tcPr>
          <w:p w14:paraId="583CD320">
            <w:pPr>
              <w:pStyle w:val="17"/>
              <w:spacing w:before="34"/>
              <w:ind w:right="129"/>
              <w:jc w:val="right"/>
              <w:rPr>
                <w:rFonts w:ascii="Times New Roman"/>
                <w:sz w:val="21"/>
              </w:rPr>
            </w:pPr>
            <w:r>
              <w:rPr>
                <w:rFonts w:ascii="Times New Roman"/>
                <w:w w:val="95"/>
                <w:sz w:val="21"/>
              </w:rPr>
              <w:t>-1878</w:t>
            </w:r>
          </w:p>
        </w:tc>
        <w:tc>
          <w:tcPr>
            <w:tcW w:w="772" w:type="dxa"/>
          </w:tcPr>
          <w:p w14:paraId="7DF4FB45">
            <w:pPr>
              <w:pStyle w:val="17"/>
              <w:spacing w:before="34"/>
              <w:ind w:right="162"/>
              <w:jc w:val="right"/>
              <w:rPr>
                <w:rFonts w:ascii="Times New Roman"/>
                <w:sz w:val="21"/>
              </w:rPr>
            </w:pPr>
            <w:r>
              <w:rPr>
                <w:rFonts w:ascii="Times New Roman"/>
                <w:sz w:val="21"/>
              </w:rPr>
              <w:t>1595</w:t>
            </w:r>
          </w:p>
        </w:tc>
        <w:tc>
          <w:tcPr>
            <w:tcW w:w="921" w:type="dxa"/>
          </w:tcPr>
          <w:p w14:paraId="1959E0B8">
            <w:pPr>
              <w:pStyle w:val="17"/>
              <w:spacing w:before="34"/>
              <w:ind w:left="203" w:right="195"/>
              <w:rPr>
                <w:rFonts w:ascii="Times New Roman"/>
                <w:sz w:val="21"/>
              </w:rPr>
            </w:pPr>
            <w:r>
              <w:rPr>
                <w:rFonts w:ascii="Times New Roman"/>
                <w:sz w:val="21"/>
              </w:rPr>
              <w:t>54.65</w:t>
            </w:r>
          </w:p>
        </w:tc>
        <w:tc>
          <w:tcPr>
            <w:tcW w:w="1035" w:type="dxa"/>
          </w:tcPr>
          <w:p w14:paraId="17703DFD">
            <w:pPr>
              <w:pStyle w:val="17"/>
              <w:spacing w:before="20"/>
              <w:ind w:left="201"/>
              <w:jc w:val="left"/>
              <w:rPr>
                <w:sz w:val="21"/>
              </w:rPr>
            </w:pPr>
            <w:r>
              <w:rPr>
                <w:sz w:val="21"/>
              </w:rPr>
              <w:t>小时值</w:t>
            </w:r>
          </w:p>
        </w:tc>
        <w:tc>
          <w:tcPr>
            <w:tcW w:w="1259" w:type="dxa"/>
          </w:tcPr>
          <w:p w14:paraId="3B3099F7">
            <w:pPr>
              <w:pStyle w:val="17"/>
              <w:spacing w:before="34"/>
              <w:ind w:left="217"/>
              <w:jc w:val="left"/>
              <w:rPr>
                <w:rFonts w:ascii="Times New Roman"/>
                <w:sz w:val="21"/>
              </w:rPr>
            </w:pPr>
            <w:r>
              <w:rPr>
                <w:rFonts w:ascii="Times New Roman"/>
                <w:sz w:val="21"/>
              </w:rPr>
              <w:t>2.13E+00</w:t>
            </w:r>
          </w:p>
        </w:tc>
        <w:tc>
          <w:tcPr>
            <w:tcW w:w="1317" w:type="dxa"/>
          </w:tcPr>
          <w:p w14:paraId="6E5BCD62">
            <w:pPr>
              <w:pStyle w:val="17"/>
              <w:spacing w:before="34"/>
              <w:ind w:left="108" w:right="98"/>
              <w:rPr>
                <w:rFonts w:ascii="Times New Roman"/>
                <w:sz w:val="21"/>
              </w:rPr>
            </w:pPr>
            <w:r>
              <w:rPr>
                <w:rFonts w:ascii="Times New Roman"/>
                <w:sz w:val="21"/>
              </w:rPr>
              <w:t>23042803</w:t>
            </w:r>
          </w:p>
        </w:tc>
        <w:tc>
          <w:tcPr>
            <w:tcW w:w="1230" w:type="dxa"/>
          </w:tcPr>
          <w:p w14:paraId="231568A5">
            <w:pPr>
              <w:pStyle w:val="17"/>
              <w:spacing w:before="34"/>
              <w:ind w:left="175" w:right="166"/>
              <w:rPr>
                <w:rFonts w:ascii="Times New Roman"/>
                <w:sz w:val="21"/>
              </w:rPr>
            </w:pPr>
            <w:r>
              <w:rPr>
                <w:rFonts w:ascii="Times New Roman"/>
                <w:sz w:val="21"/>
              </w:rPr>
              <w:t>0.00E+00</w:t>
            </w:r>
          </w:p>
        </w:tc>
        <w:tc>
          <w:tcPr>
            <w:tcW w:w="1725" w:type="dxa"/>
          </w:tcPr>
          <w:p w14:paraId="43C6793C">
            <w:pPr>
              <w:pStyle w:val="17"/>
              <w:spacing w:before="34"/>
              <w:ind w:left="419" w:right="413"/>
              <w:rPr>
                <w:rFonts w:ascii="Times New Roman"/>
                <w:sz w:val="21"/>
              </w:rPr>
            </w:pPr>
            <w:r>
              <w:rPr>
                <w:rFonts w:ascii="Times New Roman"/>
                <w:sz w:val="21"/>
              </w:rPr>
              <w:t>2.13E+00</w:t>
            </w:r>
          </w:p>
        </w:tc>
        <w:tc>
          <w:tcPr>
            <w:tcW w:w="1230" w:type="dxa"/>
          </w:tcPr>
          <w:p w14:paraId="7CA50FFF">
            <w:pPr>
              <w:pStyle w:val="17"/>
              <w:spacing w:before="34"/>
              <w:ind w:left="174" w:right="166"/>
              <w:rPr>
                <w:rFonts w:ascii="Times New Roman"/>
                <w:sz w:val="21"/>
              </w:rPr>
            </w:pPr>
            <w:r>
              <w:rPr>
                <w:rFonts w:ascii="Times New Roman"/>
                <w:sz w:val="21"/>
              </w:rPr>
              <w:t>9.00E+02</w:t>
            </w:r>
          </w:p>
        </w:tc>
        <w:tc>
          <w:tcPr>
            <w:tcW w:w="1517" w:type="dxa"/>
          </w:tcPr>
          <w:p w14:paraId="287A7F24">
            <w:pPr>
              <w:pStyle w:val="17"/>
              <w:spacing w:before="34"/>
              <w:ind w:left="499" w:right="492"/>
              <w:rPr>
                <w:rFonts w:ascii="Times New Roman"/>
                <w:sz w:val="21"/>
              </w:rPr>
            </w:pPr>
            <w:r>
              <w:rPr>
                <w:rFonts w:ascii="Times New Roman"/>
                <w:sz w:val="21"/>
              </w:rPr>
              <w:t>0.24</w:t>
            </w:r>
          </w:p>
        </w:tc>
        <w:tc>
          <w:tcPr>
            <w:tcW w:w="712" w:type="dxa"/>
            <w:tcBorders>
              <w:right w:val="nil"/>
            </w:tcBorders>
          </w:tcPr>
          <w:p w14:paraId="0D432EC9">
            <w:pPr>
              <w:pStyle w:val="17"/>
              <w:spacing w:before="20"/>
              <w:ind w:left="122" w:right="121"/>
              <w:rPr>
                <w:sz w:val="21"/>
              </w:rPr>
            </w:pPr>
            <w:r>
              <w:rPr>
                <w:sz w:val="21"/>
              </w:rPr>
              <w:t>达标</w:t>
            </w:r>
          </w:p>
        </w:tc>
      </w:tr>
    </w:tbl>
    <w:p w14:paraId="01E75BE7">
      <w:pPr>
        <w:spacing w:after="0"/>
        <w:rPr>
          <w:sz w:val="21"/>
        </w:rPr>
        <w:sectPr>
          <w:pgSz w:w="16840" w:h="11910" w:orient="landscape"/>
          <w:pgMar w:top="1100" w:right="1080" w:bottom="1380" w:left="1200" w:header="0" w:footer="1192" w:gutter="0"/>
          <w:cols w:space="720" w:num="1"/>
        </w:sectPr>
      </w:pPr>
    </w:p>
    <w:p w14:paraId="22EBAFEA">
      <w:pPr>
        <w:pStyle w:val="10"/>
        <w:spacing w:before="8"/>
        <w:rPr>
          <w:b/>
          <w:sz w:val="5"/>
        </w:rPr>
      </w:pP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21B9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6DC8362">
            <w:pPr>
              <w:pStyle w:val="17"/>
              <w:jc w:val="left"/>
              <w:rPr>
                <w:rFonts w:ascii="Times New Roman"/>
                <w:sz w:val="20"/>
              </w:rPr>
            </w:pPr>
          </w:p>
        </w:tc>
        <w:tc>
          <w:tcPr>
            <w:tcW w:w="1265" w:type="dxa"/>
          </w:tcPr>
          <w:p w14:paraId="5E6C9B86">
            <w:pPr>
              <w:pStyle w:val="17"/>
              <w:spacing w:before="20"/>
              <w:ind w:left="189" w:right="183"/>
              <w:rPr>
                <w:sz w:val="21"/>
              </w:rPr>
            </w:pPr>
            <w:r>
              <w:rPr>
                <w:sz w:val="21"/>
              </w:rPr>
              <w:t>小学</w:t>
            </w:r>
          </w:p>
        </w:tc>
        <w:tc>
          <w:tcPr>
            <w:tcW w:w="771" w:type="dxa"/>
          </w:tcPr>
          <w:p w14:paraId="613C2635">
            <w:pPr>
              <w:pStyle w:val="17"/>
              <w:jc w:val="left"/>
              <w:rPr>
                <w:rFonts w:ascii="Times New Roman"/>
                <w:sz w:val="20"/>
              </w:rPr>
            </w:pPr>
          </w:p>
        </w:tc>
        <w:tc>
          <w:tcPr>
            <w:tcW w:w="772" w:type="dxa"/>
          </w:tcPr>
          <w:p w14:paraId="5DE858A9">
            <w:pPr>
              <w:pStyle w:val="17"/>
              <w:jc w:val="left"/>
              <w:rPr>
                <w:rFonts w:ascii="Times New Roman"/>
                <w:sz w:val="20"/>
              </w:rPr>
            </w:pPr>
          </w:p>
        </w:tc>
        <w:tc>
          <w:tcPr>
            <w:tcW w:w="921" w:type="dxa"/>
          </w:tcPr>
          <w:p w14:paraId="07E4F278">
            <w:pPr>
              <w:pStyle w:val="17"/>
              <w:jc w:val="left"/>
              <w:rPr>
                <w:rFonts w:ascii="Times New Roman"/>
                <w:sz w:val="20"/>
              </w:rPr>
            </w:pPr>
          </w:p>
        </w:tc>
        <w:tc>
          <w:tcPr>
            <w:tcW w:w="1035" w:type="dxa"/>
          </w:tcPr>
          <w:p w14:paraId="6FE0F8C6">
            <w:pPr>
              <w:pStyle w:val="17"/>
              <w:jc w:val="left"/>
              <w:rPr>
                <w:rFonts w:ascii="Times New Roman"/>
                <w:sz w:val="20"/>
              </w:rPr>
            </w:pPr>
          </w:p>
        </w:tc>
        <w:tc>
          <w:tcPr>
            <w:tcW w:w="1259" w:type="dxa"/>
          </w:tcPr>
          <w:p w14:paraId="3CCB5DC9">
            <w:pPr>
              <w:pStyle w:val="17"/>
              <w:jc w:val="left"/>
              <w:rPr>
                <w:rFonts w:ascii="Times New Roman"/>
                <w:sz w:val="20"/>
              </w:rPr>
            </w:pPr>
          </w:p>
        </w:tc>
        <w:tc>
          <w:tcPr>
            <w:tcW w:w="1317" w:type="dxa"/>
          </w:tcPr>
          <w:p w14:paraId="4383E4BA">
            <w:pPr>
              <w:pStyle w:val="17"/>
              <w:jc w:val="left"/>
              <w:rPr>
                <w:rFonts w:ascii="Times New Roman"/>
                <w:sz w:val="20"/>
              </w:rPr>
            </w:pPr>
          </w:p>
        </w:tc>
        <w:tc>
          <w:tcPr>
            <w:tcW w:w="1230" w:type="dxa"/>
          </w:tcPr>
          <w:p w14:paraId="476A7FA9">
            <w:pPr>
              <w:pStyle w:val="17"/>
              <w:jc w:val="left"/>
              <w:rPr>
                <w:rFonts w:ascii="Times New Roman"/>
                <w:sz w:val="20"/>
              </w:rPr>
            </w:pPr>
          </w:p>
        </w:tc>
        <w:tc>
          <w:tcPr>
            <w:tcW w:w="1725" w:type="dxa"/>
          </w:tcPr>
          <w:p w14:paraId="54D42279">
            <w:pPr>
              <w:pStyle w:val="17"/>
              <w:jc w:val="left"/>
              <w:rPr>
                <w:rFonts w:ascii="Times New Roman"/>
                <w:sz w:val="20"/>
              </w:rPr>
            </w:pPr>
          </w:p>
        </w:tc>
        <w:tc>
          <w:tcPr>
            <w:tcW w:w="1230" w:type="dxa"/>
          </w:tcPr>
          <w:p w14:paraId="6E99F81F">
            <w:pPr>
              <w:pStyle w:val="17"/>
              <w:jc w:val="left"/>
              <w:rPr>
                <w:rFonts w:ascii="Times New Roman"/>
                <w:sz w:val="20"/>
              </w:rPr>
            </w:pPr>
          </w:p>
        </w:tc>
        <w:tc>
          <w:tcPr>
            <w:tcW w:w="1517" w:type="dxa"/>
          </w:tcPr>
          <w:p w14:paraId="4D274BB6">
            <w:pPr>
              <w:pStyle w:val="17"/>
              <w:jc w:val="left"/>
              <w:rPr>
                <w:rFonts w:ascii="Times New Roman"/>
                <w:sz w:val="20"/>
              </w:rPr>
            </w:pPr>
          </w:p>
        </w:tc>
        <w:tc>
          <w:tcPr>
            <w:tcW w:w="712" w:type="dxa"/>
            <w:tcBorders>
              <w:right w:val="nil"/>
            </w:tcBorders>
          </w:tcPr>
          <w:p w14:paraId="115DFB46">
            <w:pPr>
              <w:pStyle w:val="17"/>
              <w:jc w:val="left"/>
              <w:rPr>
                <w:rFonts w:ascii="Times New Roman"/>
                <w:sz w:val="20"/>
              </w:rPr>
            </w:pPr>
          </w:p>
        </w:tc>
      </w:tr>
      <w:tr w14:paraId="4E791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4068A43">
            <w:pPr>
              <w:pStyle w:val="17"/>
              <w:jc w:val="left"/>
              <w:rPr>
                <w:rFonts w:ascii="Times New Roman"/>
                <w:sz w:val="20"/>
              </w:rPr>
            </w:pPr>
          </w:p>
        </w:tc>
        <w:tc>
          <w:tcPr>
            <w:tcW w:w="1265" w:type="dxa"/>
          </w:tcPr>
          <w:p w14:paraId="0637FC00">
            <w:pPr>
              <w:pStyle w:val="17"/>
              <w:jc w:val="left"/>
              <w:rPr>
                <w:rFonts w:ascii="Times New Roman"/>
                <w:sz w:val="20"/>
              </w:rPr>
            </w:pPr>
          </w:p>
        </w:tc>
        <w:tc>
          <w:tcPr>
            <w:tcW w:w="771" w:type="dxa"/>
          </w:tcPr>
          <w:p w14:paraId="0002915E">
            <w:pPr>
              <w:pStyle w:val="17"/>
              <w:jc w:val="left"/>
              <w:rPr>
                <w:rFonts w:ascii="Times New Roman"/>
                <w:sz w:val="20"/>
              </w:rPr>
            </w:pPr>
          </w:p>
        </w:tc>
        <w:tc>
          <w:tcPr>
            <w:tcW w:w="772" w:type="dxa"/>
          </w:tcPr>
          <w:p w14:paraId="5C5B9D46">
            <w:pPr>
              <w:pStyle w:val="17"/>
              <w:jc w:val="left"/>
              <w:rPr>
                <w:rFonts w:ascii="Times New Roman"/>
                <w:sz w:val="20"/>
              </w:rPr>
            </w:pPr>
          </w:p>
        </w:tc>
        <w:tc>
          <w:tcPr>
            <w:tcW w:w="921" w:type="dxa"/>
          </w:tcPr>
          <w:p w14:paraId="0781EC7D">
            <w:pPr>
              <w:pStyle w:val="17"/>
              <w:jc w:val="left"/>
              <w:rPr>
                <w:rFonts w:ascii="Times New Roman"/>
                <w:sz w:val="20"/>
              </w:rPr>
            </w:pPr>
          </w:p>
        </w:tc>
        <w:tc>
          <w:tcPr>
            <w:tcW w:w="1035" w:type="dxa"/>
          </w:tcPr>
          <w:p w14:paraId="14981706">
            <w:pPr>
              <w:pStyle w:val="17"/>
              <w:spacing w:before="20"/>
              <w:ind w:left="201"/>
              <w:jc w:val="left"/>
              <w:rPr>
                <w:sz w:val="21"/>
              </w:rPr>
            </w:pPr>
            <w:r>
              <w:rPr>
                <w:sz w:val="21"/>
              </w:rPr>
              <w:t>日均值</w:t>
            </w:r>
          </w:p>
        </w:tc>
        <w:tc>
          <w:tcPr>
            <w:tcW w:w="1259" w:type="dxa"/>
          </w:tcPr>
          <w:p w14:paraId="3E050A33">
            <w:pPr>
              <w:pStyle w:val="17"/>
              <w:spacing w:before="34"/>
              <w:ind w:left="241"/>
              <w:jc w:val="left"/>
              <w:rPr>
                <w:rFonts w:ascii="Times New Roman"/>
                <w:sz w:val="21"/>
              </w:rPr>
            </w:pPr>
            <w:r>
              <w:rPr>
                <w:rFonts w:ascii="Times New Roman"/>
                <w:sz w:val="21"/>
              </w:rPr>
              <w:t>1.76E-01</w:t>
            </w:r>
          </w:p>
        </w:tc>
        <w:tc>
          <w:tcPr>
            <w:tcW w:w="1317" w:type="dxa"/>
          </w:tcPr>
          <w:p w14:paraId="1CFD86FC">
            <w:pPr>
              <w:pStyle w:val="17"/>
              <w:spacing w:before="34"/>
              <w:ind w:left="108" w:right="98"/>
              <w:rPr>
                <w:rFonts w:ascii="Times New Roman"/>
                <w:sz w:val="21"/>
              </w:rPr>
            </w:pPr>
            <w:r>
              <w:rPr>
                <w:rFonts w:ascii="Times New Roman"/>
                <w:sz w:val="21"/>
              </w:rPr>
              <w:t>231223</w:t>
            </w:r>
          </w:p>
        </w:tc>
        <w:tc>
          <w:tcPr>
            <w:tcW w:w="1230" w:type="dxa"/>
          </w:tcPr>
          <w:p w14:paraId="168978FF">
            <w:pPr>
              <w:pStyle w:val="17"/>
              <w:spacing w:before="34"/>
              <w:ind w:left="175" w:right="166"/>
              <w:rPr>
                <w:rFonts w:ascii="Times New Roman"/>
                <w:sz w:val="21"/>
              </w:rPr>
            </w:pPr>
            <w:r>
              <w:rPr>
                <w:rFonts w:ascii="Times New Roman"/>
                <w:sz w:val="21"/>
              </w:rPr>
              <w:t>0.00E+00</w:t>
            </w:r>
          </w:p>
        </w:tc>
        <w:tc>
          <w:tcPr>
            <w:tcW w:w="1725" w:type="dxa"/>
          </w:tcPr>
          <w:p w14:paraId="1AA516B4">
            <w:pPr>
              <w:pStyle w:val="17"/>
              <w:spacing w:before="34"/>
              <w:ind w:left="417" w:right="413"/>
              <w:rPr>
                <w:rFonts w:ascii="Times New Roman"/>
                <w:sz w:val="21"/>
              </w:rPr>
            </w:pPr>
            <w:r>
              <w:rPr>
                <w:rFonts w:ascii="Times New Roman"/>
                <w:sz w:val="21"/>
              </w:rPr>
              <w:t>1.76E-01</w:t>
            </w:r>
          </w:p>
        </w:tc>
        <w:tc>
          <w:tcPr>
            <w:tcW w:w="1230" w:type="dxa"/>
          </w:tcPr>
          <w:p w14:paraId="3361F181">
            <w:pPr>
              <w:pStyle w:val="17"/>
              <w:spacing w:before="34"/>
              <w:ind w:left="174" w:right="166"/>
              <w:rPr>
                <w:rFonts w:ascii="Times New Roman"/>
                <w:sz w:val="21"/>
              </w:rPr>
            </w:pPr>
            <w:r>
              <w:rPr>
                <w:rFonts w:ascii="Times New Roman"/>
                <w:sz w:val="21"/>
              </w:rPr>
              <w:t>3.00E+02</w:t>
            </w:r>
          </w:p>
        </w:tc>
        <w:tc>
          <w:tcPr>
            <w:tcW w:w="1517" w:type="dxa"/>
          </w:tcPr>
          <w:p w14:paraId="2EA01DFB">
            <w:pPr>
              <w:pStyle w:val="17"/>
              <w:spacing w:before="34"/>
              <w:ind w:left="499" w:right="492"/>
              <w:rPr>
                <w:rFonts w:ascii="Times New Roman"/>
                <w:sz w:val="21"/>
              </w:rPr>
            </w:pPr>
            <w:r>
              <w:rPr>
                <w:rFonts w:ascii="Times New Roman"/>
                <w:sz w:val="21"/>
              </w:rPr>
              <w:t>0.06</w:t>
            </w:r>
          </w:p>
        </w:tc>
        <w:tc>
          <w:tcPr>
            <w:tcW w:w="712" w:type="dxa"/>
            <w:tcBorders>
              <w:right w:val="nil"/>
            </w:tcBorders>
          </w:tcPr>
          <w:p w14:paraId="639F68FE">
            <w:pPr>
              <w:pStyle w:val="17"/>
              <w:spacing w:before="20"/>
              <w:ind w:left="122" w:right="121"/>
              <w:rPr>
                <w:sz w:val="21"/>
              </w:rPr>
            </w:pPr>
            <w:r>
              <w:rPr>
                <w:sz w:val="21"/>
              </w:rPr>
              <w:t>达标</w:t>
            </w:r>
          </w:p>
        </w:tc>
      </w:tr>
      <w:tr w14:paraId="0526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3A4602D">
            <w:pPr>
              <w:pStyle w:val="17"/>
              <w:jc w:val="left"/>
              <w:rPr>
                <w:rFonts w:ascii="Times New Roman"/>
                <w:sz w:val="20"/>
              </w:rPr>
            </w:pPr>
          </w:p>
        </w:tc>
        <w:tc>
          <w:tcPr>
            <w:tcW w:w="1265" w:type="dxa"/>
          </w:tcPr>
          <w:p w14:paraId="5EF11F02">
            <w:pPr>
              <w:pStyle w:val="17"/>
              <w:jc w:val="left"/>
              <w:rPr>
                <w:rFonts w:ascii="Times New Roman"/>
                <w:sz w:val="20"/>
              </w:rPr>
            </w:pPr>
          </w:p>
        </w:tc>
        <w:tc>
          <w:tcPr>
            <w:tcW w:w="771" w:type="dxa"/>
          </w:tcPr>
          <w:p w14:paraId="3A7C8C63">
            <w:pPr>
              <w:pStyle w:val="17"/>
              <w:jc w:val="left"/>
              <w:rPr>
                <w:rFonts w:ascii="Times New Roman"/>
                <w:sz w:val="20"/>
              </w:rPr>
            </w:pPr>
          </w:p>
        </w:tc>
        <w:tc>
          <w:tcPr>
            <w:tcW w:w="772" w:type="dxa"/>
          </w:tcPr>
          <w:p w14:paraId="0F23370F">
            <w:pPr>
              <w:pStyle w:val="17"/>
              <w:jc w:val="left"/>
              <w:rPr>
                <w:rFonts w:ascii="Times New Roman"/>
                <w:sz w:val="20"/>
              </w:rPr>
            </w:pPr>
          </w:p>
        </w:tc>
        <w:tc>
          <w:tcPr>
            <w:tcW w:w="921" w:type="dxa"/>
          </w:tcPr>
          <w:p w14:paraId="53DF613C">
            <w:pPr>
              <w:pStyle w:val="17"/>
              <w:jc w:val="left"/>
              <w:rPr>
                <w:rFonts w:ascii="Times New Roman"/>
                <w:sz w:val="20"/>
              </w:rPr>
            </w:pPr>
          </w:p>
        </w:tc>
        <w:tc>
          <w:tcPr>
            <w:tcW w:w="1035" w:type="dxa"/>
          </w:tcPr>
          <w:p w14:paraId="017F0C45">
            <w:pPr>
              <w:pStyle w:val="17"/>
              <w:spacing w:before="19"/>
              <w:ind w:left="201"/>
              <w:jc w:val="left"/>
              <w:rPr>
                <w:sz w:val="21"/>
              </w:rPr>
            </w:pPr>
            <w:r>
              <w:rPr>
                <w:sz w:val="21"/>
              </w:rPr>
              <w:t>年均值</w:t>
            </w:r>
          </w:p>
        </w:tc>
        <w:tc>
          <w:tcPr>
            <w:tcW w:w="1259" w:type="dxa"/>
          </w:tcPr>
          <w:p w14:paraId="65A40AC3">
            <w:pPr>
              <w:pStyle w:val="17"/>
              <w:spacing w:before="36"/>
              <w:ind w:left="241"/>
              <w:jc w:val="left"/>
              <w:rPr>
                <w:rFonts w:ascii="Times New Roman"/>
                <w:sz w:val="21"/>
              </w:rPr>
            </w:pPr>
            <w:r>
              <w:rPr>
                <w:rFonts w:ascii="Times New Roman"/>
                <w:sz w:val="21"/>
              </w:rPr>
              <w:t>2.05E-02</w:t>
            </w:r>
          </w:p>
        </w:tc>
        <w:tc>
          <w:tcPr>
            <w:tcW w:w="1317" w:type="dxa"/>
          </w:tcPr>
          <w:p w14:paraId="5CC35777">
            <w:pPr>
              <w:pStyle w:val="17"/>
              <w:spacing w:before="19"/>
              <w:ind w:left="107" w:right="98"/>
              <w:rPr>
                <w:sz w:val="21"/>
              </w:rPr>
            </w:pPr>
            <w:r>
              <w:rPr>
                <w:sz w:val="21"/>
              </w:rPr>
              <w:t>平均值</w:t>
            </w:r>
          </w:p>
        </w:tc>
        <w:tc>
          <w:tcPr>
            <w:tcW w:w="1230" w:type="dxa"/>
          </w:tcPr>
          <w:p w14:paraId="7FF1140C">
            <w:pPr>
              <w:pStyle w:val="17"/>
              <w:spacing w:before="36"/>
              <w:ind w:left="175" w:right="166"/>
              <w:rPr>
                <w:rFonts w:ascii="Times New Roman"/>
                <w:sz w:val="21"/>
              </w:rPr>
            </w:pPr>
            <w:r>
              <w:rPr>
                <w:rFonts w:ascii="Times New Roman"/>
                <w:sz w:val="21"/>
              </w:rPr>
              <w:t>0.00E+00</w:t>
            </w:r>
          </w:p>
        </w:tc>
        <w:tc>
          <w:tcPr>
            <w:tcW w:w="1725" w:type="dxa"/>
          </w:tcPr>
          <w:p w14:paraId="321A1148">
            <w:pPr>
              <w:pStyle w:val="17"/>
              <w:spacing w:before="36"/>
              <w:ind w:left="417" w:right="413"/>
              <w:rPr>
                <w:rFonts w:ascii="Times New Roman"/>
                <w:sz w:val="21"/>
              </w:rPr>
            </w:pPr>
            <w:r>
              <w:rPr>
                <w:rFonts w:ascii="Times New Roman"/>
                <w:sz w:val="21"/>
              </w:rPr>
              <w:t>2.05E-02</w:t>
            </w:r>
          </w:p>
        </w:tc>
        <w:tc>
          <w:tcPr>
            <w:tcW w:w="1230" w:type="dxa"/>
          </w:tcPr>
          <w:p w14:paraId="6D491C86">
            <w:pPr>
              <w:pStyle w:val="17"/>
              <w:spacing w:before="36"/>
              <w:ind w:left="174" w:right="166"/>
              <w:rPr>
                <w:rFonts w:ascii="Times New Roman"/>
                <w:sz w:val="21"/>
              </w:rPr>
            </w:pPr>
            <w:r>
              <w:rPr>
                <w:rFonts w:ascii="Times New Roman"/>
                <w:sz w:val="21"/>
              </w:rPr>
              <w:t>2.00E+02</w:t>
            </w:r>
          </w:p>
        </w:tc>
        <w:tc>
          <w:tcPr>
            <w:tcW w:w="1517" w:type="dxa"/>
          </w:tcPr>
          <w:p w14:paraId="0B434F7E">
            <w:pPr>
              <w:pStyle w:val="17"/>
              <w:spacing w:before="36"/>
              <w:ind w:left="499" w:right="492"/>
              <w:rPr>
                <w:rFonts w:ascii="Times New Roman"/>
                <w:sz w:val="21"/>
              </w:rPr>
            </w:pPr>
            <w:r>
              <w:rPr>
                <w:rFonts w:ascii="Times New Roman"/>
                <w:sz w:val="21"/>
              </w:rPr>
              <w:t>0.01</w:t>
            </w:r>
          </w:p>
        </w:tc>
        <w:tc>
          <w:tcPr>
            <w:tcW w:w="712" w:type="dxa"/>
            <w:tcBorders>
              <w:right w:val="nil"/>
            </w:tcBorders>
          </w:tcPr>
          <w:p w14:paraId="0EEF0A54">
            <w:pPr>
              <w:pStyle w:val="17"/>
              <w:spacing w:before="19"/>
              <w:ind w:left="122" w:right="121"/>
              <w:rPr>
                <w:sz w:val="21"/>
              </w:rPr>
            </w:pPr>
            <w:r>
              <w:rPr>
                <w:sz w:val="21"/>
              </w:rPr>
              <w:t>达标</w:t>
            </w:r>
          </w:p>
        </w:tc>
      </w:tr>
      <w:tr w14:paraId="559BF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509EC7AE">
            <w:pPr>
              <w:pStyle w:val="17"/>
              <w:spacing w:before="14" w:line="238" w:lineRule="exact"/>
              <w:ind w:left="11"/>
              <w:rPr>
                <w:rFonts w:ascii="Times New Roman"/>
                <w:sz w:val="21"/>
              </w:rPr>
            </w:pPr>
            <w:r>
              <w:rPr>
                <w:rFonts w:ascii="Times New Roman"/>
                <w:w w:val="99"/>
                <w:sz w:val="21"/>
              </w:rPr>
              <w:t>9</w:t>
            </w:r>
          </w:p>
        </w:tc>
        <w:tc>
          <w:tcPr>
            <w:tcW w:w="1265" w:type="dxa"/>
          </w:tcPr>
          <w:p w14:paraId="2EA89162">
            <w:pPr>
              <w:pStyle w:val="17"/>
              <w:spacing w:line="252" w:lineRule="exact"/>
              <w:ind w:left="189" w:right="183"/>
              <w:rPr>
                <w:sz w:val="21"/>
              </w:rPr>
            </w:pPr>
            <w:r>
              <w:rPr>
                <w:sz w:val="21"/>
              </w:rPr>
              <w:t>网格</w:t>
            </w:r>
          </w:p>
        </w:tc>
        <w:tc>
          <w:tcPr>
            <w:tcW w:w="771" w:type="dxa"/>
          </w:tcPr>
          <w:p w14:paraId="21C88482">
            <w:pPr>
              <w:pStyle w:val="17"/>
              <w:spacing w:before="14" w:line="238" w:lineRule="exact"/>
              <w:ind w:left="9"/>
              <w:rPr>
                <w:rFonts w:ascii="Times New Roman"/>
                <w:sz w:val="21"/>
              </w:rPr>
            </w:pPr>
            <w:r>
              <w:rPr>
                <w:rFonts w:ascii="Times New Roman"/>
                <w:w w:val="99"/>
                <w:sz w:val="21"/>
              </w:rPr>
              <w:t>0</w:t>
            </w:r>
          </w:p>
        </w:tc>
        <w:tc>
          <w:tcPr>
            <w:tcW w:w="772" w:type="dxa"/>
          </w:tcPr>
          <w:p w14:paraId="687EE7AE">
            <w:pPr>
              <w:pStyle w:val="17"/>
              <w:spacing w:before="14" w:line="238" w:lineRule="exact"/>
              <w:ind w:left="151" w:right="145"/>
              <w:rPr>
                <w:rFonts w:ascii="Times New Roman"/>
                <w:sz w:val="21"/>
              </w:rPr>
            </w:pPr>
            <w:r>
              <w:rPr>
                <w:rFonts w:ascii="Times New Roman"/>
                <w:sz w:val="21"/>
              </w:rPr>
              <w:t>100</w:t>
            </w:r>
          </w:p>
        </w:tc>
        <w:tc>
          <w:tcPr>
            <w:tcW w:w="921" w:type="dxa"/>
          </w:tcPr>
          <w:p w14:paraId="0FC15F3D">
            <w:pPr>
              <w:pStyle w:val="17"/>
              <w:spacing w:before="14" w:line="238" w:lineRule="exact"/>
              <w:ind w:left="203" w:right="195"/>
              <w:rPr>
                <w:rFonts w:ascii="Times New Roman"/>
                <w:sz w:val="21"/>
              </w:rPr>
            </w:pPr>
            <w:r>
              <w:rPr>
                <w:rFonts w:ascii="Times New Roman"/>
                <w:sz w:val="21"/>
              </w:rPr>
              <w:t>68.90</w:t>
            </w:r>
          </w:p>
        </w:tc>
        <w:tc>
          <w:tcPr>
            <w:tcW w:w="1035" w:type="dxa"/>
          </w:tcPr>
          <w:p w14:paraId="3D38E798">
            <w:pPr>
              <w:pStyle w:val="17"/>
              <w:spacing w:line="252" w:lineRule="exact"/>
              <w:ind w:left="201"/>
              <w:jc w:val="left"/>
              <w:rPr>
                <w:sz w:val="21"/>
              </w:rPr>
            </w:pPr>
            <w:r>
              <w:rPr>
                <w:sz w:val="21"/>
              </w:rPr>
              <w:t>小时值</w:t>
            </w:r>
          </w:p>
        </w:tc>
        <w:tc>
          <w:tcPr>
            <w:tcW w:w="1259" w:type="dxa"/>
          </w:tcPr>
          <w:p w14:paraId="5FBCE1D9">
            <w:pPr>
              <w:pStyle w:val="17"/>
              <w:spacing w:before="14" w:line="238" w:lineRule="exact"/>
              <w:ind w:left="217"/>
              <w:jc w:val="left"/>
              <w:rPr>
                <w:rFonts w:ascii="Times New Roman"/>
                <w:sz w:val="21"/>
              </w:rPr>
            </w:pPr>
            <w:r>
              <w:rPr>
                <w:rFonts w:ascii="Times New Roman"/>
                <w:sz w:val="21"/>
              </w:rPr>
              <w:t>5.64E+01</w:t>
            </w:r>
          </w:p>
        </w:tc>
        <w:tc>
          <w:tcPr>
            <w:tcW w:w="1317" w:type="dxa"/>
          </w:tcPr>
          <w:p w14:paraId="2BF3DC6E">
            <w:pPr>
              <w:pStyle w:val="17"/>
              <w:spacing w:before="14" w:line="238" w:lineRule="exact"/>
              <w:ind w:left="108" w:right="98"/>
              <w:rPr>
                <w:rFonts w:ascii="Times New Roman"/>
                <w:sz w:val="21"/>
              </w:rPr>
            </w:pPr>
            <w:r>
              <w:rPr>
                <w:rFonts w:ascii="Times New Roman"/>
                <w:sz w:val="21"/>
              </w:rPr>
              <w:t>23032803</w:t>
            </w:r>
          </w:p>
        </w:tc>
        <w:tc>
          <w:tcPr>
            <w:tcW w:w="1230" w:type="dxa"/>
          </w:tcPr>
          <w:p w14:paraId="01BFDE0A">
            <w:pPr>
              <w:pStyle w:val="17"/>
              <w:spacing w:before="14" w:line="238" w:lineRule="exact"/>
              <w:ind w:left="175" w:right="166"/>
              <w:rPr>
                <w:rFonts w:ascii="Times New Roman"/>
                <w:sz w:val="21"/>
              </w:rPr>
            </w:pPr>
            <w:r>
              <w:rPr>
                <w:rFonts w:ascii="Times New Roman"/>
                <w:sz w:val="21"/>
              </w:rPr>
              <w:t>0.00E+00</w:t>
            </w:r>
          </w:p>
        </w:tc>
        <w:tc>
          <w:tcPr>
            <w:tcW w:w="1725" w:type="dxa"/>
          </w:tcPr>
          <w:p w14:paraId="386F13AA">
            <w:pPr>
              <w:pStyle w:val="17"/>
              <w:spacing w:before="14" w:line="238" w:lineRule="exact"/>
              <w:ind w:left="419" w:right="413"/>
              <w:rPr>
                <w:rFonts w:ascii="Times New Roman"/>
                <w:sz w:val="21"/>
              </w:rPr>
            </w:pPr>
            <w:r>
              <w:rPr>
                <w:rFonts w:ascii="Times New Roman"/>
                <w:sz w:val="21"/>
              </w:rPr>
              <w:t>5.64E+01</w:t>
            </w:r>
          </w:p>
        </w:tc>
        <w:tc>
          <w:tcPr>
            <w:tcW w:w="1230" w:type="dxa"/>
          </w:tcPr>
          <w:p w14:paraId="0F069139">
            <w:pPr>
              <w:pStyle w:val="17"/>
              <w:spacing w:before="14" w:line="238" w:lineRule="exact"/>
              <w:ind w:left="174" w:right="166"/>
              <w:rPr>
                <w:rFonts w:ascii="Times New Roman"/>
                <w:sz w:val="21"/>
              </w:rPr>
            </w:pPr>
            <w:r>
              <w:rPr>
                <w:rFonts w:ascii="Times New Roman"/>
                <w:sz w:val="21"/>
              </w:rPr>
              <w:t>9.00E+02</w:t>
            </w:r>
          </w:p>
        </w:tc>
        <w:tc>
          <w:tcPr>
            <w:tcW w:w="1517" w:type="dxa"/>
          </w:tcPr>
          <w:p w14:paraId="03838658">
            <w:pPr>
              <w:pStyle w:val="17"/>
              <w:spacing w:before="14" w:line="238" w:lineRule="exact"/>
              <w:ind w:left="499" w:right="492"/>
              <w:rPr>
                <w:rFonts w:ascii="Times New Roman"/>
                <w:sz w:val="21"/>
              </w:rPr>
            </w:pPr>
            <w:r>
              <w:rPr>
                <w:rFonts w:ascii="Times New Roman"/>
                <w:sz w:val="21"/>
              </w:rPr>
              <w:t>6.27</w:t>
            </w:r>
          </w:p>
        </w:tc>
        <w:tc>
          <w:tcPr>
            <w:tcW w:w="712" w:type="dxa"/>
            <w:tcBorders>
              <w:right w:val="nil"/>
            </w:tcBorders>
          </w:tcPr>
          <w:p w14:paraId="108DF34F">
            <w:pPr>
              <w:pStyle w:val="17"/>
              <w:spacing w:line="252" w:lineRule="exact"/>
              <w:ind w:left="122" w:right="121"/>
              <w:rPr>
                <w:sz w:val="21"/>
              </w:rPr>
            </w:pPr>
            <w:r>
              <w:rPr>
                <w:sz w:val="21"/>
              </w:rPr>
              <w:t>达标</w:t>
            </w:r>
          </w:p>
        </w:tc>
      </w:tr>
      <w:tr w14:paraId="5CF0C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4EA3206E">
            <w:pPr>
              <w:pStyle w:val="17"/>
              <w:jc w:val="left"/>
              <w:rPr>
                <w:rFonts w:ascii="Times New Roman"/>
                <w:sz w:val="20"/>
              </w:rPr>
            </w:pPr>
          </w:p>
        </w:tc>
        <w:tc>
          <w:tcPr>
            <w:tcW w:w="1265" w:type="dxa"/>
          </w:tcPr>
          <w:p w14:paraId="5DB6AB9E">
            <w:pPr>
              <w:pStyle w:val="17"/>
              <w:jc w:val="left"/>
              <w:rPr>
                <w:rFonts w:ascii="Times New Roman"/>
                <w:sz w:val="20"/>
              </w:rPr>
            </w:pPr>
          </w:p>
        </w:tc>
        <w:tc>
          <w:tcPr>
            <w:tcW w:w="771" w:type="dxa"/>
          </w:tcPr>
          <w:p w14:paraId="75D07CF1">
            <w:pPr>
              <w:pStyle w:val="17"/>
              <w:spacing w:before="15" w:line="238" w:lineRule="exact"/>
              <w:ind w:left="120" w:right="111"/>
              <w:rPr>
                <w:rFonts w:ascii="Times New Roman"/>
                <w:sz w:val="21"/>
              </w:rPr>
            </w:pPr>
            <w:r>
              <w:rPr>
                <w:rFonts w:ascii="Times New Roman"/>
                <w:sz w:val="21"/>
              </w:rPr>
              <w:t>50</w:t>
            </w:r>
          </w:p>
        </w:tc>
        <w:tc>
          <w:tcPr>
            <w:tcW w:w="772" w:type="dxa"/>
          </w:tcPr>
          <w:p w14:paraId="3DF797D5">
            <w:pPr>
              <w:pStyle w:val="17"/>
              <w:spacing w:before="15" w:line="238" w:lineRule="exact"/>
              <w:ind w:left="6"/>
              <w:rPr>
                <w:rFonts w:ascii="Times New Roman"/>
                <w:sz w:val="21"/>
              </w:rPr>
            </w:pPr>
            <w:r>
              <w:rPr>
                <w:rFonts w:ascii="Times New Roman"/>
                <w:w w:val="99"/>
                <w:sz w:val="21"/>
              </w:rPr>
              <w:t>0</w:t>
            </w:r>
          </w:p>
        </w:tc>
        <w:tc>
          <w:tcPr>
            <w:tcW w:w="921" w:type="dxa"/>
          </w:tcPr>
          <w:p w14:paraId="4E9A522C">
            <w:pPr>
              <w:pStyle w:val="17"/>
              <w:spacing w:before="15" w:line="238" w:lineRule="exact"/>
              <w:ind w:left="203" w:right="195"/>
              <w:rPr>
                <w:rFonts w:ascii="Times New Roman"/>
                <w:sz w:val="21"/>
              </w:rPr>
            </w:pPr>
            <w:r>
              <w:rPr>
                <w:rFonts w:ascii="Times New Roman"/>
                <w:sz w:val="21"/>
              </w:rPr>
              <w:t>74.00</w:t>
            </w:r>
          </w:p>
        </w:tc>
        <w:tc>
          <w:tcPr>
            <w:tcW w:w="1035" w:type="dxa"/>
          </w:tcPr>
          <w:p w14:paraId="79EBB35F">
            <w:pPr>
              <w:pStyle w:val="17"/>
              <w:spacing w:before="1" w:line="252" w:lineRule="exact"/>
              <w:ind w:left="201"/>
              <w:jc w:val="left"/>
              <w:rPr>
                <w:sz w:val="21"/>
              </w:rPr>
            </w:pPr>
            <w:r>
              <w:rPr>
                <w:sz w:val="21"/>
              </w:rPr>
              <w:t>日均值</w:t>
            </w:r>
          </w:p>
        </w:tc>
        <w:tc>
          <w:tcPr>
            <w:tcW w:w="1259" w:type="dxa"/>
          </w:tcPr>
          <w:p w14:paraId="5826E298">
            <w:pPr>
              <w:pStyle w:val="17"/>
              <w:spacing w:before="15" w:line="238" w:lineRule="exact"/>
              <w:ind w:left="217"/>
              <w:jc w:val="left"/>
              <w:rPr>
                <w:rFonts w:ascii="Times New Roman"/>
                <w:sz w:val="21"/>
              </w:rPr>
            </w:pPr>
            <w:r>
              <w:rPr>
                <w:rFonts w:ascii="Times New Roman"/>
                <w:sz w:val="21"/>
              </w:rPr>
              <w:t>4.33E+00</w:t>
            </w:r>
          </w:p>
        </w:tc>
        <w:tc>
          <w:tcPr>
            <w:tcW w:w="1317" w:type="dxa"/>
          </w:tcPr>
          <w:p w14:paraId="79775361">
            <w:pPr>
              <w:pStyle w:val="17"/>
              <w:spacing w:before="15" w:line="238" w:lineRule="exact"/>
              <w:ind w:left="108" w:right="98"/>
              <w:rPr>
                <w:rFonts w:ascii="Times New Roman"/>
                <w:sz w:val="21"/>
              </w:rPr>
            </w:pPr>
            <w:r>
              <w:rPr>
                <w:rFonts w:ascii="Times New Roman"/>
                <w:sz w:val="21"/>
              </w:rPr>
              <w:t>231203</w:t>
            </w:r>
          </w:p>
        </w:tc>
        <w:tc>
          <w:tcPr>
            <w:tcW w:w="1230" w:type="dxa"/>
          </w:tcPr>
          <w:p w14:paraId="5E9A66BE">
            <w:pPr>
              <w:pStyle w:val="17"/>
              <w:spacing w:before="15" w:line="238" w:lineRule="exact"/>
              <w:ind w:left="175" w:right="166"/>
              <w:rPr>
                <w:rFonts w:ascii="Times New Roman"/>
                <w:sz w:val="21"/>
              </w:rPr>
            </w:pPr>
            <w:r>
              <w:rPr>
                <w:rFonts w:ascii="Times New Roman"/>
                <w:sz w:val="21"/>
              </w:rPr>
              <w:t>0.00E+00</w:t>
            </w:r>
          </w:p>
        </w:tc>
        <w:tc>
          <w:tcPr>
            <w:tcW w:w="1725" w:type="dxa"/>
          </w:tcPr>
          <w:p w14:paraId="121A1004">
            <w:pPr>
              <w:pStyle w:val="17"/>
              <w:spacing w:before="15" w:line="238" w:lineRule="exact"/>
              <w:ind w:left="419" w:right="413"/>
              <w:rPr>
                <w:rFonts w:ascii="Times New Roman"/>
                <w:sz w:val="21"/>
              </w:rPr>
            </w:pPr>
            <w:r>
              <w:rPr>
                <w:rFonts w:ascii="Times New Roman"/>
                <w:sz w:val="21"/>
              </w:rPr>
              <w:t>4.33E+00</w:t>
            </w:r>
          </w:p>
        </w:tc>
        <w:tc>
          <w:tcPr>
            <w:tcW w:w="1230" w:type="dxa"/>
          </w:tcPr>
          <w:p w14:paraId="18F1AD14">
            <w:pPr>
              <w:pStyle w:val="17"/>
              <w:spacing w:before="15" w:line="238" w:lineRule="exact"/>
              <w:ind w:left="174" w:right="166"/>
              <w:rPr>
                <w:rFonts w:ascii="Times New Roman"/>
                <w:sz w:val="21"/>
              </w:rPr>
            </w:pPr>
            <w:r>
              <w:rPr>
                <w:rFonts w:ascii="Times New Roman"/>
                <w:sz w:val="21"/>
              </w:rPr>
              <w:t>3.00E+02</w:t>
            </w:r>
          </w:p>
        </w:tc>
        <w:tc>
          <w:tcPr>
            <w:tcW w:w="1517" w:type="dxa"/>
          </w:tcPr>
          <w:p w14:paraId="4F6E0906">
            <w:pPr>
              <w:pStyle w:val="17"/>
              <w:spacing w:before="15" w:line="238" w:lineRule="exact"/>
              <w:ind w:left="499" w:right="492"/>
              <w:rPr>
                <w:rFonts w:ascii="Times New Roman"/>
                <w:sz w:val="21"/>
              </w:rPr>
            </w:pPr>
            <w:r>
              <w:rPr>
                <w:rFonts w:ascii="Times New Roman"/>
                <w:sz w:val="21"/>
              </w:rPr>
              <w:t>1.44</w:t>
            </w:r>
          </w:p>
        </w:tc>
        <w:tc>
          <w:tcPr>
            <w:tcW w:w="712" w:type="dxa"/>
            <w:tcBorders>
              <w:right w:val="nil"/>
            </w:tcBorders>
          </w:tcPr>
          <w:p w14:paraId="62A1C431">
            <w:pPr>
              <w:pStyle w:val="17"/>
              <w:spacing w:before="1" w:line="252" w:lineRule="exact"/>
              <w:ind w:left="122" w:right="121"/>
              <w:rPr>
                <w:sz w:val="21"/>
              </w:rPr>
            </w:pPr>
            <w:r>
              <w:rPr>
                <w:sz w:val="21"/>
              </w:rPr>
              <w:t>达标</w:t>
            </w:r>
          </w:p>
        </w:tc>
      </w:tr>
      <w:tr w14:paraId="7DFC3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474C0295">
            <w:pPr>
              <w:pStyle w:val="17"/>
              <w:jc w:val="left"/>
              <w:rPr>
                <w:rFonts w:ascii="Times New Roman"/>
                <w:sz w:val="20"/>
              </w:rPr>
            </w:pPr>
          </w:p>
        </w:tc>
        <w:tc>
          <w:tcPr>
            <w:tcW w:w="1265" w:type="dxa"/>
          </w:tcPr>
          <w:p w14:paraId="5FC88A90">
            <w:pPr>
              <w:pStyle w:val="17"/>
              <w:jc w:val="left"/>
              <w:rPr>
                <w:rFonts w:ascii="Times New Roman"/>
                <w:sz w:val="20"/>
              </w:rPr>
            </w:pPr>
          </w:p>
        </w:tc>
        <w:tc>
          <w:tcPr>
            <w:tcW w:w="771" w:type="dxa"/>
          </w:tcPr>
          <w:p w14:paraId="0719DA18">
            <w:pPr>
              <w:pStyle w:val="17"/>
              <w:spacing w:before="13" w:line="239" w:lineRule="exact"/>
              <w:ind w:left="9"/>
              <w:rPr>
                <w:rFonts w:ascii="Times New Roman"/>
                <w:sz w:val="21"/>
              </w:rPr>
            </w:pPr>
            <w:r>
              <w:rPr>
                <w:rFonts w:ascii="Times New Roman"/>
                <w:w w:val="99"/>
                <w:sz w:val="21"/>
              </w:rPr>
              <w:t>0</w:t>
            </w:r>
          </w:p>
        </w:tc>
        <w:tc>
          <w:tcPr>
            <w:tcW w:w="772" w:type="dxa"/>
          </w:tcPr>
          <w:p w14:paraId="3B50DDA0">
            <w:pPr>
              <w:pStyle w:val="17"/>
              <w:spacing w:before="13" w:line="239" w:lineRule="exact"/>
              <w:ind w:left="154" w:right="145"/>
              <w:rPr>
                <w:rFonts w:ascii="Times New Roman"/>
                <w:sz w:val="21"/>
              </w:rPr>
            </w:pPr>
            <w:r>
              <w:rPr>
                <w:rFonts w:ascii="Times New Roman"/>
                <w:sz w:val="21"/>
              </w:rPr>
              <w:t>-50</w:t>
            </w:r>
          </w:p>
        </w:tc>
        <w:tc>
          <w:tcPr>
            <w:tcW w:w="921" w:type="dxa"/>
          </w:tcPr>
          <w:p w14:paraId="167D7C07">
            <w:pPr>
              <w:pStyle w:val="17"/>
              <w:spacing w:before="13" w:line="239" w:lineRule="exact"/>
              <w:ind w:left="203" w:right="195"/>
              <w:rPr>
                <w:rFonts w:ascii="Times New Roman"/>
                <w:sz w:val="21"/>
              </w:rPr>
            </w:pPr>
            <w:r>
              <w:rPr>
                <w:rFonts w:ascii="Times New Roman"/>
                <w:sz w:val="21"/>
              </w:rPr>
              <w:t>74.00</w:t>
            </w:r>
          </w:p>
        </w:tc>
        <w:tc>
          <w:tcPr>
            <w:tcW w:w="1035" w:type="dxa"/>
          </w:tcPr>
          <w:p w14:paraId="27969D9D">
            <w:pPr>
              <w:pStyle w:val="17"/>
              <w:spacing w:line="252" w:lineRule="exact"/>
              <w:ind w:left="201"/>
              <w:jc w:val="left"/>
              <w:rPr>
                <w:sz w:val="21"/>
              </w:rPr>
            </w:pPr>
            <w:r>
              <w:rPr>
                <w:sz w:val="21"/>
              </w:rPr>
              <w:t>年均值</w:t>
            </w:r>
          </w:p>
        </w:tc>
        <w:tc>
          <w:tcPr>
            <w:tcW w:w="1259" w:type="dxa"/>
          </w:tcPr>
          <w:p w14:paraId="51AEA512">
            <w:pPr>
              <w:pStyle w:val="17"/>
              <w:spacing w:before="13" w:line="239" w:lineRule="exact"/>
              <w:ind w:left="217"/>
              <w:jc w:val="left"/>
              <w:rPr>
                <w:rFonts w:ascii="Times New Roman"/>
                <w:sz w:val="21"/>
              </w:rPr>
            </w:pPr>
            <w:r>
              <w:rPr>
                <w:rFonts w:ascii="Times New Roman"/>
                <w:sz w:val="21"/>
              </w:rPr>
              <w:t>1.26E+00</w:t>
            </w:r>
          </w:p>
        </w:tc>
        <w:tc>
          <w:tcPr>
            <w:tcW w:w="1317" w:type="dxa"/>
          </w:tcPr>
          <w:p w14:paraId="39A47477">
            <w:pPr>
              <w:pStyle w:val="17"/>
              <w:spacing w:line="252" w:lineRule="exact"/>
              <w:ind w:left="107" w:right="98"/>
              <w:rPr>
                <w:sz w:val="21"/>
              </w:rPr>
            </w:pPr>
            <w:r>
              <w:rPr>
                <w:sz w:val="21"/>
              </w:rPr>
              <w:t>平均值</w:t>
            </w:r>
          </w:p>
        </w:tc>
        <w:tc>
          <w:tcPr>
            <w:tcW w:w="1230" w:type="dxa"/>
          </w:tcPr>
          <w:p w14:paraId="3B7B3602">
            <w:pPr>
              <w:pStyle w:val="17"/>
              <w:spacing w:before="13" w:line="239" w:lineRule="exact"/>
              <w:ind w:left="175" w:right="166"/>
              <w:rPr>
                <w:rFonts w:ascii="Times New Roman"/>
                <w:sz w:val="21"/>
              </w:rPr>
            </w:pPr>
            <w:r>
              <w:rPr>
                <w:rFonts w:ascii="Times New Roman"/>
                <w:sz w:val="21"/>
              </w:rPr>
              <w:t>0.00E+00</w:t>
            </w:r>
          </w:p>
        </w:tc>
        <w:tc>
          <w:tcPr>
            <w:tcW w:w="1725" w:type="dxa"/>
          </w:tcPr>
          <w:p w14:paraId="631E955B">
            <w:pPr>
              <w:pStyle w:val="17"/>
              <w:spacing w:before="13" w:line="239" w:lineRule="exact"/>
              <w:ind w:left="419" w:right="413"/>
              <w:rPr>
                <w:rFonts w:ascii="Times New Roman"/>
                <w:sz w:val="21"/>
              </w:rPr>
            </w:pPr>
            <w:r>
              <w:rPr>
                <w:rFonts w:ascii="Times New Roman"/>
                <w:sz w:val="21"/>
              </w:rPr>
              <w:t>1.26E+00</w:t>
            </w:r>
          </w:p>
        </w:tc>
        <w:tc>
          <w:tcPr>
            <w:tcW w:w="1230" w:type="dxa"/>
          </w:tcPr>
          <w:p w14:paraId="25E03F35">
            <w:pPr>
              <w:pStyle w:val="17"/>
              <w:spacing w:before="13" w:line="239" w:lineRule="exact"/>
              <w:ind w:left="174" w:right="166"/>
              <w:rPr>
                <w:rFonts w:ascii="Times New Roman"/>
                <w:sz w:val="21"/>
              </w:rPr>
            </w:pPr>
            <w:r>
              <w:rPr>
                <w:rFonts w:ascii="Times New Roman"/>
                <w:sz w:val="21"/>
              </w:rPr>
              <w:t>2.00E+02</w:t>
            </w:r>
          </w:p>
        </w:tc>
        <w:tc>
          <w:tcPr>
            <w:tcW w:w="1517" w:type="dxa"/>
          </w:tcPr>
          <w:p w14:paraId="38D3D6F3">
            <w:pPr>
              <w:pStyle w:val="17"/>
              <w:spacing w:before="13" w:line="239" w:lineRule="exact"/>
              <w:ind w:left="499" w:right="492"/>
              <w:rPr>
                <w:rFonts w:ascii="Times New Roman"/>
                <w:sz w:val="21"/>
              </w:rPr>
            </w:pPr>
            <w:r>
              <w:rPr>
                <w:rFonts w:ascii="Times New Roman"/>
                <w:sz w:val="21"/>
              </w:rPr>
              <w:t>0.63</w:t>
            </w:r>
          </w:p>
        </w:tc>
        <w:tc>
          <w:tcPr>
            <w:tcW w:w="712" w:type="dxa"/>
            <w:tcBorders>
              <w:right w:val="nil"/>
            </w:tcBorders>
          </w:tcPr>
          <w:p w14:paraId="07ABAA96">
            <w:pPr>
              <w:pStyle w:val="17"/>
              <w:spacing w:line="252" w:lineRule="exact"/>
              <w:ind w:left="122" w:right="121"/>
              <w:rPr>
                <w:sz w:val="21"/>
              </w:rPr>
            </w:pPr>
            <w:r>
              <w:rPr>
                <w:sz w:val="21"/>
              </w:rPr>
              <w:t>达标</w:t>
            </w:r>
          </w:p>
        </w:tc>
      </w:tr>
    </w:tbl>
    <w:p w14:paraId="2D7CCFA4">
      <w:pPr>
        <w:pStyle w:val="10"/>
        <w:spacing w:before="12"/>
        <w:rPr>
          <w:b/>
        </w:rPr>
      </w:pPr>
    </w:p>
    <w:p w14:paraId="1D42FA3E">
      <w:pPr>
        <w:pStyle w:val="10"/>
        <w:spacing w:before="74" w:line="364" w:lineRule="auto"/>
        <w:ind w:left="240" w:right="357" w:firstLine="480"/>
      </w:pPr>
      <w:r>
        <w:rPr>
          <w:spacing w:val="-7"/>
        </w:rPr>
        <w:t xml:space="preserve">从上表可知，本项目新增 </w:t>
      </w:r>
      <w:r>
        <w:rPr>
          <w:rFonts w:ascii="Times New Roman" w:eastAsia="Times New Roman"/>
        </w:rPr>
        <w:t xml:space="preserve">TSP1h </w:t>
      </w:r>
      <w:r>
        <w:t>平均</w:t>
      </w:r>
      <w:r>
        <w:rPr>
          <w:b/>
          <w:spacing w:val="-3"/>
        </w:rPr>
        <w:t>、</w:t>
      </w:r>
      <w:r>
        <w:rPr>
          <w:spacing w:val="-3"/>
        </w:rPr>
        <w:t xml:space="preserve">日平均、年平均浓度贡献值的最大占标率分别为 </w:t>
      </w:r>
      <w:r>
        <w:rPr>
          <w:rFonts w:ascii="Times New Roman" w:eastAsia="Times New Roman"/>
        </w:rPr>
        <w:t>6.27%</w:t>
      </w:r>
      <w:r>
        <w:rPr>
          <w:spacing w:val="-3"/>
        </w:rPr>
        <w:t>、</w:t>
      </w:r>
      <w:r>
        <w:rPr>
          <w:rFonts w:ascii="Times New Roman" w:eastAsia="Times New Roman"/>
        </w:rPr>
        <w:t>1.44%</w:t>
      </w:r>
      <w:r>
        <w:rPr>
          <w:spacing w:val="-3"/>
        </w:rPr>
        <w:t>、</w:t>
      </w:r>
      <w:r>
        <w:rPr>
          <w:rFonts w:ascii="Times New Roman" w:eastAsia="Times New Roman"/>
        </w:rPr>
        <w:t>0.63%</w:t>
      </w:r>
      <w:r>
        <w:rPr>
          <w:spacing w:val="-1"/>
        </w:rPr>
        <w:t>，满足《环境空气质量标准》（</w:t>
      </w:r>
      <w:r>
        <w:rPr>
          <w:rFonts w:ascii="Times New Roman" w:eastAsia="Times New Roman"/>
          <w:spacing w:val="-1"/>
        </w:rPr>
        <w:t>GB3095-2012</w:t>
      </w:r>
      <w:r>
        <w:rPr>
          <w:spacing w:val="-1"/>
        </w:rPr>
        <w:t>）中的二级标准要求。</w:t>
      </w:r>
    </w:p>
    <w:p w14:paraId="39D6EBE9">
      <w:pPr>
        <w:spacing w:after="0" w:line="364" w:lineRule="auto"/>
        <w:sectPr>
          <w:footerReference r:id="rId29" w:type="default"/>
          <w:pgSz w:w="16840" w:h="11910" w:orient="landscape"/>
          <w:pgMar w:top="1100" w:right="1080" w:bottom="1380" w:left="1200" w:header="0" w:footer="1192" w:gutter="0"/>
          <w:pgNumType w:start="110"/>
          <w:cols w:space="720" w:num="1"/>
        </w:sectPr>
      </w:pPr>
    </w:p>
    <w:p w14:paraId="56B44359">
      <w:pPr>
        <w:pStyle w:val="10"/>
        <w:spacing w:before="6"/>
        <w:rPr>
          <w:sz w:val="16"/>
        </w:rPr>
      </w:pPr>
    </w:p>
    <w:p w14:paraId="5888A229">
      <w:pPr>
        <w:pStyle w:val="10"/>
        <w:ind w:left="240"/>
        <w:rPr>
          <w:sz w:val="20"/>
        </w:rPr>
      </w:pPr>
      <w:r>
        <w:rPr>
          <w:sz w:val="20"/>
        </w:rPr>
        <w:drawing>
          <wp:inline distT="0" distB="0" distL="0" distR="0">
            <wp:extent cx="7200265" cy="5386070"/>
            <wp:effectExtent l="0" t="0" r="0" b="0"/>
            <wp:docPr id="4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05.jpeg"/>
                    <pic:cNvPicPr>
                      <a:picLocks noChangeAspect="1"/>
                    </pic:cNvPicPr>
                  </pic:nvPicPr>
                  <pic:blipFill>
                    <a:blip r:embed="rId125" cstate="print"/>
                    <a:stretch>
                      <a:fillRect/>
                    </a:stretch>
                  </pic:blipFill>
                  <pic:spPr>
                    <a:xfrm>
                      <a:off x="0" y="0"/>
                      <a:ext cx="7200733" cy="5386387"/>
                    </a:xfrm>
                    <a:prstGeom prst="rect">
                      <a:avLst/>
                    </a:prstGeom>
                  </pic:spPr>
                </pic:pic>
              </a:graphicData>
            </a:graphic>
          </wp:inline>
        </w:drawing>
      </w:r>
    </w:p>
    <w:p w14:paraId="382978D0">
      <w:pPr>
        <w:pStyle w:val="9"/>
        <w:spacing w:before="117"/>
        <w:ind w:left="3280"/>
      </w:pPr>
      <w:r>
        <w:t xml:space="preserve">图 </w:t>
      </w:r>
      <w:r>
        <w:rPr>
          <w:rFonts w:ascii="Times New Roman" w:eastAsia="Times New Roman"/>
        </w:rPr>
        <w:t>4.1-9</w:t>
      </w:r>
      <w:r>
        <w:t>（</w:t>
      </w:r>
      <w:r>
        <w:rPr>
          <w:rFonts w:ascii="Times New Roman" w:eastAsia="Times New Roman"/>
        </w:rPr>
        <w:t>1</w:t>
      </w:r>
      <w:r>
        <w:t xml:space="preserve">）本项目新增污染源 </w:t>
      </w:r>
      <w:r>
        <w:rPr>
          <w:rFonts w:ascii="Times New Roman" w:eastAsia="Times New Roman"/>
        </w:rPr>
        <w:t xml:space="preserve">TSP </w:t>
      </w:r>
      <w:r>
        <w:t xml:space="preserve">网格点 </w:t>
      </w:r>
      <w:r>
        <w:rPr>
          <w:rFonts w:ascii="Times New Roman" w:eastAsia="Times New Roman"/>
        </w:rPr>
        <w:t xml:space="preserve">1h </w:t>
      </w:r>
      <w:r>
        <w:t>均值贡献值预测结果分布图</w:t>
      </w:r>
    </w:p>
    <w:p w14:paraId="3E4FAC27">
      <w:pPr>
        <w:spacing w:after="0"/>
        <w:sectPr>
          <w:pgSz w:w="16840" w:h="11910" w:orient="landscape"/>
          <w:pgMar w:top="1100" w:right="1080" w:bottom="1380" w:left="1200" w:header="0" w:footer="1192" w:gutter="0"/>
          <w:cols w:space="720" w:num="1"/>
        </w:sectPr>
      </w:pPr>
    </w:p>
    <w:p w14:paraId="1984673B">
      <w:pPr>
        <w:pStyle w:val="10"/>
        <w:spacing w:before="5"/>
        <w:rPr>
          <w:b/>
          <w:sz w:val="15"/>
        </w:rPr>
      </w:pPr>
    </w:p>
    <w:p w14:paraId="0B9036B1">
      <w:pPr>
        <w:pStyle w:val="10"/>
        <w:ind w:left="240"/>
        <w:rPr>
          <w:sz w:val="20"/>
        </w:rPr>
      </w:pPr>
      <w:r>
        <w:rPr>
          <w:sz w:val="20"/>
        </w:rPr>
        <w:drawing>
          <wp:inline distT="0" distB="0" distL="0" distR="0">
            <wp:extent cx="7087235" cy="5386070"/>
            <wp:effectExtent l="0" t="0" r="0" b="0"/>
            <wp:docPr id="4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06.jpeg"/>
                    <pic:cNvPicPr>
                      <a:picLocks noChangeAspect="1"/>
                    </pic:cNvPicPr>
                  </pic:nvPicPr>
                  <pic:blipFill>
                    <a:blip r:embed="rId126" cstate="print"/>
                    <a:stretch>
                      <a:fillRect/>
                    </a:stretch>
                  </pic:blipFill>
                  <pic:spPr>
                    <a:xfrm>
                      <a:off x="0" y="0"/>
                      <a:ext cx="7087833" cy="5386387"/>
                    </a:xfrm>
                    <a:prstGeom prst="rect">
                      <a:avLst/>
                    </a:prstGeom>
                  </pic:spPr>
                </pic:pic>
              </a:graphicData>
            </a:graphic>
          </wp:inline>
        </w:drawing>
      </w:r>
    </w:p>
    <w:p w14:paraId="260E8E73">
      <w:pPr>
        <w:pStyle w:val="9"/>
        <w:spacing w:before="131"/>
        <w:ind w:left="3345"/>
      </w:pPr>
      <w:r>
        <w:t xml:space="preserve">图 </w:t>
      </w:r>
      <w:r>
        <w:rPr>
          <w:rFonts w:ascii="Times New Roman" w:eastAsia="Times New Roman"/>
        </w:rPr>
        <w:t>4.1-9</w:t>
      </w:r>
      <w:r>
        <w:t>（</w:t>
      </w:r>
      <w:r>
        <w:rPr>
          <w:rFonts w:ascii="Times New Roman" w:eastAsia="Times New Roman"/>
        </w:rPr>
        <w:t>2</w:t>
      </w:r>
      <w:r>
        <w:t xml:space="preserve">）本项目新增污染源 </w:t>
      </w:r>
      <w:r>
        <w:rPr>
          <w:rFonts w:ascii="Times New Roman" w:eastAsia="Times New Roman"/>
        </w:rPr>
        <w:t xml:space="preserve">TSP </w:t>
      </w:r>
      <w:r>
        <w:t>网格点日均值贡献值预测结果分布图</w:t>
      </w:r>
    </w:p>
    <w:p w14:paraId="6652EAD6">
      <w:pPr>
        <w:spacing w:after="0"/>
        <w:sectPr>
          <w:pgSz w:w="16840" w:h="11910" w:orient="landscape"/>
          <w:pgMar w:top="1100" w:right="1080" w:bottom="1380" w:left="1200" w:header="0" w:footer="1192" w:gutter="0"/>
          <w:cols w:space="720" w:num="1"/>
        </w:sectPr>
      </w:pPr>
    </w:p>
    <w:p w14:paraId="3CD22AC6">
      <w:pPr>
        <w:pStyle w:val="10"/>
        <w:rPr>
          <w:b/>
          <w:sz w:val="6"/>
        </w:rPr>
      </w:pPr>
    </w:p>
    <w:p w14:paraId="75C58D75">
      <w:pPr>
        <w:pStyle w:val="10"/>
        <w:ind w:left="240"/>
        <w:rPr>
          <w:sz w:val="20"/>
        </w:rPr>
      </w:pPr>
      <w:r>
        <w:rPr>
          <w:sz w:val="20"/>
        </w:rPr>
        <w:drawing>
          <wp:inline distT="0" distB="0" distL="0" distR="0">
            <wp:extent cx="7303770" cy="5551805"/>
            <wp:effectExtent l="0" t="0" r="0" b="0"/>
            <wp:docPr id="5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7.jpeg"/>
                    <pic:cNvPicPr>
                      <a:picLocks noChangeAspect="1"/>
                    </pic:cNvPicPr>
                  </pic:nvPicPr>
                  <pic:blipFill>
                    <a:blip r:embed="rId127" cstate="print"/>
                    <a:stretch>
                      <a:fillRect/>
                    </a:stretch>
                  </pic:blipFill>
                  <pic:spPr>
                    <a:xfrm>
                      <a:off x="0" y="0"/>
                      <a:ext cx="7304377" cy="5552122"/>
                    </a:xfrm>
                    <a:prstGeom prst="rect">
                      <a:avLst/>
                    </a:prstGeom>
                  </pic:spPr>
                </pic:pic>
              </a:graphicData>
            </a:graphic>
          </wp:inline>
        </w:drawing>
      </w:r>
    </w:p>
    <w:p w14:paraId="0052A1C4">
      <w:pPr>
        <w:pStyle w:val="9"/>
        <w:spacing w:before="0" w:line="298" w:lineRule="exact"/>
        <w:ind w:left="3345"/>
      </w:pPr>
      <w:r>
        <w:t xml:space="preserve">图 </w:t>
      </w:r>
      <w:r>
        <w:rPr>
          <w:rFonts w:ascii="Times New Roman" w:eastAsia="Times New Roman"/>
        </w:rPr>
        <w:t>4.1-9</w:t>
      </w:r>
      <w:r>
        <w:t>（</w:t>
      </w:r>
      <w:r>
        <w:rPr>
          <w:rFonts w:ascii="Times New Roman" w:eastAsia="Times New Roman"/>
        </w:rPr>
        <w:t>3</w:t>
      </w:r>
      <w:r>
        <w:t xml:space="preserve">）本项目新增污染源 </w:t>
      </w:r>
      <w:r>
        <w:rPr>
          <w:rFonts w:ascii="Times New Roman" w:eastAsia="Times New Roman"/>
        </w:rPr>
        <w:t xml:space="preserve">TSP </w:t>
      </w:r>
      <w:r>
        <w:t>网格点年均值贡献值预测结果分布图</w:t>
      </w:r>
    </w:p>
    <w:p w14:paraId="1255A99A">
      <w:pPr>
        <w:spacing w:after="0" w:line="298" w:lineRule="exact"/>
        <w:sectPr>
          <w:pgSz w:w="16840" w:h="11910" w:orient="landscape"/>
          <w:pgMar w:top="1100" w:right="1080" w:bottom="1380" w:left="1200" w:header="0" w:footer="1192" w:gutter="0"/>
          <w:cols w:space="720" w:num="1"/>
        </w:sectPr>
      </w:pPr>
    </w:p>
    <w:p w14:paraId="45731BDE">
      <w:pPr>
        <w:pStyle w:val="10"/>
        <w:spacing w:before="3"/>
        <w:rPr>
          <w:b/>
          <w:sz w:val="28"/>
        </w:rPr>
      </w:pPr>
    </w:p>
    <w:p w14:paraId="75658FC2">
      <w:pPr>
        <w:pStyle w:val="9"/>
        <w:numPr>
          <w:ilvl w:val="3"/>
          <w:numId w:val="16"/>
        </w:numPr>
        <w:tabs>
          <w:tab w:val="left" w:pos="960"/>
        </w:tabs>
        <w:spacing w:before="76" w:after="0" w:line="240" w:lineRule="auto"/>
        <w:ind w:left="960" w:right="0" w:hanging="720"/>
        <w:jc w:val="left"/>
      </w:pPr>
      <w:r>
        <w:t>正常排放情况下叠加现状浓度、区域拟建在建污染源后的污染物浓度预测</w:t>
      </w:r>
    </w:p>
    <w:p w14:paraId="7D502A26">
      <w:pPr>
        <w:pStyle w:val="9"/>
        <w:spacing w:before="161"/>
      </w:pPr>
      <w:r>
        <w:t>（</w:t>
      </w:r>
      <w:r>
        <w:rPr>
          <w:rFonts w:ascii="Times New Roman" w:eastAsia="Times New Roman"/>
        </w:rPr>
        <w:t>1</w:t>
      </w:r>
      <w:r>
        <w:t>）非甲烷总烃</w:t>
      </w:r>
    </w:p>
    <w:p w14:paraId="12A3AEF2">
      <w:pPr>
        <w:pStyle w:val="9"/>
        <w:spacing w:before="160"/>
      </w:pPr>
      <w:r>
        <w:t>本项目非甲烷总烃网格点叠加值预测结果见下表：</w:t>
      </w:r>
    </w:p>
    <w:p w14:paraId="13A4BFAB">
      <w:pPr>
        <w:pStyle w:val="9"/>
        <w:tabs>
          <w:tab w:val="left" w:pos="6230"/>
        </w:tabs>
        <w:spacing w:before="81" w:after="3"/>
        <w:ind w:left="5071"/>
      </w:pPr>
      <w:r>
        <w:t>表</w:t>
      </w:r>
      <w:r>
        <w:rPr>
          <w:spacing w:val="-62"/>
        </w:rPr>
        <w:t xml:space="preserve"> </w:t>
      </w:r>
      <w:r>
        <w:rPr>
          <w:rFonts w:ascii="Times New Roman" w:eastAsia="Times New Roman"/>
        </w:rPr>
        <w:t>4.1-19</w:t>
      </w:r>
      <w:r>
        <w:rPr>
          <w:rFonts w:ascii="Times New Roman" w:eastAsia="Times New Roman"/>
        </w:rPr>
        <w:tab/>
      </w:r>
      <w:r>
        <w:t>非甲烷总烃网格点叠加值预测结果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79D1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11CE9237">
            <w:pPr>
              <w:pStyle w:val="17"/>
              <w:spacing w:before="149" w:line="244" w:lineRule="auto"/>
              <w:ind w:left="132" w:right="115"/>
              <w:jc w:val="left"/>
              <w:rPr>
                <w:sz w:val="21"/>
              </w:rPr>
            </w:pPr>
            <w:r>
              <w:rPr>
                <w:sz w:val="21"/>
              </w:rPr>
              <w:t>序号</w:t>
            </w:r>
          </w:p>
        </w:tc>
        <w:tc>
          <w:tcPr>
            <w:tcW w:w="1577" w:type="dxa"/>
            <w:vMerge w:val="restart"/>
          </w:tcPr>
          <w:p w14:paraId="6EA67389">
            <w:pPr>
              <w:pStyle w:val="17"/>
              <w:spacing w:before="4"/>
              <w:jc w:val="left"/>
              <w:rPr>
                <w:b/>
                <w:sz w:val="22"/>
              </w:rPr>
            </w:pPr>
          </w:p>
          <w:p w14:paraId="04543F85">
            <w:pPr>
              <w:pStyle w:val="17"/>
              <w:ind w:left="472"/>
              <w:jc w:val="left"/>
              <w:rPr>
                <w:sz w:val="21"/>
              </w:rPr>
            </w:pPr>
            <w:r>
              <w:rPr>
                <w:sz w:val="21"/>
              </w:rPr>
              <w:t>点名称</w:t>
            </w:r>
          </w:p>
        </w:tc>
        <w:tc>
          <w:tcPr>
            <w:tcW w:w="1587" w:type="dxa"/>
            <w:gridSpan w:val="2"/>
          </w:tcPr>
          <w:p w14:paraId="69B0B957">
            <w:pPr>
              <w:pStyle w:val="17"/>
              <w:spacing w:before="3"/>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02BEE452">
            <w:pPr>
              <w:pStyle w:val="17"/>
              <w:spacing w:before="2" w:line="251"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75369CE9">
            <w:pPr>
              <w:pStyle w:val="17"/>
              <w:spacing w:before="29"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75AA40B4">
            <w:pPr>
              <w:pStyle w:val="17"/>
              <w:spacing w:before="149" w:line="244" w:lineRule="auto"/>
              <w:ind w:left="178" w:right="168"/>
              <w:jc w:val="left"/>
              <w:rPr>
                <w:sz w:val="21"/>
              </w:rPr>
            </w:pPr>
            <w:r>
              <w:rPr>
                <w:w w:val="95"/>
                <w:sz w:val="21"/>
              </w:rPr>
              <w:t>浓度类型</w:t>
            </w:r>
          </w:p>
        </w:tc>
        <w:tc>
          <w:tcPr>
            <w:tcW w:w="1259" w:type="dxa"/>
            <w:vMerge w:val="restart"/>
          </w:tcPr>
          <w:p w14:paraId="78B73ED3">
            <w:pPr>
              <w:pStyle w:val="17"/>
              <w:spacing w:before="149"/>
              <w:ind w:left="208"/>
              <w:jc w:val="left"/>
              <w:rPr>
                <w:sz w:val="21"/>
              </w:rPr>
            </w:pPr>
            <w:r>
              <w:rPr>
                <w:w w:val="95"/>
                <w:sz w:val="21"/>
              </w:rPr>
              <w:t>浓度增量</w:t>
            </w:r>
          </w:p>
          <w:p w14:paraId="74038926">
            <w:pPr>
              <w:pStyle w:val="17"/>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24492ED8">
            <w:pPr>
              <w:pStyle w:val="17"/>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0AE88E97">
            <w:pPr>
              <w:pStyle w:val="17"/>
              <w:spacing w:before="149"/>
              <w:ind w:left="195"/>
              <w:jc w:val="left"/>
              <w:rPr>
                <w:sz w:val="21"/>
              </w:rPr>
            </w:pPr>
            <w:r>
              <w:rPr>
                <w:w w:val="95"/>
                <w:sz w:val="21"/>
              </w:rPr>
              <w:t>背景浓度</w:t>
            </w:r>
          </w:p>
          <w:p w14:paraId="1580270D">
            <w:pPr>
              <w:pStyle w:val="17"/>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5EA538A0">
            <w:pPr>
              <w:pStyle w:val="17"/>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2F734409">
            <w:pPr>
              <w:pStyle w:val="17"/>
              <w:spacing w:before="149"/>
              <w:ind w:left="194"/>
              <w:jc w:val="left"/>
              <w:rPr>
                <w:sz w:val="21"/>
              </w:rPr>
            </w:pPr>
            <w:r>
              <w:rPr>
                <w:w w:val="95"/>
                <w:sz w:val="21"/>
              </w:rPr>
              <w:t>评价标准</w:t>
            </w:r>
          </w:p>
          <w:p w14:paraId="4A448B63">
            <w:pPr>
              <w:pStyle w:val="17"/>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4FEA4803">
            <w:pPr>
              <w:pStyle w:val="17"/>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49D8B9A0">
            <w:pPr>
              <w:pStyle w:val="17"/>
              <w:spacing w:before="149" w:line="244" w:lineRule="auto"/>
              <w:ind w:left="145" w:right="141"/>
              <w:jc w:val="left"/>
              <w:rPr>
                <w:sz w:val="21"/>
              </w:rPr>
            </w:pPr>
            <w:r>
              <w:rPr>
                <w:w w:val="95"/>
                <w:sz w:val="21"/>
              </w:rPr>
              <w:t>是否超标</w:t>
            </w:r>
          </w:p>
        </w:tc>
      </w:tr>
      <w:tr w14:paraId="2BE26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4CDF8FDD">
            <w:pPr>
              <w:rPr>
                <w:sz w:val="2"/>
                <w:szCs w:val="2"/>
              </w:rPr>
            </w:pPr>
          </w:p>
        </w:tc>
        <w:tc>
          <w:tcPr>
            <w:tcW w:w="1577" w:type="dxa"/>
            <w:vMerge w:val="continue"/>
            <w:tcBorders>
              <w:top w:val="nil"/>
            </w:tcBorders>
          </w:tcPr>
          <w:p w14:paraId="2EC4DD21">
            <w:pPr>
              <w:rPr>
                <w:sz w:val="2"/>
                <w:szCs w:val="2"/>
              </w:rPr>
            </w:pPr>
          </w:p>
        </w:tc>
        <w:tc>
          <w:tcPr>
            <w:tcW w:w="826" w:type="dxa"/>
          </w:tcPr>
          <w:p w14:paraId="58705EC6">
            <w:pPr>
              <w:pStyle w:val="17"/>
              <w:spacing w:before="23"/>
              <w:ind w:left="10"/>
              <w:rPr>
                <w:rFonts w:ascii="Times New Roman"/>
                <w:sz w:val="21"/>
              </w:rPr>
            </w:pPr>
            <w:r>
              <w:rPr>
                <w:rFonts w:ascii="Times New Roman"/>
                <w:w w:val="99"/>
                <w:sz w:val="21"/>
              </w:rPr>
              <w:t>X</w:t>
            </w:r>
          </w:p>
        </w:tc>
        <w:tc>
          <w:tcPr>
            <w:tcW w:w="761" w:type="dxa"/>
          </w:tcPr>
          <w:p w14:paraId="1E6AB0A6">
            <w:pPr>
              <w:pStyle w:val="17"/>
              <w:spacing w:before="23"/>
              <w:ind w:left="7"/>
              <w:rPr>
                <w:rFonts w:ascii="Times New Roman"/>
                <w:sz w:val="21"/>
              </w:rPr>
            </w:pPr>
            <w:r>
              <w:rPr>
                <w:rFonts w:ascii="Times New Roman"/>
                <w:w w:val="99"/>
                <w:sz w:val="21"/>
              </w:rPr>
              <w:t>Y</w:t>
            </w:r>
          </w:p>
        </w:tc>
        <w:tc>
          <w:tcPr>
            <w:tcW w:w="823" w:type="dxa"/>
            <w:vMerge w:val="continue"/>
            <w:tcBorders>
              <w:top w:val="nil"/>
            </w:tcBorders>
          </w:tcPr>
          <w:p w14:paraId="6091DE9C">
            <w:pPr>
              <w:rPr>
                <w:sz w:val="2"/>
                <w:szCs w:val="2"/>
              </w:rPr>
            </w:pPr>
          </w:p>
        </w:tc>
        <w:tc>
          <w:tcPr>
            <w:tcW w:w="777" w:type="dxa"/>
            <w:vMerge w:val="continue"/>
            <w:tcBorders>
              <w:top w:val="nil"/>
            </w:tcBorders>
          </w:tcPr>
          <w:p w14:paraId="77EEE5FD">
            <w:pPr>
              <w:rPr>
                <w:sz w:val="2"/>
                <w:szCs w:val="2"/>
              </w:rPr>
            </w:pPr>
          </w:p>
        </w:tc>
        <w:tc>
          <w:tcPr>
            <w:tcW w:w="1259" w:type="dxa"/>
            <w:vMerge w:val="continue"/>
            <w:tcBorders>
              <w:top w:val="nil"/>
            </w:tcBorders>
          </w:tcPr>
          <w:p w14:paraId="748C937D">
            <w:pPr>
              <w:rPr>
                <w:sz w:val="2"/>
                <w:szCs w:val="2"/>
              </w:rPr>
            </w:pPr>
          </w:p>
        </w:tc>
        <w:tc>
          <w:tcPr>
            <w:tcW w:w="1317" w:type="dxa"/>
            <w:vMerge w:val="continue"/>
            <w:tcBorders>
              <w:top w:val="nil"/>
            </w:tcBorders>
          </w:tcPr>
          <w:p w14:paraId="2A0A829D">
            <w:pPr>
              <w:rPr>
                <w:sz w:val="2"/>
                <w:szCs w:val="2"/>
              </w:rPr>
            </w:pPr>
          </w:p>
        </w:tc>
        <w:tc>
          <w:tcPr>
            <w:tcW w:w="1230" w:type="dxa"/>
            <w:vMerge w:val="continue"/>
            <w:tcBorders>
              <w:top w:val="nil"/>
            </w:tcBorders>
          </w:tcPr>
          <w:p w14:paraId="74A9B6F0">
            <w:pPr>
              <w:rPr>
                <w:sz w:val="2"/>
                <w:szCs w:val="2"/>
              </w:rPr>
            </w:pPr>
          </w:p>
        </w:tc>
        <w:tc>
          <w:tcPr>
            <w:tcW w:w="1725" w:type="dxa"/>
            <w:vMerge w:val="continue"/>
            <w:tcBorders>
              <w:top w:val="nil"/>
            </w:tcBorders>
          </w:tcPr>
          <w:p w14:paraId="63C3FA4A">
            <w:pPr>
              <w:rPr>
                <w:sz w:val="2"/>
                <w:szCs w:val="2"/>
              </w:rPr>
            </w:pPr>
          </w:p>
        </w:tc>
        <w:tc>
          <w:tcPr>
            <w:tcW w:w="1230" w:type="dxa"/>
            <w:vMerge w:val="continue"/>
            <w:tcBorders>
              <w:top w:val="nil"/>
            </w:tcBorders>
          </w:tcPr>
          <w:p w14:paraId="44CBCDB8">
            <w:pPr>
              <w:rPr>
                <w:sz w:val="2"/>
                <w:szCs w:val="2"/>
              </w:rPr>
            </w:pPr>
          </w:p>
        </w:tc>
        <w:tc>
          <w:tcPr>
            <w:tcW w:w="1517" w:type="dxa"/>
            <w:vMerge w:val="continue"/>
            <w:tcBorders>
              <w:top w:val="nil"/>
            </w:tcBorders>
          </w:tcPr>
          <w:p w14:paraId="2FFB6A9C">
            <w:pPr>
              <w:rPr>
                <w:sz w:val="2"/>
                <w:szCs w:val="2"/>
              </w:rPr>
            </w:pPr>
          </w:p>
        </w:tc>
        <w:tc>
          <w:tcPr>
            <w:tcW w:w="712" w:type="dxa"/>
            <w:vMerge w:val="continue"/>
            <w:tcBorders>
              <w:top w:val="nil"/>
              <w:right w:val="nil"/>
            </w:tcBorders>
          </w:tcPr>
          <w:p w14:paraId="575D4700">
            <w:pPr>
              <w:rPr>
                <w:sz w:val="2"/>
                <w:szCs w:val="2"/>
              </w:rPr>
            </w:pPr>
          </w:p>
        </w:tc>
      </w:tr>
      <w:tr w14:paraId="6C886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464" w:type="dxa"/>
            <w:tcBorders>
              <w:left w:val="nil"/>
            </w:tcBorders>
          </w:tcPr>
          <w:p w14:paraId="1DA228E2">
            <w:pPr>
              <w:pStyle w:val="17"/>
              <w:spacing w:before="33"/>
              <w:ind w:right="169"/>
              <w:jc w:val="right"/>
              <w:rPr>
                <w:rFonts w:ascii="Times New Roman"/>
                <w:sz w:val="21"/>
              </w:rPr>
            </w:pPr>
            <w:r>
              <w:rPr>
                <w:rFonts w:ascii="Times New Roman"/>
                <w:w w:val="99"/>
                <w:sz w:val="21"/>
              </w:rPr>
              <w:t>1</w:t>
            </w:r>
          </w:p>
        </w:tc>
        <w:tc>
          <w:tcPr>
            <w:tcW w:w="1577" w:type="dxa"/>
          </w:tcPr>
          <w:p w14:paraId="21C9602C">
            <w:pPr>
              <w:pStyle w:val="17"/>
              <w:spacing w:before="19"/>
              <w:ind w:left="136" w:right="130"/>
              <w:rPr>
                <w:sz w:val="21"/>
              </w:rPr>
            </w:pPr>
            <w:r>
              <w:rPr>
                <w:sz w:val="21"/>
              </w:rPr>
              <w:t>新书村</w:t>
            </w:r>
          </w:p>
        </w:tc>
        <w:tc>
          <w:tcPr>
            <w:tcW w:w="826" w:type="dxa"/>
          </w:tcPr>
          <w:p w14:paraId="6A5E4398">
            <w:pPr>
              <w:pStyle w:val="17"/>
              <w:spacing w:before="33"/>
              <w:ind w:left="107"/>
              <w:jc w:val="left"/>
              <w:rPr>
                <w:rFonts w:ascii="Times New Roman"/>
                <w:sz w:val="21"/>
              </w:rPr>
            </w:pPr>
            <w:r>
              <w:rPr>
                <w:rFonts w:ascii="Times New Roman"/>
                <w:sz w:val="21"/>
              </w:rPr>
              <w:t>-691</w:t>
            </w:r>
          </w:p>
        </w:tc>
        <w:tc>
          <w:tcPr>
            <w:tcW w:w="761" w:type="dxa"/>
          </w:tcPr>
          <w:p w14:paraId="091BE0BD">
            <w:pPr>
              <w:pStyle w:val="17"/>
              <w:spacing w:before="33"/>
              <w:ind w:left="85" w:right="235"/>
              <w:rPr>
                <w:rFonts w:ascii="Times New Roman"/>
                <w:sz w:val="21"/>
              </w:rPr>
            </w:pPr>
            <w:r>
              <w:rPr>
                <w:rFonts w:ascii="Times New Roman"/>
                <w:sz w:val="21"/>
              </w:rPr>
              <w:t>-158</w:t>
            </w:r>
          </w:p>
        </w:tc>
        <w:tc>
          <w:tcPr>
            <w:tcW w:w="823" w:type="dxa"/>
          </w:tcPr>
          <w:p w14:paraId="518E4A26">
            <w:pPr>
              <w:pStyle w:val="17"/>
              <w:spacing w:before="33"/>
              <w:ind w:left="154" w:right="146"/>
              <w:rPr>
                <w:rFonts w:ascii="Times New Roman"/>
                <w:sz w:val="21"/>
              </w:rPr>
            </w:pPr>
            <w:r>
              <w:rPr>
                <w:rFonts w:ascii="Times New Roman"/>
                <w:sz w:val="21"/>
              </w:rPr>
              <w:t>64.83</w:t>
            </w:r>
          </w:p>
        </w:tc>
        <w:tc>
          <w:tcPr>
            <w:tcW w:w="777" w:type="dxa"/>
          </w:tcPr>
          <w:p w14:paraId="753B3CDB">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388D11F9">
            <w:pPr>
              <w:pStyle w:val="17"/>
              <w:spacing w:before="33"/>
              <w:ind w:left="188" w:right="180"/>
              <w:rPr>
                <w:rFonts w:ascii="Times New Roman"/>
                <w:sz w:val="21"/>
              </w:rPr>
            </w:pPr>
            <w:r>
              <w:rPr>
                <w:rFonts w:ascii="Times New Roman"/>
                <w:sz w:val="21"/>
              </w:rPr>
              <w:t>1.93E+02</w:t>
            </w:r>
          </w:p>
        </w:tc>
        <w:tc>
          <w:tcPr>
            <w:tcW w:w="1317" w:type="dxa"/>
          </w:tcPr>
          <w:p w14:paraId="676AF120">
            <w:pPr>
              <w:pStyle w:val="17"/>
              <w:spacing w:before="33"/>
              <w:ind w:left="108" w:right="98"/>
              <w:rPr>
                <w:rFonts w:ascii="Times New Roman"/>
                <w:sz w:val="21"/>
              </w:rPr>
            </w:pPr>
            <w:r>
              <w:rPr>
                <w:rFonts w:ascii="Times New Roman"/>
                <w:sz w:val="21"/>
              </w:rPr>
              <w:t>23091505</w:t>
            </w:r>
          </w:p>
        </w:tc>
        <w:tc>
          <w:tcPr>
            <w:tcW w:w="1230" w:type="dxa"/>
          </w:tcPr>
          <w:p w14:paraId="2A87BDB8">
            <w:pPr>
              <w:pStyle w:val="17"/>
              <w:spacing w:before="33"/>
              <w:ind w:left="175" w:right="166"/>
              <w:rPr>
                <w:rFonts w:ascii="Times New Roman"/>
                <w:sz w:val="21"/>
              </w:rPr>
            </w:pPr>
            <w:r>
              <w:rPr>
                <w:rFonts w:ascii="Times New Roman"/>
                <w:sz w:val="21"/>
              </w:rPr>
              <w:t>1.72E+00</w:t>
            </w:r>
          </w:p>
        </w:tc>
        <w:tc>
          <w:tcPr>
            <w:tcW w:w="1725" w:type="dxa"/>
          </w:tcPr>
          <w:p w14:paraId="102BCEAF">
            <w:pPr>
              <w:pStyle w:val="17"/>
              <w:spacing w:before="33"/>
              <w:ind w:left="419" w:right="413"/>
              <w:rPr>
                <w:rFonts w:ascii="Times New Roman"/>
                <w:sz w:val="21"/>
              </w:rPr>
            </w:pPr>
            <w:r>
              <w:rPr>
                <w:rFonts w:ascii="Times New Roman"/>
                <w:sz w:val="21"/>
              </w:rPr>
              <w:t>1.95E+02</w:t>
            </w:r>
          </w:p>
        </w:tc>
        <w:tc>
          <w:tcPr>
            <w:tcW w:w="1230" w:type="dxa"/>
          </w:tcPr>
          <w:p w14:paraId="70A9412E">
            <w:pPr>
              <w:pStyle w:val="17"/>
              <w:spacing w:before="33"/>
              <w:ind w:left="174" w:right="166"/>
              <w:rPr>
                <w:rFonts w:ascii="Times New Roman"/>
                <w:sz w:val="21"/>
              </w:rPr>
            </w:pPr>
            <w:r>
              <w:rPr>
                <w:rFonts w:ascii="Times New Roman"/>
                <w:sz w:val="21"/>
              </w:rPr>
              <w:t>2.00E+03</w:t>
            </w:r>
          </w:p>
        </w:tc>
        <w:tc>
          <w:tcPr>
            <w:tcW w:w="1517" w:type="dxa"/>
          </w:tcPr>
          <w:p w14:paraId="039EE081">
            <w:pPr>
              <w:pStyle w:val="17"/>
              <w:spacing w:before="33"/>
              <w:ind w:left="499" w:right="492"/>
              <w:rPr>
                <w:rFonts w:ascii="Times New Roman"/>
                <w:sz w:val="21"/>
              </w:rPr>
            </w:pPr>
            <w:r>
              <w:rPr>
                <w:rFonts w:ascii="Times New Roman"/>
                <w:sz w:val="21"/>
              </w:rPr>
              <w:t>9.73</w:t>
            </w:r>
          </w:p>
        </w:tc>
        <w:tc>
          <w:tcPr>
            <w:tcW w:w="712" w:type="dxa"/>
            <w:tcBorders>
              <w:right w:val="nil"/>
            </w:tcBorders>
          </w:tcPr>
          <w:p w14:paraId="680E8584">
            <w:pPr>
              <w:pStyle w:val="17"/>
              <w:spacing w:before="19"/>
              <w:ind w:left="122" w:right="121"/>
              <w:rPr>
                <w:sz w:val="21"/>
              </w:rPr>
            </w:pPr>
            <w:r>
              <w:rPr>
                <w:sz w:val="21"/>
              </w:rPr>
              <w:t>达标</w:t>
            </w:r>
          </w:p>
        </w:tc>
      </w:tr>
      <w:tr w14:paraId="4900E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1810362">
            <w:pPr>
              <w:pStyle w:val="17"/>
              <w:spacing w:before="35"/>
              <w:ind w:right="169"/>
              <w:jc w:val="right"/>
              <w:rPr>
                <w:rFonts w:ascii="Times New Roman"/>
                <w:sz w:val="21"/>
              </w:rPr>
            </w:pPr>
            <w:r>
              <w:rPr>
                <w:rFonts w:ascii="Times New Roman"/>
                <w:w w:val="99"/>
                <w:sz w:val="21"/>
              </w:rPr>
              <w:t>2</w:t>
            </w:r>
          </w:p>
        </w:tc>
        <w:tc>
          <w:tcPr>
            <w:tcW w:w="1577" w:type="dxa"/>
          </w:tcPr>
          <w:p w14:paraId="187C79AA">
            <w:pPr>
              <w:pStyle w:val="17"/>
              <w:spacing w:before="21"/>
              <w:ind w:left="136" w:right="130"/>
              <w:rPr>
                <w:sz w:val="21"/>
              </w:rPr>
            </w:pPr>
            <w:r>
              <w:rPr>
                <w:sz w:val="21"/>
              </w:rPr>
              <w:t>八里村</w:t>
            </w:r>
          </w:p>
        </w:tc>
        <w:tc>
          <w:tcPr>
            <w:tcW w:w="826" w:type="dxa"/>
          </w:tcPr>
          <w:p w14:paraId="5BC81FC6">
            <w:pPr>
              <w:pStyle w:val="17"/>
              <w:spacing w:before="35"/>
              <w:ind w:left="107"/>
              <w:jc w:val="left"/>
              <w:rPr>
                <w:rFonts w:ascii="Times New Roman"/>
                <w:sz w:val="21"/>
              </w:rPr>
            </w:pPr>
            <w:r>
              <w:rPr>
                <w:rFonts w:ascii="Times New Roman"/>
                <w:sz w:val="21"/>
              </w:rPr>
              <w:t>-698</w:t>
            </w:r>
          </w:p>
        </w:tc>
        <w:tc>
          <w:tcPr>
            <w:tcW w:w="761" w:type="dxa"/>
          </w:tcPr>
          <w:p w14:paraId="4C468D4F">
            <w:pPr>
              <w:pStyle w:val="17"/>
              <w:spacing w:before="35"/>
              <w:ind w:left="85" w:right="235"/>
              <w:rPr>
                <w:rFonts w:ascii="Times New Roman"/>
                <w:sz w:val="21"/>
              </w:rPr>
            </w:pPr>
            <w:r>
              <w:rPr>
                <w:rFonts w:ascii="Times New Roman"/>
                <w:sz w:val="21"/>
              </w:rPr>
              <w:t>-255</w:t>
            </w:r>
          </w:p>
        </w:tc>
        <w:tc>
          <w:tcPr>
            <w:tcW w:w="823" w:type="dxa"/>
          </w:tcPr>
          <w:p w14:paraId="229BB848">
            <w:pPr>
              <w:pStyle w:val="17"/>
              <w:spacing w:before="35"/>
              <w:ind w:left="154" w:right="146"/>
              <w:rPr>
                <w:rFonts w:ascii="Times New Roman"/>
                <w:sz w:val="21"/>
              </w:rPr>
            </w:pPr>
            <w:r>
              <w:rPr>
                <w:rFonts w:ascii="Times New Roman"/>
                <w:sz w:val="21"/>
              </w:rPr>
              <w:t>63.63</w:t>
            </w:r>
          </w:p>
        </w:tc>
        <w:tc>
          <w:tcPr>
            <w:tcW w:w="777" w:type="dxa"/>
          </w:tcPr>
          <w:p w14:paraId="43C112FF">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4C9D19AB">
            <w:pPr>
              <w:pStyle w:val="17"/>
              <w:spacing w:before="35"/>
              <w:ind w:left="188" w:right="180"/>
              <w:rPr>
                <w:rFonts w:ascii="Times New Roman"/>
                <w:sz w:val="21"/>
              </w:rPr>
            </w:pPr>
            <w:r>
              <w:rPr>
                <w:rFonts w:ascii="Times New Roman"/>
                <w:sz w:val="21"/>
              </w:rPr>
              <w:t>1.76E+02</w:t>
            </w:r>
          </w:p>
        </w:tc>
        <w:tc>
          <w:tcPr>
            <w:tcW w:w="1317" w:type="dxa"/>
          </w:tcPr>
          <w:p w14:paraId="3D7EFFA7">
            <w:pPr>
              <w:pStyle w:val="17"/>
              <w:spacing w:before="35"/>
              <w:ind w:left="108" w:right="98"/>
              <w:rPr>
                <w:rFonts w:ascii="Times New Roman"/>
                <w:sz w:val="21"/>
              </w:rPr>
            </w:pPr>
            <w:r>
              <w:rPr>
                <w:rFonts w:ascii="Times New Roman"/>
                <w:sz w:val="21"/>
              </w:rPr>
              <w:t>23103108</w:t>
            </w:r>
          </w:p>
        </w:tc>
        <w:tc>
          <w:tcPr>
            <w:tcW w:w="1230" w:type="dxa"/>
          </w:tcPr>
          <w:p w14:paraId="3F9B4E22">
            <w:pPr>
              <w:pStyle w:val="17"/>
              <w:spacing w:before="35"/>
              <w:ind w:left="175" w:right="166"/>
              <w:rPr>
                <w:rFonts w:ascii="Times New Roman"/>
                <w:sz w:val="21"/>
              </w:rPr>
            </w:pPr>
            <w:r>
              <w:rPr>
                <w:rFonts w:ascii="Times New Roman"/>
                <w:sz w:val="21"/>
              </w:rPr>
              <w:t>1.72E+00</w:t>
            </w:r>
          </w:p>
        </w:tc>
        <w:tc>
          <w:tcPr>
            <w:tcW w:w="1725" w:type="dxa"/>
          </w:tcPr>
          <w:p w14:paraId="4190EE31">
            <w:pPr>
              <w:pStyle w:val="17"/>
              <w:spacing w:before="35"/>
              <w:ind w:left="419" w:right="413"/>
              <w:rPr>
                <w:rFonts w:ascii="Times New Roman"/>
                <w:sz w:val="21"/>
              </w:rPr>
            </w:pPr>
            <w:r>
              <w:rPr>
                <w:rFonts w:ascii="Times New Roman"/>
                <w:sz w:val="21"/>
              </w:rPr>
              <w:t>1.78E+02</w:t>
            </w:r>
          </w:p>
        </w:tc>
        <w:tc>
          <w:tcPr>
            <w:tcW w:w="1230" w:type="dxa"/>
          </w:tcPr>
          <w:p w14:paraId="067F618D">
            <w:pPr>
              <w:pStyle w:val="17"/>
              <w:spacing w:before="35"/>
              <w:ind w:left="174" w:right="166"/>
              <w:rPr>
                <w:rFonts w:ascii="Times New Roman"/>
                <w:sz w:val="21"/>
              </w:rPr>
            </w:pPr>
            <w:r>
              <w:rPr>
                <w:rFonts w:ascii="Times New Roman"/>
                <w:sz w:val="21"/>
              </w:rPr>
              <w:t>2.00E+03</w:t>
            </w:r>
          </w:p>
        </w:tc>
        <w:tc>
          <w:tcPr>
            <w:tcW w:w="1517" w:type="dxa"/>
          </w:tcPr>
          <w:p w14:paraId="095B0438">
            <w:pPr>
              <w:pStyle w:val="17"/>
              <w:spacing w:before="35"/>
              <w:ind w:left="499" w:right="492"/>
              <w:rPr>
                <w:rFonts w:ascii="Times New Roman"/>
                <w:sz w:val="21"/>
              </w:rPr>
            </w:pPr>
            <w:r>
              <w:rPr>
                <w:rFonts w:ascii="Times New Roman"/>
                <w:sz w:val="21"/>
              </w:rPr>
              <w:t>8.89</w:t>
            </w:r>
          </w:p>
        </w:tc>
        <w:tc>
          <w:tcPr>
            <w:tcW w:w="712" w:type="dxa"/>
            <w:tcBorders>
              <w:right w:val="nil"/>
            </w:tcBorders>
          </w:tcPr>
          <w:p w14:paraId="2EDE65DE">
            <w:pPr>
              <w:pStyle w:val="17"/>
              <w:spacing w:before="18"/>
              <w:ind w:left="122" w:right="121"/>
              <w:rPr>
                <w:sz w:val="21"/>
              </w:rPr>
            </w:pPr>
            <w:r>
              <w:rPr>
                <w:sz w:val="21"/>
              </w:rPr>
              <w:t>达标</w:t>
            </w:r>
          </w:p>
        </w:tc>
      </w:tr>
      <w:tr w14:paraId="55BA2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24BB4F9">
            <w:pPr>
              <w:pStyle w:val="17"/>
              <w:spacing w:before="34"/>
              <w:ind w:right="169"/>
              <w:jc w:val="right"/>
              <w:rPr>
                <w:rFonts w:ascii="Times New Roman"/>
                <w:sz w:val="21"/>
              </w:rPr>
            </w:pPr>
            <w:r>
              <w:rPr>
                <w:rFonts w:ascii="Times New Roman"/>
                <w:w w:val="99"/>
                <w:sz w:val="21"/>
              </w:rPr>
              <w:t>3</w:t>
            </w:r>
          </w:p>
        </w:tc>
        <w:tc>
          <w:tcPr>
            <w:tcW w:w="1577" w:type="dxa"/>
          </w:tcPr>
          <w:p w14:paraId="7726BEDF">
            <w:pPr>
              <w:pStyle w:val="17"/>
              <w:spacing w:before="21"/>
              <w:ind w:left="136" w:right="130"/>
              <w:rPr>
                <w:sz w:val="21"/>
              </w:rPr>
            </w:pPr>
            <w:r>
              <w:rPr>
                <w:sz w:val="21"/>
              </w:rPr>
              <w:t>新桥村</w:t>
            </w:r>
          </w:p>
        </w:tc>
        <w:tc>
          <w:tcPr>
            <w:tcW w:w="826" w:type="dxa"/>
          </w:tcPr>
          <w:p w14:paraId="628165FC">
            <w:pPr>
              <w:pStyle w:val="17"/>
              <w:spacing w:before="34"/>
              <w:ind w:left="107"/>
              <w:jc w:val="left"/>
              <w:rPr>
                <w:rFonts w:ascii="Times New Roman"/>
                <w:sz w:val="21"/>
              </w:rPr>
            </w:pPr>
            <w:r>
              <w:rPr>
                <w:rFonts w:ascii="Times New Roman"/>
                <w:sz w:val="21"/>
              </w:rPr>
              <w:t>-795</w:t>
            </w:r>
          </w:p>
        </w:tc>
        <w:tc>
          <w:tcPr>
            <w:tcW w:w="761" w:type="dxa"/>
          </w:tcPr>
          <w:p w14:paraId="569078DF">
            <w:pPr>
              <w:pStyle w:val="17"/>
              <w:spacing w:before="34"/>
              <w:ind w:left="85" w:right="129"/>
              <w:rPr>
                <w:rFonts w:ascii="Times New Roman"/>
                <w:sz w:val="21"/>
              </w:rPr>
            </w:pPr>
            <w:r>
              <w:rPr>
                <w:rFonts w:ascii="Times New Roman"/>
                <w:sz w:val="21"/>
              </w:rPr>
              <w:t>-1454</w:t>
            </w:r>
          </w:p>
        </w:tc>
        <w:tc>
          <w:tcPr>
            <w:tcW w:w="823" w:type="dxa"/>
          </w:tcPr>
          <w:p w14:paraId="6A752B21">
            <w:pPr>
              <w:pStyle w:val="17"/>
              <w:spacing w:before="34"/>
              <w:ind w:left="154" w:right="146"/>
              <w:rPr>
                <w:rFonts w:ascii="Times New Roman"/>
                <w:sz w:val="21"/>
              </w:rPr>
            </w:pPr>
            <w:r>
              <w:rPr>
                <w:rFonts w:ascii="Times New Roman"/>
                <w:sz w:val="21"/>
              </w:rPr>
              <w:t>68</w:t>
            </w:r>
          </w:p>
        </w:tc>
        <w:tc>
          <w:tcPr>
            <w:tcW w:w="777" w:type="dxa"/>
          </w:tcPr>
          <w:p w14:paraId="2175CA85">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0B64699C">
            <w:pPr>
              <w:pStyle w:val="17"/>
              <w:spacing w:before="34"/>
              <w:ind w:left="188" w:right="180"/>
              <w:rPr>
                <w:rFonts w:ascii="Times New Roman"/>
                <w:sz w:val="21"/>
              </w:rPr>
            </w:pPr>
            <w:r>
              <w:rPr>
                <w:rFonts w:ascii="Times New Roman"/>
                <w:sz w:val="21"/>
              </w:rPr>
              <w:t>1.73E+02</w:t>
            </w:r>
          </w:p>
        </w:tc>
        <w:tc>
          <w:tcPr>
            <w:tcW w:w="1317" w:type="dxa"/>
          </w:tcPr>
          <w:p w14:paraId="567E81E2">
            <w:pPr>
              <w:pStyle w:val="17"/>
              <w:spacing w:before="34"/>
              <w:ind w:left="108" w:right="98"/>
              <w:rPr>
                <w:rFonts w:ascii="Times New Roman"/>
                <w:sz w:val="21"/>
              </w:rPr>
            </w:pPr>
            <w:r>
              <w:rPr>
                <w:rFonts w:ascii="Times New Roman"/>
                <w:sz w:val="21"/>
              </w:rPr>
              <w:t>23082004</w:t>
            </w:r>
          </w:p>
        </w:tc>
        <w:tc>
          <w:tcPr>
            <w:tcW w:w="1230" w:type="dxa"/>
          </w:tcPr>
          <w:p w14:paraId="14E1B73B">
            <w:pPr>
              <w:pStyle w:val="17"/>
              <w:spacing w:before="34"/>
              <w:ind w:left="175" w:right="166"/>
              <w:rPr>
                <w:rFonts w:ascii="Times New Roman"/>
                <w:sz w:val="21"/>
              </w:rPr>
            </w:pPr>
            <w:r>
              <w:rPr>
                <w:rFonts w:ascii="Times New Roman"/>
                <w:sz w:val="21"/>
              </w:rPr>
              <w:t>1.72E+00</w:t>
            </w:r>
          </w:p>
        </w:tc>
        <w:tc>
          <w:tcPr>
            <w:tcW w:w="1725" w:type="dxa"/>
          </w:tcPr>
          <w:p w14:paraId="7828B6ED">
            <w:pPr>
              <w:pStyle w:val="17"/>
              <w:spacing w:before="34"/>
              <w:ind w:left="419" w:right="413"/>
              <w:rPr>
                <w:rFonts w:ascii="Times New Roman"/>
                <w:sz w:val="21"/>
              </w:rPr>
            </w:pPr>
            <w:r>
              <w:rPr>
                <w:rFonts w:ascii="Times New Roman"/>
                <w:sz w:val="21"/>
              </w:rPr>
              <w:t>1.75E+02</w:t>
            </w:r>
          </w:p>
        </w:tc>
        <w:tc>
          <w:tcPr>
            <w:tcW w:w="1230" w:type="dxa"/>
          </w:tcPr>
          <w:p w14:paraId="0E8125BE">
            <w:pPr>
              <w:pStyle w:val="17"/>
              <w:spacing w:before="34"/>
              <w:ind w:left="174" w:right="166"/>
              <w:rPr>
                <w:rFonts w:ascii="Times New Roman"/>
                <w:sz w:val="21"/>
              </w:rPr>
            </w:pPr>
            <w:r>
              <w:rPr>
                <w:rFonts w:ascii="Times New Roman"/>
                <w:sz w:val="21"/>
              </w:rPr>
              <w:t>2.00E+03</w:t>
            </w:r>
          </w:p>
        </w:tc>
        <w:tc>
          <w:tcPr>
            <w:tcW w:w="1517" w:type="dxa"/>
          </w:tcPr>
          <w:p w14:paraId="4F652AB9">
            <w:pPr>
              <w:pStyle w:val="17"/>
              <w:spacing w:before="34"/>
              <w:ind w:left="499" w:right="492"/>
              <w:rPr>
                <w:rFonts w:ascii="Times New Roman"/>
                <w:sz w:val="21"/>
              </w:rPr>
            </w:pPr>
            <w:r>
              <w:rPr>
                <w:rFonts w:ascii="Times New Roman"/>
                <w:sz w:val="21"/>
              </w:rPr>
              <w:t>8.75</w:t>
            </w:r>
          </w:p>
        </w:tc>
        <w:tc>
          <w:tcPr>
            <w:tcW w:w="712" w:type="dxa"/>
            <w:tcBorders>
              <w:right w:val="nil"/>
            </w:tcBorders>
          </w:tcPr>
          <w:p w14:paraId="6E556882">
            <w:pPr>
              <w:pStyle w:val="17"/>
              <w:spacing w:before="18"/>
              <w:ind w:left="122" w:right="121"/>
              <w:rPr>
                <w:sz w:val="21"/>
              </w:rPr>
            </w:pPr>
            <w:r>
              <w:rPr>
                <w:sz w:val="21"/>
              </w:rPr>
              <w:t>达标</w:t>
            </w:r>
          </w:p>
        </w:tc>
      </w:tr>
      <w:tr w14:paraId="19E5F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04F71D4">
            <w:pPr>
              <w:pStyle w:val="17"/>
              <w:spacing w:before="34"/>
              <w:ind w:right="169"/>
              <w:jc w:val="right"/>
              <w:rPr>
                <w:rFonts w:ascii="Times New Roman"/>
                <w:sz w:val="21"/>
              </w:rPr>
            </w:pPr>
            <w:r>
              <w:rPr>
                <w:rFonts w:ascii="Times New Roman"/>
                <w:w w:val="99"/>
                <w:sz w:val="21"/>
              </w:rPr>
              <w:t>4</w:t>
            </w:r>
          </w:p>
        </w:tc>
        <w:tc>
          <w:tcPr>
            <w:tcW w:w="1577" w:type="dxa"/>
          </w:tcPr>
          <w:p w14:paraId="2708F154">
            <w:pPr>
              <w:pStyle w:val="17"/>
              <w:spacing w:before="20"/>
              <w:ind w:left="133" w:right="130"/>
              <w:rPr>
                <w:sz w:val="21"/>
              </w:rPr>
            </w:pPr>
            <w:r>
              <w:rPr>
                <w:sz w:val="21"/>
              </w:rPr>
              <w:t>童家塅村</w:t>
            </w:r>
          </w:p>
        </w:tc>
        <w:tc>
          <w:tcPr>
            <w:tcW w:w="826" w:type="dxa"/>
          </w:tcPr>
          <w:p w14:paraId="313F27C9">
            <w:pPr>
              <w:pStyle w:val="17"/>
              <w:spacing w:before="34"/>
              <w:ind w:left="107"/>
              <w:jc w:val="left"/>
              <w:rPr>
                <w:rFonts w:ascii="Times New Roman"/>
                <w:sz w:val="21"/>
              </w:rPr>
            </w:pPr>
            <w:r>
              <w:rPr>
                <w:rFonts w:ascii="Times New Roman"/>
                <w:sz w:val="21"/>
              </w:rPr>
              <w:t>-4436</w:t>
            </w:r>
          </w:p>
        </w:tc>
        <w:tc>
          <w:tcPr>
            <w:tcW w:w="761" w:type="dxa"/>
          </w:tcPr>
          <w:p w14:paraId="20031FF0">
            <w:pPr>
              <w:pStyle w:val="17"/>
              <w:spacing w:before="34"/>
              <w:ind w:left="19" w:right="238"/>
              <w:rPr>
                <w:rFonts w:ascii="Times New Roman"/>
                <w:sz w:val="21"/>
              </w:rPr>
            </w:pPr>
            <w:r>
              <w:rPr>
                <w:rFonts w:ascii="Times New Roman"/>
                <w:sz w:val="21"/>
              </w:rPr>
              <w:t>374</w:t>
            </w:r>
          </w:p>
        </w:tc>
        <w:tc>
          <w:tcPr>
            <w:tcW w:w="823" w:type="dxa"/>
          </w:tcPr>
          <w:p w14:paraId="2EA81C88">
            <w:pPr>
              <w:pStyle w:val="17"/>
              <w:spacing w:before="34"/>
              <w:ind w:left="154" w:right="146"/>
              <w:rPr>
                <w:rFonts w:ascii="Times New Roman"/>
                <w:sz w:val="21"/>
              </w:rPr>
            </w:pPr>
            <w:r>
              <w:rPr>
                <w:rFonts w:ascii="Times New Roman"/>
                <w:sz w:val="21"/>
              </w:rPr>
              <w:t>43.33</w:t>
            </w:r>
          </w:p>
        </w:tc>
        <w:tc>
          <w:tcPr>
            <w:tcW w:w="777" w:type="dxa"/>
          </w:tcPr>
          <w:p w14:paraId="58421312">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2F813A51">
            <w:pPr>
              <w:pStyle w:val="17"/>
              <w:spacing w:before="34"/>
              <w:ind w:left="188" w:right="180"/>
              <w:rPr>
                <w:rFonts w:ascii="Times New Roman"/>
                <w:sz w:val="21"/>
              </w:rPr>
            </w:pPr>
            <w:r>
              <w:rPr>
                <w:rFonts w:ascii="Times New Roman"/>
                <w:sz w:val="21"/>
              </w:rPr>
              <w:t>8.51E+01</w:t>
            </w:r>
          </w:p>
        </w:tc>
        <w:tc>
          <w:tcPr>
            <w:tcW w:w="1317" w:type="dxa"/>
          </w:tcPr>
          <w:p w14:paraId="20D4253C">
            <w:pPr>
              <w:pStyle w:val="17"/>
              <w:spacing w:before="34"/>
              <w:ind w:left="108" w:right="98"/>
              <w:rPr>
                <w:rFonts w:ascii="Times New Roman"/>
                <w:sz w:val="21"/>
              </w:rPr>
            </w:pPr>
            <w:r>
              <w:rPr>
                <w:rFonts w:ascii="Times New Roman"/>
                <w:sz w:val="21"/>
              </w:rPr>
              <w:t>23062304</w:t>
            </w:r>
          </w:p>
        </w:tc>
        <w:tc>
          <w:tcPr>
            <w:tcW w:w="1230" w:type="dxa"/>
          </w:tcPr>
          <w:p w14:paraId="1A029430">
            <w:pPr>
              <w:pStyle w:val="17"/>
              <w:spacing w:before="34"/>
              <w:ind w:left="175" w:right="166"/>
              <w:rPr>
                <w:rFonts w:ascii="Times New Roman"/>
                <w:sz w:val="21"/>
              </w:rPr>
            </w:pPr>
            <w:r>
              <w:rPr>
                <w:rFonts w:ascii="Times New Roman"/>
                <w:sz w:val="21"/>
              </w:rPr>
              <w:t>1.72E+00</w:t>
            </w:r>
          </w:p>
        </w:tc>
        <w:tc>
          <w:tcPr>
            <w:tcW w:w="1725" w:type="dxa"/>
          </w:tcPr>
          <w:p w14:paraId="1E518306">
            <w:pPr>
              <w:pStyle w:val="17"/>
              <w:spacing w:before="34"/>
              <w:ind w:left="419" w:right="413"/>
              <w:rPr>
                <w:rFonts w:ascii="Times New Roman"/>
                <w:sz w:val="21"/>
              </w:rPr>
            </w:pPr>
            <w:r>
              <w:rPr>
                <w:rFonts w:ascii="Times New Roman"/>
                <w:sz w:val="21"/>
              </w:rPr>
              <w:t>8.68E+01</w:t>
            </w:r>
          </w:p>
        </w:tc>
        <w:tc>
          <w:tcPr>
            <w:tcW w:w="1230" w:type="dxa"/>
          </w:tcPr>
          <w:p w14:paraId="45E352AC">
            <w:pPr>
              <w:pStyle w:val="17"/>
              <w:spacing w:before="34"/>
              <w:ind w:left="174" w:right="166"/>
              <w:rPr>
                <w:rFonts w:ascii="Times New Roman"/>
                <w:sz w:val="21"/>
              </w:rPr>
            </w:pPr>
            <w:r>
              <w:rPr>
                <w:rFonts w:ascii="Times New Roman"/>
                <w:sz w:val="21"/>
              </w:rPr>
              <w:t>2.00E+03</w:t>
            </w:r>
          </w:p>
        </w:tc>
        <w:tc>
          <w:tcPr>
            <w:tcW w:w="1517" w:type="dxa"/>
          </w:tcPr>
          <w:p w14:paraId="0553A23C">
            <w:pPr>
              <w:pStyle w:val="17"/>
              <w:spacing w:before="34"/>
              <w:ind w:left="499" w:right="492"/>
              <w:rPr>
                <w:rFonts w:ascii="Times New Roman"/>
                <w:sz w:val="21"/>
              </w:rPr>
            </w:pPr>
            <w:r>
              <w:rPr>
                <w:rFonts w:ascii="Times New Roman"/>
                <w:sz w:val="21"/>
              </w:rPr>
              <w:t>4.34</w:t>
            </w:r>
          </w:p>
        </w:tc>
        <w:tc>
          <w:tcPr>
            <w:tcW w:w="712" w:type="dxa"/>
            <w:tcBorders>
              <w:right w:val="nil"/>
            </w:tcBorders>
          </w:tcPr>
          <w:p w14:paraId="7B016FB3">
            <w:pPr>
              <w:pStyle w:val="17"/>
              <w:spacing w:before="18"/>
              <w:ind w:left="122" w:right="121"/>
              <w:rPr>
                <w:sz w:val="21"/>
              </w:rPr>
            </w:pPr>
            <w:r>
              <w:rPr>
                <w:sz w:val="21"/>
              </w:rPr>
              <w:t>达标</w:t>
            </w:r>
          </w:p>
        </w:tc>
      </w:tr>
      <w:tr w14:paraId="2527C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F55714A">
            <w:pPr>
              <w:pStyle w:val="17"/>
              <w:spacing w:before="34"/>
              <w:ind w:right="169"/>
              <w:jc w:val="right"/>
              <w:rPr>
                <w:rFonts w:ascii="Times New Roman"/>
                <w:sz w:val="21"/>
              </w:rPr>
            </w:pPr>
            <w:r>
              <w:rPr>
                <w:rFonts w:ascii="Times New Roman"/>
                <w:w w:val="99"/>
                <w:sz w:val="21"/>
              </w:rPr>
              <w:t>5</w:t>
            </w:r>
          </w:p>
        </w:tc>
        <w:tc>
          <w:tcPr>
            <w:tcW w:w="1577" w:type="dxa"/>
          </w:tcPr>
          <w:p w14:paraId="3C6A9ABC">
            <w:pPr>
              <w:pStyle w:val="17"/>
              <w:spacing w:before="20"/>
              <w:ind w:left="136" w:right="130"/>
              <w:rPr>
                <w:sz w:val="21"/>
              </w:rPr>
            </w:pPr>
            <w:r>
              <w:rPr>
                <w:sz w:val="21"/>
              </w:rPr>
              <w:t>武莲村</w:t>
            </w:r>
          </w:p>
        </w:tc>
        <w:tc>
          <w:tcPr>
            <w:tcW w:w="826" w:type="dxa"/>
          </w:tcPr>
          <w:p w14:paraId="2302CEF5">
            <w:pPr>
              <w:pStyle w:val="17"/>
              <w:spacing w:before="34"/>
              <w:ind w:left="107"/>
              <w:jc w:val="left"/>
              <w:rPr>
                <w:rFonts w:ascii="Times New Roman"/>
                <w:sz w:val="21"/>
              </w:rPr>
            </w:pPr>
            <w:r>
              <w:rPr>
                <w:rFonts w:ascii="Times New Roman"/>
                <w:sz w:val="21"/>
              </w:rPr>
              <w:t>-63</w:t>
            </w:r>
          </w:p>
        </w:tc>
        <w:tc>
          <w:tcPr>
            <w:tcW w:w="761" w:type="dxa"/>
          </w:tcPr>
          <w:p w14:paraId="21919873">
            <w:pPr>
              <w:pStyle w:val="17"/>
              <w:spacing w:before="34"/>
              <w:ind w:left="11" w:right="132"/>
              <w:rPr>
                <w:rFonts w:ascii="Times New Roman"/>
                <w:sz w:val="21"/>
              </w:rPr>
            </w:pPr>
            <w:r>
              <w:rPr>
                <w:rFonts w:ascii="Times New Roman"/>
                <w:sz w:val="21"/>
              </w:rPr>
              <w:t>1191</w:t>
            </w:r>
          </w:p>
        </w:tc>
        <w:tc>
          <w:tcPr>
            <w:tcW w:w="823" w:type="dxa"/>
          </w:tcPr>
          <w:p w14:paraId="322922B1">
            <w:pPr>
              <w:pStyle w:val="17"/>
              <w:spacing w:before="34"/>
              <w:ind w:left="154" w:right="146"/>
              <w:rPr>
                <w:rFonts w:ascii="Times New Roman"/>
                <w:sz w:val="21"/>
              </w:rPr>
            </w:pPr>
            <w:r>
              <w:rPr>
                <w:rFonts w:ascii="Times New Roman"/>
                <w:sz w:val="21"/>
              </w:rPr>
              <w:t>39.28</w:t>
            </w:r>
          </w:p>
        </w:tc>
        <w:tc>
          <w:tcPr>
            <w:tcW w:w="777" w:type="dxa"/>
          </w:tcPr>
          <w:p w14:paraId="02D773D6">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1E9A6C75">
            <w:pPr>
              <w:pStyle w:val="17"/>
              <w:spacing w:before="34"/>
              <w:ind w:left="188" w:right="180"/>
              <w:rPr>
                <w:rFonts w:ascii="Times New Roman"/>
                <w:sz w:val="21"/>
              </w:rPr>
            </w:pPr>
            <w:r>
              <w:rPr>
                <w:rFonts w:ascii="Times New Roman"/>
                <w:sz w:val="21"/>
              </w:rPr>
              <w:t>1.64E+02</w:t>
            </w:r>
          </w:p>
        </w:tc>
        <w:tc>
          <w:tcPr>
            <w:tcW w:w="1317" w:type="dxa"/>
          </w:tcPr>
          <w:p w14:paraId="077322A2">
            <w:pPr>
              <w:pStyle w:val="17"/>
              <w:spacing w:before="34"/>
              <w:ind w:left="108" w:right="98"/>
              <w:rPr>
                <w:rFonts w:ascii="Times New Roman"/>
                <w:sz w:val="21"/>
              </w:rPr>
            </w:pPr>
            <w:r>
              <w:rPr>
                <w:rFonts w:ascii="Times New Roman"/>
                <w:sz w:val="21"/>
              </w:rPr>
              <w:t>23020721</w:t>
            </w:r>
          </w:p>
        </w:tc>
        <w:tc>
          <w:tcPr>
            <w:tcW w:w="1230" w:type="dxa"/>
          </w:tcPr>
          <w:p w14:paraId="05E9E09D">
            <w:pPr>
              <w:pStyle w:val="17"/>
              <w:spacing w:before="34"/>
              <w:ind w:left="175" w:right="166"/>
              <w:rPr>
                <w:rFonts w:ascii="Times New Roman"/>
                <w:sz w:val="21"/>
              </w:rPr>
            </w:pPr>
            <w:r>
              <w:rPr>
                <w:rFonts w:ascii="Times New Roman"/>
                <w:sz w:val="21"/>
              </w:rPr>
              <w:t>1.72E+00</w:t>
            </w:r>
          </w:p>
        </w:tc>
        <w:tc>
          <w:tcPr>
            <w:tcW w:w="1725" w:type="dxa"/>
          </w:tcPr>
          <w:p w14:paraId="0808F09E">
            <w:pPr>
              <w:pStyle w:val="17"/>
              <w:spacing w:before="34"/>
              <w:ind w:left="419" w:right="413"/>
              <w:rPr>
                <w:rFonts w:ascii="Times New Roman"/>
                <w:sz w:val="21"/>
              </w:rPr>
            </w:pPr>
            <w:r>
              <w:rPr>
                <w:rFonts w:ascii="Times New Roman"/>
                <w:sz w:val="21"/>
              </w:rPr>
              <w:t>1.65E+02</w:t>
            </w:r>
          </w:p>
        </w:tc>
        <w:tc>
          <w:tcPr>
            <w:tcW w:w="1230" w:type="dxa"/>
          </w:tcPr>
          <w:p w14:paraId="776978CD">
            <w:pPr>
              <w:pStyle w:val="17"/>
              <w:spacing w:before="34"/>
              <w:ind w:left="174" w:right="166"/>
              <w:rPr>
                <w:rFonts w:ascii="Times New Roman"/>
                <w:sz w:val="21"/>
              </w:rPr>
            </w:pPr>
            <w:r>
              <w:rPr>
                <w:rFonts w:ascii="Times New Roman"/>
                <w:sz w:val="21"/>
              </w:rPr>
              <w:t>2.00E+03</w:t>
            </w:r>
          </w:p>
        </w:tc>
        <w:tc>
          <w:tcPr>
            <w:tcW w:w="1517" w:type="dxa"/>
          </w:tcPr>
          <w:p w14:paraId="385749B8">
            <w:pPr>
              <w:pStyle w:val="17"/>
              <w:spacing w:before="34"/>
              <w:ind w:left="499" w:right="492"/>
              <w:rPr>
                <w:rFonts w:ascii="Times New Roman"/>
                <w:sz w:val="21"/>
              </w:rPr>
            </w:pPr>
            <w:r>
              <w:rPr>
                <w:rFonts w:ascii="Times New Roman"/>
                <w:sz w:val="21"/>
              </w:rPr>
              <w:t>8.27</w:t>
            </w:r>
          </w:p>
        </w:tc>
        <w:tc>
          <w:tcPr>
            <w:tcW w:w="712" w:type="dxa"/>
            <w:tcBorders>
              <w:right w:val="nil"/>
            </w:tcBorders>
          </w:tcPr>
          <w:p w14:paraId="480DDCB4">
            <w:pPr>
              <w:pStyle w:val="17"/>
              <w:spacing w:before="20"/>
              <w:ind w:left="122" w:right="121"/>
              <w:rPr>
                <w:sz w:val="21"/>
              </w:rPr>
            </w:pPr>
            <w:r>
              <w:rPr>
                <w:sz w:val="21"/>
              </w:rPr>
              <w:t>达标</w:t>
            </w:r>
          </w:p>
        </w:tc>
      </w:tr>
      <w:tr w14:paraId="319BB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7FE65C4">
            <w:pPr>
              <w:pStyle w:val="17"/>
              <w:spacing w:before="33"/>
              <w:ind w:right="169"/>
              <w:jc w:val="right"/>
              <w:rPr>
                <w:rFonts w:ascii="Times New Roman"/>
                <w:sz w:val="21"/>
              </w:rPr>
            </w:pPr>
            <w:r>
              <w:rPr>
                <w:rFonts w:ascii="Times New Roman"/>
                <w:w w:val="99"/>
                <w:sz w:val="21"/>
              </w:rPr>
              <w:t>6</w:t>
            </w:r>
          </w:p>
        </w:tc>
        <w:tc>
          <w:tcPr>
            <w:tcW w:w="1577" w:type="dxa"/>
          </w:tcPr>
          <w:p w14:paraId="3069D432">
            <w:pPr>
              <w:pStyle w:val="17"/>
              <w:spacing w:before="19"/>
              <w:ind w:left="136" w:right="130"/>
              <w:rPr>
                <w:sz w:val="21"/>
              </w:rPr>
            </w:pPr>
            <w:r>
              <w:rPr>
                <w:sz w:val="21"/>
              </w:rPr>
              <w:t>三和村</w:t>
            </w:r>
          </w:p>
        </w:tc>
        <w:tc>
          <w:tcPr>
            <w:tcW w:w="826" w:type="dxa"/>
          </w:tcPr>
          <w:p w14:paraId="74604332">
            <w:pPr>
              <w:pStyle w:val="17"/>
              <w:spacing w:before="33"/>
              <w:ind w:right="189"/>
              <w:jc w:val="right"/>
              <w:rPr>
                <w:rFonts w:ascii="Times New Roman"/>
                <w:sz w:val="21"/>
              </w:rPr>
            </w:pPr>
            <w:r>
              <w:rPr>
                <w:rFonts w:ascii="Times New Roman"/>
                <w:sz w:val="21"/>
              </w:rPr>
              <w:t>1237</w:t>
            </w:r>
          </w:p>
        </w:tc>
        <w:tc>
          <w:tcPr>
            <w:tcW w:w="761" w:type="dxa"/>
          </w:tcPr>
          <w:p w14:paraId="0F60D639">
            <w:pPr>
              <w:pStyle w:val="17"/>
              <w:spacing w:before="33"/>
              <w:ind w:left="85" w:right="77"/>
              <w:rPr>
                <w:rFonts w:ascii="Times New Roman"/>
                <w:sz w:val="21"/>
              </w:rPr>
            </w:pPr>
            <w:r>
              <w:rPr>
                <w:rFonts w:ascii="Times New Roman"/>
                <w:sz w:val="21"/>
              </w:rPr>
              <w:t>1042</w:t>
            </w:r>
          </w:p>
        </w:tc>
        <w:tc>
          <w:tcPr>
            <w:tcW w:w="823" w:type="dxa"/>
          </w:tcPr>
          <w:p w14:paraId="64FF4345">
            <w:pPr>
              <w:pStyle w:val="17"/>
              <w:spacing w:before="33"/>
              <w:ind w:left="154" w:right="146"/>
              <w:rPr>
                <w:rFonts w:ascii="Times New Roman"/>
                <w:sz w:val="21"/>
              </w:rPr>
            </w:pPr>
            <w:r>
              <w:rPr>
                <w:rFonts w:ascii="Times New Roman"/>
                <w:sz w:val="21"/>
              </w:rPr>
              <w:t>61.08</w:t>
            </w:r>
          </w:p>
        </w:tc>
        <w:tc>
          <w:tcPr>
            <w:tcW w:w="777" w:type="dxa"/>
          </w:tcPr>
          <w:p w14:paraId="58895CF9">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10DED339">
            <w:pPr>
              <w:pStyle w:val="17"/>
              <w:spacing w:before="33"/>
              <w:ind w:left="188" w:right="180"/>
              <w:rPr>
                <w:rFonts w:ascii="Times New Roman"/>
                <w:sz w:val="21"/>
              </w:rPr>
            </w:pPr>
            <w:r>
              <w:rPr>
                <w:rFonts w:ascii="Times New Roman"/>
                <w:sz w:val="21"/>
              </w:rPr>
              <w:t>1.23E+02</w:t>
            </w:r>
          </w:p>
        </w:tc>
        <w:tc>
          <w:tcPr>
            <w:tcW w:w="1317" w:type="dxa"/>
          </w:tcPr>
          <w:p w14:paraId="63B57F17">
            <w:pPr>
              <w:pStyle w:val="17"/>
              <w:spacing w:before="33"/>
              <w:ind w:left="108" w:right="98"/>
              <w:rPr>
                <w:rFonts w:ascii="Times New Roman"/>
                <w:sz w:val="21"/>
              </w:rPr>
            </w:pPr>
            <w:r>
              <w:rPr>
                <w:rFonts w:ascii="Times New Roman"/>
                <w:sz w:val="21"/>
              </w:rPr>
              <w:t>23080401</w:t>
            </w:r>
          </w:p>
        </w:tc>
        <w:tc>
          <w:tcPr>
            <w:tcW w:w="1230" w:type="dxa"/>
          </w:tcPr>
          <w:p w14:paraId="3F2D9298">
            <w:pPr>
              <w:pStyle w:val="17"/>
              <w:spacing w:before="33"/>
              <w:ind w:left="175" w:right="166"/>
              <w:rPr>
                <w:rFonts w:ascii="Times New Roman"/>
                <w:sz w:val="21"/>
              </w:rPr>
            </w:pPr>
            <w:r>
              <w:rPr>
                <w:rFonts w:ascii="Times New Roman"/>
                <w:sz w:val="21"/>
              </w:rPr>
              <w:t>1.72E+00</w:t>
            </w:r>
          </w:p>
        </w:tc>
        <w:tc>
          <w:tcPr>
            <w:tcW w:w="1725" w:type="dxa"/>
          </w:tcPr>
          <w:p w14:paraId="4F7C177F">
            <w:pPr>
              <w:pStyle w:val="17"/>
              <w:spacing w:before="33"/>
              <w:ind w:left="419" w:right="413"/>
              <w:rPr>
                <w:rFonts w:ascii="Times New Roman"/>
                <w:sz w:val="21"/>
              </w:rPr>
            </w:pPr>
            <w:r>
              <w:rPr>
                <w:rFonts w:ascii="Times New Roman"/>
                <w:sz w:val="21"/>
              </w:rPr>
              <w:t>1.24E+02</w:t>
            </w:r>
          </w:p>
        </w:tc>
        <w:tc>
          <w:tcPr>
            <w:tcW w:w="1230" w:type="dxa"/>
          </w:tcPr>
          <w:p w14:paraId="4E7A6432">
            <w:pPr>
              <w:pStyle w:val="17"/>
              <w:spacing w:before="33"/>
              <w:ind w:left="174" w:right="166"/>
              <w:rPr>
                <w:rFonts w:ascii="Times New Roman"/>
                <w:sz w:val="21"/>
              </w:rPr>
            </w:pPr>
            <w:r>
              <w:rPr>
                <w:rFonts w:ascii="Times New Roman"/>
                <w:sz w:val="21"/>
              </w:rPr>
              <w:t>2.00E+03</w:t>
            </w:r>
          </w:p>
        </w:tc>
        <w:tc>
          <w:tcPr>
            <w:tcW w:w="1517" w:type="dxa"/>
          </w:tcPr>
          <w:p w14:paraId="4EC40135">
            <w:pPr>
              <w:pStyle w:val="17"/>
              <w:spacing w:before="33"/>
              <w:ind w:left="499" w:right="492"/>
              <w:rPr>
                <w:rFonts w:ascii="Times New Roman"/>
                <w:sz w:val="21"/>
              </w:rPr>
            </w:pPr>
            <w:r>
              <w:rPr>
                <w:rFonts w:ascii="Times New Roman"/>
                <w:sz w:val="21"/>
              </w:rPr>
              <w:t>6.22</w:t>
            </w:r>
          </w:p>
        </w:tc>
        <w:tc>
          <w:tcPr>
            <w:tcW w:w="712" w:type="dxa"/>
            <w:tcBorders>
              <w:right w:val="nil"/>
            </w:tcBorders>
          </w:tcPr>
          <w:p w14:paraId="01ED6556">
            <w:pPr>
              <w:pStyle w:val="17"/>
              <w:spacing w:before="19"/>
              <w:ind w:left="122" w:right="121"/>
              <w:rPr>
                <w:sz w:val="21"/>
              </w:rPr>
            </w:pPr>
            <w:r>
              <w:rPr>
                <w:sz w:val="21"/>
              </w:rPr>
              <w:t>达标</w:t>
            </w:r>
          </w:p>
        </w:tc>
      </w:tr>
      <w:tr w14:paraId="7AB14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9FDCE95">
            <w:pPr>
              <w:pStyle w:val="17"/>
              <w:spacing w:before="33"/>
              <w:ind w:right="169"/>
              <w:jc w:val="right"/>
              <w:rPr>
                <w:rFonts w:ascii="Times New Roman"/>
                <w:sz w:val="21"/>
              </w:rPr>
            </w:pPr>
            <w:r>
              <w:rPr>
                <w:rFonts w:ascii="Times New Roman"/>
                <w:w w:val="99"/>
                <w:sz w:val="21"/>
              </w:rPr>
              <w:t>7</w:t>
            </w:r>
          </w:p>
        </w:tc>
        <w:tc>
          <w:tcPr>
            <w:tcW w:w="1577" w:type="dxa"/>
          </w:tcPr>
          <w:p w14:paraId="32BC8651">
            <w:pPr>
              <w:pStyle w:val="17"/>
              <w:spacing w:before="19"/>
              <w:ind w:left="133" w:right="130"/>
              <w:rPr>
                <w:sz w:val="21"/>
              </w:rPr>
            </w:pPr>
            <w:r>
              <w:rPr>
                <w:sz w:val="21"/>
              </w:rPr>
              <w:t>中家桥村</w:t>
            </w:r>
          </w:p>
        </w:tc>
        <w:tc>
          <w:tcPr>
            <w:tcW w:w="826" w:type="dxa"/>
          </w:tcPr>
          <w:p w14:paraId="79E92CDB">
            <w:pPr>
              <w:pStyle w:val="17"/>
              <w:spacing w:before="33"/>
              <w:ind w:left="107"/>
              <w:jc w:val="left"/>
              <w:rPr>
                <w:rFonts w:ascii="Times New Roman"/>
                <w:sz w:val="21"/>
              </w:rPr>
            </w:pPr>
            <w:r>
              <w:rPr>
                <w:rFonts w:ascii="Times New Roman"/>
                <w:sz w:val="21"/>
              </w:rPr>
              <w:t>961</w:t>
            </w:r>
          </w:p>
        </w:tc>
        <w:tc>
          <w:tcPr>
            <w:tcW w:w="761" w:type="dxa"/>
          </w:tcPr>
          <w:p w14:paraId="34743053">
            <w:pPr>
              <w:pStyle w:val="17"/>
              <w:spacing w:before="33"/>
              <w:ind w:left="85" w:right="235"/>
              <w:rPr>
                <w:rFonts w:ascii="Times New Roman"/>
                <w:sz w:val="21"/>
              </w:rPr>
            </w:pPr>
            <w:r>
              <w:rPr>
                <w:rFonts w:ascii="Times New Roman"/>
                <w:sz w:val="21"/>
              </w:rPr>
              <w:t>-813</w:t>
            </w:r>
          </w:p>
        </w:tc>
        <w:tc>
          <w:tcPr>
            <w:tcW w:w="823" w:type="dxa"/>
          </w:tcPr>
          <w:p w14:paraId="5BD60F3F">
            <w:pPr>
              <w:pStyle w:val="17"/>
              <w:spacing w:before="33"/>
              <w:ind w:left="154" w:right="146"/>
              <w:rPr>
                <w:rFonts w:ascii="Times New Roman"/>
                <w:sz w:val="21"/>
              </w:rPr>
            </w:pPr>
            <w:r>
              <w:rPr>
                <w:rFonts w:ascii="Times New Roman"/>
                <w:sz w:val="21"/>
              </w:rPr>
              <w:t>49.12</w:t>
            </w:r>
          </w:p>
        </w:tc>
        <w:tc>
          <w:tcPr>
            <w:tcW w:w="777" w:type="dxa"/>
          </w:tcPr>
          <w:p w14:paraId="7F3B9112">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4580051E">
            <w:pPr>
              <w:pStyle w:val="17"/>
              <w:spacing w:before="33"/>
              <w:ind w:left="188" w:right="180"/>
              <w:rPr>
                <w:rFonts w:ascii="Times New Roman"/>
                <w:sz w:val="21"/>
              </w:rPr>
            </w:pPr>
            <w:r>
              <w:rPr>
                <w:rFonts w:ascii="Times New Roman"/>
                <w:sz w:val="21"/>
              </w:rPr>
              <w:t>1.25E+02</w:t>
            </w:r>
          </w:p>
        </w:tc>
        <w:tc>
          <w:tcPr>
            <w:tcW w:w="1317" w:type="dxa"/>
          </w:tcPr>
          <w:p w14:paraId="39BCCEF2">
            <w:pPr>
              <w:pStyle w:val="17"/>
              <w:spacing w:before="33"/>
              <w:ind w:left="108" w:right="98"/>
              <w:rPr>
                <w:rFonts w:ascii="Times New Roman"/>
                <w:sz w:val="21"/>
              </w:rPr>
            </w:pPr>
            <w:r>
              <w:rPr>
                <w:rFonts w:ascii="Times New Roman"/>
                <w:sz w:val="21"/>
              </w:rPr>
              <w:t>23122707</w:t>
            </w:r>
          </w:p>
        </w:tc>
        <w:tc>
          <w:tcPr>
            <w:tcW w:w="1230" w:type="dxa"/>
          </w:tcPr>
          <w:p w14:paraId="2815C510">
            <w:pPr>
              <w:pStyle w:val="17"/>
              <w:spacing w:before="33"/>
              <w:ind w:left="175" w:right="166"/>
              <w:rPr>
                <w:rFonts w:ascii="Times New Roman"/>
                <w:sz w:val="21"/>
              </w:rPr>
            </w:pPr>
            <w:r>
              <w:rPr>
                <w:rFonts w:ascii="Times New Roman"/>
                <w:sz w:val="21"/>
              </w:rPr>
              <w:t>1.72E+00</w:t>
            </w:r>
          </w:p>
        </w:tc>
        <w:tc>
          <w:tcPr>
            <w:tcW w:w="1725" w:type="dxa"/>
          </w:tcPr>
          <w:p w14:paraId="66157D1F">
            <w:pPr>
              <w:pStyle w:val="17"/>
              <w:spacing w:before="33"/>
              <w:ind w:left="419" w:right="413"/>
              <w:rPr>
                <w:rFonts w:ascii="Times New Roman"/>
                <w:sz w:val="21"/>
              </w:rPr>
            </w:pPr>
            <w:r>
              <w:rPr>
                <w:rFonts w:ascii="Times New Roman"/>
                <w:sz w:val="21"/>
              </w:rPr>
              <w:t>1.26E+02</w:t>
            </w:r>
          </w:p>
        </w:tc>
        <w:tc>
          <w:tcPr>
            <w:tcW w:w="1230" w:type="dxa"/>
          </w:tcPr>
          <w:p w14:paraId="06C956B3">
            <w:pPr>
              <w:pStyle w:val="17"/>
              <w:spacing w:before="33"/>
              <w:ind w:left="174" w:right="166"/>
              <w:rPr>
                <w:rFonts w:ascii="Times New Roman"/>
                <w:sz w:val="21"/>
              </w:rPr>
            </w:pPr>
            <w:r>
              <w:rPr>
                <w:rFonts w:ascii="Times New Roman"/>
                <w:sz w:val="21"/>
              </w:rPr>
              <w:t>2.00E+03</w:t>
            </w:r>
          </w:p>
        </w:tc>
        <w:tc>
          <w:tcPr>
            <w:tcW w:w="1517" w:type="dxa"/>
          </w:tcPr>
          <w:p w14:paraId="4538B13B">
            <w:pPr>
              <w:pStyle w:val="17"/>
              <w:spacing w:before="33"/>
              <w:ind w:left="499" w:right="492"/>
              <w:rPr>
                <w:rFonts w:ascii="Times New Roman"/>
                <w:sz w:val="21"/>
              </w:rPr>
            </w:pPr>
            <w:r>
              <w:rPr>
                <w:rFonts w:ascii="Times New Roman"/>
                <w:sz w:val="21"/>
              </w:rPr>
              <w:t>6.32</w:t>
            </w:r>
          </w:p>
        </w:tc>
        <w:tc>
          <w:tcPr>
            <w:tcW w:w="712" w:type="dxa"/>
            <w:tcBorders>
              <w:right w:val="nil"/>
            </w:tcBorders>
          </w:tcPr>
          <w:p w14:paraId="7DE4DC6F">
            <w:pPr>
              <w:pStyle w:val="17"/>
              <w:spacing w:before="19"/>
              <w:ind w:left="122" w:right="121"/>
              <w:rPr>
                <w:sz w:val="21"/>
              </w:rPr>
            </w:pPr>
            <w:r>
              <w:rPr>
                <w:sz w:val="21"/>
              </w:rPr>
              <w:t>达标</w:t>
            </w:r>
          </w:p>
        </w:tc>
      </w:tr>
      <w:tr w14:paraId="5D875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5378792">
            <w:pPr>
              <w:pStyle w:val="17"/>
              <w:spacing w:before="35"/>
              <w:ind w:right="169"/>
              <w:jc w:val="right"/>
              <w:rPr>
                <w:rFonts w:ascii="Times New Roman"/>
                <w:sz w:val="21"/>
              </w:rPr>
            </w:pPr>
            <w:r>
              <w:rPr>
                <w:rFonts w:ascii="Times New Roman"/>
                <w:w w:val="99"/>
                <w:sz w:val="21"/>
              </w:rPr>
              <w:t>8</w:t>
            </w:r>
          </w:p>
        </w:tc>
        <w:tc>
          <w:tcPr>
            <w:tcW w:w="1577" w:type="dxa"/>
          </w:tcPr>
          <w:p w14:paraId="03B90992">
            <w:pPr>
              <w:pStyle w:val="17"/>
              <w:spacing w:before="21"/>
              <w:ind w:left="136" w:right="130"/>
              <w:rPr>
                <w:sz w:val="21"/>
              </w:rPr>
            </w:pPr>
            <w:r>
              <w:rPr>
                <w:sz w:val="21"/>
              </w:rPr>
              <w:t>新市中心小学</w:t>
            </w:r>
          </w:p>
        </w:tc>
        <w:tc>
          <w:tcPr>
            <w:tcW w:w="826" w:type="dxa"/>
          </w:tcPr>
          <w:p w14:paraId="14DA4372">
            <w:pPr>
              <w:pStyle w:val="17"/>
              <w:spacing w:before="35"/>
              <w:ind w:left="107"/>
              <w:jc w:val="left"/>
              <w:rPr>
                <w:rFonts w:ascii="Times New Roman"/>
                <w:sz w:val="21"/>
              </w:rPr>
            </w:pPr>
            <w:r>
              <w:rPr>
                <w:rFonts w:ascii="Times New Roman"/>
                <w:sz w:val="21"/>
              </w:rPr>
              <w:t>-1878</w:t>
            </w:r>
          </w:p>
        </w:tc>
        <w:tc>
          <w:tcPr>
            <w:tcW w:w="761" w:type="dxa"/>
          </w:tcPr>
          <w:p w14:paraId="4F16845F">
            <w:pPr>
              <w:pStyle w:val="17"/>
              <w:spacing w:before="35"/>
              <w:ind w:left="18" w:right="132"/>
              <w:rPr>
                <w:rFonts w:ascii="Times New Roman"/>
                <w:sz w:val="21"/>
              </w:rPr>
            </w:pPr>
            <w:r>
              <w:rPr>
                <w:rFonts w:ascii="Times New Roman"/>
                <w:sz w:val="21"/>
              </w:rPr>
              <w:t>1595</w:t>
            </w:r>
          </w:p>
        </w:tc>
        <w:tc>
          <w:tcPr>
            <w:tcW w:w="823" w:type="dxa"/>
          </w:tcPr>
          <w:p w14:paraId="12CDA4ED">
            <w:pPr>
              <w:pStyle w:val="17"/>
              <w:spacing w:before="35"/>
              <w:ind w:left="154" w:right="146"/>
              <w:rPr>
                <w:rFonts w:ascii="Times New Roman"/>
                <w:sz w:val="21"/>
              </w:rPr>
            </w:pPr>
            <w:r>
              <w:rPr>
                <w:rFonts w:ascii="Times New Roman"/>
                <w:sz w:val="21"/>
              </w:rPr>
              <w:t>54.65</w:t>
            </w:r>
          </w:p>
        </w:tc>
        <w:tc>
          <w:tcPr>
            <w:tcW w:w="777" w:type="dxa"/>
          </w:tcPr>
          <w:p w14:paraId="2F18F4B6">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0E0D4FCB">
            <w:pPr>
              <w:pStyle w:val="17"/>
              <w:spacing w:before="35"/>
              <w:ind w:left="188" w:right="180"/>
              <w:rPr>
                <w:rFonts w:ascii="Times New Roman"/>
                <w:sz w:val="21"/>
              </w:rPr>
            </w:pPr>
            <w:r>
              <w:rPr>
                <w:rFonts w:ascii="Times New Roman"/>
                <w:sz w:val="21"/>
              </w:rPr>
              <w:t>1.17E+02</w:t>
            </w:r>
          </w:p>
        </w:tc>
        <w:tc>
          <w:tcPr>
            <w:tcW w:w="1317" w:type="dxa"/>
          </w:tcPr>
          <w:p w14:paraId="5B1FD6FC">
            <w:pPr>
              <w:pStyle w:val="17"/>
              <w:spacing w:before="35"/>
              <w:ind w:left="108" w:right="98"/>
              <w:rPr>
                <w:rFonts w:ascii="Times New Roman"/>
                <w:sz w:val="21"/>
              </w:rPr>
            </w:pPr>
            <w:r>
              <w:rPr>
                <w:rFonts w:ascii="Times New Roman"/>
                <w:sz w:val="21"/>
              </w:rPr>
              <w:t>23101819</w:t>
            </w:r>
          </w:p>
        </w:tc>
        <w:tc>
          <w:tcPr>
            <w:tcW w:w="1230" w:type="dxa"/>
          </w:tcPr>
          <w:p w14:paraId="3AB3C21F">
            <w:pPr>
              <w:pStyle w:val="17"/>
              <w:spacing w:before="35"/>
              <w:ind w:left="175" w:right="166"/>
              <w:rPr>
                <w:rFonts w:ascii="Times New Roman"/>
                <w:sz w:val="21"/>
              </w:rPr>
            </w:pPr>
            <w:r>
              <w:rPr>
                <w:rFonts w:ascii="Times New Roman"/>
                <w:sz w:val="21"/>
              </w:rPr>
              <w:t>1.72E+00</w:t>
            </w:r>
          </w:p>
        </w:tc>
        <w:tc>
          <w:tcPr>
            <w:tcW w:w="1725" w:type="dxa"/>
          </w:tcPr>
          <w:p w14:paraId="6015C8F0">
            <w:pPr>
              <w:pStyle w:val="17"/>
              <w:spacing w:before="35"/>
              <w:ind w:left="419" w:right="413"/>
              <w:rPr>
                <w:rFonts w:ascii="Times New Roman"/>
                <w:sz w:val="21"/>
              </w:rPr>
            </w:pPr>
            <w:r>
              <w:rPr>
                <w:rFonts w:ascii="Times New Roman"/>
                <w:sz w:val="21"/>
              </w:rPr>
              <w:t>1.19E+02</w:t>
            </w:r>
          </w:p>
        </w:tc>
        <w:tc>
          <w:tcPr>
            <w:tcW w:w="1230" w:type="dxa"/>
          </w:tcPr>
          <w:p w14:paraId="6A5BE797">
            <w:pPr>
              <w:pStyle w:val="17"/>
              <w:spacing w:before="35"/>
              <w:ind w:left="174" w:right="166"/>
              <w:rPr>
                <w:rFonts w:ascii="Times New Roman"/>
                <w:sz w:val="21"/>
              </w:rPr>
            </w:pPr>
            <w:r>
              <w:rPr>
                <w:rFonts w:ascii="Times New Roman"/>
                <w:sz w:val="21"/>
              </w:rPr>
              <w:t>2.00E+03</w:t>
            </w:r>
          </w:p>
        </w:tc>
        <w:tc>
          <w:tcPr>
            <w:tcW w:w="1517" w:type="dxa"/>
          </w:tcPr>
          <w:p w14:paraId="2057FDE9">
            <w:pPr>
              <w:pStyle w:val="17"/>
              <w:spacing w:before="35"/>
              <w:ind w:left="499" w:right="492"/>
              <w:rPr>
                <w:rFonts w:ascii="Times New Roman"/>
                <w:sz w:val="21"/>
              </w:rPr>
            </w:pPr>
            <w:r>
              <w:rPr>
                <w:rFonts w:ascii="Times New Roman"/>
                <w:sz w:val="21"/>
              </w:rPr>
              <w:t>5.96</w:t>
            </w:r>
          </w:p>
        </w:tc>
        <w:tc>
          <w:tcPr>
            <w:tcW w:w="712" w:type="dxa"/>
            <w:tcBorders>
              <w:right w:val="nil"/>
            </w:tcBorders>
          </w:tcPr>
          <w:p w14:paraId="3E443C80">
            <w:pPr>
              <w:pStyle w:val="17"/>
              <w:spacing w:before="18"/>
              <w:ind w:left="122" w:right="121"/>
              <w:rPr>
                <w:sz w:val="21"/>
              </w:rPr>
            </w:pPr>
            <w:r>
              <w:rPr>
                <w:sz w:val="21"/>
              </w:rPr>
              <w:t>达标</w:t>
            </w:r>
          </w:p>
        </w:tc>
      </w:tr>
      <w:tr w14:paraId="2B3BA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7DAA451F">
            <w:pPr>
              <w:pStyle w:val="17"/>
              <w:spacing w:before="13" w:line="239" w:lineRule="exact"/>
              <w:ind w:right="169"/>
              <w:jc w:val="right"/>
              <w:rPr>
                <w:rFonts w:ascii="Times New Roman"/>
                <w:sz w:val="21"/>
              </w:rPr>
            </w:pPr>
            <w:r>
              <w:rPr>
                <w:rFonts w:ascii="Times New Roman"/>
                <w:w w:val="99"/>
                <w:sz w:val="21"/>
              </w:rPr>
              <w:t>9</w:t>
            </w:r>
          </w:p>
        </w:tc>
        <w:tc>
          <w:tcPr>
            <w:tcW w:w="1577" w:type="dxa"/>
          </w:tcPr>
          <w:p w14:paraId="68A70D63">
            <w:pPr>
              <w:pStyle w:val="17"/>
              <w:spacing w:line="252" w:lineRule="exact"/>
              <w:ind w:left="136" w:right="130"/>
              <w:rPr>
                <w:sz w:val="21"/>
              </w:rPr>
            </w:pPr>
            <w:r>
              <w:rPr>
                <w:sz w:val="21"/>
              </w:rPr>
              <w:t>网格</w:t>
            </w:r>
          </w:p>
        </w:tc>
        <w:tc>
          <w:tcPr>
            <w:tcW w:w="826" w:type="dxa"/>
          </w:tcPr>
          <w:p w14:paraId="7F018F83">
            <w:pPr>
              <w:pStyle w:val="17"/>
              <w:spacing w:before="13" w:line="239" w:lineRule="exact"/>
              <w:ind w:right="208"/>
              <w:jc w:val="right"/>
              <w:rPr>
                <w:rFonts w:ascii="Times New Roman"/>
                <w:sz w:val="21"/>
              </w:rPr>
            </w:pPr>
            <w:r>
              <w:rPr>
                <w:rFonts w:ascii="Times New Roman"/>
                <w:w w:val="95"/>
                <w:sz w:val="21"/>
              </w:rPr>
              <w:t>-700</w:t>
            </w:r>
          </w:p>
        </w:tc>
        <w:tc>
          <w:tcPr>
            <w:tcW w:w="761" w:type="dxa"/>
          </w:tcPr>
          <w:p w14:paraId="2FBC1CA3">
            <w:pPr>
              <w:pStyle w:val="17"/>
              <w:spacing w:before="13" w:line="239" w:lineRule="exact"/>
              <w:ind w:left="85" w:right="77"/>
              <w:rPr>
                <w:rFonts w:ascii="Times New Roman"/>
                <w:sz w:val="21"/>
              </w:rPr>
            </w:pPr>
            <w:r>
              <w:rPr>
                <w:rFonts w:ascii="Times New Roman"/>
                <w:sz w:val="21"/>
              </w:rPr>
              <w:t>200</w:t>
            </w:r>
          </w:p>
        </w:tc>
        <w:tc>
          <w:tcPr>
            <w:tcW w:w="823" w:type="dxa"/>
          </w:tcPr>
          <w:p w14:paraId="1A91D507">
            <w:pPr>
              <w:pStyle w:val="17"/>
              <w:spacing w:before="13" w:line="239" w:lineRule="exact"/>
              <w:ind w:left="154" w:right="146"/>
              <w:rPr>
                <w:rFonts w:ascii="Times New Roman"/>
                <w:sz w:val="21"/>
              </w:rPr>
            </w:pPr>
            <w:r>
              <w:rPr>
                <w:rFonts w:ascii="Times New Roman"/>
                <w:sz w:val="21"/>
              </w:rPr>
              <w:t>63.00</w:t>
            </w:r>
          </w:p>
        </w:tc>
        <w:tc>
          <w:tcPr>
            <w:tcW w:w="777" w:type="dxa"/>
          </w:tcPr>
          <w:p w14:paraId="35A1DEC3">
            <w:pPr>
              <w:pStyle w:val="17"/>
              <w:spacing w:before="1" w:line="250" w:lineRule="exact"/>
              <w:ind w:left="106"/>
              <w:jc w:val="left"/>
              <w:rPr>
                <w:sz w:val="21"/>
              </w:rPr>
            </w:pPr>
            <w:r>
              <w:rPr>
                <w:rFonts w:ascii="Times New Roman" w:eastAsia="Times New Roman"/>
                <w:sz w:val="21"/>
              </w:rPr>
              <w:t xml:space="preserve">1 </w:t>
            </w:r>
            <w:r>
              <w:rPr>
                <w:sz w:val="21"/>
              </w:rPr>
              <w:t>小时</w:t>
            </w:r>
          </w:p>
        </w:tc>
        <w:tc>
          <w:tcPr>
            <w:tcW w:w="1259" w:type="dxa"/>
          </w:tcPr>
          <w:p w14:paraId="58D19659">
            <w:pPr>
              <w:pStyle w:val="17"/>
              <w:spacing w:before="13" w:line="239" w:lineRule="exact"/>
              <w:ind w:left="188" w:right="180"/>
              <w:rPr>
                <w:rFonts w:ascii="Times New Roman"/>
                <w:sz w:val="21"/>
              </w:rPr>
            </w:pPr>
            <w:r>
              <w:rPr>
                <w:rFonts w:ascii="Times New Roman"/>
                <w:sz w:val="21"/>
              </w:rPr>
              <w:t>7.47E+02</w:t>
            </w:r>
          </w:p>
        </w:tc>
        <w:tc>
          <w:tcPr>
            <w:tcW w:w="1317" w:type="dxa"/>
          </w:tcPr>
          <w:p w14:paraId="111F4643">
            <w:pPr>
              <w:pStyle w:val="17"/>
              <w:spacing w:before="13" w:line="239" w:lineRule="exact"/>
              <w:ind w:left="105" w:right="98"/>
              <w:rPr>
                <w:rFonts w:ascii="Times New Roman"/>
                <w:sz w:val="21"/>
              </w:rPr>
            </w:pPr>
            <w:r>
              <w:rPr>
                <w:rFonts w:ascii="Times New Roman"/>
                <w:sz w:val="21"/>
              </w:rPr>
              <w:t>23111403</w:t>
            </w:r>
          </w:p>
        </w:tc>
        <w:tc>
          <w:tcPr>
            <w:tcW w:w="1230" w:type="dxa"/>
          </w:tcPr>
          <w:p w14:paraId="271676A8">
            <w:pPr>
              <w:pStyle w:val="17"/>
              <w:spacing w:before="13" w:line="239" w:lineRule="exact"/>
              <w:ind w:left="175" w:right="166"/>
              <w:rPr>
                <w:rFonts w:ascii="Times New Roman"/>
                <w:sz w:val="21"/>
              </w:rPr>
            </w:pPr>
            <w:r>
              <w:rPr>
                <w:rFonts w:ascii="Times New Roman"/>
                <w:sz w:val="21"/>
              </w:rPr>
              <w:t>1.72E+00</w:t>
            </w:r>
          </w:p>
        </w:tc>
        <w:tc>
          <w:tcPr>
            <w:tcW w:w="1725" w:type="dxa"/>
          </w:tcPr>
          <w:p w14:paraId="46B2CF6E">
            <w:pPr>
              <w:pStyle w:val="17"/>
              <w:spacing w:before="13" w:line="239" w:lineRule="exact"/>
              <w:ind w:left="419" w:right="413"/>
              <w:rPr>
                <w:rFonts w:ascii="Times New Roman"/>
                <w:sz w:val="21"/>
              </w:rPr>
            </w:pPr>
            <w:r>
              <w:rPr>
                <w:rFonts w:ascii="Times New Roman"/>
                <w:sz w:val="21"/>
              </w:rPr>
              <w:t>7.49E+02</w:t>
            </w:r>
          </w:p>
        </w:tc>
        <w:tc>
          <w:tcPr>
            <w:tcW w:w="1230" w:type="dxa"/>
          </w:tcPr>
          <w:p w14:paraId="1548A3C7">
            <w:pPr>
              <w:pStyle w:val="17"/>
              <w:spacing w:before="13" w:line="239" w:lineRule="exact"/>
              <w:ind w:left="174" w:right="166"/>
              <w:rPr>
                <w:rFonts w:ascii="Times New Roman"/>
                <w:sz w:val="21"/>
              </w:rPr>
            </w:pPr>
            <w:r>
              <w:rPr>
                <w:rFonts w:ascii="Times New Roman"/>
                <w:sz w:val="21"/>
              </w:rPr>
              <w:t>2.00E+03</w:t>
            </w:r>
          </w:p>
        </w:tc>
        <w:tc>
          <w:tcPr>
            <w:tcW w:w="1517" w:type="dxa"/>
          </w:tcPr>
          <w:p w14:paraId="5AA80112">
            <w:pPr>
              <w:pStyle w:val="17"/>
              <w:spacing w:before="13" w:line="239" w:lineRule="exact"/>
              <w:ind w:left="501" w:right="492"/>
              <w:rPr>
                <w:rFonts w:ascii="Times New Roman"/>
                <w:sz w:val="21"/>
              </w:rPr>
            </w:pPr>
            <w:r>
              <w:rPr>
                <w:rFonts w:ascii="Times New Roman"/>
                <w:sz w:val="21"/>
              </w:rPr>
              <w:t>37.45</w:t>
            </w:r>
          </w:p>
        </w:tc>
        <w:tc>
          <w:tcPr>
            <w:tcW w:w="712" w:type="dxa"/>
            <w:tcBorders>
              <w:right w:val="nil"/>
            </w:tcBorders>
          </w:tcPr>
          <w:p w14:paraId="599F3358">
            <w:pPr>
              <w:pStyle w:val="17"/>
              <w:spacing w:line="252" w:lineRule="exact"/>
              <w:ind w:left="122" w:right="121"/>
              <w:rPr>
                <w:sz w:val="21"/>
              </w:rPr>
            </w:pPr>
            <w:r>
              <w:rPr>
                <w:sz w:val="21"/>
              </w:rPr>
              <w:t>达标</w:t>
            </w:r>
          </w:p>
        </w:tc>
      </w:tr>
    </w:tbl>
    <w:p w14:paraId="4678BA06">
      <w:pPr>
        <w:pStyle w:val="10"/>
        <w:spacing w:before="81" w:line="364" w:lineRule="auto"/>
        <w:ind w:left="240" w:right="299" w:firstLine="480"/>
      </w:pPr>
      <w:r>
        <w:t xml:space="preserve">从上表可知，本项目非甲烷总烃 </w:t>
      </w:r>
      <w:r>
        <w:rPr>
          <w:rFonts w:ascii="Times New Roman" w:eastAsia="Times New Roman"/>
        </w:rPr>
        <w:t xml:space="preserve">1h </w:t>
      </w:r>
      <w:r>
        <w:t xml:space="preserve">平均浓度叠加值的最大占标率分别为 </w:t>
      </w:r>
      <w:r>
        <w:rPr>
          <w:rFonts w:ascii="Times New Roman" w:eastAsia="Times New Roman"/>
        </w:rPr>
        <w:t>37.45%</w:t>
      </w:r>
      <w:r>
        <w:t>，满足《大气污染物综合排放标准详解》中限值要求（</w:t>
      </w:r>
      <w:r>
        <w:rPr>
          <w:rFonts w:ascii="Times New Roman" w:eastAsia="Times New Roman"/>
        </w:rPr>
        <w:t>2.0mg/m</w:t>
      </w:r>
      <w:r>
        <w:rPr>
          <w:rFonts w:ascii="Times New Roman" w:eastAsia="Times New Roman"/>
          <w:position w:val="8"/>
          <w:sz w:val="15"/>
        </w:rPr>
        <w:t>3</w:t>
      </w:r>
      <w:r>
        <w:t>）。</w:t>
      </w:r>
    </w:p>
    <w:p w14:paraId="7C97B035">
      <w:pPr>
        <w:spacing w:after="0" w:line="364" w:lineRule="auto"/>
        <w:sectPr>
          <w:pgSz w:w="16840" w:h="11910" w:orient="landscape"/>
          <w:pgMar w:top="1100" w:right="1080" w:bottom="1380" w:left="1200" w:header="0" w:footer="1192" w:gutter="0"/>
          <w:cols w:space="720" w:num="1"/>
        </w:sectPr>
      </w:pPr>
    </w:p>
    <w:p w14:paraId="46C674DB">
      <w:pPr>
        <w:pStyle w:val="10"/>
        <w:rPr>
          <w:sz w:val="20"/>
        </w:rPr>
      </w:pPr>
    </w:p>
    <w:p w14:paraId="007753D1">
      <w:pPr>
        <w:pStyle w:val="10"/>
        <w:spacing w:before="3"/>
        <w:rPr>
          <w:sz w:val="18"/>
        </w:rPr>
      </w:pPr>
    </w:p>
    <w:p w14:paraId="27D8B6A5">
      <w:pPr>
        <w:pStyle w:val="10"/>
        <w:ind w:left="240"/>
        <w:rPr>
          <w:sz w:val="20"/>
        </w:rPr>
      </w:pPr>
      <w:r>
        <w:rPr>
          <w:sz w:val="20"/>
        </w:rPr>
        <w:drawing>
          <wp:inline distT="0" distB="0" distL="0" distR="0">
            <wp:extent cx="6978650" cy="5137785"/>
            <wp:effectExtent l="0" t="0" r="0" b="0"/>
            <wp:docPr id="5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8.jpeg"/>
                    <pic:cNvPicPr>
                      <a:picLocks noChangeAspect="1"/>
                    </pic:cNvPicPr>
                  </pic:nvPicPr>
                  <pic:blipFill>
                    <a:blip r:embed="rId128" cstate="print"/>
                    <a:stretch>
                      <a:fillRect/>
                    </a:stretch>
                  </pic:blipFill>
                  <pic:spPr>
                    <a:xfrm>
                      <a:off x="0" y="0"/>
                      <a:ext cx="6979089" cy="5137785"/>
                    </a:xfrm>
                    <a:prstGeom prst="rect">
                      <a:avLst/>
                    </a:prstGeom>
                  </pic:spPr>
                </pic:pic>
              </a:graphicData>
            </a:graphic>
          </wp:inline>
        </w:drawing>
      </w:r>
    </w:p>
    <w:p w14:paraId="3E547537">
      <w:pPr>
        <w:pStyle w:val="10"/>
        <w:rPr>
          <w:sz w:val="10"/>
        </w:rPr>
      </w:pPr>
    </w:p>
    <w:p w14:paraId="4BF5453B">
      <w:pPr>
        <w:pStyle w:val="9"/>
        <w:spacing w:before="74"/>
        <w:ind w:left="3597"/>
      </w:pPr>
      <w:r>
        <w:t xml:space="preserve">图 </w:t>
      </w:r>
      <w:r>
        <w:rPr>
          <w:rFonts w:ascii="Times New Roman" w:eastAsia="Times New Roman"/>
        </w:rPr>
        <w:t xml:space="preserve">4.1-10 </w:t>
      </w:r>
      <w:r>
        <w:t xml:space="preserve">本项目非甲烷总烃 </w:t>
      </w:r>
      <w:r>
        <w:rPr>
          <w:rFonts w:ascii="Times New Roman" w:eastAsia="Times New Roman"/>
        </w:rPr>
        <w:t xml:space="preserve">1 </w:t>
      </w:r>
      <w:r>
        <w:t>小时均值网格点叠加值预测结果分布图</w:t>
      </w:r>
    </w:p>
    <w:p w14:paraId="4413864D">
      <w:pPr>
        <w:spacing w:after="0"/>
        <w:sectPr>
          <w:pgSz w:w="16840" w:h="11910" w:orient="landscape"/>
          <w:pgMar w:top="1100" w:right="1080" w:bottom="1380" w:left="1200" w:header="0" w:footer="1192" w:gutter="0"/>
          <w:cols w:space="720" w:num="1"/>
        </w:sectPr>
      </w:pPr>
    </w:p>
    <w:p w14:paraId="095219DF">
      <w:pPr>
        <w:pStyle w:val="10"/>
        <w:spacing w:before="3"/>
        <w:rPr>
          <w:b/>
          <w:sz w:val="22"/>
        </w:rPr>
      </w:pPr>
    </w:p>
    <w:p w14:paraId="6270BEB7">
      <w:pPr>
        <w:pStyle w:val="9"/>
        <w:spacing w:before="71"/>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41FA0111">
      <w:pPr>
        <w:pStyle w:val="9"/>
        <w:spacing w:before="79"/>
      </w:pP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网格点叠加值预测结果见下表：</w:t>
      </w:r>
    </w:p>
    <w:p w14:paraId="506F44D6">
      <w:pPr>
        <w:pStyle w:val="9"/>
        <w:tabs>
          <w:tab w:val="left" w:pos="1517"/>
        </w:tabs>
        <w:spacing w:before="77"/>
        <w:ind w:left="357"/>
        <w:jc w:val="center"/>
      </w:pPr>
      <w:r>
        <w:rPr>
          <w:position w:val="2"/>
        </w:rPr>
        <w:t>表</w:t>
      </w:r>
      <w:r>
        <w:rPr>
          <w:spacing w:val="-62"/>
          <w:position w:val="2"/>
        </w:rPr>
        <w:t xml:space="preserve"> </w:t>
      </w:r>
      <w:r>
        <w:rPr>
          <w:rFonts w:ascii="Times New Roman" w:eastAsia="Times New Roman"/>
          <w:position w:val="2"/>
        </w:rPr>
        <w:t>4.1-20</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网格点叠加值预测结果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06D47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18397CF1">
            <w:pPr>
              <w:pStyle w:val="17"/>
              <w:spacing w:before="149" w:line="244" w:lineRule="auto"/>
              <w:ind w:left="132" w:right="115"/>
              <w:jc w:val="left"/>
              <w:rPr>
                <w:sz w:val="21"/>
              </w:rPr>
            </w:pPr>
            <w:r>
              <w:rPr>
                <w:sz w:val="21"/>
              </w:rPr>
              <w:t>序号</w:t>
            </w:r>
          </w:p>
        </w:tc>
        <w:tc>
          <w:tcPr>
            <w:tcW w:w="1265" w:type="dxa"/>
            <w:vMerge w:val="restart"/>
          </w:tcPr>
          <w:p w14:paraId="0A5393BF">
            <w:pPr>
              <w:pStyle w:val="17"/>
              <w:spacing w:before="4"/>
              <w:jc w:val="left"/>
              <w:rPr>
                <w:b/>
                <w:sz w:val="22"/>
              </w:rPr>
            </w:pPr>
          </w:p>
          <w:p w14:paraId="4EB1E649">
            <w:pPr>
              <w:pStyle w:val="17"/>
              <w:ind w:left="316"/>
              <w:jc w:val="left"/>
              <w:rPr>
                <w:sz w:val="21"/>
              </w:rPr>
            </w:pPr>
            <w:r>
              <w:rPr>
                <w:sz w:val="21"/>
              </w:rPr>
              <w:t>点名称</w:t>
            </w:r>
          </w:p>
        </w:tc>
        <w:tc>
          <w:tcPr>
            <w:tcW w:w="1543" w:type="dxa"/>
            <w:gridSpan w:val="2"/>
          </w:tcPr>
          <w:p w14:paraId="66371C3C">
            <w:pPr>
              <w:pStyle w:val="17"/>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7A984E7D">
            <w:pPr>
              <w:pStyle w:val="17"/>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72F39D8B">
            <w:pPr>
              <w:pStyle w:val="17"/>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64868D38">
            <w:pPr>
              <w:pStyle w:val="17"/>
              <w:spacing w:before="149" w:line="244" w:lineRule="auto"/>
              <w:ind w:left="412" w:right="192" w:hanging="212"/>
              <w:jc w:val="left"/>
              <w:rPr>
                <w:sz w:val="21"/>
              </w:rPr>
            </w:pPr>
            <w:r>
              <w:rPr>
                <w:sz w:val="21"/>
              </w:rPr>
              <w:t>浓度类型</w:t>
            </w:r>
          </w:p>
        </w:tc>
        <w:tc>
          <w:tcPr>
            <w:tcW w:w="1259" w:type="dxa"/>
            <w:vMerge w:val="restart"/>
          </w:tcPr>
          <w:p w14:paraId="712CAD93">
            <w:pPr>
              <w:pStyle w:val="17"/>
              <w:spacing w:before="149"/>
              <w:ind w:left="208"/>
              <w:jc w:val="left"/>
              <w:rPr>
                <w:sz w:val="21"/>
              </w:rPr>
            </w:pPr>
            <w:r>
              <w:rPr>
                <w:w w:val="95"/>
                <w:sz w:val="21"/>
              </w:rPr>
              <w:t>浓度增量</w:t>
            </w:r>
          </w:p>
          <w:p w14:paraId="2C378E5D">
            <w:pPr>
              <w:pStyle w:val="17"/>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6534F1BE">
            <w:pPr>
              <w:pStyle w:val="17"/>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4639A6D3">
            <w:pPr>
              <w:pStyle w:val="17"/>
              <w:spacing w:before="149"/>
              <w:ind w:left="195"/>
              <w:jc w:val="left"/>
              <w:rPr>
                <w:sz w:val="21"/>
              </w:rPr>
            </w:pPr>
            <w:r>
              <w:rPr>
                <w:w w:val="95"/>
                <w:sz w:val="21"/>
              </w:rPr>
              <w:t>背景浓度</w:t>
            </w:r>
          </w:p>
          <w:p w14:paraId="27DFFB16">
            <w:pPr>
              <w:pStyle w:val="17"/>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7C834836">
            <w:pPr>
              <w:pStyle w:val="17"/>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09507370">
            <w:pPr>
              <w:pStyle w:val="17"/>
              <w:spacing w:before="149"/>
              <w:ind w:left="194"/>
              <w:jc w:val="left"/>
              <w:rPr>
                <w:sz w:val="21"/>
              </w:rPr>
            </w:pPr>
            <w:r>
              <w:rPr>
                <w:w w:val="95"/>
                <w:sz w:val="21"/>
              </w:rPr>
              <w:t>评价标准</w:t>
            </w:r>
          </w:p>
          <w:p w14:paraId="0B9F8953">
            <w:pPr>
              <w:pStyle w:val="17"/>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4EBD267A">
            <w:pPr>
              <w:pStyle w:val="17"/>
              <w:spacing w:before="151"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3BEC9283">
            <w:pPr>
              <w:pStyle w:val="17"/>
              <w:spacing w:before="149" w:line="244" w:lineRule="auto"/>
              <w:ind w:left="145" w:right="141"/>
              <w:jc w:val="left"/>
              <w:rPr>
                <w:sz w:val="21"/>
              </w:rPr>
            </w:pPr>
            <w:r>
              <w:rPr>
                <w:w w:val="95"/>
                <w:sz w:val="21"/>
              </w:rPr>
              <w:t>是否超标</w:t>
            </w:r>
          </w:p>
        </w:tc>
      </w:tr>
      <w:tr w14:paraId="3D423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47AD4628">
            <w:pPr>
              <w:rPr>
                <w:sz w:val="2"/>
                <w:szCs w:val="2"/>
              </w:rPr>
            </w:pPr>
          </w:p>
        </w:tc>
        <w:tc>
          <w:tcPr>
            <w:tcW w:w="1265" w:type="dxa"/>
            <w:vMerge w:val="continue"/>
            <w:tcBorders>
              <w:top w:val="nil"/>
            </w:tcBorders>
          </w:tcPr>
          <w:p w14:paraId="6EA62C38">
            <w:pPr>
              <w:rPr>
                <w:sz w:val="2"/>
                <w:szCs w:val="2"/>
              </w:rPr>
            </w:pPr>
          </w:p>
        </w:tc>
        <w:tc>
          <w:tcPr>
            <w:tcW w:w="771" w:type="dxa"/>
          </w:tcPr>
          <w:p w14:paraId="346F9283">
            <w:pPr>
              <w:pStyle w:val="17"/>
              <w:spacing w:before="23"/>
              <w:ind w:left="7"/>
              <w:rPr>
                <w:rFonts w:ascii="Times New Roman"/>
                <w:sz w:val="21"/>
              </w:rPr>
            </w:pPr>
            <w:r>
              <w:rPr>
                <w:rFonts w:ascii="Times New Roman"/>
                <w:w w:val="99"/>
                <w:sz w:val="21"/>
              </w:rPr>
              <w:t>X</w:t>
            </w:r>
          </w:p>
        </w:tc>
        <w:tc>
          <w:tcPr>
            <w:tcW w:w="772" w:type="dxa"/>
          </w:tcPr>
          <w:p w14:paraId="6A0248C3">
            <w:pPr>
              <w:pStyle w:val="17"/>
              <w:spacing w:before="23"/>
              <w:ind w:left="10"/>
              <w:rPr>
                <w:rFonts w:ascii="Times New Roman"/>
                <w:sz w:val="21"/>
              </w:rPr>
            </w:pPr>
            <w:r>
              <w:rPr>
                <w:rFonts w:ascii="Times New Roman"/>
                <w:w w:val="99"/>
                <w:sz w:val="21"/>
              </w:rPr>
              <w:t>Y</w:t>
            </w:r>
          </w:p>
        </w:tc>
        <w:tc>
          <w:tcPr>
            <w:tcW w:w="921" w:type="dxa"/>
            <w:vMerge w:val="continue"/>
            <w:tcBorders>
              <w:top w:val="nil"/>
            </w:tcBorders>
          </w:tcPr>
          <w:p w14:paraId="76D61A57">
            <w:pPr>
              <w:rPr>
                <w:sz w:val="2"/>
                <w:szCs w:val="2"/>
              </w:rPr>
            </w:pPr>
          </w:p>
        </w:tc>
        <w:tc>
          <w:tcPr>
            <w:tcW w:w="1035" w:type="dxa"/>
            <w:vMerge w:val="continue"/>
            <w:tcBorders>
              <w:top w:val="nil"/>
            </w:tcBorders>
          </w:tcPr>
          <w:p w14:paraId="7FBE8C71">
            <w:pPr>
              <w:rPr>
                <w:sz w:val="2"/>
                <w:szCs w:val="2"/>
              </w:rPr>
            </w:pPr>
          </w:p>
        </w:tc>
        <w:tc>
          <w:tcPr>
            <w:tcW w:w="1259" w:type="dxa"/>
            <w:vMerge w:val="continue"/>
            <w:tcBorders>
              <w:top w:val="nil"/>
            </w:tcBorders>
          </w:tcPr>
          <w:p w14:paraId="3B0E8158">
            <w:pPr>
              <w:rPr>
                <w:sz w:val="2"/>
                <w:szCs w:val="2"/>
              </w:rPr>
            </w:pPr>
          </w:p>
        </w:tc>
        <w:tc>
          <w:tcPr>
            <w:tcW w:w="1317" w:type="dxa"/>
            <w:vMerge w:val="continue"/>
            <w:tcBorders>
              <w:top w:val="nil"/>
            </w:tcBorders>
          </w:tcPr>
          <w:p w14:paraId="0A8982E7">
            <w:pPr>
              <w:rPr>
                <w:sz w:val="2"/>
                <w:szCs w:val="2"/>
              </w:rPr>
            </w:pPr>
          </w:p>
        </w:tc>
        <w:tc>
          <w:tcPr>
            <w:tcW w:w="1230" w:type="dxa"/>
            <w:vMerge w:val="continue"/>
            <w:tcBorders>
              <w:top w:val="nil"/>
            </w:tcBorders>
          </w:tcPr>
          <w:p w14:paraId="2F485670">
            <w:pPr>
              <w:rPr>
                <w:sz w:val="2"/>
                <w:szCs w:val="2"/>
              </w:rPr>
            </w:pPr>
          </w:p>
        </w:tc>
        <w:tc>
          <w:tcPr>
            <w:tcW w:w="1725" w:type="dxa"/>
            <w:vMerge w:val="continue"/>
            <w:tcBorders>
              <w:top w:val="nil"/>
            </w:tcBorders>
          </w:tcPr>
          <w:p w14:paraId="421652FE">
            <w:pPr>
              <w:rPr>
                <w:sz w:val="2"/>
                <w:szCs w:val="2"/>
              </w:rPr>
            </w:pPr>
          </w:p>
        </w:tc>
        <w:tc>
          <w:tcPr>
            <w:tcW w:w="1230" w:type="dxa"/>
            <w:vMerge w:val="continue"/>
            <w:tcBorders>
              <w:top w:val="nil"/>
            </w:tcBorders>
          </w:tcPr>
          <w:p w14:paraId="60A4FB5C">
            <w:pPr>
              <w:rPr>
                <w:sz w:val="2"/>
                <w:szCs w:val="2"/>
              </w:rPr>
            </w:pPr>
          </w:p>
        </w:tc>
        <w:tc>
          <w:tcPr>
            <w:tcW w:w="1517" w:type="dxa"/>
            <w:vMerge w:val="continue"/>
            <w:tcBorders>
              <w:top w:val="nil"/>
            </w:tcBorders>
          </w:tcPr>
          <w:p w14:paraId="1FD14A90">
            <w:pPr>
              <w:rPr>
                <w:sz w:val="2"/>
                <w:szCs w:val="2"/>
              </w:rPr>
            </w:pPr>
          </w:p>
        </w:tc>
        <w:tc>
          <w:tcPr>
            <w:tcW w:w="712" w:type="dxa"/>
            <w:vMerge w:val="continue"/>
            <w:tcBorders>
              <w:top w:val="nil"/>
              <w:right w:val="nil"/>
            </w:tcBorders>
          </w:tcPr>
          <w:p w14:paraId="3E8514A1">
            <w:pPr>
              <w:rPr>
                <w:sz w:val="2"/>
                <w:szCs w:val="2"/>
              </w:rPr>
            </w:pPr>
          </w:p>
        </w:tc>
      </w:tr>
      <w:tr w14:paraId="0F6E4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EC4E363">
            <w:pPr>
              <w:pStyle w:val="17"/>
              <w:spacing w:before="33"/>
              <w:ind w:right="169"/>
              <w:jc w:val="right"/>
              <w:rPr>
                <w:rFonts w:ascii="Times New Roman"/>
                <w:sz w:val="21"/>
              </w:rPr>
            </w:pPr>
            <w:r>
              <w:rPr>
                <w:rFonts w:ascii="Times New Roman"/>
                <w:w w:val="99"/>
                <w:sz w:val="21"/>
              </w:rPr>
              <w:t>1</w:t>
            </w:r>
          </w:p>
        </w:tc>
        <w:tc>
          <w:tcPr>
            <w:tcW w:w="1265" w:type="dxa"/>
          </w:tcPr>
          <w:p w14:paraId="2E96BABA">
            <w:pPr>
              <w:pStyle w:val="17"/>
              <w:spacing w:before="19"/>
              <w:ind w:left="189" w:right="183"/>
              <w:rPr>
                <w:sz w:val="21"/>
              </w:rPr>
            </w:pPr>
            <w:r>
              <w:rPr>
                <w:sz w:val="21"/>
              </w:rPr>
              <w:t>新书村</w:t>
            </w:r>
          </w:p>
        </w:tc>
        <w:tc>
          <w:tcPr>
            <w:tcW w:w="771" w:type="dxa"/>
          </w:tcPr>
          <w:p w14:paraId="4BF95243">
            <w:pPr>
              <w:pStyle w:val="17"/>
              <w:spacing w:before="33"/>
              <w:ind w:right="182"/>
              <w:jc w:val="right"/>
              <w:rPr>
                <w:rFonts w:ascii="Times New Roman"/>
                <w:sz w:val="21"/>
              </w:rPr>
            </w:pPr>
            <w:r>
              <w:rPr>
                <w:rFonts w:ascii="Times New Roman"/>
                <w:sz w:val="21"/>
              </w:rPr>
              <w:t>-691</w:t>
            </w:r>
          </w:p>
        </w:tc>
        <w:tc>
          <w:tcPr>
            <w:tcW w:w="772" w:type="dxa"/>
          </w:tcPr>
          <w:p w14:paraId="5CAD76D0">
            <w:pPr>
              <w:pStyle w:val="17"/>
              <w:spacing w:before="33"/>
              <w:ind w:right="181"/>
              <w:jc w:val="right"/>
              <w:rPr>
                <w:rFonts w:ascii="Times New Roman"/>
                <w:sz w:val="21"/>
              </w:rPr>
            </w:pPr>
            <w:r>
              <w:rPr>
                <w:rFonts w:ascii="Times New Roman"/>
                <w:w w:val="95"/>
                <w:sz w:val="21"/>
              </w:rPr>
              <w:t>-158</w:t>
            </w:r>
          </w:p>
        </w:tc>
        <w:tc>
          <w:tcPr>
            <w:tcW w:w="921" w:type="dxa"/>
          </w:tcPr>
          <w:p w14:paraId="1F51ADE2">
            <w:pPr>
              <w:pStyle w:val="17"/>
              <w:spacing w:before="33"/>
              <w:ind w:left="203" w:right="195"/>
              <w:rPr>
                <w:rFonts w:ascii="Times New Roman"/>
                <w:sz w:val="21"/>
              </w:rPr>
            </w:pPr>
            <w:r>
              <w:rPr>
                <w:rFonts w:ascii="Times New Roman"/>
                <w:sz w:val="21"/>
              </w:rPr>
              <w:t>64.83</w:t>
            </w:r>
          </w:p>
        </w:tc>
        <w:tc>
          <w:tcPr>
            <w:tcW w:w="1035" w:type="dxa"/>
          </w:tcPr>
          <w:p w14:paraId="3871B704">
            <w:pPr>
              <w:pStyle w:val="17"/>
              <w:spacing w:before="19"/>
              <w:ind w:left="201"/>
              <w:jc w:val="left"/>
              <w:rPr>
                <w:sz w:val="21"/>
              </w:rPr>
            </w:pPr>
            <w:r>
              <w:rPr>
                <w:sz w:val="21"/>
              </w:rPr>
              <w:t>小时值</w:t>
            </w:r>
          </w:p>
        </w:tc>
        <w:tc>
          <w:tcPr>
            <w:tcW w:w="1259" w:type="dxa"/>
          </w:tcPr>
          <w:p w14:paraId="69A9E0E9">
            <w:pPr>
              <w:pStyle w:val="17"/>
              <w:spacing w:before="33"/>
              <w:ind w:left="188" w:right="180"/>
              <w:rPr>
                <w:rFonts w:ascii="Times New Roman"/>
                <w:sz w:val="21"/>
              </w:rPr>
            </w:pPr>
            <w:r>
              <w:rPr>
                <w:rFonts w:ascii="Times New Roman"/>
                <w:sz w:val="21"/>
              </w:rPr>
              <w:t>2.54E-04</w:t>
            </w:r>
          </w:p>
        </w:tc>
        <w:tc>
          <w:tcPr>
            <w:tcW w:w="1317" w:type="dxa"/>
          </w:tcPr>
          <w:p w14:paraId="2A420A96">
            <w:pPr>
              <w:pStyle w:val="17"/>
              <w:spacing w:before="33"/>
              <w:ind w:left="108" w:right="98"/>
              <w:rPr>
                <w:rFonts w:ascii="Times New Roman"/>
                <w:sz w:val="21"/>
              </w:rPr>
            </w:pPr>
            <w:r>
              <w:rPr>
                <w:rFonts w:ascii="Times New Roman"/>
                <w:sz w:val="21"/>
              </w:rPr>
              <w:t>23080306</w:t>
            </w:r>
          </w:p>
        </w:tc>
        <w:tc>
          <w:tcPr>
            <w:tcW w:w="1230" w:type="dxa"/>
          </w:tcPr>
          <w:p w14:paraId="7BF809A1">
            <w:pPr>
              <w:pStyle w:val="17"/>
              <w:spacing w:before="33"/>
              <w:ind w:left="202"/>
              <w:jc w:val="left"/>
              <w:rPr>
                <w:rFonts w:ascii="Times New Roman"/>
                <w:sz w:val="21"/>
              </w:rPr>
            </w:pPr>
            <w:r>
              <w:rPr>
                <w:rFonts w:ascii="Times New Roman"/>
                <w:sz w:val="21"/>
              </w:rPr>
              <w:t>0.00E+00</w:t>
            </w:r>
          </w:p>
        </w:tc>
        <w:tc>
          <w:tcPr>
            <w:tcW w:w="1725" w:type="dxa"/>
          </w:tcPr>
          <w:p w14:paraId="1E7F74BE">
            <w:pPr>
              <w:pStyle w:val="17"/>
              <w:spacing w:before="33"/>
              <w:ind w:left="417" w:right="413"/>
              <w:rPr>
                <w:rFonts w:ascii="Times New Roman"/>
                <w:sz w:val="21"/>
              </w:rPr>
            </w:pPr>
            <w:r>
              <w:rPr>
                <w:rFonts w:ascii="Times New Roman"/>
                <w:sz w:val="21"/>
              </w:rPr>
              <w:t>2.54E-04</w:t>
            </w:r>
          </w:p>
        </w:tc>
        <w:tc>
          <w:tcPr>
            <w:tcW w:w="1230" w:type="dxa"/>
          </w:tcPr>
          <w:p w14:paraId="14FD048A">
            <w:pPr>
              <w:pStyle w:val="17"/>
              <w:spacing w:before="33"/>
              <w:ind w:left="172" w:right="166"/>
              <w:rPr>
                <w:rFonts w:ascii="Times New Roman"/>
                <w:sz w:val="21"/>
              </w:rPr>
            </w:pPr>
            <w:r>
              <w:rPr>
                <w:rFonts w:ascii="Times New Roman"/>
                <w:sz w:val="21"/>
              </w:rPr>
              <w:t>4.50E-01</w:t>
            </w:r>
          </w:p>
        </w:tc>
        <w:tc>
          <w:tcPr>
            <w:tcW w:w="1517" w:type="dxa"/>
          </w:tcPr>
          <w:p w14:paraId="4F8A8533">
            <w:pPr>
              <w:pStyle w:val="17"/>
              <w:spacing w:before="33"/>
              <w:ind w:left="499" w:right="492"/>
              <w:rPr>
                <w:rFonts w:ascii="Times New Roman"/>
                <w:sz w:val="21"/>
              </w:rPr>
            </w:pPr>
            <w:r>
              <w:rPr>
                <w:rFonts w:ascii="Times New Roman"/>
                <w:sz w:val="21"/>
              </w:rPr>
              <w:t>0.06</w:t>
            </w:r>
          </w:p>
        </w:tc>
        <w:tc>
          <w:tcPr>
            <w:tcW w:w="712" w:type="dxa"/>
            <w:tcBorders>
              <w:right w:val="nil"/>
            </w:tcBorders>
          </w:tcPr>
          <w:p w14:paraId="73BABF55">
            <w:pPr>
              <w:pStyle w:val="17"/>
              <w:spacing w:before="19"/>
              <w:ind w:left="122" w:right="121"/>
              <w:rPr>
                <w:sz w:val="21"/>
              </w:rPr>
            </w:pPr>
            <w:r>
              <w:rPr>
                <w:sz w:val="21"/>
              </w:rPr>
              <w:t>达标</w:t>
            </w:r>
          </w:p>
        </w:tc>
      </w:tr>
      <w:tr w14:paraId="3985F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D29C227">
            <w:pPr>
              <w:pStyle w:val="17"/>
              <w:jc w:val="left"/>
              <w:rPr>
                <w:rFonts w:ascii="Times New Roman"/>
                <w:sz w:val="20"/>
              </w:rPr>
            </w:pPr>
          </w:p>
        </w:tc>
        <w:tc>
          <w:tcPr>
            <w:tcW w:w="1265" w:type="dxa"/>
          </w:tcPr>
          <w:p w14:paraId="24C9621E">
            <w:pPr>
              <w:pStyle w:val="17"/>
              <w:jc w:val="left"/>
              <w:rPr>
                <w:rFonts w:ascii="Times New Roman"/>
                <w:sz w:val="20"/>
              </w:rPr>
            </w:pPr>
          </w:p>
        </w:tc>
        <w:tc>
          <w:tcPr>
            <w:tcW w:w="771" w:type="dxa"/>
          </w:tcPr>
          <w:p w14:paraId="5374D6B3">
            <w:pPr>
              <w:pStyle w:val="17"/>
              <w:jc w:val="left"/>
              <w:rPr>
                <w:rFonts w:ascii="Times New Roman"/>
                <w:sz w:val="20"/>
              </w:rPr>
            </w:pPr>
          </w:p>
        </w:tc>
        <w:tc>
          <w:tcPr>
            <w:tcW w:w="772" w:type="dxa"/>
          </w:tcPr>
          <w:p w14:paraId="562C1DE5">
            <w:pPr>
              <w:pStyle w:val="17"/>
              <w:jc w:val="left"/>
              <w:rPr>
                <w:rFonts w:ascii="Times New Roman"/>
                <w:sz w:val="20"/>
              </w:rPr>
            </w:pPr>
          </w:p>
        </w:tc>
        <w:tc>
          <w:tcPr>
            <w:tcW w:w="921" w:type="dxa"/>
          </w:tcPr>
          <w:p w14:paraId="156AE791">
            <w:pPr>
              <w:pStyle w:val="17"/>
              <w:jc w:val="left"/>
              <w:rPr>
                <w:rFonts w:ascii="Times New Roman"/>
                <w:sz w:val="20"/>
              </w:rPr>
            </w:pPr>
          </w:p>
        </w:tc>
        <w:tc>
          <w:tcPr>
            <w:tcW w:w="1035" w:type="dxa"/>
          </w:tcPr>
          <w:p w14:paraId="6408FC82">
            <w:pPr>
              <w:pStyle w:val="17"/>
              <w:spacing w:before="19"/>
              <w:ind w:left="201"/>
              <w:jc w:val="left"/>
              <w:rPr>
                <w:sz w:val="21"/>
              </w:rPr>
            </w:pPr>
            <w:r>
              <w:rPr>
                <w:sz w:val="21"/>
              </w:rPr>
              <w:t>日均值</w:t>
            </w:r>
          </w:p>
        </w:tc>
        <w:tc>
          <w:tcPr>
            <w:tcW w:w="1259" w:type="dxa"/>
          </w:tcPr>
          <w:p w14:paraId="4FC643EC">
            <w:pPr>
              <w:pStyle w:val="17"/>
              <w:spacing w:before="35"/>
              <w:ind w:left="188" w:right="180"/>
              <w:rPr>
                <w:rFonts w:ascii="Times New Roman"/>
                <w:sz w:val="21"/>
              </w:rPr>
            </w:pPr>
            <w:r>
              <w:rPr>
                <w:rFonts w:ascii="Times New Roman"/>
                <w:sz w:val="21"/>
              </w:rPr>
              <w:t>3.97E-05</w:t>
            </w:r>
          </w:p>
        </w:tc>
        <w:tc>
          <w:tcPr>
            <w:tcW w:w="1317" w:type="dxa"/>
          </w:tcPr>
          <w:p w14:paraId="14EC9195">
            <w:pPr>
              <w:pStyle w:val="17"/>
              <w:spacing w:before="35"/>
              <w:ind w:left="108" w:right="98"/>
              <w:rPr>
                <w:rFonts w:ascii="Times New Roman"/>
                <w:sz w:val="21"/>
              </w:rPr>
            </w:pPr>
            <w:r>
              <w:rPr>
                <w:rFonts w:ascii="Times New Roman"/>
                <w:sz w:val="21"/>
              </w:rPr>
              <w:t>230823</w:t>
            </w:r>
          </w:p>
        </w:tc>
        <w:tc>
          <w:tcPr>
            <w:tcW w:w="1230" w:type="dxa"/>
          </w:tcPr>
          <w:p w14:paraId="4B615207">
            <w:pPr>
              <w:pStyle w:val="17"/>
              <w:spacing w:before="35"/>
              <w:ind w:left="226"/>
              <w:jc w:val="left"/>
              <w:rPr>
                <w:rFonts w:ascii="Times New Roman"/>
                <w:sz w:val="21"/>
              </w:rPr>
            </w:pPr>
            <w:r>
              <w:rPr>
                <w:rFonts w:ascii="Times New Roman"/>
                <w:sz w:val="21"/>
              </w:rPr>
              <w:t>9.60E-02</w:t>
            </w:r>
          </w:p>
        </w:tc>
        <w:tc>
          <w:tcPr>
            <w:tcW w:w="1725" w:type="dxa"/>
          </w:tcPr>
          <w:p w14:paraId="1EBF473C">
            <w:pPr>
              <w:pStyle w:val="17"/>
              <w:spacing w:before="35"/>
              <w:ind w:left="417" w:right="413"/>
              <w:rPr>
                <w:rFonts w:ascii="Times New Roman"/>
                <w:sz w:val="21"/>
              </w:rPr>
            </w:pPr>
            <w:r>
              <w:rPr>
                <w:rFonts w:ascii="Times New Roman"/>
                <w:sz w:val="21"/>
              </w:rPr>
              <w:t>9.60E-02</w:t>
            </w:r>
          </w:p>
        </w:tc>
        <w:tc>
          <w:tcPr>
            <w:tcW w:w="1230" w:type="dxa"/>
          </w:tcPr>
          <w:p w14:paraId="57982248">
            <w:pPr>
              <w:pStyle w:val="17"/>
              <w:spacing w:before="35"/>
              <w:ind w:left="172" w:right="166"/>
              <w:rPr>
                <w:rFonts w:ascii="Times New Roman"/>
                <w:sz w:val="21"/>
              </w:rPr>
            </w:pPr>
            <w:r>
              <w:rPr>
                <w:rFonts w:ascii="Times New Roman"/>
                <w:sz w:val="21"/>
              </w:rPr>
              <w:t>1.50E-01</w:t>
            </w:r>
          </w:p>
        </w:tc>
        <w:tc>
          <w:tcPr>
            <w:tcW w:w="1517" w:type="dxa"/>
          </w:tcPr>
          <w:p w14:paraId="7216B842">
            <w:pPr>
              <w:pStyle w:val="17"/>
              <w:spacing w:before="35"/>
              <w:ind w:left="501" w:right="492"/>
              <w:rPr>
                <w:rFonts w:ascii="Times New Roman"/>
                <w:sz w:val="21"/>
              </w:rPr>
            </w:pPr>
            <w:r>
              <w:rPr>
                <w:rFonts w:ascii="Times New Roman"/>
                <w:sz w:val="21"/>
              </w:rPr>
              <w:t>64.03</w:t>
            </w:r>
          </w:p>
        </w:tc>
        <w:tc>
          <w:tcPr>
            <w:tcW w:w="712" w:type="dxa"/>
            <w:tcBorders>
              <w:right w:val="nil"/>
            </w:tcBorders>
          </w:tcPr>
          <w:p w14:paraId="632FA4E5">
            <w:pPr>
              <w:pStyle w:val="17"/>
              <w:spacing w:before="19"/>
              <w:ind w:left="122" w:right="121"/>
              <w:rPr>
                <w:sz w:val="21"/>
              </w:rPr>
            </w:pPr>
            <w:r>
              <w:rPr>
                <w:sz w:val="21"/>
              </w:rPr>
              <w:t>达标</w:t>
            </w:r>
          </w:p>
        </w:tc>
      </w:tr>
      <w:tr w14:paraId="7D68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A7592BD">
            <w:pPr>
              <w:pStyle w:val="17"/>
              <w:jc w:val="left"/>
              <w:rPr>
                <w:rFonts w:ascii="Times New Roman"/>
                <w:sz w:val="20"/>
              </w:rPr>
            </w:pPr>
          </w:p>
        </w:tc>
        <w:tc>
          <w:tcPr>
            <w:tcW w:w="1265" w:type="dxa"/>
          </w:tcPr>
          <w:p w14:paraId="17355DC7">
            <w:pPr>
              <w:pStyle w:val="17"/>
              <w:jc w:val="left"/>
              <w:rPr>
                <w:rFonts w:ascii="Times New Roman"/>
                <w:sz w:val="20"/>
              </w:rPr>
            </w:pPr>
          </w:p>
        </w:tc>
        <w:tc>
          <w:tcPr>
            <w:tcW w:w="771" w:type="dxa"/>
          </w:tcPr>
          <w:p w14:paraId="634C24CF">
            <w:pPr>
              <w:pStyle w:val="17"/>
              <w:jc w:val="left"/>
              <w:rPr>
                <w:rFonts w:ascii="Times New Roman"/>
                <w:sz w:val="20"/>
              </w:rPr>
            </w:pPr>
          </w:p>
        </w:tc>
        <w:tc>
          <w:tcPr>
            <w:tcW w:w="772" w:type="dxa"/>
          </w:tcPr>
          <w:p w14:paraId="424EB674">
            <w:pPr>
              <w:pStyle w:val="17"/>
              <w:jc w:val="left"/>
              <w:rPr>
                <w:rFonts w:ascii="Times New Roman"/>
                <w:sz w:val="20"/>
              </w:rPr>
            </w:pPr>
          </w:p>
        </w:tc>
        <w:tc>
          <w:tcPr>
            <w:tcW w:w="921" w:type="dxa"/>
          </w:tcPr>
          <w:p w14:paraId="397A7EEA">
            <w:pPr>
              <w:pStyle w:val="17"/>
              <w:jc w:val="left"/>
              <w:rPr>
                <w:rFonts w:ascii="Times New Roman"/>
                <w:sz w:val="20"/>
              </w:rPr>
            </w:pPr>
          </w:p>
        </w:tc>
        <w:tc>
          <w:tcPr>
            <w:tcW w:w="1035" w:type="dxa"/>
          </w:tcPr>
          <w:p w14:paraId="6E845B96">
            <w:pPr>
              <w:pStyle w:val="17"/>
              <w:spacing w:before="18"/>
              <w:ind w:left="201"/>
              <w:jc w:val="left"/>
              <w:rPr>
                <w:sz w:val="21"/>
              </w:rPr>
            </w:pPr>
            <w:r>
              <w:rPr>
                <w:sz w:val="21"/>
              </w:rPr>
              <w:t>年均值</w:t>
            </w:r>
          </w:p>
        </w:tc>
        <w:tc>
          <w:tcPr>
            <w:tcW w:w="1259" w:type="dxa"/>
          </w:tcPr>
          <w:p w14:paraId="4DB47D06">
            <w:pPr>
              <w:pStyle w:val="17"/>
              <w:spacing w:before="34"/>
              <w:ind w:left="188" w:right="180"/>
              <w:rPr>
                <w:rFonts w:ascii="Times New Roman"/>
                <w:sz w:val="21"/>
              </w:rPr>
            </w:pPr>
            <w:r>
              <w:rPr>
                <w:rFonts w:ascii="Times New Roman"/>
                <w:sz w:val="21"/>
              </w:rPr>
              <w:t>2.65E-06</w:t>
            </w:r>
          </w:p>
        </w:tc>
        <w:tc>
          <w:tcPr>
            <w:tcW w:w="1317" w:type="dxa"/>
          </w:tcPr>
          <w:p w14:paraId="65A82721">
            <w:pPr>
              <w:pStyle w:val="17"/>
              <w:spacing w:before="18"/>
              <w:ind w:left="107" w:right="98"/>
              <w:rPr>
                <w:sz w:val="21"/>
              </w:rPr>
            </w:pPr>
            <w:r>
              <w:rPr>
                <w:sz w:val="21"/>
              </w:rPr>
              <w:t>平均值</w:t>
            </w:r>
          </w:p>
        </w:tc>
        <w:tc>
          <w:tcPr>
            <w:tcW w:w="1230" w:type="dxa"/>
          </w:tcPr>
          <w:p w14:paraId="5B314203">
            <w:pPr>
              <w:pStyle w:val="17"/>
              <w:spacing w:before="34"/>
              <w:ind w:left="226"/>
              <w:jc w:val="left"/>
              <w:rPr>
                <w:rFonts w:ascii="Times New Roman"/>
                <w:sz w:val="21"/>
              </w:rPr>
            </w:pPr>
            <w:r>
              <w:rPr>
                <w:rFonts w:ascii="Times New Roman"/>
                <w:sz w:val="21"/>
              </w:rPr>
              <w:t>1.62E-02</w:t>
            </w:r>
          </w:p>
        </w:tc>
        <w:tc>
          <w:tcPr>
            <w:tcW w:w="1725" w:type="dxa"/>
          </w:tcPr>
          <w:p w14:paraId="4C4AF21A">
            <w:pPr>
              <w:pStyle w:val="17"/>
              <w:spacing w:before="34"/>
              <w:ind w:left="417" w:right="413"/>
              <w:rPr>
                <w:rFonts w:ascii="Times New Roman"/>
                <w:sz w:val="21"/>
              </w:rPr>
            </w:pPr>
            <w:r>
              <w:rPr>
                <w:rFonts w:ascii="Times New Roman"/>
                <w:sz w:val="21"/>
              </w:rPr>
              <w:t>1.62E-02</w:t>
            </w:r>
          </w:p>
        </w:tc>
        <w:tc>
          <w:tcPr>
            <w:tcW w:w="1230" w:type="dxa"/>
          </w:tcPr>
          <w:p w14:paraId="0C650DCD">
            <w:pPr>
              <w:pStyle w:val="17"/>
              <w:spacing w:before="34"/>
              <w:ind w:left="172" w:right="166"/>
              <w:rPr>
                <w:rFonts w:ascii="Times New Roman"/>
                <w:sz w:val="21"/>
              </w:rPr>
            </w:pPr>
            <w:r>
              <w:rPr>
                <w:rFonts w:ascii="Times New Roman"/>
                <w:sz w:val="21"/>
              </w:rPr>
              <w:t>7.00E-02</w:t>
            </w:r>
          </w:p>
        </w:tc>
        <w:tc>
          <w:tcPr>
            <w:tcW w:w="1517" w:type="dxa"/>
          </w:tcPr>
          <w:p w14:paraId="18FDE334">
            <w:pPr>
              <w:pStyle w:val="17"/>
              <w:spacing w:before="34"/>
              <w:ind w:left="501" w:right="492"/>
              <w:rPr>
                <w:rFonts w:ascii="Times New Roman"/>
                <w:sz w:val="21"/>
              </w:rPr>
            </w:pPr>
            <w:r>
              <w:rPr>
                <w:rFonts w:ascii="Times New Roman"/>
                <w:sz w:val="21"/>
              </w:rPr>
              <w:t>23.15</w:t>
            </w:r>
          </w:p>
        </w:tc>
        <w:tc>
          <w:tcPr>
            <w:tcW w:w="712" w:type="dxa"/>
            <w:tcBorders>
              <w:right w:val="nil"/>
            </w:tcBorders>
          </w:tcPr>
          <w:p w14:paraId="1839366F">
            <w:pPr>
              <w:pStyle w:val="17"/>
              <w:spacing w:before="18"/>
              <w:ind w:left="122" w:right="121"/>
              <w:rPr>
                <w:sz w:val="21"/>
              </w:rPr>
            </w:pPr>
            <w:r>
              <w:rPr>
                <w:sz w:val="21"/>
              </w:rPr>
              <w:t>达标</w:t>
            </w:r>
          </w:p>
        </w:tc>
      </w:tr>
      <w:tr w14:paraId="1ACAA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2833515">
            <w:pPr>
              <w:pStyle w:val="17"/>
              <w:spacing w:before="34"/>
              <w:ind w:right="169"/>
              <w:jc w:val="right"/>
              <w:rPr>
                <w:rFonts w:ascii="Times New Roman"/>
                <w:sz w:val="21"/>
              </w:rPr>
            </w:pPr>
            <w:r>
              <w:rPr>
                <w:rFonts w:ascii="Times New Roman"/>
                <w:w w:val="99"/>
                <w:sz w:val="21"/>
              </w:rPr>
              <w:t>2</w:t>
            </w:r>
          </w:p>
        </w:tc>
        <w:tc>
          <w:tcPr>
            <w:tcW w:w="1265" w:type="dxa"/>
          </w:tcPr>
          <w:p w14:paraId="36A53BB2">
            <w:pPr>
              <w:pStyle w:val="17"/>
              <w:spacing w:before="20"/>
              <w:ind w:left="189" w:right="183"/>
              <w:rPr>
                <w:sz w:val="21"/>
              </w:rPr>
            </w:pPr>
            <w:r>
              <w:rPr>
                <w:sz w:val="21"/>
              </w:rPr>
              <w:t>八里村</w:t>
            </w:r>
          </w:p>
        </w:tc>
        <w:tc>
          <w:tcPr>
            <w:tcW w:w="771" w:type="dxa"/>
          </w:tcPr>
          <w:p w14:paraId="3B0C377F">
            <w:pPr>
              <w:pStyle w:val="17"/>
              <w:spacing w:before="34"/>
              <w:ind w:right="182"/>
              <w:jc w:val="right"/>
              <w:rPr>
                <w:rFonts w:ascii="Times New Roman"/>
                <w:sz w:val="21"/>
              </w:rPr>
            </w:pPr>
            <w:r>
              <w:rPr>
                <w:rFonts w:ascii="Times New Roman"/>
                <w:sz w:val="21"/>
              </w:rPr>
              <w:t>-698</w:t>
            </w:r>
          </w:p>
        </w:tc>
        <w:tc>
          <w:tcPr>
            <w:tcW w:w="772" w:type="dxa"/>
          </w:tcPr>
          <w:p w14:paraId="3A22AED4">
            <w:pPr>
              <w:pStyle w:val="17"/>
              <w:spacing w:before="34"/>
              <w:ind w:right="181"/>
              <w:jc w:val="right"/>
              <w:rPr>
                <w:rFonts w:ascii="Times New Roman"/>
                <w:sz w:val="21"/>
              </w:rPr>
            </w:pPr>
            <w:r>
              <w:rPr>
                <w:rFonts w:ascii="Times New Roman"/>
                <w:w w:val="95"/>
                <w:sz w:val="21"/>
              </w:rPr>
              <w:t>-255</w:t>
            </w:r>
          </w:p>
        </w:tc>
        <w:tc>
          <w:tcPr>
            <w:tcW w:w="921" w:type="dxa"/>
          </w:tcPr>
          <w:p w14:paraId="5965EB6F">
            <w:pPr>
              <w:pStyle w:val="17"/>
              <w:spacing w:before="34"/>
              <w:ind w:left="203" w:right="195"/>
              <w:rPr>
                <w:rFonts w:ascii="Times New Roman"/>
                <w:sz w:val="21"/>
              </w:rPr>
            </w:pPr>
            <w:r>
              <w:rPr>
                <w:rFonts w:ascii="Times New Roman"/>
                <w:sz w:val="21"/>
              </w:rPr>
              <w:t>63.63</w:t>
            </w:r>
          </w:p>
        </w:tc>
        <w:tc>
          <w:tcPr>
            <w:tcW w:w="1035" w:type="dxa"/>
          </w:tcPr>
          <w:p w14:paraId="7100C486">
            <w:pPr>
              <w:pStyle w:val="17"/>
              <w:spacing w:before="18"/>
              <w:ind w:left="201"/>
              <w:jc w:val="left"/>
              <w:rPr>
                <w:sz w:val="21"/>
              </w:rPr>
            </w:pPr>
            <w:r>
              <w:rPr>
                <w:sz w:val="21"/>
              </w:rPr>
              <w:t>小时值</w:t>
            </w:r>
          </w:p>
        </w:tc>
        <w:tc>
          <w:tcPr>
            <w:tcW w:w="1259" w:type="dxa"/>
          </w:tcPr>
          <w:p w14:paraId="4328DED1">
            <w:pPr>
              <w:pStyle w:val="17"/>
              <w:spacing w:before="34"/>
              <w:ind w:left="188" w:right="180"/>
              <w:rPr>
                <w:rFonts w:ascii="Times New Roman"/>
                <w:sz w:val="21"/>
              </w:rPr>
            </w:pPr>
            <w:r>
              <w:rPr>
                <w:rFonts w:ascii="Times New Roman"/>
                <w:sz w:val="21"/>
              </w:rPr>
              <w:t>1.97E-04</w:t>
            </w:r>
          </w:p>
        </w:tc>
        <w:tc>
          <w:tcPr>
            <w:tcW w:w="1317" w:type="dxa"/>
          </w:tcPr>
          <w:p w14:paraId="7DC2E0A1">
            <w:pPr>
              <w:pStyle w:val="17"/>
              <w:spacing w:before="34"/>
              <w:ind w:left="108" w:right="98"/>
              <w:rPr>
                <w:rFonts w:ascii="Times New Roman"/>
                <w:sz w:val="21"/>
              </w:rPr>
            </w:pPr>
            <w:r>
              <w:rPr>
                <w:rFonts w:ascii="Times New Roman"/>
                <w:sz w:val="21"/>
              </w:rPr>
              <w:t>23081505</w:t>
            </w:r>
          </w:p>
        </w:tc>
        <w:tc>
          <w:tcPr>
            <w:tcW w:w="1230" w:type="dxa"/>
          </w:tcPr>
          <w:p w14:paraId="09F2F731">
            <w:pPr>
              <w:pStyle w:val="17"/>
              <w:spacing w:before="34"/>
              <w:ind w:left="202"/>
              <w:jc w:val="left"/>
              <w:rPr>
                <w:rFonts w:ascii="Times New Roman"/>
                <w:sz w:val="21"/>
              </w:rPr>
            </w:pPr>
            <w:r>
              <w:rPr>
                <w:rFonts w:ascii="Times New Roman"/>
                <w:sz w:val="21"/>
              </w:rPr>
              <w:t>0.00E+00</w:t>
            </w:r>
          </w:p>
        </w:tc>
        <w:tc>
          <w:tcPr>
            <w:tcW w:w="1725" w:type="dxa"/>
          </w:tcPr>
          <w:p w14:paraId="5842890A">
            <w:pPr>
              <w:pStyle w:val="17"/>
              <w:spacing w:before="34"/>
              <w:ind w:left="417" w:right="413"/>
              <w:rPr>
                <w:rFonts w:ascii="Times New Roman"/>
                <w:sz w:val="21"/>
              </w:rPr>
            </w:pPr>
            <w:r>
              <w:rPr>
                <w:rFonts w:ascii="Times New Roman"/>
                <w:sz w:val="21"/>
              </w:rPr>
              <w:t>1.97E-04</w:t>
            </w:r>
          </w:p>
        </w:tc>
        <w:tc>
          <w:tcPr>
            <w:tcW w:w="1230" w:type="dxa"/>
          </w:tcPr>
          <w:p w14:paraId="54DDB43F">
            <w:pPr>
              <w:pStyle w:val="17"/>
              <w:spacing w:before="34"/>
              <w:ind w:left="172" w:right="166"/>
              <w:rPr>
                <w:rFonts w:ascii="Times New Roman"/>
                <w:sz w:val="21"/>
              </w:rPr>
            </w:pPr>
            <w:r>
              <w:rPr>
                <w:rFonts w:ascii="Times New Roman"/>
                <w:sz w:val="21"/>
              </w:rPr>
              <w:t>4.50E-01</w:t>
            </w:r>
          </w:p>
        </w:tc>
        <w:tc>
          <w:tcPr>
            <w:tcW w:w="1517" w:type="dxa"/>
          </w:tcPr>
          <w:p w14:paraId="2FCA7C3C">
            <w:pPr>
              <w:pStyle w:val="17"/>
              <w:spacing w:before="34"/>
              <w:ind w:left="499" w:right="492"/>
              <w:rPr>
                <w:rFonts w:ascii="Times New Roman"/>
                <w:sz w:val="21"/>
              </w:rPr>
            </w:pPr>
            <w:r>
              <w:rPr>
                <w:rFonts w:ascii="Times New Roman"/>
                <w:sz w:val="21"/>
              </w:rPr>
              <w:t>0.04</w:t>
            </w:r>
          </w:p>
        </w:tc>
        <w:tc>
          <w:tcPr>
            <w:tcW w:w="712" w:type="dxa"/>
            <w:tcBorders>
              <w:right w:val="nil"/>
            </w:tcBorders>
          </w:tcPr>
          <w:p w14:paraId="2BB86BA8">
            <w:pPr>
              <w:pStyle w:val="17"/>
              <w:spacing w:before="18"/>
              <w:ind w:left="122" w:right="121"/>
              <w:rPr>
                <w:sz w:val="21"/>
              </w:rPr>
            </w:pPr>
            <w:r>
              <w:rPr>
                <w:sz w:val="21"/>
              </w:rPr>
              <w:t>达标</w:t>
            </w:r>
          </w:p>
        </w:tc>
      </w:tr>
      <w:tr w14:paraId="55F57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94C9E6C">
            <w:pPr>
              <w:pStyle w:val="17"/>
              <w:jc w:val="left"/>
              <w:rPr>
                <w:rFonts w:ascii="Times New Roman"/>
                <w:sz w:val="20"/>
              </w:rPr>
            </w:pPr>
          </w:p>
        </w:tc>
        <w:tc>
          <w:tcPr>
            <w:tcW w:w="1265" w:type="dxa"/>
          </w:tcPr>
          <w:p w14:paraId="6D686D63">
            <w:pPr>
              <w:pStyle w:val="17"/>
              <w:jc w:val="left"/>
              <w:rPr>
                <w:rFonts w:ascii="Times New Roman"/>
                <w:sz w:val="20"/>
              </w:rPr>
            </w:pPr>
          </w:p>
        </w:tc>
        <w:tc>
          <w:tcPr>
            <w:tcW w:w="771" w:type="dxa"/>
          </w:tcPr>
          <w:p w14:paraId="03E3D782">
            <w:pPr>
              <w:pStyle w:val="17"/>
              <w:jc w:val="left"/>
              <w:rPr>
                <w:rFonts w:ascii="Times New Roman"/>
                <w:sz w:val="20"/>
              </w:rPr>
            </w:pPr>
          </w:p>
        </w:tc>
        <w:tc>
          <w:tcPr>
            <w:tcW w:w="772" w:type="dxa"/>
          </w:tcPr>
          <w:p w14:paraId="78FE2937">
            <w:pPr>
              <w:pStyle w:val="17"/>
              <w:jc w:val="left"/>
              <w:rPr>
                <w:rFonts w:ascii="Times New Roman"/>
                <w:sz w:val="20"/>
              </w:rPr>
            </w:pPr>
          </w:p>
        </w:tc>
        <w:tc>
          <w:tcPr>
            <w:tcW w:w="921" w:type="dxa"/>
          </w:tcPr>
          <w:p w14:paraId="3875E5C6">
            <w:pPr>
              <w:pStyle w:val="17"/>
              <w:jc w:val="left"/>
              <w:rPr>
                <w:rFonts w:ascii="Times New Roman"/>
                <w:sz w:val="20"/>
              </w:rPr>
            </w:pPr>
          </w:p>
        </w:tc>
        <w:tc>
          <w:tcPr>
            <w:tcW w:w="1035" w:type="dxa"/>
          </w:tcPr>
          <w:p w14:paraId="7A454796">
            <w:pPr>
              <w:pStyle w:val="17"/>
              <w:spacing w:before="20"/>
              <w:ind w:left="201"/>
              <w:jc w:val="left"/>
              <w:rPr>
                <w:sz w:val="21"/>
              </w:rPr>
            </w:pPr>
            <w:r>
              <w:rPr>
                <w:sz w:val="21"/>
              </w:rPr>
              <w:t>日均值</w:t>
            </w:r>
          </w:p>
        </w:tc>
        <w:tc>
          <w:tcPr>
            <w:tcW w:w="1259" w:type="dxa"/>
          </w:tcPr>
          <w:p w14:paraId="468319B0">
            <w:pPr>
              <w:pStyle w:val="17"/>
              <w:spacing w:before="34"/>
              <w:ind w:left="188" w:right="180"/>
              <w:rPr>
                <w:rFonts w:ascii="Times New Roman"/>
                <w:sz w:val="21"/>
              </w:rPr>
            </w:pPr>
            <w:r>
              <w:rPr>
                <w:rFonts w:ascii="Times New Roman"/>
                <w:sz w:val="21"/>
              </w:rPr>
              <w:t>2.56E-05</w:t>
            </w:r>
          </w:p>
        </w:tc>
        <w:tc>
          <w:tcPr>
            <w:tcW w:w="1317" w:type="dxa"/>
          </w:tcPr>
          <w:p w14:paraId="09FE82F1">
            <w:pPr>
              <w:pStyle w:val="17"/>
              <w:spacing w:before="34"/>
              <w:ind w:left="108" w:right="98"/>
              <w:rPr>
                <w:rFonts w:ascii="Times New Roman"/>
                <w:sz w:val="21"/>
              </w:rPr>
            </w:pPr>
            <w:r>
              <w:rPr>
                <w:rFonts w:ascii="Times New Roman"/>
                <w:sz w:val="21"/>
              </w:rPr>
              <w:t>230825</w:t>
            </w:r>
          </w:p>
        </w:tc>
        <w:tc>
          <w:tcPr>
            <w:tcW w:w="1230" w:type="dxa"/>
          </w:tcPr>
          <w:p w14:paraId="792F6041">
            <w:pPr>
              <w:pStyle w:val="17"/>
              <w:spacing w:before="34"/>
              <w:ind w:left="226"/>
              <w:jc w:val="left"/>
              <w:rPr>
                <w:rFonts w:ascii="Times New Roman"/>
                <w:sz w:val="21"/>
              </w:rPr>
            </w:pPr>
            <w:r>
              <w:rPr>
                <w:rFonts w:ascii="Times New Roman"/>
                <w:sz w:val="21"/>
              </w:rPr>
              <w:t>9.60E-02</w:t>
            </w:r>
          </w:p>
        </w:tc>
        <w:tc>
          <w:tcPr>
            <w:tcW w:w="1725" w:type="dxa"/>
          </w:tcPr>
          <w:p w14:paraId="1DC99B4C">
            <w:pPr>
              <w:pStyle w:val="17"/>
              <w:spacing w:before="34"/>
              <w:ind w:left="417" w:right="413"/>
              <w:rPr>
                <w:rFonts w:ascii="Times New Roman"/>
                <w:sz w:val="21"/>
              </w:rPr>
            </w:pPr>
            <w:r>
              <w:rPr>
                <w:rFonts w:ascii="Times New Roman"/>
                <w:sz w:val="21"/>
              </w:rPr>
              <w:t>9.60E-02</w:t>
            </w:r>
          </w:p>
        </w:tc>
        <w:tc>
          <w:tcPr>
            <w:tcW w:w="1230" w:type="dxa"/>
          </w:tcPr>
          <w:p w14:paraId="0682A568">
            <w:pPr>
              <w:pStyle w:val="17"/>
              <w:spacing w:before="34"/>
              <w:ind w:left="172" w:right="166"/>
              <w:rPr>
                <w:rFonts w:ascii="Times New Roman"/>
                <w:sz w:val="21"/>
              </w:rPr>
            </w:pPr>
            <w:r>
              <w:rPr>
                <w:rFonts w:ascii="Times New Roman"/>
                <w:sz w:val="21"/>
              </w:rPr>
              <w:t>1.50E-01</w:t>
            </w:r>
          </w:p>
        </w:tc>
        <w:tc>
          <w:tcPr>
            <w:tcW w:w="1517" w:type="dxa"/>
          </w:tcPr>
          <w:p w14:paraId="258FB440">
            <w:pPr>
              <w:pStyle w:val="17"/>
              <w:spacing w:before="34"/>
              <w:ind w:left="501" w:right="492"/>
              <w:rPr>
                <w:rFonts w:ascii="Times New Roman"/>
                <w:sz w:val="21"/>
              </w:rPr>
            </w:pPr>
            <w:r>
              <w:rPr>
                <w:rFonts w:ascii="Times New Roman"/>
                <w:sz w:val="21"/>
              </w:rPr>
              <w:t>64.02</w:t>
            </w:r>
          </w:p>
        </w:tc>
        <w:tc>
          <w:tcPr>
            <w:tcW w:w="712" w:type="dxa"/>
            <w:tcBorders>
              <w:right w:val="nil"/>
            </w:tcBorders>
          </w:tcPr>
          <w:p w14:paraId="789C4AA9">
            <w:pPr>
              <w:pStyle w:val="17"/>
              <w:spacing w:before="20"/>
              <w:ind w:left="122" w:right="121"/>
              <w:rPr>
                <w:sz w:val="21"/>
              </w:rPr>
            </w:pPr>
            <w:r>
              <w:rPr>
                <w:sz w:val="21"/>
              </w:rPr>
              <w:t>达标</w:t>
            </w:r>
          </w:p>
        </w:tc>
      </w:tr>
      <w:tr w14:paraId="2B5BE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CC2EB95">
            <w:pPr>
              <w:pStyle w:val="17"/>
              <w:jc w:val="left"/>
              <w:rPr>
                <w:rFonts w:ascii="Times New Roman"/>
                <w:sz w:val="20"/>
              </w:rPr>
            </w:pPr>
          </w:p>
        </w:tc>
        <w:tc>
          <w:tcPr>
            <w:tcW w:w="1265" w:type="dxa"/>
          </w:tcPr>
          <w:p w14:paraId="5DC174EC">
            <w:pPr>
              <w:pStyle w:val="17"/>
              <w:jc w:val="left"/>
              <w:rPr>
                <w:rFonts w:ascii="Times New Roman"/>
                <w:sz w:val="20"/>
              </w:rPr>
            </w:pPr>
          </w:p>
        </w:tc>
        <w:tc>
          <w:tcPr>
            <w:tcW w:w="771" w:type="dxa"/>
          </w:tcPr>
          <w:p w14:paraId="2B26659A">
            <w:pPr>
              <w:pStyle w:val="17"/>
              <w:jc w:val="left"/>
              <w:rPr>
                <w:rFonts w:ascii="Times New Roman"/>
                <w:sz w:val="20"/>
              </w:rPr>
            </w:pPr>
          </w:p>
        </w:tc>
        <w:tc>
          <w:tcPr>
            <w:tcW w:w="772" w:type="dxa"/>
          </w:tcPr>
          <w:p w14:paraId="25114D9C">
            <w:pPr>
              <w:pStyle w:val="17"/>
              <w:jc w:val="left"/>
              <w:rPr>
                <w:rFonts w:ascii="Times New Roman"/>
                <w:sz w:val="20"/>
              </w:rPr>
            </w:pPr>
          </w:p>
        </w:tc>
        <w:tc>
          <w:tcPr>
            <w:tcW w:w="921" w:type="dxa"/>
          </w:tcPr>
          <w:p w14:paraId="2AA0EF0A">
            <w:pPr>
              <w:pStyle w:val="17"/>
              <w:jc w:val="left"/>
              <w:rPr>
                <w:rFonts w:ascii="Times New Roman"/>
                <w:sz w:val="20"/>
              </w:rPr>
            </w:pPr>
          </w:p>
        </w:tc>
        <w:tc>
          <w:tcPr>
            <w:tcW w:w="1035" w:type="dxa"/>
          </w:tcPr>
          <w:p w14:paraId="3F6DEAE8">
            <w:pPr>
              <w:pStyle w:val="17"/>
              <w:spacing w:before="19"/>
              <w:ind w:left="201"/>
              <w:jc w:val="left"/>
              <w:rPr>
                <w:sz w:val="21"/>
              </w:rPr>
            </w:pPr>
            <w:r>
              <w:rPr>
                <w:sz w:val="21"/>
              </w:rPr>
              <w:t>年均值</w:t>
            </w:r>
          </w:p>
        </w:tc>
        <w:tc>
          <w:tcPr>
            <w:tcW w:w="1259" w:type="dxa"/>
          </w:tcPr>
          <w:p w14:paraId="5712526A">
            <w:pPr>
              <w:pStyle w:val="17"/>
              <w:spacing w:before="33"/>
              <w:ind w:left="188" w:right="180"/>
              <w:rPr>
                <w:rFonts w:ascii="Times New Roman"/>
                <w:sz w:val="21"/>
              </w:rPr>
            </w:pPr>
            <w:r>
              <w:rPr>
                <w:rFonts w:ascii="Times New Roman"/>
                <w:sz w:val="21"/>
              </w:rPr>
              <w:t>2.47E-06</w:t>
            </w:r>
          </w:p>
        </w:tc>
        <w:tc>
          <w:tcPr>
            <w:tcW w:w="1317" w:type="dxa"/>
          </w:tcPr>
          <w:p w14:paraId="6587FA27">
            <w:pPr>
              <w:pStyle w:val="17"/>
              <w:spacing w:before="19"/>
              <w:ind w:left="107" w:right="98"/>
              <w:rPr>
                <w:sz w:val="21"/>
              </w:rPr>
            </w:pPr>
            <w:r>
              <w:rPr>
                <w:sz w:val="21"/>
              </w:rPr>
              <w:t>平均值</w:t>
            </w:r>
          </w:p>
        </w:tc>
        <w:tc>
          <w:tcPr>
            <w:tcW w:w="1230" w:type="dxa"/>
          </w:tcPr>
          <w:p w14:paraId="5CD66227">
            <w:pPr>
              <w:pStyle w:val="17"/>
              <w:spacing w:before="33"/>
              <w:ind w:left="226"/>
              <w:jc w:val="left"/>
              <w:rPr>
                <w:rFonts w:ascii="Times New Roman"/>
                <w:sz w:val="21"/>
              </w:rPr>
            </w:pPr>
            <w:r>
              <w:rPr>
                <w:rFonts w:ascii="Times New Roman"/>
                <w:sz w:val="21"/>
              </w:rPr>
              <w:t>1.62E-02</w:t>
            </w:r>
          </w:p>
        </w:tc>
        <w:tc>
          <w:tcPr>
            <w:tcW w:w="1725" w:type="dxa"/>
          </w:tcPr>
          <w:p w14:paraId="52BDEFB2">
            <w:pPr>
              <w:pStyle w:val="17"/>
              <w:spacing w:before="33"/>
              <w:ind w:left="417" w:right="413"/>
              <w:rPr>
                <w:rFonts w:ascii="Times New Roman"/>
                <w:sz w:val="21"/>
              </w:rPr>
            </w:pPr>
            <w:r>
              <w:rPr>
                <w:rFonts w:ascii="Times New Roman"/>
                <w:sz w:val="21"/>
              </w:rPr>
              <w:t>1.62E-02</w:t>
            </w:r>
          </w:p>
        </w:tc>
        <w:tc>
          <w:tcPr>
            <w:tcW w:w="1230" w:type="dxa"/>
          </w:tcPr>
          <w:p w14:paraId="00B0433C">
            <w:pPr>
              <w:pStyle w:val="17"/>
              <w:spacing w:before="33"/>
              <w:ind w:left="172" w:right="166"/>
              <w:rPr>
                <w:rFonts w:ascii="Times New Roman"/>
                <w:sz w:val="21"/>
              </w:rPr>
            </w:pPr>
            <w:r>
              <w:rPr>
                <w:rFonts w:ascii="Times New Roman"/>
                <w:sz w:val="21"/>
              </w:rPr>
              <w:t>7.00E-02</w:t>
            </w:r>
          </w:p>
        </w:tc>
        <w:tc>
          <w:tcPr>
            <w:tcW w:w="1517" w:type="dxa"/>
          </w:tcPr>
          <w:p w14:paraId="43B3D5F4">
            <w:pPr>
              <w:pStyle w:val="17"/>
              <w:spacing w:before="33"/>
              <w:ind w:left="501" w:right="492"/>
              <w:rPr>
                <w:rFonts w:ascii="Times New Roman"/>
                <w:sz w:val="21"/>
              </w:rPr>
            </w:pPr>
            <w:r>
              <w:rPr>
                <w:rFonts w:ascii="Times New Roman"/>
                <w:sz w:val="21"/>
              </w:rPr>
              <w:t>23.15</w:t>
            </w:r>
          </w:p>
        </w:tc>
        <w:tc>
          <w:tcPr>
            <w:tcW w:w="712" w:type="dxa"/>
            <w:tcBorders>
              <w:right w:val="nil"/>
            </w:tcBorders>
          </w:tcPr>
          <w:p w14:paraId="145CA926">
            <w:pPr>
              <w:pStyle w:val="17"/>
              <w:spacing w:before="19"/>
              <w:ind w:left="122" w:right="121"/>
              <w:rPr>
                <w:sz w:val="21"/>
              </w:rPr>
            </w:pPr>
            <w:r>
              <w:rPr>
                <w:sz w:val="21"/>
              </w:rPr>
              <w:t>达标</w:t>
            </w:r>
          </w:p>
        </w:tc>
      </w:tr>
      <w:tr w14:paraId="03C55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B3AD835">
            <w:pPr>
              <w:pStyle w:val="17"/>
              <w:spacing w:before="33"/>
              <w:ind w:right="169"/>
              <w:jc w:val="right"/>
              <w:rPr>
                <w:rFonts w:ascii="Times New Roman"/>
                <w:sz w:val="21"/>
              </w:rPr>
            </w:pPr>
            <w:r>
              <w:rPr>
                <w:rFonts w:ascii="Times New Roman"/>
                <w:w w:val="99"/>
                <w:sz w:val="21"/>
              </w:rPr>
              <w:t>3</w:t>
            </w:r>
          </w:p>
        </w:tc>
        <w:tc>
          <w:tcPr>
            <w:tcW w:w="1265" w:type="dxa"/>
          </w:tcPr>
          <w:p w14:paraId="49E8D084">
            <w:pPr>
              <w:pStyle w:val="17"/>
              <w:spacing w:before="19"/>
              <w:ind w:left="189" w:right="183"/>
              <w:rPr>
                <w:sz w:val="21"/>
              </w:rPr>
            </w:pPr>
            <w:r>
              <w:rPr>
                <w:sz w:val="21"/>
              </w:rPr>
              <w:t>新桥村</w:t>
            </w:r>
          </w:p>
        </w:tc>
        <w:tc>
          <w:tcPr>
            <w:tcW w:w="771" w:type="dxa"/>
          </w:tcPr>
          <w:p w14:paraId="2A018D5F">
            <w:pPr>
              <w:pStyle w:val="17"/>
              <w:spacing w:before="33"/>
              <w:ind w:right="182"/>
              <w:jc w:val="right"/>
              <w:rPr>
                <w:rFonts w:ascii="Times New Roman"/>
                <w:sz w:val="21"/>
              </w:rPr>
            </w:pPr>
            <w:r>
              <w:rPr>
                <w:rFonts w:ascii="Times New Roman"/>
                <w:sz w:val="21"/>
              </w:rPr>
              <w:t>-795</w:t>
            </w:r>
          </w:p>
        </w:tc>
        <w:tc>
          <w:tcPr>
            <w:tcW w:w="772" w:type="dxa"/>
          </w:tcPr>
          <w:p w14:paraId="0F1BC9BD">
            <w:pPr>
              <w:pStyle w:val="17"/>
              <w:spacing w:before="33"/>
              <w:ind w:right="128"/>
              <w:jc w:val="right"/>
              <w:rPr>
                <w:rFonts w:ascii="Times New Roman"/>
                <w:sz w:val="21"/>
              </w:rPr>
            </w:pPr>
            <w:r>
              <w:rPr>
                <w:rFonts w:ascii="Times New Roman"/>
                <w:w w:val="95"/>
                <w:sz w:val="21"/>
              </w:rPr>
              <w:t>-1454</w:t>
            </w:r>
          </w:p>
        </w:tc>
        <w:tc>
          <w:tcPr>
            <w:tcW w:w="921" w:type="dxa"/>
          </w:tcPr>
          <w:p w14:paraId="114C1666">
            <w:pPr>
              <w:pStyle w:val="17"/>
              <w:spacing w:before="33"/>
              <w:ind w:left="203" w:right="195"/>
              <w:rPr>
                <w:rFonts w:ascii="Times New Roman"/>
                <w:sz w:val="21"/>
              </w:rPr>
            </w:pPr>
            <w:r>
              <w:rPr>
                <w:rFonts w:ascii="Times New Roman"/>
                <w:sz w:val="21"/>
              </w:rPr>
              <w:t>68</w:t>
            </w:r>
          </w:p>
        </w:tc>
        <w:tc>
          <w:tcPr>
            <w:tcW w:w="1035" w:type="dxa"/>
          </w:tcPr>
          <w:p w14:paraId="304AC2D6">
            <w:pPr>
              <w:pStyle w:val="17"/>
              <w:spacing w:before="19"/>
              <w:ind w:left="201"/>
              <w:jc w:val="left"/>
              <w:rPr>
                <w:sz w:val="21"/>
              </w:rPr>
            </w:pPr>
            <w:r>
              <w:rPr>
                <w:sz w:val="21"/>
              </w:rPr>
              <w:t>小时值</w:t>
            </w:r>
          </w:p>
        </w:tc>
        <w:tc>
          <w:tcPr>
            <w:tcW w:w="1259" w:type="dxa"/>
          </w:tcPr>
          <w:p w14:paraId="5FB1A79F">
            <w:pPr>
              <w:pStyle w:val="17"/>
              <w:spacing w:before="33"/>
              <w:ind w:left="188" w:right="180"/>
              <w:rPr>
                <w:rFonts w:ascii="Times New Roman"/>
                <w:sz w:val="21"/>
              </w:rPr>
            </w:pPr>
            <w:r>
              <w:rPr>
                <w:rFonts w:ascii="Times New Roman"/>
                <w:sz w:val="21"/>
              </w:rPr>
              <w:t>1.61E-04</w:t>
            </w:r>
          </w:p>
        </w:tc>
        <w:tc>
          <w:tcPr>
            <w:tcW w:w="1317" w:type="dxa"/>
          </w:tcPr>
          <w:p w14:paraId="5BCA1007">
            <w:pPr>
              <w:pStyle w:val="17"/>
              <w:spacing w:before="33"/>
              <w:ind w:left="108" w:right="98"/>
              <w:rPr>
                <w:rFonts w:ascii="Times New Roman"/>
                <w:sz w:val="21"/>
              </w:rPr>
            </w:pPr>
            <w:r>
              <w:rPr>
                <w:rFonts w:ascii="Times New Roman"/>
                <w:sz w:val="21"/>
              </w:rPr>
              <w:t>23082004</w:t>
            </w:r>
          </w:p>
        </w:tc>
        <w:tc>
          <w:tcPr>
            <w:tcW w:w="1230" w:type="dxa"/>
          </w:tcPr>
          <w:p w14:paraId="7AB30B38">
            <w:pPr>
              <w:pStyle w:val="17"/>
              <w:spacing w:before="33"/>
              <w:ind w:left="202"/>
              <w:jc w:val="left"/>
              <w:rPr>
                <w:rFonts w:ascii="Times New Roman"/>
                <w:sz w:val="21"/>
              </w:rPr>
            </w:pPr>
            <w:r>
              <w:rPr>
                <w:rFonts w:ascii="Times New Roman"/>
                <w:sz w:val="21"/>
              </w:rPr>
              <w:t>0.00E+00</w:t>
            </w:r>
          </w:p>
        </w:tc>
        <w:tc>
          <w:tcPr>
            <w:tcW w:w="1725" w:type="dxa"/>
          </w:tcPr>
          <w:p w14:paraId="0C5F6ECA">
            <w:pPr>
              <w:pStyle w:val="17"/>
              <w:spacing w:before="33"/>
              <w:ind w:left="417" w:right="413"/>
              <w:rPr>
                <w:rFonts w:ascii="Times New Roman"/>
                <w:sz w:val="21"/>
              </w:rPr>
            </w:pPr>
            <w:r>
              <w:rPr>
                <w:rFonts w:ascii="Times New Roman"/>
                <w:sz w:val="21"/>
              </w:rPr>
              <w:t>1.61E-04</w:t>
            </w:r>
          </w:p>
        </w:tc>
        <w:tc>
          <w:tcPr>
            <w:tcW w:w="1230" w:type="dxa"/>
          </w:tcPr>
          <w:p w14:paraId="4A218E6B">
            <w:pPr>
              <w:pStyle w:val="17"/>
              <w:spacing w:before="33"/>
              <w:ind w:left="172" w:right="166"/>
              <w:rPr>
                <w:rFonts w:ascii="Times New Roman"/>
                <w:sz w:val="21"/>
              </w:rPr>
            </w:pPr>
            <w:r>
              <w:rPr>
                <w:rFonts w:ascii="Times New Roman"/>
                <w:sz w:val="21"/>
              </w:rPr>
              <w:t>4.50E-01</w:t>
            </w:r>
          </w:p>
        </w:tc>
        <w:tc>
          <w:tcPr>
            <w:tcW w:w="1517" w:type="dxa"/>
          </w:tcPr>
          <w:p w14:paraId="141F4C7D">
            <w:pPr>
              <w:pStyle w:val="17"/>
              <w:spacing w:before="33"/>
              <w:ind w:left="499" w:right="492"/>
              <w:rPr>
                <w:rFonts w:ascii="Times New Roman"/>
                <w:sz w:val="21"/>
              </w:rPr>
            </w:pPr>
            <w:r>
              <w:rPr>
                <w:rFonts w:ascii="Times New Roman"/>
                <w:sz w:val="21"/>
              </w:rPr>
              <w:t>0.04</w:t>
            </w:r>
          </w:p>
        </w:tc>
        <w:tc>
          <w:tcPr>
            <w:tcW w:w="712" w:type="dxa"/>
            <w:tcBorders>
              <w:right w:val="nil"/>
            </w:tcBorders>
          </w:tcPr>
          <w:p w14:paraId="33261704">
            <w:pPr>
              <w:pStyle w:val="17"/>
              <w:spacing w:before="19"/>
              <w:ind w:left="122" w:right="121"/>
              <w:rPr>
                <w:sz w:val="21"/>
              </w:rPr>
            </w:pPr>
            <w:r>
              <w:rPr>
                <w:sz w:val="21"/>
              </w:rPr>
              <w:t>达标</w:t>
            </w:r>
          </w:p>
        </w:tc>
      </w:tr>
      <w:tr w14:paraId="1887D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4C63289">
            <w:pPr>
              <w:pStyle w:val="17"/>
              <w:jc w:val="left"/>
              <w:rPr>
                <w:rFonts w:ascii="Times New Roman"/>
                <w:sz w:val="20"/>
              </w:rPr>
            </w:pPr>
          </w:p>
        </w:tc>
        <w:tc>
          <w:tcPr>
            <w:tcW w:w="1265" w:type="dxa"/>
          </w:tcPr>
          <w:p w14:paraId="7A7FCBF6">
            <w:pPr>
              <w:pStyle w:val="17"/>
              <w:jc w:val="left"/>
              <w:rPr>
                <w:rFonts w:ascii="Times New Roman"/>
                <w:sz w:val="20"/>
              </w:rPr>
            </w:pPr>
          </w:p>
        </w:tc>
        <w:tc>
          <w:tcPr>
            <w:tcW w:w="771" w:type="dxa"/>
          </w:tcPr>
          <w:p w14:paraId="7D933AFD">
            <w:pPr>
              <w:pStyle w:val="17"/>
              <w:jc w:val="left"/>
              <w:rPr>
                <w:rFonts w:ascii="Times New Roman"/>
                <w:sz w:val="20"/>
              </w:rPr>
            </w:pPr>
          </w:p>
        </w:tc>
        <w:tc>
          <w:tcPr>
            <w:tcW w:w="772" w:type="dxa"/>
          </w:tcPr>
          <w:p w14:paraId="7C692ACA">
            <w:pPr>
              <w:pStyle w:val="17"/>
              <w:jc w:val="left"/>
              <w:rPr>
                <w:rFonts w:ascii="Times New Roman"/>
                <w:sz w:val="20"/>
              </w:rPr>
            </w:pPr>
          </w:p>
        </w:tc>
        <w:tc>
          <w:tcPr>
            <w:tcW w:w="921" w:type="dxa"/>
          </w:tcPr>
          <w:p w14:paraId="2381CAD4">
            <w:pPr>
              <w:pStyle w:val="17"/>
              <w:jc w:val="left"/>
              <w:rPr>
                <w:rFonts w:ascii="Times New Roman"/>
                <w:sz w:val="20"/>
              </w:rPr>
            </w:pPr>
          </w:p>
        </w:tc>
        <w:tc>
          <w:tcPr>
            <w:tcW w:w="1035" w:type="dxa"/>
          </w:tcPr>
          <w:p w14:paraId="0E7B62AC">
            <w:pPr>
              <w:pStyle w:val="17"/>
              <w:spacing w:before="18"/>
              <w:ind w:left="201"/>
              <w:jc w:val="left"/>
              <w:rPr>
                <w:sz w:val="21"/>
              </w:rPr>
            </w:pPr>
            <w:r>
              <w:rPr>
                <w:sz w:val="21"/>
              </w:rPr>
              <w:t>日均值</w:t>
            </w:r>
          </w:p>
        </w:tc>
        <w:tc>
          <w:tcPr>
            <w:tcW w:w="1259" w:type="dxa"/>
          </w:tcPr>
          <w:p w14:paraId="24C0D471">
            <w:pPr>
              <w:pStyle w:val="17"/>
              <w:spacing w:before="35"/>
              <w:ind w:left="188" w:right="180"/>
              <w:rPr>
                <w:rFonts w:ascii="Times New Roman"/>
                <w:sz w:val="21"/>
              </w:rPr>
            </w:pPr>
            <w:r>
              <w:rPr>
                <w:rFonts w:ascii="Times New Roman"/>
                <w:sz w:val="21"/>
              </w:rPr>
              <w:t>1.62E-05</w:t>
            </w:r>
          </w:p>
        </w:tc>
        <w:tc>
          <w:tcPr>
            <w:tcW w:w="1317" w:type="dxa"/>
          </w:tcPr>
          <w:p w14:paraId="280768DB">
            <w:pPr>
              <w:pStyle w:val="17"/>
              <w:spacing w:before="35"/>
              <w:ind w:left="108" w:right="98"/>
              <w:rPr>
                <w:rFonts w:ascii="Times New Roman"/>
                <w:sz w:val="21"/>
              </w:rPr>
            </w:pPr>
            <w:r>
              <w:rPr>
                <w:rFonts w:ascii="Times New Roman"/>
                <w:sz w:val="21"/>
              </w:rPr>
              <w:t>230906</w:t>
            </w:r>
          </w:p>
        </w:tc>
        <w:tc>
          <w:tcPr>
            <w:tcW w:w="1230" w:type="dxa"/>
          </w:tcPr>
          <w:p w14:paraId="5452765B">
            <w:pPr>
              <w:pStyle w:val="17"/>
              <w:spacing w:before="35"/>
              <w:ind w:left="226"/>
              <w:jc w:val="left"/>
              <w:rPr>
                <w:rFonts w:ascii="Times New Roman"/>
                <w:sz w:val="21"/>
              </w:rPr>
            </w:pPr>
            <w:r>
              <w:rPr>
                <w:rFonts w:ascii="Times New Roman"/>
                <w:sz w:val="21"/>
              </w:rPr>
              <w:t>9.60E-02</w:t>
            </w:r>
          </w:p>
        </w:tc>
        <w:tc>
          <w:tcPr>
            <w:tcW w:w="1725" w:type="dxa"/>
          </w:tcPr>
          <w:p w14:paraId="1024131A">
            <w:pPr>
              <w:pStyle w:val="17"/>
              <w:spacing w:before="35"/>
              <w:ind w:left="417" w:right="413"/>
              <w:rPr>
                <w:rFonts w:ascii="Times New Roman"/>
                <w:sz w:val="21"/>
              </w:rPr>
            </w:pPr>
            <w:r>
              <w:rPr>
                <w:rFonts w:ascii="Times New Roman"/>
                <w:sz w:val="21"/>
              </w:rPr>
              <w:t>9.60E-02</w:t>
            </w:r>
          </w:p>
        </w:tc>
        <w:tc>
          <w:tcPr>
            <w:tcW w:w="1230" w:type="dxa"/>
          </w:tcPr>
          <w:p w14:paraId="1C3D8D1A">
            <w:pPr>
              <w:pStyle w:val="17"/>
              <w:spacing w:before="35"/>
              <w:ind w:left="172" w:right="166"/>
              <w:rPr>
                <w:rFonts w:ascii="Times New Roman"/>
                <w:sz w:val="21"/>
              </w:rPr>
            </w:pPr>
            <w:r>
              <w:rPr>
                <w:rFonts w:ascii="Times New Roman"/>
                <w:sz w:val="21"/>
              </w:rPr>
              <w:t>1.50E-01</w:t>
            </w:r>
          </w:p>
        </w:tc>
        <w:tc>
          <w:tcPr>
            <w:tcW w:w="1517" w:type="dxa"/>
          </w:tcPr>
          <w:p w14:paraId="6B0ABC5D">
            <w:pPr>
              <w:pStyle w:val="17"/>
              <w:spacing w:before="35"/>
              <w:ind w:left="501" w:right="492"/>
              <w:rPr>
                <w:rFonts w:ascii="Times New Roman"/>
                <w:sz w:val="21"/>
              </w:rPr>
            </w:pPr>
            <w:r>
              <w:rPr>
                <w:rFonts w:ascii="Times New Roman"/>
                <w:sz w:val="21"/>
              </w:rPr>
              <w:t>64.01</w:t>
            </w:r>
          </w:p>
        </w:tc>
        <w:tc>
          <w:tcPr>
            <w:tcW w:w="712" w:type="dxa"/>
            <w:tcBorders>
              <w:right w:val="nil"/>
            </w:tcBorders>
          </w:tcPr>
          <w:p w14:paraId="4982D30B">
            <w:pPr>
              <w:pStyle w:val="17"/>
              <w:spacing w:before="18"/>
              <w:ind w:left="122" w:right="121"/>
              <w:rPr>
                <w:sz w:val="21"/>
              </w:rPr>
            </w:pPr>
            <w:r>
              <w:rPr>
                <w:sz w:val="21"/>
              </w:rPr>
              <w:t>达标</w:t>
            </w:r>
          </w:p>
        </w:tc>
      </w:tr>
      <w:tr w14:paraId="7072D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D885F40">
            <w:pPr>
              <w:pStyle w:val="17"/>
              <w:jc w:val="left"/>
              <w:rPr>
                <w:rFonts w:ascii="Times New Roman"/>
                <w:sz w:val="20"/>
              </w:rPr>
            </w:pPr>
          </w:p>
        </w:tc>
        <w:tc>
          <w:tcPr>
            <w:tcW w:w="1265" w:type="dxa"/>
          </w:tcPr>
          <w:p w14:paraId="7186A4AE">
            <w:pPr>
              <w:pStyle w:val="17"/>
              <w:jc w:val="left"/>
              <w:rPr>
                <w:rFonts w:ascii="Times New Roman"/>
                <w:sz w:val="20"/>
              </w:rPr>
            </w:pPr>
          </w:p>
        </w:tc>
        <w:tc>
          <w:tcPr>
            <w:tcW w:w="771" w:type="dxa"/>
          </w:tcPr>
          <w:p w14:paraId="6CF9FC51">
            <w:pPr>
              <w:pStyle w:val="17"/>
              <w:jc w:val="left"/>
              <w:rPr>
                <w:rFonts w:ascii="Times New Roman"/>
                <w:sz w:val="20"/>
              </w:rPr>
            </w:pPr>
          </w:p>
        </w:tc>
        <w:tc>
          <w:tcPr>
            <w:tcW w:w="772" w:type="dxa"/>
          </w:tcPr>
          <w:p w14:paraId="78AA6180">
            <w:pPr>
              <w:pStyle w:val="17"/>
              <w:jc w:val="left"/>
              <w:rPr>
                <w:rFonts w:ascii="Times New Roman"/>
                <w:sz w:val="20"/>
              </w:rPr>
            </w:pPr>
          </w:p>
        </w:tc>
        <w:tc>
          <w:tcPr>
            <w:tcW w:w="921" w:type="dxa"/>
          </w:tcPr>
          <w:p w14:paraId="348D2C33">
            <w:pPr>
              <w:pStyle w:val="17"/>
              <w:jc w:val="left"/>
              <w:rPr>
                <w:rFonts w:ascii="Times New Roman"/>
                <w:sz w:val="20"/>
              </w:rPr>
            </w:pPr>
          </w:p>
        </w:tc>
        <w:tc>
          <w:tcPr>
            <w:tcW w:w="1035" w:type="dxa"/>
          </w:tcPr>
          <w:p w14:paraId="5FD2E621">
            <w:pPr>
              <w:pStyle w:val="17"/>
              <w:spacing w:before="18"/>
              <w:ind w:left="201"/>
              <w:jc w:val="left"/>
              <w:rPr>
                <w:sz w:val="21"/>
              </w:rPr>
            </w:pPr>
            <w:r>
              <w:rPr>
                <w:sz w:val="21"/>
              </w:rPr>
              <w:t>年均值</w:t>
            </w:r>
          </w:p>
        </w:tc>
        <w:tc>
          <w:tcPr>
            <w:tcW w:w="1259" w:type="dxa"/>
          </w:tcPr>
          <w:p w14:paraId="1DE77A77">
            <w:pPr>
              <w:pStyle w:val="17"/>
              <w:spacing w:before="34"/>
              <w:ind w:left="188" w:right="180"/>
              <w:rPr>
                <w:rFonts w:ascii="Times New Roman"/>
                <w:sz w:val="21"/>
              </w:rPr>
            </w:pPr>
            <w:r>
              <w:rPr>
                <w:rFonts w:ascii="Times New Roman"/>
                <w:sz w:val="21"/>
              </w:rPr>
              <w:t>1.97E-06</w:t>
            </w:r>
          </w:p>
        </w:tc>
        <w:tc>
          <w:tcPr>
            <w:tcW w:w="1317" w:type="dxa"/>
          </w:tcPr>
          <w:p w14:paraId="3BF2BBFF">
            <w:pPr>
              <w:pStyle w:val="17"/>
              <w:spacing w:before="18"/>
              <w:ind w:left="107" w:right="98"/>
              <w:rPr>
                <w:sz w:val="21"/>
              </w:rPr>
            </w:pPr>
            <w:r>
              <w:rPr>
                <w:sz w:val="21"/>
              </w:rPr>
              <w:t>平均值</w:t>
            </w:r>
          </w:p>
        </w:tc>
        <w:tc>
          <w:tcPr>
            <w:tcW w:w="1230" w:type="dxa"/>
          </w:tcPr>
          <w:p w14:paraId="56F0D058">
            <w:pPr>
              <w:pStyle w:val="17"/>
              <w:spacing w:before="34"/>
              <w:ind w:left="226"/>
              <w:jc w:val="left"/>
              <w:rPr>
                <w:rFonts w:ascii="Times New Roman"/>
                <w:sz w:val="21"/>
              </w:rPr>
            </w:pPr>
            <w:r>
              <w:rPr>
                <w:rFonts w:ascii="Times New Roman"/>
                <w:sz w:val="21"/>
              </w:rPr>
              <w:t>1.62E-02</w:t>
            </w:r>
          </w:p>
        </w:tc>
        <w:tc>
          <w:tcPr>
            <w:tcW w:w="1725" w:type="dxa"/>
          </w:tcPr>
          <w:p w14:paraId="4BAF8A01">
            <w:pPr>
              <w:pStyle w:val="17"/>
              <w:spacing w:before="34"/>
              <w:ind w:left="417" w:right="413"/>
              <w:rPr>
                <w:rFonts w:ascii="Times New Roman"/>
                <w:sz w:val="21"/>
              </w:rPr>
            </w:pPr>
            <w:r>
              <w:rPr>
                <w:rFonts w:ascii="Times New Roman"/>
                <w:sz w:val="21"/>
              </w:rPr>
              <w:t>1.62E-02</w:t>
            </w:r>
          </w:p>
        </w:tc>
        <w:tc>
          <w:tcPr>
            <w:tcW w:w="1230" w:type="dxa"/>
          </w:tcPr>
          <w:p w14:paraId="5C7F853F">
            <w:pPr>
              <w:pStyle w:val="17"/>
              <w:spacing w:before="34"/>
              <w:ind w:left="172" w:right="166"/>
              <w:rPr>
                <w:rFonts w:ascii="Times New Roman"/>
                <w:sz w:val="21"/>
              </w:rPr>
            </w:pPr>
            <w:r>
              <w:rPr>
                <w:rFonts w:ascii="Times New Roman"/>
                <w:sz w:val="21"/>
              </w:rPr>
              <w:t>7.00E-02</w:t>
            </w:r>
          </w:p>
        </w:tc>
        <w:tc>
          <w:tcPr>
            <w:tcW w:w="1517" w:type="dxa"/>
          </w:tcPr>
          <w:p w14:paraId="0BF52037">
            <w:pPr>
              <w:pStyle w:val="17"/>
              <w:spacing w:before="34"/>
              <w:ind w:left="501" w:right="492"/>
              <w:rPr>
                <w:rFonts w:ascii="Times New Roman"/>
                <w:sz w:val="21"/>
              </w:rPr>
            </w:pPr>
            <w:r>
              <w:rPr>
                <w:rFonts w:ascii="Times New Roman"/>
                <w:sz w:val="21"/>
              </w:rPr>
              <w:t>23.15</w:t>
            </w:r>
          </w:p>
        </w:tc>
        <w:tc>
          <w:tcPr>
            <w:tcW w:w="712" w:type="dxa"/>
            <w:tcBorders>
              <w:right w:val="nil"/>
            </w:tcBorders>
          </w:tcPr>
          <w:p w14:paraId="0F7AD4F9">
            <w:pPr>
              <w:pStyle w:val="17"/>
              <w:spacing w:before="18"/>
              <w:ind w:left="122" w:right="121"/>
              <w:rPr>
                <w:sz w:val="21"/>
              </w:rPr>
            </w:pPr>
            <w:r>
              <w:rPr>
                <w:sz w:val="21"/>
              </w:rPr>
              <w:t>达标</w:t>
            </w:r>
          </w:p>
        </w:tc>
      </w:tr>
      <w:tr w14:paraId="16B65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27382C1">
            <w:pPr>
              <w:pStyle w:val="17"/>
              <w:spacing w:before="34"/>
              <w:ind w:right="169"/>
              <w:jc w:val="right"/>
              <w:rPr>
                <w:rFonts w:ascii="Times New Roman"/>
                <w:sz w:val="21"/>
              </w:rPr>
            </w:pPr>
            <w:r>
              <w:rPr>
                <w:rFonts w:ascii="Times New Roman"/>
                <w:w w:val="99"/>
                <w:sz w:val="21"/>
              </w:rPr>
              <w:t>4</w:t>
            </w:r>
          </w:p>
        </w:tc>
        <w:tc>
          <w:tcPr>
            <w:tcW w:w="1265" w:type="dxa"/>
          </w:tcPr>
          <w:p w14:paraId="3A39C033">
            <w:pPr>
              <w:pStyle w:val="17"/>
              <w:spacing w:before="20"/>
              <w:ind w:left="189" w:right="186"/>
              <w:rPr>
                <w:sz w:val="21"/>
              </w:rPr>
            </w:pPr>
            <w:r>
              <w:rPr>
                <w:sz w:val="21"/>
              </w:rPr>
              <w:t>童家塅村</w:t>
            </w:r>
          </w:p>
        </w:tc>
        <w:tc>
          <w:tcPr>
            <w:tcW w:w="771" w:type="dxa"/>
          </w:tcPr>
          <w:p w14:paraId="60FC31E6">
            <w:pPr>
              <w:pStyle w:val="17"/>
              <w:spacing w:before="34"/>
              <w:ind w:right="129"/>
              <w:jc w:val="right"/>
              <w:rPr>
                <w:rFonts w:ascii="Times New Roman"/>
                <w:sz w:val="21"/>
              </w:rPr>
            </w:pPr>
            <w:r>
              <w:rPr>
                <w:rFonts w:ascii="Times New Roman"/>
                <w:w w:val="95"/>
                <w:sz w:val="21"/>
              </w:rPr>
              <w:t>-4436</w:t>
            </w:r>
          </w:p>
        </w:tc>
        <w:tc>
          <w:tcPr>
            <w:tcW w:w="772" w:type="dxa"/>
          </w:tcPr>
          <w:p w14:paraId="1124FF76">
            <w:pPr>
              <w:pStyle w:val="17"/>
              <w:spacing w:before="34"/>
              <w:ind w:left="226"/>
              <w:jc w:val="left"/>
              <w:rPr>
                <w:rFonts w:ascii="Times New Roman"/>
                <w:sz w:val="21"/>
              </w:rPr>
            </w:pPr>
            <w:r>
              <w:rPr>
                <w:rFonts w:ascii="Times New Roman"/>
                <w:sz w:val="21"/>
              </w:rPr>
              <w:t>374</w:t>
            </w:r>
          </w:p>
        </w:tc>
        <w:tc>
          <w:tcPr>
            <w:tcW w:w="921" w:type="dxa"/>
          </w:tcPr>
          <w:p w14:paraId="29A16F6C">
            <w:pPr>
              <w:pStyle w:val="17"/>
              <w:spacing w:before="34"/>
              <w:ind w:left="203" w:right="195"/>
              <w:rPr>
                <w:rFonts w:ascii="Times New Roman"/>
                <w:sz w:val="21"/>
              </w:rPr>
            </w:pPr>
            <w:r>
              <w:rPr>
                <w:rFonts w:ascii="Times New Roman"/>
                <w:sz w:val="21"/>
              </w:rPr>
              <w:t>43.33</w:t>
            </w:r>
          </w:p>
        </w:tc>
        <w:tc>
          <w:tcPr>
            <w:tcW w:w="1035" w:type="dxa"/>
          </w:tcPr>
          <w:p w14:paraId="671D0596">
            <w:pPr>
              <w:pStyle w:val="17"/>
              <w:spacing w:before="18"/>
              <w:ind w:left="201"/>
              <w:jc w:val="left"/>
              <w:rPr>
                <w:sz w:val="21"/>
              </w:rPr>
            </w:pPr>
            <w:r>
              <w:rPr>
                <w:sz w:val="21"/>
              </w:rPr>
              <w:t>小时值</w:t>
            </w:r>
          </w:p>
        </w:tc>
        <w:tc>
          <w:tcPr>
            <w:tcW w:w="1259" w:type="dxa"/>
          </w:tcPr>
          <w:p w14:paraId="7B7E3749">
            <w:pPr>
              <w:pStyle w:val="17"/>
              <w:spacing w:before="34"/>
              <w:ind w:left="188" w:right="180"/>
              <w:rPr>
                <w:rFonts w:ascii="Times New Roman"/>
                <w:sz w:val="21"/>
              </w:rPr>
            </w:pPr>
            <w:r>
              <w:rPr>
                <w:rFonts w:ascii="Times New Roman"/>
                <w:sz w:val="21"/>
              </w:rPr>
              <w:t>7.73E-05</w:t>
            </w:r>
          </w:p>
        </w:tc>
        <w:tc>
          <w:tcPr>
            <w:tcW w:w="1317" w:type="dxa"/>
          </w:tcPr>
          <w:p w14:paraId="4843F05E">
            <w:pPr>
              <w:pStyle w:val="17"/>
              <w:spacing w:before="34"/>
              <w:ind w:left="108" w:right="98"/>
              <w:rPr>
                <w:rFonts w:ascii="Times New Roman"/>
                <w:sz w:val="21"/>
              </w:rPr>
            </w:pPr>
            <w:r>
              <w:rPr>
                <w:rFonts w:ascii="Times New Roman"/>
                <w:sz w:val="21"/>
              </w:rPr>
              <w:t>23010412</w:t>
            </w:r>
          </w:p>
        </w:tc>
        <w:tc>
          <w:tcPr>
            <w:tcW w:w="1230" w:type="dxa"/>
          </w:tcPr>
          <w:p w14:paraId="3CDC58F1">
            <w:pPr>
              <w:pStyle w:val="17"/>
              <w:spacing w:before="34"/>
              <w:ind w:left="202"/>
              <w:jc w:val="left"/>
              <w:rPr>
                <w:rFonts w:ascii="Times New Roman"/>
                <w:sz w:val="21"/>
              </w:rPr>
            </w:pPr>
            <w:r>
              <w:rPr>
                <w:rFonts w:ascii="Times New Roman"/>
                <w:sz w:val="21"/>
              </w:rPr>
              <w:t>0.00E+00</w:t>
            </w:r>
          </w:p>
        </w:tc>
        <w:tc>
          <w:tcPr>
            <w:tcW w:w="1725" w:type="dxa"/>
          </w:tcPr>
          <w:p w14:paraId="2748878C">
            <w:pPr>
              <w:pStyle w:val="17"/>
              <w:spacing w:before="34"/>
              <w:ind w:left="417" w:right="413"/>
              <w:rPr>
                <w:rFonts w:ascii="Times New Roman"/>
                <w:sz w:val="21"/>
              </w:rPr>
            </w:pPr>
            <w:r>
              <w:rPr>
                <w:rFonts w:ascii="Times New Roman"/>
                <w:sz w:val="21"/>
              </w:rPr>
              <w:t>7.73E-05</w:t>
            </w:r>
          </w:p>
        </w:tc>
        <w:tc>
          <w:tcPr>
            <w:tcW w:w="1230" w:type="dxa"/>
          </w:tcPr>
          <w:p w14:paraId="341AF1ED">
            <w:pPr>
              <w:pStyle w:val="17"/>
              <w:spacing w:before="34"/>
              <w:ind w:left="172" w:right="166"/>
              <w:rPr>
                <w:rFonts w:ascii="Times New Roman"/>
                <w:sz w:val="21"/>
              </w:rPr>
            </w:pPr>
            <w:r>
              <w:rPr>
                <w:rFonts w:ascii="Times New Roman"/>
                <w:sz w:val="21"/>
              </w:rPr>
              <w:t>4.50E-01</w:t>
            </w:r>
          </w:p>
        </w:tc>
        <w:tc>
          <w:tcPr>
            <w:tcW w:w="1517" w:type="dxa"/>
          </w:tcPr>
          <w:p w14:paraId="38D93FA0">
            <w:pPr>
              <w:pStyle w:val="17"/>
              <w:spacing w:before="34"/>
              <w:ind w:left="499" w:right="492"/>
              <w:rPr>
                <w:rFonts w:ascii="Times New Roman"/>
                <w:sz w:val="21"/>
              </w:rPr>
            </w:pPr>
            <w:r>
              <w:rPr>
                <w:rFonts w:ascii="Times New Roman"/>
                <w:sz w:val="21"/>
              </w:rPr>
              <w:t>0.02</w:t>
            </w:r>
          </w:p>
        </w:tc>
        <w:tc>
          <w:tcPr>
            <w:tcW w:w="712" w:type="dxa"/>
            <w:tcBorders>
              <w:right w:val="nil"/>
            </w:tcBorders>
          </w:tcPr>
          <w:p w14:paraId="1FD69A67">
            <w:pPr>
              <w:pStyle w:val="17"/>
              <w:spacing w:before="18"/>
              <w:ind w:left="122" w:right="121"/>
              <w:rPr>
                <w:sz w:val="21"/>
              </w:rPr>
            </w:pPr>
            <w:r>
              <w:rPr>
                <w:sz w:val="21"/>
              </w:rPr>
              <w:t>达标</w:t>
            </w:r>
          </w:p>
        </w:tc>
      </w:tr>
      <w:tr w14:paraId="445CC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A608B8B">
            <w:pPr>
              <w:pStyle w:val="17"/>
              <w:jc w:val="left"/>
              <w:rPr>
                <w:rFonts w:ascii="Times New Roman"/>
                <w:sz w:val="20"/>
              </w:rPr>
            </w:pPr>
          </w:p>
        </w:tc>
        <w:tc>
          <w:tcPr>
            <w:tcW w:w="1265" w:type="dxa"/>
          </w:tcPr>
          <w:p w14:paraId="7036549C">
            <w:pPr>
              <w:pStyle w:val="17"/>
              <w:jc w:val="left"/>
              <w:rPr>
                <w:rFonts w:ascii="Times New Roman"/>
                <w:sz w:val="20"/>
              </w:rPr>
            </w:pPr>
          </w:p>
        </w:tc>
        <w:tc>
          <w:tcPr>
            <w:tcW w:w="771" w:type="dxa"/>
          </w:tcPr>
          <w:p w14:paraId="715013C2">
            <w:pPr>
              <w:pStyle w:val="17"/>
              <w:jc w:val="left"/>
              <w:rPr>
                <w:rFonts w:ascii="Times New Roman"/>
                <w:sz w:val="20"/>
              </w:rPr>
            </w:pPr>
          </w:p>
        </w:tc>
        <w:tc>
          <w:tcPr>
            <w:tcW w:w="772" w:type="dxa"/>
          </w:tcPr>
          <w:p w14:paraId="40A9CF64">
            <w:pPr>
              <w:pStyle w:val="17"/>
              <w:jc w:val="left"/>
              <w:rPr>
                <w:rFonts w:ascii="Times New Roman"/>
                <w:sz w:val="20"/>
              </w:rPr>
            </w:pPr>
          </w:p>
        </w:tc>
        <w:tc>
          <w:tcPr>
            <w:tcW w:w="921" w:type="dxa"/>
          </w:tcPr>
          <w:p w14:paraId="31DD7B85">
            <w:pPr>
              <w:pStyle w:val="17"/>
              <w:jc w:val="left"/>
              <w:rPr>
                <w:rFonts w:ascii="Times New Roman"/>
                <w:sz w:val="20"/>
              </w:rPr>
            </w:pPr>
          </w:p>
        </w:tc>
        <w:tc>
          <w:tcPr>
            <w:tcW w:w="1035" w:type="dxa"/>
          </w:tcPr>
          <w:p w14:paraId="56678C21">
            <w:pPr>
              <w:pStyle w:val="17"/>
              <w:spacing w:before="20"/>
              <w:ind w:left="201"/>
              <w:jc w:val="left"/>
              <w:rPr>
                <w:sz w:val="21"/>
              </w:rPr>
            </w:pPr>
            <w:r>
              <w:rPr>
                <w:sz w:val="21"/>
              </w:rPr>
              <w:t>日均值</w:t>
            </w:r>
          </w:p>
        </w:tc>
        <w:tc>
          <w:tcPr>
            <w:tcW w:w="1259" w:type="dxa"/>
          </w:tcPr>
          <w:p w14:paraId="0C278E4C">
            <w:pPr>
              <w:pStyle w:val="17"/>
              <w:spacing w:before="34"/>
              <w:ind w:left="188" w:right="180"/>
              <w:rPr>
                <w:rFonts w:ascii="Times New Roman"/>
                <w:sz w:val="21"/>
              </w:rPr>
            </w:pPr>
            <w:r>
              <w:rPr>
                <w:rFonts w:ascii="Times New Roman"/>
                <w:sz w:val="21"/>
              </w:rPr>
              <w:t>5.92E-06</w:t>
            </w:r>
          </w:p>
        </w:tc>
        <w:tc>
          <w:tcPr>
            <w:tcW w:w="1317" w:type="dxa"/>
          </w:tcPr>
          <w:p w14:paraId="37B6E3FF">
            <w:pPr>
              <w:pStyle w:val="17"/>
              <w:spacing w:before="34"/>
              <w:ind w:left="108" w:right="98"/>
              <w:rPr>
                <w:rFonts w:ascii="Times New Roman"/>
                <w:sz w:val="21"/>
              </w:rPr>
            </w:pPr>
            <w:r>
              <w:rPr>
                <w:rFonts w:ascii="Times New Roman"/>
                <w:sz w:val="21"/>
              </w:rPr>
              <w:t>230812</w:t>
            </w:r>
          </w:p>
        </w:tc>
        <w:tc>
          <w:tcPr>
            <w:tcW w:w="1230" w:type="dxa"/>
          </w:tcPr>
          <w:p w14:paraId="0361BA97">
            <w:pPr>
              <w:pStyle w:val="17"/>
              <w:spacing w:before="34"/>
              <w:ind w:left="226"/>
              <w:jc w:val="left"/>
              <w:rPr>
                <w:rFonts w:ascii="Times New Roman"/>
                <w:sz w:val="21"/>
              </w:rPr>
            </w:pPr>
            <w:r>
              <w:rPr>
                <w:rFonts w:ascii="Times New Roman"/>
                <w:sz w:val="21"/>
              </w:rPr>
              <w:t>9.60E-02</w:t>
            </w:r>
          </w:p>
        </w:tc>
        <w:tc>
          <w:tcPr>
            <w:tcW w:w="1725" w:type="dxa"/>
          </w:tcPr>
          <w:p w14:paraId="0C8D91F2">
            <w:pPr>
              <w:pStyle w:val="17"/>
              <w:spacing w:before="34"/>
              <w:ind w:left="417" w:right="413"/>
              <w:rPr>
                <w:rFonts w:ascii="Times New Roman"/>
                <w:sz w:val="21"/>
              </w:rPr>
            </w:pPr>
            <w:r>
              <w:rPr>
                <w:rFonts w:ascii="Times New Roman"/>
                <w:sz w:val="21"/>
              </w:rPr>
              <w:t>9.60E-02</w:t>
            </w:r>
          </w:p>
        </w:tc>
        <w:tc>
          <w:tcPr>
            <w:tcW w:w="1230" w:type="dxa"/>
          </w:tcPr>
          <w:p w14:paraId="50E9B3EB">
            <w:pPr>
              <w:pStyle w:val="17"/>
              <w:spacing w:before="34"/>
              <w:ind w:left="172" w:right="166"/>
              <w:rPr>
                <w:rFonts w:ascii="Times New Roman"/>
                <w:sz w:val="21"/>
              </w:rPr>
            </w:pPr>
            <w:r>
              <w:rPr>
                <w:rFonts w:ascii="Times New Roman"/>
                <w:sz w:val="21"/>
              </w:rPr>
              <w:t>1.50E-01</w:t>
            </w:r>
          </w:p>
        </w:tc>
        <w:tc>
          <w:tcPr>
            <w:tcW w:w="1517" w:type="dxa"/>
          </w:tcPr>
          <w:p w14:paraId="453E6978">
            <w:pPr>
              <w:pStyle w:val="17"/>
              <w:spacing w:before="34"/>
              <w:ind w:left="501" w:right="492"/>
              <w:rPr>
                <w:rFonts w:ascii="Times New Roman"/>
                <w:sz w:val="21"/>
              </w:rPr>
            </w:pPr>
            <w:r>
              <w:rPr>
                <w:rFonts w:ascii="Times New Roman"/>
                <w:sz w:val="21"/>
              </w:rPr>
              <w:t>64.00</w:t>
            </w:r>
          </w:p>
        </w:tc>
        <w:tc>
          <w:tcPr>
            <w:tcW w:w="712" w:type="dxa"/>
            <w:tcBorders>
              <w:right w:val="nil"/>
            </w:tcBorders>
          </w:tcPr>
          <w:p w14:paraId="21D923F1">
            <w:pPr>
              <w:pStyle w:val="17"/>
              <w:spacing w:before="20"/>
              <w:ind w:left="122" w:right="121"/>
              <w:rPr>
                <w:sz w:val="21"/>
              </w:rPr>
            </w:pPr>
            <w:r>
              <w:rPr>
                <w:sz w:val="21"/>
              </w:rPr>
              <w:t>达标</w:t>
            </w:r>
          </w:p>
        </w:tc>
      </w:tr>
      <w:tr w14:paraId="47B3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41B5440">
            <w:pPr>
              <w:pStyle w:val="17"/>
              <w:jc w:val="left"/>
              <w:rPr>
                <w:rFonts w:ascii="Times New Roman"/>
                <w:sz w:val="20"/>
              </w:rPr>
            </w:pPr>
          </w:p>
        </w:tc>
        <w:tc>
          <w:tcPr>
            <w:tcW w:w="1265" w:type="dxa"/>
          </w:tcPr>
          <w:p w14:paraId="21E31A55">
            <w:pPr>
              <w:pStyle w:val="17"/>
              <w:jc w:val="left"/>
              <w:rPr>
                <w:rFonts w:ascii="Times New Roman"/>
                <w:sz w:val="20"/>
              </w:rPr>
            </w:pPr>
          </w:p>
        </w:tc>
        <w:tc>
          <w:tcPr>
            <w:tcW w:w="771" w:type="dxa"/>
          </w:tcPr>
          <w:p w14:paraId="4C9F8187">
            <w:pPr>
              <w:pStyle w:val="17"/>
              <w:jc w:val="left"/>
              <w:rPr>
                <w:rFonts w:ascii="Times New Roman"/>
                <w:sz w:val="20"/>
              </w:rPr>
            </w:pPr>
          </w:p>
        </w:tc>
        <w:tc>
          <w:tcPr>
            <w:tcW w:w="772" w:type="dxa"/>
          </w:tcPr>
          <w:p w14:paraId="32B8B388">
            <w:pPr>
              <w:pStyle w:val="17"/>
              <w:jc w:val="left"/>
              <w:rPr>
                <w:rFonts w:ascii="Times New Roman"/>
                <w:sz w:val="20"/>
              </w:rPr>
            </w:pPr>
          </w:p>
        </w:tc>
        <w:tc>
          <w:tcPr>
            <w:tcW w:w="921" w:type="dxa"/>
          </w:tcPr>
          <w:p w14:paraId="7ECBFF0F">
            <w:pPr>
              <w:pStyle w:val="17"/>
              <w:jc w:val="left"/>
              <w:rPr>
                <w:rFonts w:ascii="Times New Roman"/>
                <w:sz w:val="20"/>
              </w:rPr>
            </w:pPr>
          </w:p>
        </w:tc>
        <w:tc>
          <w:tcPr>
            <w:tcW w:w="1035" w:type="dxa"/>
          </w:tcPr>
          <w:p w14:paraId="68E9599C">
            <w:pPr>
              <w:pStyle w:val="17"/>
              <w:spacing w:before="19"/>
              <w:ind w:left="201"/>
              <w:jc w:val="left"/>
              <w:rPr>
                <w:sz w:val="21"/>
              </w:rPr>
            </w:pPr>
            <w:r>
              <w:rPr>
                <w:sz w:val="21"/>
              </w:rPr>
              <w:t>年均值</w:t>
            </w:r>
          </w:p>
        </w:tc>
        <w:tc>
          <w:tcPr>
            <w:tcW w:w="1259" w:type="dxa"/>
          </w:tcPr>
          <w:p w14:paraId="2D24F3DF">
            <w:pPr>
              <w:pStyle w:val="17"/>
              <w:spacing w:before="33"/>
              <w:ind w:left="188" w:right="180"/>
              <w:rPr>
                <w:rFonts w:ascii="Times New Roman"/>
                <w:sz w:val="21"/>
              </w:rPr>
            </w:pPr>
            <w:r>
              <w:rPr>
                <w:rFonts w:ascii="Times New Roman"/>
                <w:sz w:val="21"/>
              </w:rPr>
              <w:t>5.12E-07</w:t>
            </w:r>
          </w:p>
        </w:tc>
        <w:tc>
          <w:tcPr>
            <w:tcW w:w="1317" w:type="dxa"/>
          </w:tcPr>
          <w:p w14:paraId="4B550E9A">
            <w:pPr>
              <w:pStyle w:val="17"/>
              <w:spacing w:before="19"/>
              <w:ind w:left="107" w:right="98"/>
              <w:rPr>
                <w:sz w:val="21"/>
              </w:rPr>
            </w:pPr>
            <w:r>
              <w:rPr>
                <w:sz w:val="21"/>
              </w:rPr>
              <w:t>平均值</w:t>
            </w:r>
          </w:p>
        </w:tc>
        <w:tc>
          <w:tcPr>
            <w:tcW w:w="1230" w:type="dxa"/>
          </w:tcPr>
          <w:p w14:paraId="0BDC63FD">
            <w:pPr>
              <w:pStyle w:val="17"/>
              <w:spacing w:before="33"/>
              <w:ind w:left="226"/>
              <w:jc w:val="left"/>
              <w:rPr>
                <w:rFonts w:ascii="Times New Roman"/>
                <w:sz w:val="21"/>
              </w:rPr>
            </w:pPr>
            <w:r>
              <w:rPr>
                <w:rFonts w:ascii="Times New Roman"/>
                <w:sz w:val="21"/>
              </w:rPr>
              <w:t>1.62E-02</w:t>
            </w:r>
          </w:p>
        </w:tc>
        <w:tc>
          <w:tcPr>
            <w:tcW w:w="1725" w:type="dxa"/>
          </w:tcPr>
          <w:p w14:paraId="5A4F84E5">
            <w:pPr>
              <w:pStyle w:val="17"/>
              <w:spacing w:before="33"/>
              <w:ind w:left="417" w:right="413"/>
              <w:rPr>
                <w:rFonts w:ascii="Times New Roman"/>
                <w:sz w:val="21"/>
              </w:rPr>
            </w:pPr>
            <w:r>
              <w:rPr>
                <w:rFonts w:ascii="Times New Roman"/>
                <w:sz w:val="21"/>
              </w:rPr>
              <w:t>1.62E-02</w:t>
            </w:r>
          </w:p>
        </w:tc>
        <w:tc>
          <w:tcPr>
            <w:tcW w:w="1230" w:type="dxa"/>
          </w:tcPr>
          <w:p w14:paraId="31C3A8E8">
            <w:pPr>
              <w:pStyle w:val="17"/>
              <w:spacing w:before="33"/>
              <w:ind w:left="172" w:right="166"/>
              <w:rPr>
                <w:rFonts w:ascii="Times New Roman"/>
                <w:sz w:val="21"/>
              </w:rPr>
            </w:pPr>
            <w:r>
              <w:rPr>
                <w:rFonts w:ascii="Times New Roman"/>
                <w:sz w:val="21"/>
              </w:rPr>
              <w:t>7.00E-02</w:t>
            </w:r>
          </w:p>
        </w:tc>
        <w:tc>
          <w:tcPr>
            <w:tcW w:w="1517" w:type="dxa"/>
          </w:tcPr>
          <w:p w14:paraId="12FA55BE">
            <w:pPr>
              <w:pStyle w:val="17"/>
              <w:spacing w:before="33"/>
              <w:ind w:left="501" w:right="492"/>
              <w:rPr>
                <w:rFonts w:ascii="Times New Roman"/>
                <w:sz w:val="21"/>
              </w:rPr>
            </w:pPr>
            <w:r>
              <w:rPr>
                <w:rFonts w:ascii="Times New Roman"/>
                <w:sz w:val="21"/>
              </w:rPr>
              <w:t>23.14</w:t>
            </w:r>
          </w:p>
        </w:tc>
        <w:tc>
          <w:tcPr>
            <w:tcW w:w="712" w:type="dxa"/>
            <w:tcBorders>
              <w:right w:val="nil"/>
            </w:tcBorders>
          </w:tcPr>
          <w:p w14:paraId="554AEC90">
            <w:pPr>
              <w:pStyle w:val="17"/>
              <w:spacing w:before="19"/>
              <w:ind w:left="122" w:right="121"/>
              <w:rPr>
                <w:sz w:val="21"/>
              </w:rPr>
            </w:pPr>
            <w:r>
              <w:rPr>
                <w:sz w:val="21"/>
              </w:rPr>
              <w:t>达标</w:t>
            </w:r>
          </w:p>
        </w:tc>
      </w:tr>
      <w:tr w14:paraId="2182E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BA87977">
            <w:pPr>
              <w:pStyle w:val="17"/>
              <w:spacing w:before="33"/>
              <w:ind w:right="169"/>
              <w:jc w:val="right"/>
              <w:rPr>
                <w:rFonts w:ascii="Times New Roman"/>
                <w:sz w:val="21"/>
              </w:rPr>
            </w:pPr>
            <w:r>
              <w:rPr>
                <w:rFonts w:ascii="Times New Roman"/>
                <w:w w:val="99"/>
                <w:sz w:val="21"/>
              </w:rPr>
              <w:t>5</w:t>
            </w:r>
          </w:p>
        </w:tc>
        <w:tc>
          <w:tcPr>
            <w:tcW w:w="1265" w:type="dxa"/>
          </w:tcPr>
          <w:p w14:paraId="679AAF2C">
            <w:pPr>
              <w:pStyle w:val="17"/>
              <w:spacing w:before="19"/>
              <w:ind w:left="189" w:right="183"/>
              <w:rPr>
                <w:sz w:val="21"/>
              </w:rPr>
            </w:pPr>
            <w:r>
              <w:rPr>
                <w:sz w:val="21"/>
              </w:rPr>
              <w:t>武莲村</w:t>
            </w:r>
          </w:p>
        </w:tc>
        <w:tc>
          <w:tcPr>
            <w:tcW w:w="771" w:type="dxa"/>
          </w:tcPr>
          <w:p w14:paraId="6684D44E">
            <w:pPr>
              <w:pStyle w:val="17"/>
              <w:spacing w:before="33"/>
              <w:ind w:right="235"/>
              <w:jc w:val="right"/>
              <w:rPr>
                <w:rFonts w:ascii="Times New Roman"/>
                <w:sz w:val="21"/>
              </w:rPr>
            </w:pPr>
            <w:r>
              <w:rPr>
                <w:rFonts w:ascii="Times New Roman"/>
                <w:w w:val="95"/>
                <w:sz w:val="21"/>
              </w:rPr>
              <w:t>-63</w:t>
            </w:r>
          </w:p>
        </w:tc>
        <w:tc>
          <w:tcPr>
            <w:tcW w:w="772" w:type="dxa"/>
          </w:tcPr>
          <w:p w14:paraId="48E09322">
            <w:pPr>
              <w:pStyle w:val="17"/>
              <w:spacing w:before="33"/>
              <w:ind w:right="167"/>
              <w:jc w:val="right"/>
              <w:rPr>
                <w:rFonts w:ascii="Times New Roman"/>
                <w:sz w:val="21"/>
              </w:rPr>
            </w:pPr>
            <w:r>
              <w:rPr>
                <w:rFonts w:ascii="Times New Roman"/>
                <w:sz w:val="21"/>
              </w:rPr>
              <w:t>1191</w:t>
            </w:r>
          </w:p>
        </w:tc>
        <w:tc>
          <w:tcPr>
            <w:tcW w:w="921" w:type="dxa"/>
          </w:tcPr>
          <w:p w14:paraId="7FA4C1E6">
            <w:pPr>
              <w:pStyle w:val="17"/>
              <w:spacing w:before="33"/>
              <w:ind w:left="203" w:right="195"/>
              <w:rPr>
                <w:rFonts w:ascii="Times New Roman"/>
                <w:sz w:val="21"/>
              </w:rPr>
            </w:pPr>
            <w:r>
              <w:rPr>
                <w:rFonts w:ascii="Times New Roman"/>
                <w:sz w:val="21"/>
              </w:rPr>
              <w:t>39.28</w:t>
            </w:r>
          </w:p>
        </w:tc>
        <w:tc>
          <w:tcPr>
            <w:tcW w:w="1035" w:type="dxa"/>
          </w:tcPr>
          <w:p w14:paraId="7C640B71">
            <w:pPr>
              <w:pStyle w:val="17"/>
              <w:spacing w:before="19"/>
              <w:ind w:left="201"/>
              <w:jc w:val="left"/>
              <w:rPr>
                <w:sz w:val="21"/>
              </w:rPr>
            </w:pPr>
            <w:r>
              <w:rPr>
                <w:sz w:val="21"/>
              </w:rPr>
              <w:t>小时值</w:t>
            </w:r>
          </w:p>
        </w:tc>
        <w:tc>
          <w:tcPr>
            <w:tcW w:w="1259" w:type="dxa"/>
          </w:tcPr>
          <w:p w14:paraId="515B455E">
            <w:pPr>
              <w:pStyle w:val="17"/>
              <w:spacing w:before="33"/>
              <w:ind w:left="188" w:right="180"/>
              <w:rPr>
                <w:rFonts w:ascii="Times New Roman"/>
                <w:sz w:val="21"/>
              </w:rPr>
            </w:pPr>
            <w:r>
              <w:rPr>
                <w:rFonts w:ascii="Times New Roman"/>
                <w:sz w:val="21"/>
              </w:rPr>
              <w:t>1.40E-04</w:t>
            </w:r>
          </w:p>
        </w:tc>
        <w:tc>
          <w:tcPr>
            <w:tcW w:w="1317" w:type="dxa"/>
          </w:tcPr>
          <w:p w14:paraId="66DB708A">
            <w:pPr>
              <w:pStyle w:val="17"/>
              <w:spacing w:before="33"/>
              <w:ind w:left="108" w:right="98"/>
              <w:rPr>
                <w:rFonts w:ascii="Times New Roman"/>
                <w:sz w:val="21"/>
              </w:rPr>
            </w:pPr>
            <w:r>
              <w:rPr>
                <w:rFonts w:ascii="Times New Roman"/>
                <w:sz w:val="21"/>
              </w:rPr>
              <w:t>23090808</w:t>
            </w:r>
          </w:p>
        </w:tc>
        <w:tc>
          <w:tcPr>
            <w:tcW w:w="1230" w:type="dxa"/>
          </w:tcPr>
          <w:p w14:paraId="167A5D1D">
            <w:pPr>
              <w:pStyle w:val="17"/>
              <w:spacing w:before="33"/>
              <w:ind w:left="202"/>
              <w:jc w:val="left"/>
              <w:rPr>
                <w:rFonts w:ascii="Times New Roman"/>
                <w:sz w:val="21"/>
              </w:rPr>
            </w:pPr>
            <w:r>
              <w:rPr>
                <w:rFonts w:ascii="Times New Roman"/>
                <w:sz w:val="21"/>
              </w:rPr>
              <w:t>0.00E+00</w:t>
            </w:r>
          </w:p>
        </w:tc>
        <w:tc>
          <w:tcPr>
            <w:tcW w:w="1725" w:type="dxa"/>
          </w:tcPr>
          <w:p w14:paraId="674E10AA">
            <w:pPr>
              <w:pStyle w:val="17"/>
              <w:spacing w:before="33"/>
              <w:ind w:left="417" w:right="413"/>
              <w:rPr>
                <w:rFonts w:ascii="Times New Roman"/>
                <w:sz w:val="21"/>
              </w:rPr>
            </w:pPr>
            <w:r>
              <w:rPr>
                <w:rFonts w:ascii="Times New Roman"/>
                <w:sz w:val="21"/>
              </w:rPr>
              <w:t>1.40E-04</w:t>
            </w:r>
          </w:p>
        </w:tc>
        <w:tc>
          <w:tcPr>
            <w:tcW w:w="1230" w:type="dxa"/>
          </w:tcPr>
          <w:p w14:paraId="5A80040C">
            <w:pPr>
              <w:pStyle w:val="17"/>
              <w:spacing w:before="33"/>
              <w:ind w:left="172" w:right="166"/>
              <w:rPr>
                <w:rFonts w:ascii="Times New Roman"/>
                <w:sz w:val="21"/>
              </w:rPr>
            </w:pPr>
            <w:r>
              <w:rPr>
                <w:rFonts w:ascii="Times New Roman"/>
                <w:sz w:val="21"/>
              </w:rPr>
              <w:t>4.50E-01</w:t>
            </w:r>
          </w:p>
        </w:tc>
        <w:tc>
          <w:tcPr>
            <w:tcW w:w="1517" w:type="dxa"/>
          </w:tcPr>
          <w:p w14:paraId="7B8A9DAF">
            <w:pPr>
              <w:pStyle w:val="17"/>
              <w:spacing w:before="33"/>
              <w:ind w:left="499" w:right="492"/>
              <w:rPr>
                <w:rFonts w:ascii="Times New Roman"/>
                <w:sz w:val="21"/>
              </w:rPr>
            </w:pPr>
            <w:r>
              <w:rPr>
                <w:rFonts w:ascii="Times New Roman"/>
                <w:sz w:val="21"/>
              </w:rPr>
              <w:t>0.03</w:t>
            </w:r>
          </w:p>
        </w:tc>
        <w:tc>
          <w:tcPr>
            <w:tcW w:w="712" w:type="dxa"/>
            <w:tcBorders>
              <w:right w:val="nil"/>
            </w:tcBorders>
          </w:tcPr>
          <w:p w14:paraId="326D2710">
            <w:pPr>
              <w:pStyle w:val="17"/>
              <w:spacing w:before="19"/>
              <w:ind w:left="122" w:right="121"/>
              <w:rPr>
                <w:sz w:val="21"/>
              </w:rPr>
            </w:pPr>
            <w:r>
              <w:rPr>
                <w:sz w:val="21"/>
              </w:rPr>
              <w:t>达标</w:t>
            </w:r>
          </w:p>
        </w:tc>
      </w:tr>
      <w:tr w14:paraId="747F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D0E7B5E">
            <w:pPr>
              <w:pStyle w:val="17"/>
              <w:jc w:val="left"/>
              <w:rPr>
                <w:rFonts w:ascii="Times New Roman"/>
                <w:sz w:val="20"/>
              </w:rPr>
            </w:pPr>
          </w:p>
        </w:tc>
        <w:tc>
          <w:tcPr>
            <w:tcW w:w="1265" w:type="dxa"/>
          </w:tcPr>
          <w:p w14:paraId="639AB501">
            <w:pPr>
              <w:pStyle w:val="17"/>
              <w:jc w:val="left"/>
              <w:rPr>
                <w:rFonts w:ascii="Times New Roman"/>
                <w:sz w:val="20"/>
              </w:rPr>
            </w:pPr>
          </w:p>
        </w:tc>
        <w:tc>
          <w:tcPr>
            <w:tcW w:w="771" w:type="dxa"/>
          </w:tcPr>
          <w:p w14:paraId="7A5CB67A">
            <w:pPr>
              <w:pStyle w:val="17"/>
              <w:jc w:val="left"/>
              <w:rPr>
                <w:rFonts w:ascii="Times New Roman"/>
                <w:sz w:val="20"/>
              </w:rPr>
            </w:pPr>
          </w:p>
        </w:tc>
        <w:tc>
          <w:tcPr>
            <w:tcW w:w="772" w:type="dxa"/>
          </w:tcPr>
          <w:p w14:paraId="7670677E">
            <w:pPr>
              <w:pStyle w:val="17"/>
              <w:jc w:val="left"/>
              <w:rPr>
                <w:rFonts w:ascii="Times New Roman"/>
                <w:sz w:val="20"/>
              </w:rPr>
            </w:pPr>
          </w:p>
        </w:tc>
        <w:tc>
          <w:tcPr>
            <w:tcW w:w="921" w:type="dxa"/>
          </w:tcPr>
          <w:p w14:paraId="17F73428">
            <w:pPr>
              <w:pStyle w:val="17"/>
              <w:jc w:val="left"/>
              <w:rPr>
                <w:rFonts w:ascii="Times New Roman"/>
                <w:sz w:val="20"/>
              </w:rPr>
            </w:pPr>
          </w:p>
        </w:tc>
        <w:tc>
          <w:tcPr>
            <w:tcW w:w="1035" w:type="dxa"/>
          </w:tcPr>
          <w:p w14:paraId="0C999F0B">
            <w:pPr>
              <w:pStyle w:val="17"/>
              <w:spacing w:before="18"/>
              <w:ind w:left="201"/>
              <w:jc w:val="left"/>
              <w:rPr>
                <w:sz w:val="21"/>
              </w:rPr>
            </w:pPr>
            <w:r>
              <w:rPr>
                <w:sz w:val="21"/>
              </w:rPr>
              <w:t>日均值</w:t>
            </w:r>
          </w:p>
        </w:tc>
        <w:tc>
          <w:tcPr>
            <w:tcW w:w="1259" w:type="dxa"/>
          </w:tcPr>
          <w:p w14:paraId="5811266A">
            <w:pPr>
              <w:pStyle w:val="17"/>
              <w:spacing w:before="35"/>
              <w:ind w:left="188" w:right="180"/>
              <w:rPr>
                <w:rFonts w:ascii="Times New Roman"/>
                <w:sz w:val="21"/>
              </w:rPr>
            </w:pPr>
            <w:r>
              <w:rPr>
                <w:rFonts w:ascii="Times New Roman"/>
                <w:sz w:val="21"/>
              </w:rPr>
              <w:t>9.69E-06</w:t>
            </w:r>
          </w:p>
        </w:tc>
        <w:tc>
          <w:tcPr>
            <w:tcW w:w="1317" w:type="dxa"/>
          </w:tcPr>
          <w:p w14:paraId="6B93993F">
            <w:pPr>
              <w:pStyle w:val="17"/>
              <w:spacing w:before="35"/>
              <w:ind w:left="108" w:right="98"/>
              <w:rPr>
                <w:rFonts w:ascii="Times New Roman"/>
                <w:sz w:val="21"/>
              </w:rPr>
            </w:pPr>
            <w:r>
              <w:rPr>
                <w:rFonts w:ascii="Times New Roman"/>
                <w:sz w:val="21"/>
              </w:rPr>
              <w:t>230721</w:t>
            </w:r>
          </w:p>
        </w:tc>
        <w:tc>
          <w:tcPr>
            <w:tcW w:w="1230" w:type="dxa"/>
          </w:tcPr>
          <w:p w14:paraId="6C738CF8">
            <w:pPr>
              <w:pStyle w:val="17"/>
              <w:spacing w:before="35"/>
              <w:ind w:left="226"/>
              <w:jc w:val="left"/>
              <w:rPr>
                <w:rFonts w:ascii="Times New Roman"/>
                <w:sz w:val="21"/>
              </w:rPr>
            </w:pPr>
            <w:r>
              <w:rPr>
                <w:rFonts w:ascii="Times New Roman"/>
                <w:sz w:val="21"/>
              </w:rPr>
              <w:t>9.60E-02</w:t>
            </w:r>
          </w:p>
        </w:tc>
        <w:tc>
          <w:tcPr>
            <w:tcW w:w="1725" w:type="dxa"/>
          </w:tcPr>
          <w:p w14:paraId="5249D382">
            <w:pPr>
              <w:pStyle w:val="17"/>
              <w:spacing w:before="35"/>
              <w:ind w:left="417" w:right="413"/>
              <w:rPr>
                <w:rFonts w:ascii="Times New Roman"/>
                <w:sz w:val="21"/>
              </w:rPr>
            </w:pPr>
            <w:r>
              <w:rPr>
                <w:rFonts w:ascii="Times New Roman"/>
                <w:sz w:val="21"/>
              </w:rPr>
              <w:t>9.60E-02</w:t>
            </w:r>
          </w:p>
        </w:tc>
        <w:tc>
          <w:tcPr>
            <w:tcW w:w="1230" w:type="dxa"/>
          </w:tcPr>
          <w:p w14:paraId="615DE4CA">
            <w:pPr>
              <w:pStyle w:val="17"/>
              <w:spacing w:before="35"/>
              <w:ind w:left="172" w:right="166"/>
              <w:rPr>
                <w:rFonts w:ascii="Times New Roman"/>
                <w:sz w:val="21"/>
              </w:rPr>
            </w:pPr>
            <w:r>
              <w:rPr>
                <w:rFonts w:ascii="Times New Roman"/>
                <w:sz w:val="21"/>
              </w:rPr>
              <w:t>1.50E-01</w:t>
            </w:r>
          </w:p>
        </w:tc>
        <w:tc>
          <w:tcPr>
            <w:tcW w:w="1517" w:type="dxa"/>
          </w:tcPr>
          <w:p w14:paraId="6B3CAD1D">
            <w:pPr>
              <w:pStyle w:val="17"/>
              <w:spacing w:before="35"/>
              <w:ind w:left="501" w:right="492"/>
              <w:rPr>
                <w:rFonts w:ascii="Times New Roman"/>
                <w:sz w:val="21"/>
              </w:rPr>
            </w:pPr>
            <w:r>
              <w:rPr>
                <w:rFonts w:ascii="Times New Roman"/>
                <w:sz w:val="21"/>
              </w:rPr>
              <w:t>64.01</w:t>
            </w:r>
          </w:p>
        </w:tc>
        <w:tc>
          <w:tcPr>
            <w:tcW w:w="712" w:type="dxa"/>
            <w:tcBorders>
              <w:right w:val="nil"/>
            </w:tcBorders>
          </w:tcPr>
          <w:p w14:paraId="49CC963A">
            <w:pPr>
              <w:pStyle w:val="17"/>
              <w:spacing w:before="18"/>
              <w:ind w:left="122" w:right="121"/>
              <w:rPr>
                <w:sz w:val="21"/>
              </w:rPr>
            </w:pPr>
            <w:r>
              <w:rPr>
                <w:sz w:val="21"/>
              </w:rPr>
              <w:t>达标</w:t>
            </w:r>
          </w:p>
        </w:tc>
      </w:tr>
      <w:tr w14:paraId="33861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6AB84DC">
            <w:pPr>
              <w:pStyle w:val="17"/>
              <w:jc w:val="left"/>
              <w:rPr>
                <w:rFonts w:ascii="Times New Roman"/>
                <w:sz w:val="20"/>
              </w:rPr>
            </w:pPr>
          </w:p>
        </w:tc>
        <w:tc>
          <w:tcPr>
            <w:tcW w:w="1265" w:type="dxa"/>
          </w:tcPr>
          <w:p w14:paraId="22EABFBA">
            <w:pPr>
              <w:pStyle w:val="17"/>
              <w:jc w:val="left"/>
              <w:rPr>
                <w:rFonts w:ascii="Times New Roman"/>
                <w:sz w:val="20"/>
              </w:rPr>
            </w:pPr>
          </w:p>
        </w:tc>
        <w:tc>
          <w:tcPr>
            <w:tcW w:w="771" w:type="dxa"/>
          </w:tcPr>
          <w:p w14:paraId="575ABA1D">
            <w:pPr>
              <w:pStyle w:val="17"/>
              <w:jc w:val="left"/>
              <w:rPr>
                <w:rFonts w:ascii="Times New Roman"/>
                <w:sz w:val="20"/>
              </w:rPr>
            </w:pPr>
          </w:p>
        </w:tc>
        <w:tc>
          <w:tcPr>
            <w:tcW w:w="772" w:type="dxa"/>
          </w:tcPr>
          <w:p w14:paraId="3228C3FD">
            <w:pPr>
              <w:pStyle w:val="17"/>
              <w:jc w:val="left"/>
              <w:rPr>
                <w:rFonts w:ascii="Times New Roman"/>
                <w:sz w:val="20"/>
              </w:rPr>
            </w:pPr>
          </w:p>
        </w:tc>
        <w:tc>
          <w:tcPr>
            <w:tcW w:w="921" w:type="dxa"/>
          </w:tcPr>
          <w:p w14:paraId="74034BA2">
            <w:pPr>
              <w:pStyle w:val="17"/>
              <w:jc w:val="left"/>
              <w:rPr>
                <w:rFonts w:ascii="Times New Roman"/>
                <w:sz w:val="20"/>
              </w:rPr>
            </w:pPr>
          </w:p>
        </w:tc>
        <w:tc>
          <w:tcPr>
            <w:tcW w:w="1035" w:type="dxa"/>
          </w:tcPr>
          <w:p w14:paraId="5842C4BC">
            <w:pPr>
              <w:pStyle w:val="17"/>
              <w:spacing w:before="18"/>
              <w:ind w:left="201"/>
              <w:jc w:val="left"/>
              <w:rPr>
                <w:sz w:val="21"/>
              </w:rPr>
            </w:pPr>
            <w:r>
              <w:rPr>
                <w:sz w:val="21"/>
              </w:rPr>
              <w:t>年均值</w:t>
            </w:r>
          </w:p>
        </w:tc>
        <w:tc>
          <w:tcPr>
            <w:tcW w:w="1259" w:type="dxa"/>
          </w:tcPr>
          <w:p w14:paraId="2B219AC8">
            <w:pPr>
              <w:pStyle w:val="17"/>
              <w:spacing w:before="34"/>
              <w:ind w:left="188" w:right="180"/>
              <w:rPr>
                <w:rFonts w:ascii="Times New Roman"/>
                <w:sz w:val="21"/>
              </w:rPr>
            </w:pPr>
            <w:r>
              <w:rPr>
                <w:rFonts w:ascii="Times New Roman"/>
                <w:sz w:val="21"/>
              </w:rPr>
              <w:t>1.04E-06</w:t>
            </w:r>
          </w:p>
        </w:tc>
        <w:tc>
          <w:tcPr>
            <w:tcW w:w="1317" w:type="dxa"/>
          </w:tcPr>
          <w:p w14:paraId="77090BEF">
            <w:pPr>
              <w:pStyle w:val="17"/>
              <w:spacing w:before="18"/>
              <w:ind w:left="107" w:right="98"/>
              <w:rPr>
                <w:sz w:val="21"/>
              </w:rPr>
            </w:pPr>
            <w:r>
              <w:rPr>
                <w:sz w:val="21"/>
              </w:rPr>
              <w:t>平均值</w:t>
            </w:r>
          </w:p>
        </w:tc>
        <w:tc>
          <w:tcPr>
            <w:tcW w:w="1230" w:type="dxa"/>
          </w:tcPr>
          <w:p w14:paraId="5D3BC521">
            <w:pPr>
              <w:pStyle w:val="17"/>
              <w:spacing w:before="34"/>
              <w:ind w:left="226"/>
              <w:jc w:val="left"/>
              <w:rPr>
                <w:rFonts w:ascii="Times New Roman"/>
                <w:sz w:val="21"/>
              </w:rPr>
            </w:pPr>
            <w:r>
              <w:rPr>
                <w:rFonts w:ascii="Times New Roman"/>
                <w:sz w:val="21"/>
              </w:rPr>
              <w:t>1.62E-02</w:t>
            </w:r>
          </w:p>
        </w:tc>
        <w:tc>
          <w:tcPr>
            <w:tcW w:w="1725" w:type="dxa"/>
          </w:tcPr>
          <w:p w14:paraId="7E278856">
            <w:pPr>
              <w:pStyle w:val="17"/>
              <w:spacing w:before="34"/>
              <w:ind w:left="417" w:right="413"/>
              <w:rPr>
                <w:rFonts w:ascii="Times New Roman"/>
                <w:sz w:val="21"/>
              </w:rPr>
            </w:pPr>
            <w:r>
              <w:rPr>
                <w:rFonts w:ascii="Times New Roman"/>
                <w:sz w:val="21"/>
              </w:rPr>
              <w:t>1.62E-02</w:t>
            </w:r>
          </w:p>
        </w:tc>
        <w:tc>
          <w:tcPr>
            <w:tcW w:w="1230" w:type="dxa"/>
          </w:tcPr>
          <w:p w14:paraId="79C606F4">
            <w:pPr>
              <w:pStyle w:val="17"/>
              <w:spacing w:before="34"/>
              <w:ind w:left="172" w:right="166"/>
              <w:rPr>
                <w:rFonts w:ascii="Times New Roman"/>
                <w:sz w:val="21"/>
              </w:rPr>
            </w:pPr>
            <w:r>
              <w:rPr>
                <w:rFonts w:ascii="Times New Roman"/>
                <w:sz w:val="21"/>
              </w:rPr>
              <w:t>7.00E-02</w:t>
            </w:r>
          </w:p>
        </w:tc>
        <w:tc>
          <w:tcPr>
            <w:tcW w:w="1517" w:type="dxa"/>
          </w:tcPr>
          <w:p w14:paraId="20587431">
            <w:pPr>
              <w:pStyle w:val="17"/>
              <w:spacing w:before="34"/>
              <w:ind w:left="501" w:right="492"/>
              <w:rPr>
                <w:rFonts w:ascii="Times New Roman"/>
                <w:sz w:val="21"/>
              </w:rPr>
            </w:pPr>
            <w:r>
              <w:rPr>
                <w:rFonts w:ascii="Times New Roman"/>
                <w:sz w:val="21"/>
              </w:rPr>
              <w:t>23.14</w:t>
            </w:r>
          </w:p>
        </w:tc>
        <w:tc>
          <w:tcPr>
            <w:tcW w:w="712" w:type="dxa"/>
            <w:tcBorders>
              <w:right w:val="nil"/>
            </w:tcBorders>
          </w:tcPr>
          <w:p w14:paraId="7CEB2F1E">
            <w:pPr>
              <w:pStyle w:val="17"/>
              <w:spacing w:before="18"/>
              <w:ind w:left="122" w:right="121"/>
              <w:rPr>
                <w:sz w:val="21"/>
              </w:rPr>
            </w:pPr>
            <w:r>
              <w:rPr>
                <w:sz w:val="21"/>
              </w:rPr>
              <w:t>达标</w:t>
            </w:r>
          </w:p>
        </w:tc>
      </w:tr>
      <w:tr w14:paraId="1A36B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626F53D">
            <w:pPr>
              <w:pStyle w:val="17"/>
              <w:spacing w:before="34"/>
              <w:ind w:right="169"/>
              <w:jc w:val="right"/>
              <w:rPr>
                <w:rFonts w:ascii="Times New Roman"/>
                <w:sz w:val="21"/>
              </w:rPr>
            </w:pPr>
            <w:r>
              <w:rPr>
                <w:rFonts w:ascii="Times New Roman"/>
                <w:w w:val="99"/>
                <w:sz w:val="21"/>
              </w:rPr>
              <w:t>6</w:t>
            </w:r>
          </w:p>
        </w:tc>
        <w:tc>
          <w:tcPr>
            <w:tcW w:w="1265" w:type="dxa"/>
          </w:tcPr>
          <w:p w14:paraId="02AC524E">
            <w:pPr>
              <w:pStyle w:val="17"/>
              <w:spacing w:before="20"/>
              <w:ind w:left="189" w:right="183"/>
              <w:rPr>
                <w:sz w:val="21"/>
              </w:rPr>
            </w:pPr>
            <w:r>
              <w:rPr>
                <w:sz w:val="21"/>
              </w:rPr>
              <w:t>三和村</w:t>
            </w:r>
          </w:p>
        </w:tc>
        <w:tc>
          <w:tcPr>
            <w:tcW w:w="771" w:type="dxa"/>
          </w:tcPr>
          <w:p w14:paraId="146B7712">
            <w:pPr>
              <w:pStyle w:val="17"/>
              <w:spacing w:before="34"/>
              <w:ind w:right="163"/>
              <w:jc w:val="right"/>
              <w:rPr>
                <w:rFonts w:ascii="Times New Roman"/>
                <w:sz w:val="21"/>
              </w:rPr>
            </w:pPr>
            <w:r>
              <w:rPr>
                <w:rFonts w:ascii="Times New Roman"/>
                <w:sz w:val="21"/>
              </w:rPr>
              <w:t>1237</w:t>
            </w:r>
          </w:p>
        </w:tc>
        <w:tc>
          <w:tcPr>
            <w:tcW w:w="772" w:type="dxa"/>
          </w:tcPr>
          <w:p w14:paraId="7C2B7FEE">
            <w:pPr>
              <w:pStyle w:val="17"/>
              <w:spacing w:before="34"/>
              <w:ind w:right="162"/>
              <w:jc w:val="right"/>
              <w:rPr>
                <w:rFonts w:ascii="Times New Roman"/>
                <w:sz w:val="21"/>
              </w:rPr>
            </w:pPr>
            <w:r>
              <w:rPr>
                <w:rFonts w:ascii="Times New Roman"/>
                <w:sz w:val="21"/>
              </w:rPr>
              <w:t>1042</w:t>
            </w:r>
          </w:p>
        </w:tc>
        <w:tc>
          <w:tcPr>
            <w:tcW w:w="921" w:type="dxa"/>
          </w:tcPr>
          <w:p w14:paraId="760F529A">
            <w:pPr>
              <w:pStyle w:val="17"/>
              <w:spacing w:before="34"/>
              <w:ind w:left="203" w:right="195"/>
              <w:rPr>
                <w:rFonts w:ascii="Times New Roman"/>
                <w:sz w:val="21"/>
              </w:rPr>
            </w:pPr>
            <w:r>
              <w:rPr>
                <w:rFonts w:ascii="Times New Roman"/>
                <w:sz w:val="21"/>
              </w:rPr>
              <w:t>61.08</w:t>
            </w:r>
          </w:p>
        </w:tc>
        <w:tc>
          <w:tcPr>
            <w:tcW w:w="1035" w:type="dxa"/>
          </w:tcPr>
          <w:p w14:paraId="6A4D97B8">
            <w:pPr>
              <w:pStyle w:val="17"/>
              <w:spacing w:before="18"/>
              <w:ind w:left="201"/>
              <w:jc w:val="left"/>
              <w:rPr>
                <w:sz w:val="21"/>
              </w:rPr>
            </w:pPr>
            <w:r>
              <w:rPr>
                <w:sz w:val="21"/>
              </w:rPr>
              <w:t>小时值</w:t>
            </w:r>
          </w:p>
        </w:tc>
        <w:tc>
          <w:tcPr>
            <w:tcW w:w="1259" w:type="dxa"/>
          </w:tcPr>
          <w:p w14:paraId="6F087BD4">
            <w:pPr>
              <w:pStyle w:val="17"/>
              <w:spacing w:before="34"/>
              <w:ind w:left="188" w:right="180"/>
              <w:rPr>
                <w:rFonts w:ascii="Times New Roman"/>
                <w:sz w:val="21"/>
              </w:rPr>
            </w:pPr>
            <w:r>
              <w:rPr>
                <w:rFonts w:ascii="Times New Roman"/>
                <w:sz w:val="21"/>
              </w:rPr>
              <w:t>1.43E-04</w:t>
            </w:r>
          </w:p>
        </w:tc>
        <w:tc>
          <w:tcPr>
            <w:tcW w:w="1317" w:type="dxa"/>
          </w:tcPr>
          <w:p w14:paraId="0DDD0E2E">
            <w:pPr>
              <w:pStyle w:val="17"/>
              <w:spacing w:before="34"/>
              <w:ind w:left="108" w:right="98"/>
              <w:rPr>
                <w:rFonts w:ascii="Times New Roman"/>
                <w:sz w:val="21"/>
              </w:rPr>
            </w:pPr>
            <w:r>
              <w:rPr>
                <w:rFonts w:ascii="Times New Roman"/>
                <w:sz w:val="21"/>
              </w:rPr>
              <w:t>23082022</w:t>
            </w:r>
          </w:p>
        </w:tc>
        <w:tc>
          <w:tcPr>
            <w:tcW w:w="1230" w:type="dxa"/>
          </w:tcPr>
          <w:p w14:paraId="126889B0">
            <w:pPr>
              <w:pStyle w:val="17"/>
              <w:spacing w:before="34"/>
              <w:ind w:left="202"/>
              <w:jc w:val="left"/>
              <w:rPr>
                <w:rFonts w:ascii="Times New Roman"/>
                <w:sz w:val="21"/>
              </w:rPr>
            </w:pPr>
            <w:r>
              <w:rPr>
                <w:rFonts w:ascii="Times New Roman"/>
                <w:sz w:val="21"/>
              </w:rPr>
              <w:t>0.00E+00</w:t>
            </w:r>
          </w:p>
        </w:tc>
        <w:tc>
          <w:tcPr>
            <w:tcW w:w="1725" w:type="dxa"/>
          </w:tcPr>
          <w:p w14:paraId="07666EA5">
            <w:pPr>
              <w:pStyle w:val="17"/>
              <w:spacing w:before="34"/>
              <w:ind w:left="417" w:right="413"/>
              <w:rPr>
                <w:rFonts w:ascii="Times New Roman"/>
                <w:sz w:val="21"/>
              </w:rPr>
            </w:pPr>
            <w:r>
              <w:rPr>
                <w:rFonts w:ascii="Times New Roman"/>
                <w:sz w:val="21"/>
              </w:rPr>
              <w:t>1.43E-04</w:t>
            </w:r>
          </w:p>
        </w:tc>
        <w:tc>
          <w:tcPr>
            <w:tcW w:w="1230" w:type="dxa"/>
          </w:tcPr>
          <w:p w14:paraId="395DE404">
            <w:pPr>
              <w:pStyle w:val="17"/>
              <w:spacing w:before="34"/>
              <w:ind w:left="172" w:right="166"/>
              <w:rPr>
                <w:rFonts w:ascii="Times New Roman"/>
                <w:sz w:val="21"/>
              </w:rPr>
            </w:pPr>
            <w:r>
              <w:rPr>
                <w:rFonts w:ascii="Times New Roman"/>
                <w:sz w:val="21"/>
              </w:rPr>
              <w:t>4.50E-01</w:t>
            </w:r>
          </w:p>
        </w:tc>
        <w:tc>
          <w:tcPr>
            <w:tcW w:w="1517" w:type="dxa"/>
          </w:tcPr>
          <w:p w14:paraId="552E6927">
            <w:pPr>
              <w:pStyle w:val="17"/>
              <w:spacing w:before="34"/>
              <w:ind w:left="499" w:right="492"/>
              <w:rPr>
                <w:rFonts w:ascii="Times New Roman"/>
                <w:sz w:val="21"/>
              </w:rPr>
            </w:pPr>
            <w:r>
              <w:rPr>
                <w:rFonts w:ascii="Times New Roman"/>
                <w:sz w:val="21"/>
              </w:rPr>
              <w:t>0.03</w:t>
            </w:r>
          </w:p>
        </w:tc>
        <w:tc>
          <w:tcPr>
            <w:tcW w:w="712" w:type="dxa"/>
            <w:tcBorders>
              <w:right w:val="nil"/>
            </w:tcBorders>
          </w:tcPr>
          <w:p w14:paraId="41D8ABEB">
            <w:pPr>
              <w:pStyle w:val="17"/>
              <w:spacing w:before="18"/>
              <w:ind w:left="122" w:right="121"/>
              <w:rPr>
                <w:sz w:val="21"/>
              </w:rPr>
            </w:pPr>
            <w:r>
              <w:rPr>
                <w:sz w:val="21"/>
              </w:rPr>
              <w:t>达标</w:t>
            </w:r>
          </w:p>
        </w:tc>
      </w:tr>
      <w:tr w14:paraId="05423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ECB7546">
            <w:pPr>
              <w:pStyle w:val="17"/>
              <w:jc w:val="left"/>
              <w:rPr>
                <w:rFonts w:ascii="Times New Roman"/>
                <w:sz w:val="20"/>
              </w:rPr>
            </w:pPr>
          </w:p>
        </w:tc>
        <w:tc>
          <w:tcPr>
            <w:tcW w:w="1265" w:type="dxa"/>
          </w:tcPr>
          <w:p w14:paraId="43466707">
            <w:pPr>
              <w:pStyle w:val="17"/>
              <w:jc w:val="left"/>
              <w:rPr>
                <w:rFonts w:ascii="Times New Roman"/>
                <w:sz w:val="20"/>
              </w:rPr>
            </w:pPr>
          </w:p>
        </w:tc>
        <w:tc>
          <w:tcPr>
            <w:tcW w:w="771" w:type="dxa"/>
          </w:tcPr>
          <w:p w14:paraId="25377102">
            <w:pPr>
              <w:pStyle w:val="17"/>
              <w:jc w:val="left"/>
              <w:rPr>
                <w:rFonts w:ascii="Times New Roman"/>
                <w:sz w:val="20"/>
              </w:rPr>
            </w:pPr>
          </w:p>
        </w:tc>
        <w:tc>
          <w:tcPr>
            <w:tcW w:w="772" w:type="dxa"/>
          </w:tcPr>
          <w:p w14:paraId="6DB9E23B">
            <w:pPr>
              <w:pStyle w:val="17"/>
              <w:jc w:val="left"/>
              <w:rPr>
                <w:rFonts w:ascii="Times New Roman"/>
                <w:sz w:val="20"/>
              </w:rPr>
            </w:pPr>
          </w:p>
        </w:tc>
        <w:tc>
          <w:tcPr>
            <w:tcW w:w="921" w:type="dxa"/>
          </w:tcPr>
          <w:p w14:paraId="1ABA2474">
            <w:pPr>
              <w:pStyle w:val="17"/>
              <w:jc w:val="left"/>
              <w:rPr>
                <w:rFonts w:ascii="Times New Roman"/>
                <w:sz w:val="20"/>
              </w:rPr>
            </w:pPr>
          </w:p>
        </w:tc>
        <w:tc>
          <w:tcPr>
            <w:tcW w:w="1035" w:type="dxa"/>
          </w:tcPr>
          <w:p w14:paraId="1DC8B6E0">
            <w:pPr>
              <w:pStyle w:val="17"/>
              <w:spacing w:before="20"/>
              <w:ind w:left="201"/>
              <w:jc w:val="left"/>
              <w:rPr>
                <w:sz w:val="21"/>
              </w:rPr>
            </w:pPr>
            <w:r>
              <w:rPr>
                <w:sz w:val="21"/>
              </w:rPr>
              <w:t>日均值</w:t>
            </w:r>
          </w:p>
        </w:tc>
        <w:tc>
          <w:tcPr>
            <w:tcW w:w="1259" w:type="dxa"/>
          </w:tcPr>
          <w:p w14:paraId="52B2E23D">
            <w:pPr>
              <w:pStyle w:val="17"/>
              <w:spacing w:before="34"/>
              <w:ind w:left="188" w:right="180"/>
              <w:rPr>
                <w:rFonts w:ascii="Times New Roman"/>
                <w:sz w:val="21"/>
              </w:rPr>
            </w:pPr>
            <w:r>
              <w:rPr>
                <w:rFonts w:ascii="Times New Roman"/>
                <w:sz w:val="21"/>
              </w:rPr>
              <w:t>8.79E-06</w:t>
            </w:r>
          </w:p>
        </w:tc>
        <w:tc>
          <w:tcPr>
            <w:tcW w:w="1317" w:type="dxa"/>
          </w:tcPr>
          <w:p w14:paraId="39D5A1D3">
            <w:pPr>
              <w:pStyle w:val="17"/>
              <w:spacing w:before="34"/>
              <w:ind w:left="108" w:right="98"/>
              <w:rPr>
                <w:rFonts w:ascii="Times New Roman"/>
                <w:sz w:val="21"/>
              </w:rPr>
            </w:pPr>
            <w:r>
              <w:rPr>
                <w:rFonts w:ascii="Times New Roman"/>
                <w:sz w:val="21"/>
              </w:rPr>
              <w:t>230715</w:t>
            </w:r>
          </w:p>
        </w:tc>
        <w:tc>
          <w:tcPr>
            <w:tcW w:w="1230" w:type="dxa"/>
          </w:tcPr>
          <w:p w14:paraId="136AEBD2">
            <w:pPr>
              <w:pStyle w:val="17"/>
              <w:spacing w:before="34"/>
              <w:ind w:left="226"/>
              <w:jc w:val="left"/>
              <w:rPr>
                <w:rFonts w:ascii="Times New Roman"/>
                <w:sz w:val="21"/>
              </w:rPr>
            </w:pPr>
            <w:r>
              <w:rPr>
                <w:rFonts w:ascii="Times New Roman"/>
                <w:sz w:val="21"/>
              </w:rPr>
              <w:t>9.60E-02</w:t>
            </w:r>
          </w:p>
        </w:tc>
        <w:tc>
          <w:tcPr>
            <w:tcW w:w="1725" w:type="dxa"/>
          </w:tcPr>
          <w:p w14:paraId="3AD3B216">
            <w:pPr>
              <w:pStyle w:val="17"/>
              <w:spacing w:before="34"/>
              <w:ind w:left="417" w:right="413"/>
              <w:rPr>
                <w:rFonts w:ascii="Times New Roman"/>
                <w:sz w:val="21"/>
              </w:rPr>
            </w:pPr>
            <w:r>
              <w:rPr>
                <w:rFonts w:ascii="Times New Roman"/>
                <w:sz w:val="21"/>
              </w:rPr>
              <w:t>9.60E-02</w:t>
            </w:r>
          </w:p>
        </w:tc>
        <w:tc>
          <w:tcPr>
            <w:tcW w:w="1230" w:type="dxa"/>
          </w:tcPr>
          <w:p w14:paraId="26DBFBB7">
            <w:pPr>
              <w:pStyle w:val="17"/>
              <w:spacing w:before="34"/>
              <w:ind w:left="172" w:right="166"/>
              <w:rPr>
                <w:rFonts w:ascii="Times New Roman"/>
                <w:sz w:val="21"/>
              </w:rPr>
            </w:pPr>
            <w:r>
              <w:rPr>
                <w:rFonts w:ascii="Times New Roman"/>
                <w:sz w:val="21"/>
              </w:rPr>
              <w:t>1.50E-01</w:t>
            </w:r>
          </w:p>
        </w:tc>
        <w:tc>
          <w:tcPr>
            <w:tcW w:w="1517" w:type="dxa"/>
          </w:tcPr>
          <w:p w14:paraId="6DE90E7C">
            <w:pPr>
              <w:pStyle w:val="17"/>
              <w:spacing w:before="34"/>
              <w:ind w:left="501" w:right="492"/>
              <w:rPr>
                <w:rFonts w:ascii="Times New Roman"/>
                <w:sz w:val="21"/>
              </w:rPr>
            </w:pPr>
            <w:r>
              <w:rPr>
                <w:rFonts w:ascii="Times New Roman"/>
                <w:sz w:val="21"/>
              </w:rPr>
              <w:t>64.01</w:t>
            </w:r>
          </w:p>
        </w:tc>
        <w:tc>
          <w:tcPr>
            <w:tcW w:w="712" w:type="dxa"/>
            <w:tcBorders>
              <w:right w:val="nil"/>
            </w:tcBorders>
          </w:tcPr>
          <w:p w14:paraId="0388CBBB">
            <w:pPr>
              <w:pStyle w:val="17"/>
              <w:spacing w:before="20"/>
              <w:ind w:left="122" w:right="121"/>
              <w:rPr>
                <w:sz w:val="21"/>
              </w:rPr>
            </w:pPr>
            <w:r>
              <w:rPr>
                <w:sz w:val="21"/>
              </w:rPr>
              <w:t>达标</w:t>
            </w:r>
          </w:p>
        </w:tc>
      </w:tr>
      <w:tr w14:paraId="58EBB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B876602">
            <w:pPr>
              <w:pStyle w:val="17"/>
              <w:jc w:val="left"/>
              <w:rPr>
                <w:rFonts w:ascii="Times New Roman"/>
                <w:sz w:val="20"/>
              </w:rPr>
            </w:pPr>
          </w:p>
        </w:tc>
        <w:tc>
          <w:tcPr>
            <w:tcW w:w="1265" w:type="dxa"/>
          </w:tcPr>
          <w:p w14:paraId="1A94A074">
            <w:pPr>
              <w:pStyle w:val="17"/>
              <w:jc w:val="left"/>
              <w:rPr>
                <w:rFonts w:ascii="Times New Roman"/>
                <w:sz w:val="20"/>
              </w:rPr>
            </w:pPr>
          </w:p>
        </w:tc>
        <w:tc>
          <w:tcPr>
            <w:tcW w:w="771" w:type="dxa"/>
          </w:tcPr>
          <w:p w14:paraId="3EF7DD8C">
            <w:pPr>
              <w:pStyle w:val="17"/>
              <w:jc w:val="left"/>
              <w:rPr>
                <w:rFonts w:ascii="Times New Roman"/>
                <w:sz w:val="20"/>
              </w:rPr>
            </w:pPr>
          </w:p>
        </w:tc>
        <w:tc>
          <w:tcPr>
            <w:tcW w:w="772" w:type="dxa"/>
          </w:tcPr>
          <w:p w14:paraId="52C92CCA">
            <w:pPr>
              <w:pStyle w:val="17"/>
              <w:jc w:val="left"/>
              <w:rPr>
                <w:rFonts w:ascii="Times New Roman"/>
                <w:sz w:val="20"/>
              </w:rPr>
            </w:pPr>
          </w:p>
        </w:tc>
        <w:tc>
          <w:tcPr>
            <w:tcW w:w="921" w:type="dxa"/>
          </w:tcPr>
          <w:p w14:paraId="14A0196C">
            <w:pPr>
              <w:pStyle w:val="17"/>
              <w:jc w:val="left"/>
              <w:rPr>
                <w:rFonts w:ascii="Times New Roman"/>
                <w:sz w:val="20"/>
              </w:rPr>
            </w:pPr>
          </w:p>
        </w:tc>
        <w:tc>
          <w:tcPr>
            <w:tcW w:w="1035" w:type="dxa"/>
          </w:tcPr>
          <w:p w14:paraId="75EB7A76">
            <w:pPr>
              <w:pStyle w:val="17"/>
              <w:spacing w:before="19"/>
              <w:ind w:left="201"/>
              <w:jc w:val="left"/>
              <w:rPr>
                <w:sz w:val="21"/>
              </w:rPr>
            </w:pPr>
            <w:r>
              <w:rPr>
                <w:sz w:val="21"/>
              </w:rPr>
              <w:t>年均值</w:t>
            </w:r>
          </w:p>
        </w:tc>
        <w:tc>
          <w:tcPr>
            <w:tcW w:w="1259" w:type="dxa"/>
          </w:tcPr>
          <w:p w14:paraId="44635421">
            <w:pPr>
              <w:pStyle w:val="17"/>
              <w:spacing w:before="33"/>
              <w:ind w:left="188" w:right="180"/>
              <w:rPr>
                <w:rFonts w:ascii="Times New Roman"/>
                <w:sz w:val="21"/>
              </w:rPr>
            </w:pPr>
            <w:r>
              <w:rPr>
                <w:rFonts w:ascii="Times New Roman"/>
                <w:sz w:val="21"/>
              </w:rPr>
              <w:t>5.09E-07</w:t>
            </w:r>
          </w:p>
        </w:tc>
        <w:tc>
          <w:tcPr>
            <w:tcW w:w="1317" w:type="dxa"/>
          </w:tcPr>
          <w:p w14:paraId="6C7D04F5">
            <w:pPr>
              <w:pStyle w:val="17"/>
              <w:spacing w:before="19"/>
              <w:ind w:left="107" w:right="98"/>
              <w:rPr>
                <w:sz w:val="21"/>
              </w:rPr>
            </w:pPr>
            <w:r>
              <w:rPr>
                <w:sz w:val="21"/>
              </w:rPr>
              <w:t>平均值</w:t>
            </w:r>
          </w:p>
        </w:tc>
        <w:tc>
          <w:tcPr>
            <w:tcW w:w="1230" w:type="dxa"/>
          </w:tcPr>
          <w:p w14:paraId="35C73322">
            <w:pPr>
              <w:pStyle w:val="17"/>
              <w:spacing w:before="33"/>
              <w:ind w:left="226"/>
              <w:jc w:val="left"/>
              <w:rPr>
                <w:rFonts w:ascii="Times New Roman"/>
                <w:sz w:val="21"/>
              </w:rPr>
            </w:pPr>
            <w:r>
              <w:rPr>
                <w:rFonts w:ascii="Times New Roman"/>
                <w:sz w:val="21"/>
              </w:rPr>
              <w:t>1.62E-02</w:t>
            </w:r>
          </w:p>
        </w:tc>
        <w:tc>
          <w:tcPr>
            <w:tcW w:w="1725" w:type="dxa"/>
          </w:tcPr>
          <w:p w14:paraId="26851CFC">
            <w:pPr>
              <w:pStyle w:val="17"/>
              <w:spacing w:before="33"/>
              <w:ind w:left="417" w:right="413"/>
              <w:rPr>
                <w:rFonts w:ascii="Times New Roman"/>
                <w:sz w:val="21"/>
              </w:rPr>
            </w:pPr>
            <w:r>
              <w:rPr>
                <w:rFonts w:ascii="Times New Roman"/>
                <w:sz w:val="21"/>
              </w:rPr>
              <w:t>1.62E-02</w:t>
            </w:r>
          </w:p>
        </w:tc>
        <w:tc>
          <w:tcPr>
            <w:tcW w:w="1230" w:type="dxa"/>
          </w:tcPr>
          <w:p w14:paraId="0D12318A">
            <w:pPr>
              <w:pStyle w:val="17"/>
              <w:spacing w:before="33"/>
              <w:ind w:left="172" w:right="166"/>
              <w:rPr>
                <w:rFonts w:ascii="Times New Roman"/>
                <w:sz w:val="21"/>
              </w:rPr>
            </w:pPr>
            <w:r>
              <w:rPr>
                <w:rFonts w:ascii="Times New Roman"/>
                <w:sz w:val="21"/>
              </w:rPr>
              <w:t>7.00E-02</w:t>
            </w:r>
          </w:p>
        </w:tc>
        <w:tc>
          <w:tcPr>
            <w:tcW w:w="1517" w:type="dxa"/>
          </w:tcPr>
          <w:p w14:paraId="739F261C">
            <w:pPr>
              <w:pStyle w:val="17"/>
              <w:spacing w:before="33"/>
              <w:ind w:left="501" w:right="492"/>
              <w:rPr>
                <w:rFonts w:ascii="Times New Roman"/>
                <w:sz w:val="21"/>
              </w:rPr>
            </w:pPr>
            <w:r>
              <w:rPr>
                <w:rFonts w:ascii="Times New Roman"/>
                <w:sz w:val="21"/>
              </w:rPr>
              <w:t>23.14</w:t>
            </w:r>
          </w:p>
        </w:tc>
        <w:tc>
          <w:tcPr>
            <w:tcW w:w="712" w:type="dxa"/>
            <w:tcBorders>
              <w:right w:val="nil"/>
            </w:tcBorders>
          </w:tcPr>
          <w:p w14:paraId="46DBB529">
            <w:pPr>
              <w:pStyle w:val="17"/>
              <w:spacing w:before="19"/>
              <w:ind w:left="122" w:right="121"/>
              <w:rPr>
                <w:sz w:val="21"/>
              </w:rPr>
            </w:pPr>
            <w:r>
              <w:rPr>
                <w:sz w:val="21"/>
              </w:rPr>
              <w:t>达标</w:t>
            </w:r>
          </w:p>
        </w:tc>
      </w:tr>
      <w:tr w14:paraId="37A30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0A138292">
            <w:pPr>
              <w:pStyle w:val="17"/>
              <w:spacing w:before="33"/>
              <w:ind w:right="169"/>
              <w:jc w:val="right"/>
              <w:rPr>
                <w:rFonts w:ascii="Times New Roman"/>
                <w:sz w:val="21"/>
              </w:rPr>
            </w:pPr>
            <w:r>
              <w:rPr>
                <w:rFonts w:ascii="Times New Roman"/>
                <w:w w:val="99"/>
                <w:sz w:val="21"/>
              </w:rPr>
              <w:t>7</w:t>
            </w:r>
          </w:p>
        </w:tc>
        <w:tc>
          <w:tcPr>
            <w:tcW w:w="1265" w:type="dxa"/>
          </w:tcPr>
          <w:p w14:paraId="7523C13D">
            <w:pPr>
              <w:pStyle w:val="17"/>
              <w:spacing w:before="19"/>
              <w:ind w:left="189" w:right="186"/>
              <w:rPr>
                <w:sz w:val="21"/>
              </w:rPr>
            </w:pPr>
            <w:r>
              <w:rPr>
                <w:sz w:val="21"/>
              </w:rPr>
              <w:t>中家桥村</w:t>
            </w:r>
          </w:p>
        </w:tc>
        <w:tc>
          <w:tcPr>
            <w:tcW w:w="771" w:type="dxa"/>
          </w:tcPr>
          <w:p w14:paraId="1291E697">
            <w:pPr>
              <w:pStyle w:val="17"/>
              <w:spacing w:before="33"/>
              <w:ind w:right="216"/>
              <w:jc w:val="right"/>
              <w:rPr>
                <w:rFonts w:ascii="Times New Roman"/>
                <w:sz w:val="21"/>
              </w:rPr>
            </w:pPr>
            <w:r>
              <w:rPr>
                <w:rFonts w:ascii="Times New Roman"/>
                <w:sz w:val="21"/>
              </w:rPr>
              <w:t>961</w:t>
            </w:r>
          </w:p>
        </w:tc>
        <w:tc>
          <w:tcPr>
            <w:tcW w:w="772" w:type="dxa"/>
          </w:tcPr>
          <w:p w14:paraId="4FE960B1">
            <w:pPr>
              <w:pStyle w:val="17"/>
              <w:spacing w:before="33"/>
              <w:ind w:right="181"/>
              <w:jc w:val="right"/>
              <w:rPr>
                <w:rFonts w:ascii="Times New Roman"/>
                <w:sz w:val="21"/>
              </w:rPr>
            </w:pPr>
            <w:r>
              <w:rPr>
                <w:rFonts w:ascii="Times New Roman"/>
                <w:w w:val="95"/>
                <w:sz w:val="21"/>
              </w:rPr>
              <w:t>-813</w:t>
            </w:r>
          </w:p>
        </w:tc>
        <w:tc>
          <w:tcPr>
            <w:tcW w:w="921" w:type="dxa"/>
          </w:tcPr>
          <w:p w14:paraId="691B5805">
            <w:pPr>
              <w:pStyle w:val="17"/>
              <w:spacing w:before="33"/>
              <w:ind w:left="203" w:right="195"/>
              <w:rPr>
                <w:rFonts w:ascii="Times New Roman"/>
                <w:sz w:val="21"/>
              </w:rPr>
            </w:pPr>
            <w:r>
              <w:rPr>
                <w:rFonts w:ascii="Times New Roman"/>
                <w:sz w:val="21"/>
              </w:rPr>
              <w:t>49.12</w:t>
            </w:r>
          </w:p>
        </w:tc>
        <w:tc>
          <w:tcPr>
            <w:tcW w:w="1035" w:type="dxa"/>
          </w:tcPr>
          <w:p w14:paraId="6125BA71">
            <w:pPr>
              <w:pStyle w:val="17"/>
              <w:spacing w:before="19"/>
              <w:ind w:left="201"/>
              <w:jc w:val="left"/>
              <w:rPr>
                <w:sz w:val="21"/>
              </w:rPr>
            </w:pPr>
            <w:r>
              <w:rPr>
                <w:sz w:val="21"/>
              </w:rPr>
              <w:t>小时值</w:t>
            </w:r>
          </w:p>
        </w:tc>
        <w:tc>
          <w:tcPr>
            <w:tcW w:w="1259" w:type="dxa"/>
          </w:tcPr>
          <w:p w14:paraId="13C209A8">
            <w:pPr>
              <w:pStyle w:val="17"/>
              <w:spacing w:before="33"/>
              <w:ind w:left="188" w:right="180"/>
              <w:rPr>
                <w:rFonts w:ascii="Times New Roman"/>
                <w:sz w:val="21"/>
              </w:rPr>
            </w:pPr>
            <w:r>
              <w:rPr>
                <w:rFonts w:ascii="Times New Roman"/>
                <w:sz w:val="21"/>
              </w:rPr>
              <w:t>1.33E-04</w:t>
            </w:r>
          </w:p>
        </w:tc>
        <w:tc>
          <w:tcPr>
            <w:tcW w:w="1317" w:type="dxa"/>
          </w:tcPr>
          <w:p w14:paraId="43960F45">
            <w:pPr>
              <w:pStyle w:val="17"/>
              <w:spacing w:before="33"/>
              <w:ind w:left="108" w:right="98"/>
              <w:rPr>
                <w:rFonts w:ascii="Times New Roman"/>
                <w:sz w:val="21"/>
              </w:rPr>
            </w:pPr>
            <w:r>
              <w:rPr>
                <w:rFonts w:ascii="Times New Roman"/>
                <w:sz w:val="21"/>
              </w:rPr>
              <w:t>23060804</w:t>
            </w:r>
          </w:p>
        </w:tc>
        <w:tc>
          <w:tcPr>
            <w:tcW w:w="1230" w:type="dxa"/>
          </w:tcPr>
          <w:p w14:paraId="7B907FCF">
            <w:pPr>
              <w:pStyle w:val="17"/>
              <w:spacing w:before="33"/>
              <w:ind w:left="202"/>
              <w:jc w:val="left"/>
              <w:rPr>
                <w:rFonts w:ascii="Times New Roman"/>
                <w:sz w:val="21"/>
              </w:rPr>
            </w:pPr>
            <w:r>
              <w:rPr>
                <w:rFonts w:ascii="Times New Roman"/>
                <w:sz w:val="21"/>
              </w:rPr>
              <w:t>0.00E+00</w:t>
            </w:r>
          </w:p>
        </w:tc>
        <w:tc>
          <w:tcPr>
            <w:tcW w:w="1725" w:type="dxa"/>
          </w:tcPr>
          <w:p w14:paraId="148CB7F3">
            <w:pPr>
              <w:pStyle w:val="17"/>
              <w:spacing w:before="33"/>
              <w:ind w:left="417" w:right="413"/>
              <w:rPr>
                <w:rFonts w:ascii="Times New Roman"/>
                <w:sz w:val="21"/>
              </w:rPr>
            </w:pPr>
            <w:r>
              <w:rPr>
                <w:rFonts w:ascii="Times New Roman"/>
                <w:sz w:val="21"/>
              </w:rPr>
              <w:t>1.33E-04</w:t>
            </w:r>
          </w:p>
        </w:tc>
        <w:tc>
          <w:tcPr>
            <w:tcW w:w="1230" w:type="dxa"/>
          </w:tcPr>
          <w:p w14:paraId="2C36809F">
            <w:pPr>
              <w:pStyle w:val="17"/>
              <w:spacing w:before="33"/>
              <w:ind w:left="172" w:right="166"/>
              <w:rPr>
                <w:rFonts w:ascii="Times New Roman"/>
                <w:sz w:val="21"/>
              </w:rPr>
            </w:pPr>
            <w:r>
              <w:rPr>
                <w:rFonts w:ascii="Times New Roman"/>
                <w:sz w:val="21"/>
              </w:rPr>
              <w:t>4.50E-01</w:t>
            </w:r>
          </w:p>
        </w:tc>
        <w:tc>
          <w:tcPr>
            <w:tcW w:w="1517" w:type="dxa"/>
          </w:tcPr>
          <w:p w14:paraId="3EE775CD">
            <w:pPr>
              <w:pStyle w:val="17"/>
              <w:spacing w:before="33"/>
              <w:ind w:left="499" w:right="492"/>
              <w:rPr>
                <w:rFonts w:ascii="Times New Roman"/>
                <w:sz w:val="21"/>
              </w:rPr>
            </w:pPr>
            <w:r>
              <w:rPr>
                <w:rFonts w:ascii="Times New Roman"/>
                <w:sz w:val="21"/>
              </w:rPr>
              <w:t>0.03</w:t>
            </w:r>
          </w:p>
        </w:tc>
        <w:tc>
          <w:tcPr>
            <w:tcW w:w="712" w:type="dxa"/>
            <w:tcBorders>
              <w:right w:val="nil"/>
            </w:tcBorders>
          </w:tcPr>
          <w:p w14:paraId="3CE01770">
            <w:pPr>
              <w:pStyle w:val="17"/>
              <w:spacing w:before="19"/>
              <w:ind w:left="122" w:right="121"/>
              <w:rPr>
                <w:sz w:val="21"/>
              </w:rPr>
            </w:pPr>
            <w:r>
              <w:rPr>
                <w:sz w:val="21"/>
              </w:rPr>
              <w:t>达标</w:t>
            </w:r>
          </w:p>
        </w:tc>
      </w:tr>
      <w:tr w14:paraId="11CDB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32F2AC7C">
            <w:pPr>
              <w:pStyle w:val="17"/>
              <w:jc w:val="left"/>
              <w:rPr>
                <w:rFonts w:ascii="Times New Roman"/>
                <w:sz w:val="20"/>
              </w:rPr>
            </w:pPr>
          </w:p>
        </w:tc>
        <w:tc>
          <w:tcPr>
            <w:tcW w:w="1265" w:type="dxa"/>
          </w:tcPr>
          <w:p w14:paraId="2BDE21C7">
            <w:pPr>
              <w:pStyle w:val="17"/>
              <w:jc w:val="left"/>
              <w:rPr>
                <w:rFonts w:ascii="Times New Roman"/>
                <w:sz w:val="20"/>
              </w:rPr>
            </w:pPr>
          </w:p>
        </w:tc>
        <w:tc>
          <w:tcPr>
            <w:tcW w:w="771" w:type="dxa"/>
          </w:tcPr>
          <w:p w14:paraId="7BB0FDFB">
            <w:pPr>
              <w:pStyle w:val="17"/>
              <w:jc w:val="left"/>
              <w:rPr>
                <w:rFonts w:ascii="Times New Roman"/>
                <w:sz w:val="20"/>
              </w:rPr>
            </w:pPr>
          </w:p>
        </w:tc>
        <w:tc>
          <w:tcPr>
            <w:tcW w:w="772" w:type="dxa"/>
          </w:tcPr>
          <w:p w14:paraId="405A32CA">
            <w:pPr>
              <w:pStyle w:val="17"/>
              <w:jc w:val="left"/>
              <w:rPr>
                <w:rFonts w:ascii="Times New Roman"/>
                <w:sz w:val="20"/>
              </w:rPr>
            </w:pPr>
          </w:p>
        </w:tc>
        <w:tc>
          <w:tcPr>
            <w:tcW w:w="921" w:type="dxa"/>
          </w:tcPr>
          <w:p w14:paraId="7740D614">
            <w:pPr>
              <w:pStyle w:val="17"/>
              <w:jc w:val="left"/>
              <w:rPr>
                <w:rFonts w:ascii="Times New Roman"/>
                <w:sz w:val="20"/>
              </w:rPr>
            </w:pPr>
          </w:p>
        </w:tc>
        <w:tc>
          <w:tcPr>
            <w:tcW w:w="1035" w:type="dxa"/>
          </w:tcPr>
          <w:p w14:paraId="050EF067">
            <w:pPr>
              <w:pStyle w:val="17"/>
              <w:spacing w:before="18"/>
              <w:ind w:left="201"/>
              <w:jc w:val="left"/>
              <w:rPr>
                <w:sz w:val="21"/>
              </w:rPr>
            </w:pPr>
            <w:r>
              <w:rPr>
                <w:sz w:val="21"/>
              </w:rPr>
              <w:t>日均值</w:t>
            </w:r>
          </w:p>
        </w:tc>
        <w:tc>
          <w:tcPr>
            <w:tcW w:w="1259" w:type="dxa"/>
          </w:tcPr>
          <w:p w14:paraId="0F5CE903">
            <w:pPr>
              <w:pStyle w:val="17"/>
              <w:spacing w:before="35"/>
              <w:ind w:left="188" w:right="180"/>
              <w:rPr>
                <w:rFonts w:ascii="Times New Roman"/>
                <w:sz w:val="21"/>
              </w:rPr>
            </w:pPr>
            <w:r>
              <w:rPr>
                <w:rFonts w:ascii="Times New Roman"/>
                <w:sz w:val="21"/>
              </w:rPr>
              <w:t>2.39E-05</w:t>
            </w:r>
          </w:p>
        </w:tc>
        <w:tc>
          <w:tcPr>
            <w:tcW w:w="1317" w:type="dxa"/>
          </w:tcPr>
          <w:p w14:paraId="4A15A436">
            <w:pPr>
              <w:pStyle w:val="17"/>
              <w:spacing w:before="35"/>
              <w:ind w:left="108" w:right="98"/>
              <w:rPr>
                <w:rFonts w:ascii="Times New Roman"/>
                <w:sz w:val="21"/>
              </w:rPr>
            </w:pPr>
            <w:r>
              <w:rPr>
                <w:rFonts w:ascii="Times New Roman"/>
                <w:sz w:val="21"/>
              </w:rPr>
              <w:t>231013</w:t>
            </w:r>
          </w:p>
        </w:tc>
        <w:tc>
          <w:tcPr>
            <w:tcW w:w="1230" w:type="dxa"/>
          </w:tcPr>
          <w:p w14:paraId="5D50D71D">
            <w:pPr>
              <w:pStyle w:val="17"/>
              <w:spacing w:before="35"/>
              <w:ind w:left="226"/>
              <w:jc w:val="left"/>
              <w:rPr>
                <w:rFonts w:ascii="Times New Roman"/>
                <w:sz w:val="21"/>
              </w:rPr>
            </w:pPr>
            <w:r>
              <w:rPr>
                <w:rFonts w:ascii="Times New Roman"/>
                <w:sz w:val="21"/>
              </w:rPr>
              <w:t>9.60E-02</w:t>
            </w:r>
          </w:p>
        </w:tc>
        <w:tc>
          <w:tcPr>
            <w:tcW w:w="1725" w:type="dxa"/>
          </w:tcPr>
          <w:p w14:paraId="3048DF82">
            <w:pPr>
              <w:pStyle w:val="17"/>
              <w:spacing w:before="35"/>
              <w:ind w:left="417" w:right="413"/>
              <w:rPr>
                <w:rFonts w:ascii="Times New Roman"/>
                <w:sz w:val="21"/>
              </w:rPr>
            </w:pPr>
            <w:r>
              <w:rPr>
                <w:rFonts w:ascii="Times New Roman"/>
                <w:sz w:val="21"/>
              </w:rPr>
              <w:t>9.60E-02</w:t>
            </w:r>
          </w:p>
        </w:tc>
        <w:tc>
          <w:tcPr>
            <w:tcW w:w="1230" w:type="dxa"/>
          </w:tcPr>
          <w:p w14:paraId="6E43C188">
            <w:pPr>
              <w:pStyle w:val="17"/>
              <w:spacing w:before="35"/>
              <w:ind w:left="172" w:right="166"/>
              <w:rPr>
                <w:rFonts w:ascii="Times New Roman"/>
                <w:sz w:val="21"/>
              </w:rPr>
            </w:pPr>
            <w:r>
              <w:rPr>
                <w:rFonts w:ascii="Times New Roman"/>
                <w:sz w:val="21"/>
              </w:rPr>
              <w:t>1.50E-01</w:t>
            </w:r>
          </w:p>
        </w:tc>
        <w:tc>
          <w:tcPr>
            <w:tcW w:w="1517" w:type="dxa"/>
          </w:tcPr>
          <w:p w14:paraId="3759767D">
            <w:pPr>
              <w:pStyle w:val="17"/>
              <w:spacing w:before="35"/>
              <w:ind w:left="501" w:right="492"/>
              <w:rPr>
                <w:rFonts w:ascii="Times New Roman"/>
                <w:sz w:val="21"/>
              </w:rPr>
            </w:pPr>
            <w:r>
              <w:rPr>
                <w:rFonts w:ascii="Times New Roman"/>
                <w:sz w:val="21"/>
              </w:rPr>
              <w:t>64.02</w:t>
            </w:r>
          </w:p>
        </w:tc>
        <w:tc>
          <w:tcPr>
            <w:tcW w:w="712" w:type="dxa"/>
            <w:tcBorders>
              <w:right w:val="nil"/>
            </w:tcBorders>
          </w:tcPr>
          <w:p w14:paraId="22BA3D72">
            <w:pPr>
              <w:pStyle w:val="17"/>
              <w:spacing w:before="18"/>
              <w:ind w:left="122" w:right="121"/>
              <w:rPr>
                <w:sz w:val="21"/>
              </w:rPr>
            </w:pPr>
            <w:r>
              <w:rPr>
                <w:sz w:val="21"/>
              </w:rPr>
              <w:t>达标</w:t>
            </w:r>
          </w:p>
        </w:tc>
      </w:tr>
      <w:tr w14:paraId="33EDE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2DEA86A1">
            <w:pPr>
              <w:pStyle w:val="17"/>
              <w:jc w:val="left"/>
              <w:rPr>
                <w:rFonts w:ascii="Times New Roman"/>
                <w:sz w:val="20"/>
              </w:rPr>
            </w:pPr>
          </w:p>
        </w:tc>
        <w:tc>
          <w:tcPr>
            <w:tcW w:w="1265" w:type="dxa"/>
          </w:tcPr>
          <w:p w14:paraId="5269309B">
            <w:pPr>
              <w:pStyle w:val="17"/>
              <w:jc w:val="left"/>
              <w:rPr>
                <w:rFonts w:ascii="Times New Roman"/>
                <w:sz w:val="20"/>
              </w:rPr>
            </w:pPr>
          </w:p>
        </w:tc>
        <w:tc>
          <w:tcPr>
            <w:tcW w:w="771" w:type="dxa"/>
          </w:tcPr>
          <w:p w14:paraId="6EA2054D">
            <w:pPr>
              <w:pStyle w:val="17"/>
              <w:jc w:val="left"/>
              <w:rPr>
                <w:rFonts w:ascii="Times New Roman"/>
                <w:sz w:val="20"/>
              </w:rPr>
            </w:pPr>
          </w:p>
        </w:tc>
        <w:tc>
          <w:tcPr>
            <w:tcW w:w="772" w:type="dxa"/>
          </w:tcPr>
          <w:p w14:paraId="27118A9E">
            <w:pPr>
              <w:pStyle w:val="17"/>
              <w:jc w:val="left"/>
              <w:rPr>
                <w:rFonts w:ascii="Times New Roman"/>
                <w:sz w:val="20"/>
              </w:rPr>
            </w:pPr>
          </w:p>
        </w:tc>
        <w:tc>
          <w:tcPr>
            <w:tcW w:w="921" w:type="dxa"/>
          </w:tcPr>
          <w:p w14:paraId="01CE3552">
            <w:pPr>
              <w:pStyle w:val="17"/>
              <w:jc w:val="left"/>
              <w:rPr>
                <w:rFonts w:ascii="Times New Roman"/>
                <w:sz w:val="20"/>
              </w:rPr>
            </w:pPr>
          </w:p>
        </w:tc>
        <w:tc>
          <w:tcPr>
            <w:tcW w:w="1035" w:type="dxa"/>
          </w:tcPr>
          <w:p w14:paraId="69975FFB">
            <w:pPr>
              <w:pStyle w:val="17"/>
              <w:spacing w:before="18"/>
              <w:ind w:left="201"/>
              <w:jc w:val="left"/>
              <w:rPr>
                <w:sz w:val="21"/>
              </w:rPr>
            </w:pPr>
            <w:r>
              <w:rPr>
                <w:sz w:val="21"/>
              </w:rPr>
              <w:t>年均值</w:t>
            </w:r>
          </w:p>
        </w:tc>
        <w:tc>
          <w:tcPr>
            <w:tcW w:w="1259" w:type="dxa"/>
          </w:tcPr>
          <w:p w14:paraId="3685C40B">
            <w:pPr>
              <w:pStyle w:val="17"/>
              <w:spacing w:before="34"/>
              <w:ind w:left="188" w:right="180"/>
              <w:rPr>
                <w:rFonts w:ascii="Times New Roman"/>
                <w:sz w:val="21"/>
              </w:rPr>
            </w:pPr>
            <w:r>
              <w:rPr>
                <w:rFonts w:ascii="Times New Roman"/>
                <w:sz w:val="21"/>
              </w:rPr>
              <w:t>3.34E-06</w:t>
            </w:r>
          </w:p>
        </w:tc>
        <w:tc>
          <w:tcPr>
            <w:tcW w:w="1317" w:type="dxa"/>
          </w:tcPr>
          <w:p w14:paraId="6632FC97">
            <w:pPr>
              <w:pStyle w:val="17"/>
              <w:spacing w:before="18"/>
              <w:ind w:left="107" w:right="98"/>
              <w:rPr>
                <w:sz w:val="21"/>
              </w:rPr>
            </w:pPr>
            <w:r>
              <w:rPr>
                <w:sz w:val="21"/>
              </w:rPr>
              <w:t>平均值</w:t>
            </w:r>
          </w:p>
        </w:tc>
        <w:tc>
          <w:tcPr>
            <w:tcW w:w="1230" w:type="dxa"/>
          </w:tcPr>
          <w:p w14:paraId="62A5A14A">
            <w:pPr>
              <w:pStyle w:val="17"/>
              <w:spacing w:before="34"/>
              <w:ind w:left="226"/>
              <w:jc w:val="left"/>
              <w:rPr>
                <w:rFonts w:ascii="Times New Roman"/>
                <w:sz w:val="21"/>
              </w:rPr>
            </w:pPr>
            <w:r>
              <w:rPr>
                <w:rFonts w:ascii="Times New Roman"/>
                <w:sz w:val="21"/>
              </w:rPr>
              <w:t>1.62E-02</w:t>
            </w:r>
          </w:p>
        </w:tc>
        <w:tc>
          <w:tcPr>
            <w:tcW w:w="1725" w:type="dxa"/>
          </w:tcPr>
          <w:p w14:paraId="5713718C">
            <w:pPr>
              <w:pStyle w:val="17"/>
              <w:spacing w:before="34"/>
              <w:ind w:left="417" w:right="413"/>
              <w:rPr>
                <w:rFonts w:ascii="Times New Roman"/>
                <w:sz w:val="21"/>
              </w:rPr>
            </w:pPr>
            <w:r>
              <w:rPr>
                <w:rFonts w:ascii="Times New Roman"/>
                <w:sz w:val="21"/>
              </w:rPr>
              <w:t>1.62E-02</w:t>
            </w:r>
          </w:p>
        </w:tc>
        <w:tc>
          <w:tcPr>
            <w:tcW w:w="1230" w:type="dxa"/>
          </w:tcPr>
          <w:p w14:paraId="4D961BC7">
            <w:pPr>
              <w:pStyle w:val="17"/>
              <w:spacing w:before="34"/>
              <w:ind w:left="172" w:right="166"/>
              <w:rPr>
                <w:rFonts w:ascii="Times New Roman"/>
                <w:sz w:val="21"/>
              </w:rPr>
            </w:pPr>
            <w:r>
              <w:rPr>
                <w:rFonts w:ascii="Times New Roman"/>
                <w:sz w:val="21"/>
              </w:rPr>
              <w:t>7.00E-02</w:t>
            </w:r>
          </w:p>
        </w:tc>
        <w:tc>
          <w:tcPr>
            <w:tcW w:w="1517" w:type="dxa"/>
          </w:tcPr>
          <w:p w14:paraId="5353C792">
            <w:pPr>
              <w:pStyle w:val="17"/>
              <w:spacing w:before="34"/>
              <w:ind w:left="501" w:right="492"/>
              <w:rPr>
                <w:rFonts w:ascii="Times New Roman"/>
                <w:sz w:val="21"/>
              </w:rPr>
            </w:pPr>
            <w:r>
              <w:rPr>
                <w:rFonts w:ascii="Times New Roman"/>
                <w:sz w:val="21"/>
              </w:rPr>
              <w:t>23.15</w:t>
            </w:r>
          </w:p>
        </w:tc>
        <w:tc>
          <w:tcPr>
            <w:tcW w:w="712" w:type="dxa"/>
            <w:tcBorders>
              <w:right w:val="nil"/>
            </w:tcBorders>
          </w:tcPr>
          <w:p w14:paraId="091731C7">
            <w:pPr>
              <w:pStyle w:val="17"/>
              <w:spacing w:before="18"/>
              <w:ind w:left="122" w:right="121"/>
              <w:rPr>
                <w:sz w:val="21"/>
              </w:rPr>
            </w:pPr>
            <w:r>
              <w:rPr>
                <w:sz w:val="21"/>
              </w:rPr>
              <w:t>达标</w:t>
            </w:r>
          </w:p>
        </w:tc>
      </w:tr>
    </w:tbl>
    <w:p w14:paraId="2C38C136">
      <w:pPr>
        <w:spacing w:after="0"/>
        <w:rPr>
          <w:sz w:val="21"/>
        </w:rPr>
        <w:sectPr>
          <w:pgSz w:w="16840" w:h="11910" w:orient="landscape"/>
          <w:pgMar w:top="1100" w:right="1080" w:bottom="1380" w:left="1200" w:header="0" w:footer="1192" w:gutter="0"/>
          <w:cols w:space="720" w:num="1"/>
        </w:sectPr>
      </w:pPr>
    </w:p>
    <w:p w14:paraId="659999C1">
      <w:pPr>
        <w:pStyle w:val="10"/>
        <w:spacing w:before="11"/>
        <w:rPr>
          <w:b/>
          <w:sz w:val="27"/>
        </w:rPr>
      </w:pP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6EBBC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4" w:type="dxa"/>
            <w:tcBorders>
              <w:left w:val="nil"/>
            </w:tcBorders>
          </w:tcPr>
          <w:p w14:paraId="5C4BA604">
            <w:pPr>
              <w:pStyle w:val="17"/>
              <w:spacing w:before="192"/>
              <w:ind w:right="169"/>
              <w:jc w:val="right"/>
              <w:rPr>
                <w:rFonts w:ascii="Times New Roman"/>
                <w:sz w:val="21"/>
              </w:rPr>
            </w:pPr>
            <w:r>
              <w:rPr>
                <w:rFonts w:ascii="Times New Roman"/>
                <w:w w:val="99"/>
                <w:sz w:val="21"/>
              </w:rPr>
              <w:t>8</w:t>
            </w:r>
          </w:p>
        </w:tc>
        <w:tc>
          <w:tcPr>
            <w:tcW w:w="1265" w:type="dxa"/>
          </w:tcPr>
          <w:p w14:paraId="0D94DB9E">
            <w:pPr>
              <w:pStyle w:val="17"/>
              <w:spacing w:before="22"/>
              <w:ind w:left="189" w:right="186"/>
              <w:rPr>
                <w:sz w:val="21"/>
              </w:rPr>
            </w:pPr>
            <w:r>
              <w:rPr>
                <w:sz w:val="21"/>
              </w:rPr>
              <w:t>新市中心</w:t>
            </w:r>
          </w:p>
          <w:p w14:paraId="6773E4E4">
            <w:pPr>
              <w:pStyle w:val="17"/>
              <w:spacing w:before="43"/>
              <w:ind w:left="189" w:right="183"/>
              <w:rPr>
                <w:sz w:val="21"/>
              </w:rPr>
            </w:pPr>
            <w:r>
              <w:rPr>
                <w:sz w:val="21"/>
              </w:rPr>
              <w:t>小学</w:t>
            </w:r>
          </w:p>
        </w:tc>
        <w:tc>
          <w:tcPr>
            <w:tcW w:w="771" w:type="dxa"/>
          </w:tcPr>
          <w:p w14:paraId="5EC78D5B">
            <w:pPr>
              <w:pStyle w:val="17"/>
              <w:spacing w:before="192"/>
              <w:ind w:left="120" w:right="111"/>
              <w:rPr>
                <w:rFonts w:ascii="Times New Roman"/>
                <w:sz w:val="21"/>
              </w:rPr>
            </w:pPr>
            <w:r>
              <w:rPr>
                <w:rFonts w:ascii="Times New Roman"/>
                <w:sz w:val="21"/>
              </w:rPr>
              <w:t>-1878</w:t>
            </w:r>
          </w:p>
        </w:tc>
        <w:tc>
          <w:tcPr>
            <w:tcW w:w="772" w:type="dxa"/>
          </w:tcPr>
          <w:p w14:paraId="548DD0C3">
            <w:pPr>
              <w:pStyle w:val="17"/>
              <w:spacing w:before="192"/>
              <w:ind w:left="156" w:right="145"/>
              <w:rPr>
                <w:rFonts w:ascii="Times New Roman"/>
                <w:sz w:val="21"/>
              </w:rPr>
            </w:pPr>
            <w:r>
              <w:rPr>
                <w:rFonts w:ascii="Times New Roman"/>
                <w:sz w:val="21"/>
              </w:rPr>
              <w:t>1595</w:t>
            </w:r>
          </w:p>
        </w:tc>
        <w:tc>
          <w:tcPr>
            <w:tcW w:w="921" w:type="dxa"/>
          </w:tcPr>
          <w:p w14:paraId="741019A6">
            <w:pPr>
              <w:pStyle w:val="17"/>
              <w:spacing w:before="192"/>
              <w:ind w:left="203" w:right="195"/>
              <w:rPr>
                <w:rFonts w:ascii="Times New Roman"/>
                <w:sz w:val="21"/>
              </w:rPr>
            </w:pPr>
            <w:r>
              <w:rPr>
                <w:rFonts w:ascii="Times New Roman"/>
                <w:sz w:val="21"/>
              </w:rPr>
              <w:t>54.65</w:t>
            </w:r>
          </w:p>
        </w:tc>
        <w:tc>
          <w:tcPr>
            <w:tcW w:w="1035" w:type="dxa"/>
          </w:tcPr>
          <w:p w14:paraId="0E33111E">
            <w:pPr>
              <w:pStyle w:val="17"/>
              <w:spacing w:before="176"/>
              <w:ind w:left="201"/>
              <w:jc w:val="left"/>
              <w:rPr>
                <w:sz w:val="21"/>
              </w:rPr>
            </w:pPr>
            <w:r>
              <w:rPr>
                <w:sz w:val="21"/>
              </w:rPr>
              <w:t>小时值</w:t>
            </w:r>
          </w:p>
        </w:tc>
        <w:tc>
          <w:tcPr>
            <w:tcW w:w="1259" w:type="dxa"/>
          </w:tcPr>
          <w:p w14:paraId="216974E4">
            <w:pPr>
              <w:pStyle w:val="17"/>
              <w:spacing w:before="192"/>
              <w:ind w:left="188" w:right="180"/>
              <w:rPr>
                <w:rFonts w:ascii="Times New Roman"/>
                <w:sz w:val="21"/>
              </w:rPr>
            </w:pPr>
            <w:r>
              <w:rPr>
                <w:rFonts w:ascii="Times New Roman"/>
                <w:sz w:val="21"/>
              </w:rPr>
              <w:t>1.50E-04</w:t>
            </w:r>
          </w:p>
        </w:tc>
        <w:tc>
          <w:tcPr>
            <w:tcW w:w="1317" w:type="dxa"/>
          </w:tcPr>
          <w:p w14:paraId="54DAFF18">
            <w:pPr>
              <w:pStyle w:val="17"/>
              <w:spacing w:before="192"/>
              <w:ind w:left="108" w:right="98"/>
              <w:rPr>
                <w:rFonts w:ascii="Times New Roman"/>
                <w:sz w:val="21"/>
              </w:rPr>
            </w:pPr>
            <w:r>
              <w:rPr>
                <w:rFonts w:ascii="Times New Roman"/>
                <w:sz w:val="21"/>
              </w:rPr>
              <w:t>23033108</w:t>
            </w:r>
          </w:p>
        </w:tc>
        <w:tc>
          <w:tcPr>
            <w:tcW w:w="1230" w:type="dxa"/>
          </w:tcPr>
          <w:p w14:paraId="3A3C3622">
            <w:pPr>
              <w:pStyle w:val="17"/>
              <w:spacing w:before="192"/>
              <w:ind w:left="202"/>
              <w:jc w:val="left"/>
              <w:rPr>
                <w:rFonts w:ascii="Times New Roman"/>
                <w:sz w:val="21"/>
              </w:rPr>
            </w:pPr>
            <w:r>
              <w:rPr>
                <w:rFonts w:ascii="Times New Roman"/>
                <w:sz w:val="21"/>
              </w:rPr>
              <w:t>0.00E+00</w:t>
            </w:r>
          </w:p>
        </w:tc>
        <w:tc>
          <w:tcPr>
            <w:tcW w:w="1725" w:type="dxa"/>
          </w:tcPr>
          <w:p w14:paraId="413D36EF">
            <w:pPr>
              <w:pStyle w:val="17"/>
              <w:spacing w:before="192"/>
              <w:ind w:left="417" w:right="413"/>
              <w:rPr>
                <w:rFonts w:ascii="Times New Roman"/>
                <w:sz w:val="21"/>
              </w:rPr>
            </w:pPr>
            <w:r>
              <w:rPr>
                <w:rFonts w:ascii="Times New Roman"/>
                <w:sz w:val="21"/>
              </w:rPr>
              <w:t>1.50E-04</w:t>
            </w:r>
          </w:p>
        </w:tc>
        <w:tc>
          <w:tcPr>
            <w:tcW w:w="1230" w:type="dxa"/>
          </w:tcPr>
          <w:p w14:paraId="045379C8">
            <w:pPr>
              <w:pStyle w:val="17"/>
              <w:spacing w:before="192"/>
              <w:ind w:left="172" w:right="166"/>
              <w:rPr>
                <w:rFonts w:ascii="Times New Roman"/>
                <w:sz w:val="21"/>
              </w:rPr>
            </w:pPr>
            <w:r>
              <w:rPr>
                <w:rFonts w:ascii="Times New Roman"/>
                <w:sz w:val="21"/>
              </w:rPr>
              <w:t>4.50E-01</w:t>
            </w:r>
          </w:p>
        </w:tc>
        <w:tc>
          <w:tcPr>
            <w:tcW w:w="1517" w:type="dxa"/>
          </w:tcPr>
          <w:p w14:paraId="4D838203">
            <w:pPr>
              <w:pStyle w:val="17"/>
              <w:spacing w:before="192"/>
              <w:ind w:left="499" w:right="492"/>
              <w:rPr>
                <w:rFonts w:ascii="Times New Roman"/>
                <w:sz w:val="21"/>
              </w:rPr>
            </w:pPr>
            <w:r>
              <w:rPr>
                <w:rFonts w:ascii="Times New Roman"/>
                <w:sz w:val="21"/>
              </w:rPr>
              <w:t>0.03</w:t>
            </w:r>
          </w:p>
        </w:tc>
        <w:tc>
          <w:tcPr>
            <w:tcW w:w="712" w:type="dxa"/>
            <w:tcBorders>
              <w:right w:val="nil"/>
            </w:tcBorders>
          </w:tcPr>
          <w:p w14:paraId="71DB26BD">
            <w:pPr>
              <w:pStyle w:val="17"/>
              <w:spacing w:before="176"/>
              <w:ind w:left="122" w:right="121"/>
              <w:rPr>
                <w:sz w:val="21"/>
              </w:rPr>
            </w:pPr>
            <w:r>
              <w:rPr>
                <w:sz w:val="21"/>
              </w:rPr>
              <w:t>达标</w:t>
            </w:r>
          </w:p>
        </w:tc>
      </w:tr>
      <w:tr w14:paraId="0F20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974C2DF">
            <w:pPr>
              <w:pStyle w:val="17"/>
              <w:jc w:val="left"/>
              <w:rPr>
                <w:rFonts w:ascii="Times New Roman"/>
                <w:sz w:val="20"/>
              </w:rPr>
            </w:pPr>
          </w:p>
        </w:tc>
        <w:tc>
          <w:tcPr>
            <w:tcW w:w="1265" w:type="dxa"/>
          </w:tcPr>
          <w:p w14:paraId="05CC44FF">
            <w:pPr>
              <w:pStyle w:val="17"/>
              <w:jc w:val="left"/>
              <w:rPr>
                <w:rFonts w:ascii="Times New Roman"/>
                <w:sz w:val="20"/>
              </w:rPr>
            </w:pPr>
          </w:p>
        </w:tc>
        <w:tc>
          <w:tcPr>
            <w:tcW w:w="771" w:type="dxa"/>
          </w:tcPr>
          <w:p w14:paraId="5ADBB117">
            <w:pPr>
              <w:pStyle w:val="17"/>
              <w:jc w:val="left"/>
              <w:rPr>
                <w:rFonts w:ascii="Times New Roman"/>
                <w:sz w:val="20"/>
              </w:rPr>
            </w:pPr>
          </w:p>
        </w:tc>
        <w:tc>
          <w:tcPr>
            <w:tcW w:w="772" w:type="dxa"/>
          </w:tcPr>
          <w:p w14:paraId="601DD49C">
            <w:pPr>
              <w:pStyle w:val="17"/>
              <w:jc w:val="left"/>
              <w:rPr>
                <w:rFonts w:ascii="Times New Roman"/>
                <w:sz w:val="20"/>
              </w:rPr>
            </w:pPr>
          </w:p>
        </w:tc>
        <w:tc>
          <w:tcPr>
            <w:tcW w:w="921" w:type="dxa"/>
          </w:tcPr>
          <w:p w14:paraId="5BBEAF6F">
            <w:pPr>
              <w:pStyle w:val="17"/>
              <w:jc w:val="left"/>
              <w:rPr>
                <w:rFonts w:ascii="Times New Roman"/>
                <w:sz w:val="20"/>
              </w:rPr>
            </w:pPr>
          </w:p>
        </w:tc>
        <w:tc>
          <w:tcPr>
            <w:tcW w:w="1035" w:type="dxa"/>
          </w:tcPr>
          <w:p w14:paraId="0A193891">
            <w:pPr>
              <w:pStyle w:val="17"/>
              <w:spacing w:before="19"/>
              <w:ind w:left="201"/>
              <w:jc w:val="left"/>
              <w:rPr>
                <w:sz w:val="21"/>
              </w:rPr>
            </w:pPr>
            <w:r>
              <w:rPr>
                <w:sz w:val="21"/>
              </w:rPr>
              <w:t>日均值</w:t>
            </w:r>
          </w:p>
        </w:tc>
        <w:tc>
          <w:tcPr>
            <w:tcW w:w="1259" w:type="dxa"/>
          </w:tcPr>
          <w:p w14:paraId="7F06199F">
            <w:pPr>
              <w:pStyle w:val="17"/>
              <w:spacing w:before="35"/>
              <w:ind w:left="188" w:right="180"/>
              <w:rPr>
                <w:rFonts w:ascii="Times New Roman"/>
                <w:sz w:val="21"/>
              </w:rPr>
            </w:pPr>
            <w:r>
              <w:rPr>
                <w:rFonts w:ascii="Times New Roman"/>
                <w:sz w:val="21"/>
              </w:rPr>
              <w:t>1.88E-05</w:t>
            </w:r>
          </w:p>
        </w:tc>
        <w:tc>
          <w:tcPr>
            <w:tcW w:w="1317" w:type="dxa"/>
          </w:tcPr>
          <w:p w14:paraId="75895D3D">
            <w:pPr>
              <w:pStyle w:val="17"/>
              <w:spacing w:before="35"/>
              <w:ind w:left="108" w:right="98"/>
              <w:rPr>
                <w:rFonts w:ascii="Times New Roman"/>
                <w:sz w:val="21"/>
              </w:rPr>
            </w:pPr>
            <w:r>
              <w:rPr>
                <w:rFonts w:ascii="Times New Roman"/>
                <w:sz w:val="21"/>
              </w:rPr>
              <w:t>230725</w:t>
            </w:r>
          </w:p>
        </w:tc>
        <w:tc>
          <w:tcPr>
            <w:tcW w:w="1230" w:type="dxa"/>
          </w:tcPr>
          <w:p w14:paraId="04A234A7">
            <w:pPr>
              <w:pStyle w:val="17"/>
              <w:spacing w:before="35"/>
              <w:ind w:left="226"/>
              <w:jc w:val="left"/>
              <w:rPr>
                <w:rFonts w:ascii="Times New Roman"/>
                <w:sz w:val="21"/>
              </w:rPr>
            </w:pPr>
            <w:r>
              <w:rPr>
                <w:rFonts w:ascii="Times New Roman"/>
                <w:sz w:val="21"/>
              </w:rPr>
              <w:t>9.60E-02</w:t>
            </w:r>
          </w:p>
        </w:tc>
        <w:tc>
          <w:tcPr>
            <w:tcW w:w="1725" w:type="dxa"/>
          </w:tcPr>
          <w:p w14:paraId="0CDE2EF0">
            <w:pPr>
              <w:pStyle w:val="17"/>
              <w:spacing w:before="35"/>
              <w:ind w:left="417" w:right="413"/>
              <w:rPr>
                <w:rFonts w:ascii="Times New Roman"/>
                <w:sz w:val="21"/>
              </w:rPr>
            </w:pPr>
            <w:r>
              <w:rPr>
                <w:rFonts w:ascii="Times New Roman"/>
                <w:sz w:val="21"/>
              </w:rPr>
              <w:t>9.60E-02</w:t>
            </w:r>
          </w:p>
        </w:tc>
        <w:tc>
          <w:tcPr>
            <w:tcW w:w="1230" w:type="dxa"/>
          </w:tcPr>
          <w:p w14:paraId="0A45976D">
            <w:pPr>
              <w:pStyle w:val="17"/>
              <w:spacing w:before="35"/>
              <w:ind w:left="172" w:right="166"/>
              <w:rPr>
                <w:rFonts w:ascii="Times New Roman"/>
                <w:sz w:val="21"/>
              </w:rPr>
            </w:pPr>
            <w:r>
              <w:rPr>
                <w:rFonts w:ascii="Times New Roman"/>
                <w:sz w:val="21"/>
              </w:rPr>
              <w:t>1.50E-01</w:t>
            </w:r>
          </w:p>
        </w:tc>
        <w:tc>
          <w:tcPr>
            <w:tcW w:w="1517" w:type="dxa"/>
          </w:tcPr>
          <w:p w14:paraId="2BDB6E5C">
            <w:pPr>
              <w:pStyle w:val="17"/>
              <w:spacing w:before="35"/>
              <w:ind w:left="501" w:right="492"/>
              <w:rPr>
                <w:rFonts w:ascii="Times New Roman"/>
                <w:sz w:val="21"/>
              </w:rPr>
            </w:pPr>
            <w:r>
              <w:rPr>
                <w:rFonts w:ascii="Times New Roman"/>
                <w:sz w:val="21"/>
              </w:rPr>
              <w:t>64.01</w:t>
            </w:r>
          </w:p>
        </w:tc>
        <w:tc>
          <w:tcPr>
            <w:tcW w:w="712" w:type="dxa"/>
            <w:tcBorders>
              <w:right w:val="nil"/>
            </w:tcBorders>
          </w:tcPr>
          <w:p w14:paraId="3B5832DC">
            <w:pPr>
              <w:pStyle w:val="17"/>
              <w:spacing w:before="19"/>
              <w:ind w:left="122" w:right="121"/>
              <w:rPr>
                <w:sz w:val="21"/>
              </w:rPr>
            </w:pPr>
            <w:r>
              <w:rPr>
                <w:sz w:val="21"/>
              </w:rPr>
              <w:t>达标</w:t>
            </w:r>
          </w:p>
        </w:tc>
      </w:tr>
      <w:tr w14:paraId="44513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7E73226">
            <w:pPr>
              <w:pStyle w:val="17"/>
              <w:jc w:val="left"/>
              <w:rPr>
                <w:rFonts w:ascii="Times New Roman"/>
                <w:sz w:val="20"/>
              </w:rPr>
            </w:pPr>
          </w:p>
        </w:tc>
        <w:tc>
          <w:tcPr>
            <w:tcW w:w="1265" w:type="dxa"/>
          </w:tcPr>
          <w:p w14:paraId="6E5C2214">
            <w:pPr>
              <w:pStyle w:val="17"/>
              <w:jc w:val="left"/>
              <w:rPr>
                <w:rFonts w:ascii="Times New Roman"/>
                <w:sz w:val="20"/>
              </w:rPr>
            </w:pPr>
          </w:p>
        </w:tc>
        <w:tc>
          <w:tcPr>
            <w:tcW w:w="771" w:type="dxa"/>
          </w:tcPr>
          <w:p w14:paraId="2B7A692D">
            <w:pPr>
              <w:pStyle w:val="17"/>
              <w:jc w:val="left"/>
              <w:rPr>
                <w:rFonts w:ascii="Times New Roman"/>
                <w:sz w:val="20"/>
              </w:rPr>
            </w:pPr>
          </w:p>
        </w:tc>
        <w:tc>
          <w:tcPr>
            <w:tcW w:w="772" w:type="dxa"/>
          </w:tcPr>
          <w:p w14:paraId="4E79E03D">
            <w:pPr>
              <w:pStyle w:val="17"/>
              <w:jc w:val="left"/>
              <w:rPr>
                <w:rFonts w:ascii="Times New Roman"/>
                <w:sz w:val="20"/>
              </w:rPr>
            </w:pPr>
          </w:p>
        </w:tc>
        <w:tc>
          <w:tcPr>
            <w:tcW w:w="921" w:type="dxa"/>
          </w:tcPr>
          <w:p w14:paraId="5DB2B50C">
            <w:pPr>
              <w:pStyle w:val="17"/>
              <w:jc w:val="left"/>
              <w:rPr>
                <w:rFonts w:ascii="Times New Roman"/>
                <w:sz w:val="20"/>
              </w:rPr>
            </w:pPr>
          </w:p>
        </w:tc>
        <w:tc>
          <w:tcPr>
            <w:tcW w:w="1035" w:type="dxa"/>
          </w:tcPr>
          <w:p w14:paraId="0CC99495">
            <w:pPr>
              <w:pStyle w:val="17"/>
              <w:spacing w:before="19"/>
              <w:ind w:left="201"/>
              <w:jc w:val="left"/>
              <w:rPr>
                <w:sz w:val="21"/>
              </w:rPr>
            </w:pPr>
            <w:r>
              <w:rPr>
                <w:sz w:val="21"/>
              </w:rPr>
              <w:t>年均值</w:t>
            </w:r>
          </w:p>
        </w:tc>
        <w:tc>
          <w:tcPr>
            <w:tcW w:w="1259" w:type="dxa"/>
          </w:tcPr>
          <w:p w14:paraId="190F5A8D">
            <w:pPr>
              <w:pStyle w:val="17"/>
              <w:spacing w:before="35"/>
              <w:ind w:left="188" w:right="180"/>
              <w:rPr>
                <w:rFonts w:ascii="Times New Roman"/>
                <w:sz w:val="21"/>
              </w:rPr>
            </w:pPr>
            <w:r>
              <w:rPr>
                <w:rFonts w:ascii="Times New Roman"/>
                <w:sz w:val="21"/>
              </w:rPr>
              <w:t>2.80E-06</w:t>
            </w:r>
          </w:p>
        </w:tc>
        <w:tc>
          <w:tcPr>
            <w:tcW w:w="1317" w:type="dxa"/>
          </w:tcPr>
          <w:p w14:paraId="5510D176">
            <w:pPr>
              <w:pStyle w:val="17"/>
              <w:spacing w:before="19"/>
              <w:ind w:left="107" w:right="98"/>
              <w:rPr>
                <w:sz w:val="21"/>
              </w:rPr>
            </w:pPr>
            <w:r>
              <w:rPr>
                <w:sz w:val="21"/>
              </w:rPr>
              <w:t>平均值</w:t>
            </w:r>
          </w:p>
        </w:tc>
        <w:tc>
          <w:tcPr>
            <w:tcW w:w="1230" w:type="dxa"/>
          </w:tcPr>
          <w:p w14:paraId="28BDE4B8">
            <w:pPr>
              <w:pStyle w:val="17"/>
              <w:spacing w:before="35"/>
              <w:ind w:left="226"/>
              <w:jc w:val="left"/>
              <w:rPr>
                <w:rFonts w:ascii="Times New Roman"/>
                <w:sz w:val="21"/>
              </w:rPr>
            </w:pPr>
            <w:r>
              <w:rPr>
                <w:rFonts w:ascii="Times New Roman"/>
                <w:sz w:val="21"/>
              </w:rPr>
              <w:t>1.62E-02</w:t>
            </w:r>
          </w:p>
        </w:tc>
        <w:tc>
          <w:tcPr>
            <w:tcW w:w="1725" w:type="dxa"/>
          </w:tcPr>
          <w:p w14:paraId="7349FD77">
            <w:pPr>
              <w:pStyle w:val="17"/>
              <w:spacing w:before="35"/>
              <w:ind w:left="417" w:right="413"/>
              <w:rPr>
                <w:rFonts w:ascii="Times New Roman"/>
                <w:sz w:val="21"/>
              </w:rPr>
            </w:pPr>
            <w:r>
              <w:rPr>
                <w:rFonts w:ascii="Times New Roman"/>
                <w:sz w:val="21"/>
              </w:rPr>
              <w:t>1.62E-02</w:t>
            </w:r>
          </w:p>
        </w:tc>
        <w:tc>
          <w:tcPr>
            <w:tcW w:w="1230" w:type="dxa"/>
          </w:tcPr>
          <w:p w14:paraId="1F209445">
            <w:pPr>
              <w:pStyle w:val="17"/>
              <w:spacing w:before="35"/>
              <w:ind w:left="172" w:right="166"/>
              <w:rPr>
                <w:rFonts w:ascii="Times New Roman"/>
                <w:sz w:val="21"/>
              </w:rPr>
            </w:pPr>
            <w:r>
              <w:rPr>
                <w:rFonts w:ascii="Times New Roman"/>
                <w:sz w:val="21"/>
              </w:rPr>
              <w:t>7.00E-02</w:t>
            </w:r>
          </w:p>
        </w:tc>
        <w:tc>
          <w:tcPr>
            <w:tcW w:w="1517" w:type="dxa"/>
          </w:tcPr>
          <w:p w14:paraId="44CFF86E">
            <w:pPr>
              <w:pStyle w:val="17"/>
              <w:spacing w:before="35"/>
              <w:ind w:left="501" w:right="492"/>
              <w:rPr>
                <w:rFonts w:ascii="Times New Roman"/>
                <w:sz w:val="21"/>
              </w:rPr>
            </w:pPr>
            <w:r>
              <w:rPr>
                <w:rFonts w:ascii="Times New Roman"/>
                <w:sz w:val="21"/>
              </w:rPr>
              <w:t>23.15</w:t>
            </w:r>
          </w:p>
        </w:tc>
        <w:tc>
          <w:tcPr>
            <w:tcW w:w="712" w:type="dxa"/>
            <w:tcBorders>
              <w:right w:val="nil"/>
            </w:tcBorders>
          </w:tcPr>
          <w:p w14:paraId="6A25963D">
            <w:pPr>
              <w:pStyle w:val="17"/>
              <w:spacing w:before="19"/>
              <w:ind w:left="122" w:right="121"/>
              <w:rPr>
                <w:sz w:val="21"/>
              </w:rPr>
            </w:pPr>
            <w:r>
              <w:rPr>
                <w:sz w:val="21"/>
              </w:rPr>
              <w:t>达标</w:t>
            </w:r>
          </w:p>
        </w:tc>
      </w:tr>
      <w:tr w14:paraId="78D5A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464A436A">
            <w:pPr>
              <w:pStyle w:val="17"/>
              <w:spacing w:before="15" w:line="236" w:lineRule="exact"/>
              <w:ind w:right="169"/>
              <w:jc w:val="right"/>
              <w:rPr>
                <w:rFonts w:ascii="Times New Roman"/>
                <w:sz w:val="21"/>
              </w:rPr>
            </w:pPr>
            <w:r>
              <w:rPr>
                <w:rFonts w:ascii="Times New Roman"/>
                <w:w w:val="99"/>
                <w:sz w:val="21"/>
              </w:rPr>
              <w:t>9</w:t>
            </w:r>
          </w:p>
        </w:tc>
        <w:tc>
          <w:tcPr>
            <w:tcW w:w="1265" w:type="dxa"/>
          </w:tcPr>
          <w:p w14:paraId="4C3C95CD">
            <w:pPr>
              <w:pStyle w:val="17"/>
              <w:spacing w:before="1" w:line="250" w:lineRule="exact"/>
              <w:ind w:left="421"/>
              <w:jc w:val="left"/>
              <w:rPr>
                <w:sz w:val="21"/>
              </w:rPr>
            </w:pPr>
            <w:r>
              <w:rPr>
                <w:sz w:val="21"/>
              </w:rPr>
              <w:t>网格</w:t>
            </w:r>
          </w:p>
        </w:tc>
        <w:tc>
          <w:tcPr>
            <w:tcW w:w="771" w:type="dxa"/>
          </w:tcPr>
          <w:p w14:paraId="225C0FD6">
            <w:pPr>
              <w:pStyle w:val="17"/>
              <w:spacing w:before="15" w:line="236" w:lineRule="exact"/>
              <w:ind w:left="9"/>
              <w:rPr>
                <w:rFonts w:ascii="Times New Roman"/>
                <w:sz w:val="21"/>
              </w:rPr>
            </w:pPr>
            <w:r>
              <w:rPr>
                <w:rFonts w:ascii="Times New Roman"/>
                <w:w w:val="99"/>
                <w:sz w:val="21"/>
              </w:rPr>
              <w:t>0</w:t>
            </w:r>
          </w:p>
        </w:tc>
        <w:tc>
          <w:tcPr>
            <w:tcW w:w="772" w:type="dxa"/>
          </w:tcPr>
          <w:p w14:paraId="741CB3CE">
            <w:pPr>
              <w:pStyle w:val="17"/>
              <w:spacing w:before="15" w:line="236" w:lineRule="exact"/>
              <w:ind w:left="151" w:right="145"/>
              <w:rPr>
                <w:rFonts w:ascii="Times New Roman"/>
                <w:sz w:val="21"/>
              </w:rPr>
            </w:pPr>
            <w:r>
              <w:rPr>
                <w:rFonts w:ascii="Times New Roman"/>
                <w:sz w:val="21"/>
              </w:rPr>
              <w:t>100</w:t>
            </w:r>
          </w:p>
        </w:tc>
        <w:tc>
          <w:tcPr>
            <w:tcW w:w="921" w:type="dxa"/>
          </w:tcPr>
          <w:p w14:paraId="29DE0F25">
            <w:pPr>
              <w:pStyle w:val="17"/>
              <w:spacing w:before="15" w:line="236" w:lineRule="exact"/>
              <w:ind w:left="203" w:right="195"/>
              <w:rPr>
                <w:rFonts w:ascii="Times New Roman"/>
                <w:sz w:val="21"/>
              </w:rPr>
            </w:pPr>
            <w:r>
              <w:rPr>
                <w:rFonts w:ascii="Times New Roman"/>
                <w:sz w:val="21"/>
              </w:rPr>
              <w:t>68.90</w:t>
            </w:r>
          </w:p>
        </w:tc>
        <w:tc>
          <w:tcPr>
            <w:tcW w:w="1035" w:type="dxa"/>
          </w:tcPr>
          <w:p w14:paraId="1CC6D808">
            <w:pPr>
              <w:pStyle w:val="17"/>
              <w:spacing w:before="1" w:line="250" w:lineRule="exact"/>
              <w:ind w:left="201"/>
              <w:jc w:val="left"/>
              <w:rPr>
                <w:sz w:val="21"/>
              </w:rPr>
            </w:pPr>
            <w:r>
              <w:rPr>
                <w:sz w:val="21"/>
              </w:rPr>
              <w:t>小时值</w:t>
            </w:r>
          </w:p>
        </w:tc>
        <w:tc>
          <w:tcPr>
            <w:tcW w:w="1259" w:type="dxa"/>
          </w:tcPr>
          <w:p w14:paraId="33B2BB3D">
            <w:pPr>
              <w:pStyle w:val="17"/>
              <w:spacing w:before="15" w:line="236" w:lineRule="exact"/>
              <w:ind w:left="188" w:right="180"/>
              <w:rPr>
                <w:rFonts w:ascii="Times New Roman"/>
                <w:sz w:val="21"/>
              </w:rPr>
            </w:pPr>
            <w:r>
              <w:rPr>
                <w:rFonts w:ascii="Times New Roman"/>
                <w:sz w:val="21"/>
              </w:rPr>
              <w:t>3.38E-03</w:t>
            </w:r>
          </w:p>
        </w:tc>
        <w:tc>
          <w:tcPr>
            <w:tcW w:w="1317" w:type="dxa"/>
          </w:tcPr>
          <w:p w14:paraId="4B3BF625">
            <w:pPr>
              <w:pStyle w:val="17"/>
              <w:spacing w:before="15" w:line="236" w:lineRule="exact"/>
              <w:ind w:left="108" w:right="98"/>
              <w:rPr>
                <w:rFonts w:ascii="Times New Roman"/>
                <w:sz w:val="21"/>
              </w:rPr>
            </w:pPr>
            <w:r>
              <w:rPr>
                <w:rFonts w:ascii="Times New Roman"/>
                <w:sz w:val="21"/>
              </w:rPr>
              <w:t>23090722</w:t>
            </w:r>
          </w:p>
        </w:tc>
        <w:tc>
          <w:tcPr>
            <w:tcW w:w="1230" w:type="dxa"/>
          </w:tcPr>
          <w:p w14:paraId="63105408">
            <w:pPr>
              <w:pStyle w:val="17"/>
              <w:spacing w:before="15" w:line="236" w:lineRule="exact"/>
              <w:ind w:left="202"/>
              <w:jc w:val="left"/>
              <w:rPr>
                <w:rFonts w:ascii="Times New Roman"/>
                <w:sz w:val="21"/>
              </w:rPr>
            </w:pPr>
            <w:r>
              <w:rPr>
                <w:rFonts w:ascii="Times New Roman"/>
                <w:sz w:val="21"/>
              </w:rPr>
              <w:t>0.00E+00</w:t>
            </w:r>
          </w:p>
        </w:tc>
        <w:tc>
          <w:tcPr>
            <w:tcW w:w="1725" w:type="dxa"/>
          </w:tcPr>
          <w:p w14:paraId="78F15E31">
            <w:pPr>
              <w:pStyle w:val="17"/>
              <w:spacing w:before="15" w:line="236" w:lineRule="exact"/>
              <w:ind w:left="417" w:right="413"/>
              <w:rPr>
                <w:rFonts w:ascii="Times New Roman"/>
                <w:sz w:val="21"/>
              </w:rPr>
            </w:pPr>
            <w:r>
              <w:rPr>
                <w:rFonts w:ascii="Times New Roman"/>
                <w:sz w:val="21"/>
              </w:rPr>
              <w:t>3.38E-03</w:t>
            </w:r>
          </w:p>
        </w:tc>
        <w:tc>
          <w:tcPr>
            <w:tcW w:w="1230" w:type="dxa"/>
          </w:tcPr>
          <w:p w14:paraId="4B03E96A">
            <w:pPr>
              <w:pStyle w:val="17"/>
              <w:spacing w:before="15" w:line="236" w:lineRule="exact"/>
              <w:ind w:left="172" w:right="166"/>
              <w:rPr>
                <w:rFonts w:ascii="Times New Roman"/>
                <w:sz w:val="21"/>
              </w:rPr>
            </w:pPr>
            <w:r>
              <w:rPr>
                <w:rFonts w:ascii="Times New Roman"/>
                <w:sz w:val="21"/>
              </w:rPr>
              <w:t>4.50E-01</w:t>
            </w:r>
          </w:p>
        </w:tc>
        <w:tc>
          <w:tcPr>
            <w:tcW w:w="1517" w:type="dxa"/>
          </w:tcPr>
          <w:p w14:paraId="62FEBC0C">
            <w:pPr>
              <w:pStyle w:val="17"/>
              <w:spacing w:before="15" w:line="236" w:lineRule="exact"/>
              <w:ind w:left="499" w:right="492"/>
              <w:rPr>
                <w:rFonts w:ascii="Times New Roman"/>
                <w:sz w:val="21"/>
              </w:rPr>
            </w:pPr>
            <w:r>
              <w:rPr>
                <w:rFonts w:ascii="Times New Roman"/>
                <w:sz w:val="21"/>
              </w:rPr>
              <w:t>0.75</w:t>
            </w:r>
          </w:p>
        </w:tc>
        <w:tc>
          <w:tcPr>
            <w:tcW w:w="712" w:type="dxa"/>
            <w:tcBorders>
              <w:right w:val="nil"/>
            </w:tcBorders>
          </w:tcPr>
          <w:p w14:paraId="6837BFEB">
            <w:pPr>
              <w:pStyle w:val="17"/>
              <w:spacing w:before="1" w:line="250" w:lineRule="exact"/>
              <w:ind w:left="122" w:right="121"/>
              <w:rPr>
                <w:sz w:val="21"/>
              </w:rPr>
            </w:pPr>
            <w:r>
              <w:rPr>
                <w:sz w:val="21"/>
              </w:rPr>
              <w:t>达标</w:t>
            </w:r>
          </w:p>
        </w:tc>
      </w:tr>
      <w:tr w14:paraId="3B87D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4DE706DF">
            <w:pPr>
              <w:pStyle w:val="17"/>
              <w:jc w:val="left"/>
              <w:rPr>
                <w:rFonts w:ascii="Times New Roman"/>
                <w:sz w:val="20"/>
              </w:rPr>
            </w:pPr>
          </w:p>
        </w:tc>
        <w:tc>
          <w:tcPr>
            <w:tcW w:w="1265" w:type="dxa"/>
          </w:tcPr>
          <w:p w14:paraId="3D157AE5">
            <w:pPr>
              <w:pStyle w:val="17"/>
              <w:jc w:val="left"/>
              <w:rPr>
                <w:rFonts w:ascii="Times New Roman"/>
                <w:sz w:val="20"/>
              </w:rPr>
            </w:pPr>
          </w:p>
        </w:tc>
        <w:tc>
          <w:tcPr>
            <w:tcW w:w="771" w:type="dxa"/>
          </w:tcPr>
          <w:p w14:paraId="64AFB770">
            <w:pPr>
              <w:pStyle w:val="17"/>
              <w:spacing w:before="14" w:line="238" w:lineRule="exact"/>
              <w:ind w:left="120" w:right="111"/>
              <w:rPr>
                <w:rFonts w:ascii="Times New Roman"/>
                <w:sz w:val="21"/>
              </w:rPr>
            </w:pPr>
            <w:r>
              <w:rPr>
                <w:rFonts w:ascii="Times New Roman"/>
                <w:sz w:val="21"/>
              </w:rPr>
              <w:t>50</w:t>
            </w:r>
          </w:p>
        </w:tc>
        <w:tc>
          <w:tcPr>
            <w:tcW w:w="772" w:type="dxa"/>
          </w:tcPr>
          <w:p w14:paraId="33A5790A">
            <w:pPr>
              <w:pStyle w:val="17"/>
              <w:spacing w:before="14" w:line="238" w:lineRule="exact"/>
              <w:ind w:left="6"/>
              <w:rPr>
                <w:rFonts w:ascii="Times New Roman"/>
                <w:sz w:val="21"/>
              </w:rPr>
            </w:pPr>
            <w:r>
              <w:rPr>
                <w:rFonts w:ascii="Times New Roman"/>
                <w:w w:val="99"/>
                <w:sz w:val="21"/>
              </w:rPr>
              <w:t>0</w:t>
            </w:r>
          </w:p>
        </w:tc>
        <w:tc>
          <w:tcPr>
            <w:tcW w:w="921" w:type="dxa"/>
          </w:tcPr>
          <w:p w14:paraId="571E92FF">
            <w:pPr>
              <w:pStyle w:val="17"/>
              <w:spacing w:before="14" w:line="238" w:lineRule="exact"/>
              <w:ind w:left="203" w:right="195"/>
              <w:rPr>
                <w:rFonts w:ascii="Times New Roman"/>
                <w:sz w:val="21"/>
              </w:rPr>
            </w:pPr>
            <w:r>
              <w:rPr>
                <w:rFonts w:ascii="Times New Roman"/>
                <w:sz w:val="21"/>
              </w:rPr>
              <w:t>74.00</w:t>
            </w:r>
          </w:p>
        </w:tc>
        <w:tc>
          <w:tcPr>
            <w:tcW w:w="1035" w:type="dxa"/>
          </w:tcPr>
          <w:p w14:paraId="488A7D7B">
            <w:pPr>
              <w:pStyle w:val="17"/>
              <w:spacing w:line="252" w:lineRule="exact"/>
              <w:ind w:left="201"/>
              <w:jc w:val="left"/>
              <w:rPr>
                <w:sz w:val="21"/>
              </w:rPr>
            </w:pPr>
            <w:r>
              <w:rPr>
                <w:sz w:val="21"/>
              </w:rPr>
              <w:t>日均值</w:t>
            </w:r>
          </w:p>
        </w:tc>
        <w:tc>
          <w:tcPr>
            <w:tcW w:w="1259" w:type="dxa"/>
          </w:tcPr>
          <w:p w14:paraId="42E654EE">
            <w:pPr>
              <w:pStyle w:val="17"/>
              <w:spacing w:before="14" w:line="238" w:lineRule="exact"/>
              <w:ind w:left="188" w:right="180"/>
              <w:rPr>
                <w:rFonts w:ascii="Times New Roman"/>
                <w:sz w:val="21"/>
              </w:rPr>
            </w:pPr>
            <w:r>
              <w:rPr>
                <w:rFonts w:ascii="Times New Roman"/>
                <w:sz w:val="21"/>
              </w:rPr>
              <w:t>2.22E-04</w:t>
            </w:r>
          </w:p>
        </w:tc>
        <w:tc>
          <w:tcPr>
            <w:tcW w:w="1317" w:type="dxa"/>
          </w:tcPr>
          <w:p w14:paraId="0CFFABED">
            <w:pPr>
              <w:pStyle w:val="17"/>
              <w:spacing w:before="14" w:line="238" w:lineRule="exact"/>
              <w:ind w:left="108" w:right="98"/>
              <w:rPr>
                <w:rFonts w:ascii="Times New Roman"/>
                <w:sz w:val="21"/>
              </w:rPr>
            </w:pPr>
            <w:r>
              <w:rPr>
                <w:rFonts w:ascii="Times New Roman"/>
                <w:sz w:val="21"/>
              </w:rPr>
              <w:t>230804</w:t>
            </w:r>
          </w:p>
        </w:tc>
        <w:tc>
          <w:tcPr>
            <w:tcW w:w="1230" w:type="dxa"/>
          </w:tcPr>
          <w:p w14:paraId="4500B24D">
            <w:pPr>
              <w:pStyle w:val="17"/>
              <w:spacing w:before="14" w:line="238" w:lineRule="exact"/>
              <w:ind w:left="226"/>
              <w:jc w:val="left"/>
              <w:rPr>
                <w:rFonts w:ascii="Times New Roman"/>
                <w:sz w:val="21"/>
              </w:rPr>
            </w:pPr>
            <w:r>
              <w:rPr>
                <w:rFonts w:ascii="Times New Roman"/>
                <w:sz w:val="21"/>
              </w:rPr>
              <w:t>9.60E-02</w:t>
            </w:r>
          </w:p>
        </w:tc>
        <w:tc>
          <w:tcPr>
            <w:tcW w:w="1725" w:type="dxa"/>
          </w:tcPr>
          <w:p w14:paraId="6D94DEE0">
            <w:pPr>
              <w:pStyle w:val="17"/>
              <w:spacing w:before="14" w:line="238" w:lineRule="exact"/>
              <w:ind w:left="417" w:right="413"/>
              <w:rPr>
                <w:rFonts w:ascii="Times New Roman"/>
                <w:sz w:val="21"/>
              </w:rPr>
            </w:pPr>
            <w:r>
              <w:rPr>
                <w:rFonts w:ascii="Times New Roman"/>
                <w:sz w:val="21"/>
              </w:rPr>
              <w:t>9.62E-02</w:t>
            </w:r>
          </w:p>
        </w:tc>
        <w:tc>
          <w:tcPr>
            <w:tcW w:w="1230" w:type="dxa"/>
          </w:tcPr>
          <w:p w14:paraId="7FB0A3E0">
            <w:pPr>
              <w:pStyle w:val="17"/>
              <w:spacing w:before="14" w:line="238" w:lineRule="exact"/>
              <w:ind w:left="172" w:right="166"/>
              <w:rPr>
                <w:rFonts w:ascii="Times New Roman"/>
                <w:sz w:val="21"/>
              </w:rPr>
            </w:pPr>
            <w:r>
              <w:rPr>
                <w:rFonts w:ascii="Times New Roman"/>
                <w:sz w:val="21"/>
              </w:rPr>
              <w:t>1.50E-01</w:t>
            </w:r>
          </w:p>
        </w:tc>
        <w:tc>
          <w:tcPr>
            <w:tcW w:w="1517" w:type="dxa"/>
          </w:tcPr>
          <w:p w14:paraId="0564D2EE">
            <w:pPr>
              <w:pStyle w:val="17"/>
              <w:spacing w:before="14" w:line="238" w:lineRule="exact"/>
              <w:ind w:left="501" w:right="492"/>
              <w:rPr>
                <w:rFonts w:ascii="Times New Roman"/>
                <w:sz w:val="21"/>
              </w:rPr>
            </w:pPr>
            <w:r>
              <w:rPr>
                <w:rFonts w:ascii="Times New Roman"/>
                <w:sz w:val="21"/>
              </w:rPr>
              <w:t>64.15</w:t>
            </w:r>
          </w:p>
        </w:tc>
        <w:tc>
          <w:tcPr>
            <w:tcW w:w="712" w:type="dxa"/>
            <w:tcBorders>
              <w:right w:val="nil"/>
            </w:tcBorders>
          </w:tcPr>
          <w:p w14:paraId="10D63227">
            <w:pPr>
              <w:pStyle w:val="17"/>
              <w:spacing w:line="252" w:lineRule="exact"/>
              <w:ind w:left="122" w:right="121"/>
              <w:rPr>
                <w:sz w:val="21"/>
              </w:rPr>
            </w:pPr>
            <w:r>
              <w:rPr>
                <w:sz w:val="21"/>
              </w:rPr>
              <w:t>达标</w:t>
            </w:r>
          </w:p>
        </w:tc>
      </w:tr>
      <w:tr w14:paraId="4B6B6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775BC0CC">
            <w:pPr>
              <w:pStyle w:val="17"/>
              <w:jc w:val="left"/>
              <w:rPr>
                <w:rFonts w:ascii="Times New Roman"/>
                <w:sz w:val="20"/>
              </w:rPr>
            </w:pPr>
          </w:p>
        </w:tc>
        <w:tc>
          <w:tcPr>
            <w:tcW w:w="1265" w:type="dxa"/>
          </w:tcPr>
          <w:p w14:paraId="0F2B9A74">
            <w:pPr>
              <w:pStyle w:val="17"/>
              <w:jc w:val="left"/>
              <w:rPr>
                <w:rFonts w:ascii="Times New Roman"/>
                <w:sz w:val="20"/>
              </w:rPr>
            </w:pPr>
          </w:p>
        </w:tc>
        <w:tc>
          <w:tcPr>
            <w:tcW w:w="771" w:type="dxa"/>
          </w:tcPr>
          <w:p w14:paraId="0FBDE38D">
            <w:pPr>
              <w:pStyle w:val="17"/>
              <w:spacing w:before="14" w:line="237" w:lineRule="exact"/>
              <w:ind w:left="9"/>
              <w:rPr>
                <w:rFonts w:ascii="Times New Roman"/>
                <w:sz w:val="21"/>
              </w:rPr>
            </w:pPr>
            <w:r>
              <w:rPr>
                <w:rFonts w:ascii="Times New Roman"/>
                <w:w w:val="99"/>
                <w:sz w:val="21"/>
              </w:rPr>
              <w:t>0</w:t>
            </w:r>
          </w:p>
        </w:tc>
        <w:tc>
          <w:tcPr>
            <w:tcW w:w="772" w:type="dxa"/>
          </w:tcPr>
          <w:p w14:paraId="219190BD">
            <w:pPr>
              <w:pStyle w:val="17"/>
              <w:spacing w:before="14" w:line="237" w:lineRule="exact"/>
              <w:ind w:left="154" w:right="145"/>
              <w:rPr>
                <w:rFonts w:ascii="Times New Roman"/>
                <w:sz w:val="21"/>
              </w:rPr>
            </w:pPr>
            <w:r>
              <w:rPr>
                <w:rFonts w:ascii="Times New Roman"/>
                <w:sz w:val="21"/>
              </w:rPr>
              <w:t>-50</w:t>
            </w:r>
          </w:p>
        </w:tc>
        <w:tc>
          <w:tcPr>
            <w:tcW w:w="921" w:type="dxa"/>
          </w:tcPr>
          <w:p w14:paraId="3D439847">
            <w:pPr>
              <w:pStyle w:val="17"/>
              <w:spacing w:before="14" w:line="237" w:lineRule="exact"/>
              <w:ind w:left="203" w:right="195"/>
              <w:rPr>
                <w:rFonts w:ascii="Times New Roman"/>
                <w:sz w:val="21"/>
              </w:rPr>
            </w:pPr>
            <w:r>
              <w:rPr>
                <w:rFonts w:ascii="Times New Roman"/>
                <w:sz w:val="21"/>
              </w:rPr>
              <w:t>74.00</w:t>
            </w:r>
          </w:p>
        </w:tc>
        <w:tc>
          <w:tcPr>
            <w:tcW w:w="1035" w:type="dxa"/>
          </w:tcPr>
          <w:p w14:paraId="6D139C0E">
            <w:pPr>
              <w:pStyle w:val="17"/>
              <w:spacing w:line="251" w:lineRule="exact"/>
              <w:ind w:left="201"/>
              <w:jc w:val="left"/>
              <w:rPr>
                <w:sz w:val="21"/>
              </w:rPr>
            </w:pPr>
            <w:r>
              <w:rPr>
                <w:sz w:val="21"/>
              </w:rPr>
              <w:t>年均值</w:t>
            </w:r>
          </w:p>
        </w:tc>
        <w:tc>
          <w:tcPr>
            <w:tcW w:w="1259" w:type="dxa"/>
          </w:tcPr>
          <w:p w14:paraId="52C3D612">
            <w:pPr>
              <w:pStyle w:val="17"/>
              <w:spacing w:before="14" w:line="237" w:lineRule="exact"/>
              <w:ind w:left="188" w:right="180"/>
              <w:rPr>
                <w:rFonts w:ascii="Times New Roman"/>
                <w:sz w:val="21"/>
              </w:rPr>
            </w:pPr>
            <w:r>
              <w:rPr>
                <w:rFonts w:ascii="Times New Roman"/>
                <w:sz w:val="21"/>
              </w:rPr>
              <w:t>3.77E-05</w:t>
            </w:r>
          </w:p>
        </w:tc>
        <w:tc>
          <w:tcPr>
            <w:tcW w:w="1317" w:type="dxa"/>
          </w:tcPr>
          <w:p w14:paraId="2F6F5267">
            <w:pPr>
              <w:pStyle w:val="17"/>
              <w:spacing w:line="251" w:lineRule="exact"/>
              <w:ind w:left="107" w:right="98"/>
              <w:rPr>
                <w:sz w:val="21"/>
              </w:rPr>
            </w:pPr>
            <w:r>
              <w:rPr>
                <w:sz w:val="21"/>
              </w:rPr>
              <w:t>平均值</w:t>
            </w:r>
          </w:p>
        </w:tc>
        <w:tc>
          <w:tcPr>
            <w:tcW w:w="1230" w:type="dxa"/>
          </w:tcPr>
          <w:p w14:paraId="6DAB9825">
            <w:pPr>
              <w:pStyle w:val="17"/>
              <w:spacing w:before="14" w:line="237" w:lineRule="exact"/>
              <w:ind w:left="226"/>
              <w:jc w:val="left"/>
              <w:rPr>
                <w:rFonts w:ascii="Times New Roman"/>
                <w:sz w:val="21"/>
              </w:rPr>
            </w:pPr>
            <w:r>
              <w:rPr>
                <w:rFonts w:ascii="Times New Roman"/>
                <w:sz w:val="21"/>
              </w:rPr>
              <w:t>1.62E-02</w:t>
            </w:r>
          </w:p>
        </w:tc>
        <w:tc>
          <w:tcPr>
            <w:tcW w:w="1725" w:type="dxa"/>
          </w:tcPr>
          <w:p w14:paraId="604BA4EC">
            <w:pPr>
              <w:pStyle w:val="17"/>
              <w:spacing w:before="14" w:line="237" w:lineRule="exact"/>
              <w:ind w:left="417" w:right="413"/>
              <w:rPr>
                <w:rFonts w:ascii="Times New Roman"/>
                <w:sz w:val="21"/>
              </w:rPr>
            </w:pPr>
            <w:r>
              <w:rPr>
                <w:rFonts w:ascii="Times New Roman"/>
                <w:sz w:val="21"/>
              </w:rPr>
              <w:t>1.62E-02</w:t>
            </w:r>
          </w:p>
        </w:tc>
        <w:tc>
          <w:tcPr>
            <w:tcW w:w="1230" w:type="dxa"/>
          </w:tcPr>
          <w:p w14:paraId="5449681A">
            <w:pPr>
              <w:pStyle w:val="17"/>
              <w:spacing w:before="14" w:line="237" w:lineRule="exact"/>
              <w:ind w:left="172" w:right="166"/>
              <w:rPr>
                <w:rFonts w:ascii="Times New Roman"/>
                <w:sz w:val="21"/>
              </w:rPr>
            </w:pPr>
            <w:r>
              <w:rPr>
                <w:rFonts w:ascii="Times New Roman"/>
                <w:sz w:val="21"/>
              </w:rPr>
              <w:t>7.00E-02</w:t>
            </w:r>
          </w:p>
        </w:tc>
        <w:tc>
          <w:tcPr>
            <w:tcW w:w="1517" w:type="dxa"/>
          </w:tcPr>
          <w:p w14:paraId="78CC53F8">
            <w:pPr>
              <w:pStyle w:val="17"/>
              <w:spacing w:before="14" w:line="237" w:lineRule="exact"/>
              <w:ind w:left="501" w:right="492"/>
              <w:rPr>
                <w:rFonts w:ascii="Times New Roman"/>
                <w:sz w:val="21"/>
              </w:rPr>
            </w:pPr>
            <w:r>
              <w:rPr>
                <w:rFonts w:ascii="Times New Roman"/>
                <w:sz w:val="21"/>
              </w:rPr>
              <w:t>23.20</w:t>
            </w:r>
          </w:p>
        </w:tc>
        <w:tc>
          <w:tcPr>
            <w:tcW w:w="712" w:type="dxa"/>
            <w:tcBorders>
              <w:right w:val="nil"/>
            </w:tcBorders>
          </w:tcPr>
          <w:p w14:paraId="5A9720B8">
            <w:pPr>
              <w:pStyle w:val="17"/>
              <w:spacing w:line="251" w:lineRule="exact"/>
              <w:ind w:left="122" w:right="121"/>
              <w:rPr>
                <w:sz w:val="21"/>
              </w:rPr>
            </w:pPr>
            <w:r>
              <w:rPr>
                <w:sz w:val="21"/>
              </w:rPr>
              <w:t>达标</w:t>
            </w:r>
          </w:p>
        </w:tc>
      </w:tr>
    </w:tbl>
    <w:p w14:paraId="589630AB">
      <w:pPr>
        <w:pStyle w:val="10"/>
        <w:spacing w:before="10"/>
        <w:rPr>
          <w:b/>
        </w:rPr>
      </w:pPr>
    </w:p>
    <w:p w14:paraId="1A9B5F68">
      <w:pPr>
        <w:pStyle w:val="10"/>
        <w:spacing w:before="74" w:line="362" w:lineRule="auto"/>
        <w:ind w:left="240" w:right="357" w:firstLine="480"/>
      </w:pPr>
      <w:r>
        <w:rPr>
          <w:spacing w:val="-9"/>
          <w:position w:val="2"/>
        </w:rPr>
        <w:t xml:space="preserve">从上表可知，本项目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1h </w:t>
      </w:r>
      <w:r>
        <w:rPr>
          <w:spacing w:val="-9"/>
          <w:position w:val="2"/>
          <w:vertAlign w:val="baseline"/>
        </w:rPr>
        <w:t xml:space="preserve">平均、日平均、年平均浓度叠加值的最大占标率分别为 </w:t>
      </w:r>
      <w:r>
        <w:rPr>
          <w:rFonts w:ascii="Times New Roman" w:eastAsia="Times New Roman"/>
          <w:position w:val="2"/>
          <w:vertAlign w:val="baseline"/>
        </w:rPr>
        <w:t>0.75%</w:t>
      </w:r>
      <w:r>
        <w:rPr>
          <w:spacing w:val="-17"/>
          <w:position w:val="2"/>
          <w:vertAlign w:val="baseline"/>
        </w:rPr>
        <w:t>、</w:t>
      </w:r>
      <w:r>
        <w:rPr>
          <w:rFonts w:ascii="Times New Roman" w:eastAsia="Times New Roman"/>
          <w:position w:val="2"/>
          <w:vertAlign w:val="baseline"/>
        </w:rPr>
        <w:t>64.15%</w:t>
      </w:r>
      <w:r>
        <w:rPr>
          <w:spacing w:val="-15"/>
          <w:position w:val="2"/>
          <w:vertAlign w:val="baseline"/>
        </w:rPr>
        <w:t>、</w:t>
      </w:r>
      <w:r>
        <w:rPr>
          <w:rFonts w:ascii="Times New Roman" w:eastAsia="Times New Roman"/>
          <w:spacing w:val="-3"/>
          <w:position w:val="2"/>
          <w:vertAlign w:val="baseline"/>
        </w:rPr>
        <w:t>23.20%</w:t>
      </w:r>
      <w:r>
        <w:rPr>
          <w:spacing w:val="-5"/>
          <w:position w:val="2"/>
          <w:vertAlign w:val="baseline"/>
        </w:rPr>
        <w:t>，满足《环境空气质</w:t>
      </w:r>
      <w:r>
        <w:rPr>
          <w:spacing w:val="-5"/>
          <w:vertAlign w:val="baseline"/>
        </w:rPr>
        <w:t>量标准》（</w:t>
      </w:r>
      <w:r>
        <w:rPr>
          <w:rFonts w:ascii="Times New Roman" w:eastAsia="Times New Roman"/>
          <w:spacing w:val="-5"/>
          <w:vertAlign w:val="baseline"/>
        </w:rPr>
        <w:t>GB3095-2012</w:t>
      </w:r>
      <w:r>
        <w:rPr>
          <w:spacing w:val="-5"/>
          <w:vertAlign w:val="baseline"/>
        </w:rPr>
        <w:t>）中的二级标准要求。</w:t>
      </w:r>
    </w:p>
    <w:p w14:paraId="7AD5BBBD">
      <w:pPr>
        <w:spacing w:after="0" w:line="362" w:lineRule="auto"/>
        <w:sectPr>
          <w:pgSz w:w="16840" w:h="11910" w:orient="landscape"/>
          <w:pgMar w:top="1100" w:right="1080" w:bottom="1380" w:left="1200" w:header="0" w:footer="1192" w:gutter="0"/>
          <w:cols w:space="720" w:num="1"/>
        </w:sectPr>
      </w:pPr>
    </w:p>
    <w:p w14:paraId="0A5032C8">
      <w:pPr>
        <w:pStyle w:val="10"/>
        <w:rPr>
          <w:sz w:val="20"/>
        </w:rPr>
      </w:pPr>
    </w:p>
    <w:p w14:paraId="5FDB256F">
      <w:pPr>
        <w:pStyle w:val="10"/>
        <w:spacing w:before="11" w:after="1"/>
        <w:rPr>
          <w:sz w:val="16"/>
        </w:rPr>
      </w:pPr>
    </w:p>
    <w:p w14:paraId="39B2977E">
      <w:pPr>
        <w:pStyle w:val="10"/>
        <w:ind w:left="240"/>
        <w:rPr>
          <w:sz w:val="20"/>
        </w:rPr>
      </w:pPr>
      <w:r>
        <w:rPr>
          <w:sz w:val="20"/>
        </w:rPr>
        <w:drawing>
          <wp:inline distT="0" distB="0" distL="0" distR="0">
            <wp:extent cx="7091045" cy="5220335"/>
            <wp:effectExtent l="0" t="0" r="0" b="0"/>
            <wp:docPr id="5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9.jpeg"/>
                    <pic:cNvPicPr>
                      <a:picLocks noChangeAspect="1"/>
                    </pic:cNvPicPr>
                  </pic:nvPicPr>
                  <pic:blipFill>
                    <a:blip r:embed="rId129" cstate="print"/>
                    <a:stretch>
                      <a:fillRect/>
                    </a:stretch>
                  </pic:blipFill>
                  <pic:spPr>
                    <a:xfrm>
                      <a:off x="0" y="0"/>
                      <a:ext cx="7091399" cy="5220652"/>
                    </a:xfrm>
                    <a:prstGeom prst="rect">
                      <a:avLst/>
                    </a:prstGeom>
                  </pic:spPr>
                </pic:pic>
              </a:graphicData>
            </a:graphic>
          </wp:inline>
        </w:drawing>
      </w:r>
    </w:p>
    <w:p w14:paraId="12380772">
      <w:pPr>
        <w:pStyle w:val="9"/>
        <w:spacing w:before="84"/>
        <w:ind w:left="3794"/>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1</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 xml:space="preserve">网格点 </w:t>
      </w:r>
      <w:r>
        <w:rPr>
          <w:rFonts w:ascii="Times New Roman" w:eastAsia="Times New Roman"/>
          <w:position w:val="2"/>
          <w:vertAlign w:val="baseline"/>
        </w:rPr>
        <w:t xml:space="preserve">1h </w:t>
      </w:r>
      <w:r>
        <w:rPr>
          <w:position w:val="2"/>
          <w:vertAlign w:val="baseline"/>
        </w:rPr>
        <w:t>均值叠加值预测结果分布图</w:t>
      </w:r>
    </w:p>
    <w:p w14:paraId="6E13F5DC">
      <w:pPr>
        <w:spacing w:after="0"/>
        <w:sectPr>
          <w:pgSz w:w="16840" w:h="11910" w:orient="landscape"/>
          <w:pgMar w:top="1100" w:right="1080" w:bottom="1380" w:left="1200" w:header="0" w:footer="1192" w:gutter="0"/>
          <w:cols w:space="720" w:num="1"/>
        </w:sectPr>
      </w:pPr>
    </w:p>
    <w:p w14:paraId="198F4AA4">
      <w:pPr>
        <w:pStyle w:val="10"/>
        <w:rPr>
          <w:b/>
          <w:sz w:val="20"/>
        </w:rPr>
      </w:pPr>
    </w:p>
    <w:p w14:paraId="05EA4954">
      <w:pPr>
        <w:pStyle w:val="10"/>
        <w:spacing w:before="11" w:after="1"/>
        <w:rPr>
          <w:b/>
          <w:sz w:val="16"/>
        </w:rPr>
      </w:pPr>
    </w:p>
    <w:p w14:paraId="25A0F112">
      <w:pPr>
        <w:pStyle w:val="10"/>
        <w:ind w:left="240"/>
        <w:rPr>
          <w:sz w:val="20"/>
        </w:rPr>
      </w:pPr>
      <w:r>
        <w:rPr>
          <w:sz w:val="20"/>
        </w:rPr>
        <w:drawing>
          <wp:inline distT="0" distB="0" distL="0" distR="0">
            <wp:extent cx="7093585" cy="5220335"/>
            <wp:effectExtent l="0" t="0" r="0" b="0"/>
            <wp:docPr id="5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0.jpeg"/>
                    <pic:cNvPicPr>
                      <a:picLocks noChangeAspect="1"/>
                    </pic:cNvPicPr>
                  </pic:nvPicPr>
                  <pic:blipFill>
                    <a:blip r:embed="rId130" cstate="print"/>
                    <a:stretch>
                      <a:fillRect/>
                    </a:stretch>
                  </pic:blipFill>
                  <pic:spPr>
                    <a:xfrm>
                      <a:off x="0" y="0"/>
                      <a:ext cx="7093711" cy="5220652"/>
                    </a:xfrm>
                    <a:prstGeom prst="rect">
                      <a:avLst/>
                    </a:prstGeom>
                  </pic:spPr>
                </pic:pic>
              </a:graphicData>
            </a:graphic>
          </wp:inline>
        </w:drawing>
      </w:r>
    </w:p>
    <w:p w14:paraId="0DE0CCB7">
      <w:pPr>
        <w:pStyle w:val="9"/>
        <w:spacing w:before="84"/>
        <w:ind w:left="3861"/>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2</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网格点日均值叠加值预测结果分布图</w:t>
      </w:r>
    </w:p>
    <w:p w14:paraId="545E9CB4">
      <w:pPr>
        <w:spacing w:after="0"/>
        <w:sectPr>
          <w:pgSz w:w="16840" w:h="11910" w:orient="landscape"/>
          <w:pgMar w:top="1100" w:right="1080" w:bottom="1380" w:left="1200" w:header="0" w:footer="1192" w:gutter="0"/>
          <w:cols w:space="720" w:num="1"/>
        </w:sectPr>
      </w:pPr>
    </w:p>
    <w:p w14:paraId="2ACFC325">
      <w:pPr>
        <w:pStyle w:val="10"/>
        <w:rPr>
          <w:b/>
          <w:sz w:val="20"/>
        </w:rPr>
      </w:pPr>
    </w:p>
    <w:p w14:paraId="03A0C65B">
      <w:pPr>
        <w:pStyle w:val="10"/>
        <w:rPr>
          <w:b/>
          <w:sz w:val="10"/>
        </w:rPr>
      </w:pPr>
    </w:p>
    <w:p w14:paraId="282B2627">
      <w:pPr>
        <w:pStyle w:val="10"/>
        <w:ind w:left="240"/>
        <w:rPr>
          <w:sz w:val="20"/>
        </w:rPr>
      </w:pPr>
      <w:r>
        <w:rPr>
          <w:sz w:val="20"/>
        </w:rPr>
        <w:drawing>
          <wp:inline distT="0" distB="0" distL="0" distR="0">
            <wp:extent cx="7204710" cy="5303520"/>
            <wp:effectExtent l="0" t="0" r="0" b="0"/>
            <wp:docPr id="5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1.jpeg"/>
                    <pic:cNvPicPr>
                      <a:picLocks noChangeAspect="1"/>
                    </pic:cNvPicPr>
                  </pic:nvPicPr>
                  <pic:blipFill>
                    <a:blip r:embed="rId131" cstate="print"/>
                    <a:stretch>
                      <a:fillRect/>
                    </a:stretch>
                  </pic:blipFill>
                  <pic:spPr>
                    <a:xfrm>
                      <a:off x="0" y="0"/>
                      <a:ext cx="7205040" cy="5303520"/>
                    </a:xfrm>
                    <a:prstGeom prst="rect">
                      <a:avLst/>
                    </a:prstGeom>
                  </pic:spPr>
                </pic:pic>
              </a:graphicData>
            </a:graphic>
          </wp:inline>
        </w:drawing>
      </w:r>
    </w:p>
    <w:p w14:paraId="66735BC1">
      <w:pPr>
        <w:pStyle w:val="9"/>
        <w:spacing w:before="43"/>
        <w:ind w:left="3861"/>
      </w:pPr>
      <w:r>
        <w:rPr>
          <w:position w:val="2"/>
        </w:rPr>
        <w:t xml:space="preserve">图 </w:t>
      </w:r>
      <w:r>
        <w:rPr>
          <w:rFonts w:ascii="Times New Roman" w:eastAsia="Times New Roman"/>
          <w:position w:val="2"/>
        </w:rPr>
        <w:t>4.1-11</w:t>
      </w:r>
      <w:r>
        <w:rPr>
          <w:position w:val="2"/>
        </w:rPr>
        <w:t>（</w:t>
      </w:r>
      <w:r>
        <w:rPr>
          <w:rFonts w:ascii="Times New Roman" w:eastAsia="Times New Roman"/>
          <w:position w:val="2"/>
        </w:rPr>
        <w:t>3</w:t>
      </w:r>
      <w:r>
        <w:rPr>
          <w:position w:val="2"/>
        </w:rPr>
        <w:t xml:space="preserve">）本项目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网格点年均值叠加值预测结果分布图</w:t>
      </w:r>
    </w:p>
    <w:p w14:paraId="2B45B310">
      <w:pPr>
        <w:spacing w:after="0"/>
        <w:sectPr>
          <w:footerReference r:id="rId30" w:type="default"/>
          <w:pgSz w:w="16840" w:h="11910" w:orient="landscape"/>
          <w:pgMar w:top="1100" w:right="1080" w:bottom="1380" w:left="1200" w:header="0" w:footer="1192" w:gutter="0"/>
          <w:pgNumType w:start="120"/>
          <w:cols w:space="720" w:num="1"/>
        </w:sectPr>
      </w:pPr>
    </w:p>
    <w:p w14:paraId="186972C2">
      <w:pPr>
        <w:pStyle w:val="10"/>
        <w:spacing w:before="5"/>
        <w:rPr>
          <w:b/>
          <w:sz w:val="21"/>
        </w:rPr>
      </w:pPr>
    </w:p>
    <w:p w14:paraId="5BB63019">
      <w:pPr>
        <w:pStyle w:val="9"/>
        <w:spacing w:before="25"/>
        <w:rPr>
          <w:rFonts w:hint="eastAsia" w:ascii="微软雅黑" w:eastAsia="微软雅黑"/>
        </w:rPr>
      </w:pPr>
      <w:r>
        <w:rPr>
          <w:rFonts w:hint="eastAsia" w:ascii="微软雅黑" w:eastAsia="微软雅黑"/>
        </w:rPr>
        <w:t>（3）TSP</w:t>
      </w:r>
    </w:p>
    <w:p w14:paraId="46357D59">
      <w:pPr>
        <w:pStyle w:val="9"/>
        <w:spacing w:before="150"/>
      </w:pPr>
      <w:r>
        <w:t xml:space="preserve">本项目 </w:t>
      </w:r>
      <w:r>
        <w:rPr>
          <w:rFonts w:ascii="Times New Roman" w:eastAsia="Times New Roman"/>
        </w:rPr>
        <w:t xml:space="preserve">TSP </w:t>
      </w:r>
      <w:r>
        <w:t>网格点叠加值预测结果见下表：</w:t>
      </w:r>
    </w:p>
    <w:p w14:paraId="438BDFA3">
      <w:pPr>
        <w:pStyle w:val="9"/>
        <w:tabs>
          <w:tab w:val="left" w:pos="1517"/>
        </w:tabs>
        <w:spacing w:before="161"/>
        <w:ind w:left="357"/>
        <w:jc w:val="center"/>
      </w:pPr>
      <w:r>
        <w:t>表</w:t>
      </w:r>
      <w:r>
        <w:rPr>
          <w:spacing w:val="-62"/>
        </w:rPr>
        <w:t xml:space="preserve"> </w:t>
      </w:r>
      <w:r>
        <w:rPr>
          <w:rFonts w:ascii="Times New Roman" w:eastAsia="Times New Roman"/>
        </w:rPr>
        <w:t>4.1-21</w:t>
      </w:r>
      <w:r>
        <w:rPr>
          <w:rFonts w:ascii="Times New Roman" w:eastAsia="Times New Roman"/>
        </w:rPr>
        <w:tab/>
      </w:r>
      <w:r>
        <w:rPr>
          <w:rFonts w:ascii="Times New Roman" w:eastAsia="Times New Roman"/>
        </w:rPr>
        <w:t>TSP</w:t>
      </w:r>
      <w:r>
        <w:rPr>
          <w:rFonts w:ascii="Times New Roman" w:eastAsia="Times New Roman"/>
          <w:spacing w:val="-2"/>
        </w:rPr>
        <w:t xml:space="preserve"> </w:t>
      </w:r>
      <w:r>
        <w:t>网格点叠加值预测结果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300F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3E9AAD27">
            <w:pPr>
              <w:pStyle w:val="17"/>
              <w:spacing w:before="151" w:line="242" w:lineRule="auto"/>
              <w:ind w:left="132" w:right="115"/>
              <w:jc w:val="left"/>
              <w:rPr>
                <w:sz w:val="21"/>
              </w:rPr>
            </w:pPr>
            <w:r>
              <w:rPr>
                <w:sz w:val="21"/>
              </w:rPr>
              <w:t>序号</w:t>
            </w:r>
          </w:p>
        </w:tc>
        <w:tc>
          <w:tcPr>
            <w:tcW w:w="1265" w:type="dxa"/>
            <w:vMerge w:val="restart"/>
          </w:tcPr>
          <w:p w14:paraId="64D6E697">
            <w:pPr>
              <w:pStyle w:val="17"/>
              <w:spacing w:before="3"/>
              <w:jc w:val="left"/>
              <w:rPr>
                <w:b/>
                <w:sz w:val="22"/>
              </w:rPr>
            </w:pPr>
          </w:p>
          <w:p w14:paraId="34C25E04">
            <w:pPr>
              <w:pStyle w:val="17"/>
              <w:ind w:left="316"/>
              <w:jc w:val="left"/>
              <w:rPr>
                <w:sz w:val="21"/>
              </w:rPr>
            </w:pPr>
            <w:r>
              <w:rPr>
                <w:sz w:val="21"/>
              </w:rPr>
              <w:t>点名称</w:t>
            </w:r>
          </w:p>
        </w:tc>
        <w:tc>
          <w:tcPr>
            <w:tcW w:w="1543" w:type="dxa"/>
            <w:gridSpan w:val="2"/>
          </w:tcPr>
          <w:p w14:paraId="644A2275">
            <w:pPr>
              <w:pStyle w:val="17"/>
              <w:spacing w:before="2"/>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76150875">
            <w:pPr>
              <w:pStyle w:val="17"/>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2EADD02C">
            <w:pPr>
              <w:pStyle w:val="17"/>
              <w:spacing w:before="151" w:line="242"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5EBAD691">
            <w:pPr>
              <w:pStyle w:val="17"/>
              <w:spacing w:before="151" w:line="242" w:lineRule="auto"/>
              <w:ind w:left="412" w:right="192" w:hanging="212"/>
              <w:jc w:val="left"/>
              <w:rPr>
                <w:sz w:val="21"/>
              </w:rPr>
            </w:pPr>
            <w:r>
              <w:rPr>
                <w:sz w:val="21"/>
              </w:rPr>
              <w:t>浓度类型</w:t>
            </w:r>
          </w:p>
        </w:tc>
        <w:tc>
          <w:tcPr>
            <w:tcW w:w="1259" w:type="dxa"/>
            <w:vMerge w:val="restart"/>
          </w:tcPr>
          <w:p w14:paraId="6F59E910">
            <w:pPr>
              <w:pStyle w:val="17"/>
              <w:spacing w:before="151"/>
              <w:ind w:left="208"/>
              <w:jc w:val="left"/>
              <w:rPr>
                <w:sz w:val="21"/>
              </w:rPr>
            </w:pPr>
            <w:r>
              <w:rPr>
                <w:w w:val="95"/>
                <w:sz w:val="21"/>
              </w:rPr>
              <w:t>浓度增量</w:t>
            </w:r>
          </w:p>
          <w:p w14:paraId="4AAB6807">
            <w:pPr>
              <w:pStyle w:val="17"/>
              <w:spacing w:before="2"/>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51D49F05">
            <w:pPr>
              <w:pStyle w:val="17"/>
              <w:spacing w:before="45"/>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3387C716">
            <w:pPr>
              <w:pStyle w:val="17"/>
              <w:spacing w:before="151"/>
              <w:ind w:left="195"/>
              <w:jc w:val="left"/>
              <w:rPr>
                <w:sz w:val="21"/>
              </w:rPr>
            </w:pPr>
            <w:r>
              <w:rPr>
                <w:w w:val="95"/>
                <w:sz w:val="21"/>
              </w:rPr>
              <w:t>背景浓度</w:t>
            </w:r>
          </w:p>
          <w:p w14:paraId="61406545">
            <w:pPr>
              <w:pStyle w:val="17"/>
              <w:spacing w:before="2"/>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5450D32E">
            <w:pPr>
              <w:pStyle w:val="17"/>
              <w:spacing w:before="151" w:line="242"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40057731">
            <w:pPr>
              <w:pStyle w:val="17"/>
              <w:spacing w:before="151"/>
              <w:ind w:left="194"/>
              <w:jc w:val="left"/>
              <w:rPr>
                <w:sz w:val="21"/>
              </w:rPr>
            </w:pPr>
            <w:r>
              <w:rPr>
                <w:w w:val="95"/>
                <w:sz w:val="21"/>
              </w:rPr>
              <w:t>评价标准</w:t>
            </w:r>
          </w:p>
          <w:p w14:paraId="52F5A22E">
            <w:pPr>
              <w:pStyle w:val="17"/>
              <w:spacing w:before="2"/>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504A4B6D">
            <w:pPr>
              <w:pStyle w:val="17"/>
              <w:spacing w:before="151"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22A338D4">
            <w:pPr>
              <w:pStyle w:val="17"/>
              <w:spacing w:before="151" w:line="242" w:lineRule="auto"/>
              <w:ind w:left="145" w:right="141"/>
              <w:jc w:val="left"/>
              <w:rPr>
                <w:sz w:val="21"/>
              </w:rPr>
            </w:pPr>
            <w:r>
              <w:rPr>
                <w:w w:val="95"/>
                <w:sz w:val="21"/>
              </w:rPr>
              <w:t>是否超标</w:t>
            </w:r>
          </w:p>
        </w:tc>
      </w:tr>
      <w:tr w14:paraId="05B76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15DDDD00">
            <w:pPr>
              <w:rPr>
                <w:sz w:val="2"/>
                <w:szCs w:val="2"/>
              </w:rPr>
            </w:pPr>
          </w:p>
        </w:tc>
        <w:tc>
          <w:tcPr>
            <w:tcW w:w="1265" w:type="dxa"/>
            <w:vMerge w:val="continue"/>
            <w:tcBorders>
              <w:top w:val="nil"/>
            </w:tcBorders>
          </w:tcPr>
          <w:p w14:paraId="2B07B0A7">
            <w:pPr>
              <w:rPr>
                <w:sz w:val="2"/>
                <w:szCs w:val="2"/>
              </w:rPr>
            </w:pPr>
          </w:p>
        </w:tc>
        <w:tc>
          <w:tcPr>
            <w:tcW w:w="771" w:type="dxa"/>
          </w:tcPr>
          <w:p w14:paraId="3BE61636">
            <w:pPr>
              <w:pStyle w:val="17"/>
              <w:spacing w:before="23"/>
              <w:ind w:left="7"/>
              <w:rPr>
                <w:rFonts w:ascii="Times New Roman"/>
                <w:sz w:val="21"/>
              </w:rPr>
            </w:pPr>
            <w:r>
              <w:rPr>
                <w:rFonts w:ascii="Times New Roman"/>
                <w:w w:val="99"/>
                <w:sz w:val="21"/>
              </w:rPr>
              <w:t>X</w:t>
            </w:r>
          </w:p>
        </w:tc>
        <w:tc>
          <w:tcPr>
            <w:tcW w:w="772" w:type="dxa"/>
          </w:tcPr>
          <w:p w14:paraId="0EC70BE8">
            <w:pPr>
              <w:pStyle w:val="17"/>
              <w:spacing w:before="23"/>
              <w:ind w:left="10"/>
              <w:rPr>
                <w:rFonts w:ascii="Times New Roman"/>
                <w:sz w:val="21"/>
              </w:rPr>
            </w:pPr>
            <w:r>
              <w:rPr>
                <w:rFonts w:ascii="Times New Roman"/>
                <w:w w:val="99"/>
                <w:sz w:val="21"/>
              </w:rPr>
              <w:t>Y</w:t>
            </w:r>
          </w:p>
        </w:tc>
        <w:tc>
          <w:tcPr>
            <w:tcW w:w="921" w:type="dxa"/>
            <w:vMerge w:val="continue"/>
            <w:tcBorders>
              <w:top w:val="nil"/>
            </w:tcBorders>
          </w:tcPr>
          <w:p w14:paraId="5D4D81D9">
            <w:pPr>
              <w:rPr>
                <w:sz w:val="2"/>
                <w:szCs w:val="2"/>
              </w:rPr>
            </w:pPr>
          </w:p>
        </w:tc>
        <w:tc>
          <w:tcPr>
            <w:tcW w:w="1035" w:type="dxa"/>
            <w:vMerge w:val="continue"/>
            <w:tcBorders>
              <w:top w:val="nil"/>
            </w:tcBorders>
          </w:tcPr>
          <w:p w14:paraId="6179D8D0">
            <w:pPr>
              <w:rPr>
                <w:sz w:val="2"/>
                <w:szCs w:val="2"/>
              </w:rPr>
            </w:pPr>
          </w:p>
        </w:tc>
        <w:tc>
          <w:tcPr>
            <w:tcW w:w="1259" w:type="dxa"/>
            <w:vMerge w:val="continue"/>
            <w:tcBorders>
              <w:top w:val="nil"/>
            </w:tcBorders>
          </w:tcPr>
          <w:p w14:paraId="11485070">
            <w:pPr>
              <w:rPr>
                <w:sz w:val="2"/>
                <w:szCs w:val="2"/>
              </w:rPr>
            </w:pPr>
          </w:p>
        </w:tc>
        <w:tc>
          <w:tcPr>
            <w:tcW w:w="1317" w:type="dxa"/>
            <w:vMerge w:val="continue"/>
            <w:tcBorders>
              <w:top w:val="nil"/>
            </w:tcBorders>
          </w:tcPr>
          <w:p w14:paraId="5B96ED72">
            <w:pPr>
              <w:rPr>
                <w:sz w:val="2"/>
                <w:szCs w:val="2"/>
              </w:rPr>
            </w:pPr>
          </w:p>
        </w:tc>
        <w:tc>
          <w:tcPr>
            <w:tcW w:w="1230" w:type="dxa"/>
            <w:vMerge w:val="continue"/>
            <w:tcBorders>
              <w:top w:val="nil"/>
            </w:tcBorders>
          </w:tcPr>
          <w:p w14:paraId="1E7F2C75">
            <w:pPr>
              <w:rPr>
                <w:sz w:val="2"/>
                <w:szCs w:val="2"/>
              </w:rPr>
            </w:pPr>
          </w:p>
        </w:tc>
        <w:tc>
          <w:tcPr>
            <w:tcW w:w="1725" w:type="dxa"/>
            <w:vMerge w:val="continue"/>
            <w:tcBorders>
              <w:top w:val="nil"/>
            </w:tcBorders>
          </w:tcPr>
          <w:p w14:paraId="3A78A70A">
            <w:pPr>
              <w:rPr>
                <w:sz w:val="2"/>
                <w:szCs w:val="2"/>
              </w:rPr>
            </w:pPr>
          </w:p>
        </w:tc>
        <w:tc>
          <w:tcPr>
            <w:tcW w:w="1230" w:type="dxa"/>
            <w:vMerge w:val="continue"/>
            <w:tcBorders>
              <w:top w:val="nil"/>
            </w:tcBorders>
          </w:tcPr>
          <w:p w14:paraId="0B23A67C">
            <w:pPr>
              <w:rPr>
                <w:sz w:val="2"/>
                <w:szCs w:val="2"/>
              </w:rPr>
            </w:pPr>
          </w:p>
        </w:tc>
        <w:tc>
          <w:tcPr>
            <w:tcW w:w="1517" w:type="dxa"/>
            <w:vMerge w:val="continue"/>
            <w:tcBorders>
              <w:top w:val="nil"/>
            </w:tcBorders>
          </w:tcPr>
          <w:p w14:paraId="0FB22BD5">
            <w:pPr>
              <w:rPr>
                <w:sz w:val="2"/>
                <w:szCs w:val="2"/>
              </w:rPr>
            </w:pPr>
          </w:p>
        </w:tc>
        <w:tc>
          <w:tcPr>
            <w:tcW w:w="712" w:type="dxa"/>
            <w:vMerge w:val="continue"/>
            <w:tcBorders>
              <w:top w:val="nil"/>
              <w:right w:val="nil"/>
            </w:tcBorders>
          </w:tcPr>
          <w:p w14:paraId="42FC801E">
            <w:pPr>
              <w:rPr>
                <w:sz w:val="2"/>
                <w:szCs w:val="2"/>
              </w:rPr>
            </w:pPr>
          </w:p>
        </w:tc>
      </w:tr>
      <w:tr w14:paraId="37DD2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1F9EFB9">
            <w:pPr>
              <w:pStyle w:val="17"/>
              <w:spacing w:before="35"/>
              <w:ind w:right="169"/>
              <w:jc w:val="right"/>
              <w:rPr>
                <w:rFonts w:ascii="Times New Roman"/>
                <w:sz w:val="21"/>
              </w:rPr>
            </w:pPr>
            <w:r>
              <w:rPr>
                <w:rFonts w:ascii="Times New Roman"/>
                <w:w w:val="99"/>
                <w:sz w:val="21"/>
              </w:rPr>
              <w:t>1</w:t>
            </w:r>
          </w:p>
        </w:tc>
        <w:tc>
          <w:tcPr>
            <w:tcW w:w="1265" w:type="dxa"/>
          </w:tcPr>
          <w:p w14:paraId="4251228D">
            <w:pPr>
              <w:pStyle w:val="17"/>
              <w:spacing w:before="21"/>
              <w:ind w:left="189" w:right="183"/>
              <w:rPr>
                <w:sz w:val="21"/>
              </w:rPr>
            </w:pPr>
            <w:r>
              <w:rPr>
                <w:sz w:val="21"/>
              </w:rPr>
              <w:t>新书村</w:t>
            </w:r>
          </w:p>
        </w:tc>
        <w:tc>
          <w:tcPr>
            <w:tcW w:w="771" w:type="dxa"/>
          </w:tcPr>
          <w:p w14:paraId="7D505547">
            <w:pPr>
              <w:pStyle w:val="17"/>
              <w:spacing w:before="35"/>
              <w:ind w:right="182"/>
              <w:jc w:val="right"/>
              <w:rPr>
                <w:rFonts w:ascii="Times New Roman"/>
                <w:sz w:val="21"/>
              </w:rPr>
            </w:pPr>
            <w:r>
              <w:rPr>
                <w:rFonts w:ascii="Times New Roman"/>
                <w:sz w:val="21"/>
              </w:rPr>
              <w:t>-691</w:t>
            </w:r>
          </w:p>
        </w:tc>
        <w:tc>
          <w:tcPr>
            <w:tcW w:w="772" w:type="dxa"/>
          </w:tcPr>
          <w:p w14:paraId="2C196AC1">
            <w:pPr>
              <w:pStyle w:val="17"/>
              <w:spacing w:before="35"/>
              <w:ind w:right="181"/>
              <w:jc w:val="right"/>
              <w:rPr>
                <w:rFonts w:ascii="Times New Roman"/>
                <w:sz w:val="21"/>
              </w:rPr>
            </w:pPr>
            <w:r>
              <w:rPr>
                <w:rFonts w:ascii="Times New Roman"/>
                <w:w w:val="95"/>
                <w:sz w:val="21"/>
              </w:rPr>
              <w:t>-158</w:t>
            </w:r>
          </w:p>
        </w:tc>
        <w:tc>
          <w:tcPr>
            <w:tcW w:w="921" w:type="dxa"/>
          </w:tcPr>
          <w:p w14:paraId="1504B236">
            <w:pPr>
              <w:pStyle w:val="17"/>
              <w:spacing w:before="35"/>
              <w:ind w:left="203" w:right="195"/>
              <w:rPr>
                <w:rFonts w:ascii="Times New Roman"/>
                <w:sz w:val="21"/>
              </w:rPr>
            </w:pPr>
            <w:r>
              <w:rPr>
                <w:rFonts w:ascii="Times New Roman"/>
                <w:sz w:val="21"/>
              </w:rPr>
              <w:t>64.83</w:t>
            </w:r>
          </w:p>
        </w:tc>
        <w:tc>
          <w:tcPr>
            <w:tcW w:w="1035" w:type="dxa"/>
          </w:tcPr>
          <w:p w14:paraId="6CF864A0">
            <w:pPr>
              <w:pStyle w:val="17"/>
              <w:spacing w:before="21"/>
              <w:ind w:left="201"/>
              <w:jc w:val="left"/>
              <w:rPr>
                <w:sz w:val="21"/>
              </w:rPr>
            </w:pPr>
            <w:r>
              <w:rPr>
                <w:sz w:val="21"/>
              </w:rPr>
              <w:t>小时值</w:t>
            </w:r>
          </w:p>
        </w:tc>
        <w:tc>
          <w:tcPr>
            <w:tcW w:w="1259" w:type="dxa"/>
          </w:tcPr>
          <w:p w14:paraId="05F9372C">
            <w:pPr>
              <w:pStyle w:val="17"/>
              <w:spacing w:before="35"/>
              <w:ind w:left="217"/>
              <w:jc w:val="left"/>
              <w:rPr>
                <w:rFonts w:ascii="Times New Roman"/>
                <w:sz w:val="21"/>
              </w:rPr>
            </w:pPr>
            <w:r>
              <w:rPr>
                <w:rFonts w:ascii="Times New Roman"/>
                <w:sz w:val="21"/>
              </w:rPr>
              <w:t>9.80E+01</w:t>
            </w:r>
          </w:p>
        </w:tc>
        <w:tc>
          <w:tcPr>
            <w:tcW w:w="1317" w:type="dxa"/>
          </w:tcPr>
          <w:p w14:paraId="533BEF3C">
            <w:pPr>
              <w:pStyle w:val="17"/>
              <w:spacing w:before="35"/>
              <w:ind w:left="108" w:right="98"/>
              <w:rPr>
                <w:rFonts w:ascii="Times New Roman"/>
                <w:sz w:val="21"/>
              </w:rPr>
            </w:pPr>
            <w:r>
              <w:rPr>
                <w:rFonts w:ascii="Times New Roman"/>
                <w:sz w:val="21"/>
              </w:rPr>
              <w:t>23091505</w:t>
            </w:r>
          </w:p>
        </w:tc>
        <w:tc>
          <w:tcPr>
            <w:tcW w:w="1230" w:type="dxa"/>
          </w:tcPr>
          <w:p w14:paraId="64503FED">
            <w:pPr>
              <w:pStyle w:val="17"/>
              <w:spacing w:before="35"/>
              <w:ind w:left="175" w:right="166"/>
              <w:rPr>
                <w:rFonts w:ascii="Times New Roman"/>
                <w:sz w:val="21"/>
              </w:rPr>
            </w:pPr>
            <w:r>
              <w:rPr>
                <w:rFonts w:ascii="Times New Roman"/>
                <w:sz w:val="21"/>
              </w:rPr>
              <w:t>0.00E+00</w:t>
            </w:r>
          </w:p>
        </w:tc>
        <w:tc>
          <w:tcPr>
            <w:tcW w:w="1725" w:type="dxa"/>
          </w:tcPr>
          <w:p w14:paraId="6F73754C">
            <w:pPr>
              <w:pStyle w:val="17"/>
              <w:spacing w:before="35"/>
              <w:ind w:left="419" w:right="413"/>
              <w:rPr>
                <w:rFonts w:ascii="Times New Roman"/>
                <w:sz w:val="21"/>
              </w:rPr>
            </w:pPr>
            <w:r>
              <w:rPr>
                <w:rFonts w:ascii="Times New Roman"/>
                <w:sz w:val="21"/>
              </w:rPr>
              <w:t>9.80E+01</w:t>
            </w:r>
          </w:p>
        </w:tc>
        <w:tc>
          <w:tcPr>
            <w:tcW w:w="1230" w:type="dxa"/>
          </w:tcPr>
          <w:p w14:paraId="794B9507">
            <w:pPr>
              <w:pStyle w:val="17"/>
              <w:spacing w:before="35"/>
              <w:ind w:left="174" w:right="166"/>
              <w:rPr>
                <w:rFonts w:ascii="Times New Roman"/>
                <w:sz w:val="21"/>
              </w:rPr>
            </w:pPr>
            <w:r>
              <w:rPr>
                <w:rFonts w:ascii="Times New Roman"/>
                <w:sz w:val="21"/>
              </w:rPr>
              <w:t>9.00E+02</w:t>
            </w:r>
          </w:p>
        </w:tc>
        <w:tc>
          <w:tcPr>
            <w:tcW w:w="1517" w:type="dxa"/>
          </w:tcPr>
          <w:p w14:paraId="1058AC82">
            <w:pPr>
              <w:pStyle w:val="17"/>
              <w:spacing w:before="35"/>
              <w:ind w:left="501" w:right="492"/>
              <w:rPr>
                <w:rFonts w:ascii="Times New Roman"/>
                <w:sz w:val="21"/>
              </w:rPr>
            </w:pPr>
            <w:r>
              <w:rPr>
                <w:rFonts w:ascii="Times New Roman"/>
                <w:sz w:val="21"/>
              </w:rPr>
              <w:t>10.88</w:t>
            </w:r>
          </w:p>
        </w:tc>
        <w:tc>
          <w:tcPr>
            <w:tcW w:w="712" w:type="dxa"/>
            <w:tcBorders>
              <w:right w:val="nil"/>
            </w:tcBorders>
          </w:tcPr>
          <w:p w14:paraId="10B95051">
            <w:pPr>
              <w:pStyle w:val="17"/>
              <w:spacing w:before="21"/>
              <w:ind w:left="122" w:right="121"/>
              <w:rPr>
                <w:sz w:val="21"/>
              </w:rPr>
            </w:pPr>
            <w:r>
              <w:rPr>
                <w:sz w:val="21"/>
              </w:rPr>
              <w:t>达标</w:t>
            </w:r>
          </w:p>
        </w:tc>
      </w:tr>
      <w:tr w14:paraId="3909E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267AC09">
            <w:pPr>
              <w:pStyle w:val="17"/>
              <w:jc w:val="left"/>
              <w:rPr>
                <w:rFonts w:ascii="Times New Roman"/>
                <w:sz w:val="20"/>
              </w:rPr>
            </w:pPr>
          </w:p>
        </w:tc>
        <w:tc>
          <w:tcPr>
            <w:tcW w:w="1265" w:type="dxa"/>
          </w:tcPr>
          <w:p w14:paraId="271052C9">
            <w:pPr>
              <w:pStyle w:val="17"/>
              <w:jc w:val="left"/>
              <w:rPr>
                <w:rFonts w:ascii="Times New Roman"/>
                <w:sz w:val="20"/>
              </w:rPr>
            </w:pPr>
          </w:p>
        </w:tc>
        <w:tc>
          <w:tcPr>
            <w:tcW w:w="771" w:type="dxa"/>
          </w:tcPr>
          <w:p w14:paraId="2E105CA7">
            <w:pPr>
              <w:pStyle w:val="17"/>
              <w:jc w:val="left"/>
              <w:rPr>
                <w:rFonts w:ascii="Times New Roman"/>
                <w:sz w:val="20"/>
              </w:rPr>
            </w:pPr>
          </w:p>
        </w:tc>
        <w:tc>
          <w:tcPr>
            <w:tcW w:w="772" w:type="dxa"/>
          </w:tcPr>
          <w:p w14:paraId="452475CA">
            <w:pPr>
              <w:pStyle w:val="17"/>
              <w:jc w:val="left"/>
              <w:rPr>
                <w:rFonts w:ascii="Times New Roman"/>
                <w:sz w:val="20"/>
              </w:rPr>
            </w:pPr>
          </w:p>
        </w:tc>
        <w:tc>
          <w:tcPr>
            <w:tcW w:w="921" w:type="dxa"/>
          </w:tcPr>
          <w:p w14:paraId="34815B8D">
            <w:pPr>
              <w:pStyle w:val="17"/>
              <w:jc w:val="left"/>
              <w:rPr>
                <w:rFonts w:ascii="Times New Roman"/>
                <w:sz w:val="20"/>
              </w:rPr>
            </w:pPr>
          </w:p>
        </w:tc>
        <w:tc>
          <w:tcPr>
            <w:tcW w:w="1035" w:type="dxa"/>
          </w:tcPr>
          <w:p w14:paraId="627DD995">
            <w:pPr>
              <w:pStyle w:val="17"/>
              <w:spacing w:before="20"/>
              <w:ind w:left="201"/>
              <w:jc w:val="left"/>
              <w:rPr>
                <w:sz w:val="21"/>
              </w:rPr>
            </w:pPr>
            <w:r>
              <w:rPr>
                <w:sz w:val="21"/>
              </w:rPr>
              <w:t>日均值</w:t>
            </w:r>
          </w:p>
        </w:tc>
        <w:tc>
          <w:tcPr>
            <w:tcW w:w="1259" w:type="dxa"/>
          </w:tcPr>
          <w:p w14:paraId="3AF4F4BD">
            <w:pPr>
              <w:pStyle w:val="17"/>
              <w:spacing w:before="34"/>
              <w:ind w:left="217"/>
              <w:jc w:val="left"/>
              <w:rPr>
                <w:rFonts w:ascii="Times New Roman"/>
                <w:sz w:val="21"/>
              </w:rPr>
            </w:pPr>
            <w:r>
              <w:rPr>
                <w:rFonts w:ascii="Times New Roman"/>
                <w:sz w:val="21"/>
              </w:rPr>
              <w:t>7.86E+00</w:t>
            </w:r>
          </w:p>
        </w:tc>
        <w:tc>
          <w:tcPr>
            <w:tcW w:w="1317" w:type="dxa"/>
          </w:tcPr>
          <w:p w14:paraId="25098C16">
            <w:pPr>
              <w:pStyle w:val="17"/>
              <w:spacing w:before="34"/>
              <w:ind w:left="108" w:right="98"/>
              <w:rPr>
                <w:rFonts w:ascii="Times New Roman"/>
                <w:sz w:val="21"/>
              </w:rPr>
            </w:pPr>
            <w:r>
              <w:rPr>
                <w:rFonts w:ascii="Times New Roman"/>
                <w:sz w:val="21"/>
              </w:rPr>
              <w:t>230823</w:t>
            </w:r>
          </w:p>
        </w:tc>
        <w:tc>
          <w:tcPr>
            <w:tcW w:w="1230" w:type="dxa"/>
          </w:tcPr>
          <w:p w14:paraId="5BC38951">
            <w:pPr>
              <w:pStyle w:val="17"/>
              <w:spacing w:before="34"/>
              <w:ind w:left="175" w:right="166"/>
              <w:rPr>
                <w:rFonts w:ascii="Times New Roman"/>
                <w:sz w:val="21"/>
              </w:rPr>
            </w:pPr>
            <w:r>
              <w:rPr>
                <w:rFonts w:ascii="Times New Roman"/>
                <w:sz w:val="21"/>
              </w:rPr>
              <w:t>1.17E+02</w:t>
            </w:r>
          </w:p>
        </w:tc>
        <w:tc>
          <w:tcPr>
            <w:tcW w:w="1725" w:type="dxa"/>
          </w:tcPr>
          <w:p w14:paraId="6AD5711A">
            <w:pPr>
              <w:pStyle w:val="17"/>
              <w:spacing w:before="34"/>
              <w:ind w:left="419" w:right="413"/>
              <w:rPr>
                <w:rFonts w:ascii="Times New Roman"/>
                <w:sz w:val="21"/>
              </w:rPr>
            </w:pPr>
            <w:r>
              <w:rPr>
                <w:rFonts w:ascii="Times New Roman"/>
                <w:sz w:val="21"/>
              </w:rPr>
              <w:t>1.25E+02</w:t>
            </w:r>
          </w:p>
        </w:tc>
        <w:tc>
          <w:tcPr>
            <w:tcW w:w="1230" w:type="dxa"/>
          </w:tcPr>
          <w:p w14:paraId="33889D35">
            <w:pPr>
              <w:pStyle w:val="17"/>
              <w:spacing w:before="34"/>
              <w:ind w:left="174" w:right="166"/>
              <w:rPr>
                <w:rFonts w:ascii="Times New Roman"/>
                <w:sz w:val="21"/>
              </w:rPr>
            </w:pPr>
            <w:r>
              <w:rPr>
                <w:rFonts w:ascii="Times New Roman"/>
                <w:sz w:val="21"/>
              </w:rPr>
              <w:t>3.00E+02</w:t>
            </w:r>
          </w:p>
        </w:tc>
        <w:tc>
          <w:tcPr>
            <w:tcW w:w="1517" w:type="dxa"/>
          </w:tcPr>
          <w:p w14:paraId="7F1B830B">
            <w:pPr>
              <w:pStyle w:val="17"/>
              <w:spacing w:before="34"/>
              <w:ind w:left="501" w:right="492"/>
              <w:rPr>
                <w:rFonts w:ascii="Times New Roman"/>
                <w:sz w:val="21"/>
              </w:rPr>
            </w:pPr>
            <w:r>
              <w:rPr>
                <w:rFonts w:ascii="Times New Roman"/>
                <w:sz w:val="21"/>
              </w:rPr>
              <w:t>41.62</w:t>
            </w:r>
          </w:p>
        </w:tc>
        <w:tc>
          <w:tcPr>
            <w:tcW w:w="712" w:type="dxa"/>
            <w:tcBorders>
              <w:right w:val="nil"/>
            </w:tcBorders>
          </w:tcPr>
          <w:p w14:paraId="6D5F0C03">
            <w:pPr>
              <w:pStyle w:val="17"/>
              <w:spacing w:before="20"/>
              <w:ind w:left="122" w:right="121"/>
              <w:rPr>
                <w:sz w:val="21"/>
              </w:rPr>
            </w:pPr>
            <w:r>
              <w:rPr>
                <w:sz w:val="21"/>
              </w:rPr>
              <w:t>达标</w:t>
            </w:r>
          </w:p>
        </w:tc>
      </w:tr>
      <w:tr w14:paraId="5316D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05D2215">
            <w:pPr>
              <w:pStyle w:val="17"/>
              <w:jc w:val="left"/>
              <w:rPr>
                <w:rFonts w:ascii="Times New Roman"/>
                <w:sz w:val="20"/>
              </w:rPr>
            </w:pPr>
          </w:p>
        </w:tc>
        <w:tc>
          <w:tcPr>
            <w:tcW w:w="1265" w:type="dxa"/>
          </w:tcPr>
          <w:p w14:paraId="3AE7B3ED">
            <w:pPr>
              <w:pStyle w:val="17"/>
              <w:jc w:val="left"/>
              <w:rPr>
                <w:rFonts w:ascii="Times New Roman"/>
                <w:sz w:val="20"/>
              </w:rPr>
            </w:pPr>
          </w:p>
        </w:tc>
        <w:tc>
          <w:tcPr>
            <w:tcW w:w="771" w:type="dxa"/>
          </w:tcPr>
          <w:p w14:paraId="61B76185">
            <w:pPr>
              <w:pStyle w:val="17"/>
              <w:jc w:val="left"/>
              <w:rPr>
                <w:rFonts w:ascii="Times New Roman"/>
                <w:sz w:val="20"/>
              </w:rPr>
            </w:pPr>
          </w:p>
        </w:tc>
        <w:tc>
          <w:tcPr>
            <w:tcW w:w="772" w:type="dxa"/>
          </w:tcPr>
          <w:p w14:paraId="40C4E79E">
            <w:pPr>
              <w:pStyle w:val="17"/>
              <w:jc w:val="left"/>
              <w:rPr>
                <w:rFonts w:ascii="Times New Roman"/>
                <w:sz w:val="20"/>
              </w:rPr>
            </w:pPr>
          </w:p>
        </w:tc>
        <w:tc>
          <w:tcPr>
            <w:tcW w:w="921" w:type="dxa"/>
          </w:tcPr>
          <w:p w14:paraId="54D3B416">
            <w:pPr>
              <w:pStyle w:val="17"/>
              <w:jc w:val="left"/>
              <w:rPr>
                <w:rFonts w:ascii="Times New Roman"/>
                <w:sz w:val="20"/>
              </w:rPr>
            </w:pPr>
          </w:p>
        </w:tc>
        <w:tc>
          <w:tcPr>
            <w:tcW w:w="1035" w:type="dxa"/>
          </w:tcPr>
          <w:p w14:paraId="388CF0DA">
            <w:pPr>
              <w:pStyle w:val="17"/>
              <w:spacing w:before="20"/>
              <w:ind w:left="201"/>
              <w:jc w:val="left"/>
              <w:rPr>
                <w:sz w:val="21"/>
              </w:rPr>
            </w:pPr>
            <w:r>
              <w:rPr>
                <w:sz w:val="21"/>
              </w:rPr>
              <w:t>年均值</w:t>
            </w:r>
          </w:p>
        </w:tc>
        <w:tc>
          <w:tcPr>
            <w:tcW w:w="1259" w:type="dxa"/>
          </w:tcPr>
          <w:p w14:paraId="6BC1A756">
            <w:pPr>
              <w:pStyle w:val="17"/>
              <w:spacing w:before="34"/>
              <w:ind w:left="241"/>
              <w:jc w:val="left"/>
              <w:rPr>
                <w:rFonts w:ascii="Times New Roman"/>
                <w:sz w:val="21"/>
              </w:rPr>
            </w:pPr>
            <w:r>
              <w:rPr>
                <w:rFonts w:ascii="Times New Roman"/>
                <w:sz w:val="21"/>
              </w:rPr>
              <w:t>6.42E-01</w:t>
            </w:r>
          </w:p>
        </w:tc>
        <w:tc>
          <w:tcPr>
            <w:tcW w:w="1317" w:type="dxa"/>
          </w:tcPr>
          <w:p w14:paraId="6B144895">
            <w:pPr>
              <w:pStyle w:val="17"/>
              <w:spacing w:before="20"/>
              <w:ind w:left="107" w:right="98"/>
              <w:rPr>
                <w:sz w:val="21"/>
              </w:rPr>
            </w:pPr>
            <w:r>
              <w:rPr>
                <w:sz w:val="21"/>
              </w:rPr>
              <w:t>平均值</w:t>
            </w:r>
          </w:p>
        </w:tc>
        <w:tc>
          <w:tcPr>
            <w:tcW w:w="1230" w:type="dxa"/>
          </w:tcPr>
          <w:p w14:paraId="432BB8DA">
            <w:pPr>
              <w:pStyle w:val="17"/>
              <w:spacing w:before="34"/>
              <w:ind w:left="175" w:right="166"/>
              <w:rPr>
                <w:rFonts w:ascii="Times New Roman"/>
                <w:sz w:val="21"/>
              </w:rPr>
            </w:pPr>
            <w:r>
              <w:rPr>
                <w:rFonts w:ascii="Times New Roman"/>
                <w:sz w:val="21"/>
              </w:rPr>
              <w:t>1.20E+02</w:t>
            </w:r>
          </w:p>
        </w:tc>
        <w:tc>
          <w:tcPr>
            <w:tcW w:w="1725" w:type="dxa"/>
          </w:tcPr>
          <w:p w14:paraId="5809E565">
            <w:pPr>
              <w:pStyle w:val="17"/>
              <w:spacing w:before="34"/>
              <w:ind w:left="419" w:right="413"/>
              <w:rPr>
                <w:rFonts w:ascii="Times New Roman"/>
                <w:sz w:val="21"/>
              </w:rPr>
            </w:pPr>
            <w:r>
              <w:rPr>
                <w:rFonts w:ascii="Times New Roman"/>
                <w:sz w:val="21"/>
              </w:rPr>
              <w:t>1.21E+02</w:t>
            </w:r>
          </w:p>
        </w:tc>
        <w:tc>
          <w:tcPr>
            <w:tcW w:w="1230" w:type="dxa"/>
          </w:tcPr>
          <w:p w14:paraId="285887E9">
            <w:pPr>
              <w:pStyle w:val="17"/>
              <w:spacing w:before="34"/>
              <w:ind w:left="174" w:right="166"/>
              <w:rPr>
                <w:rFonts w:ascii="Times New Roman"/>
                <w:sz w:val="21"/>
              </w:rPr>
            </w:pPr>
            <w:r>
              <w:rPr>
                <w:rFonts w:ascii="Times New Roman"/>
                <w:sz w:val="21"/>
              </w:rPr>
              <w:t>2.00E+02</w:t>
            </w:r>
          </w:p>
        </w:tc>
        <w:tc>
          <w:tcPr>
            <w:tcW w:w="1517" w:type="dxa"/>
          </w:tcPr>
          <w:p w14:paraId="09A534F1">
            <w:pPr>
              <w:pStyle w:val="17"/>
              <w:spacing w:before="34"/>
              <w:ind w:left="501" w:right="492"/>
              <w:rPr>
                <w:rFonts w:ascii="Times New Roman"/>
                <w:sz w:val="21"/>
              </w:rPr>
            </w:pPr>
            <w:r>
              <w:rPr>
                <w:rFonts w:ascii="Times New Roman"/>
                <w:sz w:val="21"/>
              </w:rPr>
              <w:t>60.32</w:t>
            </w:r>
          </w:p>
        </w:tc>
        <w:tc>
          <w:tcPr>
            <w:tcW w:w="712" w:type="dxa"/>
            <w:tcBorders>
              <w:right w:val="nil"/>
            </w:tcBorders>
          </w:tcPr>
          <w:p w14:paraId="6C5C85E0">
            <w:pPr>
              <w:pStyle w:val="17"/>
              <w:spacing w:before="20"/>
              <w:ind w:left="122" w:right="121"/>
              <w:rPr>
                <w:sz w:val="21"/>
              </w:rPr>
            </w:pPr>
            <w:r>
              <w:rPr>
                <w:sz w:val="21"/>
              </w:rPr>
              <w:t>达标</w:t>
            </w:r>
          </w:p>
        </w:tc>
      </w:tr>
      <w:tr w14:paraId="01777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E23A128">
            <w:pPr>
              <w:pStyle w:val="17"/>
              <w:spacing w:before="36"/>
              <w:ind w:right="169"/>
              <w:jc w:val="right"/>
              <w:rPr>
                <w:rFonts w:ascii="Times New Roman"/>
                <w:sz w:val="21"/>
              </w:rPr>
            </w:pPr>
            <w:r>
              <w:rPr>
                <w:rFonts w:ascii="Times New Roman"/>
                <w:w w:val="99"/>
                <w:sz w:val="21"/>
              </w:rPr>
              <w:t>2</w:t>
            </w:r>
          </w:p>
        </w:tc>
        <w:tc>
          <w:tcPr>
            <w:tcW w:w="1265" w:type="dxa"/>
          </w:tcPr>
          <w:p w14:paraId="60DBE5A0">
            <w:pPr>
              <w:pStyle w:val="17"/>
              <w:spacing w:before="22"/>
              <w:ind w:left="189" w:right="183"/>
              <w:rPr>
                <w:sz w:val="21"/>
              </w:rPr>
            </w:pPr>
            <w:r>
              <w:rPr>
                <w:sz w:val="21"/>
              </w:rPr>
              <w:t>八里村</w:t>
            </w:r>
          </w:p>
        </w:tc>
        <w:tc>
          <w:tcPr>
            <w:tcW w:w="771" w:type="dxa"/>
          </w:tcPr>
          <w:p w14:paraId="3C558A3E">
            <w:pPr>
              <w:pStyle w:val="17"/>
              <w:spacing w:before="36"/>
              <w:ind w:right="182"/>
              <w:jc w:val="right"/>
              <w:rPr>
                <w:rFonts w:ascii="Times New Roman"/>
                <w:sz w:val="21"/>
              </w:rPr>
            </w:pPr>
            <w:r>
              <w:rPr>
                <w:rFonts w:ascii="Times New Roman"/>
                <w:sz w:val="21"/>
              </w:rPr>
              <w:t>-698</w:t>
            </w:r>
          </w:p>
        </w:tc>
        <w:tc>
          <w:tcPr>
            <w:tcW w:w="772" w:type="dxa"/>
          </w:tcPr>
          <w:p w14:paraId="2C813785">
            <w:pPr>
              <w:pStyle w:val="17"/>
              <w:spacing w:before="36"/>
              <w:ind w:right="181"/>
              <w:jc w:val="right"/>
              <w:rPr>
                <w:rFonts w:ascii="Times New Roman"/>
                <w:sz w:val="21"/>
              </w:rPr>
            </w:pPr>
            <w:r>
              <w:rPr>
                <w:rFonts w:ascii="Times New Roman"/>
                <w:w w:val="95"/>
                <w:sz w:val="21"/>
              </w:rPr>
              <w:t>-255</w:t>
            </w:r>
          </w:p>
        </w:tc>
        <w:tc>
          <w:tcPr>
            <w:tcW w:w="921" w:type="dxa"/>
          </w:tcPr>
          <w:p w14:paraId="455A3220">
            <w:pPr>
              <w:pStyle w:val="17"/>
              <w:spacing w:before="36"/>
              <w:ind w:left="203" w:right="195"/>
              <w:rPr>
                <w:rFonts w:ascii="Times New Roman"/>
                <w:sz w:val="21"/>
              </w:rPr>
            </w:pPr>
            <w:r>
              <w:rPr>
                <w:rFonts w:ascii="Times New Roman"/>
                <w:sz w:val="21"/>
              </w:rPr>
              <w:t>63.63</w:t>
            </w:r>
          </w:p>
        </w:tc>
        <w:tc>
          <w:tcPr>
            <w:tcW w:w="1035" w:type="dxa"/>
          </w:tcPr>
          <w:p w14:paraId="26467A11">
            <w:pPr>
              <w:pStyle w:val="17"/>
              <w:spacing w:before="19"/>
              <w:ind w:left="201"/>
              <w:jc w:val="left"/>
              <w:rPr>
                <w:sz w:val="21"/>
              </w:rPr>
            </w:pPr>
            <w:r>
              <w:rPr>
                <w:sz w:val="21"/>
              </w:rPr>
              <w:t>小时值</w:t>
            </w:r>
          </w:p>
        </w:tc>
        <w:tc>
          <w:tcPr>
            <w:tcW w:w="1259" w:type="dxa"/>
          </w:tcPr>
          <w:p w14:paraId="57D1E28E">
            <w:pPr>
              <w:pStyle w:val="17"/>
              <w:spacing w:before="36"/>
              <w:ind w:left="217"/>
              <w:jc w:val="left"/>
              <w:rPr>
                <w:rFonts w:ascii="Times New Roman"/>
                <w:sz w:val="21"/>
              </w:rPr>
            </w:pPr>
            <w:r>
              <w:rPr>
                <w:rFonts w:ascii="Times New Roman"/>
                <w:sz w:val="21"/>
              </w:rPr>
              <w:t>8.22E+01</w:t>
            </w:r>
          </w:p>
        </w:tc>
        <w:tc>
          <w:tcPr>
            <w:tcW w:w="1317" w:type="dxa"/>
          </w:tcPr>
          <w:p w14:paraId="0F1DFB1F">
            <w:pPr>
              <w:pStyle w:val="17"/>
              <w:spacing w:before="36"/>
              <w:ind w:left="108" w:right="98"/>
              <w:rPr>
                <w:rFonts w:ascii="Times New Roman"/>
                <w:sz w:val="21"/>
              </w:rPr>
            </w:pPr>
            <w:r>
              <w:rPr>
                <w:rFonts w:ascii="Times New Roman"/>
                <w:sz w:val="21"/>
              </w:rPr>
              <w:t>23082004</w:t>
            </w:r>
          </w:p>
        </w:tc>
        <w:tc>
          <w:tcPr>
            <w:tcW w:w="1230" w:type="dxa"/>
          </w:tcPr>
          <w:p w14:paraId="20CFE76F">
            <w:pPr>
              <w:pStyle w:val="17"/>
              <w:spacing w:before="36"/>
              <w:ind w:left="175" w:right="166"/>
              <w:rPr>
                <w:rFonts w:ascii="Times New Roman"/>
                <w:sz w:val="21"/>
              </w:rPr>
            </w:pPr>
            <w:r>
              <w:rPr>
                <w:rFonts w:ascii="Times New Roman"/>
                <w:sz w:val="21"/>
              </w:rPr>
              <w:t>0.00E+00</w:t>
            </w:r>
          </w:p>
        </w:tc>
        <w:tc>
          <w:tcPr>
            <w:tcW w:w="1725" w:type="dxa"/>
          </w:tcPr>
          <w:p w14:paraId="38DBD0B4">
            <w:pPr>
              <w:pStyle w:val="17"/>
              <w:spacing w:before="36"/>
              <w:ind w:left="419" w:right="413"/>
              <w:rPr>
                <w:rFonts w:ascii="Times New Roman"/>
                <w:sz w:val="21"/>
              </w:rPr>
            </w:pPr>
            <w:r>
              <w:rPr>
                <w:rFonts w:ascii="Times New Roman"/>
                <w:sz w:val="21"/>
              </w:rPr>
              <w:t>8.22E+01</w:t>
            </w:r>
          </w:p>
        </w:tc>
        <w:tc>
          <w:tcPr>
            <w:tcW w:w="1230" w:type="dxa"/>
          </w:tcPr>
          <w:p w14:paraId="0714FB3C">
            <w:pPr>
              <w:pStyle w:val="17"/>
              <w:spacing w:before="36"/>
              <w:ind w:left="174" w:right="166"/>
              <w:rPr>
                <w:rFonts w:ascii="Times New Roman"/>
                <w:sz w:val="21"/>
              </w:rPr>
            </w:pPr>
            <w:r>
              <w:rPr>
                <w:rFonts w:ascii="Times New Roman"/>
                <w:sz w:val="21"/>
              </w:rPr>
              <w:t>9.00E+02</w:t>
            </w:r>
          </w:p>
        </w:tc>
        <w:tc>
          <w:tcPr>
            <w:tcW w:w="1517" w:type="dxa"/>
          </w:tcPr>
          <w:p w14:paraId="1E437145">
            <w:pPr>
              <w:pStyle w:val="17"/>
              <w:spacing w:before="36"/>
              <w:ind w:left="499" w:right="492"/>
              <w:rPr>
                <w:rFonts w:ascii="Times New Roman"/>
                <w:sz w:val="21"/>
              </w:rPr>
            </w:pPr>
            <w:r>
              <w:rPr>
                <w:rFonts w:ascii="Times New Roman"/>
                <w:sz w:val="21"/>
              </w:rPr>
              <w:t>9.13</w:t>
            </w:r>
          </w:p>
        </w:tc>
        <w:tc>
          <w:tcPr>
            <w:tcW w:w="712" w:type="dxa"/>
            <w:tcBorders>
              <w:right w:val="nil"/>
            </w:tcBorders>
          </w:tcPr>
          <w:p w14:paraId="0980DF32">
            <w:pPr>
              <w:pStyle w:val="17"/>
              <w:spacing w:before="19"/>
              <w:ind w:left="122" w:right="121"/>
              <w:rPr>
                <w:sz w:val="21"/>
              </w:rPr>
            </w:pPr>
            <w:r>
              <w:rPr>
                <w:sz w:val="21"/>
              </w:rPr>
              <w:t>达标</w:t>
            </w:r>
          </w:p>
        </w:tc>
      </w:tr>
      <w:tr w14:paraId="07B0A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5D04CA8">
            <w:pPr>
              <w:pStyle w:val="17"/>
              <w:jc w:val="left"/>
              <w:rPr>
                <w:rFonts w:ascii="Times New Roman"/>
                <w:sz w:val="20"/>
              </w:rPr>
            </w:pPr>
          </w:p>
        </w:tc>
        <w:tc>
          <w:tcPr>
            <w:tcW w:w="1265" w:type="dxa"/>
          </w:tcPr>
          <w:p w14:paraId="5BA36FED">
            <w:pPr>
              <w:pStyle w:val="17"/>
              <w:jc w:val="left"/>
              <w:rPr>
                <w:rFonts w:ascii="Times New Roman"/>
                <w:sz w:val="20"/>
              </w:rPr>
            </w:pPr>
          </w:p>
        </w:tc>
        <w:tc>
          <w:tcPr>
            <w:tcW w:w="771" w:type="dxa"/>
          </w:tcPr>
          <w:p w14:paraId="21916C49">
            <w:pPr>
              <w:pStyle w:val="17"/>
              <w:jc w:val="left"/>
              <w:rPr>
                <w:rFonts w:ascii="Times New Roman"/>
                <w:sz w:val="20"/>
              </w:rPr>
            </w:pPr>
          </w:p>
        </w:tc>
        <w:tc>
          <w:tcPr>
            <w:tcW w:w="772" w:type="dxa"/>
          </w:tcPr>
          <w:p w14:paraId="4B98B63D">
            <w:pPr>
              <w:pStyle w:val="17"/>
              <w:jc w:val="left"/>
              <w:rPr>
                <w:rFonts w:ascii="Times New Roman"/>
                <w:sz w:val="20"/>
              </w:rPr>
            </w:pPr>
          </w:p>
        </w:tc>
        <w:tc>
          <w:tcPr>
            <w:tcW w:w="921" w:type="dxa"/>
          </w:tcPr>
          <w:p w14:paraId="246DADD2">
            <w:pPr>
              <w:pStyle w:val="17"/>
              <w:jc w:val="left"/>
              <w:rPr>
                <w:rFonts w:ascii="Times New Roman"/>
                <w:sz w:val="20"/>
              </w:rPr>
            </w:pPr>
          </w:p>
        </w:tc>
        <w:tc>
          <w:tcPr>
            <w:tcW w:w="1035" w:type="dxa"/>
          </w:tcPr>
          <w:p w14:paraId="5731121C">
            <w:pPr>
              <w:pStyle w:val="17"/>
              <w:spacing w:before="19"/>
              <w:ind w:left="201"/>
              <w:jc w:val="left"/>
              <w:rPr>
                <w:sz w:val="21"/>
              </w:rPr>
            </w:pPr>
            <w:r>
              <w:rPr>
                <w:sz w:val="21"/>
              </w:rPr>
              <w:t>日均值</w:t>
            </w:r>
          </w:p>
        </w:tc>
        <w:tc>
          <w:tcPr>
            <w:tcW w:w="1259" w:type="dxa"/>
          </w:tcPr>
          <w:p w14:paraId="7C3F084C">
            <w:pPr>
              <w:pStyle w:val="17"/>
              <w:spacing w:before="35"/>
              <w:ind w:left="217"/>
              <w:jc w:val="left"/>
              <w:rPr>
                <w:rFonts w:ascii="Times New Roman"/>
                <w:sz w:val="21"/>
              </w:rPr>
            </w:pPr>
            <w:r>
              <w:rPr>
                <w:rFonts w:ascii="Times New Roman"/>
                <w:sz w:val="21"/>
              </w:rPr>
              <w:t>6.28E+00</w:t>
            </w:r>
          </w:p>
        </w:tc>
        <w:tc>
          <w:tcPr>
            <w:tcW w:w="1317" w:type="dxa"/>
          </w:tcPr>
          <w:p w14:paraId="4DE95E97">
            <w:pPr>
              <w:pStyle w:val="17"/>
              <w:spacing w:before="35"/>
              <w:ind w:left="108" w:right="98"/>
              <w:rPr>
                <w:rFonts w:ascii="Times New Roman"/>
                <w:sz w:val="21"/>
              </w:rPr>
            </w:pPr>
            <w:r>
              <w:rPr>
                <w:rFonts w:ascii="Times New Roman"/>
                <w:sz w:val="21"/>
              </w:rPr>
              <w:t>230909</w:t>
            </w:r>
          </w:p>
        </w:tc>
        <w:tc>
          <w:tcPr>
            <w:tcW w:w="1230" w:type="dxa"/>
          </w:tcPr>
          <w:p w14:paraId="47D5EE5F">
            <w:pPr>
              <w:pStyle w:val="17"/>
              <w:spacing w:before="35"/>
              <w:ind w:left="175" w:right="166"/>
              <w:rPr>
                <w:rFonts w:ascii="Times New Roman"/>
                <w:sz w:val="21"/>
              </w:rPr>
            </w:pPr>
            <w:r>
              <w:rPr>
                <w:rFonts w:ascii="Times New Roman"/>
                <w:sz w:val="21"/>
              </w:rPr>
              <w:t>1.17E+02</w:t>
            </w:r>
          </w:p>
        </w:tc>
        <w:tc>
          <w:tcPr>
            <w:tcW w:w="1725" w:type="dxa"/>
          </w:tcPr>
          <w:p w14:paraId="6AA40983">
            <w:pPr>
              <w:pStyle w:val="17"/>
              <w:spacing w:before="35"/>
              <w:ind w:left="419" w:right="413"/>
              <w:rPr>
                <w:rFonts w:ascii="Times New Roman"/>
                <w:sz w:val="21"/>
              </w:rPr>
            </w:pPr>
            <w:r>
              <w:rPr>
                <w:rFonts w:ascii="Times New Roman"/>
                <w:sz w:val="21"/>
              </w:rPr>
              <w:t>1.23E+02</w:t>
            </w:r>
          </w:p>
        </w:tc>
        <w:tc>
          <w:tcPr>
            <w:tcW w:w="1230" w:type="dxa"/>
          </w:tcPr>
          <w:p w14:paraId="49DAC123">
            <w:pPr>
              <w:pStyle w:val="17"/>
              <w:spacing w:before="35"/>
              <w:ind w:left="174" w:right="166"/>
              <w:rPr>
                <w:rFonts w:ascii="Times New Roman"/>
                <w:sz w:val="21"/>
              </w:rPr>
            </w:pPr>
            <w:r>
              <w:rPr>
                <w:rFonts w:ascii="Times New Roman"/>
                <w:sz w:val="21"/>
              </w:rPr>
              <w:t>3.00E+02</w:t>
            </w:r>
          </w:p>
        </w:tc>
        <w:tc>
          <w:tcPr>
            <w:tcW w:w="1517" w:type="dxa"/>
          </w:tcPr>
          <w:p w14:paraId="7EB0F816">
            <w:pPr>
              <w:pStyle w:val="17"/>
              <w:spacing w:before="35"/>
              <w:ind w:left="501" w:right="492"/>
              <w:rPr>
                <w:rFonts w:ascii="Times New Roman"/>
                <w:sz w:val="21"/>
              </w:rPr>
            </w:pPr>
            <w:r>
              <w:rPr>
                <w:rFonts w:ascii="Times New Roman"/>
                <w:sz w:val="21"/>
              </w:rPr>
              <w:t>41.09</w:t>
            </w:r>
          </w:p>
        </w:tc>
        <w:tc>
          <w:tcPr>
            <w:tcW w:w="712" w:type="dxa"/>
            <w:tcBorders>
              <w:right w:val="nil"/>
            </w:tcBorders>
          </w:tcPr>
          <w:p w14:paraId="65C47F7A">
            <w:pPr>
              <w:pStyle w:val="17"/>
              <w:spacing w:before="19"/>
              <w:ind w:left="122" w:right="121"/>
              <w:rPr>
                <w:sz w:val="21"/>
              </w:rPr>
            </w:pPr>
            <w:r>
              <w:rPr>
                <w:sz w:val="21"/>
              </w:rPr>
              <w:t>达标</w:t>
            </w:r>
          </w:p>
        </w:tc>
      </w:tr>
      <w:tr w14:paraId="05609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5AAFD13">
            <w:pPr>
              <w:pStyle w:val="17"/>
              <w:jc w:val="left"/>
              <w:rPr>
                <w:rFonts w:ascii="Times New Roman"/>
                <w:sz w:val="20"/>
              </w:rPr>
            </w:pPr>
          </w:p>
        </w:tc>
        <w:tc>
          <w:tcPr>
            <w:tcW w:w="1265" w:type="dxa"/>
          </w:tcPr>
          <w:p w14:paraId="07B82C10">
            <w:pPr>
              <w:pStyle w:val="17"/>
              <w:jc w:val="left"/>
              <w:rPr>
                <w:rFonts w:ascii="Times New Roman"/>
                <w:sz w:val="20"/>
              </w:rPr>
            </w:pPr>
          </w:p>
        </w:tc>
        <w:tc>
          <w:tcPr>
            <w:tcW w:w="771" w:type="dxa"/>
          </w:tcPr>
          <w:p w14:paraId="214CF242">
            <w:pPr>
              <w:pStyle w:val="17"/>
              <w:jc w:val="left"/>
              <w:rPr>
                <w:rFonts w:ascii="Times New Roman"/>
                <w:sz w:val="20"/>
              </w:rPr>
            </w:pPr>
          </w:p>
        </w:tc>
        <w:tc>
          <w:tcPr>
            <w:tcW w:w="772" w:type="dxa"/>
          </w:tcPr>
          <w:p w14:paraId="6A540FB6">
            <w:pPr>
              <w:pStyle w:val="17"/>
              <w:jc w:val="left"/>
              <w:rPr>
                <w:rFonts w:ascii="Times New Roman"/>
                <w:sz w:val="20"/>
              </w:rPr>
            </w:pPr>
          </w:p>
        </w:tc>
        <w:tc>
          <w:tcPr>
            <w:tcW w:w="921" w:type="dxa"/>
          </w:tcPr>
          <w:p w14:paraId="5A6FEF1A">
            <w:pPr>
              <w:pStyle w:val="17"/>
              <w:jc w:val="left"/>
              <w:rPr>
                <w:rFonts w:ascii="Times New Roman"/>
                <w:sz w:val="20"/>
              </w:rPr>
            </w:pPr>
          </w:p>
        </w:tc>
        <w:tc>
          <w:tcPr>
            <w:tcW w:w="1035" w:type="dxa"/>
          </w:tcPr>
          <w:p w14:paraId="131C4317">
            <w:pPr>
              <w:pStyle w:val="17"/>
              <w:spacing w:before="19"/>
              <w:ind w:left="201"/>
              <w:jc w:val="left"/>
              <w:rPr>
                <w:sz w:val="21"/>
              </w:rPr>
            </w:pPr>
            <w:r>
              <w:rPr>
                <w:sz w:val="21"/>
              </w:rPr>
              <w:t>年均值</w:t>
            </w:r>
          </w:p>
        </w:tc>
        <w:tc>
          <w:tcPr>
            <w:tcW w:w="1259" w:type="dxa"/>
          </w:tcPr>
          <w:p w14:paraId="5A2AC51A">
            <w:pPr>
              <w:pStyle w:val="17"/>
              <w:spacing w:before="35"/>
              <w:ind w:left="241"/>
              <w:jc w:val="left"/>
              <w:rPr>
                <w:rFonts w:ascii="Times New Roman"/>
                <w:sz w:val="21"/>
              </w:rPr>
            </w:pPr>
            <w:r>
              <w:rPr>
                <w:rFonts w:ascii="Times New Roman"/>
                <w:sz w:val="21"/>
              </w:rPr>
              <w:t>6.20E-01</w:t>
            </w:r>
          </w:p>
        </w:tc>
        <w:tc>
          <w:tcPr>
            <w:tcW w:w="1317" w:type="dxa"/>
          </w:tcPr>
          <w:p w14:paraId="2BB3D919">
            <w:pPr>
              <w:pStyle w:val="17"/>
              <w:spacing w:before="19"/>
              <w:ind w:left="107" w:right="98"/>
              <w:rPr>
                <w:sz w:val="21"/>
              </w:rPr>
            </w:pPr>
            <w:r>
              <w:rPr>
                <w:sz w:val="21"/>
              </w:rPr>
              <w:t>平均值</w:t>
            </w:r>
          </w:p>
        </w:tc>
        <w:tc>
          <w:tcPr>
            <w:tcW w:w="1230" w:type="dxa"/>
          </w:tcPr>
          <w:p w14:paraId="20FBC52E">
            <w:pPr>
              <w:pStyle w:val="17"/>
              <w:spacing w:before="35"/>
              <w:ind w:left="175" w:right="166"/>
              <w:rPr>
                <w:rFonts w:ascii="Times New Roman"/>
                <w:sz w:val="21"/>
              </w:rPr>
            </w:pPr>
            <w:r>
              <w:rPr>
                <w:rFonts w:ascii="Times New Roman"/>
                <w:sz w:val="21"/>
              </w:rPr>
              <w:t>1.20E+02</w:t>
            </w:r>
          </w:p>
        </w:tc>
        <w:tc>
          <w:tcPr>
            <w:tcW w:w="1725" w:type="dxa"/>
          </w:tcPr>
          <w:p w14:paraId="5436696B">
            <w:pPr>
              <w:pStyle w:val="17"/>
              <w:spacing w:before="35"/>
              <w:ind w:left="419" w:right="413"/>
              <w:rPr>
                <w:rFonts w:ascii="Times New Roman"/>
                <w:sz w:val="21"/>
              </w:rPr>
            </w:pPr>
            <w:r>
              <w:rPr>
                <w:rFonts w:ascii="Times New Roman"/>
                <w:sz w:val="21"/>
              </w:rPr>
              <w:t>1.21E+02</w:t>
            </w:r>
          </w:p>
        </w:tc>
        <w:tc>
          <w:tcPr>
            <w:tcW w:w="1230" w:type="dxa"/>
          </w:tcPr>
          <w:p w14:paraId="516C9D14">
            <w:pPr>
              <w:pStyle w:val="17"/>
              <w:spacing w:before="35"/>
              <w:ind w:left="174" w:right="166"/>
              <w:rPr>
                <w:rFonts w:ascii="Times New Roman"/>
                <w:sz w:val="21"/>
              </w:rPr>
            </w:pPr>
            <w:r>
              <w:rPr>
                <w:rFonts w:ascii="Times New Roman"/>
                <w:sz w:val="21"/>
              </w:rPr>
              <w:t>2.00E+02</w:t>
            </w:r>
          </w:p>
        </w:tc>
        <w:tc>
          <w:tcPr>
            <w:tcW w:w="1517" w:type="dxa"/>
          </w:tcPr>
          <w:p w14:paraId="45FB9683">
            <w:pPr>
              <w:pStyle w:val="17"/>
              <w:spacing w:before="35"/>
              <w:ind w:left="501" w:right="492"/>
              <w:rPr>
                <w:rFonts w:ascii="Times New Roman"/>
                <w:sz w:val="21"/>
              </w:rPr>
            </w:pPr>
            <w:r>
              <w:rPr>
                <w:rFonts w:ascii="Times New Roman"/>
                <w:sz w:val="21"/>
              </w:rPr>
              <w:t>60.31</w:t>
            </w:r>
          </w:p>
        </w:tc>
        <w:tc>
          <w:tcPr>
            <w:tcW w:w="712" w:type="dxa"/>
            <w:tcBorders>
              <w:right w:val="nil"/>
            </w:tcBorders>
          </w:tcPr>
          <w:p w14:paraId="49C88886">
            <w:pPr>
              <w:pStyle w:val="17"/>
              <w:spacing w:before="19"/>
              <w:ind w:left="122" w:right="121"/>
              <w:rPr>
                <w:sz w:val="21"/>
              </w:rPr>
            </w:pPr>
            <w:r>
              <w:rPr>
                <w:sz w:val="21"/>
              </w:rPr>
              <w:t>达标</w:t>
            </w:r>
          </w:p>
        </w:tc>
      </w:tr>
      <w:tr w14:paraId="164A0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B955801">
            <w:pPr>
              <w:pStyle w:val="17"/>
              <w:spacing w:before="35"/>
              <w:ind w:right="169"/>
              <w:jc w:val="right"/>
              <w:rPr>
                <w:rFonts w:ascii="Times New Roman"/>
                <w:sz w:val="21"/>
              </w:rPr>
            </w:pPr>
            <w:r>
              <w:rPr>
                <w:rFonts w:ascii="Times New Roman"/>
                <w:w w:val="99"/>
                <w:sz w:val="21"/>
              </w:rPr>
              <w:t>3</w:t>
            </w:r>
          </w:p>
        </w:tc>
        <w:tc>
          <w:tcPr>
            <w:tcW w:w="1265" w:type="dxa"/>
          </w:tcPr>
          <w:p w14:paraId="1707A883">
            <w:pPr>
              <w:pStyle w:val="17"/>
              <w:spacing w:before="21"/>
              <w:ind w:left="189" w:right="183"/>
              <w:rPr>
                <w:sz w:val="21"/>
              </w:rPr>
            </w:pPr>
            <w:r>
              <w:rPr>
                <w:sz w:val="21"/>
              </w:rPr>
              <w:t>新桥村</w:t>
            </w:r>
          </w:p>
        </w:tc>
        <w:tc>
          <w:tcPr>
            <w:tcW w:w="771" w:type="dxa"/>
          </w:tcPr>
          <w:p w14:paraId="298C150B">
            <w:pPr>
              <w:pStyle w:val="17"/>
              <w:spacing w:before="35"/>
              <w:ind w:right="182"/>
              <w:jc w:val="right"/>
              <w:rPr>
                <w:rFonts w:ascii="Times New Roman"/>
                <w:sz w:val="21"/>
              </w:rPr>
            </w:pPr>
            <w:r>
              <w:rPr>
                <w:rFonts w:ascii="Times New Roman"/>
                <w:sz w:val="21"/>
              </w:rPr>
              <w:t>-795</w:t>
            </w:r>
          </w:p>
        </w:tc>
        <w:tc>
          <w:tcPr>
            <w:tcW w:w="772" w:type="dxa"/>
          </w:tcPr>
          <w:p w14:paraId="585FF076">
            <w:pPr>
              <w:pStyle w:val="17"/>
              <w:spacing w:before="35"/>
              <w:ind w:right="128"/>
              <w:jc w:val="right"/>
              <w:rPr>
                <w:rFonts w:ascii="Times New Roman"/>
                <w:sz w:val="21"/>
              </w:rPr>
            </w:pPr>
            <w:r>
              <w:rPr>
                <w:rFonts w:ascii="Times New Roman"/>
                <w:w w:val="95"/>
                <w:sz w:val="21"/>
              </w:rPr>
              <w:t>-1454</w:t>
            </w:r>
          </w:p>
        </w:tc>
        <w:tc>
          <w:tcPr>
            <w:tcW w:w="921" w:type="dxa"/>
          </w:tcPr>
          <w:p w14:paraId="4A44B5DC">
            <w:pPr>
              <w:pStyle w:val="17"/>
              <w:spacing w:before="35"/>
              <w:ind w:left="203" w:right="195"/>
              <w:rPr>
                <w:rFonts w:ascii="Times New Roman"/>
                <w:sz w:val="21"/>
              </w:rPr>
            </w:pPr>
            <w:r>
              <w:rPr>
                <w:rFonts w:ascii="Times New Roman"/>
                <w:sz w:val="21"/>
              </w:rPr>
              <w:t>68</w:t>
            </w:r>
          </w:p>
        </w:tc>
        <w:tc>
          <w:tcPr>
            <w:tcW w:w="1035" w:type="dxa"/>
          </w:tcPr>
          <w:p w14:paraId="2C93B92D">
            <w:pPr>
              <w:pStyle w:val="17"/>
              <w:spacing w:before="21"/>
              <w:ind w:left="201"/>
              <w:jc w:val="left"/>
              <w:rPr>
                <w:sz w:val="21"/>
              </w:rPr>
            </w:pPr>
            <w:r>
              <w:rPr>
                <w:sz w:val="21"/>
              </w:rPr>
              <w:t>小时值</w:t>
            </w:r>
          </w:p>
        </w:tc>
        <w:tc>
          <w:tcPr>
            <w:tcW w:w="1259" w:type="dxa"/>
          </w:tcPr>
          <w:p w14:paraId="1898EB35">
            <w:pPr>
              <w:pStyle w:val="17"/>
              <w:spacing w:before="35"/>
              <w:ind w:left="217"/>
              <w:jc w:val="left"/>
              <w:rPr>
                <w:rFonts w:ascii="Times New Roman"/>
                <w:sz w:val="21"/>
              </w:rPr>
            </w:pPr>
            <w:r>
              <w:rPr>
                <w:rFonts w:ascii="Times New Roman"/>
                <w:sz w:val="21"/>
              </w:rPr>
              <w:t>6.30E+01</w:t>
            </w:r>
          </w:p>
        </w:tc>
        <w:tc>
          <w:tcPr>
            <w:tcW w:w="1317" w:type="dxa"/>
          </w:tcPr>
          <w:p w14:paraId="6178F640">
            <w:pPr>
              <w:pStyle w:val="17"/>
              <w:spacing w:before="35"/>
              <w:ind w:left="108" w:right="98"/>
              <w:rPr>
                <w:rFonts w:ascii="Times New Roman"/>
                <w:sz w:val="21"/>
              </w:rPr>
            </w:pPr>
            <w:r>
              <w:rPr>
                <w:rFonts w:ascii="Times New Roman"/>
                <w:sz w:val="21"/>
              </w:rPr>
              <w:t>23082004</w:t>
            </w:r>
          </w:p>
        </w:tc>
        <w:tc>
          <w:tcPr>
            <w:tcW w:w="1230" w:type="dxa"/>
          </w:tcPr>
          <w:p w14:paraId="57495C86">
            <w:pPr>
              <w:pStyle w:val="17"/>
              <w:spacing w:before="35"/>
              <w:ind w:left="175" w:right="166"/>
              <w:rPr>
                <w:rFonts w:ascii="Times New Roman"/>
                <w:sz w:val="21"/>
              </w:rPr>
            </w:pPr>
            <w:r>
              <w:rPr>
                <w:rFonts w:ascii="Times New Roman"/>
                <w:sz w:val="21"/>
              </w:rPr>
              <w:t>0.00E+00</w:t>
            </w:r>
          </w:p>
        </w:tc>
        <w:tc>
          <w:tcPr>
            <w:tcW w:w="1725" w:type="dxa"/>
          </w:tcPr>
          <w:p w14:paraId="2EA97695">
            <w:pPr>
              <w:pStyle w:val="17"/>
              <w:spacing w:before="35"/>
              <w:ind w:left="419" w:right="413"/>
              <w:rPr>
                <w:rFonts w:ascii="Times New Roman"/>
                <w:sz w:val="21"/>
              </w:rPr>
            </w:pPr>
            <w:r>
              <w:rPr>
                <w:rFonts w:ascii="Times New Roman"/>
                <w:sz w:val="21"/>
              </w:rPr>
              <w:t>6.30E+01</w:t>
            </w:r>
          </w:p>
        </w:tc>
        <w:tc>
          <w:tcPr>
            <w:tcW w:w="1230" w:type="dxa"/>
          </w:tcPr>
          <w:p w14:paraId="22C7FBEE">
            <w:pPr>
              <w:pStyle w:val="17"/>
              <w:spacing w:before="35"/>
              <w:ind w:left="174" w:right="166"/>
              <w:rPr>
                <w:rFonts w:ascii="Times New Roman"/>
                <w:sz w:val="21"/>
              </w:rPr>
            </w:pPr>
            <w:r>
              <w:rPr>
                <w:rFonts w:ascii="Times New Roman"/>
                <w:sz w:val="21"/>
              </w:rPr>
              <w:t>9.00E+02</w:t>
            </w:r>
          </w:p>
        </w:tc>
        <w:tc>
          <w:tcPr>
            <w:tcW w:w="1517" w:type="dxa"/>
          </w:tcPr>
          <w:p w14:paraId="518D52F3">
            <w:pPr>
              <w:pStyle w:val="17"/>
              <w:spacing w:before="35"/>
              <w:ind w:left="499" w:right="492"/>
              <w:rPr>
                <w:rFonts w:ascii="Times New Roman"/>
                <w:sz w:val="21"/>
              </w:rPr>
            </w:pPr>
            <w:r>
              <w:rPr>
                <w:rFonts w:ascii="Times New Roman"/>
                <w:sz w:val="21"/>
              </w:rPr>
              <w:t>7.00</w:t>
            </w:r>
          </w:p>
        </w:tc>
        <w:tc>
          <w:tcPr>
            <w:tcW w:w="712" w:type="dxa"/>
            <w:tcBorders>
              <w:right w:val="nil"/>
            </w:tcBorders>
          </w:tcPr>
          <w:p w14:paraId="6BA507ED">
            <w:pPr>
              <w:pStyle w:val="17"/>
              <w:spacing w:before="21"/>
              <w:ind w:left="122" w:right="121"/>
              <w:rPr>
                <w:sz w:val="21"/>
              </w:rPr>
            </w:pPr>
            <w:r>
              <w:rPr>
                <w:sz w:val="21"/>
              </w:rPr>
              <w:t>达标</w:t>
            </w:r>
          </w:p>
        </w:tc>
      </w:tr>
      <w:tr w14:paraId="7F92B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6FFD6FCA">
            <w:pPr>
              <w:pStyle w:val="17"/>
              <w:jc w:val="left"/>
              <w:rPr>
                <w:rFonts w:ascii="Times New Roman"/>
                <w:sz w:val="20"/>
              </w:rPr>
            </w:pPr>
          </w:p>
        </w:tc>
        <w:tc>
          <w:tcPr>
            <w:tcW w:w="1265" w:type="dxa"/>
          </w:tcPr>
          <w:p w14:paraId="1B0DFE92">
            <w:pPr>
              <w:pStyle w:val="17"/>
              <w:jc w:val="left"/>
              <w:rPr>
                <w:rFonts w:ascii="Times New Roman"/>
                <w:sz w:val="20"/>
              </w:rPr>
            </w:pPr>
          </w:p>
        </w:tc>
        <w:tc>
          <w:tcPr>
            <w:tcW w:w="771" w:type="dxa"/>
          </w:tcPr>
          <w:p w14:paraId="49CB0B01">
            <w:pPr>
              <w:pStyle w:val="17"/>
              <w:jc w:val="left"/>
              <w:rPr>
                <w:rFonts w:ascii="Times New Roman"/>
                <w:sz w:val="20"/>
              </w:rPr>
            </w:pPr>
          </w:p>
        </w:tc>
        <w:tc>
          <w:tcPr>
            <w:tcW w:w="772" w:type="dxa"/>
          </w:tcPr>
          <w:p w14:paraId="5C347EF7">
            <w:pPr>
              <w:pStyle w:val="17"/>
              <w:jc w:val="left"/>
              <w:rPr>
                <w:rFonts w:ascii="Times New Roman"/>
                <w:sz w:val="20"/>
              </w:rPr>
            </w:pPr>
          </w:p>
        </w:tc>
        <w:tc>
          <w:tcPr>
            <w:tcW w:w="921" w:type="dxa"/>
          </w:tcPr>
          <w:p w14:paraId="07C1D090">
            <w:pPr>
              <w:pStyle w:val="17"/>
              <w:jc w:val="left"/>
              <w:rPr>
                <w:rFonts w:ascii="Times New Roman"/>
                <w:sz w:val="20"/>
              </w:rPr>
            </w:pPr>
          </w:p>
        </w:tc>
        <w:tc>
          <w:tcPr>
            <w:tcW w:w="1035" w:type="dxa"/>
          </w:tcPr>
          <w:p w14:paraId="177691CB">
            <w:pPr>
              <w:pStyle w:val="17"/>
              <w:spacing w:before="20"/>
              <w:ind w:left="201"/>
              <w:jc w:val="left"/>
              <w:rPr>
                <w:sz w:val="21"/>
              </w:rPr>
            </w:pPr>
            <w:r>
              <w:rPr>
                <w:sz w:val="21"/>
              </w:rPr>
              <w:t>日均值</w:t>
            </w:r>
          </w:p>
        </w:tc>
        <w:tc>
          <w:tcPr>
            <w:tcW w:w="1259" w:type="dxa"/>
          </w:tcPr>
          <w:p w14:paraId="54E05C44">
            <w:pPr>
              <w:pStyle w:val="17"/>
              <w:spacing w:before="34"/>
              <w:ind w:left="217"/>
              <w:jc w:val="left"/>
              <w:rPr>
                <w:rFonts w:ascii="Times New Roman"/>
                <w:sz w:val="21"/>
              </w:rPr>
            </w:pPr>
            <w:r>
              <w:rPr>
                <w:rFonts w:ascii="Times New Roman"/>
                <w:sz w:val="21"/>
              </w:rPr>
              <w:t>2.62E+00</w:t>
            </w:r>
          </w:p>
        </w:tc>
        <w:tc>
          <w:tcPr>
            <w:tcW w:w="1317" w:type="dxa"/>
          </w:tcPr>
          <w:p w14:paraId="11E0FCF6">
            <w:pPr>
              <w:pStyle w:val="17"/>
              <w:spacing w:before="34"/>
              <w:ind w:left="108" w:right="98"/>
              <w:rPr>
                <w:rFonts w:ascii="Times New Roman"/>
                <w:sz w:val="21"/>
              </w:rPr>
            </w:pPr>
            <w:r>
              <w:rPr>
                <w:rFonts w:ascii="Times New Roman"/>
                <w:sz w:val="21"/>
              </w:rPr>
              <w:t>230820</w:t>
            </w:r>
          </w:p>
        </w:tc>
        <w:tc>
          <w:tcPr>
            <w:tcW w:w="1230" w:type="dxa"/>
          </w:tcPr>
          <w:p w14:paraId="73FF7732">
            <w:pPr>
              <w:pStyle w:val="17"/>
              <w:spacing w:before="34"/>
              <w:ind w:left="175" w:right="166"/>
              <w:rPr>
                <w:rFonts w:ascii="Times New Roman"/>
                <w:sz w:val="21"/>
              </w:rPr>
            </w:pPr>
            <w:r>
              <w:rPr>
                <w:rFonts w:ascii="Times New Roman"/>
                <w:sz w:val="21"/>
              </w:rPr>
              <w:t>1.17E+02</w:t>
            </w:r>
          </w:p>
        </w:tc>
        <w:tc>
          <w:tcPr>
            <w:tcW w:w="1725" w:type="dxa"/>
          </w:tcPr>
          <w:p w14:paraId="22536394">
            <w:pPr>
              <w:pStyle w:val="17"/>
              <w:spacing w:before="34"/>
              <w:ind w:left="419" w:right="413"/>
              <w:rPr>
                <w:rFonts w:ascii="Times New Roman"/>
                <w:sz w:val="21"/>
              </w:rPr>
            </w:pPr>
            <w:r>
              <w:rPr>
                <w:rFonts w:ascii="Times New Roman"/>
                <w:sz w:val="21"/>
              </w:rPr>
              <w:t>1.20E+02</w:t>
            </w:r>
          </w:p>
        </w:tc>
        <w:tc>
          <w:tcPr>
            <w:tcW w:w="1230" w:type="dxa"/>
          </w:tcPr>
          <w:p w14:paraId="402EB837">
            <w:pPr>
              <w:pStyle w:val="17"/>
              <w:spacing w:before="34"/>
              <w:ind w:left="174" w:right="166"/>
              <w:rPr>
                <w:rFonts w:ascii="Times New Roman"/>
                <w:sz w:val="21"/>
              </w:rPr>
            </w:pPr>
            <w:r>
              <w:rPr>
                <w:rFonts w:ascii="Times New Roman"/>
                <w:sz w:val="21"/>
              </w:rPr>
              <w:t>3.00E+02</w:t>
            </w:r>
          </w:p>
        </w:tc>
        <w:tc>
          <w:tcPr>
            <w:tcW w:w="1517" w:type="dxa"/>
          </w:tcPr>
          <w:p w14:paraId="053E7250">
            <w:pPr>
              <w:pStyle w:val="17"/>
              <w:spacing w:before="34"/>
              <w:ind w:left="501" w:right="492"/>
              <w:rPr>
                <w:rFonts w:ascii="Times New Roman"/>
                <w:sz w:val="21"/>
              </w:rPr>
            </w:pPr>
            <w:r>
              <w:rPr>
                <w:rFonts w:ascii="Times New Roman"/>
                <w:sz w:val="21"/>
              </w:rPr>
              <w:t>39.87</w:t>
            </w:r>
          </w:p>
        </w:tc>
        <w:tc>
          <w:tcPr>
            <w:tcW w:w="712" w:type="dxa"/>
            <w:tcBorders>
              <w:right w:val="nil"/>
            </w:tcBorders>
          </w:tcPr>
          <w:p w14:paraId="55CD9A5A">
            <w:pPr>
              <w:pStyle w:val="17"/>
              <w:spacing w:before="20"/>
              <w:ind w:left="122" w:right="121"/>
              <w:rPr>
                <w:sz w:val="21"/>
              </w:rPr>
            </w:pPr>
            <w:r>
              <w:rPr>
                <w:sz w:val="21"/>
              </w:rPr>
              <w:t>达标</w:t>
            </w:r>
          </w:p>
        </w:tc>
      </w:tr>
      <w:tr w14:paraId="6C429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AE14224">
            <w:pPr>
              <w:pStyle w:val="17"/>
              <w:jc w:val="left"/>
              <w:rPr>
                <w:rFonts w:ascii="Times New Roman"/>
                <w:sz w:val="20"/>
              </w:rPr>
            </w:pPr>
          </w:p>
        </w:tc>
        <w:tc>
          <w:tcPr>
            <w:tcW w:w="1265" w:type="dxa"/>
          </w:tcPr>
          <w:p w14:paraId="7FCA751C">
            <w:pPr>
              <w:pStyle w:val="17"/>
              <w:jc w:val="left"/>
              <w:rPr>
                <w:rFonts w:ascii="Times New Roman"/>
                <w:sz w:val="20"/>
              </w:rPr>
            </w:pPr>
          </w:p>
        </w:tc>
        <w:tc>
          <w:tcPr>
            <w:tcW w:w="771" w:type="dxa"/>
          </w:tcPr>
          <w:p w14:paraId="01D5D758">
            <w:pPr>
              <w:pStyle w:val="17"/>
              <w:jc w:val="left"/>
              <w:rPr>
                <w:rFonts w:ascii="Times New Roman"/>
                <w:sz w:val="20"/>
              </w:rPr>
            </w:pPr>
          </w:p>
        </w:tc>
        <w:tc>
          <w:tcPr>
            <w:tcW w:w="772" w:type="dxa"/>
          </w:tcPr>
          <w:p w14:paraId="0AEF6573">
            <w:pPr>
              <w:pStyle w:val="17"/>
              <w:jc w:val="left"/>
              <w:rPr>
                <w:rFonts w:ascii="Times New Roman"/>
                <w:sz w:val="20"/>
              </w:rPr>
            </w:pPr>
          </w:p>
        </w:tc>
        <w:tc>
          <w:tcPr>
            <w:tcW w:w="921" w:type="dxa"/>
          </w:tcPr>
          <w:p w14:paraId="353B23B9">
            <w:pPr>
              <w:pStyle w:val="17"/>
              <w:jc w:val="left"/>
              <w:rPr>
                <w:rFonts w:ascii="Times New Roman"/>
                <w:sz w:val="20"/>
              </w:rPr>
            </w:pPr>
          </w:p>
        </w:tc>
        <w:tc>
          <w:tcPr>
            <w:tcW w:w="1035" w:type="dxa"/>
          </w:tcPr>
          <w:p w14:paraId="676C491D">
            <w:pPr>
              <w:pStyle w:val="17"/>
              <w:spacing w:before="20"/>
              <w:ind w:left="201"/>
              <w:jc w:val="left"/>
              <w:rPr>
                <w:sz w:val="21"/>
              </w:rPr>
            </w:pPr>
            <w:r>
              <w:rPr>
                <w:sz w:val="21"/>
              </w:rPr>
              <w:t>年均值</w:t>
            </w:r>
          </w:p>
        </w:tc>
        <w:tc>
          <w:tcPr>
            <w:tcW w:w="1259" w:type="dxa"/>
          </w:tcPr>
          <w:p w14:paraId="4D724339">
            <w:pPr>
              <w:pStyle w:val="17"/>
              <w:spacing w:before="34"/>
              <w:ind w:left="241"/>
              <w:jc w:val="left"/>
              <w:rPr>
                <w:rFonts w:ascii="Times New Roman"/>
                <w:sz w:val="21"/>
              </w:rPr>
            </w:pPr>
            <w:r>
              <w:rPr>
                <w:rFonts w:ascii="Times New Roman"/>
                <w:sz w:val="21"/>
              </w:rPr>
              <w:t>2.10E-01</w:t>
            </w:r>
          </w:p>
        </w:tc>
        <w:tc>
          <w:tcPr>
            <w:tcW w:w="1317" w:type="dxa"/>
          </w:tcPr>
          <w:p w14:paraId="3E73DA62">
            <w:pPr>
              <w:pStyle w:val="17"/>
              <w:spacing w:before="20"/>
              <w:ind w:left="107" w:right="98"/>
              <w:rPr>
                <w:sz w:val="21"/>
              </w:rPr>
            </w:pPr>
            <w:r>
              <w:rPr>
                <w:sz w:val="21"/>
              </w:rPr>
              <w:t>平均值</w:t>
            </w:r>
          </w:p>
        </w:tc>
        <w:tc>
          <w:tcPr>
            <w:tcW w:w="1230" w:type="dxa"/>
          </w:tcPr>
          <w:p w14:paraId="0F10A89C">
            <w:pPr>
              <w:pStyle w:val="17"/>
              <w:spacing w:before="34"/>
              <w:ind w:left="175" w:right="166"/>
              <w:rPr>
                <w:rFonts w:ascii="Times New Roman"/>
                <w:sz w:val="21"/>
              </w:rPr>
            </w:pPr>
            <w:r>
              <w:rPr>
                <w:rFonts w:ascii="Times New Roman"/>
                <w:sz w:val="21"/>
              </w:rPr>
              <w:t>1.20E+02</w:t>
            </w:r>
          </w:p>
        </w:tc>
        <w:tc>
          <w:tcPr>
            <w:tcW w:w="1725" w:type="dxa"/>
          </w:tcPr>
          <w:p w14:paraId="69DA6F83">
            <w:pPr>
              <w:pStyle w:val="17"/>
              <w:spacing w:before="34"/>
              <w:ind w:left="419" w:right="413"/>
              <w:rPr>
                <w:rFonts w:ascii="Times New Roman"/>
                <w:sz w:val="21"/>
              </w:rPr>
            </w:pPr>
            <w:r>
              <w:rPr>
                <w:rFonts w:ascii="Times New Roman"/>
                <w:sz w:val="21"/>
              </w:rPr>
              <w:t>1.20E+02</w:t>
            </w:r>
          </w:p>
        </w:tc>
        <w:tc>
          <w:tcPr>
            <w:tcW w:w="1230" w:type="dxa"/>
          </w:tcPr>
          <w:p w14:paraId="2CA8E0F4">
            <w:pPr>
              <w:pStyle w:val="17"/>
              <w:spacing w:before="34"/>
              <w:ind w:left="174" w:right="166"/>
              <w:rPr>
                <w:rFonts w:ascii="Times New Roman"/>
                <w:sz w:val="21"/>
              </w:rPr>
            </w:pPr>
            <w:r>
              <w:rPr>
                <w:rFonts w:ascii="Times New Roman"/>
                <w:sz w:val="21"/>
              </w:rPr>
              <w:t>2.00E+02</w:t>
            </w:r>
          </w:p>
        </w:tc>
        <w:tc>
          <w:tcPr>
            <w:tcW w:w="1517" w:type="dxa"/>
          </w:tcPr>
          <w:p w14:paraId="0B1D1DE5">
            <w:pPr>
              <w:pStyle w:val="17"/>
              <w:spacing w:before="34"/>
              <w:ind w:left="501" w:right="492"/>
              <w:rPr>
                <w:rFonts w:ascii="Times New Roman"/>
                <w:sz w:val="21"/>
              </w:rPr>
            </w:pPr>
            <w:r>
              <w:rPr>
                <w:rFonts w:ascii="Times New Roman"/>
                <w:sz w:val="21"/>
              </w:rPr>
              <w:t>60.11</w:t>
            </w:r>
          </w:p>
        </w:tc>
        <w:tc>
          <w:tcPr>
            <w:tcW w:w="712" w:type="dxa"/>
            <w:tcBorders>
              <w:right w:val="nil"/>
            </w:tcBorders>
          </w:tcPr>
          <w:p w14:paraId="3D236BD5">
            <w:pPr>
              <w:pStyle w:val="17"/>
              <w:spacing w:before="20"/>
              <w:ind w:left="122" w:right="121"/>
              <w:rPr>
                <w:sz w:val="21"/>
              </w:rPr>
            </w:pPr>
            <w:r>
              <w:rPr>
                <w:sz w:val="21"/>
              </w:rPr>
              <w:t>达标</w:t>
            </w:r>
          </w:p>
        </w:tc>
      </w:tr>
      <w:tr w14:paraId="6A275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44C06D8">
            <w:pPr>
              <w:pStyle w:val="17"/>
              <w:spacing w:before="36"/>
              <w:ind w:right="169"/>
              <w:jc w:val="right"/>
              <w:rPr>
                <w:rFonts w:ascii="Times New Roman"/>
                <w:sz w:val="21"/>
              </w:rPr>
            </w:pPr>
            <w:r>
              <w:rPr>
                <w:rFonts w:ascii="Times New Roman"/>
                <w:w w:val="99"/>
                <w:sz w:val="21"/>
              </w:rPr>
              <w:t>4</w:t>
            </w:r>
          </w:p>
        </w:tc>
        <w:tc>
          <w:tcPr>
            <w:tcW w:w="1265" w:type="dxa"/>
          </w:tcPr>
          <w:p w14:paraId="026C6ACF">
            <w:pPr>
              <w:pStyle w:val="17"/>
              <w:spacing w:before="22"/>
              <w:ind w:left="189" w:right="186"/>
              <w:rPr>
                <w:sz w:val="21"/>
              </w:rPr>
            </w:pPr>
            <w:r>
              <w:rPr>
                <w:sz w:val="21"/>
              </w:rPr>
              <w:t>童家塅村</w:t>
            </w:r>
          </w:p>
        </w:tc>
        <w:tc>
          <w:tcPr>
            <w:tcW w:w="771" w:type="dxa"/>
          </w:tcPr>
          <w:p w14:paraId="49683644">
            <w:pPr>
              <w:pStyle w:val="17"/>
              <w:spacing w:before="36"/>
              <w:ind w:right="129"/>
              <w:jc w:val="right"/>
              <w:rPr>
                <w:rFonts w:ascii="Times New Roman"/>
                <w:sz w:val="21"/>
              </w:rPr>
            </w:pPr>
            <w:r>
              <w:rPr>
                <w:rFonts w:ascii="Times New Roman"/>
                <w:w w:val="95"/>
                <w:sz w:val="21"/>
              </w:rPr>
              <w:t>-4436</w:t>
            </w:r>
          </w:p>
        </w:tc>
        <w:tc>
          <w:tcPr>
            <w:tcW w:w="772" w:type="dxa"/>
          </w:tcPr>
          <w:p w14:paraId="7085BE56">
            <w:pPr>
              <w:pStyle w:val="17"/>
              <w:spacing w:before="36"/>
              <w:ind w:left="226"/>
              <w:jc w:val="left"/>
              <w:rPr>
                <w:rFonts w:ascii="Times New Roman"/>
                <w:sz w:val="21"/>
              </w:rPr>
            </w:pPr>
            <w:r>
              <w:rPr>
                <w:rFonts w:ascii="Times New Roman"/>
                <w:sz w:val="21"/>
              </w:rPr>
              <w:t>374</w:t>
            </w:r>
          </w:p>
        </w:tc>
        <w:tc>
          <w:tcPr>
            <w:tcW w:w="921" w:type="dxa"/>
          </w:tcPr>
          <w:p w14:paraId="1C43D0D3">
            <w:pPr>
              <w:pStyle w:val="17"/>
              <w:spacing w:before="36"/>
              <w:ind w:left="203" w:right="195"/>
              <w:rPr>
                <w:rFonts w:ascii="Times New Roman"/>
                <w:sz w:val="21"/>
              </w:rPr>
            </w:pPr>
            <w:r>
              <w:rPr>
                <w:rFonts w:ascii="Times New Roman"/>
                <w:sz w:val="21"/>
              </w:rPr>
              <w:t>43.33</w:t>
            </w:r>
          </w:p>
        </w:tc>
        <w:tc>
          <w:tcPr>
            <w:tcW w:w="1035" w:type="dxa"/>
          </w:tcPr>
          <w:p w14:paraId="75962F44">
            <w:pPr>
              <w:pStyle w:val="17"/>
              <w:spacing w:before="19"/>
              <w:ind w:left="201"/>
              <w:jc w:val="left"/>
              <w:rPr>
                <w:sz w:val="21"/>
              </w:rPr>
            </w:pPr>
            <w:r>
              <w:rPr>
                <w:sz w:val="21"/>
              </w:rPr>
              <w:t>小时值</w:t>
            </w:r>
          </w:p>
        </w:tc>
        <w:tc>
          <w:tcPr>
            <w:tcW w:w="1259" w:type="dxa"/>
          </w:tcPr>
          <w:p w14:paraId="4F90E1F7">
            <w:pPr>
              <w:pStyle w:val="17"/>
              <w:spacing w:before="36"/>
              <w:ind w:left="217"/>
              <w:jc w:val="left"/>
              <w:rPr>
                <w:rFonts w:ascii="Times New Roman"/>
                <w:sz w:val="21"/>
              </w:rPr>
            </w:pPr>
            <w:r>
              <w:rPr>
                <w:rFonts w:ascii="Times New Roman"/>
                <w:sz w:val="21"/>
              </w:rPr>
              <w:t>3.64E+01</w:t>
            </w:r>
          </w:p>
        </w:tc>
        <w:tc>
          <w:tcPr>
            <w:tcW w:w="1317" w:type="dxa"/>
          </w:tcPr>
          <w:p w14:paraId="19573EDB">
            <w:pPr>
              <w:pStyle w:val="17"/>
              <w:spacing w:before="36"/>
              <w:ind w:left="108" w:right="98"/>
              <w:rPr>
                <w:rFonts w:ascii="Times New Roman"/>
                <w:sz w:val="21"/>
              </w:rPr>
            </w:pPr>
            <w:r>
              <w:rPr>
                <w:rFonts w:ascii="Times New Roman"/>
                <w:sz w:val="21"/>
              </w:rPr>
              <w:t>23062304</w:t>
            </w:r>
          </w:p>
        </w:tc>
        <w:tc>
          <w:tcPr>
            <w:tcW w:w="1230" w:type="dxa"/>
          </w:tcPr>
          <w:p w14:paraId="60948238">
            <w:pPr>
              <w:pStyle w:val="17"/>
              <w:spacing w:before="36"/>
              <w:ind w:left="175" w:right="166"/>
              <w:rPr>
                <w:rFonts w:ascii="Times New Roman"/>
                <w:sz w:val="21"/>
              </w:rPr>
            </w:pPr>
            <w:r>
              <w:rPr>
                <w:rFonts w:ascii="Times New Roman"/>
                <w:sz w:val="21"/>
              </w:rPr>
              <w:t>0.00E+00</w:t>
            </w:r>
          </w:p>
        </w:tc>
        <w:tc>
          <w:tcPr>
            <w:tcW w:w="1725" w:type="dxa"/>
          </w:tcPr>
          <w:p w14:paraId="21655D21">
            <w:pPr>
              <w:pStyle w:val="17"/>
              <w:spacing w:before="36"/>
              <w:ind w:left="419" w:right="413"/>
              <w:rPr>
                <w:rFonts w:ascii="Times New Roman"/>
                <w:sz w:val="21"/>
              </w:rPr>
            </w:pPr>
            <w:r>
              <w:rPr>
                <w:rFonts w:ascii="Times New Roman"/>
                <w:sz w:val="21"/>
              </w:rPr>
              <w:t>3.64E+01</w:t>
            </w:r>
          </w:p>
        </w:tc>
        <w:tc>
          <w:tcPr>
            <w:tcW w:w="1230" w:type="dxa"/>
          </w:tcPr>
          <w:p w14:paraId="1BF6180F">
            <w:pPr>
              <w:pStyle w:val="17"/>
              <w:spacing w:before="36"/>
              <w:ind w:left="174" w:right="166"/>
              <w:rPr>
                <w:rFonts w:ascii="Times New Roman"/>
                <w:sz w:val="21"/>
              </w:rPr>
            </w:pPr>
            <w:r>
              <w:rPr>
                <w:rFonts w:ascii="Times New Roman"/>
                <w:sz w:val="21"/>
              </w:rPr>
              <w:t>9.00E+02</w:t>
            </w:r>
          </w:p>
        </w:tc>
        <w:tc>
          <w:tcPr>
            <w:tcW w:w="1517" w:type="dxa"/>
          </w:tcPr>
          <w:p w14:paraId="4E5C6877">
            <w:pPr>
              <w:pStyle w:val="17"/>
              <w:spacing w:before="36"/>
              <w:ind w:left="499" w:right="492"/>
              <w:rPr>
                <w:rFonts w:ascii="Times New Roman"/>
                <w:sz w:val="21"/>
              </w:rPr>
            </w:pPr>
            <w:r>
              <w:rPr>
                <w:rFonts w:ascii="Times New Roman"/>
                <w:sz w:val="21"/>
              </w:rPr>
              <w:t>4.05</w:t>
            </w:r>
          </w:p>
        </w:tc>
        <w:tc>
          <w:tcPr>
            <w:tcW w:w="712" w:type="dxa"/>
            <w:tcBorders>
              <w:right w:val="nil"/>
            </w:tcBorders>
          </w:tcPr>
          <w:p w14:paraId="22C38D8F">
            <w:pPr>
              <w:pStyle w:val="17"/>
              <w:spacing w:before="19"/>
              <w:ind w:left="122" w:right="121"/>
              <w:rPr>
                <w:sz w:val="21"/>
              </w:rPr>
            </w:pPr>
            <w:r>
              <w:rPr>
                <w:sz w:val="21"/>
              </w:rPr>
              <w:t>达标</w:t>
            </w:r>
          </w:p>
        </w:tc>
      </w:tr>
      <w:tr w14:paraId="1CFED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E70D549">
            <w:pPr>
              <w:pStyle w:val="17"/>
              <w:jc w:val="left"/>
              <w:rPr>
                <w:rFonts w:ascii="Times New Roman"/>
                <w:sz w:val="20"/>
              </w:rPr>
            </w:pPr>
          </w:p>
        </w:tc>
        <w:tc>
          <w:tcPr>
            <w:tcW w:w="1265" w:type="dxa"/>
          </w:tcPr>
          <w:p w14:paraId="31B77419">
            <w:pPr>
              <w:pStyle w:val="17"/>
              <w:jc w:val="left"/>
              <w:rPr>
                <w:rFonts w:ascii="Times New Roman"/>
                <w:sz w:val="20"/>
              </w:rPr>
            </w:pPr>
          </w:p>
        </w:tc>
        <w:tc>
          <w:tcPr>
            <w:tcW w:w="771" w:type="dxa"/>
          </w:tcPr>
          <w:p w14:paraId="6EF8FCF7">
            <w:pPr>
              <w:pStyle w:val="17"/>
              <w:jc w:val="left"/>
              <w:rPr>
                <w:rFonts w:ascii="Times New Roman"/>
                <w:sz w:val="20"/>
              </w:rPr>
            </w:pPr>
          </w:p>
        </w:tc>
        <w:tc>
          <w:tcPr>
            <w:tcW w:w="772" w:type="dxa"/>
          </w:tcPr>
          <w:p w14:paraId="4C3EF791">
            <w:pPr>
              <w:pStyle w:val="17"/>
              <w:jc w:val="left"/>
              <w:rPr>
                <w:rFonts w:ascii="Times New Roman"/>
                <w:sz w:val="20"/>
              </w:rPr>
            </w:pPr>
          </w:p>
        </w:tc>
        <w:tc>
          <w:tcPr>
            <w:tcW w:w="921" w:type="dxa"/>
          </w:tcPr>
          <w:p w14:paraId="76C510EC">
            <w:pPr>
              <w:pStyle w:val="17"/>
              <w:jc w:val="left"/>
              <w:rPr>
                <w:rFonts w:ascii="Times New Roman"/>
                <w:sz w:val="20"/>
              </w:rPr>
            </w:pPr>
          </w:p>
        </w:tc>
        <w:tc>
          <w:tcPr>
            <w:tcW w:w="1035" w:type="dxa"/>
          </w:tcPr>
          <w:p w14:paraId="33157DF8">
            <w:pPr>
              <w:pStyle w:val="17"/>
              <w:spacing w:before="19"/>
              <w:ind w:left="201"/>
              <w:jc w:val="left"/>
              <w:rPr>
                <w:sz w:val="21"/>
              </w:rPr>
            </w:pPr>
            <w:r>
              <w:rPr>
                <w:sz w:val="21"/>
              </w:rPr>
              <w:t>日均值</w:t>
            </w:r>
          </w:p>
        </w:tc>
        <w:tc>
          <w:tcPr>
            <w:tcW w:w="1259" w:type="dxa"/>
          </w:tcPr>
          <w:p w14:paraId="5475753F">
            <w:pPr>
              <w:pStyle w:val="17"/>
              <w:spacing w:before="35"/>
              <w:ind w:left="217"/>
              <w:jc w:val="left"/>
              <w:rPr>
                <w:rFonts w:ascii="Times New Roman"/>
                <w:sz w:val="21"/>
              </w:rPr>
            </w:pPr>
            <w:r>
              <w:rPr>
                <w:rFonts w:ascii="Times New Roman"/>
                <w:sz w:val="21"/>
              </w:rPr>
              <w:t>2.42E+00</w:t>
            </w:r>
          </w:p>
        </w:tc>
        <w:tc>
          <w:tcPr>
            <w:tcW w:w="1317" w:type="dxa"/>
          </w:tcPr>
          <w:p w14:paraId="32F45CC0">
            <w:pPr>
              <w:pStyle w:val="17"/>
              <w:spacing w:before="35"/>
              <w:ind w:left="108" w:right="96"/>
              <w:rPr>
                <w:rFonts w:ascii="Times New Roman"/>
                <w:sz w:val="21"/>
              </w:rPr>
            </w:pPr>
            <w:r>
              <w:rPr>
                <w:rFonts w:ascii="Times New Roman"/>
                <w:sz w:val="21"/>
              </w:rPr>
              <w:t>230111</w:t>
            </w:r>
          </w:p>
        </w:tc>
        <w:tc>
          <w:tcPr>
            <w:tcW w:w="1230" w:type="dxa"/>
          </w:tcPr>
          <w:p w14:paraId="4A87A66D">
            <w:pPr>
              <w:pStyle w:val="17"/>
              <w:spacing w:before="35"/>
              <w:ind w:left="175" w:right="166"/>
              <w:rPr>
                <w:rFonts w:ascii="Times New Roman"/>
                <w:sz w:val="21"/>
              </w:rPr>
            </w:pPr>
            <w:r>
              <w:rPr>
                <w:rFonts w:ascii="Times New Roman"/>
                <w:sz w:val="21"/>
              </w:rPr>
              <w:t>1.17E+02</w:t>
            </w:r>
          </w:p>
        </w:tc>
        <w:tc>
          <w:tcPr>
            <w:tcW w:w="1725" w:type="dxa"/>
          </w:tcPr>
          <w:p w14:paraId="573E443E">
            <w:pPr>
              <w:pStyle w:val="17"/>
              <w:spacing w:before="35"/>
              <w:ind w:left="419" w:right="413"/>
              <w:rPr>
                <w:rFonts w:ascii="Times New Roman"/>
                <w:sz w:val="21"/>
              </w:rPr>
            </w:pPr>
            <w:r>
              <w:rPr>
                <w:rFonts w:ascii="Times New Roman"/>
                <w:sz w:val="21"/>
              </w:rPr>
              <w:t>1.19E+02</w:t>
            </w:r>
          </w:p>
        </w:tc>
        <w:tc>
          <w:tcPr>
            <w:tcW w:w="1230" w:type="dxa"/>
          </w:tcPr>
          <w:p w14:paraId="654C2ABE">
            <w:pPr>
              <w:pStyle w:val="17"/>
              <w:spacing w:before="35"/>
              <w:ind w:left="174" w:right="166"/>
              <w:rPr>
                <w:rFonts w:ascii="Times New Roman"/>
                <w:sz w:val="21"/>
              </w:rPr>
            </w:pPr>
            <w:r>
              <w:rPr>
                <w:rFonts w:ascii="Times New Roman"/>
                <w:sz w:val="21"/>
              </w:rPr>
              <w:t>3.00E+02</w:t>
            </w:r>
          </w:p>
        </w:tc>
        <w:tc>
          <w:tcPr>
            <w:tcW w:w="1517" w:type="dxa"/>
          </w:tcPr>
          <w:p w14:paraId="2EC3045A">
            <w:pPr>
              <w:pStyle w:val="17"/>
              <w:spacing w:before="35"/>
              <w:ind w:left="501" w:right="492"/>
              <w:rPr>
                <w:rFonts w:ascii="Times New Roman"/>
                <w:sz w:val="21"/>
              </w:rPr>
            </w:pPr>
            <w:r>
              <w:rPr>
                <w:rFonts w:ascii="Times New Roman"/>
                <w:sz w:val="21"/>
              </w:rPr>
              <w:t>39.81</w:t>
            </w:r>
          </w:p>
        </w:tc>
        <w:tc>
          <w:tcPr>
            <w:tcW w:w="712" w:type="dxa"/>
            <w:tcBorders>
              <w:right w:val="nil"/>
            </w:tcBorders>
          </w:tcPr>
          <w:p w14:paraId="224583A1">
            <w:pPr>
              <w:pStyle w:val="17"/>
              <w:spacing w:before="19"/>
              <w:ind w:left="122" w:right="121"/>
              <w:rPr>
                <w:sz w:val="21"/>
              </w:rPr>
            </w:pPr>
            <w:r>
              <w:rPr>
                <w:sz w:val="21"/>
              </w:rPr>
              <w:t>达标</w:t>
            </w:r>
          </w:p>
        </w:tc>
      </w:tr>
      <w:tr w14:paraId="4EF2E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98B942F">
            <w:pPr>
              <w:pStyle w:val="17"/>
              <w:jc w:val="left"/>
              <w:rPr>
                <w:rFonts w:ascii="Times New Roman"/>
                <w:sz w:val="20"/>
              </w:rPr>
            </w:pPr>
          </w:p>
        </w:tc>
        <w:tc>
          <w:tcPr>
            <w:tcW w:w="1265" w:type="dxa"/>
          </w:tcPr>
          <w:p w14:paraId="26024661">
            <w:pPr>
              <w:pStyle w:val="17"/>
              <w:jc w:val="left"/>
              <w:rPr>
                <w:rFonts w:ascii="Times New Roman"/>
                <w:sz w:val="20"/>
              </w:rPr>
            </w:pPr>
          </w:p>
        </w:tc>
        <w:tc>
          <w:tcPr>
            <w:tcW w:w="771" w:type="dxa"/>
          </w:tcPr>
          <w:p w14:paraId="4FC0C156">
            <w:pPr>
              <w:pStyle w:val="17"/>
              <w:jc w:val="left"/>
              <w:rPr>
                <w:rFonts w:ascii="Times New Roman"/>
                <w:sz w:val="20"/>
              </w:rPr>
            </w:pPr>
          </w:p>
        </w:tc>
        <w:tc>
          <w:tcPr>
            <w:tcW w:w="772" w:type="dxa"/>
          </w:tcPr>
          <w:p w14:paraId="037EE8ED">
            <w:pPr>
              <w:pStyle w:val="17"/>
              <w:jc w:val="left"/>
              <w:rPr>
                <w:rFonts w:ascii="Times New Roman"/>
                <w:sz w:val="20"/>
              </w:rPr>
            </w:pPr>
          </w:p>
        </w:tc>
        <w:tc>
          <w:tcPr>
            <w:tcW w:w="921" w:type="dxa"/>
          </w:tcPr>
          <w:p w14:paraId="65E8060C">
            <w:pPr>
              <w:pStyle w:val="17"/>
              <w:jc w:val="left"/>
              <w:rPr>
                <w:rFonts w:ascii="Times New Roman"/>
                <w:sz w:val="20"/>
              </w:rPr>
            </w:pPr>
          </w:p>
        </w:tc>
        <w:tc>
          <w:tcPr>
            <w:tcW w:w="1035" w:type="dxa"/>
          </w:tcPr>
          <w:p w14:paraId="794BF836">
            <w:pPr>
              <w:pStyle w:val="17"/>
              <w:spacing w:before="19"/>
              <w:ind w:left="201"/>
              <w:jc w:val="left"/>
              <w:rPr>
                <w:sz w:val="21"/>
              </w:rPr>
            </w:pPr>
            <w:r>
              <w:rPr>
                <w:sz w:val="21"/>
              </w:rPr>
              <w:t>年均值</w:t>
            </w:r>
          </w:p>
        </w:tc>
        <w:tc>
          <w:tcPr>
            <w:tcW w:w="1259" w:type="dxa"/>
          </w:tcPr>
          <w:p w14:paraId="483E6B6B">
            <w:pPr>
              <w:pStyle w:val="17"/>
              <w:spacing w:before="35"/>
              <w:ind w:left="241"/>
              <w:jc w:val="left"/>
              <w:rPr>
                <w:rFonts w:ascii="Times New Roman"/>
                <w:sz w:val="21"/>
              </w:rPr>
            </w:pPr>
            <w:r>
              <w:rPr>
                <w:rFonts w:ascii="Times New Roman"/>
                <w:sz w:val="21"/>
              </w:rPr>
              <w:t>1.49E-01</w:t>
            </w:r>
          </w:p>
        </w:tc>
        <w:tc>
          <w:tcPr>
            <w:tcW w:w="1317" w:type="dxa"/>
          </w:tcPr>
          <w:p w14:paraId="59AF7F8A">
            <w:pPr>
              <w:pStyle w:val="17"/>
              <w:spacing w:before="19"/>
              <w:ind w:left="107" w:right="98"/>
              <w:rPr>
                <w:sz w:val="21"/>
              </w:rPr>
            </w:pPr>
            <w:r>
              <w:rPr>
                <w:sz w:val="21"/>
              </w:rPr>
              <w:t>平均值</w:t>
            </w:r>
          </w:p>
        </w:tc>
        <w:tc>
          <w:tcPr>
            <w:tcW w:w="1230" w:type="dxa"/>
          </w:tcPr>
          <w:p w14:paraId="332D9275">
            <w:pPr>
              <w:pStyle w:val="17"/>
              <w:spacing w:before="35"/>
              <w:ind w:left="175" w:right="166"/>
              <w:rPr>
                <w:rFonts w:ascii="Times New Roman"/>
                <w:sz w:val="21"/>
              </w:rPr>
            </w:pPr>
            <w:r>
              <w:rPr>
                <w:rFonts w:ascii="Times New Roman"/>
                <w:sz w:val="21"/>
              </w:rPr>
              <w:t>1.20E+02</w:t>
            </w:r>
          </w:p>
        </w:tc>
        <w:tc>
          <w:tcPr>
            <w:tcW w:w="1725" w:type="dxa"/>
          </w:tcPr>
          <w:p w14:paraId="65BC94ED">
            <w:pPr>
              <w:pStyle w:val="17"/>
              <w:spacing w:before="35"/>
              <w:ind w:left="419" w:right="413"/>
              <w:rPr>
                <w:rFonts w:ascii="Times New Roman"/>
                <w:sz w:val="21"/>
              </w:rPr>
            </w:pPr>
            <w:r>
              <w:rPr>
                <w:rFonts w:ascii="Times New Roman"/>
                <w:sz w:val="21"/>
              </w:rPr>
              <w:t>1.20E+02</w:t>
            </w:r>
          </w:p>
        </w:tc>
        <w:tc>
          <w:tcPr>
            <w:tcW w:w="1230" w:type="dxa"/>
          </w:tcPr>
          <w:p w14:paraId="74830318">
            <w:pPr>
              <w:pStyle w:val="17"/>
              <w:spacing w:before="35"/>
              <w:ind w:left="174" w:right="166"/>
              <w:rPr>
                <w:rFonts w:ascii="Times New Roman"/>
                <w:sz w:val="21"/>
              </w:rPr>
            </w:pPr>
            <w:r>
              <w:rPr>
                <w:rFonts w:ascii="Times New Roman"/>
                <w:sz w:val="21"/>
              </w:rPr>
              <w:t>2.00E+02</w:t>
            </w:r>
          </w:p>
        </w:tc>
        <w:tc>
          <w:tcPr>
            <w:tcW w:w="1517" w:type="dxa"/>
          </w:tcPr>
          <w:p w14:paraId="4F9B6EF9">
            <w:pPr>
              <w:pStyle w:val="17"/>
              <w:spacing w:before="35"/>
              <w:ind w:left="501" w:right="492"/>
              <w:rPr>
                <w:rFonts w:ascii="Times New Roman"/>
                <w:sz w:val="21"/>
              </w:rPr>
            </w:pPr>
            <w:r>
              <w:rPr>
                <w:rFonts w:ascii="Times New Roman"/>
                <w:sz w:val="21"/>
              </w:rPr>
              <w:t>60.07</w:t>
            </w:r>
          </w:p>
        </w:tc>
        <w:tc>
          <w:tcPr>
            <w:tcW w:w="712" w:type="dxa"/>
            <w:tcBorders>
              <w:right w:val="nil"/>
            </w:tcBorders>
          </w:tcPr>
          <w:p w14:paraId="12C04B86">
            <w:pPr>
              <w:pStyle w:val="17"/>
              <w:spacing w:before="19"/>
              <w:ind w:left="122" w:right="121"/>
              <w:rPr>
                <w:sz w:val="21"/>
              </w:rPr>
            </w:pPr>
            <w:r>
              <w:rPr>
                <w:sz w:val="21"/>
              </w:rPr>
              <w:t>达标</w:t>
            </w:r>
          </w:p>
        </w:tc>
      </w:tr>
      <w:tr w14:paraId="44DB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79FA5F3">
            <w:pPr>
              <w:pStyle w:val="17"/>
              <w:spacing w:before="35"/>
              <w:ind w:right="169"/>
              <w:jc w:val="right"/>
              <w:rPr>
                <w:rFonts w:ascii="Times New Roman"/>
                <w:sz w:val="21"/>
              </w:rPr>
            </w:pPr>
            <w:r>
              <w:rPr>
                <w:rFonts w:ascii="Times New Roman"/>
                <w:w w:val="99"/>
                <w:sz w:val="21"/>
              </w:rPr>
              <w:t>5</w:t>
            </w:r>
          </w:p>
        </w:tc>
        <w:tc>
          <w:tcPr>
            <w:tcW w:w="1265" w:type="dxa"/>
          </w:tcPr>
          <w:p w14:paraId="36C71865">
            <w:pPr>
              <w:pStyle w:val="17"/>
              <w:spacing w:before="21"/>
              <w:ind w:left="189" w:right="183"/>
              <w:rPr>
                <w:sz w:val="21"/>
              </w:rPr>
            </w:pPr>
            <w:r>
              <w:rPr>
                <w:sz w:val="21"/>
              </w:rPr>
              <w:t>武莲村</w:t>
            </w:r>
          </w:p>
        </w:tc>
        <w:tc>
          <w:tcPr>
            <w:tcW w:w="771" w:type="dxa"/>
          </w:tcPr>
          <w:p w14:paraId="39F2750F">
            <w:pPr>
              <w:pStyle w:val="17"/>
              <w:spacing w:before="35"/>
              <w:ind w:right="235"/>
              <w:jc w:val="right"/>
              <w:rPr>
                <w:rFonts w:ascii="Times New Roman"/>
                <w:sz w:val="21"/>
              </w:rPr>
            </w:pPr>
            <w:r>
              <w:rPr>
                <w:rFonts w:ascii="Times New Roman"/>
                <w:w w:val="95"/>
                <w:sz w:val="21"/>
              </w:rPr>
              <w:t>-63</w:t>
            </w:r>
          </w:p>
        </w:tc>
        <w:tc>
          <w:tcPr>
            <w:tcW w:w="772" w:type="dxa"/>
          </w:tcPr>
          <w:p w14:paraId="608D41ED">
            <w:pPr>
              <w:pStyle w:val="17"/>
              <w:spacing w:before="35"/>
              <w:ind w:right="167"/>
              <w:jc w:val="right"/>
              <w:rPr>
                <w:rFonts w:ascii="Times New Roman"/>
                <w:sz w:val="21"/>
              </w:rPr>
            </w:pPr>
            <w:r>
              <w:rPr>
                <w:rFonts w:ascii="Times New Roman"/>
                <w:sz w:val="21"/>
              </w:rPr>
              <w:t>1191</w:t>
            </w:r>
          </w:p>
        </w:tc>
        <w:tc>
          <w:tcPr>
            <w:tcW w:w="921" w:type="dxa"/>
          </w:tcPr>
          <w:p w14:paraId="42EDF427">
            <w:pPr>
              <w:pStyle w:val="17"/>
              <w:spacing w:before="35"/>
              <w:ind w:left="203" w:right="195"/>
              <w:rPr>
                <w:rFonts w:ascii="Times New Roman"/>
                <w:sz w:val="21"/>
              </w:rPr>
            </w:pPr>
            <w:r>
              <w:rPr>
                <w:rFonts w:ascii="Times New Roman"/>
                <w:sz w:val="21"/>
              </w:rPr>
              <w:t>39.28</w:t>
            </w:r>
          </w:p>
        </w:tc>
        <w:tc>
          <w:tcPr>
            <w:tcW w:w="1035" w:type="dxa"/>
          </w:tcPr>
          <w:p w14:paraId="17EC93D1">
            <w:pPr>
              <w:pStyle w:val="17"/>
              <w:spacing w:before="21"/>
              <w:ind w:left="201"/>
              <w:jc w:val="left"/>
              <w:rPr>
                <w:sz w:val="21"/>
              </w:rPr>
            </w:pPr>
            <w:r>
              <w:rPr>
                <w:sz w:val="21"/>
              </w:rPr>
              <w:t>小时值</w:t>
            </w:r>
          </w:p>
        </w:tc>
        <w:tc>
          <w:tcPr>
            <w:tcW w:w="1259" w:type="dxa"/>
          </w:tcPr>
          <w:p w14:paraId="2401CA7A">
            <w:pPr>
              <w:pStyle w:val="17"/>
              <w:spacing w:before="35"/>
              <w:ind w:left="217"/>
              <w:jc w:val="left"/>
              <w:rPr>
                <w:rFonts w:ascii="Times New Roman"/>
                <w:sz w:val="21"/>
              </w:rPr>
            </w:pPr>
            <w:r>
              <w:rPr>
                <w:rFonts w:ascii="Times New Roman"/>
                <w:sz w:val="21"/>
              </w:rPr>
              <w:t>8.08E+01</w:t>
            </w:r>
          </w:p>
        </w:tc>
        <w:tc>
          <w:tcPr>
            <w:tcW w:w="1317" w:type="dxa"/>
          </w:tcPr>
          <w:p w14:paraId="4B9ACF6E">
            <w:pPr>
              <w:pStyle w:val="17"/>
              <w:spacing w:before="35"/>
              <w:ind w:left="105" w:right="98"/>
              <w:rPr>
                <w:rFonts w:ascii="Times New Roman"/>
                <w:sz w:val="21"/>
              </w:rPr>
            </w:pPr>
            <w:r>
              <w:rPr>
                <w:rFonts w:ascii="Times New Roman"/>
                <w:sz w:val="21"/>
              </w:rPr>
              <w:t>23011109</w:t>
            </w:r>
          </w:p>
        </w:tc>
        <w:tc>
          <w:tcPr>
            <w:tcW w:w="1230" w:type="dxa"/>
          </w:tcPr>
          <w:p w14:paraId="7537730C">
            <w:pPr>
              <w:pStyle w:val="17"/>
              <w:spacing w:before="35"/>
              <w:ind w:left="175" w:right="166"/>
              <w:rPr>
                <w:rFonts w:ascii="Times New Roman"/>
                <w:sz w:val="21"/>
              </w:rPr>
            </w:pPr>
            <w:r>
              <w:rPr>
                <w:rFonts w:ascii="Times New Roman"/>
                <w:sz w:val="21"/>
              </w:rPr>
              <w:t>0.00E+00</w:t>
            </w:r>
          </w:p>
        </w:tc>
        <w:tc>
          <w:tcPr>
            <w:tcW w:w="1725" w:type="dxa"/>
          </w:tcPr>
          <w:p w14:paraId="2E9723BB">
            <w:pPr>
              <w:pStyle w:val="17"/>
              <w:spacing w:before="35"/>
              <w:ind w:left="419" w:right="413"/>
              <w:rPr>
                <w:rFonts w:ascii="Times New Roman"/>
                <w:sz w:val="21"/>
              </w:rPr>
            </w:pPr>
            <w:r>
              <w:rPr>
                <w:rFonts w:ascii="Times New Roman"/>
                <w:sz w:val="21"/>
              </w:rPr>
              <w:t>8.08E+01</w:t>
            </w:r>
          </w:p>
        </w:tc>
        <w:tc>
          <w:tcPr>
            <w:tcW w:w="1230" w:type="dxa"/>
          </w:tcPr>
          <w:p w14:paraId="0DD4B3A1">
            <w:pPr>
              <w:pStyle w:val="17"/>
              <w:spacing w:before="35"/>
              <w:ind w:left="174" w:right="166"/>
              <w:rPr>
                <w:rFonts w:ascii="Times New Roman"/>
                <w:sz w:val="21"/>
              </w:rPr>
            </w:pPr>
            <w:r>
              <w:rPr>
                <w:rFonts w:ascii="Times New Roman"/>
                <w:sz w:val="21"/>
              </w:rPr>
              <w:t>9.00E+02</w:t>
            </w:r>
          </w:p>
        </w:tc>
        <w:tc>
          <w:tcPr>
            <w:tcW w:w="1517" w:type="dxa"/>
          </w:tcPr>
          <w:p w14:paraId="050DEAA7">
            <w:pPr>
              <w:pStyle w:val="17"/>
              <w:spacing w:before="35"/>
              <w:ind w:left="499" w:right="492"/>
              <w:rPr>
                <w:rFonts w:ascii="Times New Roman"/>
                <w:sz w:val="21"/>
              </w:rPr>
            </w:pPr>
            <w:r>
              <w:rPr>
                <w:rFonts w:ascii="Times New Roman"/>
                <w:sz w:val="21"/>
              </w:rPr>
              <w:t>8.98</w:t>
            </w:r>
          </w:p>
        </w:tc>
        <w:tc>
          <w:tcPr>
            <w:tcW w:w="712" w:type="dxa"/>
            <w:tcBorders>
              <w:right w:val="nil"/>
            </w:tcBorders>
          </w:tcPr>
          <w:p w14:paraId="66DF42F2">
            <w:pPr>
              <w:pStyle w:val="17"/>
              <w:spacing w:before="21"/>
              <w:ind w:left="122" w:right="121"/>
              <w:rPr>
                <w:sz w:val="21"/>
              </w:rPr>
            </w:pPr>
            <w:r>
              <w:rPr>
                <w:sz w:val="21"/>
              </w:rPr>
              <w:t>达标</w:t>
            </w:r>
          </w:p>
        </w:tc>
      </w:tr>
      <w:tr w14:paraId="144D9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3D608EAD">
            <w:pPr>
              <w:pStyle w:val="17"/>
              <w:jc w:val="left"/>
              <w:rPr>
                <w:rFonts w:ascii="Times New Roman"/>
                <w:sz w:val="20"/>
              </w:rPr>
            </w:pPr>
          </w:p>
        </w:tc>
        <w:tc>
          <w:tcPr>
            <w:tcW w:w="1265" w:type="dxa"/>
          </w:tcPr>
          <w:p w14:paraId="41837AA3">
            <w:pPr>
              <w:pStyle w:val="17"/>
              <w:jc w:val="left"/>
              <w:rPr>
                <w:rFonts w:ascii="Times New Roman"/>
                <w:sz w:val="20"/>
              </w:rPr>
            </w:pPr>
          </w:p>
        </w:tc>
        <w:tc>
          <w:tcPr>
            <w:tcW w:w="771" w:type="dxa"/>
          </w:tcPr>
          <w:p w14:paraId="3C8F0C19">
            <w:pPr>
              <w:pStyle w:val="17"/>
              <w:jc w:val="left"/>
              <w:rPr>
                <w:rFonts w:ascii="Times New Roman"/>
                <w:sz w:val="20"/>
              </w:rPr>
            </w:pPr>
          </w:p>
        </w:tc>
        <w:tc>
          <w:tcPr>
            <w:tcW w:w="772" w:type="dxa"/>
          </w:tcPr>
          <w:p w14:paraId="74BE86CC">
            <w:pPr>
              <w:pStyle w:val="17"/>
              <w:jc w:val="left"/>
              <w:rPr>
                <w:rFonts w:ascii="Times New Roman"/>
                <w:sz w:val="20"/>
              </w:rPr>
            </w:pPr>
          </w:p>
        </w:tc>
        <w:tc>
          <w:tcPr>
            <w:tcW w:w="921" w:type="dxa"/>
          </w:tcPr>
          <w:p w14:paraId="0DD0A323">
            <w:pPr>
              <w:pStyle w:val="17"/>
              <w:jc w:val="left"/>
              <w:rPr>
                <w:rFonts w:ascii="Times New Roman"/>
                <w:sz w:val="20"/>
              </w:rPr>
            </w:pPr>
          </w:p>
        </w:tc>
        <w:tc>
          <w:tcPr>
            <w:tcW w:w="1035" w:type="dxa"/>
          </w:tcPr>
          <w:p w14:paraId="7D319286">
            <w:pPr>
              <w:pStyle w:val="17"/>
              <w:spacing w:before="20"/>
              <w:ind w:left="201"/>
              <w:jc w:val="left"/>
              <w:rPr>
                <w:sz w:val="21"/>
              </w:rPr>
            </w:pPr>
            <w:r>
              <w:rPr>
                <w:sz w:val="21"/>
              </w:rPr>
              <w:t>日均值</w:t>
            </w:r>
          </w:p>
        </w:tc>
        <w:tc>
          <w:tcPr>
            <w:tcW w:w="1259" w:type="dxa"/>
          </w:tcPr>
          <w:p w14:paraId="327DFE51">
            <w:pPr>
              <w:pStyle w:val="17"/>
              <w:spacing w:before="34"/>
              <w:ind w:left="217"/>
              <w:jc w:val="left"/>
              <w:rPr>
                <w:rFonts w:ascii="Times New Roman"/>
                <w:sz w:val="21"/>
              </w:rPr>
            </w:pPr>
            <w:r>
              <w:rPr>
                <w:rFonts w:ascii="Times New Roman"/>
                <w:sz w:val="21"/>
              </w:rPr>
              <w:t>6.07E+00</w:t>
            </w:r>
          </w:p>
        </w:tc>
        <w:tc>
          <w:tcPr>
            <w:tcW w:w="1317" w:type="dxa"/>
          </w:tcPr>
          <w:p w14:paraId="0E21C4B2">
            <w:pPr>
              <w:pStyle w:val="17"/>
              <w:spacing w:before="34"/>
              <w:ind w:left="108" w:right="96"/>
              <w:rPr>
                <w:rFonts w:ascii="Times New Roman"/>
                <w:sz w:val="21"/>
              </w:rPr>
            </w:pPr>
            <w:r>
              <w:rPr>
                <w:rFonts w:ascii="Times New Roman"/>
                <w:sz w:val="21"/>
              </w:rPr>
              <w:t>230111</w:t>
            </w:r>
          </w:p>
        </w:tc>
        <w:tc>
          <w:tcPr>
            <w:tcW w:w="1230" w:type="dxa"/>
          </w:tcPr>
          <w:p w14:paraId="4B3E727B">
            <w:pPr>
              <w:pStyle w:val="17"/>
              <w:spacing w:before="34"/>
              <w:ind w:left="175" w:right="166"/>
              <w:rPr>
                <w:rFonts w:ascii="Times New Roman"/>
                <w:sz w:val="21"/>
              </w:rPr>
            </w:pPr>
            <w:r>
              <w:rPr>
                <w:rFonts w:ascii="Times New Roman"/>
                <w:sz w:val="21"/>
              </w:rPr>
              <w:t>1.17E+02</w:t>
            </w:r>
          </w:p>
        </w:tc>
        <w:tc>
          <w:tcPr>
            <w:tcW w:w="1725" w:type="dxa"/>
          </w:tcPr>
          <w:p w14:paraId="209A2364">
            <w:pPr>
              <w:pStyle w:val="17"/>
              <w:spacing w:before="34"/>
              <w:ind w:left="419" w:right="413"/>
              <w:rPr>
                <w:rFonts w:ascii="Times New Roman"/>
                <w:sz w:val="21"/>
              </w:rPr>
            </w:pPr>
            <w:r>
              <w:rPr>
                <w:rFonts w:ascii="Times New Roman"/>
                <w:sz w:val="21"/>
              </w:rPr>
              <w:t>1.23E+02</w:t>
            </w:r>
          </w:p>
        </w:tc>
        <w:tc>
          <w:tcPr>
            <w:tcW w:w="1230" w:type="dxa"/>
          </w:tcPr>
          <w:p w14:paraId="4408FBDE">
            <w:pPr>
              <w:pStyle w:val="17"/>
              <w:spacing w:before="34"/>
              <w:ind w:left="174" w:right="166"/>
              <w:rPr>
                <w:rFonts w:ascii="Times New Roman"/>
                <w:sz w:val="21"/>
              </w:rPr>
            </w:pPr>
            <w:r>
              <w:rPr>
                <w:rFonts w:ascii="Times New Roman"/>
                <w:sz w:val="21"/>
              </w:rPr>
              <w:t>3.00E+02</w:t>
            </w:r>
          </w:p>
        </w:tc>
        <w:tc>
          <w:tcPr>
            <w:tcW w:w="1517" w:type="dxa"/>
          </w:tcPr>
          <w:p w14:paraId="24EC3920">
            <w:pPr>
              <w:pStyle w:val="17"/>
              <w:spacing w:before="34"/>
              <w:ind w:left="501" w:right="492"/>
              <w:rPr>
                <w:rFonts w:ascii="Times New Roman"/>
                <w:sz w:val="21"/>
              </w:rPr>
            </w:pPr>
            <w:r>
              <w:rPr>
                <w:rFonts w:ascii="Times New Roman"/>
                <w:sz w:val="21"/>
              </w:rPr>
              <w:t>41.02</w:t>
            </w:r>
          </w:p>
        </w:tc>
        <w:tc>
          <w:tcPr>
            <w:tcW w:w="712" w:type="dxa"/>
            <w:tcBorders>
              <w:right w:val="nil"/>
            </w:tcBorders>
          </w:tcPr>
          <w:p w14:paraId="3B302380">
            <w:pPr>
              <w:pStyle w:val="17"/>
              <w:spacing w:before="20"/>
              <w:ind w:left="122" w:right="121"/>
              <w:rPr>
                <w:sz w:val="21"/>
              </w:rPr>
            </w:pPr>
            <w:r>
              <w:rPr>
                <w:sz w:val="21"/>
              </w:rPr>
              <w:t>达标</w:t>
            </w:r>
          </w:p>
        </w:tc>
      </w:tr>
      <w:tr w14:paraId="32275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5982EE73">
            <w:pPr>
              <w:pStyle w:val="17"/>
              <w:jc w:val="left"/>
              <w:rPr>
                <w:rFonts w:ascii="Times New Roman"/>
                <w:sz w:val="20"/>
              </w:rPr>
            </w:pPr>
          </w:p>
        </w:tc>
        <w:tc>
          <w:tcPr>
            <w:tcW w:w="1265" w:type="dxa"/>
          </w:tcPr>
          <w:p w14:paraId="187B138C">
            <w:pPr>
              <w:pStyle w:val="17"/>
              <w:jc w:val="left"/>
              <w:rPr>
                <w:rFonts w:ascii="Times New Roman"/>
                <w:sz w:val="20"/>
              </w:rPr>
            </w:pPr>
          </w:p>
        </w:tc>
        <w:tc>
          <w:tcPr>
            <w:tcW w:w="771" w:type="dxa"/>
          </w:tcPr>
          <w:p w14:paraId="5EBB4762">
            <w:pPr>
              <w:pStyle w:val="17"/>
              <w:jc w:val="left"/>
              <w:rPr>
                <w:rFonts w:ascii="Times New Roman"/>
                <w:sz w:val="20"/>
              </w:rPr>
            </w:pPr>
          </w:p>
        </w:tc>
        <w:tc>
          <w:tcPr>
            <w:tcW w:w="772" w:type="dxa"/>
          </w:tcPr>
          <w:p w14:paraId="2584EF45">
            <w:pPr>
              <w:pStyle w:val="17"/>
              <w:jc w:val="left"/>
              <w:rPr>
                <w:rFonts w:ascii="Times New Roman"/>
                <w:sz w:val="20"/>
              </w:rPr>
            </w:pPr>
          </w:p>
        </w:tc>
        <w:tc>
          <w:tcPr>
            <w:tcW w:w="921" w:type="dxa"/>
          </w:tcPr>
          <w:p w14:paraId="25B187EA">
            <w:pPr>
              <w:pStyle w:val="17"/>
              <w:jc w:val="left"/>
              <w:rPr>
                <w:rFonts w:ascii="Times New Roman"/>
                <w:sz w:val="20"/>
              </w:rPr>
            </w:pPr>
          </w:p>
        </w:tc>
        <w:tc>
          <w:tcPr>
            <w:tcW w:w="1035" w:type="dxa"/>
          </w:tcPr>
          <w:p w14:paraId="4D7C4822">
            <w:pPr>
              <w:pStyle w:val="17"/>
              <w:spacing w:before="20"/>
              <w:ind w:left="201"/>
              <w:jc w:val="left"/>
              <w:rPr>
                <w:sz w:val="21"/>
              </w:rPr>
            </w:pPr>
            <w:r>
              <w:rPr>
                <w:sz w:val="21"/>
              </w:rPr>
              <w:t>年均值</w:t>
            </w:r>
          </w:p>
        </w:tc>
        <w:tc>
          <w:tcPr>
            <w:tcW w:w="1259" w:type="dxa"/>
          </w:tcPr>
          <w:p w14:paraId="457286F4">
            <w:pPr>
              <w:pStyle w:val="17"/>
              <w:spacing w:before="34"/>
              <w:ind w:left="241"/>
              <w:jc w:val="left"/>
              <w:rPr>
                <w:rFonts w:ascii="Times New Roman"/>
                <w:sz w:val="21"/>
              </w:rPr>
            </w:pPr>
            <w:r>
              <w:rPr>
                <w:rFonts w:ascii="Times New Roman"/>
                <w:sz w:val="21"/>
              </w:rPr>
              <w:t>2.86E-01</w:t>
            </w:r>
          </w:p>
        </w:tc>
        <w:tc>
          <w:tcPr>
            <w:tcW w:w="1317" w:type="dxa"/>
          </w:tcPr>
          <w:p w14:paraId="5270BA6B">
            <w:pPr>
              <w:pStyle w:val="17"/>
              <w:spacing w:before="20"/>
              <w:ind w:left="107" w:right="98"/>
              <w:rPr>
                <w:sz w:val="21"/>
              </w:rPr>
            </w:pPr>
            <w:r>
              <w:rPr>
                <w:sz w:val="21"/>
              </w:rPr>
              <w:t>平均值</w:t>
            </w:r>
          </w:p>
        </w:tc>
        <w:tc>
          <w:tcPr>
            <w:tcW w:w="1230" w:type="dxa"/>
          </w:tcPr>
          <w:p w14:paraId="68D8DFCD">
            <w:pPr>
              <w:pStyle w:val="17"/>
              <w:spacing w:before="34"/>
              <w:ind w:left="175" w:right="166"/>
              <w:rPr>
                <w:rFonts w:ascii="Times New Roman"/>
                <w:sz w:val="21"/>
              </w:rPr>
            </w:pPr>
            <w:r>
              <w:rPr>
                <w:rFonts w:ascii="Times New Roman"/>
                <w:sz w:val="21"/>
              </w:rPr>
              <w:t>1.20E+02</w:t>
            </w:r>
          </w:p>
        </w:tc>
        <w:tc>
          <w:tcPr>
            <w:tcW w:w="1725" w:type="dxa"/>
          </w:tcPr>
          <w:p w14:paraId="5D0885A1">
            <w:pPr>
              <w:pStyle w:val="17"/>
              <w:spacing w:before="34"/>
              <w:ind w:left="419" w:right="413"/>
              <w:rPr>
                <w:rFonts w:ascii="Times New Roman"/>
                <w:sz w:val="21"/>
              </w:rPr>
            </w:pPr>
            <w:r>
              <w:rPr>
                <w:rFonts w:ascii="Times New Roman"/>
                <w:sz w:val="21"/>
              </w:rPr>
              <w:t>1.20E+02</w:t>
            </w:r>
          </w:p>
        </w:tc>
        <w:tc>
          <w:tcPr>
            <w:tcW w:w="1230" w:type="dxa"/>
          </w:tcPr>
          <w:p w14:paraId="6C6AA962">
            <w:pPr>
              <w:pStyle w:val="17"/>
              <w:spacing w:before="34"/>
              <w:ind w:left="174" w:right="166"/>
              <w:rPr>
                <w:rFonts w:ascii="Times New Roman"/>
                <w:sz w:val="21"/>
              </w:rPr>
            </w:pPr>
            <w:r>
              <w:rPr>
                <w:rFonts w:ascii="Times New Roman"/>
                <w:sz w:val="21"/>
              </w:rPr>
              <w:t>2.00E+02</w:t>
            </w:r>
          </w:p>
        </w:tc>
        <w:tc>
          <w:tcPr>
            <w:tcW w:w="1517" w:type="dxa"/>
          </w:tcPr>
          <w:p w14:paraId="1AD06177">
            <w:pPr>
              <w:pStyle w:val="17"/>
              <w:spacing w:before="34"/>
              <w:ind w:left="501" w:right="492"/>
              <w:rPr>
                <w:rFonts w:ascii="Times New Roman"/>
                <w:sz w:val="21"/>
              </w:rPr>
            </w:pPr>
            <w:r>
              <w:rPr>
                <w:rFonts w:ascii="Times New Roman"/>
                <w:sz w:val="21"/>
              </w:rPr>
              <w:t>60.14</w:t>
            </w:r>
          </w:p>
        </w:tc>
        <w:tc>
          <w:tcPr>
            <w:tcW w:w="712" w:type="dxa"/>
            <w:tcBorders>
              <w:right w:val="nil"/>
            </w:tcBorders>
          </w:tcPr>
          <w:p w14:paraId="449296C9">
            <w:pPr>
              <w:pStyle w:val="17"/>
              <w:spacing w:before="20"/>
              <w:ind w:left="122" w:right="121"/>
              <w:rPr>
                <w:sz w:val="21"/>
              </w:rPr>
            </w:pPr>
            <w:r>
              <w:rPr>
                <w:sz w:val="21"/>
              </w:rPr>
              <w:t>达标</w:t>
            </w:r>
          </w:p>
        </w:tc>
      </w:tr>
      <w:tr w14:paraId="76091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04B48F3">
            <w:pPr>
              <w:pStyle w:val="17"/>
              <w:spacing w:before="36"/>
              <w:ind w:right="169"/>
              <w:jc w:val="right"/>
              <w:rPr>
                <w:rFonts w:ascii="Times New Roman"/>
                <w:sz w:val="21"/>
              </w:rPr>
            </w:pPr>
            <w:r>
              <w:rPr>
                <w:rFonts w:ascii="Times New Roman"/>
                <w:w w:val="99"/>
                <w:sz w:val="21"/>
              </w:rPr>
              <w:t>6</w:t>
            </w:r>
          </w:p>
        </w:tc>
        <w:tc>
          <w:tcPr>
            <w:tcW w:w="1265" w:type="dxa"/>
          </w:tcPr>
          <w:p w14:paraId="3B7C358B">
            <w:pPr>
              <w:pStyle w:val="17"/>
              <w:spacing w:before="22"/>
              <w:ind w:left="189" w:right="183"/>
              <w:rPr>
                <w:sz w:val="21"/>
              </w:rPr>
            </w:pPr>
            <w:r>
              <w:rPr>
                <w:sz w:val="21"/>
              </w:rPr>
              <w:t>三和村</w:t>
            </w:r>
          </w:p>
        </w:tc>
        <w:tc>
          <w:tcPr>
            <w:tcW w:w="771" w:type="dxa"/>
          </w:tcPr>
          <w:p w14:paraId="29F95D83">
            <w:pPr>
              <w:pStyle w:val="17"/>
              <w:spacing w:before="36"/>
              <w:ind w:right="163"/>
              <w:jc w:val="right"/>
              <w:rPr>
                <w:rFonts w:ascii="Times New Roman"/>
                <w:sz w:val="21"/>
              </w:rPr>
            </w:pPr>
            <w:r>
              <w:rPr>
                <w:rFonts w:ascii="Times New Roman"/>
                <w:sz w:val="21"/>
              </w:rPr>
              <w:t>1237</w:t>
            </w:r>
          </w:p>
        </w:tc>
        <w:tc>
          <w:tcPr>
            <w:tcW w:w="772" w:type="dxa"/>
          </w:tcPr>
          <w:p w14:paraId="65788796">
            <w:pPr>
              <w:pStyle w:val="17"/>
              <w:spacing w:before="36"/>
              <w:ind w:right="162"/>
              <w:jc w:val="right"/>
              <w:rPr>
                <w:rFonts w:ascii="Times New Roman"/>
                <w:sz w:val="21"/>
              </w:rPr>
            </w:pPr>
            <w:r>
              <w:rPr>
                <w:rFonts w:ascii="Times New Roman"/>
                <w:sz w:val="21"/>
              </w:rPr>
              <w:t>1042</w:t>
            </w:r>
          </w:p>
        </w:tc>
        <w:tc>
          <w:tcPr>
            <w:tcW w:w="921" w:type="dxa"/>
          </w:tcPr>
          <w:p w14:paraId="060DCE34">
            <w:pPr>
              <w:pStyle w:val="17"/>
              <w:spacing w:before="36"/>
              <w:ind w:left="203" w:right="195"/>
              <w:rPr>
                <w:rFonts w:ascii="Times New Roman"/>
                <w:sz w:val="21"/>
              </w:rPr>
            </w:pPr>
            <w:r>
              <w:rPr>
                <w:rFonts w:ascii="Times New Roman"/>
                <w:sz w:val="21"/>
              </w:rPr>
              <w:t>61.08</w:t>
            </w:r>
          </w:p>
        </w:tc>
        <w:tc>
          <w:tcPr>
            <w:tcW w:w="1035" w:type="dxa"/>
          </w:tcPr>
          <w:p w14:paraId="4D3BAAA1">
            <w:pPr>
              <w:pStyle w:val="17"/>
              <w:spacing w:before="20"/>
              <w:ind w:left="201"/>
              <w:jc w:val="left"/>
              <w:rPr>
                <w:sz w:val="21"/>
              </w:rPr>
            </w:pPr>
            <w:r>
              <w:rPr>
                <w:sz w:val="21"/>
              </w:rPr>
              <w:t>小时值</w:t>
            </w:r>
          </w:p>
        </w:tc>
        <w:tc>
          <w:tcPr>
            <w:tcW w:w="1259" w:type="dxa"/>
          </w:tcPr>
          <w:p w14:paraId="228A93D0">
            <w:pPr>
              <w:pStyle w:val="17"/>
              <w:spacing w:before="36"/>
              <w:ind w:left="217"/>
              <w:jc w:val="left"/>
              <w:rPr>
                <w:rFonts w:ascii="Times New Roman"/>
                <w:sz w:val="21"/>
              </w:rPr>
            </w:pPr>
            <w:r>
              <w:rPr>
                <w:rFonts w:ascii="Times New Roman"/>
                <w:sz w:val="21"/>
              </w:rPr>
              <w:t>4.99E+01</w:t>
            </w:r>
          </w:p>
        </w:tc>
        <w:tc>
          <w:tcPr>
            <w:tcW w:w="1317" w:type="dxa"/>
          </w:tcPr>
          <w:p w14:paraId="779F5E24">
            <w:pPr>
              <w:pStyle w:val="17"/>
              <w:spacing w:before="36"/>
              <w:ind w:left="108" w:right="98"/>
              <w:rPr>
                <w:rFonts w:ascii="Times New Roman"/>
                <w:sz w:val="21"/>
              </w:rPr>
            </w:pPr>
            <w:r>
              <w:rPr>
                <w:rFonts w:ascii="Times New Roman"/>
                <w:sz w:val="21"/>
              </w:rPr>
              <w:t>23080401</w:t>
            </w:r>
          </w:p>
        </w:tc>
        <w:tc>
          <w:tcPr>
            <w:tcW w:w="1230" w:type="dxa"/>
          </w:tcPr>
          <w:p w14:paraId="2F0451C4">
            <w:pPr>
              <w:pStyle w:val="17"/>
              <w:spacing w:before="36"/>
              <w:ind w:left="175" w:right="166"/>
              <w:rPr>
                <w:rFonts w:ascii="Times New Roman"/>
                <w:sz w:val="21"/>
              </w:rPr>
            </w:pPr>
            <w:r>
              <w:rPr>
                <w:rFonts w:ascii="Times New Roman"/>
                <w:sz w:val="21"/>
              </w:rPr>
              <w:t>0.00E+00</w:t>
            </w:r>
          </w:p>
        </w:tc>
        <w:tc>
          <w:tcPr>
            <w:tcW w:w="1725" w:type="dxa"/>
          </w:tcPr>
          <w:p w14:paraId="6BD84CC8">
            <w:pPr>
              <w:pStyle w:val="17"/>
              <w:spacing w:before="36"/>
              <w:ind w:left="419" w:right="413"/>
              <w:rPr>
                <w:rFonts w:ascii="Times New Roman"/>
                <w:sz w:val="21"/>
              </w:rPr>
            </w:pPr>
            <w:r>
              <w:rPr>
                <w:rFonts w:ascii="Times New Roman"/>
                <w:sz w:val="21"/>
              </w:rPr>
              <w:t>4.99E+01</w:t>
            </w:r>
          </w:p>
        </w:tc>
        <w:tc>
          <w:tcPr>
            <w:tcW w:w="1230" w:type="dxa"/>
          </w:tcPr>
          <w:p w14:paraId="488EAC63">
            <w:pPr>
              <w:pStyle w:val="17"/>
              <w:spacing w:before="36"/>
              <w:ind w:left="174" w:right="166"/>
              <w:rPr>
                <w:rFonts w:ascii="Times New Roman"/>
                <w:sz w:val="21"/>
              </w:rPr>
            </w:pPr>
            <w:r>
              <w:rPr>
                <w:rFonts w:ascii="Times New Roman"/>
                <w:sz w:val="21"/>
              </w:rPr>
              <w:t>9.00E+02</w:t>
            </w:r>
          </w:p>
        </w:tc>
        <w:tc>
          <w:tcPr>
            <w:tcW w:w="1517" w:type="dxa"/>
          </w:tcPr>
          <w:p w14:paraId="1741B1CE">
            <w:pPr>
              <w:pStyle w:val="17"/>
              <w:spacing w:before="36"/>
              <w:ind w:left="499" w:right="492"/>
              <w:rPr>
                <w:rFonts w:ascii="Times New Roman"/>
                <w:sz w:val="21"/>
              </w:rPr>
            </w:pPr>
            <w:r>
              <w:rPr>
                <w:rFonts w:ascii="Times New Roman"/>
                <w:sz w:val="21"/>
              </w:rPr>
              <w:t>5.54</w:t>
            </w:r>
          </w:p>
        </w:tc>
        <w:tc>
          <w:tcPr>
            <w:tcW w:w="712" w:type="dxa"/>
            <w:tcBorders>
              <w:right w:val="nil"/>
            </w:tcBorders>
          </w:tcPr>
          <w:p w14:paraId="6AFAE39B">
            <w:pPr>
              <w:pStyle w:val="17"/>
              <w:spacing w:before="20"/>
              <w:ind w:left="122" w:right="121"/>
              <w:rPr>
                <w:sz w:val="21"/>
              </w:rPr>
            </w:pPr>
            <w:r>
              <w:rPr>
                <w:sz w:val="21"/>
              </w:rPr>
              <w:t>达标</w:t>
            </w:r>
          </w:p>
        </w:tc>
      </w:tr>
      <w:tr w14:paraId="1431A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18BBDF9">
            <w:pPr>
              <w:pStyle w:val="17"/>
              <w:jc w:val="left"/>
              <w:rPr>
                <w:rFonts w:ascii="Times New Roman"/>
                <w:sz w:val="20"/>
              </w:rPr>
            </w:pPr>
          </w:p>
        </w:tc>
        <w:tc>
          <w:tcPr>
            <w:tcW w:w="1265" w:type="dxa"/>
          </w:tcPr>
          <w:p w14:paraId="2D5BD7D8">
            <w:pPr>
              <w:pStyle w:val="17"/>
              <w:jc w:val="left"/>
              <w:rPr>
                <w:rFonts w:ascii="Times New Roman"/>
                <w:sz w:val="20"/>
              </w:rPr>
            </w:pPr>
          </w:p>
        </w:tc>
        <w:tc>
          <w:tcPr>
            <w:tcW w:w="771" w:type="dxa"/>
          </w:tcPr>
          <w:p w14:paraId="0DC35290">
            <w:pPr>
              <w:pStyle w:val="17"/>
              <w:jc w:val="left"/>
              <w:rPr>
                <w:rFonts w:ascii="Times New Roman"/>
                <w:sz w:val="20"/>
              </w:rPr>
            </w:pPr>
          </w:p>
        </w:tc>
        <w:tc>
          <w:tcPr>
            <w:tcW w:w="772" w:type="dxa"/>
          </w:tcPr>
          <w:p w14:paraId="51A3FDF2">
            <w:pPr>
              <w:pStyle w:val="17"/>
              <w:jc w:val="left"/>
              <w:rPr>
                <w:rFonts w:ascii="Times New Roman"/>
                <w:sz w:val="20"/>
              </w:rPr>
            </w:pPr>
          </w:p>
        </w:tc>
        <w:tc>
          <w:tcPr>
            <w:tcW w:w="921" w:type="dxa"/>
          </w:tcPr>
          <w:p w14:paraId="7BED9039">
            <w:pPr>
              <w:pStyle w:val="17"/>
              <w:jc w:val="left"/>
              <w:rPr>
                <w:rFonts w:ascii="Times New Roman"/>
                <w:sz w:val="20"/>
              </w:rPr>
            </w:pPr>
          </w:p>
        </w:tc>
        <w:tc>
          <w:tcPr>
            <w:tcW w:w="1035" w:type="dxa"/>
          </w:tcPr>
          <w:p w14:paraId="3274F8DF">
            <w:pPr>
              <w:pStyle w:val="17"/>
              <w:spacing w:before="19"/>
              <w:ind w:left="201"/>
              <w:jc w:val="left"/>
              <w:rPr>
                <w:sz w:val="21"/>
              </w:rPr>
            </w:pPr>
            <w:r>
              <w:rPr>
                <w:sz w:val="21"/>
              </w:rPr>
              <w:t>日均值</w:t>
            </w:r>
          </w:p>
        </w:tc>
        <w:tc>
          <w:tcPr>
            <w:tcW w:w="1259" w:type="dxa"/>
          </w:tcPr>
          <w:p w14:paraId="0D095D2C">
            <w:pPr>
              <w:pStyle w:val="17"/>
              <w:spacing w:before="35"/>
              <w:ind w:left="217"/>
              <w:jc w:val="left"/>
              <w:rPr>
                <w:rFonts w:ascii="Times New Roman"/>
                <w:sz w:val="21"/>
              </w:rPr>
            </w:pPr>
            <w:r>
              <w:rPr>
                <w:rFonts w:ascii="Times New Roman"/>
                <w:sz w:val="21"/>
              </w:rPr>
              <w:t>4.97E+00</w:t>
            </w:r>
          </w:p>
        </w:tc>
        <w:tc>
          <w:tcPr>
            <w:tcW w:w="1317" w:type="dxa"/>
          </w:tcPr>
          <w:p w14:paraId="6B0CBA9D">
            <w:pPr>
              <w:pStyle w:val="17"/>
              <w:spacing w:before="35"/>
              <w:ind w:left="108" w:right="98"/>
              <w:rPr>
                <w:rFonts w:ascii="Times New Roman"/>
                <w:sz w:val="21"/>
              </w:rPr>
            </w:pPr>
            <w:r>
              <w:rPr>
                <w:rFonts w:ascii="Times New Roman"/>
                <w:sz w:val="21"/>
              </w:rPr>
              <w:t>230329</w:t>
            </w:r>
          </w:p>
        </w:tc>
        <w:tc>
          <w:tcPr>
            <w:tcW w:w="1230" w:type="dxa"/>
          </w:tcPr>
          <w:p w14:paraId="6CC5BDD9">
            <w:pPr>
              <w:pStyle w:val="17"/>
              <w:spacing w:before="35"/>
              <w:ind w:left="175" w:right="166"/>
              <w:rPr>
                <w:rFonts w:ascii="Times New Roman"/>
                <w:sz w:val="21"/>
              </w:rPr>
            </w:pPr>
            <w:r>
              <w:rPr>
                <w:rFonts w:ascii="Times New Roman"/>
                <w:sz w:val="21"/>
              </w:rPr>
              <w:t>1.17E+02</w:t>
            </w:r>
          </w:p>
        </w:tc>
        <w:tc>
          <w:tcPr>
            <w:tcW w:w="1725" w:type="dxa"/>
          </w:tcPr>
          <w:p w14:paraId="5FD54EFC">
            <w:pPr>
              <w:pStyle w:val="17"/>
              <w:spacing w:before="35"/>
              <w:ind w:left="419" w:right="413"/>
              <w:rPr>
                <w:rFonts w:ascii="Times New Roman"/>
                <w:sz w:val="21"/>
              </w:rPr>
            </w:pPr>
            <w:r>
              <w:rPr>
                <w:rFonts w:ascii="Times New Roman"/>
                <w:sz w:val="21"/>
              </w:rPr>
              <w:t>1.22E+02</w:t>
            </w:r>
          </w:p>
        </w:tc>
        <w:tc>
          <w:tcPr>
            <w:tcW w:w="1230" w:type="dxa"/>
          </w:tcPr>
          <w:p w14:paraId="292F2213">
            <w:pPr>
              <w:pStyle w:val="17"/>
              <w:spacing w:before="35"/>
              <w:ind w:left="174" w:right="166"/>
              <w:rPr>
                <w:rFonts w:ascii="Times New Roman"/>
                <w:sz w:val="21"/>
              </w:rPr>
            </w:pPr>
            <w:r>
              <w:rPr>
                <w:rFonts w:ascii="Times New Roman"/>
                <w:sz w:val="21"/>
              </w:rPr>
              <w:t>3.00E+02</w:t>
            </w:r>
          </w:p>
        </w:tc>
        <w:tc>
          <w:tcPr>
            <w:tcW w:w="1517" w:type="dxa"/>
          </w:tcPr>
          <w:p w14:paraId="2BEE0746">
            <w:pPr>
              <w:pStyle w:val="17"/>
              <w:spacing w:before="35"/>
              <w:ind w:left="501" w:right="492"/>
              <w:rPr>
                <w:rFonts w:ascii="Times New Roman"/>
                <w:sz w:val="21"/>
              </w:rPr>
            </w:pPr>
            <w:r>
              <w:rPr>
                <w:rFonts w:ascii="Times New Roman"/>
                <w:sz w:val="21"/>
              </w:rPr>
              <w:t>40.66</w:t>
            </w:r>
          </w:p>
        </w:tc>
        <w:tc>
          <w:tcPr>
            <w:tcW w:w="712" w:type="dxa"/>
            <w:tcBorders>
              <w:right w:val="nil"/>
            </w:tcBorders>
          </w:tcPr>
          <w:p w14:paraId="3D071EE9">
            <w:pPr>
              <w:pStyle w:val="17"/>
              <w:spacing w:before="19"/>
              <w:ind w:left="122" w:right="121"/>
              <w:rPr>
                <w:sz w:val="21"/>
              </w:rPr>
            </w:pPr>
            <w:r>
              <w:rPr>
                <w:sz w:val="21"/>
              </w:rPr>
              <w:t>达标</w:t>
            </w:r>
          </w:p>
        </w:tc>
      </w:tr>
      <w:tr w14:paraId="77D85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01353589">
            <w:pPr>
              <w:pStyle w:val="17"/>
              <w:jc w:val="left"/>
              <w:rPr>
                <w:rFonts w:ascii="Times New Roman"/>
                <w:sz w:val="20"/>
              </w:rPr>
            </w:pPr>
          </w:p>
        </w:tc>
        <w:tc>
          <w:tcPr>
            <w:tcW w:w="1265" w:type="dxa"/>
          </w:tcPr>
          <w:p w14:paraId="01A9FC40">
            <w:pPr>
              <w:pStyle w:val="17"/>
              <w:jc w:val="left"/>
              <w:rPr>
                <w:rFonts w:ascii="Times New Roman"/>
                <w:sz w:val="20"/>
              </w:rPr>
            </w:pPr>
          </w:p>
        </w:tc>
        <w:tc>
          <w:tcPr>
            <w:tcW w:w="771" w:type="dxa"/>
          </w:tcPr>
          <w:p w14:paraId="3F32C9B5">
            <w:pPr>
              <w:pStyle w:val="17"/>
              <w:jc w:val="left"/>
              <w:rPr>
                <w:rFonts w:ascii="Times New Roman"/>
                <w:sz w:val="20"/>
              </w:rPr>
            </w:pPr>
          </w:p>
        </w:tc>
        <w:tc>
          <w:tcPr>
            <w:tcW w:w="772" w:type="dxa"/>
          </w:tcPr>
          <w:p w14:paraId="1D1B2425">
            <w:pPr>
              <w:pStyle w:val="17"/>
              <w:jc w:val="left"/>
              <w:rPr>
                <w:rFonts w:ascii="Times New Roman"/>
                <w:sz w:val="20"/>
              </w:rPr>
            </w:pPr>
          </w:p>
        </w:tc>
        <w:tc>
          <w:tcPr>
            <w:tcW w:w="921" w:type="dxa"/>
          </w:tcPr>
          <w:p w14:paraId="69BDBFBA">
            <w:pPr>
              <w:pStyle w:val="17"/>
              <w:jc w:val="left"/>
              <w:rPr>
                <w:rFonts w:ascii="Times New Roman"/>
                <w:sz w:val="20"/>
              </w:rPr>
            </w:pPr>
          </w:p>
        </w:tc>
        <w:tc>
          <w:tcPr>
            <w:tcW w:w="1035" w:type="dxa"/>
          </w:tcPr>
          <w:p w14:paraId="61D9B4DB">
            <w:pPr>
              <w:pStyle w:val="17"/>
              <w:spacing w:before="19"/>
              <w:ind w:left="201"/>
              <w:jc w:val="left"/>
              <w:rPr>
                <w:sz w:val="21"/>
              </w:rPr>
            </w:pPr>
            <w:r>
              <w:rPr>
                <w:sz w:val="21"/>
              </w:rPr>
              <w:t>年均值</w:t>
            </w:r>
          </w:p>
        </w:tc>
        <w:tc>
          <w:tcPr>
            <w:tcW w:w="1259" w:type="dxa"/>
          </w:tcPr>
          <w:p w14:paraId="5EA37F57">
            <w:pPr>
              <w:pStyle w:val="17"/>
              <w:spacing w:before="35"/>
              <w:ind w:left="241"/>
              <w:jc w:val="left"/>
              <w:rPr>
                <w:rFonts w:ascii="Times New Roman"/>
                <w:sz w:val="21"/>
              </w:rPr>
            </w:pPr>
            <w:r>
              <w:rPr>
                <w:rFonts w:ascii="Times New Roman"/>
                <w:sz w:val="21"/>
              </w:rPr>
              <w:t>1.79E-01</w:t>
            </w:r>
          </w:p>
        </w:tc>
        <w:tc>
          <w:tcPr>
            <w:tcW w:w="1317" w:type="dxa"/>
          </w:tcPr>
          <w:p w14:paraId="52DC586C">
            <w:pPr>
              <w:pStyle w:val="17"/>
              <w:spacing w:before="19"/>
              <w:ind w:left="107" w:right="98"/>
              <w:rPr>
                <w:sz w:val="21"/>
              </w:rPr>
            </w:pPr>
            <w:r>
              <w:rPr>
                <w:sz w:val="21"/>
              </w:rPr>
              <w:t>平均值</w:t>
            </w:r>
          </w:p>
        </w:tc>
        <w:tc>
          <w:tcPr>
            <w:tcW w:w="1230" w:type="dxa"/>
          </w:tcPr>
          <w:p w14:paraId="334FB85C">
            <w:pPr>
              <w:pStyle w:val="17"/>
              <w:spacing w:before="35"/>
              <w:ind w:left="175" w:right="166"/>
              <w:rPr>
                <w:rFonts w:ascii="Times New Roman"/>
                <w:sz w:val="21"/>
              </w:rPr>
            </w:pPr>
            <w:r>
              <w:rPr>
                <w:rFonts w:ascii="Times New Roman"/>
                <w:sz w:val="21"/>
              </w:rPr>
              <w:t>1.20E+02</w:t>
            </w:r>
          </w:p>
        </w:tc>
        <w:tc>
          <w:tcPr>
            <w:tcW w:w="1725" w:type="dxa"/>
          </w:tcPr>
          <w:p w14:paraId="4661C439">
            <w:pPr>
              <w:pStyle w:val="17"/>
              <w:spacing w:before="35"/>
              <w:ind w:left="419" w:right="413"/>
              <w:rPr>
                <w:rFonts w:ascii="Times New Roman"/>
                <w:sz w:val="21"/>
              </w:rPr>
            </w:pPr>
            <w:r>
              <w:rPr>
                <w:rFonts w:ascii="Times New Roman"/>
                <w:sz w:val="21"/>
              </w:rPr>
              <w:t>1.20E+02</w:t>
            </w:r>
          </w:p>
        </w:tc>
        <w:tc>
          <w:tcPr>
            <w:tcW w:w="1230" w:type="dxa"/>
          </w:tcPr>
          <w:p w14:paraId="2D3B45A2">
            <w:pPr>
              <w:pStyle w:val="17"/>
              <w:spacing w:before="35"/>
              <w:ind w:left="174" w:right="166"/>
              <w:rPr>
                <w:rFonts w:ascii="Times New Roman"/>
                <w:sz w:val="21"/>
              </w:rPr>
            </w:pPr>
            <w:r>
              <w:rPr>
                <w:rFonts w:ascii="Times New Roman"/>
                <w:sz w:val="21"/>
              </w:rPr>
              <w:t>2.00E+02</w:t>
            </w:r>
          </w:p>
        </w:tc>
        <w:tc>
          <w:tcPr>
            <w:tcW w:w="1517" w:type="dxa"/>
          </w:tcPr>
          <w:p w14:paraId="4A4ED7E6">
            <w:pPr>
              <w:pStyle w:val="17"/>
              <w:spacing w:before="35"/>
              <w:ind w:left="501" w:right="492"/>
              <w:rPr>
                <w:rFonts w:ascii="Times New Roman"/>
                <w:sz w:val="21"/>
              </w:rPr>
            </w:pPr>
            <w:r>
              <w:rPr>
                <w:rFonts w:ascii="Times New Roman"/>
                <w:sz w:val="21"/>
              </w:rPr>
              <w:t>60.09</w:t>
            </w:r>
          </w:p>
        </w:tc>
        <w:tc>
          <w:tcPr>
            <w:tcW w:w="712" w:type="dxa"/>
            <w:tcBorders>
              <w:right w:val="nil"/>
            </w:tcBorders>
          </w:tcPr>
          <w:p w14:paraId="08A2EFE8">
            <w:pPr>
              <w:pStyle w:val="17"/>
              <w:spacing w:before="19"/>
              <w:ind w:left="122" w:right="121"/>
              <w:rPr>
                <w:sz w:val="21"/>
              </w:rPr>
            </w:pPr>
            <w:r>
              <w:rPr>
                <w:sz w:val="21"/>
              </w:rPr>
              <w:t>达标</w:t>
            </w:r>
          </w:p>
        </w:tc>
      </w:tr>
      <w:tr w14:paraId="30EE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2AF439C">
            <w:pPr>
              <w:pStyle w:val="17"/>
              <w:spacing w:before="35"/>
              <w:ind w:right="169"/>
              <w:jc w:val="right"/>
              <w:rPr>
                <w:rFonts w:ascii="Times New Roman"/>
                <w:sz w:val="21"/>
              </w:rPr>
            </w:pPr>
            <w:r>
              <w:rPr>
                <w:rFonts w:ascii="Times New Roman"/>
                <w:w w:val="99"/>
                <w:sz w:val="21"/>
              </w:rPr>
              <w:t>7</w:t>
            </w:r>
          </w:p>
        </w:tc>
        <w:tc>
          <w:tcPr>
            <w:tcW w:w="1265" w:type="dxa"/>
          </w:tcPr>
          <w:p w14:paraId="605904CE">
            <w:pPr>
              <w:pStyle w:val="17"/>
              <w:spacing w:before="21"/>
              <w:ind w:left="189" w:right="186"/>
              <w:rPr>
                <w:sz w:val="21"/>
              </w:rPr>
            </w:pPr>
            <w:r>
              <w:rPr>
                <w:sz w:val="21"/>
              </w:rPr>
              <w:t>中家桥村</w:t>
            </w:r>
          </w:p>
        </w:tc>
        <w:tc>
          <w:tcPr>
            <w:tcW w:w="771" w:type="dxa"/>
          </w:tcPr>
          <w:p w14:paraId="740FC941">
            <w:pPr>
              <w:pStyle w:val="17"/>
              <w:spacing w:before="35"/>
              <w:ind w:right="216"/>
              <w:jc w:val="right"/>
              <w:rPr>
                <w:rFonts w:ascii="Times New Roman"/>
                <w:sz w:val="21"/>
              </w:rPr>
            </w:pPr>
            <w:r>
              <w:rPr>
                <w:rFonts w:ascii="Times New Roman"/>
                <w:sz w:val="21"/>
              </w:rPr>
              <w:t>961</w:t>
            </w:r>
          </w:p>
        </w:tc>
        <w:tc>
          <w:tcPr>
            <w:tcW w:w="772" w:type="dxa"/>
          </w:tcPr>
          <w:p w14:paraId="519EB6BD">
            <w:pPr>
              <w:pStyle w:val="17"/>
              <w:spacing w:before="35"/>
              <w:ind w:right="181"/>
              <w:jc w:val="right"/>
              <w:rPr>
                <w:rFonts w:ascii="Times New Roman"/>
                <w:sz w:val="21"/>
              </w:rPr>
            </w:pPr>
            <w:r>
              <w:rPr>
                <w:rFonts w:ascii="Times New Roman"/>
                <w:w w:val="95"/>
                <w:sz w:val="21"/>
              </w:rPr>
              <w:t>-813</w:t>
            </w:r>
          </w:p>
        </w:tc>
        <w:tc>
          <w:tcPr>
            <w:tcW w:w="921" w:type="dxa"/>
          </w:tcPr>
          <w:p w14:paraId="70E75214">
            <w:pPr>
              <w:pStyle w:val="17"/>
              <w:spacing w:before="35"/>
              <w:ind w:left="203" w:right="195"/>
              <w:rPr>
                <w:rFonts w:ascii="Times New Roman"/>
                <w:sz w:val="21"/>
              </w:rPr>
            </w:pPr>
            <w:r>
              <w:rPr>
                <w:rFonts w:ascii="Times New Roman"/>
                <w:sz w:val="21"/>
              </w:rPr>
              <w:t>49.12</w:t>
            </w:r>
          </w:p>
        </w:tc>
        <w:tc>
          <w:tcPr>
            <w:tcW w:w="1035" w:type="dxa"/>
          </w:tcPr>
          <w:p w14:paraId="5AC2248E">
            <w:pPr>
              <w:pStyle w:val="17"/>
              <w:spacing w:before="21"/>
              <w:ind w:left="201"/>
              <w:jc w:val="left"/>
              <w:rPr>
                <w:sz w:val="21"/>
              </w:rPr>
            </w:pPr>
            <w:r>
              <w:rPr>
                <w:sz w:val="21"/>
              </w:rPr>
              <w:t>小时值</w:t>
            </w:r>
          </w:p>
        </w:tc>
        <w:tc>
          <w:tcPr>
            <w:tcW w:w="1259" w:type="dxa"/>
          </w:tcPr>
          <w:p w14:paraId="40183F6E">
            <w:pPr>
              <w:pStyle w:val="17"/>
              <w:spacing w:before="35"/>
              <w:ind w:left="217"/>
              <w:jc w:val="left"/>
              <w:rPr>
                <w:rFonts w:ascii="Times New Roman"/>
                <w:sz w:val="21"/>
              </w:rPr>
            </w:pPr>
            <w:r>
              <w:rPr>
                <w:rFonts w:ascii="Times New Roman"/>
                <w:sz w:val="21"/>
              </w:rPr>
              <w:t>5.47E+01</w:t>
            </w:r>
          </w:p>
        </w:tc>
        <w:tc>
          <w:tcPr>
            <w:tcW w:w="1317" w:type="dxa"/>
          </w:tcPr>
          <w:p w14:paraId="2FDDC620">
            <w:pPr>
              <w:pStyle w:val="17"/>
              <w:spacing w:before="35"/>
              <w:ind w:left="108" w:right="98"/>
              <w:rPr>
                <w:rFonts w:ascii="Times New Roman"/>
                <w:sz w:val="21"/>
              </w:rPr>
            </w:pPr>
            <w:r>
              <w:rPr>
                <w:rFonts w:ascii="Times New Roman"/>
                <w:sz w:val="21"/>
              </w:rPr>
              <w:t>23122707</w:t>
            </w:r>
          </w:p>
        </w:tc>
        <w:tc>
          <w:tcPr>
            <w:tcW w:w="1230" w:type="dxa"/>
          </w:tcPr>
          <w:p w14:paraId="39A4A0C4">
            <w:pPr>
              <w:pStyle w:val="17"/>
              <w:spacing w:before="35"/>
              <w:ind w:left="175" w:right="166"/>
              <w:rPr>
                <w:rFonts w:ascii="Times New Roman"/>
                <w:sz w:val="21"/>
              </w:rPr>
            </w:pPr>
            <w:r>
              <w:rPr>
                <w:rFonts w:ascii="Times New Roman"/>
                <w:sz w:val="21"/>
              </w:rPr>
              <w:t>0.00E+00</w:t>
            </w:r>
          </w:p>
        </w:tc>
        <w:tc>
          <w:tcPr>
            <w:tcW w:w="1725" w:type="dxa"/>
          </w:tcPr>
          <w:p w14:paraId="449736FA">
            <w:pPr>
              <w:pStyle w:val="17"/>
              <w:spacing w:before="35"/>
              <w:ind w:left="419" w:right="413"/>
              <w:rPr>
                <w:rFonts w:ascii="Times New Roman"/>
                <w:sz w:val="21"/>
              </w:rPr>
            </w:pPr>
            <w:r>
              <w:rPr>
                <w:rFonts w:ascii="Times New Roman"/>
                <w:sz w:val="21"/>
              </w:rPr>
              <w:t>5.47E+01</w:t>
            </w:r>
          </w:p>
        </w:tc>
        <w:tc>
          <w:tcPr>
            <w:tcW w:w="1230" w:type="dxa"/>
          </w:tcPr>
          <w:p w14:paraId="4EAB3E25">
            <w:pPr>
              <w:pStyle w:val="17"/>
              <w:spacing w:before="35"/>
              <w:ind w:left="174" w:right="166"/>
              <w:rPr>
                <w:rFonts w:ascii="Times New Roman"/>
                <w:sz w:val="21"/>
              </w:rPr>
            </w:pPr>
            <w:r>
              <w:rPr>
                <w:rFonts w:ascii="Times New Roman"/>
                <w:sz w:val="21"/>
              </w:rPr>
              <w:t>9.00E+02</w:t>
            </w:r>
          </w:p>
        </w:tc>
        <w:tc>
          <w:tcPr>
            <w:tcW w:w="1517" w:type="dxa"/>
          </w:tcPr>
          <w:p w14:paraId="07CAAD5A">
            <w:pPr>
              <w:pStyle w:val="17"/>
              <w:spacing w:before="35"/>
              <w:ind w:left="499" w:right="492"/>
              <w:rPr>
                <w:rFonts w:ascii="Times New Roman"/>
                <w:sz w:val="21"/>
              </w:rPr>
            </w:pPr>
            <w:r>
              <w:rPr>
                <w:rFonts w:ascii="Times New Roman"/>
                <w:sz w:val="21"/>
              </w:rPr>
              <w:t>6.08</w:t>
            </w:r>
          </w:p>
        </w:tc>
        <w:tc>
          <w:tcPr>
            <w:tcW w:w="712" w:type="dxa"/>
            <w:tcBorders>
              <w:right w:val="nil"/>
            </w:tcBorders>
          </w:tcPr>
          <w:p w14:paraId="04C92411">
            <w:pPr>
              <w:pStyle w:val="17"/>
              <w:spacing w:before="21"/>
              <w:ind w:left="122" w:right="121"/>
              <w:rPr>
                <w:sz w:val="21"/>
              </w:rPr>
            </w:pPr>
            <w:r>
              <w:rPr>
                <w:sz w:val="21"/>
              </w:rPr>
              <w:t>达标</w:t>
            </w:r>
          </w:p>
        </w:tc>
      </w:tr>
      <w:tr w14:paraId="76931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1730986">
            <w:pPr>
              <w:pStyle w:val="17"/>
              <w:jc w:val="left"/>
              <w:rPr>
                <w:rFonts w:ascii="Times New Roman"/>
                <w:sz w:val="20"/>
              </w:rPr>
            </w:pPr>
          </w:p>
        </w:tc>
        <w:tc>
          <w:tcPr>
            <w:tcW w:w="1265" w:type="dxa"/>
          </w:tcPr>
          <w:p w14:paraId="076AA564">
            <w:pPr>
              <w:pStyle w:val="17"/>
              <w:jc w:val="left"/>
              <w:rPr>
                <w:rFonts w:ascii="Times New Roman"/>
                <w:sz w:val="20"/>
              </w:rPr>
            </w:pPr>
          </w:p>
        </w:tc>
        <w:tc>
          <w:tcPr>
            <w:tcW w:w="771" w:type="dxa"/>
          </w:tcPr>
          <w:p w14:paraId="122166E4">
            <w:pPr>
              <w:pStyle w:val="17"/>
              <w:jc w:val="left"/>
              <w:rPr>
                <w:rFonts w:ascii="Times New Roman"/>
                <w:sz w:val="20"/>
              </w:rPr>
            </w:pPr>
          </w:p>
        </w:tc>
        <w:tc>
          <w:tcPr>
            <w:tcW w:w="772" w:type="dxa"/>
          </w:tcPr>
          <w:p w14:paraId="55CF625A">
            <w:pPr>
              <w:pStyle w:val="17"/>
              <w:jc w:val="left"/>
              <w:rPr>
                <w:rFonts w:ascii="Times New Roman"/>
                <w:sz w:val="20"/>
              </w:rPr>
            </w:pPr>
          </w:p>
        </w:tc>
        <w:tc>
          <w:tcPr>
            <w:tcW w:w="921" w:type="dxa"/>
          </w:tcPr>
          <w:p w14:paraId="01C3DCC7">
            <w:pPr>
              <w:pStyle w:val="17"/>
              <w:jc w:val="left"/>
              <w:rPr>
                <w:rFonts w:ascii="Times New Roman"/>
                <w:sz w:val="20"/>
              </w:rPr>
            </w:pPr>
          </w:p>
        </w:tc>
        <w:tc>
          <w:tcPr>
            <w:tcW w:w="1035" w:type="dxa"/>
          </w:tcPr>
          <w:p w14:paraId="733023B5">
            <w:pPr>
              <w:pStyle w:val="17"/>
              <w:spacing w:before="20"/>
              <w:ind w:left="201"/>
              <w:jc w:val="left"/>
              <w:rPr>
                <w:sz w:val="21"/>
              </w:rPr>
            </w:pPr>
            <w:r>
              <w:rPr>
                <w:sz w:val="21"/>
              </w:rPr>
              <w:t>日均值</w:t>
            </w:r>
          </w:p>
        </w:tc>
        <w:tc>
          <w:tcPr>
            <w:tcW w:w="1259" w:type="dxa"/>
          </w:tcPr>
          <w:p w14:paraId="2420C00F">
            <w:pPr>
              <w:pStyle w:val="17"/>
              <w:spacing w:before="34"/>
              <w:ind w:left="217"/>
              <w:jc w:val="left"/>
              <w:rPr>
                <w:rFonts w:ascii="Times New Roman"/>
                <w:sz w:val="21"/>
              </w:rPr>
            </w:pPr>
            <w:r>
              <w:rPr>
                <w:rFonts w:ascii="Times New Roman"/>
                <w:sz w:val="21"/>
              </w:rPr>
              <w:t>5.17E+00</w:t>
            </w:r>
          </w:p>
        </w:tc>
        <w:tc>
          <w:tcPr>
            <w:tcW w:w="1317" w:type="dxa"/>
          </w:tcPr>
          <w:p w14:paraId="53928859">
            <w:pPr>
              <w:pStyle w:val="17"/>
              <w:spacing w:before="34"/>
              <w:ind w:left="105" w:right="98"/>
              <w:rPr>
                <w:rFonts w:ascii="Times New Roman"/>
                <w:sz w:val="21"/>
              </w:rPr>
            </w:pPr>
            <w:r>
              <w:rPr>
                <w:rFonts w:ascii="Times New Roman"/>
                <w:sz w:val="21"/>
              </w:rPr>
              <w:t>230117</w:t>
            </w:r>
          </w:p>
        </w:tc>
        <w:tc>
          <w:tcPr>
            <w:tcW w:w="1230" w:type="dxa"/>
          </w:tcPr>
          <w:p w14:paraId="6E978D08">
            <w:pPr>
              <w:pStyle w:val="17"/>
              <w:spacing w:before="34"/>
              <w:ind w:left="175" w:right="166"/>
              <w:rPr>
                <w:rFonts w:ascii="Times New Roman"/>
                <w:sz w:val="21"/>
              </w:rPr>
            </w:pPr>
            <w:r>
              <w:rPr>
                <w:rFonts w:ascii="Times New Roman"/>
                <w:sz w:val="21"/>
              </w:rPr>
              <w:t>1.17E+02</w:t>
            </w:r>
          </w:p>
        </w:tc>
        <w:tc>
          <w:tcPr>
            <w:tcW w:w="1725" w:type="dxa"/>
          </w:tcPr>
          <w:p w14:paraId="34E22FD4">
            <w:pPr>
              <w:pStyle w:val="17"/>
              <w:spacing w:before="34"/>
              <w:ind w:left="419" w:right="413"/>
              <w:rPr>
                <w:rFonts w:ascii="Times New Roman"/>
                <w:sz w:val="21"/>
              </w:rPr>
            </w:pPr>
            <w:r>
              <w:rPr>
                <w:rFonts w:ascii="Times New Roman"/>
                <w:sz w:val="21"/>
              </w:rPr>
              <w:t>1.22E+02</w:t>
            </w:r>
          </w:p>
        </w:tc>
        <w:tc>
          <w:tcPr>
            <w:tcW w:w="1230" w:type="dxa"/>
          </w:tcPr>
          <w:p w14:paraId="395500D7">
            <w:pPr>
              <w:pStyle w:val="17"/>
              <w:spacing w:before="34"/>
              <w:ind w:left="174" w:right="166"/>
              <w:rPr>
                <w:rFonts w:ascii="Times New Roman"/>
                <w:sz w:val="21"/>
              </w:rPr>
            </w:pPr>
            <w:r>
              <w:rPr>
                <w:rFonts w:ascii="Times New Roman"/>
                <w:sz w:val="21"/>
              </w:rPr>
              <w:t>3.00E+02</w:t>
            </w:r>
          </w:p>
        </w:tc>
        <w:tc>
          <w:tcPr>
            <w:tcW w:w="1517" w:type="dxa"/>
          </w:tcPr>
          <w:p w14:paraId="45FF287B">
            <w:pPr>
              <w:pStyle w:val="17"/>
              <w:spacing w:before="34"/>
              <w:ind w:left="501" w:right="492"/>
              <w:rPr>
                <w:rFonts w:ascii="Times New Roman"/>
                <w:sz w:val="21"/>
              </w:rPr>
            </w:pPr>
            <w:r>
              <w:rPr>
                <w:rFonts w:ascii="Times New Roman"/>
                <w:sz w:val="21"/>
              </w:rPr>
              <w:t>40.72</w:t>
            </w:r>
          </w:p>
        </w:tc>
        <w:tc>
          <w:tcPr>
            <w:tcW w:w="712" w:type="dxa"/>
            <w:tcBorders>
              <w:right w:val="nil"/>
            </w:tcBorders>
          </w:tcPr>
          <w:p w14:paraId="69413ADA">
            <w:pPr>
              <w:pStyle w:val="17"/>
              <w:spacing w:before="20"/>
              <w:ind w:left="122" w:right="121"/>
              <w:rPr>
                <w:sz w:val="21"/>
              </w:rPr>
            </w:pPr>
            <w:r>
              <w:rPr>
                <w:sz w:val="21"/>
              </w:rPr>
              <w:t>达标</w:t>
            </w:r>
          </w:p>
        </w:tc>
      </w:tr>
      <w:tr w14:paraId="158A6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64" w:type="dxa"/>
            <w:tcBorders>
              <w:left w:val="nil"/>
            </w:tcBorders>
          </w:tcPr>
          <w:p w14:paraId="7A847144">
            <w:pPr>
              <w:pStyle w:val="17"/>
              <w:jc w:val="left"/>
              <w:rPr>
                <w:rFonts w:ascii="Times New Roman"/>
                <w:sz w:val="20"/>
              </w:rPr>
            </w:pPr>
          </w:p>
        </w:tc>
        <w:tc>
          <w:tcPr>
            <w:tcW w:w="1265" w:type="dxa"/>
          </w:tcPr>
          <w:p w14:paraId="2E75634B">
            <w:pPr>
              <w:pStyle w:val="17"/>
              <w:jc w:val="left"/>
              <w:rPr>
                <w:rFonts w:ascii="Times New Roman"/>
                <w:sz w:val="20"/>
              </w:rPr>
            </w:pPr>
          </w:p>
        </w:tc>
        <w:tc>
          <w:tcPr>
            <w:tcW w:w="771" w:type="dxa"/>
          </w:tcPr>
          <w:p w14:paraId="5C5E25D3">
            <w:pPr>
              <w:pStyle w:val="17"/>
              <w:jc w:val="left"/>
              <w:rPr>
                <w:rFonts w:ascii="Times New Roman"/>
                <w:sz w:val="20"/>
              </w:rPr>
            </w:pPr>
          </w:p>
        </w:tc>
        <w:tc>
          <w:tcPr>
            <w:tcW w:w="772" w:type="dxa"/>
          </w:tcPr>
          <w:p w14:paraId="4D9E6266">
            <w:pPr>
              <w:pStyle w:val="17"/>
              <w:jc w:val="left"/>
              <w:rPr>
                <w:rFonts w:ascii="Times New Roman"/>
                <w:sz w:val="20"/>
              </w:rPr>
            </w:pPr>
          </w:p>
        </w:tc>
        <w:tc>
          <w:tcPr>
            <w:tcW w:w="921" w:type="dxa"/>
          </w:tcPr>
          <w:p w14:paraId="096DEDAA">
            <w:pPr>
              <w:pStyle w:val="17"/>
              <w:jc w:val="left"/>
              <w:rPr>
                <w:rFonts w:ascii="Times New Roman"/>
                <w:sz w:val="20"/>
              </w:rPr>
            </w:pPr>
          </w:p>
        </w:tc>
        <w:tc>
          <w:tcPr>
            <w:tcW w:w="1035" w:type="dxa"/>
          </w:tcPr>
          <w:p w14:paraId="04CA19DA">
            <w:pPr>
              <w:pStyle w:val="17"/>
              <w:spacing w:before="20"/>
              <w:ind w:left="201"/>
              <w:jc w:val="left"/>
              <w:rPr>
                <w:sz w:val="21"/>
              </w:rPr>
            </w:pPr>
            <w:r>
              <w:rPr>
                <w:sz w:val="21"/>
              </w:rPr>
              <w:t>年均值</w:t>
            </w:r>
          </w:p>
        </w:tc>
        <w:tc>
          <w:tcPr>
            <w:tcW w:w="1259" w:type="dxa"/>
          </w:tcPr>
          <w:p w14:paraId="320C5D02">
            <w:pPr>
              <w:pStyle w:val="17"/>
              <w:spacing w:before="34"/>
              <w:ind w:left="241"/>
              <w:jc w:val="left"/>
              <w:rPr>
                <w:rFonts w:ascii="Times New Roman"/>
                <w:sz w:val="21"/>
              </w:rPr>
            </w:pPr>
            <w:r>
              <w:rPr>
                <w:rFonts w:ascii="Times New Roman"/>
                <w:sz w:val="21"/>
              </w:rPr>
              <w:t>4.27E-01</w:t>
            </w:r>
          </w:p>
        </w:tc>
        <w:tc>
          <w:tcPr>
            <w:tcW w:w="1317" w:type="dxa"/>
          </w:tcPr>
          <w:p w14:paraId="6EDB9917">
            <w:pPr>
              <w:pStyle w:val="17"/>
              <w:spacing w:before="20"/>
              <w:ind w:left="107" w:right="98"/>
              <w:rPr>
                <w:sz w:val="21"/>
              </w:rPr>
            </w:pPr>
            <w:r>
              <w:rPr>
                <w:sz w:val="21"/>
              </w:rPr>
              <w:t>平均值</w:t>
            </w:r>
          </w:p>
        </w:tc>
        <w:tc>
          <w:tcPr>
            <w:tcW w:w="1230" w:type="dxa"/>
          </w:tcPr>
          <w:p w14:paraId="263931E5">
            <w:pPr>
              <w:pStyle w:val="17"/>
              <w:spacing w:before="34"/>
              <w:ind w:left="175" w:right="166"/>
              <w:rPr>
                <w:rFonts w:ascii="Times New Roman"/>
                <w:sz w:val="21"/>
              </w:rPr>
            </w:pPr>
            <w:r>
              <w:rPr>
                <w:rFonts w:ascii="Times New Roman"/>
                <w:sz w:val="21"/>
              </w:rPr>
              <w:t>1.20E+02</w:t>
            </w:r>
          </w:p>
        </w:tc>
        <w:tc>
          <w:tcPr>
            <w:tcW w:w="1725" w:type="dxa"/>
          </w:tcPr>
          <w:p w14:paraId="2E329E10">
            <w:pPr>
              <w:pStyle w:val="17"/>
              <w:spacing w:before="34"/>
              <w:ind w:left="419" w:right="413"/>
              <w:rPr>
                <w:rFonts w:ascii="Times New Roman"/>
                <w:sz w:val="21"/>
              </w:rPr>
            </w:pPr>
            <w:r>
              <w:rPr>
                <w:rFonts w:ascii="Times New Roman"/>
                <w:sz w:val="21"/>
              </w:rPr>
              <w:t>1.20E+02</w:t>
            </w:r>
          </w:p>
        </w:tc>
        <w:tc>
          <w:tcPr>
            <w:tcW w:w="1230" w:type="dxa"/>
          </w:tcPr>
          <w:p w14:paraId="433B0B5C">
            <w:pPr>
              <w:pStyle w:val="17"/>
              <w:spacing w:before="34"/>
              <w:ind w:left="174" w:right="166"/>
              <w:rPr>
                <w:rFonts w:ascii="Times New Roman"/>
                <w:sz w:val="21"/>
              </w:rPr>
            </w:pPr>
            <w:r>
              <w:rPr>
                <w:rFonts w:ascii="Times New Roman"/>
                <w:sz w:val="21"/>
              </w:rPr>
              <w:t>2.00E+02</w:t>
            </w:r>
          </w:p>
        </w:tc>
        <w:tc>
          <w:tcPr>
            <w:tcW w:w="1517" w:type="dxa"/>
          </w:tcPr>
          <w:p w14:paraId="221D637F">
            <w:pPr>
              <w:pStyle w:val="17"/>
              <w:spacing w:before="34"/>
              <w:ind w:left="501" w:right="492"/>
              <w:rPr>
                <w:rFonts w:ascii="Times New Roman"/>
                <w:sz w:val="21"/>
              </w:rPr>
            </w:pPr>
            <w:r>
              <w:rPr>
                <w:rFonts w:ascii="Times New Roman"/>
                <w:sz w:val="21"/>
              </w:rPr>
              <w:t>60.21</w:t>
            </w:r>
          </w:p>
        </w:tc>
        <w:tc>
          <w:tcPr>
            <w:tcW w:w="712" w:type="dxa"/>
            <w:tcBorders>
              <w:right w:val="nil"/>
            </w:tcBorders>
          </w:tcPr>
          <w:p w14:paraId="4ADFF18B">
            <w:pPr>
              <w:pStyle w:val="17"/>
              <w:spacing w:before="20"/>
              <w:ind w:left="122" w:right="121"/>
              <w:rPr>
                <w:sz w:val="21"/>
              </w:rPr>
            </w:pPr>
            <w:r>
              <w:rPr>
                <w:sz w:val="21"/>
              </w:rPr>
              <w:t>达标</w:t>
            </w:r>
          </w:p>
        </w:tc>
      </w:tr>
    </w:tbl>
    <w:p w14:paraId="54EC3C32">
      <w:pPr>
        <w:spacing w:after="0"/>
        <w:rPr>
          <w:sz w:val="21"/>
        </w:rPr>
        <w:sectPr>
          <w:pgSz w:w="16840" w:h="11910" w:orient="landscape"/>
          <w:pgMar w:top="1100" w:right="1080" w:bottom="1380" w:left="1200" w:header="0" w:footer="1192" w:gutter="0"/>
          <w:cols w:space="720" w:num="1"/>
        </w:sectPr>
      </w:pPr>
    </w:p>
    <w:p w14:paraId="0CE793C1">
      <w:pPr>
        <w:pStyle w:val="10"/>
        <w:spacing w:before="11"/>
        <w:rPr>
          <w:b/>
          <w:sz w:val="27"/>
        </w:rPr>
      </w:pP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577C8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4" w:type="dxa"/>
            <w:tcBorders>
              <w:left w:val="nil"/>
            </w:tcBorders>
          </w:tcPr>
          <w:p w14:paraId="73E937B6">
            <w:pPr>
              <w:pStyle w:val="17"/>
              <w:spacing w:before="192"/>
              <w:ind w:right="169"/>
              <w:jc w:val="right"/>
              <w:rPr>
                <w:rFonts w:ascii="Times New Roman"/>
                <w:sz w:val="21"/>
              </w:rPr>
            </w:pPr>
            <w:r>
              <w:rPr>
                <w:rFonts w:ascii="Times New Roman"/>
                <w:w w:val="99"/>
                <w:sz w:val="21"/>
              </w:rPr>
              <w:t>8</w:t>
            </w:r>
          </w:p>
        </w:tc>
        <w:tc>
          <w:tcPr>
            <w:tcW w:w="1265" w:type="dxa"/>
          </w:tcPr>
          <w:p w14:paraId="6C20971D">
            <w:pPr>
              <w:pStyle w:val="17"/>
              <w:spacing w:before="22"/>
              <w:ind w:left="189" w:right="186"/>
              <w:rPr>
                <w:sz w:val="21"/>
              </w:rPr>
            </w:pPr>
            <w:r>
              <w:rPr>
                <w:sz w:val="21"/>
              </w:rPr>
              <w:t>新市中心</w:t>
            </w:r>
          </w:p>
          <w:p w14:paraId="6FEAEBFB">
            <w:pPr>
              <w:pStyle w:val="17"/>
              <w:spacing w:before="43"/>
              <w:ind w:left="189" w:right="183"/>
              <w:rPr>
                <w:sz w:val="21"/>
              </w:rPr>
            </w:pPr>
            <w:r>
              <w:rPr>
                <w:sz w:val="21"/>
              </w:rPr>
              <w:t>小学</w:t>
            </w:r>
          </w:p>
        </w:tc>
        <w:tc>
          <w:tcPr>
            <w:tcW w:w="771" w:type="dxa"/>
          </w:tcPr>
          <w:p w14:paraId="6CBA672C">
            <w:pPr>
              <w:pStyle w:val="17"/>
              <w:spacing w:before="192"/>
              <w:ind w:left="120" w:right="111"/>
              <w:rPr>
                <w:rFonts w:ascii="Times New Roman"/>
                <w:sz w:val="21"/>
              </w:rPr>
            </w:pPr>
            <w:r>
              <w:rPr>
                <w:rFonts w:ascii="Times New Roman"/>
                <w:sz w:val="21"/>
              </w:rPr>
              <w:t>-1878</w:t>
            </w:r>
          </w:p>
        </w:tc>
        <w:tc>
          <w:tcPr>
            <w:tcW w:w="772" w:type="dxa"/>
          </w:tcPr>
          <w:p w14:paraId="5DC6D832">
            <w:pPr>
              <w:pStyle w:val="17"/>
              <w:spacing w:before="192"/>
              <w:ind w:left="156" w:right="145"/>
              <w:rPr>
                <w:rFonts w:ascii="Times New Roman"/>
                <w:sz w:val="21"/>
              </w:rPr>
            </w:pPr>
            <w:r>
              <w:rPr>
                <w:rFonts w:ascii="Times New Roman"/>
                <w:sz w:val="21"/>
              </w:rPr>
              <w:t>1595</w:t>
            </w:r>
          </w:p>
        </w:tc>
        <w:tc>
          <w:tcPr>
            <w:tcW w:w="921" w:type="dxa"/>
          </w:tcPr>
          <w:p w14:paraId="75489188">
            <w:pPr>
              <w:pStyle w:val="17"/>
              <w:spacing w:before="192"/>
              <w:ind w:left="203" w:right="195"/>
              <w:rPr>
                <w:rFonts w:ascii="Times New Roman"/>
                <w:sz w:val="21"/>
              </w:rPr>
            </w:pPr>
            <w:r>
              <w:rPr>
                <w:rFonts w:ascii="Times New Roman"/>
                <w:sz w:val="21"/>
              </w:rPr>
              <w:t>54.65</w:t>
            </w:r>
          </w:p>
        </w:tc>
        <w:tc>
          <w:tcPr>
            <w:tcW w:w="1035" w:type="dxa"/>
          </w:tcPr>
          <w:p w14:paraId="6576E788">
            <w:pPr>
              <w:pStyle w:val="17"/>
              <w:spacing w:before="176"/>
              <w:ind w:left="201"/>
              <w:jc w:val="left"/>
              <w:rPr>
                <w:sz w:val="21"/>
              </w:rPr>
            </w:pPr>
            <w:r>
              <w:rPr>
                <w:sz w:val="21"/>
              </w:rPr>
              <w:t>小时值</w:t>
            </w:r>
          </w:p>
        </w:tc>
        <w:tc>
          <w:tcPr>
            <w:tcW w:w="1259" w:type="dxa"/>
          </w:tcPr>
          <w:p w14:paraId="0E27491C">
            <w:pPr>
              <w:pStyle w:val="17"/>
              <w:spacing w:before="192"/>
              <w:ind w:left="217"/>
              <w:jc w:val="left"/>
              <w:rPr>
                <w:rFonts w:ascii="Times New Roman"/>
                <w:sz w:val="21"/>
              </w:rPr>
            </w:pPr>
            <w:r>
              <w:rPr>
                <w:rFonts w:ascii="Times New Roman"/>
                <w:sz w:val="21"/>
              </w:rPr>
              <w:t>5.54E+01</w:t>
            </w:r>
          </w:p>
        </w:tc>
        <w:tc>
          <w:tcPr>
            <w:tcW w:w="1317" w:type="dxa"/>
          </w:tcPr>
          <w:p w14:paraId="28DA1B0C">
            <w:pPr>
              <w:pStyle w:val="17"/>
              <w:spacing w:before="192"/>
              <w:ind w:left="108" w:right="98"/>
              <w:rPr>
                <w:rFonts w:ascii="Times New Roman"/>
                <w:sz w:val="21"/>
              </w:rPr>
            </w:pPr>
            <w:r>
              <w:rPr>
                <w:rFonts w:ascii="Times New Roman"/>
                <w:sz w:val="21"/>
              </w:rPr>
              <w:t>23101819</w:t>
            </w:r>
          </w:p>
        </w:tc>
        <w:tc>
          <w:tcPr>
            <w:tcW w:w="1230" w:type="dxa"/>
          </w:tcPr>
          <w:p w14:paraId="63AE8183">
            <w:pPr>
              <w:pStyle w:val="17"/>
              <w:spacing w:before="192"/>
              <w:ind w:left="175" w:right="166"/>
              <w:rPr>
                <w:rFonts w:ascii="Times New Roman"/>
                <w:sz w:val="21"/>
              </w:rPr>
            </w:pPr>
            <w:r>
              <w:rPr>
                <w:rFonts w:ascii="Times New Roman"/>
                <w:sz w:val="21"/>
              </w:rPr>
              <w:t>0.00E+00</w:t>
            </w:r>
          </w:p>
        </w:tc>
        <w:tc>
          <w:tcPr>
            <w:tcW w:w="1725" w:type="dxa"/>
          </w:tcPr>
          <w:p w14:paraId="519C72B3">
            <w:pPr>
              <w:pStyle w:val="17"/>
              <w:spacing w:before="192"/>
              <w:ind w:left="419" w:right="413"/>
              <w:rPr>
                <w:rFonts w:ascii="Times New Roman"/>
                <w:sz w:val="21"/>
              </w:rPr>
            </w:pPr>
            <w:r>
              <w:rPr>
                <w:rFonts w:ascii="Times New Roman"/>
                <w:sz w:val="21"/>
              </w:rPr>
              <w:t>5.54E+01</w:t>
            </w:r>
          </w:p>
        </w:tc>
        <w:tc>
          <w:tcPr>
            <w:tcW w:w="1230" w:type="dxa"/>
          </w:tcPr>
          <w:p w14:paraId="0829FA13">
            <w:pPr>
              <w:pStyle w:val="17"/>
              <w:spacing w:before="192"/>
              <w:ind w:left="201"/>
              <w:jc w:val="left"/>
              <w:rPr>
                <w:rFonts w:ascii="Times New Roman"/>
                <w:sz w:val="21"/>
              </w:rPr>
            </w:pPr>
            <w:r>
              <w:rPr>
                <w:rFonts w:ascii="Times New Roman"/>
                <w:sz w:val="21"/>
              </w:rPr>
              <w:t>9.00E+02</w:t>
            </w:r>
          </w:p>
        </w:tc>
        <w:tc>
          <w:tcPr>
            <w:tcW w:w="1517" w:type="dxa"/>
          </w:tcPr>
          <w:p w14:paraId="018C37A1">
            <w:pPr>
              <w:pStyle w:val="17"/>
              <w:spacing w:before="192"/>
              <w:ind w:left="499" w:right="492"/>
              <w:rPr>
                <w:rFonts w:ascii="Times New Roman"/>
                <w:sz w:val="21"/>
              </w:rPr>
            </w:pPr>
            <w:r>
              <w:rPr>
                <w:rFonts w:ascii="Times New Roman"/>
                <w:sz w:val="21"/>
              </w:rPr>
              <w:t>6.15</w:t>
            </w:r>
          </w:p>
        </w:tc>
        <w:tc>
          <w:tcPr>
            <w:tcW w:w="712" w:type="dxa"/>
            <w:tcBorders>
              <w:right w:val="nil"/>
            </w:tcBorders>
          </w:tcPr>
          <w:p w14:paraId="031FD861">
            <w:pPr>
              <w:pStyle w:val="17"/>
              <w:spacing w:before="176"/>
              <w:ind w:left="122" w:right="121"/>
              <w:rPr>
                <w:sz w:val="21"/>
              </w:rPr>
            </w:pPr>
            <w:r>
              <w:rPr>
                <w:sz w:val="21"/>
              </w:rPr>
              <w:t>达标</w:t>
            </w:r>
          </w:p>
        </w:tc>
      </w:tr>
      <w:tr w14:paraId="5A091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7E7F2524">
            <w:pPr>
              <w:pStyle w:val="17"/>
              <w:jc w:val="left"/>
              <w:rPr>
                <w:rFonts w:ascii="Times New Roman"/>
                <w:sz w:val="20"/>
              </w:rPr>
            </w:pPr>
          </w:p>
        </w:tc>
        <w:tc>
          <w:tcPr>
            <w:tcW w:w="1265" w:type="dxa"/>
          </w:tcPr>
          <w:p w14:paraId="44C974C4">
            <w:pPr>
              <w:pStyle w:val="17"/>
              <w:jc w:val="left"/>
              <w:rPr>
                <w:rFonts w:ascii="Times New Roman"/>
                <w:sz w:val="20"/>
              </w:rPr>
            </w:pPr>
          </w:p>
        </w:tc>
        <w:tc>
          <w:tcPr>
            <w:tcW w:w="771" w:type="dxa"/>
          </w:tcPr>
          <w:p w14:paraId="66C5398E">
            <w:pPr>
              <w:pStyle w:val="17"/>
              <w:jc w:val="left"/>
              <w:rPr>
                <w:rFonts w:ascii="Times New Roman"/>
                <w:sz w:val="20"/>
              </w:rPr>
            </w:pPr>
          </w:p>
        </w:tc>
        <w:tc>
          <w:tcPr>
            <w:tcW w:w="772" w:type="dxa"/>
          </w:tcPr>
          <w:p w14:paraId="72FF8D9D">
            <w:pPr>
              <w:pStyle w:val="17"/>
              <w:jc w:val="left"/>
              <w:rPr>
                <w:rFonts w:ascii="Times New Roman"/>
                <w:sz w:val="20"/>
              </w:rPr>
            </w:pPr>
          </w:p>
        </w:tc>
        <w:tc>
          <w:tcPr>
            <w:tcW w:w="921" w:type="dxa"/>
          </w:tcPr>
          <w:p w14:paraId="6AEB3AB9">
            <w:pPr>
              <w:pStyle w:val="17"/>
              <w:jc w:val="left"/>
              <w:rPr>
                <w:rFonts w:ascii="Times New Roman"/>
                <w:sz w:val="20"/>
              </w:rPr>
            </w:pPr>
          </w:p>
        </w:tc>
        <w:tc>
          <w:tcPr>
            <w:tcW w:w="1035" w:type="dxa"/>
          </w:tcPr>
          <w:p w14:paraId="34FD1668">
            <w:pPr>
              <w:pStyle w:val="17"/>
              <w:spacing w:before="19"/>
              <w:ind w:left="201"/>
              <w:jc w:val="left"/>
              <w:rPr>
                <w:sz w:val="21"/>
              </w:rPr>
            </w:pPr>
            <w:r>
              <w:rPr>
                <w:sz w:val="21"/>
              </w:rPr>
              <w:t>日均值</w:t>
            </w:r>
          </w:p>
        </w:tc>
        <w:tc>
          <w:tcPr>
            <w:tcW w:w="1259" w:type="dxa"/>
          </w:tcPr>
          <w:p w14:paraId="788792D6">
            <w:pPr>
              <w:pStyle w:val="17"/>
              <w:spacing w:before="35"/>
              <w:ind w:left="241"/>
              <w:jc w:val="left"/>
              <w:rPr>
                <w:rFonts w:ascii="Times New Roman"/>
                <w:sz w:val="21"/>
              </w:rPr>
            </w:pPr>
            <w:r>
              <w:rPr>
                <w:rFonts w:ascii="Times New Roman"/>
                <w:sz w:val="21"/>
              </w:rPr>
              <w:t>4.68E-03</w:t>
            </w:r>
          </w:p>
        </w:tc>
        <w:tc>
          <w:tcPr>
            <w:tcW w:w="1317" w:type="dxa"/>
          </w:tcPr>
          <w:p w14:paraId="6BCE8AD0">
            <w:pPr>
              <w:pStyle w:val="17"/>
              <w:spacing w:before="35"/>
              <w:ind w:left="108" w:right="98"/>
              <w:rPr>
                <w:rFonts w:ascii="Times New Roman"/>
                <w:sz w:val="21"/>
              </w:rPr>
            </w:pPr>
            <w:r>
              <w:rPr>
                <w:rFonts w:ascii="Times New Roman"/>
                <w:sz w:val="21"/>
              </w:rPr>
              <w:t>230916</w:t>
            </w:r>
          </w:p>
        </w:tc>
        <w:tc>
          <w:tcPr>
            <w:tcW w:w="1230" w:type="dxa"/>
          </w:tcPr>
          <w:p w14:paraId="3BE31322">
            <w:pPr>
              <w:pStyle w:val="17"/>
              <w:spacing w:before="35"/>
              <w:ind w:left="175" w:right="166"/>
              <w:rPr>
                <w:rFonts w:ascii="Times New Roman"/>
                <w:sz w:val="21"/>
              </w:rPr>
            </w:pPr>
            <w:r>
              <w:rPr>
                <w:rFonts w:ascii="Times New Roman"/>
                <w:sz w:val="21"/>
              </w:rPr>
              <w:t>0.00E+00</w:t>
            </w:r>
          </w:p>
        </w:tc>
        <w:tc>
          <w:tcPr>
            <w:tcW w:w="1725" w:type="dxa"/>
          </w:tcPr>
          <w:p w14:paraId="7FC77BF0">
            <w:pPr>
              <w:pStyle w:val="17"/>
              <w:spacing w:before="35"/>
              <w:ind w:left="417" w:right="413"/>
              <w:rPr>
                <w:rFonts w:ascii="Times New Roman"/>
                <w:sz w:val="21"/>
              </w:rPr>
            </w:pPr>
            <w:r>
              <w:rPr>
                <w:rFonts w:ascii="Times New Roman"/>
                <w:sz w:val="21"/>
              </w:rPr>
              <w:t>4.68E-03</w:t>
            </w:r>
          </w:p>
        </w:tc>
        <w:tc>
          <w:tcPr>
            <w:tcW w:w="1230" w:type="dxa"/>
          </w:tcPr>
          <w:p w14:paraId="36781F13">
            <w:pPr>
              <w:pStyle w:val="17"/>
              <w:spacing w:before="35"/>
              <w:ind w:left="225"/>
              <w:jc w:val="left"/>
              <w:rPr>
                <w:rFonts w:ascii="Times New Roman"/>
                <w:sz w:val="21"/>
              </w:rPr>
            </w:pPr>
            <w:r>
              <w:rPr>
                <w:rFonts w:ascii="Times New Roman"/>
                <w:sz w:val="21"/>
              </w:rPr>
              <w:t>3.00E-01</w:t>
            </w:r>
          </w:p>
        </w:tc>
        <w:tc>
          <w:tcPr>
            <w:tcW w:w="1517" w:type="dxa"/>
          </w:tcPr>
          <w:p w14:paraId="19757E30">
            <w:pPr>
              <w:pStyle w:val="17"/>
              <w:spacing w:before="35"/>
              <w:ind w:left="499" w:right="492"/>
              <w:rPr>
                <w:rFonts w:ascii="Times New Roman"/>
                <w:sz w:val="21"/>
              </w:rPr>
            </w:pPr>
            <w:r>
              <w:rPr>
                <w:rFonts w:ascii="Times New Roman"/>
                <w:sz w:val="21"/>
              </w:rPr>
              <w:t>1.56</w:t>
            </w:r>
          </w:p>
        </w:tc>
        <w:tc>
          <w:tcPr>
            <w:tcW w:w="712" w:type="dxa"/>
            <w:tcBorders>
              <w:right w:val="nil"/>
            </w:tcBorders>
          </w:tcPr>
          <w:p w14:paraId="5356BDD0">
            <w:pPr>
              <w:pStyle w:val="17"/>
              <w:spacing w:before="19"/>
              <w:ind w:left="122" w:right="121"/>
              <w:rPr>
                <w:sz w:val="21"/>
              </w:rPr>
            </w:pPr>
            <w:r>
              <w:rPr>
                <w:sz w:val="21"/>
              </w:rPr>
              <w:t>达标</w:t>
            </w:r>
          </w:p>
        </w:tc>
      </w:tr>
      <w:tr w14:paraId="7FC0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0188A3B">
            <w:pPr>
              <w:pStyle w:val="17"/>
              <w:jc w:val="left"/>
              <w:rPr>
                <w:rFonts w:ascii="Times New Roman"/>
                <w:sz w:val="20"/>
              </w:rPr>
            </w:pPr>
          </w:p>
        </w:tc>
        <w:tc>
          <w:tcPr>
            <w:tcW w:w="1265" w:type="dxa"/>
          </w:tcPr>
          <w:p w14:paraId="08006AEA">
            <w:pPr>
              <w:pStyle w:val="17"/>
              <w:jc w:val="left"/>
              <w:rPr>
                <w:rFonts w:ascii="Times New Roman"/>
                <w:sz w:val="20"/>
              </w:rPr>
            </w:pPr>
          </w:p>
        </w:tc>
        <w:tc>
          <w:tcPr>
            <w:tcW w:w="771" w:type="dxa"/>
          </w:tcPr>
          <w:p w14:paraId="7BE8006D">
            <w:pPr>
              <w:pStyle w:val="17"/>
              <w:jc w:val="left"/>
              <w:rPr>
                <w:rFonts w:ascii="Times New Roman"/>
                <w:sz w:val="20"/>
              </w:rPr>
            </w:pPr>
          </w:p>
        </w:tc>
        <w:tc>
          <w:tcPr>
            <w:tcW w:w="772" w:type="dxa"/>
          </w:tcPr>
          <w:p w14:paraId="23E22031">
            <w:pPr>
              <w:pStyle w:val="17"/>
              <w:jc w:val="left"/>
              <w:rPr>
                <w:rFonts w:ascii="Times New Roman"/>
                <w:sz w:val="20"/>
              </w:rPr>
            </w:pPr>
          </w:p>
        </w:tc>
        <w:tc>
          <w:tcPr>
            <w:tcW w:w="921" w:type="dxa"/>
          </w:tcPr>
          <w:p w14:paraId="7604506E">
            <w:pPr>
              <w:pStyle w:val="17"/>
              <w:jc w:val="left"/>
              <w:rPr>
                <w:rFonts w:ascii="Times New Roman"/>
                <w:sz w:val="20"/>
              </w:rPr>
            </w:pPr>
          </w:p>
        </w:tc>
        <w:tc>
          <w:tcPr>
            <w:tcW w:w="1035" w:type="dxa"/>
          </w:tcPr>
          <w:p w14:paraId="73B342E2">
            <w:pPr>
              <w:pStyle w:val="17"/>
              <w:spacing w:before="19"/>
              <w:ind w:left="201"/>
              <w:jc w:val="left"/>
              <w:rPr>
                <w:sz w:val="21"/>
              </w:rPr>
            </w:pPr>
            <w:r>
              <w:rPr>
                <w:sz w:val="21"/>
              </w:rPr>
              <w:t>年均值</w:t>
            </w:r>
          </w:p>
        </w:tc>
        <w:tc>
          <w:tcPr>
            <w:tcW w:w="1259" w:type="dxa"/>
          </w:tcPr>
          <w:p w14:paraId="22407228">
            <w:pPr>
              <w:pStyle w:val="17"/>
              <w:spacing w:before="35"/>
              <w:ind w:left="241"/>
              <w:jc w:val="left"/>
              <w:rPr>
                <w:rFonts w:ascii="Times New Roman"/>
                <w:sz w:val="21"/>
              </w:rPr>
            </w:pPr>
            <w:r>
              <w:rPr>
                <w:rFonts w:ascii="Times New Roman"/>
                <w:sz w:val="21"/>
              </w:rPr>
              <w:t>6.22E-04</w:t>
            </w:r>
          </w:p>
        </w:tc>
        <w:tc>
          <w:tcPr>
            <w:tcW w:w="1317" w:type="dxa"/>
          </w:tcPr>
          <w:p w14:paraId="3B88B84C">
            <w:pPr>
              <w:pStyle w:val="17"/>
              <w:spacing w:before="19"/>
              <w:ind w:left="107" w:right="98"/>
              <w:rPr>
                <w:sz w:val="21"/>
              </w:rPr>
            </w:pPr>
            <w:r>
              <w:rPr>
                <w:sz w:val="21"/>
              </w:rPr>
              <w:t>平均值</w:t>
            </w:r>
          </w:p>
        </w:tc>
        <w:tc>
          <w:tcPr>
            <w:tcW w:w="1230" w:type="dxa"/>
          </w:tcPr>
          <w:p w14:paraId="4C4A223D">
            <w:pPr>
              <w:pStyle w:val="17"/>
              <w:spacing w:before="35"/>
              <w:ind w:left="175" w:right="166"/>
              <w:rPr>
                <w:rFonts w:ascii="Times New Roman"/>
                <w:sz w:val="21"/>
              </w:rPr>
            </w:pPr>
            <w:r>
              <w:rPr>
                <w:rFonts w:ascii="Times New Roman"/>
                <w:sz w:val="21"/>
              </w:rPr>
              <w:t>0.00E+00</w:t>
            </w:r>
          </w:p>
        </w:tc>
        <w:tc>
          <w:tcPr>
            <w:tcW w:w="1725" w:type="dxa"/>
          </w:tcPr>
          <w:p w14:paraId="1132A3D6">
            <w:pPr>
              <w:pStyle w:val="17"/>
              <w:spacing w:before="35"/>
              <w:ind w:left="417" w:right="413"/>
              <w:rPr>
                <w:rFonts w:ascii="Times New Roman"/>
                <w:sz w:val="21"/>
              </w:rPr>
            </w:pPr>
            <w:r>
              <w:rPr>
                <w:rFonts w:ascii="Times New Roman"/>
                <w:sz w:val="21"/>
              </w:rPr>
              <w:t>6.22E-04</w:t>
            </w:r>
          </w:p>
        </w:tc>
        <w:tc>
          <w:tcPr>
            <w:tcW w:w="1230" w:type="dxa"/>
          </w:tcPr>
          <w:p w14:paraId="5C85E395">
            <w:pPr>
              <w:pStyle w:val="17"/>
              <w:spacing w:before="35"/>
              <w:ind w:left="225"/>
              <w:jc w:val="left"/>
              <w:rPr>
                <w:rFonts w:ascii="Times New Roman"/>
                <w:sz w:val="21"/>
              </w:rPr>
            </w:pPr>
            <w:r>
              <w:rPr>
                <w:rFonts w:ascii="Times New Roman"/>
                <w:sz w:val="21"/>
              </w:rPr>
              <w:t>2.00E-01</w:t>
            </w:r>
          </w:p>
        </w:tc>
        <w:tc>
          <w:tcPr>
            <w:tcW w:w="1517" w:type="dxa"/>
          </w:tcPr>
          <w:p w14:paraId="30E3A48A">
            <w:pPr>
              <w:pStyle w:val="17"/>
              <w:spacing w:before="35"/>
              <w:ind w:left="499" w:right="492"/>
              <w:rPr>
                <w:rFonts w:ascii="Times New Roman"/>
                <w:sz w:val="21"/>
              </w:rPr>
            </w:pPr>
            <w:r>
              <w:rPr>
                <w:rFonts w:ascii="Times New Roman"/>
                <w:sz w:val="21"/>
              </w:rPr>
              <w:t>0.31</w:t>
            </w:r>
          </w:p>
        </w:tc>
        <w:tc>
          <w:tcPr>
            <w:tcW w:w="712" w:type="dxa"/>
            <w:tcBorders>
              <w:right w:val="nil"/>
            </w:tcBorders>
          </w:tcPr>
          <w:p w14:paraId="64F9DA39">
            <w:pPr>
              <w:pStyle w:val="17"/>
              <w:spacing w:before="19"/>
              <w:ind w:left="122" w:right="121"/>
              <w:rPr>
                <w:sz w:val="21"/>
              </w:rPr>
            </w:pPr>
            <w:r>
              <w:rPr>
                <w:sz w:val="21"/>
              </w:rPr>
              <w:t>达标</w:t>
            </w:r>
          </w:p>
        </w:tc>
      </w:tr>
      <w:tr w14:paraId="359A0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0E66EFF3">
            <w:pPr>
              <w:pStyle w:val="17"/>
              <w:spacing w:before="15" w:line="236" w:lineRule="exact"/>
              <w:ind w:right="169"/>
              <w:jc w:val="right"/>
              <w:rPr>
                <w:rFonts w:ascii="Times New Roman"/>
                <w:sz w:val="21"/>
              </w:rPr>
            </w:pPr>
            <w:r>
              <w:rPr>
                <w:rFonts w:ascii="Times New Roman"/>
                <w:w w:val="99"/>
                <w:sz w:val="21"/>
              </w:rPr>
              <w:t>9</w:t>
            </w:r>
          </w:p>
        </w:tc>
        <w:tc>
          <w:tcPr>
            <w:tcW w:w="1265" w:type="dxa"/>
          </w:tcPr>
          <w:p w14:paraId="65866E91">
            <w:pPr>
              <w:pStyle w:val="17"/>
              <w:spacing w:before="1" w:line="250" w:lineRule="exact"/>
              <w:ind w:left="421"/>
              <w:jc w:val="left"/>
              <w:rPr>
                <w:sz w:val="21"/>
              </w:rPr>
            </w:pPr>
            <w:r>
              <w:rPr>
                <w:sz w:val="21"/>
              </w:rPr>
              <w:t>网格</w:t>
            </w:r>
          </w:p>
        </w:tc>
        <w:tc>
          <w:tcPr>
            <w:tcW w:w="771" w:type="dxa"/>
          </w:tcPr>
          <w:p w14:paraId="3ED0B017">
            <w:pPr>
              <w:pStyle w:val="17"/>
              <w:spacing w:before="15" w:line="236" w:lineRule="exact"/>
              <w:ind w:left="9"/>
              <w:rPr>
                <w:rFonts w:ascii="Times New Roman"/>
                <w:sz w:val="21"/>
              </w:rPr>
            </w:pPr>
            <w:r>
              <w:rPr>
                <w:rFonts w:ascii="Times New Roman"/>
                <w:w w:val="99"/>
                <w:sz w:val="21"/>
              </w:rPr>
              <w:t>0</w:t>
            </w:r>
          </w:p>
        </w:tc>
        <w:tc>
          <w:tcPr>
            <w:tcW w:w="772" w:type="dxa"/>
          </w:tcPr>
          <w:p w14:paraId="2A6CDD52">
            <w:pPr>
              <w:pStyle w:val="17"/>
              <w:spacing w:before="15" w:line="236" w:lineRule="exact"/>
              <w:ind w:left="151" w:right="145"/>
              <w:rPr>
                <w:rFonts w:ascii="Times New Roman"/>
                <w:sz w:val="21"/>
              </w:rPr>
            </w:pPr>
            <w:r>
              <w:rPr>
                <w:rFonts w:ascii="Times New Roman"/>
                <w:sz w:val="21"/>
              </w:rPr>
              <w:t>100</w:t>
            </w:r>
          </w:p>
        </w:tc>
        <w:tc>
          <w:tcPr>
            <w:tcW w:w="921" w:type="dxa"/>
          </w:tcPr>
          <w:p w14:paraId="3E6A8899">
            <w:pPr>
              <w:pStyle w:val="17"/>
              <w:spacing w:before="15" w:line="236" w:lineRule="exact"/>
              <w:ind w:left="203" w:right="195"/>
              <w:rPr>
                <w:rFonts w:ascii="Times New Roman"/>
                <w:sz w:val="21"/>
              </w:rPr>
            </w:pPr>
            <w:r>
              <w:rPr>
                <w:rFonts w:ascii="Times New Roman"/>
                <w:sz w:val="21"/>
              </w:rPr>
              <w:t>68.90</w:t>
            </w:r>
          </w:p>
        </w:tc>
        <w:tc>
          <w:tcPr>
            <w:tcW w:w="1035" w:type="dxa"/>
          </w:tcPr>
          <w:p w14:paraId="478A3BAA">
            <w:pPr>
              <w:pStyle w:val="17"/>
              <w:spacing w:before="1" w:line="250" w:lineRule="exact"/>
              <w:ind w:left="201"/>
              <w:jc w:val="left"/>
              <w:rPr>
                <w:sz w:val="21"/>
              </w:rPr>
            </w:pPr>
            <w:r>
              <w:rPr>
                <w:sz w:val="21"/>
              </w:rPr>
              <w:t>小时值</w:t>
            </w:r>
          </w:p>
        </w:tc>
        <w:tc>
          <w:tcPr>
            <w:tcW w:w="1259" w:type="dxa"/>
          </w:tcPr>
          <w:p w14:paraId="7C75777C">
            <w:pPr>
              <w:pStyle w:val="17"/>
              <w:spacing w:before="15" w:line="236" w:lineRule="exact"/>
              <w:ind w:left="217"/>
              <w:jc w:val="left"/>
              <w:rPr>
                <w:rFonts w:ascii="Times New Roman"/>
                <w:sz w:val="21"/>
              </w:rPr>
            </w:pPr>
            <w:r>
              <w:rPr>
                <w:rFonts w:ascii="Times New Roman"/>
                <w:sz w:val="21"/>
              </w:rPr>
              <w:t>3.79E+02</w:t>
            </w:r>
          </w:p>
        </w:tc>
        <w:tc>
          <w:tcPr>
            <w:tcW w:w="1317" w:type="dxa"/>
          </w:tcPr>
          <w:p w14:paraId="1B712455">
            <w:pPr>
              <w:pStyle w:val="17"/>
              <w:spacing w:before="15" w:line="236" w:lineRule="exact"/>
              <w:ind w:left="105" w:right="98"/>
              <w:rPr>
                <w:rFonts w:ascii="Times New Roman"/>
                <w:sz w:val="21"/>
              </w:rPr>
            </w:pPr>
            <w:r>
              <w:rPr>
                <w:rFonts w:ascii="Times New Roman"/>
                <w:sz w:val="21"/>
              </w:rPr>
              <w:t>23111403</w:t>
            </w:r>
          </w:p>
        </w:tc>
        <w:tc>
          <w:tcPr>
            <w:tcW w:w="1230" w:type="dxa"/>
          </w:tcPr>
          <w:p w14:paraId="455BE477">
            <w:pPr>
              <w:pStyle w:val="17"/>
              <w:spacing w:before="15" w:line="236" w:lineRule="exact"/>
              <w:ind w:left="175" w:right="166"/>
              <w:rPr>
                <w:rFonts w:ascii="Times New Roman"/>
                <w:sz w:val="21"/>
              </w:rPr>
            </w:pPr>
            <w:r>
              <w:rPr>
                <w:rFonts w:ascii="Times New Roman"/>
                <w:sz w:val="21"/>
              </w:rPr>
              <w:t>0.00E+00</w:t>
            </w:r>
          </w:p>
        </w:tc>
        <w:tc>
          <w:tcPr>
            <w:tcW w:w="1725" w:type="dxa"/>
          </w:tcPr>
          <w:p w14:paraId="2A05CC9C">
            <w:pPr>
              <w:pStyle w:val="17"/>
              <w:spacing w:before="15" w:line="236" w:lineRule="exact"/>
              <w:ind w:left="419" w:right="413"/>
              <w:rPr>
                <w:rFonts w:ascii="Times New Roman"/>
                <w:sz w:val="21"/>
              </w:rPr>
            </w:pPr>
            <w:r>
              <w:rPr>
                <w:rFonts w:ascii="Times New Roman"/>
                <w:sz w:val="21"/>
              </w:rPr>
              <w:t>3.79E+02</w:t>
            </w:r>
          </w:p>
        </w:tc>
        <w:tc>
          <w:tcPr>
            <w:tcW w:w="1230" w:type="dxa"/>
          </w:tcPr>
          <w:p w14:paraId="0E82D074">
            <w:pPr>
              <w:pStyle w:val="17"/>
              <w:spacing w:before="15" w:line="236" w:lineRule="exact"/>
              <w:ind w:left="201"/>
              <w:jc w:val="left"/>
              <w:rPr>
                <w:rFonts w:ascii="Times New Roman"/>
                <w:sz w:val="21"/>
              </w:rPr>
            </w:pPr>
            <w:r>
              <w:rPr>
                <w:rFonts w:ascii="Times New Roman"/>
                <w:sz w:val="21"/>
              </w:rPr>
              <w:t>9.00E+02</w:t>
            </w:r>
          </w:p>
        </w:tc>
        <w:tc>
          <w:tcPr>
            <w:tcW w:w="1517" w:type="dxa"/>
          </w:tcPr>
          <w:p w14:paraId="35AEDC44">
            <w:pPr>
              <w:pStyle w:val="17"/>
              <w:spacing w:before="15" w:line="236" w:lineRule="exact"/>
              <w:ind w:left="501" w:right="492"/>
              <w:rPr>
                <w:rFonts w:ascii="Times New Roman"/>
                <w:sz w:val="21"/>
              </w:rPr>
            </w:pPr>
            <w:r>
              <w:rPr>
                <w:rFonts w:ascii="Times New Roman"/>
                <w:sz w:val="21"/>
              </w:rPr>
              <w:t>42.15</w:t>
            </w:r>
          </w:p>
        </w:tc>
        <w:tc>
          <w:tcPr>
            <w:tcW w:w="712" w:type="dxa"/>
            <w:tcBorders>
              <w:right w:val="nil"/>
            </w:tcBorders>
          </w:tcPr>
          <w:p w14:paraId="5EBA295E">
            <w:pPr>
              <w:pStyle w:val="17"/>
              <w:spacing w:before="1" w:line="250" w:lineRule="exact"/>
              <w:ind w:left="122" w:right="121"/>
              <w:rPr>
                <w:sz w:val="21"/>
              </w:rPr>
            </w:pPr>
            <w:r>
              <w:rPr>
                <w:sz w:val="21"/>
              </w:rPr>
              <w:t>达标</w:t>
            </w:r>
          </w:p>
        </w:tc>
      </w:tr>
      <w:tr w14:paraId="0DB22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3CE44EDE">
            <w:pPr>
              <w:pStyle w:val="17"/>
              <w:jc w:val="left"/>
              <w:rPr>
                <w:rFonts w:ascii="Times New Roman"/>
                <w:sz w:val="20"/>
              </w:rPr>
            </w:pPr>
          </w:p>
        </w:tc>
        <w:tc>
          <w:tcPr>
            <w:tcW w:w="1265" w:type="dxa"/>
          </w:tcPr>
          <w:p w14:paraId="6DCB17A8">
            <w:pPr>
              <w:pStyle w:val="17"/>
              <w:jc w:val="left"/>
              <w:rPr>
                <w:rFonts w:ascii="Times New Roman"/>
                <w:sz w:val="20"/>
              </w:rPr>
            </w:pPr>
          </w:p>
        </w:tc>
        <w:tc>
          <w:tcPr>
            <w:tcW w:w="771" w:type="dxa"/>
          </w:tcPr>
          <w:p w14:paraId="37E1A428">
            <w:pPr>
              <w:pStyle w:val="17"/>
              <w:spacing w:before="14" w:line="238" w:lineRule="exact"/>
              <w:ind w:left="120" w:right="111"/>
              <w:rPr>
                <w:rFonts w:ascii="Times New Roman"/>
                <w:sz w:val="21"/>
              </w:rPr>
            </w:pPr>
            <w:r>
              <w:rPr>
                <w:rFonts w:ascii="Times New Roman"/>
                <w:sz w:val="21"/>
              </w:rPr>
              <w:t>50</w:t>
            </w:r>
          </w:p>
        </w:tc>
        <w:tc>
          <w:tcPr>
            <w:tcW w:w="772" w:type="dxa"/>
          </w:tcPr>
          <w:p w14:paraId="479BA42F">
            <w:pPr>
              <w:pStyle w:val="17"/>
              <w:spacing w:before="14" w:line="238" w:lineRule="exact"/>
              <w:ind w:left="6"/>
              <w:rPr>
                <w:rFonts w:ascii="Times New Roman"/>
                <w:sz w:val="21"/>
              </w:rPr>
            </w:pPr>
            <w:r>
              <w:rPr>
                <w:rFonts w:ascii="Times New Roman"/>
                <w:w w:val="99"/>
                <w:sz w:val="21"/>
              </w:rPr>
              <w:t>0</w:t>
            </w:r>
          </w:p>
        </w:tc>
        <w:tc>
          <w:tcPr>
            <w:tcW w:w="921" w:type="dxa"/>
          </w:tcPr>
          <w:p w14:paraId="4E01FD9A">
            <w:pPr>
              <w:pStyle w:val="17"/>
              <w:spacing w:before="14" w:line="238" w:lineRule="exact"/>
              <w:ind w:left="203" w:right="195"/>
              <w:rPr>
                <w:rFonts w:ascii="Times New Roman"/>
                <w:sz w:val="21"/>
              </w:rPr>
            </w:pPr>
            <w:r>
              <w:rPr>
                <w:rFonts w:ascii="Times New Roman"/>
                <w:sz w:val="21"/>
              </w:rPr>
              <w:t>74.00</w:t>
            </w:r>
          </w:p>
        </w:tc>
        <w:tc>
          <w:tcPr>
            <w:tcW w:w="1035" w:type="dxa"/>
          </w:tcPr>
          <w:p w14:paraId="0F46CDF2">
            <w:pPr>
              <w:pStyle w:val="17"/>
              <w:spacing w:line="252" w:lineRule="exact"/>
              <w:ind w:left="201"/>
              <w:jc w:val="left"/>
              <w:rPr>
                <w:sz w:val="21"/>
              </w:rPr>
            </w:pPr>
            <w:r>
              <w:rPr>
                <w:sz w:val="21"/>
              </w:rPr>
              <w:t>日均值</w:t>
            </w:r>
          </w:p>
        </w:tc>
        <w:tc>
          <w:tcPr>
            <w:tcW w:w="1259" w:type="dxa"/>
          </w:tcPr>
          <w:p w14:paraId="30ADAFE3">
            <w:pPr>
              <w:pStyle w:val="17"/>
              <w:spacing w:before="14" w:line="238" w:lineRule="exact"/>
              <w:ind w:left="217"/>
              <w:jc w:val="left"/>
              <w:rPr>
                <w:rFonts w:ascii="Times New Roman"/>
                <w:sz w:val="21"/>
              </w:rPr>
            </w:pPr>
            <w:r>
              <w:rPr>
                <w:rFonts w:ascii="Times New Roman"/>
                <w:sz w:val="21"/>
              </w:rPr>
              <w:t>5.09E+01</w:t>
            </w:r>
          </w:p>
        </w:tc>
        <w:tc>
          <w:tcPr>
            <w:tcW w:w="1317" w:type="dxa"/>
          </w:tcPr>
          <w:p w14:paraId="728A09CF">
            <w:pPr>
              <w:pStyle w:val="17"/>
              <w:spacing w:before="14" w:line="238" w:lineRule="exact"/>
              <w:ind w:left="105" w:right="98"/>
              <w:rPr>
                <w:rFonts w:ascii="Times New Roman"/>
                <w:sz w:val="21"/>
              </w:rPr>
            </w:pPr>
            <w:r>
              <w:rPr>
                <w:rFonts w:ascii="Times New Roman"/>
                <w:sz w:val="21"/>
              </w:rPr>
              <w:t>230117</w:t>
            </w:r>
          </w:p>
        </w:tc>
        <w:tc>
          <w:tcPr>
            <w:tcW w:w="1230" w:type="dxa"/>
          </w:tcPr>
          <w:p w14:paraId="4BFBDBD4">
            <w:pPr>
              <w:pStyle w:val="17"/>
              <w:spacing w:before="14" w:line="238" w:lineRule="exact"/>
              <w:ind w:left="175" w:right="166"/>
              <w:rPr>
                <w:rFonts w:ascii="Times New Roman"/>
                <w:sz w:val="21"/>
              </w:rPr>
            </w:pPr>
            <w:r>
              <w:rPr>
                <w:rFonts w:ascii="Times New Roman"/>
                <w:sz w:val="21"/>
              </w:rPr>
              <w:t>1.17E+02</w:t>
            </w:r>
          </w:p>
        </w:tc>
        <w:tc>
          <w:tcPr>
            <w:tcW w:w="1725" w:type="dxa"/>
          </w:tcPr>
          <w:p w14:paraId="125C7595">
            <w:pPr>
              <w:pStyle w:val="17"/>
              <w:spacing w:before="14" w:line="238" w:lineRule="exact"/>
              <w:ind w:left="419" w:right="413"/>
              <w:rPr>
                <w:rFonts w:ascii="Times New Roman"/>
                <w:sz w:val="21"/>
              </w:rPr>
            </w:pPr>
            <w:r>
              <w:rPr>
                <w:rFonts w:ascii="Times New Roman"/>
                <w:sz w:val="21"/>
              </w:rPr>
              <w:t>1.68E+02</w:t>
            </w:r>
          </w:p>
        </w:tc>
        <w:tc>
          <w:tcPr>
            <w:tcW w:w="1230" w:type="dxa"/>
          </w:tcPr>
          <w:p w14:paraId="273BC9C2">
            <w:pPr>
              <w:pStyle w:val="17"/>
              <w:spacing w:before="14" w:line="238" w:lineRule="exact"/>
              <w:ind w:left="201"/>
              <w:jc w:val="left"/>
              <w:rPr>
                <w:rFonts w:ascii="Times New Roman"/>
                <w:sz w:val="21"/>
              </w:rPr>
            </w:pPr>
            <w:r>
              <w:rPr>
                <w:rFonts w:ascii="Times New Roman"/>
                <w:sz w:val="21"/>
              </w:rPr>
              <w:t>3.00E+02</w:t>
            </w:r>
          </w:p>
        </w:tc>
        <w:tc>
          <w:tcPr>
            <w:tcW w:w="1517" w:type="dxa"/>
          </w:tcPr>
          <w:p w14:paraId="043F4A94">
            <w:pPr>
              <w:pStyle w:val="17"/>
              <w:spacing w:before="14" w:line="238" w:lineRule="exact"/>
              <w:ind w:left="501" w:right="492"/>
              <w:rPr>
                <w:rFonts w:ascii="Times New Roman"/>
                <w:sz w:val="21"/>
              </w:rPr>
            </w:pPr>
            <w:r>
              <w:rPr>
                <w:rFonts w:ascii="Times New Roman"/>
                <w:sz w:val="21"/>
              </w:rPr>
              <w:t>55.97</w:t>
            </w:r>
          </w:p>
        </w:tc>
        <w:tc>
          <w:tcPr>
            <w:tcW w:w="712" w:type="dxa"/>
            <w:tcBorders>
              <w:right w:val="nil"/>
            </w:tcBorders>
          </w:tcPr>
          <w:p w14:paraId="7A2740CB">
            <w:pPr>
              <w:pStyle w:val="17"/>
              <w:spacing w:line="252" w:lineRule="exact"/>
              <w:ind w:left="122" w:right="121"/>
              <w:rPr>
                <w:sz w:val="21"/>
              </w:rPr>
            </w:pPr>
            <w:r>
              <w:rPr>
                <w:sz w:val="21"/>
              </w:rPr>
              <w:t>达标</w:t>
            </w:r>
          </w:p>
        </w:tc>
      </w:tr>
      <w:tr w14:paraId="1A20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64" w:type="dxa"/>
            <w:tcBorders>
              <w:left w:val="nil"/>
            </w:tcBorders>
          </w:tcPr>
          <w:p w14:paraId="007C3CD1">
            <w:pPr>
              <w:pStyle w:val="17"/>
              <w:jc w:val="left"/>
              <w:rPr>
                <w:rFonts w:ascii="Times New Roman"/>
                <w:sz w:val="20"/>
              </w:rPr>
            </w:pPr>
          </w:p>
        </w:tc>
        <w:tc>
          <w:tcPr>
            <w:tcW w:w="1265" w:type="dxa"/>
          </w:tcPr>
          <w:p w14:paraId="589CB17C">
            <w:pPr>
              <w:pStyle w:val="17"/>
              <w:jc w:val="left"/>
              <w:rPr>
                <w:rFonts w:ascii="Times New Roman"/>
                <w:sz w:val="20"/>
              </w:rPr>
            </w:pPr>
          </w:p>
        </w:tc>
        <w:tc>
          <w:tcPr>
            <w:tcW w:w="771" w:type="dxa"/>
          </w:tcPr>
          <w:p w14:paraId="642AC67D">
            <w:pPr>
              <w:pStyle w:val="17"/>
              <w:spacing w:before="14" w:line="237" w:lineRule="exact"/>
              <w:ind w:left="9"/>
              <w:rPr>
                <w:rFonts w:ascii="Times New Roman"/>
                <w:sz w:val="21"/>
              </w:rPr>
            </w:pPr>
            <w:r>
              <w:rPr>
                <w:rFonts w:ascii="Times New Roman"/>
                <w:w w:val="99"/>
                <w:sz w:val="21"/>
              </w:rPr>
              <w:t>0</w:t>
            </w:r>
          </w:p>
        </w:tc>
        <w:tc>
          <w:tcPr>
            <w:tcW w:w="772" w:type="dxa"/>
          </w:tcPr>
          <w:p w14:paraId="01064372">
            <w:pPr>
              <w:pStyle w:val="17"/>
              <w:spacing w:before="14" w:line="237" w:lineRule="exact"/>
              <w:ind w:left="154" w:right="145"/>
              <w:rPr>
                <w:rFonts w:ascii="Times New Roman"/>
                <w:sz w:val="21"/>
              </w:rPr>
            </w:pPr>
            <w:r>
              <w:rPr>
                <w:rFonts w:ascii="Times New Roman"/>
                <w:sz w:val="21"/>
              </w:rPr>
              <w:t>-50</w:t>
            </w:r>
          </w:p>
        </w:tc>
        <w:tc>
          <w:tcPr>
            <w:tcW w:w="921" w:type="dxa"/>
          </w:tcPr>
          <w:p w14:paraId="284DD162">
            <w:pPr>
              <w:pStyle w:val="17"/>
              <w:spacing w:before="14" w:line="237" w:lineRule="exact"/>
              <w:ind w:left="203" w:right="195"/>
              <w:rPr>
                <w:rFonts w:ascii="Times New Roman"/>
                <w:sz w:val="21"/>
              </w:rPr>
            </w:pPr>
            <w:r>
              <w:rPr>
                <w:rFonts w:ascii="Times New Roman"/>
                <w:sz w:val="21"/>
              </w:rPr>
              <w:t>74.00</w:t>
            </w:r>
          </w:p>
        </w:tc>
        <w:tc>
          <w:tcPr>
            <w:tcW w:w="1035" w:type="dxa"/>
          </w:tcPr>
          <w:p w14:paraId="2B2BEBD8">
            <w:pPr>
              <w:pStyle w:val="17"/>
              <w:spacing w:line="251" w:lineRule="exact"/>
              <w:ind w:left="201"/>
              <w:jc w:val="left"/>
              <w:rPr>
                <w:sz w:val="21"/>
              </w:rPr>
            </w:pPr>
            <w:r>
              <w:rPr>
                <w:sz w:val="21"/>
              </w:rPr>
              <w:t>年均值</w:t>
            </w:r>
          </w:p>
        </w:tc>
        <w:tc>
          <w:tcPr>
            <w:tcW w:w="1259" w:type="dxa"/>
          </w:tcPr>
          <w:p w14:paraId="60A7435F">
            <w:pPr>
              <w:pStyle w:val="17"/>
              <w:spacing w:before="14" w:line="237" w:lineRule="exact"/>
              <w:ind w:left="217"/>
              <w:jc w:val="left"/>
              <w:rPr>
                <w:rFonts w:ascii="Times New Roman"/>
                <w:sz w:val="21"/>
              </w:rPr>
            </w:pPr>
            <w:r>
              <w:rPr>
                <w:rFonts w:ascii="Times New Roman"/>
                <w:sz w:val="21"/>
              </w:rPr>
              <w:t>1.61E+01</w:t>
            </w:r>
          </w:p>
        </w:tc>
        <w:tc>
          <w:tcPr>
            <w:tcW w:w="1317" w:type="dxa"/>
          </w:tcPr>
          <w:p w14:paraId="20862895">
            <w:pPr>
              <w:pStyle w:val="17"/>
              <w:spacing w:line="251" w:lineRule="exact"/>
              <w:ind w:left="107" w:right="98"/>
              <w:rPr>
                <w:sz w:val="21"/>
              </w:rPr>
            </w:pPr>
            <w:r>
              <w:rPr>
                <w:sz w:val="21"/>
              </w:rPr>
              <w:t>平均值</w:t>
            </w:r>
          </w:p>
        </w:tc>
        <w:tc>
          <w:tcPr>
            <w:tcW w:w="1230" w:type="dxa"/>
          </w:tcPr>
          <w:p w14:paraId="7E268356">
            <w:pPr>
              <w:pStyle w:val="17"/>
              <w:spacing w:before="14" w:line="237" w:lineRule="exact"/>
              <w:ind w:left="175" w:right="166"/>
              <w:rPr>
                <w:rFonts w:ascii="Times New Roman"/>
                <w:sz w:val="21"/>
              </w:rPr>
            </w:pPr>
            <w:r>
              <w:rPr>
                <w:rFonts w:ascii="Times New Roman"/>
                <w:sz w:val="21"/>
              </w:rPr>
              <w:t>1.20E+02</w:t>
            </w:r>
          </w:p>
        </w:tc>
        <w:tc>
          <w:tcPr>
            <w:tcW w:w="1725" w:type="dxa"/>
          </w:tcPr>
          <w:p w14:paraId="0FF9034A">
            <w:pPr>
              <w:pStyle w:val="17"/>
              <w:spacing w:before="14" w:line="237" w:lineRule="exact"/>
              <w:ind w:left="419" w:right="413"/>
              <w:rPr>
                <w:rFonts w:ascii="Times New Roman"/>
                <w:sz w:val="21"/>
              </w:rPr>
            </w:pPr>
            <w:r>
              <w:rPr>
                <w:rFonts w:ascii="Times New Roman"/>
                <w:sz w:val="21"/>
              </w:rPr>
              <w:t>1.36E+02</w:t>
            </w:r>
          </w:p>
        </w:tc>
        <w:tc>
          <w:tcPr>
            <w:tcW w:w="1230" w:type="dxa"/>
          </w:tcPr>
          <w:p w14:paraId="53ACFADA">
            <w:pPr>
              <w:pStyle w:val="17"/>
              <w:spacing w:before="14" w:line="237" w:lineRule="exact"/>
              <w:ind w:left="201"/>
              <w:jc w:val="left"/>
              <w:rPr>
                <w:rFonts w:ascii="Times New Roman"/>
                <w:sz w:val="21"/>
              </w:rPr>
            </w:pPr>
            <w:r>
              <w:rPr>
                <w:rFonts w:ascii="Times New Roman"/>
                <w:sz w:val="21"/>
              </w:rPr>
              <w:t>2.00E+02</w:t>
            </w:r>
          </w:p>
        </w:tc>
        <w:tc>
          <w:tcPr>
            <w:tcW w:w="1517" w:type="dxa"/>
          </w:tcPr>
          <w:p w14:paraId="126C6811">
            <w:pPr>
              <w:pStyle w:val="17"/>
              <w:spacing w:before="14" w:line="237" w:lineRule="exact"/>
              <w:ind w:left="501" w:right="492"/>
              <w:rPr>
                <w:rFonts w:ascii="Times New Roman"/>
                <w:sz w:val="21"/>
              </w:rPr>
            </w:pPr>
            <w:r>
              <w:rPr>
                <w:rFonts w:ascii="Times New Roman"/>
                <w:sz w:val="21"/>
              </w:rPr>
              <w:t>68.07</w:t>
            </w:r>
          </w:p>
        </w:tc>
        <w:tc>
          <w:tcPr>
            <w:tcW w:w="712" w:type="dxa"/>
            <w:tcBorders>
              <w:right w:val="nil"/>
            </w:tcBorders>
          </w:tcPr>
          <w:p w14:paraId="5F34F1A1">
            <w:pPr>
              <w:pStyle w:val="17"/>
              <w:spacing w:line="251" w:lineRule="exact"/>
              <w:ind w:left="122" w:right="121"/>
              <w:rPr>
                <w:sz w:val="21"/>
              </w:rPr>
            </w:pPr>
            <w:r>
              <w:rPr>
                <w:sz w:val="21"/>
              </w:rPr>
              <w:t>达标</w:t>
            </w:r>
          </w:p>
        </w:tc>
      </w:tr>
    </w:tbl>
    <w:p w14:paraId="29D9F05E">
      <w:pPr>
        <w:pStyle w:val="10"/>
        <w:spacing w:before="10"/>
        <w:rPr>
          <w:b/>
        </w:rPr>
      </w:pPr>
    </w:p>
    <w:p w14:paraId="37CE074F">
      <w:pPr>
        <w:pStyle w:val="10"/>
        <w:spacing w:before="74" w:line="364" w:lineRule="auto"/>
        <w:ind w:left="240" w:right="237" w:firstLine="480"/>
      </w:pPr>
      <w:r>
        <w:rPr>
          <w:spacing w:val="-11"/>
        </w:rPr>
        <w:t>从上表可知，本项目</w:t>
      </w:r>
      <w:r>
        <w:rPr>
          <w:rFonts w:ascii="Times New Roman" w:eastAsia="Times New Roman"/>
          <w:b/>
        </w:rPr>
        <w:t xml:space="preserve">TSP </w:t>
      </w:r>
      <w:r>
        <w:rPr>
          <w:spacing w:val="-10"/>
        </w:rPr>
        <w:t>日平均、年平均浓度叠加值的最大占标率分别为</w:t>
      </w:r>
      <w:r>
        <w:rPr>
          <w:rFonts w:ascii="Times New Roman" w:eastAsia="Times New Roman"/>
        </w:rPr>
        <w:t>41.19</w:t>
      </w:r>
      <w:r>
        <w:rPr>
          <w:rFonts w:ascii="Times New Roman" w:eastAsia="Times New Roman"/>
          <w:spacing w:val="-1"/>
        </w:rPr>
        <w:t>%</w:t>
      </w:r>
      <w:r>
        <w:rPr>
          <w:spacing w:val="-120"/>
        </w:rPr>
        <w:t>、</w:t>
      </w:r>
      <w:r>
        <w:rPr>
          <w:rFonts w:ascii="Times New Roman" w:eastAsia="Times New Roman"/>
        </w:rPr>
        <w:t>59.20</w:t>
      </w:r>
      <w:r>
        <w:rPr>
          <w:rFonts w:ascii="Times New Roman" w:eastAsia="Times New Roman"/>
          <w:spacing w:val="-1"/>
        </w:rPr>
        <w:t>%</w:t>
      </w:r>
      <w:r>
        <w:rPr>
          <w:spacing w:val="-23"/>
        </w:rPr>
        <w:t>，满足《环境空气质量标准</w:t>
      </w:r>
      <w:r>
        <w:rPr>
          <w:spacing w:val="-238"/>
        </w:rPr>
        <w:t>》</w:t>
      </w:r>
      <w:r>
        <w:rPr>
          <w:spacing w:val="-3"/>
        </w:rPr>
        <w:t>（</w:t>
      </w:r>
      <w:r>
        <w:rPr>
          <w:rFonts w:ascii="Times New Roman" w:eastAsia="Times New Roman"/>
          <w:spacing w:val="-1"/>
        </w:rPr>
        <w:t>G</w:t>
      </w:r>
      <w:r>
        <w:rPr>
          <w:rFonts w:ascii="Times New Roman" w:eastAsia="Times New Roman"/>
          <w:spacing w:val="-2"/>
        </w:rPr>
        <w:t>B</w:t>
      </w:r>
      <w:r>
        <w:rPr>
          <w:rFonts w:ascii="Times New Roman" w:eastAsia="Times New Roman"/>
        </w:rPr>
        <w:t>3095</w:t>
      </w:r>
      <w:r>
        <w:rPr>
          <w:rFonts w:ascii="Times New Roman" w:eastAsia="Times New Roman"/>
          <w:spacing w:val="0"/>
        </w:rPr>
        <w:t>-</w:t>
      </w:r>
      <w:r>
        <w:rPr>
          <w:rFonts w:ascii="Times New Roman" w:eastAsia="Times New Roman"/>
        </w:rPr>
        <w:t>201</w:t>
      </w:r>
      <w:r>
        <w:rPr>
          <w:rFonts w:ascii="Times New Roman" w:eastAsia="Times New Roman"/>
          <w:spacing w:val="1"/>
        </w:rPr>
        <w:t>2</w:t>
      </w:r>
      <w:r>
        <w:t>）中的二级标准要求。</w:t>
      </w:r>
    </w:p>
    <w:p w14:paraId="0933BFA2">
      <w:pPr>
        <w:spacing w:after="0" w:line="364" w:lineRule="auto"/>
        <w:sectPr>
          <w:pgSz w:w="16840" w:h="11910" w:orient="landscape"/>
          <w:pgMar w:top="1100" w:right="1080" w:bottom="1380" w:left="1200" w:header="0" w:footer="1192" w:gutter="0"/>
          <w:cols w:space="720" w:num="1"/>
        </w:sectPr>
      </w:pPr>
    </w:p>
    <w:p w14:paraId="5D3931AB">
      <w:pPr>
        <w:pStyle w:val="10"/>
        <w:rPr>
          <w:sz w:val="20"/>
        </w:rPr>
      </w:pPr>
    </w:p>
    <w:p w14:paraId="5063CE3A">
      <w:pPr>
        <w:pStyle w:val="10"/>
        <w:spacing w:before="11" w:after="1"/>
        <w:rPr>
          <w:sz w:val="16"/>
        </w:rPr>
      </w:pPr>
    </w:p>
    <w:p w14:paraId="0909118E">
      <w:pPr>
        <w:pStyle w:val="10"/>
        <w:ind w:left="240"/>
        <w:rPr>
          <w:sz w:val="20"/>
        </w:rPr>
      </w:pPr>
      <w:r>
        <w:rPr>
          <w:sz w:val="20"/>
        </w:rPr>
        <w:drawing>
          <wp:inline distT="0" distB="0" distL="0" distR="0">
            <wp:extent cx="7094220" cy="5220335"/>
            <wp:effectExtent l="0" t="0" r="0" b="0"/>
            <wp:docPr id="6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2.jpeg"/>
                    <pic:cNvPicPr>
                      <a:picLocks noChangeAspect="1"/>
                    </pic:cNvPicPr>
                  </pic:nvPicPr>
                  <pic:blipFill>
                    <a:blip r:embed="rId132" cstate="print"/>
                    <a:stretch>
                      <a:fillRect/>
                    </a:stretch>
                  </pic:blipFill>
                  <pic:spPr>
                    <a:xfrm>
                      <a:off x="0" y="0"/>
                      <a:ext cx="7094261" cy="5220652"/>
                    </a:xfrm>
                    <a:prstGeom prst="rect">
                      <a:avLst/>
                    </a:prstGeom>
                  </pic:spPr>
                </pic:pic>
              </a:graphicData>
            </a:graphic>
          </wp:inline>
        </w:drawing>
      </w:r>
    </w:p>
    <w:p w14:paraId="2A4A773C">
      <w:pPr>
        <w:pStyle w:val="9"/>
        <w:spacing w:before="88"/>
        <w:ind w:left="3820"/>
      </w:pPr>
      <w:r>
        <w:t xml:space="preserve">图 </w:t>
      </w:r>
      <w:r>
        <w:rPr>
          <w:rFonts w:ascii="Times New Roman" w:eastAsia="Times New Roman"/>
        </w:rPr>
        <w:t>4.1-12</w:t>
      </w:r>
      <w:r>
        <w:t>（</w:t>
      </w:r>
      <w:r>
        <w:rPr>
          <w:rFonts w:ascii="Times New Roman" w:eastAsia="Times New Roman"/>
        </w:rPr>
        <w:t>1</w:t>
      </w:r>
      <w:r>
        <w:t xml:space="preserve">）本项目 </w:t>
      </w:r>
      <w:r>
        <w:rPr>
          <w:rFonts w:ascii="Times New Roman" w:eastAsia="Times New Roman"/>
        </w:rPr>
        <w:t xml:space="preserve">TSP </w:t>
      </w:r>
      <w:r>
        <w:t xml:space="preserve">网格点 </w:t>
      </w:r>
      <w:r>
        <w:rPr>
          <w:rFonts w:ascii="Times New Roman" w:eastAsia="Times New Roman"/>
        </w:rPr>
        <w:t xml:space="preserve">1h </w:t>
      </w:r>
      <w:r>
        <w:t>均值叠加值预测结果分布图</w:t>
      </w:r>
    </w:p>
    <w:p w14:paraId="5D51F097">
      <w:pPr>
        <w:spacing w:after="0"/>
        <w:sectPr>
          <w:pgSz w:w="16840" w:h="11910" w:orient="landscape"/>
          <w:pgMar w:top="1100" w:right="1080" w:bottom="1380" w:left="1200" w:header="0" w:footer="1192" w:gutter="0"/>
          <w:cols w:space="720" w:num="1"/>
        </w:sectPr>
      </w:pPr>
    </w:p>
    <w:p w14:paraId="70068873">
      <w:pPr>
        <w:pStyle w:val="10"/>
        <w:rPr>
          <w:b/>
          <w:sz w:val="20"/>
        </w:rPr>
      </w:pPr>
    </w:p>
    <w:p w14:paraId="016EA365">
      <w:pPr>
        <w:pStyle w:val="10"/>
        <w:rPr>
          <w:b/>
          <w:sz w:val="10"/>
        </w:rPr>
      </w:pPr>
    </w:p>
    <w:p w14:paraId="1C9FA369">
      <w:pPr>
        <w:pStyle w:val="10"/>
        <w:ind w:left="240"/>
        <w:rPr>
          <w:sz w:val="20"/>
        </w:rPr>
      </w:pPr>
      <w:r>
        <w:rPr>
          <w:sz w:val="20"/>
        </w:rPr>
        <w:drawing>
          <wp:inline distT="0" distB="0" distL="0" distR="0">
            <wp:extent cx="7204075" cy="5303520"/>
            <wp:effectExtent l="0" t="0" r="0" b="0"/>
            <wp:docPr id="6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3.jpeg"/>
                    <pic:cNvPicPr>
                      <a:picLocks noChangeAspect="1"/>
                    </pic:cNvPicPr>
                  </pic:nvPicPr>
                  <pic:blipFill>
                    <a:blip r:embed="rId133" cstate="print"/>
                    <a:stretch>
                      <a:fillRect/>
                    </a:stretch>
                  </pic:blipFill>
                  <pic:spPr>
                    <a:xfrm>
                      <a:off x="0" y="0"/>
                      <a:ext cx="7204265" cy="5303520"/>
                    </a:xfrm>
                    <a:prstGeom prst="rect">
                      <a:avLst/>
                    </a:prstGeom>
                  </pic:spPr>
                </pic:pic>
              </a:graphicData>
            </a:graphic>
          </wp:inline>
        </w:drawing>
      </w:r>
    </w:p>
    <w:p w14:paraId="3F06A5C2">
      <w:pPr>
        <w:pStyle w:val="9"/>
        <w:spacing w:before="46"/>
        <w:ind w:left="3888"/>
      </w:pPr>
      <w:r>
        <w:t xml:space="preserve">图 </w:t>
      </w:r>
      <w:r>
        <w:rPr>
          <w:rFonts w:ascii="Times New Roman" w:eastAsia="Times New Roman"/>
        </w:rPr>
        <w:t>4.1-12</w:t>
      </w:r>
      <w:r>
        <w:t>（</w:t>
      </w:r>
      <w:r>
        <w:rPr>
          <w:rFonts w:ascii="Times New Roman" w:eastAsia="Times New Roman"/>
        </w:rPr>
        <w:t>2</w:t>
      </w:r>
      <w:r>
        <w:t xml:space="preserve">）本项目 </w:t>
      </w:r>
      <w:r>
        <w:rPr>
          <w:rFonts w:ascii="Times New Roman" w:eastAsia="Times New Roman"/>
        </w:rPr>
        <w:t xml:space="preserve">TSP </w:t>
      </w:r>
      <w:r>
        <w:t>网格点日均值叠加值预测结果分布图</w:t>
      </w:r>
    </w:p>
    <w:p w14:paraId="6B525A74">
      <w:pPr>
        <w:spacing w:after="0"/>
        <w:sectPr>
          <w:pgSz w:w="16840" w:h="11910" w:orient="landscape"/>
          <w:pgMar w:top="1100" w:right="1080" w:bottom="1380" w:left="1200" w:header="0" w:footer="1192" w:gutter="0"/>
          <w:cols w:space="720" w:num="1"/>
        </w:sectPr>
      </w:pPr>
    </w:p>
    <w:p w14:paraId="41336FEF">
      <w:pPr>
        <w:pStyle w:val="10"/>
        <w:rPr>
          <w:b/>
          <w:sz w:val="20"/>
        </w:rPr>
      </w:pPr>
    </w:p>
    <w:p w14:paraId="78E6BBA7">
      <w:pPr>
        <w:pStyle w:val="10"/>
        <w:rPr>
          <w:b/>
          <w:sz w:val="10"/>
        </w:rPr>
      </w:pPr>
    </w:p>
    <w:p w14:paraId="4F116BE5">
      <w:pPr>
        <w:pStyle w:val="10"/>
        <w:ind w:left="240"/>
        <w:rPr>
          <w:sz w:val="20"/>
        </w:rPr>
      </w:pPr>
      <w:r>
        <w:rPr>
          <w:sz w:val="20"/>
        </w:rPr>
        <w:drawing>
          <wp:inline distT="0" distB="0" distL="0" distR="0">
            <wp:extent cx="7205980" cy="5303520"/>
            <wp:effectExtent l="0" t="0" r="0" b="0"/>
            <wp:docPr id="6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4.jpeg"/>
                    <pic:cNvPicPr>
                      <a:picLocks noChangeAspect="1"/>
                    </pic:cNvPicPr>
                  </pic:nvPicPr>
                  <pic:blipFill>
                    <a:blip r:embed="rId134" cstate="print"/>
                    <a:stretch>
                      <a:fillRect/>
                    </a:stretch>
                  </pic:blipFill>
                  <pic:spPr>
                    <a:xfrm>
                      <a:off x="0" y="0"/>
                      <a:ext cx="7206565" cy="5303520"/>
                    </a:xfrm>
                    <a:prstGeom prst="rect">
                      <a:avLst/>
                    </a:prstGeom>
                  </pic:spPr>
                </pic:pic>
              </a:graphicData>
            </a:graphic>
          </wp:inline>
        </w:drawing>
      </w:r>
    </w:p>
    <w:p w14:paraId="59181BF1">
      <w:pPr>
        <w:pStyle w:val="9"/>
        <w:spacing w:before="46"/>
        <w:ind w:left="3888"/>
      </w:pPr>
      <w:r>
        <w:t xml:space="preserve">图 </w:t>
      </w:r>
      <w:r>
        <w:rPr>
          <w:rFonts w:ascii="Times New Roman" w:eastAsia="Times New Roman"/>
        </w:rPr>
        <w:t>4.1-12</w:t>
      </w:r>
      <w:r>
        <w:t>（</w:t>
      </w:r>
      <w:r>
        <w:rPr>
          <w:rFonts w:ascii="Times New Roman" w:eastAsia="Times New Roman"/>
        </w:rPr>
        <w:t>3</w:t>
      </w:r>
      <w:r>
        <w:t xml:space="preserve">）本项目 </w:t>
      </w:r>
      <w:r>
        <w:rPr>
          <w:rFonts w:ascii="Times New Roman" w:eastAsia="Times New Roman"/>
        </w:rPr>
        <w:t xml:space="preserve">TSP </w:t>
      </w:r>
      <w:r>
        <w:t>网格点年均值叠加值预测结果分布图</w:t>
      </w:r>
    </w:p>
    <w:p w14:paraId="7B2F15C9">
      <w:pPr>
        <w:spacing w:after="0"/>
        <w:sectPr>
          <w:pgSz w:w="16840" w:h="11910" w:orient="landscape"/>
          <w:pgMar w:top="1100" w:right="1080" w:bottom="1380" w:left="1200" w:header="0" w:footer="1192" w:gutter="0"/>
          <w:cols w:space="720" w:num="1"/>
        </w:sectPr>
      </w:pPr>
    </w:p>
    <w:p w14:paraId="44D584FD">
      <w:pPr>
        <w:pStyle w:val="10"/>
        <w:spacing w:before="3"/>
        <w:rPr>
          <w:b/>
          <w:sz w:val="28"/>
        </w:rPr>
      </w:pPr>
    </w:p>
    <w:p w14:paraId="770376A4">
      <w:pPr>
        <w:pStyle w:val="9"/>
        <w:numPr>
          <w:ilvl w:val="3"/>
          <w:numId w:val="16"/>
        </w:numPr>
        <w:tabs>
          <w:tab w:val="left" w:pos="960"/>
        </w:tabs>
        <w:spacing w:before="76" w:after="0" w:line="240" w:lineRule="auto"/>
        <w:ind w:left="960" w:right="0" w:hanging="720"/>
        <w:jc w:val="left"/>
      </w:pPr>
      <w:r>
        <w:t>非正常排放情况下本项目新增污染源的污染物短期浓度预测</w:t>
      </w:r>
    </w:p>
    <w:p w14:paraId="6DB7552F">
      <w:pPr>
        <w:pStyle w:val="9"/>
        <w:spacing w:before="161"/>
      </w:pPr>
      <w:r>
        <w:t>（</w:t>
      </w:r>
      <w:r>
        <w:rPr>
          <w:rFonts w:ascii="Times New Roman" w:eastAsia="Times New Roman"/>
        </w:rPr>
        <w:t>1</w:t>
      </w:r>
      <w:r>
        <w:t>）非甲烷总烃</w:t>
      </w:r>
    </w:p>
    <w:p w14:paraId="1C820F11">
      <w:pPr>
        <w:pStyle w:val="9"/>
        <w:spacing w:before="160"/>
      </w:pPr>
      <w:r>
        <w:t>本项目新增非甲烷总烃非正常排放网格点贡献值预测结果见下表：</w:t>
      </w:r>
    </w:p>
    <w:p w14:paraId="65FB7D2B">
      <w:pPr>
        <w:pStyle w:val="9"/>
        <w:tabs>
          <w:tab w:val="left" w:pos="5627"/>
        </w:tabs>
        <w:spacing w:before="81" w:after="3"/>
        <w:ind w:left="4468"/>
      </w:pPr>
      <w:r>
        <w:t>表</w:t>
      </w:r>
      <w:r>
        <w:rPr>
          <w:spacing w:val="-62"/>
        </w:rPr>
        <w:t xml:space="preserve"> </w:t>
      </w:r>
      <w:r>
        <w:rPr>
          <w:rFonts w:ascii="Times New Roman" w:eastAsia="Times New Roman"/>
        </w:rPr>
        <w:t>4.1-22</w:t>
      </w:r>
      <w:r>
        <w:rPr>
          <w:rFonts w:ascii="Times New Roman" w:eastAsia="Times New Roman"/>
        </w:rPr>
        <w:tab/>
      </w:r>
      <w:r>
        <w:t>非甲烷总烃非正常排放网格点贡献值预测结果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577"/>
        <w:gridCol w:w="826"/>
        <w:gridCol w:w="761"/>
        <w:gridCol w:w="823"/>
        <w:gridCol w:w="777"/>
        <w:gridCol w:w="1259"/>
        <w:gridCol w:w="1317"/>
        <w:gridCol w:w="1230"/>
        <w:gridCol w:w="1725"/>
        <w:gridCol w:w="1230"/>
        <w:gridCol w:w="1517"/>
        <w:gridCol w:w="712"/>
      </w:tblGrid>
      <w:tr w14:paraId="1B5C2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10E0FA29">
            <w:pPr>
              <w:pStyle w:val="17"/>
              <w:spacing w:before="149" w:line="244" w:lineRule="auto"/>
              <w:ind w:left="132" w:right="115"/>
              <w:jc w:val="left"/>
              <w:rPr>
                <w:sz w:val="21"/>
              </w:rPr>
            </w:pPr>
            <w:r>
              <w:rPr>
                <w:sz w:val="21"/>
              </w:rPr>
              <w:t>序号</w:t>
            </w:r>
          </w:p>
        </w:tc>
        <w:tc>
          <w:tcPr>
            <w:tcW w:w="1577" w:type="dxa"/>
            <w:vMerge w:val="restart"/>
          </w:tcPr>
          <w:p w14:paraId="0FA600A2">
            <w:pPr>
              <w:pStyle w:val="17"/>
              <w:spacing w:before="4"/>
              <w:jc w:val="left"/>
              <w:rPr>
                <w:b/>
                <w:sz w:val="22"/>
              </w:rPr>
            </w:pPr>
          </w:p>
          <w:p w14:paraId="41F32A8B">
            <w:pPr>
              <w:pStyle w:val="17"/>
              <w:ind w:left="472"/>
              <w:jc w:val="left"/>
              <w:rPr>
                <w:sz w:val="21"/>
              </w:rPr>
            </w:pPr>
            <w:r>
              <w:rPr>
                <w:sz w:val="21"/>
              </w:rPr>
              <w:t>点名称</w:t>
            </w:r>
          </w:p>
        </w:tc>
        <w:tc>
          <w:tcPr>
            <w:tcW w:w="1587" w:type="dxa"/>
            <w:gridSpan w:val="2"/>
          </w:tcPr>
          <w:p w14:paraId="661BD618">
            <w:pPr>
              <w:pStyle w:val="17"/>
              <w:spacing w:before="3"/>
              <w:ind w:left="57" w:right="79"/>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4C110B4D">
            <w:pPr>
              <w:pStyle w:val="17"/>
              <w:spacing w:before="2" w:line="251" w:lineRule="exact"/>
              <w:ind w:left="57" w:right="50"/>
              <w:rPr>
                <w:rFonts w:ascii="Times New Roman" w:eastAsia="Times New Roman"/>
                <w:sz w:val="21"/>
              </w:rPr>
            </w:pPr>
            <w:r>
              <w:rPr>
                <w:sz w:val="21"/>
              </w:rPr>
              <w:t xml:space="preserve">或 </w:t>
            </w:r>
            <w:r>
              <w:rPr>
                <w:rFonts w:ascii="Times New Roman" w:eastAsia="Times New Roman"/>
                <w:sz w:val="21"/>
              </w:rPr>
              <w:t>a)</w:t>
            </w:r>
          </w:p>
        </w:tc>
        <w:tc>
          <w:tcPr>
            <w:tcW w:w="823" w:type="dxa"/>
            <w:vMerge w:val="restart"/>
          </w:tcPr>
          <w:p w14:paraId="2DDED0DA">
            <w:pPr>
              <w:pStyle w:val="17"/>
              <w:spacing w:before="29" w:line="242" w:lineRule="auto"/>
              <w:ind w:left="200" w:right="193"/>
              <w:jc w:val="both"/>
              <w:rPr>
                <w:rFonts w:ascii="Times New Roman" w:eastAsia="Times New Roman"/>
                <w:sz w:val="21"/>
              </w:rPr>
            </w:pPr>
            <w:r>
              <w:rPr>
                <w:w w:val="95"/>
                <w:sz w:val="21"/>
              </w:rPr>
              <w:t>地面高程</w:t>
            </w:r>
            <w:r>
              <w:rPr>
                <w:rFonts w:ascii="Times New Roman" w:eastAsia="Times New Roman"/>
                <w:sz w:val="21"/>
              </w:rPr>
              <w:t>(m)</w:t>
            </w:r>
          </w:p>
        </w:tc>
        <w:tc>
          <w:tcPr>
            <w:tcW w:w="777" w:type="dxa"/>
            <w:vMerge w:val="restart"/>
          </w:tcPr>
          <w:p w14:paraId="19BEB906">
            <w:pPr>
              <w:pStyle w:val="17"/>
              <w:spacing w:before="149" w:line="244" w:lineRule="auto"/>
              <w:ind w:left="178" w:right="168"/>
              <w:jc w:val="left"/>
              <w:rPr>
                <w:sz w:val="21"/>
              </w:rPr>
            </w:pPr>
            <w:r>
              <w:rPr>
                <w:w w:val="95"/>
                <w:sz w:val="21"/>
              </w:rPr>
              <w:t>浓度类型</w:t>
            </w:r>
          </w:p>
        </w:tc>
        <w:tc>
          <w:tcPr>
            <w:tcW w:w="1259" w:type="dxa"/>
            <w:vMerge w:val="restart"/>
          </w:tcPr>
          <w:p w14:paraId="7A9D1D6F">
            <w:pPr>
              <w:pStyle w:val="17"/>
              <w:spacing w:before="149"/>
              <w:ind w:left="208"/>
              <w:jc w:val="left"/>
              <w:rPr>
                <w:sz w:val="21"/>
              </w:rPr>
            </w:pPr>
            <w:r>
              <w:rPr>
                <w:w w:val="95"/>
                <w:sz w:val="21"/>
              </w:rPr>
              <w:t>浓度增量</w:t>
            </w:r>
          </w:p>
          <w:p w14:paraId="112FA2F7">
            <w:pPr>
              <w:pStyle w:val="17"/>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002F00B2">
            <w:pPr>
              <w:pStyle w:val="17"/>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00404A4B">
            <w:pPr>
              <w:pStyle w:val="17"/>
              <w:spacing w:before="149"/>
              <w:ind w:left="195"/>
              <w:jc w:val="left"/>
              <w:rPr>
                <w:sz w:val="21"/>
              </w:rPr>
            </w:pPr>
            <w:r>
              <w:rPr>
                <w:w w:val="95"/>
                <w:sz w:val="21"/>
              </w:rPr>
              <w:t>背景浓度</w:t>
            </w:r>
          </w:p>
          <w:p w14:paraId="23A5E539">
            <w:pPr>
              <w:pStyle w:val="17"/>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624A88CC">
            <w:pPr>
              <w:pStyle w:val="17"/>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4867FF2E">
            <w:pPr>
              <w:pStyle w:val="17"/>
              <w:spacing w:before="149"/>
              <w:ind w:left="194"/>
              <w:jc w:val="left"/>
              <w:rPr>
                <w:sz w:val="21"/>
              </w:rPr>
            </w:pPr>
            <w:r>
              <w:rPr>
                <w:w w:val="95"/>
                <w:sz w:val="21"/>
              </w:rPr>
              <w:t>评价标准</w:t>
            </w:r>
          </w:p>
          <w:p w14:paraId="2AAF637E">
            <w:pPr>
              <w:pStyle w:val="17"/>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47ED6E29">
            <w:pPr>
              <w:pStyle w:val="17"/>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32B0410D">
            <w:pPr>
              <w:pStyle w:val="17"/>
              <w:spacing w:before="149" w:line="244" w:lineRule="auto"/>
              <w:ind w:left="145" w:right="141"/>
              <w:jc w:val="left"/>
              <w:rPr>
                <w:sz w:val="21"/>
              </w:rPr>
            </w:pPr>
            <w:r>
              <w:rPr>
                <w:w w:val="95"/>
                <w:sz w:val="21"/>
              </w:rPr>
              <w:t>是否超标</w:t>
            </w:r>
          </w:p>
        </w:tc>
      </w:tr>
      <w:tr w14:paraId="713F9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0131CC66">
            <w:pPr>
              <w:rPr>
                <w:sz w:val="2"/>
                <w:szCs w:val="2"/>
              </w:rPr>
            </w:pPr>
          </w:p>
        </w:tc>
        <w:tc>
          <w:tcPr>
            <w:tcW w:w="1577" w:type="dxa"/>
            <w:vMerge w:val="continue"/>
            <w:tcBorders>
              <w:top w:val="nil"/>
            </w:tcBorders>
          </w:tcPr>
          <w:p w14:paraId="3D690223">
            <w:pPr>
              <w:rPr>
                <w:sz w:val="2"/>
                <w:szCs w:val="2"/>
              </w:rPr>
            </w:pPr>
          </w:p>
        </w:tc>
        <w:tc>
          <w:tcPr>
            <w:tcW w:w="826" w:type="dxa"/>
          </w:tcPr>
          <w:p w14:paraId="7CE6A607">
            <w:pPr>
              <w:pStyle w:val="17"/>
              <w:spacing w:before="23"/>
              <w:ind w:left="10"/>
              <w:rPr>
                <w:rFonts w:ascii="Times New Roman"/>
                <w:sz w:val="21"/>
              </w:rPr>
            </w:pPr>
            <w:r>
              <w:rPr>
                <w:rFonts w:ascii="Times New Roman"/>
                <w:w w:val="99"/>
                <w:sz w:val="21"/>
              </w:rPr>
              <w:t>X</w:t>
            </w:r>
          </w:p>
        </w:tc>
        <w:tc>
          <w:tcPr>
            <w:tcW w:w="761" w:type="dxa"/>
          </w:tcPr>
          <w:p w14:paraId="4524A84B">
            <w:pPr>
              <w:pStyle w:val="17"/>
              <w:spacing w:before="23"/>
              <w:ind w:left="7"/>
              <w:rPr>
                <w:rFonts w:ascii="Times New Roman"/>
                <w:sz w:val="21"/>
              </w:rPr>
            </w:pPr>
            <w:r>
              <w:rPr>
                <w:rFonts w:ascii="Times New Roman"/>
                <w:w w:val="99"/>
                <w:sz w:val="21"/>
              </w:rPr>
              <w:t>Y</w:t>
            </w:r>
          </w:p>
        </w:tc>
        <w:tc>
          <w:tcPr>
            <w:tcW w:w="823" w:type="dxa"/>
            <w:vMerge w:val="continue"/>
            <w:tcBorders>
              <w:top w:val="nil"/>
            </w:tcBorders>
          </w:tcPr>
          <w:p w14:paraId="2513C9B2">
            <w:pPr>
              <w:rPr>
                <w:sz w:val="2"/>
                <w:szCs w:val="2"/>
              </w:rPr>
            </w:pPr>
          </w:p>
        </w:tc>
        <w:tc>
          <w:tcPr>
            <w:tcW w:w="777" w:type="dxa"/>
            <w:vMerge w:val="continue"/>
            <w:tcBorders>
              <w:top w:val="nil"/>
            </w:tcBorders>
          </w:tcPr>
          <w:p w14:paraId="4BE282F1">
            <w:pPr>
              <w:rPr>
                <w:sz w:val="2"/>
                <w:szCs w:val="2"/>
              </w:rPr>
            </w:pPr>
          </w:p>
        </w:tc>
        <w:tc>
          <w:tcPr>
            <w:tcW w:w="1259" w:type="dxa"/>
            <w:vMerge w:val="continue"/>
            <w:tcBorders>
              <w:top w:val="nil"/>
            </w:tcBorders>
          </w:tcPr>
          <w:p w14:paraId="2EF321F0">
            <w:pPr>
              <w:rPr>
                <w:sz w:val="2"/>
                <w:szCs w:val="2"/>
              </w:rPr>
            </w:pPr>
          </w:p>
        </w:tc>
        <w:tc>
          <w:tcPr>
            <w:tcW w:w="1317" w:type="dxa"/>
            <w:vMerge w:val="continue"/>
            <w:tcBorders>
              <w:top w:val="nil"/>
            </w:tcBorders>
          </w:tcPr>
          <w:p w14:paraId="2A4B7BE2">
            <w:pPr>
              <w:rPr>
                <w:sz w:val="2"/>
                <w:szCs w:val="2"/>
              </w:rPr>
            </w:pPr>
          </w:p>
        </w:tc>
        <w:tc>
          <w:tcPr>
            <w:tcW w:w="1230" w:type="dxa"/>
            <w:vMerge w:val="continue"/>
            <w:tcBorders>
              <w:top w:val="nil"/>
            </w:tcBorders>
          </w:tcPr>
          <w:p w14:paraId="45471D2A">
            <w:pPr>
              <w:rPr>
                <w:sz w:val="2"/>
                <w:szCs w:val="2"/>
              </w:rPr>
            </w:pPr>
          </w:p>
        </w:tc>
        <w:tc>
          <w:tcPr>
            <w:tcW w:w="1725" w:type="dxa"/>
            <w:vMerge w:val="continue"/>
            <w:tcBorders>
              <w:top w:val="nil"/>
            </w:tcBorders>
          </w:tcPr>
          <w:p w14:paraId="29FAFD1D">
            <w:pPr>
              <w:rPr>
                <w:sz w:val="2"/>
                <w:szCs w:val="2"/>
              </w:rPr>
            </w:pPr>
          </w:p>
        </w:tc>
        <w:tc>
          <w:tcPr>
            <w:tcW w:w="1230" w:type="dxa"/>
            <w:vMerge w:val="continue"/>
            <w:tcBorders>
              <w:top w:val="nil"/>
            </w:tcBorders>
          </w:tcPr>
          <w:p w14:paraId="759DA2FF">
            <w:pPr>
              <w:rPr>
                <w:sz w:val="2"/>
                <w:szCs w:val="2"/>
              </w:rPr>
            </w:pPr>
          </w:p>
        </w:tc>
        <w:tc>
          <w:tcPr>
            <w:tcW w:w="1517" w:type="dxa"/>
            <w:vMerge w:val="continue"/>
            <w:tcBorders>
              <w:top w:val="nil"/>
            </w:tcBorders>
          </w:tcPr>
          <w:p w14:paraId="364E48FC">
            <w:pPr>
              <w:rPr>
                <w:sz w:val="2"/>
                <w:szCs w:val="2"/>
              </w:rPr>
            </w:pPr>
          </w:p>
        </w:tc>
        <w:tc>
          <w:tcPr>
            <w:tcW w:w="712" w:type="dxa"/>
            <w:vMerge w:val="continue"/>
            <w:tcBorders>
              <w:top w:val="nil"/>
              <w:right w:val="nil"/>
            </w:tcBorders>
          </w:tcPr>
          <w:p w14:paraId="164F1312">
            <w:pPr>
              <w:rPr>
                <w:sz w:val="2"/>
                <w:szCs w:val="2"/>
              </w:rPr>
            </w:pPr>
          </w:p>
        </w:tc>
      </w:tr>
      <w:tr w14:paraId="4603E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2904BD3A">
            <w:pPr>
              <w:pStyle w:val="17"/>
              <w:spacing w:before="33"/>
              <w:ind w:right="169"/>
              <w:jc w:val="right"/>
              <w:rPr>
                <w:rFonts w:ascii="Times New Roman"/>
                <w:sz w:val="21"/>
              </w:rPr>
            </w:pPr>
            <w:r>
              <w:rPr>
                <w:rFonts w:ascii="Times New Roman"/>
                <w:w w:val="99"/>
                <w:sz w:val="21"/>
              </w:rPr>
              <w:t>1</w:t>
            </w:r>
          </w:p>
        </w:tc>
        <w:tc>
          <w:tcPr>
            <w:tcW w:w="1577" w:type="dxa"/>
          </w:tcPr>
          <w:p w14:paraId="612C7AEE">
            <w:pPr>
              <w:pStyle w:val="17"/>
              <w:spacing w:before="19"/>
              <w:ind w:left="136" w:right="130"/>
              <w:rPr>
                <w:sz w:val="21"/>
              </w:rPr>
            </w:pPr>
            <w:r>
              <w:rPr>
                <w:sz w:val="21"/>
              </w:rPr>
              <w:t>新书村</w:t>
            </w:r>
          </w:p>
        </w:tc>
        <w:tc>
          <w:tcPr>
            <w:tcW w:w="826" w:type="dxa"/>
          </w:tcPr>
          <w:p w14:paraId="000F2C52">
            <w:pPr>
              <w:pStyle w:val="17"/>
              <w:spacing w:before="33"/>
              <w:ind w:left="107"/>
              <w:jc w:val="left"/>
              <w:rPr>
                <w:rFonts w:ascii="Times New Roman"/>
                <w:sz w:val="21"/>
              </w:rPr>
            </w:pPr>
            <w:r>
              <w:rPr>
                <w:rFonts w:ascii="Times New Roman"/>
                <w:sz w:val="21"/>
              </w:rPr>
              <w:t>-691</w:t>
            </w:r>
          </w:p>
        </w:tc>
        <w:tc>
          <w:tcPr>
            <w:tcW w:w="761" w:type="dxa"/>
          </w:tcPr>
          <w:p w14:paraId="2B6002DA">
            <w:pPr>
              <w:pStyle w:val="17"/>
              <w:spacing w:before="33"/>
              <w:ind w:left="85" w:right="235"/>
              <w:rPr>
                <w:rFonts w:ascii="Times New Roman"/>
                <w:sz w:val="21"/>
              </w:rPr>
            </w:pPr>
            <w:r>
              <w:rPr>
                <w:rFonts w:ascii="Times New Roman"/>
                <w:sz w:val="21"/>
              </w:rPr>
              <w:t>-158</w:t>
            </w:r>
          </w:p>
        </w:tc>
        <w:tc>
          <w:tcPr>
            <w:tcW w:w="823" w:type="dxa"/>
          </w:tcPr>
          <w:p w14:paraId="52F70F0B">
            <w:pPr>
              <w:pStyle w:val="17"/>
              <w:spacing w:before="33"/>
              <w:ind w:left="154" w:right="146"/>
              <w:rPr>
                <w:rFonts w:ascii="Times New Roman"/>
                <w:sz w:val="21"/>
              </w:rPr>
            </w:pPr>
            <w:r>
              <w:rPr>
                <w:rFonts w:ascii="Times New Roman"/>
                <w:sz w:val="21"/>
              </w:rPr>
              <w:t>64.83</w:t>
            </w:r>
          </w:p>
        </w:tc>
        <w:tc>
          <w:tcPr>
            <w:tcW w:w="777" w:type="dxa"/>
          </w:tcPr>
          <w:p w14:paraId="11C44DFC">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589CA8A2">
            <w:pPr>
              <w:pStyle w:val="17"/>
              <w:spacing w:before="33"/>
              <w:ind w:left="241"/>
              <w:jc w:val="left"/>
              <w:rPr>
                <w:rFonts w:ascii="Times New Roman"/>
                <w:sz w:val="21"/>
              </w:rPr>
            </w:pPr>
            <w:r>
              <w:rPr>
                <w:rFonts w:ascii="Times New Roman"/>
                <w:sz w:val="21"/>
              </w:rPr>
              <w:t>1.15E-01</w:t>
            </w:r>
          </w:p>
        </w:tc>
        <w:tc>
          <w:tcPr>
            <w:tcW w:w="1317" w:type="dxa"/>
          </w:tcPr>
          <w:p w14:paraId="2F03FDE4">
            <w:pPr>
              <w:pStyle w:val="17"/>
              <w:spacing w:before="33"/>
              <w:ind w:left="108" w:right="98"/>
              <w:rPr>
                <w:rFonts w:ascii="Times New Roman"/>
                <w:sz w:val="21"/>
              </w:rPr>
            </w:pPr>
            <w:r>
              <w:rPr>
                <w:rFonts w:ascii="Times New Roman"/>
                <w:sz w:val="21"/>
              </w:rPr>
              <w:t>23080306</w:t>
            </w:r>
          </w:p>
        </w:tc>
        <w:tc>
          <w:tcPr>
            <w:tcW w:w="1230" w:type="dxa"/>
          </w:tcPr>
          <w:p w14:paraId="34C3713D">
            <w:pPr>
              <w:pStyle w:val="17"/>
              <w:spacing w:before="33"/>
              <w:ind w:left="175" w:right="166"/>
              <w:rPr>
                <w:rFonts w:ascii="Times New Roman"/>
                <w:sz w:val="21"/>
              </w:rPr>
            </w:pPr>
            <w:r>
              <w:rPr>
                <w:rFonts w:ascii="Times New Roman"/>
                <w:sz w:val="21"/>
              </w:rPr>
              <w:t>0.00E+00</w:t>
            </w:r>
          </w:p>
        </w:tc>
        <w:tc>
          <w:tcPr>
            <w:tcW w:w="1725" w:type="dxa"/>
          </w:tcPr>
          <w:p w14:paraId="6B88A180">
            <w:pPr>
              <w:pStyle w:val="17"/>
              <w:spacing w:before="33"/>
              <w:ind w:left="417" w:right="413"/>
              <w:rPr>
                <w:rFonts w:ascii="Times New Roman"/>
                <w:sz w:val="21"/>
              </w:rPr>
            </w:pPr>
            <w:r>
              <w:rPr>
                <w:rFonts w:ascii="Times New Roman"/>
                <w:sz w:val="21"/>
              </w:rPr>
              <w:t>1.15E-01</w:t>
            </w:r>
          </w:p>
        </w:tc>
        <w:tc>
          <w:tcPr>
            <w:tcW w:w="1230" w:type="dxa"/>
          </w:tcPr>
          <w:p w14:paraId="1E3A19BC">
            <w:pPr>
              <w:pStyle w:val="17"/>
              <w:spacing w:before="33"/>
              <w:ind w:left="174" w:right="166"/>
              <w:rPr>
                <w:rFonts w:ascii="Times New Roman"/>
                <w:sz w:val="21"/>
              </w:rPr>
            </w:pPr>
            <w:r>
              <w:rPr>
                <w:rFonts w:ascii="Times New Roman"/>
                <w:sz w:val="21"/>
              </w:rPr>
              <w:t>2.00E+00</w:t>
            </w:r>
          </w:p>
        </w:tc>
        <w:tc>
          <w:tcPr>
            <w:tcW w:w="1517" w:type="dxa"/>
          </w:tcPr>
          <w:p w14:paraId="5FF0563B">
            <w:pPr>
              <w:pStyle w:val="17"/>
              <w:spacing w:before="33"/>
              <w:ind w:left="499" w:right="492"/>
              <w:rPr>
                <w:rFonts w:ascii="Times New Roman"/>
                <w:sz w:val="21"/>
              </w:rPr>
            </w:pPr>
            <w:r>
              <w:rPr>
                <w:rFonts w:ascii="Times New Roman"/>
                <w:sz w:val="21"/>
              </w:rPr>
              <w:t>5.74</w:t>
            </w:r>
          </w:p>
        </w:tc>
        <w:tc>
          <w:tcPr>
            <w:tcW w:w="712" w:type="dxa"/>
            <w:tcBorders>
              <w:right w:val="nil"/>
            </w:tcBorders>
          </w:tcPr>
          <w:p w14:paraId="7C2EE8D0">
            <w:pPr>
              <w:pStyle w:val="17"/>
              <w:spacing w:before="19"/>
              <w:ind w:left="122" w:right="121"/>
              <w:rPr>
                <w:sz w:val="21"/>
              </w:rPr>
            </w:pPr>
            <w:r>
              <w:rPr>
                <w:sz w:val="21"/>
              </w:rPr>
              <w:t>达标</w:t>
            </w:r>
          </w:p>
        </w:tc>
      </w:tr>
      <w:tr w14:paraId="4BEB2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1BB40BF6">
            <w:pPr>
              <w:pStyle w:val="17"/>
              <w:spacing w:before="35"/>
              <w:ind w:right="169"/>
              <w:jc w:val="right"/>
              <w:rPr>
                <w:rFonts w:ascii="Times New Roman"/>
                <w:sz w:val="21"/>
              </w:rPr>
            </w:pPr>
            <w:r>
              <w:rPr>
                <w:rFonts w:ascii="Times New Roman"/>
                <w:w w:val="99"/>
                <w:sz w:val="21"/>
              </w:rPr>
              <w:t>2</w:t>
            </w:r>
          </w:p>
        </w:tc>
        <w:tc>
          <w:tcPr>
            <w:tcW w:w="1577" w:type="dxa"/>
          </w:tcPr>
          <w:p w14:paraId="137989DC">
            <w:pPr>
              <w:pStyle w:val="17"/>
              <w:spacing w:before="21"/>
              <w:ind w:left="136" w:right="130"/>
              <w:rPr>
                <w:sz w:val="21"/>
              </w:rPr>
            </w:pPr>
            <w:r>
              <w:rPr>
                <w:sz w:val="21"/>
              </w:rPr>
              <w:t>八里村</w:t>
            </w:r>
          </w:p>
        </w:tc>
        <w:tc>
          <w:tcPr>
            <w:tcW w:w="826" w:type="dxa"/>
          </w:tcPr>
          <w:p w14:paraId="6A4269BA">
            <w:pPr>
              <w:pStyle w:val="17"/>
              <w:spacing w:before="35"/>
              <w:ind w:left="107"/>
              <w:jc w:val="left"/>
              <w:rPr>
                <w:rFonts w:ascii="Times New Roman"/>
                <w:sz w:val="21"/>
              </w:rPr>
            </w:pPr>
            <w:r>
              <w:rPr>
                <w:rFonts w:ascii="Times New Roman"/>
                <w:sz w:val="21"/>
              </w:rPr>
              <w:t>-698</w:t>
            </w:r>
          </w:p>
        </w:tc>
        <w:tc>
          <w:tcPr>
            <w:tcW w:w="761" w:type="dxa"/>
          </w:tcPr>
          <w:p w14:paraId="22107D40">
            <w:pPr>
              <w:pStyle w:val="17"/>
              <w:spacing w:before="35"/>
              <w:ind w:left="85" w:right="235"/>
              <w:rPr>
                <w:rFonts w:ascii="Times New Roman"/>
                <w:sz w:val="21"/>
              </w:rPr>
            </w:pPr>
            <w:r>
              <w:rPr>
                <w:rFonts w:ascii="Times New Roman"/>
                <w:sz w:val="21"/>
              </w:rPr>
              <w:t>-255</w:t>
            </w:r>
          </w:p>
        </w:tc>
        <w:tc>
          <w:tcPr>
            <w:tcW w:w="823" w:type="dxa"/>
          </w:tcPr>
          <w:p w14:paraId="51046ED6">
            <w:pPr>
              <w:pStyle w:val="17"/>
              <w:spacing w:before="35"/>
              <w:ind w:left="154" w:right="146"/>
              <w:rPr>
                <w:rFonts w:ascii="Times New Roman"/>
                <w:sz w:val="21"/>
              </w:rPr>
            </w:pPr>
            <w:r>
              <w:rPr>
                <w:rFonts w:ascii="Times New Roman"/>
                <w:sz w:val="21"/>
              </w:rPr>
              <w:t>63.63</w:t>
            </w:r>
          </w:p>
        </w:tc>
        <w:tc>
          <w:tcPr>
            <w:tcW w:w="777" w:type="dxa"/>
          </w:tcPr>
          <w:p w14:paraId="56C26DE2">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2FD61CEC">
            <w:pPr>
              <w:pStyle w:val="17"/>
              <w:spacing w:before="35"/>
              <w:ind w:left="241"/>
              <w:jc w:val="left"/>
              <w:rPr>
                <w:rFonts w:ascii="Times New Roman"/>
                <w:sz w:val="21"/>
              </w:rPr>
            </w:pPr>
            <w:r>
              <w:rPr>
                <w:rFonts w:ascii="Times New Roman"/>
                <w:sz w:val="21"/>
              </w:rPr>
              <w:t>8.83E-02</w:t>
            </w:r>
          </w:p>
        </w:tc>
        <w:tc>
          <w:tcPr>
            <w:tcW w:w="1317" w:type="dxa"/>
          </w:tcPr>
          <w:p w14:paraId="24202A6E">
            <w:pPr>
              <w:pStyle w:val="17"/>
              <w:spacing w:before="35"/>
              <w:ind w:left="108" w:right="98"/>
              <w:rPr>
                <w:rFonts w:ascii="Times New Roman"/>
                <w:sz w:val="21"/>
              </w:rPr>
            </w:pPr>
            <w:r>
              <w:rPr>
                <w:rFonts w:ascii="Times New Roman"/>
                <w:sz w:val="21"/>
              </w:rPr>
              <w:t>23081505</w:t>
            </w:r>
          </w:p>
        </w:tc>
        <w:tc>
          <w:tcPr>
            <w:tcW w:w="1230" w:type="dxa"/>
          </w:tcPr>
          <w:p w14:paraId="02C96553">
            <w:pPr>
              <w:pStyle w:val="17"/>
              <w:spacing w:before="35"/>
              <w:ind w:left="175" w:right="166"/>
              <w:rPr>
                <w:rFonts w:ascii="Times New Roman"/>
                <w:sz w:val="21"/>
              </w:rPr>
            </w:pPr>
            <w:r>
              <w:rPr>
                <w:rFonts w:ascii="Times New Roman"/>
                <w:sz w:val="21"/>
              </w:rPr>
              <w:t>0.00E+00</w:t>
            </w:r>
          </w:p>
        </w:tc>
        <w:tc>
          <w:tcPr>
            <w:tcW w:w="1725" w:type="dxa"/>
          </w:tcPr>
          <w:p w14:paraId="0AC8F49A">
            <w:pPr>
              <w:pStyle w:val="17"/>
              <w:spacing w:before="35"/>
              <w:ind w:left="417" w:right="413"/>
              <w:rPr>
                <w:rFonts w:ascii="Times New Roman"/>
                <w:sz w:val="21"/>
              </w:rPr>
            </w:pPr>
            <w:r>
              <w:rPr>
                <w:rFonts w:ascii="Times New Roman"/>
                <w:sz w:val="21"/>
              </w:rPr>
              <w:t>8.83E-02</w:t>
            </w:r>
          </w:p>
        </w:tc>
        <w:tc>
          <w:tcPr>
            <w:tcW w:w="1230" w:type="dxa"/>
          </w:tcPr>
          <w:p w14:paraId="18418AA9">
            <w:pPr>
              <w:pStyle w:val="17"/>
              <w:spacing w:before="35"/>
              <w:ind w:left="174" w:right="166"/>
              <w:rPr>
                <w:rFonts w:ascii="Times New Roman"/>
                <w:sz w:val="21"/>
              </w:rPr>
            </w:pPr>
            <w:r>
              <w:rPr>
                <w:rFonts w:ascii="Times New Roman"/>
                <w:sz w:val="21"/>
              </w:rPr>
              <w:t>2.00E+00</w:t>
            </w:r>
          </w:p>
        </w:tc>
        <w:tc>
          <w:tcPr>
            <w:tcW w:w="1517" w:type="dxa"/>
          </w:tcPr>
          <w:p w14:paraId="7D88B2B2">
            <w:pPr>
              <w:pStyle w:val="17"/>
              <w:spacing w:before="35"/>
              <w:ind w:left="499" w:right="492"/>
              <w:rPr>
                <w:rFonts w:ascii="Times New Roman"/>
                <w:sz w:val="21"/>
              </w:rPr>
            </w:pPr>
            <w:r>
              <w:rPr>
                <w:rFonts w:ascii="Times New Roman"/>
                <w:sz w:val="21"/>
              </w:rPr>
              <w:t>4.42</w:t>
            </w:r>
          </w:p>
        </w:tc>
        <w:tc>
          <w:tcPr>
            <w:tcW w:w="712" w:type="dxa"/>
            <w:tcBorders>
              <w:right w:val="nil"/>
            </w:tcBorders>
          </w:tcPr>
          <w:p w14:paraId="01040013">
            <w:pPr>
              <w:pStyle w:val="17"/>
              <w:spacing w:before="18"/>
              <w:ind w:left="122" w:right="121"/>
              <w:rPr>
                <w:sz w:val="21"/>
              </w:rPr>
            </w:pPr>
            <w:r>
              <w:rPr>
                <w:sz w:val="21"/>
              </w:rPr>
              <w:t>达标</w:t>
            </w:r>
          </w:p>
        </w:tc>
      </w:tr>
      <w:tr w14:paraId="5CD22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64BA3B2">
            <w:pPr>
              <w:pStyle w:val="17"/>
              <w:spacing w:before="34"/>
              <w:ind w:right="169"/>
              <w:jc w:val="right"/>
              <w:rPr>
                <w:rFonts w:ascii="Times New Roman"/>
                <w:sz w:val="21"/>
              </w:rPr>
            </w:pPr>
            <w:r>
              <w:rPr>
                <w:rFonts w:ascii="Times New Roman"/>
                <w:w w:val="99"/>
                <w:sz w:val="21"/>
              </w:rPr>
              <w:t>3</w:t>
            </w:r>
          </w:p>
        </w:tc>
        <w:tc>
          <w:tcPr>
            <w:tcW w:w="1577" w:type="dxa"/>
          </w:tcPr>
          <w:p w14:paraId="136B31EA">
            <w:pPr>
              <w:pStyle w:val="17"/>
              <w:spacing w:before="21"/>
              <w:ind w:left="136" w:right="130"/>
              <w:rPr>
                <w:sz w:val="21"/>
              </w:rPr>
            </w:pPr>
            <w:r>
              <w:rPr>
                <w:sz w:val="21"/>
              </w:rPr>
              <w:t>新桥村</w:t>
            </w:r>
          </w:p>
        </w:tc>
        <w:tc>
          <w:tcPr>
            <w:tcW w:w="826" w:type="dxa"/>
          </w:tcPr>
          <w:p w14:paraId="6B9677F9">
            <w:pPr>
              <w:pStyle w:val="17"/>
              <w:spacing w:before="34"/>
              <w:ind w:left="107"/>
              <w:jc w:val="left"/>
              <w:rPr>
                <w:rFonts w:ascii="Times New Roman"/>
                <w:sz w:val="21"/>
              </w:rPr>
            </w:pPr>
            <w:r>
              <w:rPr>
                <w:rFonts w:ascii="Times New Roman"/>
                <w:sz w:val="21"/>
              </w:rPr>
              <w:t>-795</w:t>
            </w:r>
          </w:p>
        </w:tc>
        <w:tc>
          <w:tcPr>
            <w:tcW w:w="761" w:type="dxa"/>
          </w:tcPr>
          <w:p w14:paraId="5B8E1463">
            <w:pPr>
              <w:pStyle w:val="17"/>
              <w:spacing w:before="34"/>
              <w:ind w:left="85" w:right="129"/>
              <w:rPr>
                <w:rFonts w:ascii="Times New Roman"/>
                <w:sz w:val="21"/>
              </w:rPr>
            </w:pPr>
            <w:r>
              <w:rPr>
                <w:rFonts w:ascii="Times New Roman"/>
                <w:sz w:val="21"/>
              </w:rPr>
              <w:t>-1454</w:t>
            </w:r>
          </w:p>
        </w:tc>
        <w:tc>
          <w:tcPr>
            <w:tcW w:w="823" w:type="dxa"/>
          </w:tcPr>
          <w:p w14:paraId="00D629A0">
            <w:pPr>
              <w:pStyle w:val="17"/>
              <w:spacing w:before="34"/>
              <w:ind w:left="154" w:right="146"/>
              <w:rPr>
                <w:rFonts w:ascii="Times New Roman"/>
                <w:sz w:val="21"/>
              </w:rPr>
            </w:pPr>
            <w:r>
              <w:rPr>
                <w:rFonts w:ascii="Times New Roman"/>
                <w:sz w:val="21"/>
              </w:rPr>
              <w:t>68</w:t>
            </w:r>
          </w:p>
        </w:tc>
        <w:tc>
          <w:tcPr>
            <w:tcW w:w="777" w:type="dxa"/>
          </w:tcPr>
          <w:p w14:paraId="607CE646">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179FFE64">
            <w:pPr>
              <w:pStyle w:val="17"/>
              <w:spacing w:before="34"/>
              <w:ind w:left="241"/>
              <w:jc w:val="left"/>
              <w:rPr>
                <w:rFonts w:ascii="Times New Roman"/>
                <w:sz w:val="21"/>
              </w:rPr>
            </w:pPr>
            <w:r>
              <w:rPr>
                <w:rFonts w:ascii="Times New Roman"/>
                <w:sz w:val="21"/>
              </w:rPr>
              <w:t>7.25E-02</w:t>
            </w:r>
          </w:p>
        </w:tc>
        <w:tc>
          <w:tcPr>
            <w:tcW w:w="1317" w:type="dxa"/>
          </w:tcPr>
          <w:p w14:paraId="200CFEF2">
            <w:pPr>
              <w:pStyle w:val="17"/>
              <w:spacing w:before="34"/>
              <w:ind w:left="108" w:right="98"/>
              <w:rPr>
                <w:rFonts w:ascii="Times New Roman"/>
                <w:sz w:val="21"/>
              </w:rPr>
            </w:pPr>
            <w:r>
              <w:rPr>
                <w:rFonts w:ascii="Times New Roman"/>
                <w:sz w:val="21"/>
              </w:rPr>
              <w:t>23082004</w:t>
            </w:r>
          </w:p>
        </w:tc>
        <w:tc>
          <w:tcPr>
            <w:tcW w:w="1230" w:type="dxa"/>
          </w:tcPr>
          <w:p w14:paraId="40E5F352">
            <w:pPr>
              <w:pStyle w:val="17"/>
              <w:spacing w:before="34"/>
              <w:ind w:left="175" w:right="166"/>
              <w:rPr>
                <w:rFonts w:ascii="Times New Roman"/>
                <w:sz w:val="21"/>
              </w:rPr>
            </w:pPr>
            <w:r>
              <w:rPr>
                <w:rFonts w:ascii="Times New Roman"/>
                <w:sz w:val="21"/>
              </w:rPr>
              <w:t>0.00E+00</w:t>
            </w:r>
          </w:p>
        </w:tc>
        <w:tc>
          <w:tcPr>
            <w:tcW w:w="1725" w:type="dxa"/>
          </w:tcPr>
          <w:p w14:paraId="27CAB4BE">
            <w:pPr>
              <w:pStyle w:val="17"/>
              <w:spacing w:before="34"/>
              <w:ind w:left="417" w:right="413"/>
              <w:rPr>
                <w:rFonts w:ascii="Times New Roman"/>
                <w:sz w:val="21"/>
              </w:rPr>
            </w:pPr>
            <w:r>
              <w:rPr>
                <w:rFonts w:ascii="Times New Roman"/>
                <w:sz w:val="21"/>
              </w:rPr>
              <w:t>7.25E-02</w:t>
            </w:r>
          </w:p>
        </w:tc>
        <w:tc>
          <w:tcPr>
            <w:tcW w:w="1230" w:type="dxa"/>
          </w:tcPr>
          <w:p w14:paraId="1D3719CF">
            <w:pPr>
              <w:pStyle w:val="17"/>
              <w:spacing w:before="34"/>
              <w:ind w:left="174" w:right="166"/>
              <w:rPr>
                <w:rFonts w:ascii="Times New Roman"/>
                <w:sz w:val="21"/>
              </w:rPr>
            </w:pPr>
            <w:r>
              <w:rPr>
                <w:rFonts w:ascii="Times New Roman"/>
                <w:sz w:val="21"/>
              </w:rPr>
              <w:t>2.00E+00</w:t>
            </w:r>
          </w:p>
        </w:tc>
        <w:tc>
          <w:tcPr>
            <w:tcW w:w="1517" w:type="dxa"/>
          </w:tcPr>
          <w:p w14:paraId="419DA527">
            <w:pPr>
              <w:pStyle w:val="17"/>
              <w:spacing w:before="34"/>
              <w:ind w:left="499" w:right="492"/>
              <w:rPr>
                <w:rFonts w:ascii="Times New Roman"/>
                <w:sz w:val="21"/>
              </w:rPr>
            </w:pPr>
            <w:r>
              <w:rPr>
                <w:rFonts w:ascii="Times New Roman"/>
                <w:sz w:val="21"/>
              </w:rPr>
              <w:t>3.63</w:t>
            </w:r>
          </w:p>
        </w:tc>
        <w:tc>
          <w:tcPr>
            <w:tcW w:w="712" w:type="dxa"/>
            <w:tcBorders>
              <w:right w:val="nil"/>
            </w:tcBorders>
          </w:tcPr>
          <w:p w14:paraId="482F722F">
            <w:pPr>
              <w:pStyle w:val="17"/>
              <w:spacing w:before="18"/>
              <w:ind w:left="122" w:right="121"/>
              <w:rPr>
                <w:sz w:val="21"/>
              </w:rPr>
            </w:pPr>
            <w:r>
              <w:rPr>
                <w:sz w:val="21"/>
              </w:rPr>
              <w:t>达标</w:t>
            </w:r>
          </w:p>
        </w:tc>
      </w:tr>
      <w:tr w14:paraId="297ED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ADF5478">
            <w:pPr>
              <w:pStyle w:val="17"/>
              <w:spacing w:before="34"/>
              <w:ind w:right="169"/>
              <w:jc w:val="right"/>
              <w:rPr>
                <w:rFonts w:ascii="Times New Roman"/>
                <w:sz w:val="21"/>
              </w:rPr>
            </w:pPr>
            <w:r>
              <w:rPr>
                <w:rFonts w:ascii="Times New Roman"/>
                <w:w w:val="99"/>
                <w:sz w:val="21"/>
              </w:rPr>
              <w:t>4</w:t>
            </w:r>
          </w:p>
        </w:tc>
        <w:tc>
          <w:tcPr>
            <w:tcW w:w="1577" w:type="dxa"/>
          </w:tcPr>
          <w:p w14:paraId="2020A79F">
            <w:pPr>
              <w:pStyle w:val="17"/>
              <w:spacing w:before="20"/>
              <w:ind w:left="133" w:right="130"/>
              <w:rPr>
                <w:sz w:val="21"/>
              </w:rPr>
            </w:pPr>
            <w:r>
              <w:rPr>
                <w:sz w:val="21"/>
              </w:rPr>
              <w:t>童家塅村</w:t>
            </w:r>
          </w:p>
        </w:tc>
        <w:tc>
          <w:tcPr>
            <w:tcW w:w="826" w:type="dxa"/>
          </w:tcPr>
          <w:p w14:paraId="2448B085">
            <w:pPr>
              <w:pStyle w:val="17"/>
              <w:spacing w:before="34"/>
              <w:ind w:left="107"/>
              <w:jc w:val="left"/>
              <w:rPr>
                <w:rFonts w:ascii="Times New Roman"/>
                <w:sz w:val="21"/>
              </w:rPr>
            </w:pPr>
            <w:r>
              <w:rPr>
                <w:rFonts w:ascii="Times New Roman"/>
                <w:sz w:val="21"/>
              </w:rPr>
              <w:t>-4436</w:t>
            </w:r>
          </w:p>
        </w:tc>
        <w:tc>
          <w:tcPr>
            <w:tcW w:w="761" w:type="dxa"/>
          </w:tcPr>
          <w:p w14:paraId="3031DAF0">
            <w:pPr>
              <w:pStyle w:val="17"/>
              <w:spacing w:before="34"/>
              <w:ind w:left="19" w:right="238"/>
              <w:rPr>
                <w:rFonts w:ascii="Times New Roman"/>
                <w:sz w:val="21"/>
              </w:rPr>
            </w:pPr>
            <w:r>
              <w:rPr>
                <w:rFonts w:ascii="Times New Roman"/>
                <w:sz w:val="21"/>
              </w:rPr>
              <w:t>374</w:t>
            </w:r>
          </w:p>
        </w:tc>
        <w:tc>
          <w:tcPr>
            <w:tcW w:w="823" w:type="dxa"/>
          </w:tcPr>
          <w:p w14:paraId="4678224E">
            <w:pPr>
              <w:pStyle w:val="17"/>
              <w:spacing w:before="34"/>
              <w:ind w:left="154" w:right="146"/>
              <w:rPr>
                <w:rFonts w:ascii="Times New Roman"/>
                <w:sz w:val="21"/>
              </w:rPr>
            </w:pPr>
            <w:r>
              <w:rPr>
                <w:rFonts w:ascii="Times New Roman"/>
                <w:sz w:val="21"/>
              </w:rPr>
              <w:t>43.33</w:t>
            </w:r>
          </w:p>
        </w:tc>
        <w:tc>
          <w:tcPr>
            <w:tcW w:w="777" w:type="dxa"/>
          </w:tcPr>
          <w:p w14:paraId="1AE039D3">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7DF79FAE">
            <w:pPr>
              <w:pStyle w:val="17"/>
              <w:spacing w:before="34"/>
              <w:ind w:left="241"/>
              <w:jc w:val="left"/>
              <w:rPr>
                <w:rFonts w:ascii="Times New Roman"/>
                <w:sz w:val="21"/>
              </w:rPr>
            </w:pPr>
            <w:r>
              <w:rPr>
                <w:rFonts w:ascii="Times New Roman"/>
                <w:sz w:val="21"/>
              </w:rPr>
              <w:t>3.02E-02</w:t>
            </w:r>
          </w:p>
        </w:tc>
        <w:tc>
          <w:tcPr>
            <w:tcW w:w="1317" w:type="dxa"/>
          </w:tcPr>
          <w:p w14:paraId="6572F688">
            <w:pPr>
              <w:pStyle w:val="17"/>
              <w:spacing w:before="34"/>
              <w:ind w:left="108" w:right="98"/>
              <w:rPr>
                <w:rFonts w:ascii="Times New Roman"/>
                <w:sz w:val="21"/>
              </w:rPr>
            </w:pPr>
            <w:r>
              <w:rPr>
                <w:rFonts w:ascii="Times New Roman"/>
                <w:sz w:val="21"/>
              </w:rPr>
              <w:t>23090807</w:t>
            </w:r>
          </w:p>
        </w:tc>
        <w:tc>
          <w:tcPr>
            <w:tcW w:w="1230" w:type="dxa"/>
          </w:tcPr>
          <w:p w14:paraId="680F9E80">
            <w:pPr>
              <w:pStyle w:val="17"/>
              <w:spacing w:before="34"/>
              <w:ind w:left="175" w:right="166"/>
              <w:rPr>
                <w:rFonts w:ascii="Times New Roman"/>
                <w:sz w:val="21"/>
              </w:rPr>
            </w:pPr>
            <w:r>
              <w:rPr>
                <w:rFonts w:ascii="Times New Roman"/>
                <w:sz w:val="21"/>
              </w:rPr>
              <w:t>0.00E+00</w:t>
            </w:r>
          </w:p>
        </w:tc>
        <w:tc>
          <w:tcPr>
            <w:tcW w:w="1725" w:type="dxa"/>
          </w:tcPr>
          <w:p w14:paraId="39D0D189">
            <w:pPr>
              <w:pStyle w:val="17"/>
              <w:spacing w:before="34"/>
              <w:ind w:left="417" w:right="413"/>
              <w:rPr>
                <w:rFonts w:ascii="Times New Roman"/>
                <w:sz w:val="21"/>
              </w:rPr>
            </w:pPr>
            <w:r>
              <w:rPr>
                <w:rFonts w:ascii="Times New Roman"/>
                <w:sz w:val="21"/>
              </w:rPr>
              <w:t>3.02E-02</w:t>
            </w:r>
          </w:p>
        </w:tc>
        <w:tc>
          <w:tcPr>
            <w:tcW w:w="1230" w:type="dxa"/>
          </w:tcPr>
          <w:p w14:paraId="7315835B">
            <w:pPr>
              <w:pStyle w:val="17"/>
              <w:spacing w:before="34"/>
              <w:ind w:left="174" w:right="166"/>
              <w:rPr>
                <w:rFonts w:ascii="Times New Roman"/>
                <w:sz w:val="21"/>
              </w:rPr>
            </w:pPr>
            <w:r>
              <w:rPr>
                <w:rFonts w:ascii="Times New Roman"/>
                <w:sz w:val="21"/>
              </w:rPr>
              <w:t>2.00E+00</w:t>
            </w:r>
          </w:p>
        </w:tc>
        <w:tc>
          <w:tcPr>
            <w:tcW w:w="1517" w:type="dxa"/>
          </w:tcPr>
          <w:p w14:paraId="0E6C5B99">
            <w:pPr>
              <w:pStyle w:val="17"/>
              <w:spacing w:before="34"/>
              <w:ind w:left="499" w:right="492"/>
              <w:rPr>
                <w:rFonts w:ascii="Times New Roman"/>
                <w:sz w:val="21"/>
              </w:rPr>
            </w:pPr>
            <w:r>
              <w:rPr>
                <w:rFonts w:ascii="Times New Roman"/>
                <w:sz w:val="21"/>
              </w:rPr>
              <w:t>1.51</w:t>
            </w:r>
          </w:p>
        </w:tc>
        <w:tc>
          <w:tcPr>
            <w:tcW w:w="712" w:type="dxa"/>
            <w:tcBorders>
              <w:right w:val="nil"/>
            </w:tcBorders>
          </w:tcPr>
          <w:p w14:paraId="3C51DF13">
            <w:pPr>
              <w:pStyle w:val="17"/>
              <w:spacing w:before="18"/>
              <w:ind w:left="122" w:right="121"/>
              <w:rPr>
                <w:sz w:val="21"/>
              </w:rPr>
            </w:pPr>
            <w:r>
              <w:rPr>
                <w:sz w:val="21"/>
              </w:rPr>
              <w:t>达标</w:t>
            </w:r>
          </w:p>
        </w:tc>
      </w:tr>
      <w:tr w14:paraId="397B0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EF74C14">
            <w:pPr>
              <w:pStyle w:val="17"/>
              <w:spacing w:before="34"/>
              <w:ind w:right="169"/>
              <w:jc w:val="right"/>
              <w:rPr>
                <w:rFonts w:ascii="Times New Roman"/>
                <w:sz w:val="21"/>
              </w:rPr>
            </w:pPr>
            <w:r>
              <w:rPr>
                <w:rFonts w:ascii="Times New Roman"/>
                <w:w w:val="99"/>
                <w:sz w:val="21"/>
              </w:rPr>
              <w:t>5</w:t>
            </w:r>
          </w:p>
        </w:tc>
        <w:tc>
          <w:tcPr>
            <w:tcW w:w="1577" w:type="dxa"/>
          </w:tcPr>
          <w:p w14:paraId="4F82A0D7">
            <w:pPr>
              <w:pStyle w:val="17"/>
              <w:spacing w:before="20"/>
              <w:ind w:left="136" w:right="130"/>
              <w:rPr>
                <w:sz w:val="21"/>
              </w:rPr>
            </w:pPr>
            <w:r>
              <w:rPr>
                <w:sz w:val="21"/>
              </w:rPr>
              <w:t>武莲村</w:t>
            </w:r>
          </w:p>
        </w:tc>
        <w:tc>
          <w:tcPr>
            <w:tcW w:w="826" w:type="dxa"/>
          </w:tcPr>
          <w:p w14:paraId="56D4E24D">
            <w:pPr>
              <w:pStyle w:val="17"/>
              <w:spacing w:before="34"/>
              <w:ind w:left="107"/>
              <w:jc w:val="left"/>
              <w:rPr>
                <w:rFonts w:ascii="Times New Roman"/>
                <w:sz w:val="21"/>
              </w:rPr>
            </w:pPr>
            <w:r>
              <w:rPr>
                <w:rFonts w:ascii="Times New Roman"/>
                <w:sz w:val="21"/>
              </w:rPr>
              <w:t>-63</w:t>
            </w:r>
          </w:p>
        </w:tc>
        <w:tc>
          <w:tcPr>
            <w:tcW w:w="761" w:type="dxa"/>
          </w:tcPr>
          <w:p w14:paraId="051EF35B">
            <w:pPr>
              <w:pStyle w:val="17"/>
              <w:spacing w:before="34"/>
              <w:ind w:left="11" w:right="132"/>
              <w:rPr>
                <w:rFonts w:ascii="Times New Roman"/>
                <w:sz w:val="21"/>
              </w:rPr>
            </w:pPr>
            <w:r>
              <w:rPr>
                <w:rFonts w:ascii="Times New Roman"/>
                <w:sz w:val="21"/>
              </w:rPr>
              <w:t>1191</w:t>
            </w:r>
          </w:p>
        </w:tc>
        <w:tc>
          <w:tcPr>
            <w:tcW w:w="823" w:type="dxa"/>
          </w:tcPr>
          <w:p w14:paraId="2A6C3969">
            <w:pPr>
              <w:pStyle w:val="17"/>
              <w:spacing w:before="34"/>
              <w:ind w:left="154" w:right="146"/>
              <w:rPr>
                <w:rFonts w:ascii="Times New Roman"/>
                <w:sz w:val="21"/>
              </w:rPr>
            </w:pPr>
            <w:r>
              <w:rPr>
                <w:rFonts w:ascii="Times New Roman"/>
                <w:sz w:val="21"/>
              </w:rPr>
              <w:t>39.28</w:t>
            </w:r>
          </w:p>
        </w:tc>
        <w:tc>
          <w:tcPr>
            <w:tcW w:w="777" w:type="dxa"/>
          </w:tcPr>
          <w:p w14:paraId="17F75406">
            <w:pPr>
              <w:pStyle w:val="17"/>
              <w:spacing w:before="20"/>
              <w:ind w:left="106"/>
              <w:jc w:val="left"/>
              <w:rPr>
                <w:sz w:val="21"/>
              </w:rPr>
            </w:pPr>
            <w:r>
              <w:rPr>
                <w:rFonts w:ascii="Times New Roman" w:eastAsia="Times New Roman"/>
                <w:sz w:val="21"/>
              </w:rPr>
              <w:t xml:space="preserve">1 </w:t>
            </w:r>
            <w:r>
              <w:rPr>
                <w:sz w:val="21"/>
              </w:rPr>
              <w:t>小时</w:t>
            </w:r>
          </w:p>
        </w:tc>
        <w:tc>
          <w:tcPr>
            <w:tcW w:w="1259" w:type="dxa"/>
          </w:tcPr>
          <w:p w14:paraId="777840DB">
            <w:pPr>
              <w:pStyle w:val="17"/>
              <w:spacing w:before="34"/>
              <w:ind w:left="241"/>
              <w:jc w:val="left"/>
              <w:rPr>
                <w:rFonts w:ascii="Times New Roman"/>
                <w:sz w:val="21"/>
              </w:rPr>
            </w:pPr>
            <w:r>
              <w:rPr>
                <w:rFonts w:ascii="Times New Roman"/>
                <w:sz w:val="21"/>
              </w:rPr>
              <w:t>5.49E-02</w:t>
            </w:r>
          </w:p>
        </w:tc>
        <w:tc>
          <w:tcPr>
            <w:tcW w:w="1317" w:type="dxa"/>
          </w:tcPr>
          <w:p w14:paraId="2DBB7491">
            <w:pPr>
              <w:pStyle w:val="17"/>
              <w:spacing w:before="34"/>
              <w:ind w:left="108" w:right="98"/>
              <w:rPr>
                <w:rFonts w:ascii="Times New Roman"/>
                <w:sz w:val="21"/>
              </w:rPr>
            </w:pPr>
            <w:r>
              <w:rPr>
                <w:rFonts w:ascii="Times New Roman"/>
                <w:sz w:val="21"/>
              </w:rPr>
              <w:t>23060801</w:t>
            </w:r>
          </w:p>
        </w:tc>
        <w:tc>
          <w:tcPr>
            <w:tcW w:w="1230" w:type="dxa"/>
          </w:tcPr>
          <w:p w14:paraId="086609AA">
            <w:pPr>
              <w:pStyle w:val="17"/>
              <w:spacing w:before="34"/>
              <w:ind w:left="175" w:right="166"/>
              <w:rPr>
                <w:rFonts w:ascii="Times New Roman"/>
                <w:sz w:val="21"/>
              </w:rPr>
            </w:pPr>
            <w:r>
              <w:rPr>
                <w:rFonts w:ascii="Times New Roman"/>
                <w:sz w:val="21"/>
              </w:rPr>
              <w:t>0.00E+00</w:t>
            </w:r>
          </w:p>
        </w:tc>
        <w:tc>
          <w:tcPr>
            <w:tcW w:w="1725" w:type="dxa"/>
          </w:tcPr>
          <w:p w14:paraId="72FA5353">
            <w:pPr>
              <w:pStyle w:val="17"/>
              <w:spacing w:before="34"/>
              <w:ind w:left="417" w:right="413"/>
              <w:rPr>
                <w:rFonts w:ascii="Times New Roman"/>
                <w:sz w:val="21"/>
              </w:rPr>
            </w:pPr>
            <w:r>
              <w:rPr>
                <w:rFonts w:ascii="Times New Roman"/>
                <w:sz w:val="21"/>
              </w:rPr>
              <w:t>5.49E-02</w:t>
            </w:r>
          </w:p>
        </w:tc>
        <w:tc>
          <w:tcPr>
            <w:tcW w:w="1230" w:type="dxa"/>
          </w:tcPr>
          <w:p w14:paraId="1EBB7ABF">
            <w:pPr>
              <w:pStyle w:val="17"/>
              <w:spacing w:before="34"/>
              <w:ind w:left="174" w:right="166"/>
              <w:rPr>
                <w:rFonts w:ascii="Times New Roman"/>
                <w:sz w:val="21"/>
              </w:rPr>
            </w:pPr>
            <w:r>
              <w:rPr>
                <w:rFonts w:ascii="Times New Roman"/>
                <w:sz w:val="21"/>
              </w:rPr>
              <w:t>2.00E+00</w:t>
            </w:r>
          </w:p>
        </w:tc>
        <w:tc>
          <w:tcPr>
            <w:tcW w:w="1517" w:type="dxa"/>
          </w:tcPr>
          <w:p w14:paraId="668F9D96">
            <w:pPr>
              <w:pStyle w:val="17"/>
              <w:spacing w:before="34"/>
              <w:ind w:left="499" w:right="492"/>
              <w:rPr>
                <w:rFonts w:ascii="Times New Roman"/>
                <w:sz w:val="21"/>
              </w:rPr>
            </w:pPr>
            <w:r>
              <w:rPr>
                <w:rFonts w:ascii="Times New Roman"/>
                <w:sz w:val="21"/>
              </w:rPr>
              <w:t>2.75</w:t>
            </w:r>
          </w:p>
        </w:tc>
        <w:tc>
          <w:tcPr>
            <w:tcW w:w="712" w:type="dxa"/>
            <w:tcBorders>
              <w:right w:val="nil"/>
            </w:tcBorders>
          </w:tcPr>
          <w:p w14:paraId="3F136BC3">
            <w:pPr>
              <w:pStyle w:val="17"/>
              <w:spacing w:before="20"/>
              <w:ind w:left="122" w:right="121"/>
              <w:rPr>
                <w:sz w:val="21"/>
              </w:rPr>
            </w:pPr>
            <w:r>
              <w:rPr>
                <w:sz w:val="21"/>
              </w:rPr>
              <w:t>达标</w:t>
            </w:r>
          </w:p>
        </w:tc>
      </w:tr>
      <w:tr w14:paraId="74BE5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B7CB323">
            <w:pPr>
              <w:pStyle w:val="17"/>
              <w:spacing w:before="33"/>
              <w:ind w:right="169"/>
              <w:jc w:val="right"/>
              <w:rPr>
                <w:rFonts w:ascii="Times New Roman"/>
                <w:sz w:val="21"/>
              </w:rPr>
            </w:pPr>
            <w:r>
              <w:rPr>
                <w:rFonts w:ascii="Times New Roman"/>
                <w:w w:val="99"/>
                <w:sz w:val="21"/>
              </w:rPr>
              <w:t>6</w:t>
            </w:r>
          </w:p>
        </w:tc>
        <w:tc>
          <w:tcPr>
            <w:tcW w:w="1577" w:type="dxa"/>
          </w:tcPr>
          <w:p w14:paraId="6199C56A">
            <w:pPr>
              <w:pStyle w:val="17"/>
              <w:spacing w:before="19"/>
              <w:ind w:left="136" w:right="130"/>
              <w:rPr>
                <w:sz w:val="21"/>
              </w:rPr>
            </w:pPr>
            <w:r>
              <w:rPr>
                <w:sz w:val="21"/>
              </w:rPr>
              <w:t>三和村</w:t>
            </w:r>
          </w:p>
        </w:tc>
        <w:tc>
          <w:tcPr>
            <w:tcW w:w="826" w:type="dxa"/>
          </w:tcPr>
          <w:p w14:paraId="6458D15E">
            <w:pPr>
              <w:pStyle w:val="17"/>
              <w:spacing w:before="33"/>
              <w:ind w:left="203"/>
              <w:jc w:val="left"/>
              <w:rPr>
                <w:rFonts w:ascii="Times New Roman"/>
                <w:sz w:val="21"/>
              </w:rPr>
            </w:pPr>
            <w:r>
              <w:rPr>
                <w:rFonts w:ascii="Times New Roman"/>
                <w:sz w:val="21"/>
              </w:rPr>
              <w:t>1237</w:t>
            </w:r>
          </w:p>
        </w:tc>
        <w:tc>
          <w:tcPr>
            <w:tcW w:w="761" w:type="dxa"/>
          </w:tcPr>
          <w:p w14:paraId="4FA4EF38">
            <w:pPr>
              <w:pStyle w:val="17"/>
              <w:spacing w:before="33"/>
              <w:ind w:left="85" w:right="77"/>
              <w:rPr>
                <w:rFonts w:ascii="Times New Roman"/>
                <w:sz w:val="21"/>
              </w:rPr>
            </w:pPr>
            <w:r>
              <w:rPr>
                <w:rFonts w:ascii="Times New Roman"/>
                <w:sz w:val="21"/>
              </w:rPr>
              <w:t>1042</w:t>
            </w:r>
          </w:p>
        </w:tc>
        <w:tc>
          <w:tcPr>
            <w:tcW w:w="823" w:type="dxa"/>
          </w:tcPr>
          <w:p w14:paraId="17659E9B">
            <w:pPr>
              <w:pStyle w:val="17"/>
              <w:spacing w:before="33"/>
              <w:ind w:left="154" w:right="146"/>
              <w:rPr>
                <w:rFonts w:ascii="Times New Roman"/>
                <w:sz w:val="21"/>
              </w:rPr>
            </w:pPr>
            <w:r>
              <w:rPr>
                <w:rFonts w:ascii="Times New Roman"/>
                <w:sz w:val="21"/>
              </w:rPr>
              <w:t>61.08</w:t>
            </w:r>
          </w:p>
        </w:tc>
        <w:tc>
          <w:tcPr>
            <w:tcW w:w="777" w:type="dxa"/>
          </w:tcPr>
          <w:p w14:paraId="0FE994C0">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46694676">
            <w:pPr>
              <w:pStyle w:val="17"/>
              <w:spacing w:before="33"/>
              <w:ind w:left="241"/>
              <w:jc w:val="left"/>
              <w:rPr>
                <w:rFonts w:ascii="Times New Roman"/>
                <w:sz w:val="21"/>
              </w:rPr>
            </w:pPr>
            <w:r>
              <w:rPr>
                <w:rFonts w:ascii="Times New Roman"/>
                <w:sz w:val="21"/>
              </w:rPr>
              <w:t>6.41E-02</w:t>
            </w:r>
          </w:p>
        </w:tc>
        <w:tc>
          <w:tcPr>
            <w:tcW w:w="1317" w:type="dxa"/>
          </w:tcPr>
          <w:p w14:paraId="7712A03F">
            <w:pPr>
              <w:pStyle w:val="17"/>
              <w:spacing w:before="33"/>
              <w:ind w:left="108" w:right="98"/>
              <w:rPr>
                <w:rFonts w:ascii="Times New Roman"/>
                <w:sz w:val="21"/>
              </w:rPr>
            </w:pPr>
            <w:r>
              <w:rPr>
                <w:rFonts w:ascii="Times New Roman"/>
                <w:sz w:val="21"/>
              </w:rPr>
              <w:t>23082022</w:t>
            </w:r>
          </w:p>
        </w:tc>
        <w:tc>
          <w:tcPr>
            <w:tcW w:w="1230" w:type="dxa"/>
          </w:tcPr>
          <w:p w14:paraId="4A44ED86">
            <w:pPr>
              <w:pStyle w:val="17"/>
              <w:spacing w:before="33"/>
              <w:ind w:left="175" w:right="166"/>
              <w:rPr>
                <w:rFonts w:ascii="Times New Roman"/>
                <w:sz w:val="21"/>
              </w:rPr>
            </w:pPr>
            <w:r>
              <w:rPr>
                <w:rFonts w:ascii="Times New Roman"/>
                <w:sz w:val="21"/>
              </w:rPr>
              <w:t>0.00E+00</w:t>
            </w:r>
          </w:p>
        </w:tc>
        <w:tc>
          <w:tcPr>
            <w:tcW w:w="1725" w:type="dxa"/>
          </w:tcPr>
          <w:p w14:paraId="64088222">
            <w:pPr>
              <w:pStyle w:val="17"/>
              <w:spacing w:before="33"/>
              <w:ind w:left="417" w:right="413"/>
              <w:rPr>
                <w:rFonts w:ascii="Times New Roman"/>
                <w:sz w:val="21"/>
              </w:rPr>
            </w:pPr>
            <w:r>
              <w:rPr>
                <w:rFonts w:ascii="Times New Roman"/>
                <w:sz w:val="21"/>
              </w:rPr>
              <w:t>6.41E-02</w:t>
            </w:r>
          </w:p>
        </w:tc>
        <w:tc>
          <w:tcPr>
            <w:tcW w:w="1230" w:type="dxa"/>
          </w:tcPr>
          <w:p w14:paraId="3CE046D9">
            <w:pPr>
              <w:pStyle w:val="17"/>
              <w:spacing w:before="33"/>
              <w:ind w:left="174" w:right="166"/>
              <w:rPr>
                <w:rFonts w:ascii="Times New Roman"/>
                <w:sz w:val="21"/>
              </w:rPr>
            </w:pPr>
            <w:r>
              <w:rPr>
                <w:rFonts w:ascii="Times New Roman"/>
                <w:sz w:val="21"/>
              </w:rPr>
              <w:t>2.00E+00</w:t>
            </w:r>
          </w:p>
        </w:tc>
        <w:tc>
          <w:tcPr>
            <w:tcW w:w="1517" w:type="dxa"/>
          </w:tcPr>
          <w:p w14:paraId="18E9B4E4">
            <w:pPr>
              <w:pStyle w:val="17"/>
              <w:spacing w:before="33"/>
              <w:ind w:left="499" w:right="492"/>
              <w:rPr>
                <w:rFonts w:ascii="Times New Roman"/>
                <w:sz w:val="21"/>
              </w:rPr>
            </w:pPr>
            <w:r>
              <w:rPr>
                <w:rFonts w:ascii="Times New Roman"/>
                <w:sz w:val="21"/>
              </w:rPr>
              <w:t>3.20</w:t>
            </w:r>
          </w:p>
        </w:tc>
        <w:tc>
          <w:tcPr>
            <w:tcW w:w="712" w:type="dxa"/>
            <w:tcBorders>
              <w:right w:val="nil"/>
            </w:tcBorders>
          </w:tcPr>
          <w:p w14:paraId="5F6404BC">
            <w:pPr>
              <w:pStyle w:val="17"/>
              <w:spacing w:before="19"/>
              <w:ind w:left="122" w:right="121"/>
              <w:rPr>
                <w:sz w:val="21"/>
              </w:rPr>
            </w:pPr>
            <w:r>
              <w:rPr>
                <w:sz w:val="21"/>
              </w:rPr>
              <w:t>达标</w:t>
            </w:r>
          </w:p>
        </w:tc>
      </w:tr>
      <w:tr w14:paraId="5C911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5FCC788D">
            <w:pPr>
              <w:pStyle w:val="17"/>
              <w:spacing w:before="33"/>
              <w:ind w:right="169"/>
              <w:jc w:val="right"/>
              <w:rPr>
                <w:rFonts w:ascii="Times New Roman"/>
                <w:sz w:val="21"/>
              </w:rPr>
            </w:pPr>
            <w:r>
              <w:rPr>
                <w:rFonts w:ascii="Times New Roman"/>
                <w:w w:val="99"/>
                <w:sz w:val="21"/>
              </w:rPr>
              <w:t>7</w:t>
            </w:r>
          </w:p>
        </w:tc>
        <w:tc>
          <w:tcPr>
            <w:tcW w:w="1577" w:type="dxa"/>
          </w:tcPr>
          <w:p w14:paraId="5F8D2274">
            <w:pPr>
              <w:pStyle w:val="17"/>
              <w:spacing w:before="19"/>
              <w:ind w:left="133" w:right="130"/>
              <w:rPr>
                <w:sz w:val="21"/>
              </w:rPr>
            </w:pPr>
            <w:r>
              <w:rPr>
                <w:sz w:val="21"/>
              </w:rPr>
              <w:t>中家桥村</w:t>
            </w:r>
          </w:p>
        </w:tc>
        <w:tc>
          <w:tcPr>
            <w:tcW w:w="826" w:type="dxa"/>
          </w:tcPr>
          <w:p w14:paraId="53258F13">
            <w:pPr>
              <w:pStyle w:val="17"/>
              <w:spacing w:before="33"/>
              <w:ind w:left="107"/>
              <w:jc w:val="left"/>
              <w:rPr>
                <w:rFonts w:ascii="Times New Roman"/>
                <w:sz w:val="21"/>
              </w:rPr>
            </w:pPr>
            <w:r>
              <w:rPr>
                <w:rFonts w:ascii="Times New Roman"/>
                <w:sz w:val="21"/>
              </w:rPr>
              <w:t>961</w:t>
            </w:r>
          </w:p>
        </w:tc>
        <w:tc>
          <w:tcPr>
            <w:tcW w:w="761" w:type="dxa"/>
          </w:tcPr>
          <w:p w14:paraId="587D96CF">
            <w:pPr>
              <w:pStyle w:val="17"/>
              <w:spacing w:before="33"/>
              <w:ind w:left="85" w:right="235"/>
              <w:rPr>
                <w:rFonts w:ascii="Times New Roman"/>
                <w:sz w:val="21"/>
              </w:rPr>
            </w:pPr>
            <w:r>
              <w:rPr>
                <w:rFonts w:ascii="Times New Roman"/>
                <w:sz w:val="21"/>
              </w:rPr>
              <w:t>-813</w:t>
            </w:r>
          </w:p>
        </w:tc>
        <w:tc>
          <w:tcPr>
            <w:tcW w:w="823" w:type="dxa"/>
          </w:tcPr>
          <w:p w14:paraId="716112E2">
            <w:pPr>
              <w:pStyle w:val="17"/>
              <w:spacing w:before="33"/>
              <w:ind w:left="154" w:right="146"/>
              <w:rPr>
                <w:rFonts w:ascii="Times New Roman"/>
                <w:sz w:val="21"/>
              </w:rPr>
            </w:pPr>
            <w:r>
              <w:rPr>
                <w:rFonts w:ascii="Times New Roman"/>
                <w:sz w:val="21"/>
              </w:rPr>
              <w:t>49.12</w:t>
            </w:r>
          </w:p>
        </w:tc>
        <w:tc>
          <w:tcPr>
            <w:tcW w:w="777" w:type="dxa"/>
          </w:tcPr>
          <w:p w14:paraId="74BDBDAA">
            <w:pPr>
              <w:pStyle w:val="17"/>
              <w:spacing w:before="19"/>
              <w:ind w:left="106"/>
              <w:jc w:val="left"/>
              <w:rPr>
                <w:sz w:val="21"/>
              </w:rPr>
            </w:pPr>
            <w:r>
              <w:rPr>
                <w:rFonts w:ascii="Times New Roman" w:eastAsia="Times New Roman"/>
                <w:sz w:val="21"/>
              </w:rPr>
              <w:t xml:space="preserve">1 </w:t>
            </w:r>
            <w:r>
              <w:rPr>
                <w:sz w:val="21"/>
              </w:rPr>
              <w:t>小时</w:t>
            </w:r>
          </w:p>
        </w:tc>
        <w:tc>
          <w:tcPr>
            <w:tcW w:w="1259" w:type="dxa"/>
          </w:tcPr>
          <w:p w14:paraId="4DCE1E78">
            <w:pPr>
              <w:pStyle w:val="17"/>
              <w:spacing w:before="33"/>
              <w:ind w:left="241"/>
              <w:jc w:val="left"/>
              <w:rPr>
                <w:rFonts w:ascii="Times New Roman"/>
                <w:sz w:val="21"/>
              </w:rPr>
            </w:pPr>
            <w:r>
              <w:rPr>
                <w:rFonts w:ascii="Times New Roman"/>
                <w:sz w:val="21"/>
              </w:rPr>
              <w:t>5.95E-02</w:t>
            </w:r>
          </w:p>
        </w:tc>
        <w:tc>
          <w:tcPr>
            <w:tcW w:w="1317" w:type="dxa"/>
          </w:tcPr>
          <w:p w14:paraId="2DAFB3A1">
            <w:pPr>
              <w:pStyle w:val="17"/>
              <w:spacing w:before="33"/>
              <w:ind w:left="108" w:right="98"/>
              <w:rPr>
                <w:rFonts w:ascii="Times New Roman"/>
                <w:sz w:val="21"/>
              </w:rPr>
            </w:pPr>
            <w:r>
              <w:rPr>
                <w:rFonts w:ascii="Times New Roman"/>
                <w:sz w:val="21"/>
              </w:rPr>
              <w:t>23081907</w:t>
            </w:r>
          </w:p>
        </w:tc>
        <w:tc>
          <w:tcPr>
            <w:tcW w:w="1230" w:type="dxa"/>
          </w:tcPr>
          <w:p w14:paraId="04E1168D">
            <w:pPr>
              <w:pStyle w:val="17"/>
              <w:spacing w:before="33"/>
              <w:ind w:left="175" w:right="166"/>
              <w:rPr>
                <w:rFonts w:ascii="Times New Roman"/>
                <w:sz w:val="21"/>
              </w:rPr>
            </w:pPr>
            <w:r>
              <w:rPr>
                <w:rFonts w:ascii="Times New Roman"/>
                <w:sz w:val="21"/>
              </w:rPr>
              <w:t>0.00E+00</w:t>
            </w:r>
          </w:p>
        </w:tc>
        <w:tc>
          <w:tcPr>
            <w:tcW w:w="1725" w:type="dxa"/>
          </w:tcPr>
          <w:p w14:paraId="59B2E9A6">
            <w:pPr>
              <w:pStyle w:val="17"/>
              <w:spacing w:before="33"/>
              <w:ind w:left="417" w:right="413"/>
              <w:rPr>
                <w:rFonts w:ascii="Times New Roman"/>
                <w:sz w:val="21"/>
              </w:rPr>
            </w:pPr>
            <w:r>
              <w:rPr>
                <w:rFonts w:ascii="Times New Roman"/>
                <w:sz w:val="21"/>
              </w:rPr>
              <w:t>5.95E-02</w:t>
            </w:r>
          </w:p>
        </w:tc>
        <w:tc>
          <w:tcPr>
            <w:tcW w:w="1230" w:type="dxa"/>
          </w:tcPr>
          <w:p w14:paraId="2A8E0032">
            <w:pPr>
              <w:pStyle w:val="17"/>
              <w:spacing w:before="33"/>
              <w:ind w:left="174" w:right="166"/>
              <w:rPr>
                <w:rFonts w:ascii="Times New Roman"/>
                <w:sz w:val="21"/>
              </w:rPr>
            </w:pPr>
            <w:r>
              <w:rPr>
                <w:rFonts w:ascii="Times New Roman"/>
                <w:sz w:val="21"/>
              </w:rPr>
              <w:t>2.00E+00</w:t>
            </w:r>
          </w:p>
        </w:tc>
        <w:tc>
          <w:tcPr>
            <w:tcW w:w="1517" w:type="dxa"/>
          </w:tcPr>
          <w:p w14:paraId="18B08975">
            <w:pPr>
              <w:pStyle w:val="17"/>
              <w:spacing w:before="33"/>
              <w:ind w:left="499" w:right="492"/>
              <w:rPr>
                <w:rFonts w:ascii="Times New Roman"/>
                <w:sz w:val="21"/>
              </w:rPr>
            </w:pPr>
            <w:r>
              <w:rPr>
                <w:rFonts w:ascii="Times New Roman"/>
                <w:sz w:val="21"/>
              </w:rPr>
              <w:t>2.98</w:t>
            </w:r>
          </w:p>
        </w:tc>
        <w:tc>
          <w:tcPr>
            <w:tcW w:w="712" w:type="dxa"/>
            <w:tcBorders>
              <w:right w:val="nil"/>
            </w:tcBorders>
          </w:tcPr>
          <w:p w14:paraId="53E5F0F2">
            <w:pPr>
              <w:pStyle w:val="17"/>
              <w:spacing w:before="19"/>
              <w:ind w:left="122" w:right="121"/>
              <w:rPr>
                <w:sz w:val="21"/>
              </w:rPr>
            </w:pPr>
            <w:r>
              <w:rPr>
                <w:sz w:val="21"/>
              </w:rPr>
              <w:t>达标</w:t>
            </w:r>
          </w:p>
        </w:tc>
      </w:tr>
      <w:tr w14:paraId="72D74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2339D636">
            <w:pPr>
              <w:pStyle w:val="17"/>
              <w:spacing w:before="35"/>
              <w:ind w:right="169"/>
              <w:jc w:val="right"/>
              <w:rPr>
                <w:rFonts w:ascii="Times New Roman"/>
                <w:sz w:val="21"/>
              </w:rPr>
            </w:pPr>
            <w:r>
              <w:rPr>
                <w:rFonts w:ascii="Times New Roman"/>
                <w:w w:val="99"/>
                <w:sz w:val="21"/>
              </w:rPr>
              <w:t>8</w:t>
            </w:r>
          </w:p>
        </w:tc>
        <w:tc>
          <w:tcPr>
            <w:tcW w:w="1577" w:type="dxa"/>
          </w:tcPr>
          <w:p w14:paraId="43CF0AAA">
            <w:pPr>
              <w:pStyle w:val="17"/>
              <w:spacing w:before="21"/>
              <w:ind w:left="136" w:right="130"/>
              <w:rPr>
                <w:sz w:val="21"/>
              </w:rPr>
            </w:pPr>
            <w:r>
              <w:rPr>
                <w:sz w:val="21"/>
              </w:rPr>
              <w:t>新市中心小学</w:t>
            </w:r>
          </w:p>
        </w:tc>
        <w:tc>
          <w:tcPr>
            <w:tcW w:w="826" w:type="dxa"/>
          </w:tcPr>
          <w:p w14:paraId="3BF49EEA">
            <w:pPr>
              <w:pStyle w:val="17"/>
              <w:spacing w:before="35"/>
              <w:ind w:left="107"/>
              <w:jc w:val="left"/>
              <w:rPr>
                <w:rFonts w:ascii="Times New Roman"/>
                <w:sz w:val="21"/>
              </w:rPr>
            </w:pPr>
            <w:r>
              <w:rPr>
                <w:rFonts w:ascii="Times New Roman"/>
                <w:sz w:val="21"/>
              </w:rPr>
              <w:t>-1878</w:t>
            </w:r>
          </w:p>
        </w:tc>
        <w:tc>
          <w:tcPr>
            <w:tcW w:w="761" w:type="dxa"/>
          </w:tcPr>
          <w:p w14:paraId="543DDCCF">
            <w:pPr>
              <w:pStyle w:val="17"/>
              <w:spacing w:before="35"/>
              <w:ind w:left="18" w:right="132"/>
              <w:rPr>
                <w:rFonts w:ascii="Times New Roman"/>
                <w:sz w:val="21"/>
              </w:rPr>
            </w:pPr>
            <w:r>
              <w:rPr>
                <w:rFonts w:ascii="Times New Roman"/>
                <w:sz w:val="21"/>
              </w:rPr>
              <w:t>1595</w:t>
            </w:r>
          </w:p>
        </w:tc>
        <w:tc>
          <w:tcPr>
            <w:tcW w:w="823" w:type="dxa"/>
          </w:tcPr>
          <w:p w14:paraId="2A7F505A">
            <w:pPr>
              <w:pStyle w:val="17"/>
              <w:spacing w:before="35"/>
              <w:ind w:left="154" w:right="146"/>
              <w:rPr>
                <w:rFonts w:ascii="Times New Roman"/>
                <w:sz w:val="21"/>
              </w:rPr>
            </w:pPr>
            <w:r>
              <w:rPr>
                <w:rFonts w:ascii="Times New Roman"/>
                <w:sz w:val="21"/>
              </w:rPr>
              <w:t>54.65</w:t>
            </w:r>
          </w:p>
        </w:tc>
        <w:tc>
          <w:tcPr>
            <w:tcW w:w="777" w:type="dxa"/>
          </w:tcPr>
          <w:p w14:paraId="5F56865D">
            <w:pPr>
              <w:pStyle w:val="17"/>
              <w:spacing w:before="21"/>
              <w:ind w:left="106"/>
              <w:jc w:val="left"/>
              <w:rPr>
                <w:sz w:val="21"/>
              </w:rPr>
            </w:pPr>
            <w:r>
              <w:rPr>
                <w:rFonts w:ascii="Times New Roman" w:eastAsia="Times New Roman"/>
                <w:sz w:val="21"/>
              </w:rPr>
              <w:t xml:space="preserve">1 </w:t>
            </w:r>
            <w:r>
              <w:rPr>
                <w:sz w:val="21"/>
              </w:rPr>
              <w:t>小时</w:t>
            </w:r>
          </w:p>
        </w:tc>
        <w:tc>
          <w:tcPr>
            <w:tcW w:w="1259" w:type="dxa"/>
          </w:tcPr>
          <w:p w14:paraId="4B7B0300">
            <w:pPr>
              <w:pStyle w:val="17"/>
              <w:spacing w:before="35"/>
              <w:ind w:left="241"/>
              <w:jc w:val="left"/>
              <w:rPr>
                <w:rFonts w:ascii="Times New Roman"/>
                <w:sz w:val="21"/>
              </w:rPr>
            </w:pPr>
            <w:r>
              <w:rPr>
                <w:rFonts w:ascii="Times New Roman"/>
                <w:sz w:val="21"/>
              </w:rPr>
              <w:t>5.89E-02</w:t>
            </w:r>
          </w:p>
        </w:tc>
        <w:tc>
          <w:tcPr>
            <w:tcW w:w="1317" w:type="dxa"/>
          </w:tcPr>
          <w:p w14:paraId="2641E91E">
            <w:pPr>
              <w:pStyle w:val="17"/>
              <w:spacing w:before="35"/>
              <w:ind w:left="108" w:right="98"/>
              <w:rPr>
                <w:rFonts w:ascii="Times New Roman"/>
                <w:sz w:val="21"/>
              </w:rPr>
            </w:pPr>
            <w:r>
              <w:rPr>
                <w:rFonts w:ascii="Times New Roman"/>
                <w:sz w:val="21"/>
              </w:rPr>
              <w:t>23082607</w:t>
            </w:r>
          </w:p>
        </w:tc>
        <w:tc>
          <w:tcPr>
            <w:tcW w:w="1230" w:type="dxa"/>
          </w:tcPr>
          <w:p w14:paraId="6BB4F6DF">
            <w:pPr>
              <w:pStyle w:val="17"/>
              <w:spacing w:before="35"/>
              <w:ind w:left="175" w:right="166"/>
              <w:rPr>
                <w:rFonts w:ascii="Times New Roman"/>
                <w:sz w:val="21"/>
              </w:rPr>
            </w:pPr>
            <w:r>
              <w:rPr>
                <w:rFonts w:ascii="Times New Roman"/>
                <w:sz w:val="21"/>
              </w:rPr>
              <w:t>0.00E+00</w:t>
            </w:r>
          </w:p>
        </w:tc>
        <w:tc>
          <w:tcPr>
            <w:tcW w:w="1725" w:type="dxa"/>
          </w:tcPr>
          <w:p w14:paraId="122BFE85">
            <w:pPr>
              <w:pStyle w:val="17"/>
              <w:spacing w:before="35"/>
              <w:ind w:left="417" w:right="413"/>
              <w:rPr>
                <w:rFonts w:ascii="Times New Roman"/>
                <w:sz w:val="21"/>
              </w:rPr>
            </w:pPr>
            <w:r>
              <w:rPr>
                <w:rFonts w:ascii="Times New Roman"/>
                <w:sz w:val="21"/>
              </w:rPr>
              <w:t>5.89E-02</w:t>
            </w:r>
          </w:p>
        </w:tc>
        <w:tc>
          <w:tcPr>
            <w:tcW w:w="1230" w:type="dxa"/>
          </w:tcPr>
          <w:p w14:paraId="06A3961C">
            <w:pPr>
              <w:pStyle w:val="17"/>
              <w:spacing w:before="35"/>
              <w:ind w:left="174" w:right="166"/>
              <w:rPr>
                <w:rFonts w:ascii="Times New Roman"/>
                <w:sz w:val="21"/>
              </w:rPr>
            </w:pPr>
            <w:r>
              <w:rPr>
                <w:rFonts w:ascii="Times New Roman"/>
                <w:sz w:val="21"/>
              </w:rPr>
              <w:t>2.00E+00</w:t>
            </w:r>
          </w:p>
        </w:tc>
        <w:tc>
          <w:tcPr>
            <w:tcW w:w="1517" w:type="dxa"/>
          </w:tcPr>
          <w:p w14:paraId="2A68787F">
            <w:pPr>
              <w:pStyle w:val="17"/>
              <w:spacing w:before="35"/>
              <w:ind w:left="499" w:right="492"/>
              <w:rPr>
                <w:rFonts w:ascii="Times New Roman"/>
                <w:sz w:val="21"/>
              </w:rPr>
            </w:pPr>
            <w:r>
              <w:rPr>
                <w:rFonts w:ascii="Times New Roman"/>
                <w:sz w:val="21"/>
              </w:rPr>
              <w:t>2.94</w:t>
            </w:r>
          </w:p>
        </w:tc>
        <w:tc>
          <w:tcPr>
            <w:tcW w:w="712" w:type="dxa"/>
            <w:tcBorders>
              <w:right w:val="nil"/>
            </w:tcBorders>
          </w:tcPr>
          <w:p w14:paraId="7BDCD896">
            <w:pPr>
              <w:pStyle w:val="17"/>
              <w:spacing w:before="18"/>
              <w:ind w:left="122" w:right="121"/>
              <w:rPr>
                <w:sz w:val="21"/>
              </w:rPr>
            </w:pPr>
            <w:r>
              <w:rPr>
                <w:sz w:val="21"/>
              </w:rPr>
              <w:t>达标</w:t>
            </w:r>
          </w:p>
        </w:tc>
      </w:tr>
      <w:tr w14:paraId="17FD3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28B26380">
            <w:pPr>
              <w:pStyle w:val="17"/>
              <w:spacing w:before="13" w:line="239" w:lineRule="exact"/>
              <w:ind w:right="169"/>
              <w:jc w:val="right"/>
              <w:rPr>
                <w:rFonts w:ascii="Times New Roman"/>
                <w:sz w:val="21"/>
              </w:rPr>
            </w:pPr>
            <w:r>
              <w:rPr>
                <w:rFonts w:ascii="Times New Roman"/>
                <w:w w:val="99"/>
                <w:sz w:val="21"/>
              </w:rPr>
              <w:t>9</w:t>
            </w:r>
          </w:p>
        </w:tc>
        <w:tc>
          <w:tcPr>
            <w:tcW w:w="1577" w:type="dxa"/>
          </w:tcPr>
          <w:p w14:paraId="04B1B363">
            <w:pPr>
              <w:pStyle w:val="17"/>
              <w:spacing w:line="252" w:lineRule="exact"/>
              <w:ind w:left="136" w:right="130"/>
              <w:rPr>
                <w:sz w:val="21"/>
              </w:rPr>
            </w:pPr>
            <w:r>
              <w:rPr>
                <w:sz w:val="21"/>
              </w:rPr>
              <w:t>网格</w:t>
            </w:r>
          </w:p>
        </w:tc>
        <w:tc>
          <w:tcPr>
            <w:tcW w:w="826" w:type="dxa"/>
          </w:tcPr>
          <w:p w14:paraId="224600AF">
            <w:pPr>
              <w:pStyle w:val="17"/>
              <w:spacing w:before="13" w:line="239" w:lineRule="exact"/>
              <w:ind w:left="6"/>
              <w:rPr>
                <w:rFonts w:ascii="Times New Roman"/>
                <w:sz w:val="21"/>
              </w:rPr>
            </w:pPr>
            <w:r>
              <w:rPr>
                <w:rFonts w:ascii="Times New Roman"/>
                <w:w w:val="99"/>
                <w:sz w:val="21"/>
              </w:rPr>
              <w:t>0</w:t>
            </w:r>
          </w:p>
        </w:tc>
        <w:tc>
          <w:tcPr>
            <w:tcW w:w="761" w:type="dxa"/>
          </w:tcPr>
          <w:p w14:paraId="13570944">
            <w:pPr>
              <w:pStyle w:val="17"/>
              <w:spacing w:before="13" w:line="239" w:lineRule="exact"/>
              <w:ind w:left="85" w:right="77"/>
              <w:rPr>
                <w:rFonts w:ascii="Times New Roman"/>
                <w:sz w:val="21"/>
              </w:rPr>
            </w:pPr>
            <w:r>
              <w:rPr>
                <w:rFonts w:ascii="Times New Roman"/>
                <w:sz w:val="21"/>
              </w:rPr>
              <w:t>100</w:t>
            </w:r>
          </w:p>
        </w:tc>
        <w:tc>
          <w:tcPr>
            <w:tcW w:w="823" w:type="dxa"/>
          </w:tcPr>
          <w:p w14:paraId="2021F05B">
            <w:pPr>
              <w:pStyle w:val="17"/>
              <w:spacing w:before="13" w:line="239" w:lineRule="exact"/>
              <w:ind w:left="154" w:right="146"/>
              <w:rPr>
                <w:rFonts w:ascii="Times New Roman"/>
                <w:sz w:val="21"/>
              </w:rPr>
            </w:pPr>
            <w:r>
              <w:rPr>
                <w:rFonts w:ascii="Times New Roman"/>
                <w:sz w:val="21"/>
              </w:rPr>
              <w:t>68.90</w:t>
            </w:r>
          </w:p>
        </w:tc>
        <w:tc>
          <w:tcPr>
            <w:tcW w:w="777" w:type="dxa"/>
          </w:tcPr>
          <w:p w14:paraId="321953AA">
            <w:pPr>
              <w:pStyle w:val="17"/>
              <w:spacing w:before="1" w:line="250" w:lineRule="exact"/>
              <w:ind w:left="106"/>
              <w:jc w:val="left"/>
              <w:rPr>
                <w:sz w:val="21"/>
              </w:rPr>
            </w:pPr>
            <w:r>
              <w:rPr>
                <w:rFonts w:ascii="Times New Roman" w:eastAsia="Times New Roman"/>
                <w:sz w:val="21"/>
              </w:rPr>
              <w:t xml:space="preserve">1 </w:t>
            </w:r>
            <w:r>
              <w:rPr>
                <w:sz w:val="21"/>
              </w:rPr>
              <w:t>小时</w:t>
            </w:r>
          </w:p>
        </w:tc>
        <w:tc>
          <w:tcPr>
            <w:tcW w:w="1259" w:type="dxa"/>
          </w:tcPr>
          <w:p w14:paraId="74380C8A">
            <w:pPr>
              <w:pStyle w:val="17"/>
              <w:spacing w:before="13" w:line="239" w:lineRule="exact"/>
              <w:ind w:left="217"/>
              <w:jc w:val="left"/>
              <w:rPr>
                <w:rFonts w:ascii="Times New Roman"/>
                <w:sz w:val="21"/>
              </w:rPr>
            </w:pPr>
            <w:r>
              <w:rPr>
                <w:rFonts w:ascii="Times New Roman"/>
                <w:sz w:val="21"/>
              </w:rPr>
              <w:t>1.37E+00</w:t>
            </w:r>
          </w:p>
        </w:tc>
        <w:tc>
          <w:tcPr>
            <w:tcW w:w="1317" w:type="dxa"/>
          </w:tcPr>
          <w:p w14:paraId="0B4527FF">
            <w:pPr>
              <w:pStyle w:val="17"/>
              <w:spacing w:before="13" w:line="239" w:lineRule="exact"/>
              <w:ind w:left="108" w:right="98"/>
              <w:rPr>
                <w:rFonts w:ascii="Times New Roman"/>
                <w:sz w:val="21"/>
              </w:rPr>
            </w:pPr>
            <w:r>
              <w:rPr>
                <w:rFonts w:ascii="Times New Roman"/>
                <w:sz w:val="21"/>
              </w:rPr>
              <w:t>23080406</w:t>
            </w:r>
          </w:p>
        </w:tc>
        <w:tc>
          <w:tcPr>
            <w:tcW w:w="1230" w:type="dxa"/>
          </w:tcPr>
          <w:p w14:paraId="6F77FFBA">
            <w:pPr>
              <w:pStyle w:val="17"/>
              <w:spacing w:before="13" w:line="239" w:lineRule="exact"/>
              <w:ind w:left="175" w:right="166"/>
              <w:rPr>
                <w:rFonts w:ascii="Times New Roman"/>
                <w:sz w:val="21"/>
              </w:rPr>
            </w:pPr>
            <w:r>
              <w:rPr>
                <w:rFonts w:ascii="Times New Roman"/>
                <w:sz w:val="21"/>
              </w:rPr>
              <w:t>0.00E+00</w:t>
            </w:r>
          </w:p>
        </w:tc>
        <w:tc>
          <w:tcPr>
            <w:tcW w:w="1725" w:type="dxa"/>
          </w:tcPr>
          <w:p w14:paraId="1B1493CD">
            <w:pPr>
              <w:pStyle w:val="17"/>
              <w:spacing w:before="13" w:line="239" w:lineRule="exact"/>
              <w:ind w:left="419" w:right="413"/>
              <w:rPr>
                <w:rFonts w:ascii="Times New Roman"/>
                <w:sz w:val="21"/>
              </w:rPr>
            </w:pPr>
            <w:r>
              <w:rPr>
                <w:rFonts w:ascii="Times New Roman"/>
                <w:sz w:val="21"/>
              </w:rPr>
              <w:t>1.37E+00</w:t>
            </w:r>
          </w:p>
        </w:tc>
        <w:tc>
          <w:tcPr>
            <w:tcW w:w="1230" w:type="dxa"/>
          </w:tcPr>
          <w:p w14:paraId="0FCE3F58">
            <w:pPr>
              <w:pStyle w:val="17"/>
              <w:spacing w:before="13" w:line="239" w:lineRule="exact"/>
              <w:ind w:left="174" w:right="166"/>
              <w:rPr>
                <w:rFonts w:ascii="Times New Roman"/>
                <w:sz w:val="21"/>
              </w:rPr>
            </w:pPr>
            <w:r>
              <w:rPr>
                <w:rFonts w:ascii="Times New Roman"/>
                <w:sz w:val="21"/>
              </w:rPr>
              <w:t>2.00E+00</w:t>
            </w:r>
          </w:p>
        </w:tc>
        <w:tc>
          <w:tcPr>
            <w:tcW w:w="1517" w:type="dxa"/>
          </w:tcPr>
          <w:p w14:paraId="22C42900">
            <w:pPr>
              <w:pStyle w:val="17"/>
              <w:spacing w:before="13" w:line="239" w:lineRule="exact"/>
              <w:ind w:left="501" w:right="492"/>
              <w:rPr>
                <w:rFonts w:ascii="Times New Roman"/>
                <w:sz w:val="21"/>
              </w:rPr>
            </w:pPr>
            <w:r>
              <w:rPr>
                <w:rFonts w:ascii="Times New Roman"/>
                <w:sz w:val="21"/>
              </w:rPr>
              <w:t>68.75</w:t>
            </w:r>
          </w:p>
        </w:tc>
        <w:tc>
          <w:tcPr>
            <w:tcW w:w="712" w:type="dxa"/>
            <w:tcBorders>
              <w:right w:val="nil"/>
            </w:tcBorders>
          </w:tcPr>
          <w:p w14:paraId="55F84DC2">
            <w:pPr>
              <w:pStyle w:val="17"/>
              <w:spacing w:line="252" w:lineRule="exact"/>
              <w:ind w:left="122" w:right="121"/>
              <w:rPr>
                <w:sz w:val="21"/>
              </w:rPr>
            </w:pPr>
            <w:r>
              <w:rPr>
                <w:sz w:val="21"/>
              </w:rPr>
              <w:t>达标</w:t>
            </w:r>
          </w:p>
        </w:tc>
      </w:tr>
    </w:tbl>
    <w:p w14:paraId="7EDBBC21">
      <w:pPr>
        <w:pStyle w:val="10"/>
        <w:spacing w:before="81" w:line="364" w:lineRule="auto"/>
        <w:ind w:left="240" w:right="299" w:firstLine="480"/>
      </w:pPr>
      <w:r>
        <w:t xml:space="preserve">从上表可知，本项目新增非甲烷总烃非正常排放 </w:t>
      </w:r>
      <w:r>
        <w:rPr>
          <w:rFonts w:ascii="Times New Roman" w:eastAsia="Times New Roman"/>
        </w:rPr>
        <w:t xml:space="preserve">1h </w:t>
      </w:r>
      <w:r>
        <w:t xml:space="preserve">平均浓度贡献值的最大占标率分别为 </w:t>
      </w:r>
      <w:r>
        <w:rPr>
          <w:rFonts w:ascii="Times New Roman" w:eastAsia="Times New Roman"/>
        </w:rPr>
        <w:t>68.75%</w:t>
      </w:r>
      <w:r>
        <w:t>，满足《大气污染物综合排放标准详解》中限值要求（</w:t>
      </w:r>
      <w:r>
        <w:rPr>
          <w:rFonts w:ascii="Times New Roman" w:eastAsia="Times New Roman"/>
        </w:rPr>
        <w:t>2.0mg/m</w:t>
      </w:r>
      <w:r>
        <w:rPr>
          <w:rFonts w:ascii="Times New Roman" w:eastAsia="Times New Roman"/>
          <w:position w:val="8"/>
          <w:sz w:val="15"/>
        </w:rPr>
        <w:t>3</w:t>
      </w:r>
      <w:r>
        <w:t>）。</w:t>
      </w:r>
    </w:p>
    <w:p w14:paraId="3123EA27">
      <w:pPr>
        <w:spacing w:after="0" w:line="364" w:lineRule="auto"/>
        <w:sectPr>
          <w:pgSz w:w="16840" w:h="11910" w:orient="landscape"/>
          <w:pgMar w:top="1100" w:right="1080" w:bottom="1380" w:left="1200" w:header="0" w:footer="1192" w:gutter="0"/>
          <w:cols w:space="720" w:num="1"/>
        </w:sectPr>
      </w:pPr>
    </w:p>
    <w:p w14:paraId="77FB1AF4">
      <w:pPr>
        <w:pStyle w:val="10"/>
        <w:rPr>
          <w:sz w:val="20"/>
        </w:rPr>
      </w:pPr>
    </w:p>
    <w:p w14:paraId="43F49FBA">
      <w:pPr>
        <w:pStyle w:val="10"/>
        <w:spacing w:before="7"/>
        <w:rPr>
          <w:sz w:val="13"/>
        </w:rPr>
      </w:pPr>
    </w:p>
    <w:p w14:paraId="20158B8A">
      <w:pPr>
        <w:pStyle w:val="10"/>
        <w:ind w:left="240"/>
        <w:rPr>
          <w:sz w:val="20"/>
        </w:rPr>
      </w:pPr>
      <w:r>
        <w:rPr>
          <w:sz w:val="20"/>
        </w:rPr>
        <w:drawing>
          <wp:inline distT="0" distB="0" distL="0" distR="0">
            <wp:extent cx="6925310" cy="5220335"/>
            <wp:effectExtent l="0" t="0" r="0" b="0"/>
            <wp:docPr id="6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15.jpeg"/>
                    <pic:cNvPicPr>
                      <a:picLocks noChangeAspect="1"/>
                    </pic:cNvPicPr>
                  </pic:nvPicPr>
                  <pic:blipFill>
                    <a:blip r:embed="rId135" cstate="print"/>
                    <a:stretch>
                      <a:fillRect/>
                    </a:stretch>
                  </pic:blipFill>
                  <pic:spPr>
                    <a:xfrm>
                      <a:off x="0" y="0"/>
                      <a:ext cx="6925540" cy="5220652"/>
                    </a:xfrm>
                    <a:prstGeom prst="rect">
                      <a:avLst/>
                    </a:prstGeom>
                  </pic:spPr>
                </pic:pic>
              </a:graphicData>
            </a:graphic>
          </wp:inline>
        </w:drawing>
      </w:r>
    </w:p>
    <w:p w14:paraId="32396342">
      <w:pPr>
        <w:pStyle w:val="9"/>
        <w:spacing w:before="131"/>
        <w:ind w:left="2392"/>
      </w:pPr>
      <w:r>
        <w:t xml:space="preserve">图 </w:t>
      </w:r>
      <w:r>
        <w:rPr>
          <w:rFonts w:ascii="Times New Roman" w:eastAsia="Times New Roman"/>
        </w:rPr>
        <w:t xml:space="preserve">4.1-13 </w:t>
      </w:r>
      <w:r>
        <w:t xml:space="preserve">本项目新增污染源非甲烷总烃非正常排放 </w:t>
      </w:r>
      <w:r>
        <w:rPr>
          <w:rFonts w:ascii="Times New Roman" w:eastAsia="Times New Roman"/>
        </w:rPr>
        <w:t xml:space="preserve">1 </w:t>
      </w:r>
      <w:r>
        <w:t>小时均值网格点贡献值预测结果分布图</w:t>
      </w:r>
    </w:p>
    <w:p w14:paraId="3554D275">
      <w:pPr>
        <w:spacing w:after="0"/>
        <w:sectPr>
          <w:pgSz w:w="16840" w:h="11910" w:orient="landscape"/>
          <w:pgMar w:top="1100" w:right="1080" w:bottom="1380" w:left="1200" w:header="0" w:footer="1192" w:gutter="0"/>
          <w:cols w:space="720" w:num="1"/>
        </w:sectPr>
      </w:pPr>
    </w:p>
    <w:p w14:paraId="70287896">
      <w:pPr>
        <w:pStyle w:val="10"/>
        <w:rPr>
          <w:b/>
          <w:sz w:val="20"/>
        </w:rPr>
      </w:pPr>
    </w:p>
    <w:p w14:paraId="69B63F28">
      <w:pPr>
        <w:pStyle w:val="10"/>
        <w:spacing w:before="7"/>
        <w:rPr>
          <w:b/>
          <w:sz w:val="26"/>
        </w:rPr>
      </w:pPr>
    </w:p>
    <w:p w14:paraId="35024D93">
      <w:pPr>
        <w:pStyle w:val="9"/>
        <w:spacing w:before="71"/>
        <w:ind w:left="660"/>
        <w:rPr>
          <w:rFonts w:ascii="Times New Roman" w:eastAsia="Times New Roman"/>
        </w:rPr>
      </w:pPr>
      <w:r>
        <w:rPr>
          <w:position w:val="2"/>
        </w:rPr>
        <w:t>（</w:t>
      </w:r>
      <w:r>
        <w:rPr>
          <w:rFonts w:ascii="Times New Roman" w:eastAsia="Times New Roman"/>
          <w:position w:val="2"/>
        </w:rPr>
        <w:t>2</w:t>
      </w:r>
      <w:r>
        <w:rPr>
          <w:position w:val="2"/>
        </w:rPr>
        <w:t>）</w:t>
      </w:r>
      <w:r>
        <w:rPr>
          <w:rFonts w:ascii="Times New Roman" w:eastAsia="Times New Roman"/>
          <w:position w:val="2"/>
        </w:rPr>
        <w:t>PM</w:t>
      </w:r>
      <w:r>
        <w:rPr>
          <w:rFonts w:ascii="Times New Roman" w:eastAsia="Times New Roman"/>
          <w:position w:val="2"/>
          <w:vertAlign w:val="subscript"/>
        </w:rPr>
        <w:t>10</w:t>
      </w:r>
    </w:p>
    <w:p w14:paraId="5C4B6A05">
      <w:pPr>
        <w:pStyle w:val="9"/>
        <w:spacing w:before="79"/>
      </w:pPr>
      <w:r>
        <w:rPr>
          <w:position w:val="2"/>
        </w:rPr>
        <w:t xml:space="preserve">本项目新增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非正常排放网格点贡献值预测结果见下表：</w:t>
      </w:r>
    </w:p>
    <w:p w14:paraId="05B682F4">
      <w:pPr>
        <w:pStyle w:val="9"/>
        <w:tabs>
          <w:tab w:val="left" w:pos="5947"/>
        </w:tabs>
        <w:spacing w:before="77"/>
        <w:ind w:left="4787"/>
      </w:pPr>
      <w:r>
        <w:rPr>
          <w:position w:val="2"/>
        </w:rPr>
        <w:t>表</w:t>
      </w:r>
      <w:r>
        <w:rPr>
          <w:spacing w:val="-62"/>
          <w:position w:val="2"/>
        </w:rPr>
        <w:t xml:space="preserve"> </w:t>
      </w:r>
      <w:r>
        <w:rPr>
          <w:rFonts w:ascii="Times New Roman" w:eastAsia="Times New Roman"/>
          <w:position w:val="2"/>
        </w:rPr>
        <w:t>4.1-23</w:t>
      </w:r>
      <w:r>
        <w:rPr>
          <w:rFonts w:ascii="Times New Roman" w:eastAsia="Times New Roman"/>
          <w:position w:val="2"/>
        </w:rPr>
        <w:tab/>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spacing w:val="-23"/>
          <w:position w:val="2"/>
          <w:vertAlign w:val="baseline"/>
        </w:rPr>
        <w:t xml:space="preserve"> </w:t>
      </w:r>
      <w:r>
        <w:rPr>
          <w:position w:val="2"/>
          <w:vertAlign w:val="baseline"/>
        </w:rPr>
        <w:t>非正常排放网格点贡献值预测结果</w:t>
      </w:r>
    </w:p>
    <w:tbl>
      <w:tblPr>
        <w:tblStyle w:val="13"/>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1265"/>
        <w:gridCol w:w="771"/>
        <w:gridCol w:w="772"/>
        <w:gridCol w:w="921"/>
        <w:gridCol w:w="1035"/>
        <w:gridCol w:w="1259"/>
        <w:gridCol w:w="1317"/>
        <w:gridCol w:w="1230"/>
        <w:gridCol w:w="1725"/>
        <w:gridCol w:w="1230"/>
        <w:gridCol w:w="1517"/>
        <w:gridCol w:w="712"/>
      </w:tblGrid>
      <w:tr w14:paraId="766C5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4" w:type="dxa"/>
            <w:vMerge w:val="restart"/>
            <w:tcBorders>
              <w:left w:val="nil"/>
            </w:tcBorders>
          </w:tcPr>
          <w:p w14:paraId="6304D18B">
            <w:pPr>
              <w:pStyle w:val="17"/>
              <w:spacing w:before="149" w:line="244" w:lineRule="auto"/>
              <w:ind w:left="132" w:right="115"/>
              <w:jc w:val="left"/>
              <w:rPr>
                <w:sz w:val="21"/>
              </w:rPr>
            </w:pPr>
            <w:r>
              <w:rPr>
                <w:sz w:val="21"/>
              </w:rPr>
              <w:t>序号</w:t>
            </w:r>
          </w:p>
        </w:tc>
        <w:tc>
          <w:tcPr>
            <w:tcW w:w="1265" w:type="dxa"/>
            <w:vMerge w:val="restart"/>
          </w:tcPr>
          <w:p w14:paraId="3F89F63B">
            <w:pPr>
              <w:pStyle w:val="17"/>
              <w:spacing w:before="4"/>
              <w:jc w:val="left"/>
              <w:rPr>
                <w:b/>
                <w:sz w:val="22"/>
              </w:rPr>
            </w:pPr>
          </w:p>
          <w:p w14:paraId="45345A68">
            <w:pPr>
              <w:pStyle w:val="17"/>
              <w:ind w:left="316"/>
              <w:jc w:val="left"/>
              <w:rPr>
                <w:sz w:val="21"/>
              </w:rPr>
            </w:pPr>
            <w:r>
              <w:rPr>
                <w:sz w:val="21"/>
              </w:rPr>
              <w:t>点名称</w:t>
            </w:r>
          </w:p>
        </w:tc>
        <w:tc>
          <w:tcPr>
            <w:tcW w:w="1543" w:type="dxa"/>
            <w:gridSpan w:val="2"/>
          </w:tcPr>
          <w:p w14:paraId="7CFE4C1A">
            <w:pPr>
              <w:pStyle w:val="17"/>
              <w:spacing w:before="3"/>
              <w:ind w:left="50" w:right="43"/>
              <w:rPr>
                <w:rFonts w:ascii="Times New Roman" w:eastAsia="Times New Roman"/>
                <w:sz w:val="21"/>
              </w:rPr>
            </w:pPr>
            <w:r>
              <w:rPr>
                <w:sz w:val="21"/>
              </w:rPr>
              <w:t>点坐标</w:t>
            </w:r>
            <w:r>
              <w:rPr>
                <w:rFonts w:ascii="Times New Roman" w:eastAsia="Times New Roman"/>
                <w:sz w:val="21"/>
              </w:rPr>
              <w:t xml:space="preserve">(x </w:t>
            </w:r>
            <w:r>
              <w:rPr>
                <w:sz w:val="21"/>
              </w:rPr>
              <w:t xml:space="preserve">或 </w:t>
            </w:r>
            <w:r>
              <w:rPr>
                <w:rFonts w:ascii="Times New Roman" w:eastAsia="Times New Roman"/>
                <w:sz w:val="21"/>
              </w:rPr>
              <w:t>r,y</w:t>
            </w:r>
          </w:p>
          <w:p w14:paraId="0CA41FC6">
            <w:pPr>
              <w:pStyle w:val="17"/>
              <w:spacing w:before="2" w:line="251" w:lineRule="exact"/>
              <w:ind w:left="50" w:right="42"/>
              <w:rPr>
                <w:rFonts w:ascii="Times New Roman" w:eastAsia="Times New Roman"/>
                <w:sz w:val="21"/>
              </w:rPr>
            </w:pPr>
            <w:r>
              <w:rPr>
                <w:sz w:val="21"/>
              </w:rPr>
              <w:t xml:space="preserve">或 </w:t>
            </w:r>
            <w:r>
              <w:rPr>
                <w:rFonts w:ascii="Times New Roman" w:eastAsia="Times New Roman"/>
                <w:sz w:val="21"/>
              </w:rPr>
              <w:t>a)</w:t>
            </w:r>
          </w:p>
        </w:tc>
        <w:tc>
          <w:tcPr>
            <w:tcW w:w="921" w:type="dxa"/>
            <w:vMerge w:val="restart"/>
          </w:tcPr>
          <w:p w14:paraId="56827039">
            <w:pPr>
              <w:pStyle w:val="17"/>
              <w:spacing w:before="149" w:line="244" w:lineRule="auto"/>
              <w:ind w:left="203" w:right="134" w:hanging="58"/>
              <w:jc w:val="left"/>
              <w:rPr>
                <w:rFonts w:ascii="Times New Roman" w:eastAsia="Times New Roman"/>
                <w:sz w:val="21"/>
              </w:rPr>
            </w:pPr>
            <w:r>
              <w:rPr>
                <w:sz w:val="21"/>
              </w:rPr>
              <w:t>地面高程</w:t>
            </w:r>
            <w:r>
              <w:rPr>
                <w:rFonts w:ascii="Times New Roman" w:eastAsia="Times New Roman"/>
                <w:sz w:val="21"/>
              </w:rPr>
              <w:t>(m)</w:t>
            </w:r>
          </w:p>
        </w:tc>
        <w:tc>
          <w:tcPr>
            <w:tcW w:w="1035" w:type="dxa"/>
            <w:vMerge w:val="restart"/>
          </w:tcPr>
          <w:p w14:paraId="3D96A218">
            <w:pPr>
              <w:pStyle w:val="17"/>
              <w:spacing w:before="149" w:line="244" w:lineRule="auto"/>
              <w:ind w:left="412" w:right="192" w:hanging="212"/>
              <w:jc w:val="left"/>
              <w:rPr>
                <w:sz w:val="21"/>
              </w:rPr>
            </w:pPr>
            <w:r>
              <w:rPr>
                <w:sz w:val="21"/>
              </w:rPr>
              <w:t>浓度类型</w:t>
            </w:r>
          </w:p>
        </w:tc>
        <w:tc>
          <w:tcPr>
            <w:tcW w:w="1259" w:type="dxa"/>
            <w:vMerge w:val="restart"/>
          </w:tcPr>
          <w:p w14:paraId="6AEB3FA1">
            <w:pPr>
              <w:pStyle w:val="17"/>
              <w:spacing w:before="149"/>
              <w:ind w:left="208"/>
              <w:jc w:val="left"/>
              <w:rPr>
                <w:sz w:val="21"/>
              </w:rPr>
            </w:pPr>
            <w:r>
              <w:rPr>
                <w:w w:val="95"/>
                <w:sz w:val="21"/>
              </w:rPr>
              <w:t>浓度增量</w:t>
            </w:r>
          </w:p>
          <w:p w14:paraId="3CAB0A0F">
            <w:pPr>
              <w:pStyle w:val="17"/>
              <w:spacing w:before="5"/>
              <w:ind w:left="188"/>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317" w:type="dxa"/>
            <w:vMerge w:val="restart"/>
          </w:tcPr>
          <w:p w14:paraId="2517BD8D">
            <w:pPr>
              <w:pStyle w:val="17"/>
              <w:spacing w:before="46"/>
              <w:ind w:left="106" w:right="98"/>
              <w:rPr>
                <w:rFonts w:ascii="Times New Roman" w:eastAsia="Times New Roman"/>
                <w:sz w:val="21"/>
              </w:rPr>
            </w:pPr>
            <w:r>
              <w:rPr>
                <w:sz w:val="21"/>
              </w:rPr>
              <w:t>出现时间</w:t>
            </w:r>
            <w:r>
              <w:rPr>
                <w:rFonts w:ascii="Times New Roman" w:eastAsia="Times New Roman"/>
                <w:w w:val="95"/>
                <w:sz w:val="21"/>
              </w:rPr>
              <w:t xml:space="preserve">(YYMMDD </w:t>
            </w:r>
            <w:r>
              <w:rPr>
                <w:rFonts w:ascii="Times New Roman" w:eastAsia="Times New Roman"/>
                <w:sz w:val="21"/>
              </w:rPr>
              <w:t>HH)</w:t>
            </w:r>
          </w:p>
        </w:tc>
        <w:tc>
          <w:tcPr>
            <w:tcW w:w="1230" w:type="dxa"/>
            <w:vMerge w:val="restart"/>
          </w:tcPr>
          <w:p w14:paraId="1F377F44">
            <w:pPr>
              <w:pStyle w:val="17"/>
              <w:spacing w:before="149"/>
              <w:ind w:left="195"/>
              <w:jc w:val="left"/>
              <w:rPr>
                <w:sz w:val="21"/>
              </w:rPr>
            </w:pPr>
            <w:r>
              <w:rPr>
                <w:w w:val="95"/>
                <w:sz w:val="21"/>
              </w:rPr>
              <w:t>背景浓度</w:t>
            </w:r>
          </w:p>
          <w:p w14:paraId="7508D0E8">
            <w:pPr>
              <w:pStyle w:val="17"/>
              <w:spacing w:before="5"/>
              <w:ind w:left="173"/>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725" w:type="dxa"/>
            <w:vMerge w:val="restart"/>
          </w:tcPr>
          <w:p w14:paraId="26F264CE">
            <w:pPr>
              <w:pStyle w:val="17"/>
              <w:spacing w:before="149" w:line="244" w:lineRule="auto"/>
              <w:ind w:left="316" w:right="117" w:hanging="190"/>
              <w:jc w:val="left"/>
              <w:rPr>
                <w:rFonts w:ascii="Times New Roman" w:hAnsi="Times New Roman" w:eastAsia="Times New Roman"/>
                <w:sz w:val="21"/>
              </w:rPr>
            </w:pPr>
            <w:r>
              <w:rPr>
                <w:w w:val="95"/>
                <w:sz w:val="21"/>
              </w:rPr>
              <w:t>叠加背景后的浓</w:t>
            </w:r>
            <w:r>
              <w:rPr>
                <w:sz w:val="21"/>
              </w:rPr>
              <w:t>度</w:t>
            </w:r>
            <w:r>
              <w:rPr>
                <w:rFonts w:ascii="Times New Roman" w:hAnsi="Times New Roman" w:eastAsia="Times New Roman"/>
                <w:sz w:val="21"/>
              </w:rPr>
              <w:t>(</w:t>
            </w:r>
            <w:r>
              <w:rPr>
                <w:sz w:val="21"/>
              </w:rPr>
              <w:t>μ</w:t>
            </w:r>
            <w:r>
              <w:rPr>
                <w:rFonts w:ascii="Times New Roman" w:hAnsi="Times New Roman" w:eastAsia="Times New Roman"/>
                <w:sz w:val="21"/>
              </w:rPr>
              <w:t>g/m^3)</w:t>
            </w:r>
          </w:p>
        </w:tc>
        <w:tc>
          <w:tcPr>
            <w:tcW w:w="1230" w:type="dxa"/>
            <w:vMerge w:val="restart"/>
          </w:tcPr>
          <w:p w14:paraId="34D53E3B">
            <w:pPr>
              <w:pStyle w:val="17"/>
              <w:spacing w:before="149"/>
              <w:ind w:left="194"/>
              <w:jc w:val="left"/>
              <w:rPr>
                <w:sz w:val="21"/>
              </w:rPr>
            </w:pPr>
            <w:r>
              <w:rPr>
                <w:w w:val="95"/>
                <w:sz w:val="21"/>
              </w:rPr>
              <w:t>评价标准</w:t>
            </w:r>
          </w:p>
          <w:p w14:paraId="5ED2BB02">
            <w:pPr>
              <w:pStyle w:val="17"/>
              <w:spacing w:before="5"/>
              <w:ind w:left="175"/>
              <w:jc w:val="left"/>
              <w:rPr>
                <w:rFonts w:ascii="Times New Roman" w:hAnsi="Times New Roman"/>
                <w:sz w:val="21"/>
              </w:rPr>
            </w:pPr>
            <w:r>
              <w:rPr>
                <w:rFonts w:ascii="Times New Roman" w:hAnsi="Times New Roman"/>
                <w:sz w:val="21"/>
              </w:rPr>
              <w:t>(</w:t>
            </w:r>
            <w:r>
              <w:rPr>
                <w:sz w:val="21"/>
              </w:rPr>
              <w:t>μ</w:t>
            </w:r>
            <w:r>
              <w:rPr>
                <w:rFonts w:ascii="Times New Roman" w:hAnsi="Times New Roman"/>
                <w:sz w:val="21"/>
              </w:rPr>
              <w:t>g/m^3)</w:t>
            </w:r>
          </w:p>
        </w:tc>
        <w:tc>
          <w:tcPr>
            <w:tcW w:w="1517" w:type="dxa"/>
            <w:vMerge w:val="restart"/>
          </w:tcPr>
          <w:p w14:paraId="462BDD8B">
            <w:pPr>
              <w:pStyle w:val="17"/>
              <w:spacing w:before="152" w:line="242" w:lineRule="auto"/>
              <w:ind w:left="301" w:right="101" w:hanging="192"/>
              <w:jc w:val="left"/>
              <w:rPr>
                <w:rFonts w:ascii="Times New Roman" w:eastAsia="Times New Roman"/>
                <w:sz w:val="21"/>
              </w:rPr>
            </w:pPr>
            <w:r>
              <w:rPr>
                <w:sz w:val="21"/>
              </w:rPr>
              <w:t>占标率</w:t>
            </w:r>
            <w:r>
              <w:rPr>
                <w:rFonts w:ascii="Times New Roman" w:eastAsia="Times New Roman"/>
                <w:sz w:val="21"/>
              </w:rPr>
              <w:t>%(</w:t>
            </w:r>
            <w:r>
              <w:rPr>
                <w:sz w:val="21"/>
              </w:rPr>
              <w:t>叠加背景以后</w:t>
            </w:r>
            <w:r>
              <w:rPr>
                <w:rFonts w:ascii="Times New Roman" w:eastAsia="Times New Roman"/>
                <w:sz w:val="21"/>
              </w:rPr>
              <w:t>)</w:t>
            </w:r>
          </w:p>
        </w:tc>
        <w:tc>
          <w:tcPr>
            <w:tcW w:w="712" w:type="dxa"/>
            <w:vMerge w:val="restart"/>
            <w:tcBorders>
              <w:right w:val="nil"/>
            </w:tcBorders>
          </w:tcPr>
          <w:p w14:paraId="48F1141C">
            <w:pPr>
              <w:pStyle w:val="17"/>
              <w:spacing w:before="149" w:line="244" w:lineRule="auto"/>
              <w:ind w:left="145" w:right="141"/>
              <w:jc w:val="left"/>
              <w:rPr>
                <w:sz w:val="21"/>
              </w:rPr>
            </w:pPr>
            <w:r>
              <w:rPr>
                <w:w w:val="95"/>
                <w:sz w:val="21"/>
              </w:rPr>
              <w:t>是否超标</w:t>
            </w:r>
          </w:p>
        </w:tc>
      </w:tr>
      <w:tr w14:paraId="4F383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64" w:type="dxa"/>
            <w:vMerge w:val="continue"/>
            <w:tcBorders>
              <w:top w:val="nil"/>
              <w:left w:val="nil"/>
            </w:tcBorders>
          </w:tcPr>
          <w:p w14:paraId="6A40DA0D">
            <w:pPr>
              <w:rPr>
                <w:sz w:val="2"/>
                <w:szCs w:val="2"/>
              </w:rPr>
            </w:pPr>
          </w:p>
        </w:tc>
        <w:tc>
          <w:tcPr>
            <w:tcW w:w="1265" w:type="dxa"/>
            <w:vMerge w:val="continue"/>
            <w:tcBorders>
              <w:top w:val="nil"/>
            </w:tcBorders>
          </w:tcPr>
          <w:p w14:paraId="118BB110">
            <w:pPr>
              <w:rPr>
                <w:sz w:val="2"/>
                <w:szCs w:val="2"/>
              </w:rPr>
            </w:pPr>
          </w:p>
        </w:tc>
        <w:tc>
          <w:tcPr>
            <w:tcW w:w="771" w:type="dxa"/>
          </w:tcPr>
          <w:p w14:paraId="3B970892">
            <w:pPr>
              <w:pStyle w:val="17"/>
              <w:spacing w:before="23"/>
              <w:ind w:left="7"/>
              <w:rPr>
                <w:rFonts w:ascii="Times New Roman"/>
                <w:sz w:val="21"/>
              </w:rPr>
            </w:pPr>
            <w:r>
              <w:rPr>
                <w:rFonts w:ascii="Times New Roman"/>
                <w:w w:val="99"/>
                <w:sz w:val="21"/>
              </w:rPr>
              <w:t>X</w:t>
            </w:r>
          </w:p>
        </w:tc>
        <w:tc>
          <w:tcPr>
            <w:tcW w:w="772" w:type="dxa"/>
          </w:tcPr>
          <w:p w14:paraId="5EE7F742">
            <w:pPr>
              <w:pStyle w:val="17"/>
              <w:spacing w:before="23"/>
              <w:ind w:left="10"/>
              <w:rPr>
                <w:rFonts w:ascii="Times New Roman"/>
                <w:sz w:val="21"/>
              </w:rPr>
            </w:pPr>
            <w:r>
              <w:rPr>
                <w:rFonts w:ascii="Times New Roman"/>
                <w:w w:val="99"/>
                <w:sz w:val="21"/>
              </w:rPr>
              <w:t>Y</w:t>
            </w:r>
          </w:p>
        </w:tc>
        <w:tc>
          <w:tcPr>
            <w:tcW w:w="921" w:type="dxa"/>
            <w:vMerge w:val="continue"/>
            <w:tcBorders>
              <w:top w:val="nil"/>
            </w:tcBorders>
          </w:tcPr>
          <w:p w14:paraId="61B1420D">
            <w:pPr>
              <w:rPr>
                <w:sz w:val="2"/>
                <w:szCs w:val="2"/>
              </w:rPr>
            </w:pPr>
          </w:p>
        </w:tc>
        <w:tc>
          <w:tcPr>
            <w:tcW w:w="1035" w:type="dxa"/>
            <w:vMerge w:val="continue"/>
            <w:tcBorders>
              <w:top w:val="nil"/>
            </w:tcBorders>
          </w:tcPr>
          <w:p w14:paraId="6085230E">
            <w:pPr>
              <w:rPr>
                <w:sz w:val="2"/>
                <w:szCs w:val="2"/>
              </w:rPr>
            </w:pPr>
          </w:p>
        </w:tc>
        <w:tc>
          <w:tcPr>
            <w:tcW w:w="1259" w:type="dxa"/>
            <w:vMerge w:val="continue"/>
            <w:tcBorders>
              <w:top w:val="nil"/>
            </w:tcBorders>
          </w:tcPr>
          <w:p w14:paraId="37A63320">
            <w:pPr>
              <w:rPr>
                <w:sz w:val="2"/>
                <w:szCs w:val="2"/>
              </w:rPr>
            </w:pPr>
          </w:p>
        </w:tc>
        <w:tc>
          <w:tcPr>
            <w:tcW w:w="1317" w:type="dxa"/>
            <w:vMerge w:val="continue"/>
            <w:tcBorders>
              <w:top w:val="nil"/>
            </w:tcBorders>
          </w:tcPr>
          <w:p w14:paraId="086AB7FB">
            <w:pPr>
              <w:rPr>
                <w:sz w:val="2"/>
                <w:szCs w:val="2"/>
              </w:rPr>
            </w:pPr>
          </w:p>
        </w:tc>
        <w:tc>
          <w:tcPr>
            <w:tcW w:w="1230" w:type="dxa"/>
            <w:vMerge w:val="continue"/>
            <w:tcBorders>
              <w:top w:val="nil"/>
            </w:tcBorders>
          </w:tcPr>
          <w:p w14:paraId="435F0763">
            <w:pPr>
              <w:rPr>
                <w:sz w:val="2"/>
                <w:szCs w:val="2"/>
              </w:rPr>
            </w:pPr>
          </w:p>
        </w:tc>
        <w:tc>
          <w:tcPr>
            <w:tcW w:w="1725" w:type="dxa"/>
            <w:vMerge w:val="continue"/>
            <w:tcBorders>
              <w:top w:val="nil"/>
            </w:tcBorders>
          </w:tcPr>
          <w:p w14:paraId="3FBEFA63">
            <w:pPr>
              <w:rPr>
                <w:sz w:val="2"/>
                <w:szCs w:val="2"/>
              </w:rPr>
            </w:pPr>
          </w:p>
        </w:tc>
        <w:tc>
          <w:tcPr>
            <w:tcW w:w="1230" w:type="dxa"/>
            <w:vMerge w:val="continue"/>
            <w:tcBorders>
              <w:top w:val="nil"/>
            </w:tcBorders>
          </w:tcPr>
          <w:p w14:paraId="0FAB0866">
            <w:pPr>
              <w:rPr>
                <w:sz w:val="2"/>
                <w:szCs w:val="2"/>
              </w:rPr>
            </w:pPr>
          </w:p>
        </w:tc>
        <w:tc>
          <w:tcPr>
            <w:tcW w:w="1517" w:type="dxa"/>
            <w:vMerge w:val="continue"/>
            <w:tcBorders>
              <w:top w:val="nil"/>
            </w:tcBorders>
          </w:tcPr>
          <w:p w14:paraId="46F03CD4">
            <w:pPr>
              <w:rPr>
                <w:sz w:val="2"/>
                <w:szCs w:val="2"/>
              </w:rPr>
            </w:pPr>
          </w:p>
        </w:tc>
        <w:tc>
          <w:tcPr>
            <w:tcW w:w="712" w:type="dxa"/>
            <w:vMerge w:val="continue"/>
            <w:tcBorders>
              <w:top w:val="nil"/>
              <w:right w:val="nil"/>
            </w:tcBorders>
          </w:tcPr>
          <w:p w14:paraId="481F1EA8">
            <w:pPr>
              <w:rPr>
                <w:sz w:val="2"/>
                <w:szCs w:val="2"/>
              </w:rPr>
            </w:pPr>
          </w:p>
        </w:tc>
      </w:tr>
      <w:tr w14:paraId="13C7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44CB5958">
            <w:pPr>
              <w:pStyle w:val="17"/>
              <w:spacing w:before="33"/>
              <w:ind w:right="169"/>
              <w:jc w:val="right"/>
              <w:rPr>
                <w:rFonts w:ascii="Times New Roman"/>
                <w:sz w:val="21"/>
              </w:rPr>
            </w:pPr>
            <w:r>
              <w:rPr>
                <w:rFonts w:ascii="Times New Roman"/>
                <w:w w:val="99"/>
                <w:sz w:val="21"/>
              </w:rPr>
              <w:t>1</w:t>
            </w:r>
          </w:p>
        </w:tc>
        <w:tc>
          <w:tcPr>
            <w:tcW w:w="1265" w:type="dxa"/>
          </w:tcPr>
          <w:p w14:paraId="7A5860D3">
            <w:pPr>
              <w:pStyle w:val="17"/>
              <w:spacing w:before="19"/>
              <w:ind w:left="189" w:right="183"/>
              <w:rPr>
                <w:sz w:val="21"/>
              </w:rPr>
            </w:pPr>
            <w:r>
              <w:rPr>
                <w:sz w:val="21"/>
              </w:rPr>
              <w:t>新书村</w:t>
            </w:r>
          </w:p>
        </w:tc>
        <w:tc>
          <w:tcPr>
            <w:tcW w:w="771" w:type="dxa"/>
          </w:tcPr>
          <w:p w14:paraId="5439D666">
            <w:pPr>
              <w:pStyle w:val="17"/>
              <w:spacing w:before="33"/>
              <w:ind w:right="182"/>
              <w:jc w:val="right"/>
              <w:rPr>
                <w:rFonts w:ascii="Times New Roman"/>
                <w:sz w:val="21"/>
              </w:rPr>
            </w:pPr>
            <w:r>
              <w:rPr>
                <w:rFonts w:ascii="Times New Roman"/>
                <w:sz w:val="21"/>
              </w:rPr>
              <w:t>-691</w:t>
            </w:r>
          </w:p>
        </w:tc>
        <w:tc>
          <w:tcPr>
            <w:tcW w:w="772" w:type="dxa"/>
          </w:tcPr>
          <w:p w14:paraId="6E8EF0A6">
            <w:pPr>
              <w:pStyle w:val="17"/>
              <w:spacing w:before="33"/>
              <w:ind w:right="181"/>
              <w:jc w:val="right"/>
              <w:rPr>
                <w:rFonts w:ascii="Times New Roman"/>
                <w:sz w:val="21"/>
              </w:rPr>
            </w:pPr>
            <w:r>
              <w:rPr>
                <w:rFonts w:ascii="Times New Roman"/>
                <w:w w:val="95"/>
                <w:sz w:val="21"/>
              </w:rPr>
              <w:t>-158</w:t>
            </w:r>
          </w:p>
        </w:tc>
        <w:tc>
          <w:tcPr>
            <w:tcW w:w="921" w:type="dxa"/>
          </w:tcPr>
          <w:p w14:paraId="3C1B2044">
            <w:pPr>
              <w:pStyle w:val="17"/>
              <w:spacing w:before="33"/>
              <w:ind w:left="203" w:right="195"/>
              <w:rPr>
                <w:rFonts w:ascii="Times New Roman"/>
                <w:sz w:val="21"/>
              </w:rPr>
            </w:pPr>
            <w:r>
              <w:rPr>
                <w:rFonts w:ascii="Times New Roman"/>
                <w:sz w:val="21"/>
              </w:rPr>
              <w:t>64.83</w:t>
            </w:r>
          </w:p>
        </w:tc>
        <w:tc>
          <w:tcPr>
            <w:tcW w:w="1035" w:type="dxa"/>
          </w:tcPr>
          <w:p w14:paraId="139E2C2F">
            <w:pPr>
              <w:pStyle w:val="17"/>
              <w:spacing w:before="19"/>
              <w:ind w:left="168" w:right="164"/>
              <w:rPr>
                <w:sz w:val="21"/>
              </w:rPr>
            </w:pPr>
            <w:r>
              <w:rPr>
                <w:rFonts w:ascii="Times New Roman" w:eastAsia="Times New Roman"/>
                <w:sz w:val="21"/>
              </w:rPr>
              <w:t xml:space="preserve">1 </w:t>
            </w:r>
            <w:r>
              <w:rPr>
                <w:sz w:val="21"/>
              </w:rPr>
              <w:t>小时</w:t>
            </w:r>
          </w:p>
        </w:tc>
        <w:tc>
          <w:tcPr>
            <w:tcW w:w="1259" w:type="dxa"/>
          </w:tcPr>
          <w:p w14:paraId="02695FEA">
            <w:pPr>
              <w:pStyle w:val="17"/>
              <w:spacing w:before="33"/>
              <w:ind w:left="188" w:right="180"/>
              <w:rPr>
                <w:rFonts w:ascii="Times New Roman"/>
                <w:sz w:val="21"/>
              </w:rPr>
            </w:pPr>
            <w:r>
              <w:rPr>
                <w:rFonts w:ascii="Times New Roman"/>
                <w:sz w:val="21"/>
              </w:rPr>
              <w:t>2.54E+01</w:t>
            </w:r>
          </w:p>
        </w:tc>
        <w:tc>
          <w:tcPr>
            <w:tcW w:w="1317" w:type="dxa"/>
          </w:tcPr>
          <w:p w14:paraId="37CAE1ED">
            <w:pPr>
              <w:pStyle w:val="17"/>
              <w:spacing w:before="33"/>
              <w:ind w:left="108" w:right="98"/>
              <w:rPr>
                <w:rFonts w:ascii="Times New Roman"/>
                <w:sz w:val="21"/>
              </w:rPr>
            </w:pPr>
            <w:r>
              <w:rPr>
                <w:rFonts w:ascii="Times New Roman"/>
                <w:sz w:val="21"/>
              </w:rPr>
              <w:t>23080306</w:t>
            </w:r>
          </w:p>
        </w:tc>
        <w:tc>
          <w:tcPr>
            <w:tcW w:w="1230" w:type="dxa"/>
          </w:tcPr>
          <w:p w14:paraId="0060E17C">
            <w:pPr>
              <w:pStyle w:val="17"/>
              <w:spacing w:before="33"/>
              <w:ind w:left="175" w:right="166"/>
              <w:rPr>
                <w:rFonts w:ascii="Times New Roman"/>
                <w:sz w:val="21"/>
              </w:rPr>
            </w:pPr>
            <w:r>
              <w:rPr>
                <w:rFonts w:ascii="Times New Roman"/>
                <w:sz w:val="21"/>
              </w:rPr>
              <w:t>0.00E+00</w:t>
            </w:r>
          </w:p>
        </w:tc>
        <w:tc>
          <w:tcPr>
            <w:tcW w:w="1725" w:type="dxa"/>
          </w:tcPr>
          <w:p w14:paraId="71893CBA">
            <w:pPr>
              <w:pStyle w:val="17"/>
              <w:spacing w:before="33"/>
              <w:ind w:left="419" w:right="413"/>
              <w:rPr>
                <w:rFonts w:ascii="Times New Roman"/>
                <w:sz w:val="21"/>
              </w:rPr>
            </w:pPr>
            <w:r>
              <w:rPr>
                <w:rFonts w:ascii="Times New Roman"/>
                <w:sz w:val="21"/>
              </w:rPr>
              <w:t>2.54E+01</w:t>
            </w:r>
          </w:p>
        </w:tc>
        <w:tc>
          <w:tcPr>
            <w:tcW w:w="1230" w:type="dxa"/>
          </w:tcPr>
          <w:p w14:paraId="3811E2AF">
            <w:pPr>
              <w:pStyle w:val="17"/>
              <w:spacing w:before="33"/>
              <w:ind w:left="174" w:right="166"/>
              <w:rPr>
                <w:rFonts w:ascii="Times New Roman"/>
                <w:sz w:val="21"/>
              </w:rPr>
            </w:pPr>
            <w:r>
              <w:rPr>
                <w:rFonts w:ascii="Times New Roman"/>
                <w:sz w:val="21"/>
              </w:rPr>
              <w:t>4.50E+02</w:t>
            </w:r>
          </w:p>
        </w:tc>
        <w:tc>
          <w:tcPr>
            <w:tcW w:w="1517" w:type="dxa"/>
          </w:tcPr>
          <w:p w14:paraId="3A470C7A">
            <w:pPr>
              <w:pStyle w:val="17"/>
              <w:spacing w:before="33"/>
              <w:ind w:left="499" w:right="492"/>
              <w:rPr>
                <w:rFonts w:ascii="Times New Roman"/>
                <w:sz w:val="21"/>
              </w:rPr>
            </w:pPr>
            <w:r>
              <w:rPr>
                <w:rFonts w:ascii="Times New Roman"/>
                <w:sz w:val="21"/>
              </w:rPr>
              <w:t>5.65</w:t>
            </w:r>
          </w:p>
        </w:tc>
        <w:tc>
          <w:tcPr>
            <w:tcW w:w="712" w:type="dxa"/>
            <w:tcBorders>
              <w:right w:val="nil"/>
            </w:tcBorders>
          </w:tcPr>
          <w:p w14:paraId="7083E94C">
            <w:pPr>
              <w:pStyle w:val="17"/>
              <w:spacing w:before="19"/>
              <w:ind w:left="122" w:right="121"/>
              <w:rPr>
                <w:sz w:val="21"/>
              </w:rPr>
            </w:pPr>
            <w:r>
              <w:rPr>
                <w:sz w:val="21"/>
              </w:rPr>
              <w:t>达标</w:t>
            </w:r>
          </w:p>
        </w:tc>
      </w:tr>
      <w:tr w14:paraId="302DA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67F18221">
            <w:pPr>
              <w:pStyle w:val="17"/>
              <w:spacing w:before="35"/>
              <w:ind w:right="169"/>
              <w:jc w:val="right"/>
              <w:rPr>
                <w:rFonts w:ascii="Times New Roman"/>
                <w:sz w:val="21"/>
              </w:rPr>
            </w:pPr>
            <w:r>
              <w:rPr>
                <w:rFonts w:ascii="Times New Roman"/>
                <w:w w:val="99"/>
                <w:sz w:val="21"/>
              </w:rPr>
              <w:t>2</w:t>
            </w:r>
          </w:p>
        </w:tc>
        <w:tc>
          <w:tcPr>
            <w:tcW w:w="1265" w:type="dxa"/>
          </w:tcPr>
          <w:p w14:paraId="04D628D2">
            <w:pPr>
              <w:pStyle w:val="17"/>
              <w:spacing w:before="21"/>
              <w:ind w:left="189" w:right="183"/>
              <w:rPr>
                <w:sz w:val="21"/>
              </w:rPr>
            </w:pPr>
            <w:r>
              <w:rPr>
                <w:sz w:val="21"/>
              </w:rPr>
              <w:t>八里村</w:t>
            </w:r>
          </w:p>
        </w:tc>
        <w:tc>
          <w:tcPr>
            <w:tcW w:w="771" w:type="dxa"/>
          </w:tcPr>
          <w:p w14:paraId="03F26368">
            <w:pPr>
              <w:pStyle w:val="17"/>
              <w:spacing w:before="35"/>
              <w:ind w:right="182"/>
              <w:jc w:val="right"/>
              <w:rPr>
                <w:rFonts w:ascii="Times New Roman"/>
                <w:sz w:val="21"/>
              </w:rPr>
            </w:pPr>
            <w:r>
              <w:rPr>
                <w:rFonts w:ascii="Times New Roman"/>
                <w:sz w:val="21"/>
              </w:rPr>
              <w:t>-698</w:t>
            </w:r>
          </w:p>
        </w:tc>
        <w:tc>
          <w:tcPr>
            <w:tcW w:w="772" w:type="dxa"/>
          </w:tcPr>
          <w:p w14:paraId="59ACA843">
            <w:pPr>
              <w:pStyle w:val="17"/>
              <w:spacing w:before="35"/>
              <w:ind w:right="181"/>
              <w:jc w:val="right"/>
              <w:rPr>
                <w:rFonts w:ascii="Times New Roman"/>
                <w:sz w:val="21"/>
              </w:rPr>
            </w:pPr>
            <w:r>
              <w:rPr>
                <w:rFonts w:ascii="Times New Roman"/>
                <w:w w:val="95"/>
                <w:sz w:val="21"/>
              </w:rPr>
              <w:t>-255</w:t>
            </w:r>
          </w:p>
        </w:tc>
        <w:tc>
          <w:tcPr>
            <w:tcW w:w="921" w:type="dxa"/>
          </w:tcPr>
          <w:p w14:paraId="1FCF9D16">
            <w:pPr>
              <w:pStyle w:val="17"/>
              <w:spacing w:before="35"/>
              <w:ind w:left="203" w:right="195"/>
              <w:rPr>
                <w:rFonts w:ascii="Times New Roman"/>
                <w:sz w:val="21"/>
              </w:rPr>
            </w:pPr>
            <w:r>
              <w:rPr>
                <w:rFonts w:ascii="Times New Roman"/>
                <w:sz w:val="21"/>
              </w:rPr>
              <w:t>63.63</w:t>
            </w:r>
          </w:p>
        </w:tc>
        <w:tc>
          <w:tcPr>
            <w:tcW w:w="1035" w:type="dxa"/>
          </w:tcPr>
          <w:p w14:paraId="44378037">
            <w:pPr>
              <w:pStyle w:val="17"/>
              <w:spacing w:before="21"/>
              <w:ind w:left="168" w:right="164"/>
              <w:rPr>
                <w:sz w:val="21"/>
              </w:rPr>
            </w:pPr>
            <w:r>
              <w:rPr>
                <w:rFonts w:ascii="Times New Roman" w:eastAsia="Times New Roman"/>
                <w:sz w:val="21"/>
              </w:rPr>
              <w:t xml:space="preserve">1 </w:t>
            </w:r>
            <w:r>
              <w:rPr>
                <w:sz w:val="21"/>
              </w:rPr>
              <w:t>小时</w:t>
            </w:r>
          </w:p>
        </w:tc>
        <w:tc>
          <w:tcPr>
            <w:tcW w:w="1259" w:type="dxa"/>
          </w:tcPr>
          <w:p w14:paraId="3E3E5098">
            <w:pPr>
              <w:pStyle w:val="17"/>
              <w:spacing w:before="35"/>
              <w:ind w:left="188" w:right="180"/>
              <w:rPr>
                <w:rFonts w:ascii="Times New Roman"/>
                <w:sz w:val="21"/>
              </w:rPr>
            </w:pPr>
            <w:r>
              <w:rPr>
                <w:rFonts w:ascii="Times New Roman"/>
                <w:sz w:val="21"/>
              </w:rPr>
              <w:t>1.97E+01</w:t>
            </w:r>
          </w:p>
        </w:tc>
        <w:tc>
          <w:tcPr>
            <w:tcW w:w="1317" w:type="dxa"/>
          </w:tcPr>
          <w:p w14:paraId="566CA935">
            <w:pPr>
              <w:pStyle w:val="17"/>
              <w:spacing w:before="35"/>
              <w:ind w:left="108" w:right="98"/>
              <w:rPr>
                <w:rFonts w:ascii="Times New Roman"/>
                <w:sz w:val="21"/>
              </w:rPr>
            </w:pPr>
            <w:r>
              <w:rPr>
                <w:rFonts w:ascii="Times New Roman"/>
                <w:sz w:val="21"/>
              </w:rPr>
              <w:t>23081505</w:t>
            </w:r>
          </w:p>
        </w:tc>
        <w:tc>
          <w:tcPr>
            <w:tcW w:w="1230" w:type="dxa"/>
          </w:tcPr>
          <w:p w14:paraId="5635DBBE">
            <w:pPr>
              <w:pStyle w:val="17"/>
              <w:spacing w:before="35"/>
              <w:ind w:left="175" w:right="166"/>
              <w:rPr>
                <w:rFonts w:ascii="Times New Roman"/>
                <w:sz w:val="21"/>
              </w:rPr>
            </w:pPr>
            <w:r>
              <w:rPr>
                <w:rFonts w:ascii="Times New Roman"/>
                <w:sz w:val="21"/>
              </w:rPr>
              <w:t>0.00E+00</w:t>
            </w:r>
          </w:p>
        </w:tc>
        <w:tc>
          <w:tcPr>
            <w:tcW w:w="1725" w:type="dxa"/>
          </w:tcPr>
          <w:p w14:paraId="7B356A9E">
            <w:pPr>
              <w:pStyle w:val="17"/>
              <w:spacing w:before="35"/>
              <w:ind w:left="419" w:right="413"/>
              <w:rPr>
                <w:rFonts w:ascii="Times New Roman"/>
                <w:sz w:val="21"/>
              </w:rPr>
            </w:pPr>
            <w:r>
              <w:rPr>
                <w:rFonts w:ascii="Times New Roman"/>
                <w:sz w:val="21"/>
              </w:rPr>
              <w:t>1.97E+01</w:t>
            </w:r>
          </w:p>
        </w:tc>
        <w:tc>
          <w:tcPr>
            <w:tcW w:w="1230" w:type="dxa"/>
          </w:tcPr>
          <w:p w14:paraId="7274256D">
            <w:pPr>
              <w:pStyle w:val="17"/>
              <w:spacing w:before="35"/>
              <w:ind w:left="174" w:right="166"/>
              <w:rPr>
                <w:rFonts w:ascii="Times New Roman"/>
                <w:sz w:val="21"/>
              </w:rPr>
            </w:pPr>
            <w:r>
              <w:rPr>
                <w:rFonts w:ascii="Times New Roman"/>
                <w:sz w:val="21"/>
              </w:rPr>
              <w:t>4.50E+02</w:t>
            </w:r>
          </w:p>
        </w:tc>
        <w:tc>
          <w:tcPr>
            <w:tcW w:w="1517" w:type="dxa"/>
          </w:tcPr>
          <w:p w14:paraId="61C49959">
            <w:pPr>
              <w:pStyle w:val="17"/>
              <w:spacing w:before="35"/>
              <w:ind w:left="499" w:right="492"/>
              <w:rPr>
                <w:rFonts w:ascii="Times New Roman"/>
                <w:sz w:val="21"/>
              </w:rPr>
            </w:pPr>
            <w:r>
              <w:rPr>
                <w:rFonts w:ascii="Times New Roman"/>
                <w:sz w:val="21"/>
              </w:rPr>
              <w:t>4.37</w:t>
            </w:r>
          </w:p>
        </w:tc>
        <w:tc>
          <w:tcPr>
            <w:tcW w:w="712" w:type="dxa"/>
            <w:tcBorders>
              <w:right w:val="nil"/>
            </w:tcBorders>
          </w:tcPr>
          <w:p w14:paraId="7B93DAEC">
            <w:pPr>
              <w:pStyle w:val="17"/>
              <w:spacing w:before="18"/>
              <w:ind w:left="122" w:right="121"/>
              <w:rPr>
                <w:sz w:val="21"/>
              </w:rPr>
            </w:pPr>
            <w:r>
              <w:rPr>
                <w:sz w:val="21"/>
              </w:rPr>
              <w:t>达标</w:t>
            </w:r>
          </w:p>
        </w:tc>
      </w:tr>
      <w:tr w14:paraId="777DB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5C792E3">
            <w:pPr>
              <w:pStyle w:val="17"/>
              <w:spacing w:before="34"/>
              <w:ind w:right="169"/>
              <w:jc w:val="right"/>
              <w:rPr>
                <w:rFonts w:ascii="Times New Roman"/>
                <w:sz w:val="21"/>
              </w:rPr>
            </w:pPr>
            <w:r>
              <w:rPr>
                <w:rFonts w:ascii="Times New Roman"/>
                <w:w w:val="99"/>
                <w:sz w:val="21"/>
              </w:rPr>
              <w:t>3</w:t>
            </w:r>
          </w:p>
        </w:tc>
        <w:tc>
          <w:tcPr>
            <w:tcW w:w="1265" w:type="dxa"/>
          </w:tcPr>
          <w:p w14:paraId="2632AF5A">
            <w:pPr>
              <w:pStyle w:val="17"/>
              <w:spacing w:before="20"/>
              <w:ind w:left="189" w:right="183"/>
              <w:rPr>
                <w:sz w:val="21"/>
              </w:rPr>
            </w:pPr>
            <w:r>
              <w:rPr>
                <w:sz w:val="21"/>
              </w:rPr>
              <w:t>新桥村</w:t>
            </w:r>
          </w:p>
        </w:tc>
        <w:tc>
          <w:tcPr>
            <w:tcW w:w="771" w:type="dxa"/>
          </w:tcPr>
          <w:p w14:paraId="3E451931">
            <w:pPr>
              <w:pStyle w:val="17"/>
              <w:spacing w:before="34"/>
              <w:ind w:right="182"/>
              <w:jc w:val="right"/>
              <w:rPr>
                <w:rFonts w:ascii="Times New Roman"/>
                <w:sz w:val="21"/>
              </w:rPr>
            </w:pPr>
            <w:r>
              <w:rPr>
                <w:rFonts w:ascii="Times New Roman"/>
                <w:sz w:val="21"/>
              </w:rPr>
              <w:t>-795</w:t>
            </w:r>
          </w:p>
        </w:tc>
        <w:tc>
          <w:tcPr>
            <w:tcW w:w="772" w:type="dxa"/>
          </w:tcPr>
          <w:p w14:paraId="3BD73FB5">
            <w:pPr>
              <w:pStyle w:val="17"/>
              <w:spacing w:before="34"/>
              <w:ind w:right="128"/>
              <w:jc w:val="right"/>
              <w:rPr>
                <w:rFonts w:ascii="Times New Roman"/>
                <w:sz w:val="21"/>
              </w:rPr>
            </w:pPr>
            <w:r>
              <w:rPr>
                <w:rFonts w:ascii="Times New Roman"/>
                <w:w w:val="95"/>
                <w:sz w:val="21"/>
              </w:rPr>
              <w:t>-1454</w:t>
            </w:r>
          </w:p>
        </w:tc>
        <w:tc>
          <w:tcPr>
            <w:tcW w:w="921" w:type="dxa"/>
          </w:tcPr>
          <w:p w14:paraId="24021262">
            <w:pPr>
              <w:pStyle w:val="17"/>
              <w:spacing w:before="34"/>
              <w:ind w:left="203" w:right="195"/>
              <w:rPr>
                <w:rFonts w:ascii="Times New Roman"/>
                <w:sz w:val="21"/>
              </w:rPr>
            </w:pPr>
            <w:r>
              <w:rPr>
                <w:rFonts w:ascii="Times New Roman"/>
                <w:sz w:val="21"/>
              </w:rPr>
              <w:t>68</w:t>
            </w:r>
          </w:p>
        </w:tc>
        <w:tc>
          <w:tcPr>
            <w:tcW w:w="1035" w:type="dxa"/>
          </w:tcPr>
          <w:p w14:paraId="33DF3731">
            <w:pPr>
              <w:pStyle w:val="17"/>
              <w:spacing w:before="20"/>
              <w:ind w:left="168" w:right="164"/>
              <w:rPr>
                <w:sz w:val="21"/>
              </w:rPr>
            </w:pPr>
            <w:r>
              <w:rPr>
                <w:rFonts w:ascii="Times New Roman" w:eastAsia="Times New Roman"/>
                <w:sz w:val="21"/>
              </w:rPr>
              <w:t xml:space="preserve">1 </w:t>
            </w:r>
            <w:r>
              <w:rPr>
                <w:sz w:val="21"/>
              </w:rPr>
              <w:t>小时</w:t>
            </w:r>
          </w:p>
        </w:tc>
        <w:tc>
          <w:tcPr>
            <w:tcW w:w="1259" w:type="dxa"/>
          </w:tcPr>
          <w:p w14:paraId="3FE31B58">
            <w:pPr>
              <w:pStyle w:val="17"/>
              <w:spacing w:before="34"/>
              <w:ind w:left="188" w:right="180"/>
              <w:rPr>
                <w:rFonts w:ascii="Times New Roman"/>
                <w:sz w:val="21"/>
              </w:rPr>
            </w:pPr>
            <w:r>
              <w:rPr>
                <w:rFonts w:ascii="Times New Roman"/>
                <w:sz w:val="21"/>
              </w:rPr>
              <w:t>1.61E+01</w:t>
            </w:r>
          </w:p>
        </w:tc>
        <w:tc>
          <w:tcPr>
            <w:tcW w:w="1317" w:type="dxa"/>
          </w:tcPr>
          <w:p w14:paraId="7CE8B965">
            <w:pPr>
              <w:pStyle w:val="17"/>
              <w:spacing w:before="34"/>
              <w:ind w:left="108" w:right="98"/>
              <w:rPr>
                <w:rFonts w:ascii="Times New Roman"/>
                <w:sz w:val="21"/>
              </w:rPr>
            </w:pPr>
            <w:r>
              <w:rPr>
                <w:rFonts w:ascii="Times New Roman"/>
                <w:sz w:val="21"/>
              </w:rPr>
              <w:t>23082004</w:t>
            </w:r>
          </w:p>
        </w:tc>
        <w:tc>
          <w:tcPr>
            <w:tcW w:w="1230" w:type="dxa"/>
          </w:tcPr>
          <w:p w14:paraId="5920B7DB">
            <w:pPr>
              <w:pStyle w:val="17"/>
              <w:spacing w:before="34"/>
              <w:ind w:left="175" w:right="166"/>
              <w:rPr>
                <w:rFonts w:ascii="Times New Roman"/>
                <w:sz w:val="21"/>
              </w:rPr>
            </w:pPr>
            <w:r>
              <w:rPr>
                <w:rFonts w:ascii="Times New Roman"/>
                <w:sz w:val="21"/>
              </w:rPr>
              <w:t>0.00E+00</w:t>
            </w:r>
          </w:p>
        </w:tc>
        <w:tc>
          <w:tcPr>
            <w:tcW w:w="1725" w:type="dxa"/>
          </w:tcPr>
          <w:p w14:paraId="0C4EB557">
            <w:pPr>
              <w:pStyle w:val="17"/>
              <w:spacing w:before="34"/>
              <w:ind w:left="419" w:right="413"/>
              <w:rPr>
                <w:rFonts w:ascii="Times New Roman"/>
                <w:sz w:val="21"/>
              </w:rPr>
            </w:pPr>
            <w:r>
              <w:rPr>
                <w:rFonts w:ascii="Times New Roman"/>
                <w:sz w:val="21"/>
              </w:rPr>
              <w:t>1.61E+01</w:t>
            </w:r>
          </w:p>
        </w:tc>
        <w:tc>
          <w:tcPr>
            <w:tcW w:w="1230" w:type="dxa"/>
          </w:tcPr>
          <w:p w14:paraId="44F1507B">
            <w:pPr>
              <w:pStyle w:val="17"/>
              <w:spacing w:before="34"/>
              <w:ind w:left="174" w:right="166"/>
              <w:rPr>
                <w:rFonts w:ascii="Times New Roman"/>
                <w:sz w:val="21"/>
              </w:rPr>
            </w:pPr>
            <w:r>
              <w:rPr>
                <w:rFonts w:ascii="Times New Roman"/>
                <w:sz w:val="21"/>
              </w:rPr>
              <w:t>4.50E+02</w:t>
            </w:r>
          </w:p>
        </w:tc>
        <w:tc>
          <w:tcPr>
            <w:tcW w:w="1517" w:type="dxa"/>
          </w:tcPr>
          <w:p w14:paraId="4D0DB787">
            <w:pPr>
              <w:pStyle w:val="17"/>
              <w:spacing w:before="34"/>
              <w:ind w:left="499" w:right="492"/>
              <w:rPr>
                <w:rFonts w:ascii="Times New Roman"/>
                <w:sz w:val="21"/>
              </w:rPr>
            </w:pPr>
            <w:r>
              <w:rPr>
                <w:rFonts w:ascii="Times New Roman"/>
                <w:sz w:val="21"/>
              </w:rPr>
              <w:t>3.58</w:t>
            </w:r>
          </w:p>
        </w:tc>
        <w:tc>
          <w:tcPr>
            <w:tcW w:w="712" w:type="dxa"/>
            <w:tcBorders>
              <w:right w:val="nil"/>
            </w:tcBorders>
          </w:tcPr>
          <w:p w14:paraId="2A16C9E9">
            <w:pPr>
              <w:pStyle w:val="17"/>
              <w:spacing w:before="18"/>
              <w:ind w:left="122" w:right="121"/>
              <w:rPr>
                <w:sz w:val="21"/>
              </w:rPr>
            </w:pPr>
            <w:r>
              <w:rPr>
                <w:sz w:val="21"/>
              </w:rPr>
              <w:t>达标</w:t>
            </w:r>
          </w:p>
        </w:tc>
      </w:tr>
      <w:tr w14:paraId="00087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DC54595">
            <w:pPr>
              <w:pStyle w:val="17"/>
              <w:spacing w:before="34"/>
              <w:ind w:right="169"/>
              <w:jc w:val="right"/>
              <w:rPr>
                <w:rFonts w:ascii="Times New Roman"/>
                <w:sz w:val="21"/>
              </w:rPr>
            </w:pPr>
            <w:r>
              <w:rPr>
                <w:rFonts w:ascii="Times New Roman"/>
                <w:w w:val="99"/>
                <w:sz w:val="21"/>
              </w:rPr>
              <w:t>4</w:t>
            </w:r>
          </w:p>
        </w:tc>
        <w:tc>
          <w:tcPr>
            <w:tcW w:w="1265" w:type="dxa"/>
          </w:tcPr>
          <w:p w14:paraId="6759B55F">
            <w:pPr>
              <w:pStyle w:val="17"/>
              <w:spacing w:before="20"/>
              <w:ind w:left="189" w:right="186"/>
              <w:rPr>
                <w:sz w:val="21"/>
              </w:rPr>
            </w:pPr>
            <w:r>
              <w:rPr>
                <w:sz w:val="21"/>
              </w:rPr>
              <w:t>童家塅村</w:t>
            </w:r>
          </w:p>
        </w:tc>
        <w:tc>
          <w:tcPr>
            <w:tcW w:w="771" w:type="dxa"/>
          </w:tcPr>
          <w:p w14:paraId="1D432070">
            <w:pPr>
              <w:pStyle w:val="17"/>
              <w:spacing w:before="34"/>
              <w:ind w:right="129"/>
              <w:jc w:val="right"/>
              <w:rPr>
                <w:rFonts w:ascii="Times New Roman"/>
                <w:sz w:val="21"/>
              </w:rPr>
            </w:pPr>
            <w:r>
              <w:rPr>
                <w:rFonts w:ascii="Times New Roman"/>
                <w:w w:val="95"/>
                <w:sz w:val="21"/>
              </w:rPr>
              <w:t>-4436</w:t>
            </w:r>
          </w:p>
        </w:tc>
        <w:tc>
          <w:tcPr>
            <w:tcW w:w="772" w:type="dxa"/>
          </w:tcPr>
          <w:p w14:paraId="04211D9D">
            <w:pPr>
              <w:pStyle w:val="17"/>
              <w:spacing w:before="34"/>
              <w:ind w:left="226"/>
              <w:jc w:val="left"/>
              <w:rPr>
                <w:rFonts w:ascii="Times New Roman"/>
                <w:sz w:val="21"/>
              </w:rPr>
            </w:pPr>
            <w:r>
              <w:rPr>
                <w:rFonts w:ascii="Times New Roman"/>
                <w:sz w:val="21"/>
              </w:rPr>
              <w:t>374</w:t>
            </w:r>
          </w:p>
        </w:tc>
        <w:tc>
          <w:tcPr>
            <w:tcW w:w="921" w:type="dxa"/>
          </w:tcPr>
          <w:p w14:paraId="1FD8ABF1">
            <w:pPr>
              <w:pStyle w:val="17"/>
              <w:spacing w:before="34"/>
              <w:ind w:left="203" w:right="195"/>
              <w:rPr>
                <w:rFonts w:ascii="Times New Roman"/>
                <w:sz w:val="21"/>
              </w:rPr>
            </w:pPr>
            <w:r>
              <w:rPr>
                <w:rFonts w:ascii="Times New Roman"/>
                <w:sz w:val="21"/>
              </w:rPr>
              <w:t>43.33</w:t>
            </w:r>
          </w:p>
        </w:tc>
        <w:tc>
          <w:tcPr>
            <w:tcW w:w="1035" w:type="dxa"/>
          </w:tcPr>
          <w:p w14:paraId="30138BB3">
            <w:pPr>
              <w:pStyle w:val="17"/>
              <w:spacing w:before="20"/>
              <w:ind w:left="168" w:right="164"/>
              <w:rPr>
                <w:sz w:val="21"/>
              </w:rPr>
            </w:pPr>
            <w:r>
              <w:rPr>
                <w:rFonts w:ascii="Times New Roman" w:eastAsia="Times New Roman"/>
                <w:sz w:val="21"/>
              </w:rPr>
              <w:t xml:space="preserve">1 </w:t>
            </w:r>
            <w:r>
              <w:rPr>
                <w:sz w:val="21"/>
              </w:rPr>
              <w:t>小时</w:t>
            </w:r>
          </w:p>
        </w:tc>
        <w:tc>
          <w:tcPr>
            <w:tcW w:w="1259" w:type="dxa"/>
          </w:tcPr>
          <w:p w14:paraId="5668E2E0">
            <w:pPr>
              <w:pStyle w:val="17"/>
              <w:spacing w:before="34"/>
              <w:ind w:left="188" w:right="180"/>
              <w:rPr>
                <w:rFonts w:ascii="Times New Roman"/>
                <w:sz w:val="21"/>
              </w:rPr>
            </w:pPr>
            <w:r>
              <w:rPr>
                <w:rFonts w:ascii="Times New Roman"/>
                <w:sz w:val="21"/>
              </w:rPr>
              <w:t>6.71E+00</w:t>
            </w:r>
          </w:p>
        </w:tc>
        <w:tc>
          <w:tcPr>
            <w:tcW w:w="1317" w:type="dxa"/>
          </w:tcPr>
          <w:p w14:paraId="5850E474">
            <w:pPr>
              <w:pStyle w:val="17"/>
              <w:spacing w:before="34"/>
              <w:ind w:left="108" w:right="98"/>
              <w:rPr>
                <w:rFonts w:ascii="Times New Roman"/>
                <w:sz w:val="21"/>
              </w:rPr>
            </w:pPr>
            <w:r>
              <w:rPr>
                <w:rFonts w:ascii="Times New Roman"/>
                <w:sz w:val="21"/>
              </w:rPr>
              <w:t>23090807</w:t>
            </w:r>
          </w:p>
        </w:tc>
        <w:tc>
          <w:tcPr>
            <w:tcW w:w="1230" w:type="dxa"/>
          </w:tcPr>
          <w:p w14:paraId="6CAFCCD0">
            <w:pPr>
              <w:pStyle w:val="17"/>
              <w:spacing w:before="34"/>
              <w:ind w:left="175" w:right="166"/>
              <w:rPr>
                <w:rFonts w:ascii="Times New Roman"/>
                <w:sz w:val="21"/>
              </w:rPr>
            </w:pPr>
            <w:r>
              <w:rPr>
                <w:rFonts w:ascii="Times New Roman"/>
                <w:sz w:val="21"/>
              </w:rPr>
              <w:t>0.00E+00</w:t>
            </w:r>
          </w:p>
        </w:tc>
        <w:tc>
          <w:tcPr>
            <w:tcW w:w="1725" w:type="dxa"/>
          </w:tcPr>
          <w:p w14:paraId="313A880E">
            <w:pPr>
              <w:pStyle w:val="17"/>
              <w:spacing w:before="34"/>
              <w:ind w:left="419" w:right="413"/>
              <w:rPr>
                <w:rFonts w:ascii="Times New Roman"/>
                <w:sz w:val="21"/>
              </w:rPr>
            </w:pPr>
            <w:r>
              <w:rPr>
                <w:rFonts w:ascii="Times New Roman"/>
                <w:sz w:val="21"/>
              </w:rPr>
              <w:t>6.71E+00</w:t>
            </w:r>
          </w:p>
        </w:tc>
        <w:tc>
          <w:tcPr>
            <w:tcW w:w="1230" w:type="dxa"/>
          </w:tcPr>
          <w:p w14:paraId="5F530A18">
            <w:pPr>
              <w:pStyle w:val="17"/>
              <w:spacing w:before="34"/>
              <w:ind w:left="174" w:right="166"/>
              <w:rPr>
                <w:rFonts w:ascii="Times New Roman"/>
                <w:sz w:val="21"/>
              </w:rPr>
            </w:pPr>
            <w:r>
              <w:rPr>
                <w:rFonts w:ascii="Times New Roman"/>
                <w:sz w:val="21"/>
              </w:rPr>
              <w:t>4.50E+02</w:t>
            </w:r>
          </w:p>
        </w:tc>
        <w:tc>
          <w:tcPr>
            <w:tcW w:w="1517" w:type="dxa"/>
          </w:tcPr>
          <w:p w14:paraId="1CBDD3C7">
            <w:pPr>
              <w:pStyle w:val="17"/>
              <w:spacing w:before="34"/>
              <w:ind w:left="499" w:right="492"/>
              <w:rPr>
                <w:rFonts w:ascii="Times New Roman"/>
                <w:sz w:val="21"/>
              </w:rPr>
            </w:pPr>
            <w:r>
              <w:rPr>
                <w:rFonts w:ascii="Times New Roman"/>
                <w:sz w:val="21"/>
              </w:rPr>
              <w:t>1.49</w:t>
            </w:r>
          </w:p>
        </w:tc>
        <w:tc>
          <w:tcPr>
            <w:tcW w:w="712" w:type="dxa"/>
            <w:tcBorders>
              <w:right w:val="nil"/>
            </w:tcBorders>
          </w:tcPr>
          <w:p w14:paraId="3C50AA4A">
            <w:pPr>
              <w:pStyle w:val="17"/>
              <w:spacing w:before="18"/>
              <w:ind w:left="122" w:right="121"/>
              <w:rPr>
                <w:sz w:val="21"/>
              </w:rPr>
            </w:pPr>
            <w:r>
              <w:rPr>
                <w:sz w:val="21"/>
              </w:rPr>
              <w:t>达标</w:t>
            </w:r>
          </w:p>
        </w:tc>
      </w:tr>
      <w:tr w14:paraId="61CCC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4" w:type="dxa"/>
            <w:tcBorders>
              <w:left w:val="nil"/>
            </w:tcBorders>
          </w:tcPr>
          <w:p w14:paraId="1EB85980">
            <w:pPr>
              <w:pStyle w:val="17"/>
              <w:spacing w:before="34"/>
              <w:ind w:right="169"/>
              <w:jc w:val="right"/>
              <w:rPr>
                <w:rFonts w:ascii="Times New Roman"/>
                <w:sz w:val="21"/>
              </w:rPr>
            </w:pPr>
            <w:r>
              <w:rPr>
                <w:rFonts w:ascii="Times New Roman"/>
                <w:w w:val="99"/>
                <w:sz w:val="21"/>
              </w:rPr>
              <w:t>5</w:t>
            </w:r>
          </w:p>
        </w:tc>
        <w:tc>
          <w:tcPr>
            <w:tcW w:w="1265" w:type="dxa"/>
          </w:tcPr>
          <w:p w14:paraId="2D98D35D">
            <w:pPr>
              <w:pStyle w:val="17"/>
              <w:spacing w:before="20"/>
              <w:ind w:left="189" w:right="183"/>
              <w:rPr>
                <w:sz w:val="21"/>
              </w:rPr>
            </w:pPr>
            <w:r>
              <w:rPr>
                <w:sz w:val="21"/>
              </w:rPr>
              <w:t>武莲村</w:t>
            </w:r>
          </w:p>
        </w:tc>
        <w:tc>
          <w:tcPr>
            <w:tcW w:w="771" w:type="dxa"/>
          </w:tcPr>
          <w:p w14:paraId="236B253E">
            <w:pPr>
              <w:pStyle w:val="17"/>
              <w:spacing w:before="34"/>
              <w:ind w:right="235"/>
              <w:jc w:val="right"/>
              <w:rPr>
                <w:rFonts w:ascii="Times New Roman"/>
                <w:sz w:val="21"/>
              </w:rPr>
            </w:pPr>
            <w:r>
              <w:rPr>
                <w:rFonts w:ascii="Times New Roman"/>
                <w:w w:val="95"/>
                <w:sz w:val="21"/>
              </w:rPr>
              <w:t>-63</w:t>
            </w:r>
          </w:p>
        </w:tc>
        <w:tc>
          <w:tcPr>
            <w:tcW w:w="772" w:type="dxa"/>
          </w:tcPr>
          <w:p w14:paraId="55D09D66">
            <w:pPr>
              <w:pStyle w:val="17"/>
              <w:spacing w:before="34"/>
              <w:ind w:right="167"/>
              <w:jc w:val="right"/>
              <w:rPr>
                <w:rFonts w:ascii="Times New Roman"/>
                <w:sz w:val="21"/>
              </w:rPr>
            </w:pPr>
            <w:r>
              <w:rPr>
                <w:rFonts w:ascii="Times New Roman"/>
                <w:sz w:val="21"/>
              </w:rPr>
              <w:t>1191</w:t>
            </w:r>
          </w:p>
        </w:tc>
        <w:tc>
          <w:tcPr>
            <w:tcW w:w="921" w:type="dxa"/>
          </w:tcPr>
          <w:p w14:paraId="0E048CA7">
            <w:pPr>
              <w:pStyle w:val="17"/>
              <w:spacing w:before="34"/>
              <w:ind w:left="203" w:right="195"/>
              <w:rPr>
                <w:rFonts w:ascii="Times New Roman"/>
                <w:sz w:val="21"/>
              </w:rPr>
            </w:pPr>
            <w:r>
              <w:rPr>
                <w:rFonts w:ascii="Times New Roman"/>
                <w:sz w:val="21"/>
              </w:rPr>
              <w:t>39.28</w:t>
            </w:r>
          </w:p>
        </w:tc>
        <w:tc>
          <w:tcPr>
            <w:tcW w:w="1035" w:type="dxa"/>
          </w:tcPr>
          <w:p w14:paraId="45A2D7E1">
            <w:pPr>
              <w:pStyle w:val="17"/>
              <w:spacing w:before="20"/>
              <w:ind w:left="168" w:right="164"/>
              <w:rPr>
                <w:sz w:val="21"/>
              </w:rPr>
            </w:pPr>
            <w:r>
              <w:rPr>
                <w:rFonts w:ascii="Times New Roman" w:eastAsia="Times New Roman"/>
                <w:sz w:val="21"/>
              </w:rPr>
              <w:t xml:space="preserve">1 </w:t>
            </w:r>
            <w:r>
              <w:rPr>
                <w:sz w:val="21"/>
              </w:rPr>
              <w:t>小时</w:t>
            </w:r>
          </w:p>
        </w:tc>
        <w:tc>
          <w:tcPr>
            <w:tcW w:w="1259" w:type="dxa"/>
          </w:tcPr>
          <w:p w14:paraId="427CD613">
            <w:pPr>
              <w:pStyle w:val="17"/>
              <w:spacing w:before="34"/>
              <w:ind w:left="188" w:right="180"/>
              <w:rPr>
                <w:rFonts w:ascii="Times New Roman"/>
                <w:sz w:val="21"/>
              </w:rPr>
            </w:pPr>
            <w:r>
              <w:rPr>
                <w:rFonts w:ascii="Times New Roman"/>
                <w:sz w:val="21"/>
              </w:rPr>
              <w:t>1.22E+01</w:t>
            </w:r>
          </w:p>
        </w:tc>
        <w:tc>
          <w:tcPr>
            <w:tcW w:w="1317" w:type="dxa"/>
          </w:tcPr>
          <w:p w14:paraId="296ACD52">
            <w:pPr>
              <w:pStyle w:val="17"/>
              <w:spacing w:before="34"/>
              <w:ind w:left="108" w:right="98"/>
              <w:rPr>
                <w:rFonts w:ascii="Times New Roman"/>
                <w:sz w:val="21"/>
              </w:rPr>
            </w:pPr>
            <w:r>
              <w:rPr>
                <w:rFonts w:ascii="Times New Roman"/>
                <w:sz w:val="21"/>
              </w:rPr>
              <w:t>23060801</w:t>
            </w:r>
          </w:p>
        </w:tc>
        <w:tc>
          <w:tcPr>
            <w:tcW w:w="1230" w:type="dxa"/>
          </w:tcPr>
          <w:p w14:paraId="7B11DCB8">
            <w:pPr>
              <w:pStyle w:val="17"/>
              <w:spacing w:before="34"/>
              <w:ind w:left="175" w:right="166"/>
              <w:rPr>
                <w:rFonts w:ascii="Times New Roman"/>
                <w:sz w:val="21"/>
              </w:rPr>
            </w:pPr>
            <w:r>
              <w:rPr>
                <w:rFonts w:ascii="Times New Roman"/>
                <w:sz w:val="21"/>
              </w:rPr>
              <w:t>0.00E+00</w:t>
            </w:r>
          </w:p>
        </w:tc>
        <w:tc>
          <w:tcPr>
            <w:tcW w:w="1725" w:type="dxa"/>
          </w:tcPr>
          <w:p w14:paraId="239F63FF">
            <w:pPr>
              <w:pStyle w:val="17"/>
              <w:spacing w:before="34"/>
              <w:ind w:left="419" w:right="413"/>
              <w:rPr>
                <w:rFonts w:ascii="Times New Roman"/>
                <w:sz w:val="21"/>
              </w:rPr>
            </w:pPr>
            <w:r>
              <w:rPr>
                <w:rFonts w:ascii="Times New Roman"/>
                <w:sz w:val="21"/>
              </w:rPr>
              <w:t>1.22E+01</w:t>
            </w:r>
          </w:p>
        </w:tc>
        <w:tc>
          <w:tcPr>
            <w:tcW w:w="1230" w:type="dxa"/>
          </w:tcPr>
          <w:p w14:paraId="33A8C5C7">
            <w:pPr>
              <w:pStyle w:val="17"/>
              <w:spacing w:before="34"/>
              <w:ind w:left="174" w:right="166"/>
              <w:rPr>
                <w:rFonts w:ascii="Times New Roman"/>
                <w:sz w:val="21"/>
              </w:rPr>
            </w:pPr>
            <w:r>
              <w:rPr>
                <w:rFonts w:ascii="Times New Roman"/>
                <w:sz w:val="21"/>
              </w:rPr>
              <w:t>4.50E+02</w:t>
            </w:r>
          </w:p>
        </w:tc>
        <w:tc>
          <w:tcPr>
            <w:tcW w:w="1517" w:type="dxa"/>
          </w:tcPr>
          <w:p w14:paraId="5EC2F5A1">
            <w:pPr>
              <w:pStyle w:val="17"/>
              <w:spacing w:before="34"/>
              <w:ind w:left="499" w:right="492"/>
              <w:rPr>
                <w:rFonts w:ascii="Times New Roman"/>
                <w:sz w:val="21"/>
              </w:rPr>
            </w:pPr>
            <w:r>
              <w:rPr>
                <w:rFonts w:ascii="Times New Roman"/>
                <w:sz w:val="21"/>
              </w:rPr>
              <w:t>2.72</w:t>
            </w:r>
          </w:p>
        </w:tc>
        <w:tc>
          <w:tcPr>
            <w:tcW w:w="712" w:type="dxa"/>
            <w:tcBorders>
              <w:right w:val="nil"/>
            </w:tcBorders>
          </w:tcPr>
          <w:p w14:paraId="163D618C">
            <w:pPr>
              <w:pStyle w:val="17"/>
              <w:spacing w:before="20"/>
              <w:ind w:left="122" w:right="121"/>
              <w:rPr>
                <w:sz w:val="21"/>
              </w:rPr>
            </w:pPr>
            <w:r>
              <w:rPr>
                <w:sz w:val="21"/>
              </w:rPr>
              <w:t>达标</w:t>
            </w:r>
          </w:p>
        </w:tc>
      </w:tr>
      <w:tr w14:paraId="3B7F3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7BAF9009">
            <w:pPr>
              <w:pStyle w:val="17"/>
              <w:spacing w:before="33"/>
              <w:ind w:right="169"/>
              <w:jc w:val="right"/>
              <w:rPr>
                <w:rFonts w:ascii="Times New Roman"/>
                <w:sz w:val="21"/>
              </w:rPr>
            </w:pPr>
            <w:r>
              <w:rPr>
                <w:rFonts w:ascii="Times New Roman"/>
                <w:w w:val="99"/>
                <w:sz w:val="21"/>
              </w:rPr>
              <w:t>6</w:t>
            </w:r>
          </w:p>
        </w:tc>
        <w:tc>
          <w:tcPr>
            <w:tcW w:w="1265" w:type="dxa"/>
          </w:tcPr>
          <w:p w14:paraId="5659F7AC">
            <w:pPr>
              <w:pStyle w:val="17"/>
              <w:spacing w:before="19"/>
              <w:ind w:left="189" w:right="183"/>
              <w:rPr>
                <w:sz w:val="21"/>
              </w:rPr>
            </w:pPr>
            <w:r>
              <w:rPr>
                <w:sz w:val="21"/>
              </w:rPr>
              <w:t>三和村</w:t>
            </w:r>
          </w:p>
        </w:tc>
        <w:tc>
          <w:tcPr>
            <w:tcW w:w="771" w:type="dxa"/>
          </w:tcPr>
          <w:p w14:paraId="1098CECC">
            <w:pPr>
              <w:pStyle w:val="17"/>
              <w:spacing w:before="33"/>
              <w:ind w:right="163"/>
              <w:jc w:val="right"/>
              <w:rPr>
                <w:rFonts w:ascii="Times New Roman"/>
                <w:sz w:val="21"/>
              </w:rPr>
            </w:pPr>
            <w:r>
              <w:rPr>
                <w:rFonts w:ascii="Times New Roman"/>
                <w:sz w:val="21"/>
              </w:rPr>
              <w:t>1237</w:t>
            </w:r>
          </w:p>
        </w:tc>
        <w:tc>
          <w:tcPr>
            <w:tcW w:w="772" w:type="dxa"/>
          </w:tcPr>
          <w:p w14:paraId="219DAF12">
            <w:pPr>
              <w:pStyle w:val="17"/>
              <w:spacing w:before="33"/>
              <w:ind w:right="162"/>
              <w:jc w:val="right"/>
              <w:rPr>
                <w:rFonts w:ascii="Times New Roman"/>
                <w:sz w:val="21"/>
              </w:rPr>
            </w:pPr>
            <w:r>
              <w:rPr>
                <w:rFonts w:ascii="Times New Roman"/>
                <w:sz w:val="21"/>
              </w:rPr>
              <w:t>1042</w:t>
            </w:r>
          </w:p>
        </w:tc>
        <w:tc>
          <w:tcPr>
            <w:tcW w:w="921" w:type="dxa"/>
          </w:tcPr>
          <w:p w14:paraId="26BBBCCE">
            <w:pPr>
              <w:pStyle w:val="17"/>
              <w:spacing w:before="33"/>
              <w:ind w:left="203" w:right="195"/>
              <w:rPr>
                <w:rFonts w:ascii="Times New Roman"/>
                <w:sz w:val="21"/>
              </w:rPr>
            </w:pPr>
            <w:r>
              <w:rPr>
                <w:rFonts w:ascii="Times New Roman"/>
                <w:sz w:val="21"/>
              </w:rPr>
              <w:t>61.08</w:t>
            </w:r>
          </w:p>
        </w:tc>
        <w:tc>
          <w:tcPr>
            <w:tcW w:w="1035" w:type="dxa"/>
          </w:tcPr>
          <w:p w14:paraId="497D0825">
            <w:pPr>
              <w:pStyle w:val="17"/>
              <w:spacing w:before="19"/>
              <w:ind w:left="168" w:right="164"/>
              <w:rPr>
                <w:sz w:val="21"/>
              </w:rPr>
            </w:pPr>
            <w:r>
              <w:rPr>
                <w:rFonts w:ascii="Times New Roman" w:eastAsia="Times New Roman"/>
                <w:sz w:val="21"/>
              </w:rPr>
              <w:t xml:space="preserve">1 </w:t>
            </w:r>
            <w:r>
              <w:rPr>
                <w:sz w:val="21"/>
              </w:rPr>
              <w:t>小时</w:t>
            </w:r>
          </w:p>
        </w:tc>
        <w:tc>
          <w:tcPr>
            <w:tcW w:w="1259" w:type="dxa"/>
          </w:tcPr>
          <w:p w14:paraId="38B66F9F">
            <w:pPr>
              <w:pStyle w:val="17"/>
              <w:spacing w:before="33"/>
              <w:ind w:left="188" w:right="180"/>
              <w:rPr>
                <w:rFonts w:ascii="Times New Roman"/>
                <w:sz w:val="21"/>
              </w:rPr>
            </w:pPr>
            <w:r>
              <w:rPr>
                <w:rFonts w:ascii="Times New Roman"/>
                <w:sz w:val="21"/>
              </w:rPr>
              <w:t>1.43E+01</w:t>
            </w:r>
          </w:p>
        </w:tc>
        <w:tc>
          <w:tcPr>
            <w:tcW w:w="1317" w:type="dxa"/>
          </w:tcPr>
          <w:p w14:paraId="5AAB604D">
            <w:pPr>
              <w:pStyle w:val="17"/>
              <w:spacing w:before="33"/>
              <w:ind w:left="108" w:right="98"/>
              <w:rPr>
                <w:rFonts w:ascii="Times New Roman"/>
                <w:sz w:val="21"/>
              </w:rPr>
            </w:pPr>
            <w:r>
              <w:rPr>
                <w:rFonts w:ascii="Times New Roman"/>
                <w:sz w:val="21"/>
              </w:rPr>
              <w:t>23082022</w:t>
            </w:r>
          </w:p>
        </w:tc>
        <w:tc>
          <w:tcPr>
            <w:tcW w:w="1230" w:type="dxa"/>
          </w:tcPr>
          <w:p w14:paraId="1DF9FA2D">
            <w:pPr>
              <w:pStyle w:val="17"/>
              <w:spacing w:before="33"/>
              <w:ind w:left="175" w:right="166"/>
              <w:rPr>
                <w:rFonts w:ascii="Times New Roman"/>
                <w:sz w:val="21"/>
              </w:rPr>
            </w:pPr>
            <w:r>
              <w:rPr>
                <w:rFonts w:ascii="Times New Roman"/>
                <w:sz w:val="21"/>
              </w:rPr>
              <w:t>0.00E+00</w:t>
            </w:r>
          </w:p>
        </w:tc>
        <w:tc>
          <w:tcPr>
            <w:tcW w:w="1725" w:type="dxa"/>
          </w:tcPr>
          <w:p w14:paraId="43840997">
            <w:pPr>
              <w:pStyle w:val="17"/>
              <w:spacing w:before="33"/>
              <w:ind w:left="419" w:right="413"/>
              <w:rPr>
                <w:rFonts w:ascii="Times New Roman"/>
                <w:sz w:val="21"/>
              </w:rPr>
            </w:pPr>
            <w:r>
              <w:rPr>
                <w:rFonts w:ascii="Times New Roman"/>
                <w:sz w:val="21"/>
              </w:rPr>
              <w:t>1.43E+01</w:t>
            </w:r>
          </w:p>
        </w:tc>
        <w:tc>
          <w:tcPr>
            <w:tcW w:w="1230" w:type="dxa"/>
          </w:tcPr>
          <w:p w14:paraId="0F64062D">
            <w:pPr>
              <w:pStyle w:val="17"/>
              <w:spacing w:before="33"/>
              <w:ind w:left="174" w:right="166"/>
              <w:rPr>
                <w:rFonts w:ascii="Times New Roman"/>
                <w:sz w:val="21"/>
              </w:rPr>
            </w:pPr>
            <w:r>
              <w:rPr>
                <w:rFonts w:ascii="Times New Roman"/>
                <w:sz w:val="21"/>
              </w:rPr>
              <w:t>4.50E+02</w:t>
            </w:r>
          </w:p>
        </w:tc>
        <w:tc>
          <w:tcPr>
            <w:tcW w:w="1517" w:type="dxa"/>
          </w:tcPr>
          <w:p w14:paraId="4D1B8EF0">
            <w:pPr>
              <w:pStyle w:val="17"/>
              <w:spacing w:before="33"/>
              <w:ind w:left="499" w:right="492"/>
              <w:rPr>
                <w:rFonts w:ascii="Times New Roman"/>
                <w:sz w:val="21"/>
              </w:rPr>
            </w:pPr>
            <w:r>
              <w:rPr>
                <w:rFonts w:ascii="Times New Roman"/>
                <w:sz w:val="21"/>
              </w:rPr>
              <w:t>3.17</w:t>
            </w:r>
          </w:p>
        </w:tc>
        <w:tc>
          <w:tcPr>
            <w:tcW w:w="712" w:type="dxa"/>
            <w:tcBorders>
              <w:right w:val="nil"/>
            </w:tcBorders>
          </w:tcPr>
          <w:p w14:paraId="66CB4B6C">
            <w:pPr>
              <w:pStyle w:val="17"/>
              <w:spacing w:before="19"/>
              <w:ind w:left="122" w:right="121"/>
              <w:rPr>
                <w:sz w:val="21"/>
              </w:rPr>
            </w:pPr>
            <w:r>
              <w:rPr>
                <w:sz w:val="21"/>
              </w:rPr>
              <w:t>达标</w:t>
            </w:r>
          </w:p>
        </w:tc>
      </w:tr>
      <w:tr w14:paraId="23712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4" w:type="dxa"/>
            <w:tcBorders>
              <w:left w:val="nil"/>
            </w:tcBorders>
          </w:tcPr>
          <w:p w14:paraId="4729D419">
            <w:pPr>
              <w:pStyle w:val="17"/>
              <w:spacing w:before="33"/>
              <w:ind w:right="169"/>
              <w:jc w:val="right"/>
              <w:rPr>
                <w:rFonts w:ascii="Times New Roman"/>
                <w:sz w:val="21"/>
              </w:rPr>
            </w:pPr>
            <w:r>
              <w:rPr>
                <w:rFonts w:ascii="Times New Roman"/>
                <w:w w:val="99"/>
                <w:sz w:val="21"/>
              </w:rPr>
              <w:t>7</w:t>
            </w:r>
          </w:p>
        </w:tc>
        <w:tc>
          <w:tcPr>
            <w:tcW w:w="1265" w:type="dxa"/>
          </w:tcPr>
          <w:p w14:paraId="602B56FF">
            <w:pPr>
              <w:pStyle w:val="17"/>
              <w:spacing w:before="19"/>
              <w:ind w:left="189" w:right="186"/>
              <w:rPr>
                <w:sz w:val="21"/>
              </w:rPr>
            </w:pPr>
            <w:r>
              <w:rPr>
                <w:sz w:val="21"/>
              </w:rPr>
              <w:t>中家桥村</w:t>
            </w:r>
          </w:p>
        </w:tc>
        <w:tc>
          <w:tcPr>
            <w:tcW w:w="771" w:type="dxa"/>
          </w:tcPr>
          <w:p w14:paraId="58A97B60">
            <w:pPr>
              <w:pStyle w:val="17"/>
              <w:spacing w:before="33"/>
              <w:ind w:right="216"/>
              <w:jc w:val="right"/>
              <w:rPr>
                <w:rFonts w:ascii="Times New Roman"/>
                <w:sz w:val="21"/>
              </w:rPr>
            </w:pPr>
            <w:r>
              <w:rPr>
                <w:rFonts w:ascii="Times New Roman"/>
                <w:sz w:val="21"/>
              </w:rPr>
              <w:t>961</w:t>
            </w:r>
          </w:p>
        </w:tc>
        <w:tc>
          <w:tcPr>
            <w:tcW w:w="772" w:type="dxa"/>
          </w:tcPr>
          <w:p w14:paraId="32D4C5A2">
            <w:pPr>
              <w:pStyle w:val="17"/>
              <w:spacing w:before="33"/>
              <w:ind w:right="181"/>
              <w:jc w:val="right"/>
              <w:rPr>
                <w:rFonts w:ascii="Times New Roman"/>
                <w:sz w:val="21"/>
              </w:rPr>
            </w:pPr>
            <w:r>
              <w:rPr>
                <w:rFonts w:ascii="Times New Roman"/>
                <w:w w:val="95"/>
                <w:sz w:val="21"/>
              </w:rPr>
              <w:t>-813</w:t>
            </w:r>
          </w:p>
        </w:tc>
        <w:tc>
          <w:tcPr>
            <w:tcW w:w="921" w:type="dxa"/>
          </w:tcPr>
          <w:p w14:paraId="6BDC695F">
            <w:pPr>
              <w:pStyle w:val="17"/>
              <w:spacing w:before="33"/>
              <w:ind w:left="203" w:right="195"/>
              <w:rPr>
                <w:rFonts w:ascii="Times New Roman"/>
                <w:sz w:val="21"/>
              </w:rPr>
            </w:pPr>
            <w:r>
              <w:rPr>
                <w:rFonts w:ascii="Times New Roman"/>
                <w:sz w:val="21"/>
              </w:rPr>
              <w:t>49.12</w:t>
            </w:r>
          </w:p>
        </w:tc>
        <w:tc>
          <w:tcPr>
            <w:tcW w:w="1035" w:type="dxa"/>
          </w:tcPr>
          <w:p w14:paraId="13503F1F">
            <w:pPr>
              <w:pStyle w:val="17"/>
              <w:spacing w:before="19"/>
              <w:ind w:left="168" w:right="164"/>
              <w:rPr>
                <w:sz w:val="21"/>
              </w:rPr>
            </w:pPr>
            <w:r>
              <w:rPr>
                <w:rFonts w:ascii="Times New Roman" w:eastAsia="Times New Roman"/>
                <w:sz w:val="21"/>
              </w:rPr>
              <w:t xml:space="preserve">1 </w:t>
            </w:r>
            <w:r>
              <w:rPr>
                <w:sz w:val="21"/>
              </w:rPr>
              <w:t>小时</w:t>
            </w:r>
          </w:p>
        </w:tc>
        <w:tc>
          <w:tcPr>
            <w:tcW w:w="1259" w:type="dxa"/>
          </w:tcPr>
          <w:p w14:paraId="7FDB2351">
            <w:pPr>
              <w:pStyle w:val="17"/>
              <w:spacing w:before="33"/>
              <w:ind w:left="188" w:right="180"/>
              <w:rPr>
                <w:rFonts w:ascii="Times New Roman"/>
                <w:sz w:val="21"/>
              </w:rPr>
            </w:pPr>
            <w:r>
              <w:rPr>
                <w:rFonts w:ascii="Times New Roman"/>
                <w:sz w:val="21"/>
              </w:rPr>
              <w:t>1.33E+01</w:t>
            </w:r>
          </w:p>
        </w:tc>
        <w:tc>
          <w:tcPr>
            <w:tcW w:w="1317" w:type="dxa"/>
          </w:tcPr>
          <w:p w14:paraId="6BE10C7E">
            <w:pPr>
              <w:pStyle w:val="17"/>
              <w:spacing w:before="33"/>
              <w:ind w:left="108" w:right="98"/>
              <w:rPr>
                <w:rFonts w:ascii="Times New Roman"/>
                <w:sz w:val="21"/>
              </w:rPr>
            </w:pPr>
            <w:r>
              <w:rPr>
                <w:rFonts w:ascii="Times New Roman"/>
                <w:sz w:val="21"/>
              </w:rPr>
              <w:t>23060804</w:t>
            </w:r>
          </w:p>
        </w:tc>
        <w:tc>
          <w:tcPr>
            <w:tcW w:w="1230" w:type="dxa"/>
          </w:tcPr>
          <w:p w14:paraId="383FF1A5">
            <w:pPr>
              <w:pStyle w:val="17"/>
              <w:spacing w:before="33"/>
              <w:ind w:left="175" w:right="166"/>
              <w:rPr>
                <w:rFonts w:ascii="Times New Roman"/>
                <w:sz w:val="21"/>
              </w:rPr>
            </w:pPr>
            <w:r>
              <w:rPr>
                <w:rFonts w:ascii="Times New Roman"/>
                <w:sz w:val="21"/>
              </w:rPr>
              <w:t>0.00E+00</w:t>
            </w:r>
          </w:p>
        </w:tc>
        <w:tc>
          <w:tcPr>
            <w:tcW w:w="1725" w:type="dxa"/>
          </w:tcPr>
          <w:p w14:paraId="5A8C0E6D">
            <w:pPr>
              <w:pStyle w:val="17"/>
              <w:spacing w:before="33"/>
              <w:ind w:left="419" w:right="413"/>
              <w:rPr>
                <w:rFonts w:ascii="Times New Roman"/>
                <w:sz w:val="21"/>
              </w:rPr>
            </w:pPr>
            <w:r>
              <w:rPr>
                <w:rFonts w:ascii="Times New Roman"/>
                <w:sz w:val="21"/>
              </w:rPr>
              <w:t>1.33E+01</w:t>
            </w:r>
          </w:p>
        </w:tc>
        <w:tc>
          <w:tcPr>
            <w:tcW w:w="1230" w:type="dxa"/>
          </w:tcPr>
          <w:p w14:paraId="7D54D36B">
            <w:pPr>
              <w:pStyle w:val="17"/>
              <w:spacing w:before="33"/>
              <w:ind w:left="174" w:right="166"/>
              <w:rPr>
                <w:rFonts w:ascii="Times New Roman"/>
                <w:sz w:val="21"/>
              </w:rPr>
            </w:pPr>
            <w:r>
              <w:rPr>
                <w:rFonts w:ascii="Times New Roman"/>
                <w:sz w:val="21"/>
              </w:rPr>
              <w:t>4.50E+02</w:t>
            </w:r>
          </w:p>
        </w:tc>
        <w:tc>
          <w:tcPr>
            <w:tcW w:w="1517" w:type="dxa"/>
          </w:tcPr>
          <w:p w14:paraId="2CBF63EF">
            <w:pPr>
              <w:pStyle w:val="17"/>
              <w:spacing w:before="33"/>
              <w:ind w:left="499" w:right="492"/>
              <w:rPr>
                <w:rFonts w:ascii="Times New Roman"/>
                <w:sz w:val="21"/>
              </w:rPr>
            </w:pPr>
            <w:r>
              <w:rPr>
                <w:rFonts w:ascii="Times New Roman"/>
                <w:sz w:val="21"/>
              </w:rPr>
              <w:t>2.95</w:t>
            </w:r>
          </w:p>
        </w:tc>
        <w:tc>
          <w:tcPr>
            <w:tcW w:w="712" w:type="dxa"/>
            <w:tcBorders>
              <w:right w:val="nil"/>
            </w:tcBorders>
          </w:tcPr>
          <w:p w14:paraId="53C0CA13">
            <w:pPr>
              <w:pStyle w:val="17"/>
              <w:spacing w:before="19"/>
              <w:ind w:left="122" w:right="121"/>
              <w:rPr>
                <w:sz w:val="21"/>
              </w:rPr>
            </w:pPr>
            <w:r>
              <w:rPr>
                <w:sz w:val="21"/>
              </w:rPr>
              <w:t>达标</w:t>
            </w:r>
          </w:p>
        </w:tc>
      </w:tr>
      <w:tr w14:paraId="6E484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4" w:type="dxa"/>
            <w:tcBorders>
              <w:left w:val="nil"/>
            </w:tcBorders>
          </w:tcPr>
          <w:p w14:paraId="31C26845">
            <w:pPr>
              <w:pStyle w:val="17"/>
              <w:spacing w:before="191"/>
              <w:ind w:right="169"/>
              <w:jc w:val="right"/>
              <w:rPr>
                <w:rFonts w:ascii="Times New Roman"/>
                <w:sz w:val="21"/>
              </w:rPr>
            </w:pPr>
            <w:r>
              <w:rPr>
                <w:rFonts w:ascii="Times New Roman"/>
                <w:w w:val="99"/>
                <w:sz w:val="21"/>
              </w:rPr>
              <w:t>8</w:t>
            </w:r>
          </w:p>
        </w:tc>
        <w:tc>
          <w:tcPr>
            <w:tcW w:w="1265" w:type="dxa"/>
          </w:tcPr>
          <w:p w14:paraId="2A0C5E4C">
            <w:pPr>
              <w:pStyle w:val="17"/>
              <w:spacing w:before="21"/>
              <w:ind w:left="189" w:right="186"/>
              <w:rPr>
                <w:sz w:val="21"/>
              </w:rPr>
            </w:pPr>
            <w:r>
              <w:rPr>
                <w:sz w:val="21"/>
              </w:rPr>
              <w:t>新市中心</w:t>
            </w:r>
          </w:p>
          <w:p w14:paraId="5BC7DB20">
            <w:pPr>
              <w:pStyle w:val="17"/>
              <w:spacing w:before="43"/>
              <w:ind w:left="189" w:right="183"/>
              <w:rPr>
                <w:sz w:val="21"/>
              </w:rPr>
            </w:pPr>
            <w:r>
              <w:rPr>
                <w:sz w:val="21"/>
              </w:rPr>
              <w:t>小学</w:t>
            </w:r>
          </w:p>
        </w:tc>
        <w:tc>
          <w:tcPr>
            <w:tcW w:w="771" w:type="dxa"/>
          </w:tcPr>
          <w:p w14:paraId="2B636019">
            <w:pPr>
              <w:pStyle w:val="17"/>
              <w:spacing w:before="191"/>
              <w:ind w:right="129"/>
              <w:jc w:val="right"/>
              <w:rPr>
                <w:rFonts w:ascii="Times New Roman"/>
                <w:sz w:val="21"/>
              </w:rPr>
            </w:pPr>
            <w:r>
              <w:rPr>
                <w:rFonts w:ascii="Times New Roman"/>
                <w:w w:val="95"/>
                <w:sz w:val="21"/>
              </w:rPr>
              <w:t>-1878</w:t>
            </w:r>
          </w:p>
        </w:tc>
        <w:tc>
          <w:tcPr>
            <w:tcW w:w="772" w:type="dxa"/>
          </w:tcPr>
          <w:p w14:paraId="70670D98">
            <w:pPr>
              <w:pStyle w:val="17"/>
              <w:spacing w:before="191"/>
              <w:ind w:right="162"/>
              <w:jc w:val="right"/>
              <w:rPr>
                <w:rFonts w:ascii="Times New Roman"/>
                <w:sz w:val="21"/>
              </w:rPr>
            </w:pPr>
            <w:r>
              <w:rPr>
                <w:rFonts w:ascii="Times New Roman"/>
                <w:sz w:val="21"/>
              </w:rPr>
              <w:t>1595</w:t>
            </w:r>
          </w:p>
        </w:tc>
        <w:tc>
          <w:tcPr>
            <w:tcW w:w="921" w:type="dxa"/>
          </w:tcPr>
          <w:p w14:paraId="781AC9F3">
            <w:pPr>
              <w:pStyle w:val="17"/>
              <w:spacing w:before="191"/>
              <w:ind w:left="203" w:right="195"/>
              <w:rPr>
                <w:rFonts w:ascii="Times New Roman"/>
                <w:sz w:val="21"/>
              </w:rPr>
            </w:pPr>
            <w:r>
              <w:rPr>
                <w:rFonts w:ascii="Times New Roman"/>
                <w:sz w:val="21"/>
              </w:rPr>
              <w:t>54.65</w:t>
            </w:r>
          </w:p>
        </w:tc>
        <w:tc>
          <w:tcPr>
            <w:tcW w:w="1035" w:type="dxa"/>
          </w:tcPr>
          <w:p w14:paraId="5F36F114">
            <w:pPr>
              <w:pStyle w:val="17"/>
              <w:spacing w:before="177"/>
              <w:ind w:left="168" w:right="164"/>
              <w:rPr>
                <w:sz w:val="21"/>
              </w:rPr>
            </w:pPr>
            <w:r>
              <w:rPr>
                <w:rFonts w:ascii="Times New Roman" w:eastAsia="Times New Roman"/>
                <w:sz w:val="21"/>
              </w:rPr>
              <w:t xml:space="preserve">1 </w:t>
            </w:r>
            <w:r>
              <w:rPr>
                <w:sz w:val="21"/>
              </w:rPr>
              <w:t>小时</w:t>
            </w:r>
          </w:p>
        </w:tc>
        <w:tc>
          <w:tcPr>
            <w:tcW w:w="1259" w:type="dxa"/>
          </w:tcPr>
          <w:p w14:paraId="4E1A4A33">
            <w:pPr>
              <w:pStyle w:val="17"/>
              <w:spacing w:before="191"/>
              <w:ind w:left="188" w:right="180"/>
              <w:rPr>
                <w:rFonts w:ascii="Times New Roman"/>
                <w:sz w:val="21"/>
              </w:rPr>
            </w:pPr>
            <w:r>
              <w:rPr>
                <w:rFonts w:ascii="Times New Roman"/>
                <w:sz w:val="21"/>
              </w:rPr>
              <w:t>1.31E+01</w:t>
            </w:r>
          </w:p>
        </w:tc>
        <w:tc>
          <w:tcPr>
            <w:tcW w:w="1317" w:type="dxa"/>
          </w:tcPr>
          <w:p w14:paraId="5E5A6DBF">
            <w:pPr>
              <w:pStyle w:val="17"/>
              <w:spacing w:before="191"/>
              <w:ind w:left="108" w:right="98"/>
              <w:rPr>
                <w:rFonts w:ascii="Times New Roman"/>
                <w:sz w:val="21"/>
              </w:rPr>
            </w:pPr>
            <w:r>
              <w:rPr>
                <w:rFonts w:ascii="Times New Roman"/>
                <w:sz w:val="21"/>
              </w:rPr>
              <w:t>23082607</w:t>
            </w:r>
          </w:p>
        </w:tc>
        <w:tc>
          <w:tcPr>
            <w:tcW w:w="1230" w:type="dxa"/>
          </w:tcPr>
          <w:p w14:paraId="27214733">
            <w:pPr>
              <w:pStyle w:val="17"/>
              <w:spacing w:before="191"/>
              <w:ind w:left="175" w:right="166"/>
              <w:rPr>
                <w:rFonts w:ascii="Times New Roman"/>
                <w:sz w:val="21"/>
              </w:rPr>
            </w:pPr>
            <w:r>
              <w:rPr>
                <w:rFonts w:ascii="Times New Roman"/>
                <w:sz w:val="21"/>
              </w:rPr>
              <w:t>0.00E+00</w:t>
            </w:r>
          </w:p>
        </w:tc>
        <w:tc>
          <w:tcPr>
            <w:tcW w:w="1725" w:type="dxa"/>
          </w:tcPr>
          <w:p w14:paraId="7F3B0E84">
            <w:pPr>
              <w:pStyle w:val="17"/>
              <w:spacing w:before="191"/>
              <w:ind w:left="419" w:right="413"/>
              <w:rPr>
                <w:rFonts w:ascii="Times New Roman"/>
                <w:sz w:val="21"/>
              </w:rPr>
            </w:pPr>
            <w:r>
              <w:rPr>
                <w:rFonts w:ascii="Times New Roman"/>
                <w:sz w:val="21"/>
              </w:rPr>
              <w:t>1.31E+01</w:t>
            </w:r>
          </w:p>
        </w:tc>
        <w:tc>
          <w:tcPr>
            <w:tcW w:w="1230" w:type="dxa"/>
          </w:tcPr>
          <w:p w14:paraId="7B5D4781">
            <w:pPr>
              <w:pStyle w:val="17"/>
              <w:spacing w:before="191"/>
              <w:ind w:left="174" w:right="166"/>
              <w:rPr>
                <w:rFonts w:ascii="Times New Roman"/>
                <w:sz w:val="21"/>
              </w:rPr>
            </w:pPr>
            <w:r>
              <w:rPr>
                <w:rFonts w:ascii="Times New Roman"/>
                <w:sz w:val="21"/>
              </w:rPr>
              <w:t>4.50E+02</w:t>
            </w:r>
          </w:p>
        </w:tc>
        <w:tc>
          <w:tcPr>
            <w:tcW w:w="1517" w:type="dxa"/>
          </w:tcPr>
          <w:p w14:paraId="65197A4B">
            <w:pPr>
              <w:pStyle w:val="17"/>
              <w:spacing w:before="191"/>
              <w:ind w:left="499" w:right="492"/>
              <w:rPr>
                <w:rFonts w:ascii="Times New Roman"/>
                <w:sz w:val="21"/>
              </w:rPr>
            </w:pPr>
            <w:r>
              <w:rPr>
                <w:rFonts w:ascii="Times New Roman"/>
                <w:sz w:val="21"/>
              </w:rPr>
              <w:t>2.91</w:t>
            </w:r>
          </w:p>
        </w:tc>
        <w:tc>
          <w:tcPr>
            <w:tcW w:w="712" w:type="dxa"/>
            <w:tcBorders>
              <w:right w:val="nil"/>
            </w:tcBorders>
          </w:tcPr>
          <w:p w14:paraId="1DE0E77A">
            <w:pPr>
              <w:pStyle w:val="17"/>
              <w:spacing w:before="175"/>
              <w:ind w:left="122" w:right="121"/>
              <w:rPr>
                <w:sz w:val="21"/>
              </w:rPr>
            </w:pPr>
            <w:r>
              <w:rPr>
                <w:sz w:val="21"/>
              </w:rPr>
              <w:t>达标</w:t>
            </w:r>
          </w:p>
        </w:tc>
      </w:tr>
      <w:tr w14:paraId="70835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64" w:type="dxa"/>
            <w:tcBorders>
              <w:left w:val="nil"/>
            </w:tcBorders>
          </w:tcPr>
          <w:p w14:paraId="1340807E">
            <w:pPr>
              <w:pStyle w:val="17"/>
              <w:spacing w:before="13" w:line="239" w:lineRule="exact"/>
              <w:ind w:right="169"/>
              <w:jc w:val="right"/>
              <w:rPr>
                <w:rFonts w:ascii="Times New Roman"/>
                <w:sz w:val="21"/>
              </w:rPr>
            </w:pPr>
            <w:r>
              <w:rPr>
                <w:rFonts w:ascii="Times New Roman"/>
                <w:w w:val="99"/>
                <w:sz w:val="21"/>
              </w:rPr>
              <w:t>9</w:t>
            </w:r>
          </w:p>
        </w:tc>
        <w:tc>
          <w:tcPr>
            <w:tcW w:w="1265" w:type="dxa"/>
          </w:tcPr>
          <w:p w14:paraId="59F098DA">
            <w:pPr>
              <w:pStyle w:val="17"/>
              <w:spacing w:line="252" w:lineRule="exact"/>
              <w:ind w:left="189" w:right="183"/>
              <w:rPr>
                <w:sz w:val="21"/>
              </w:rPr>
            </w:pPr>
            <w:r>
              <w:rPr>
                <w:sz w:val="21"/>
              </w:rPr>
              <w:t>网格</w:t>
            </w:r>
          </w:p>
        </w:tc>
        <w:tc>
          <w:tcPr>
            <w:tcW w:w="771" w:type="dxa"/>
          </w:tcPr>
          <w:p w14:paraId="1138713E">
            <w:pPr>
              <w:pStyle w:val="17"/>
              <w:spacing w:before="13" w:line="239" w:lineRule="exact"/>
              <w:ind w:left="9"/>
              <w:rPr>
                <w:rFonts w:ascii="Times New Roman"/>
                <w:sz w:val="21"/>
              </w:rPr>
            </w:pPr>
            <w:r>
              <w:rPr>
                <w:rFonts w:ascii="Times New Roman"/>
                <w:w w:val="99"/>
                <w:sz w:val="21"/>
              </w:rPr>
              <w:t>0</w:t>
            </w:r>
          </w:p>
        </w:tc>
        <w:tc>
          <w:tcPr>
            <w:tcW w:w="772" w:type="dxa"/>
          </w:tcPr>
          <w:p w14:paraId="4AF7D8A9">
            <w:pPr>
              <w:pStyle w:val="17"/>
              <w:spacing w:before="13" w:line="239" w:lineRule="exact"/>
              <w:ind w:left="226"/>
              <w:jc w:val="left"/>
              <w:rPr>
                <w:rFonts w:ascii="Times New Roman"/>
                <w:sz w:val="21"/>
              </w:rPr>
            </w:pPr>
            <w:r>
              <w:rPr>
                <w:rFonts w:ascii="Times New Roman"/>
                <w:sz w:val="21"/>
              </w:rPr>
              <w:t>100</w:t>
            </w:r>
          </w:p>
        </w:tc>
        <w:tc>
          <w:tcPr>
            <w:tcW w:w="921" w:type="dxa"/>
          </w:tcPr>
          <w:p w14:paraId="355973EF">
            <w:pPr>
              <w:pStyle w:val="17"/>
              <w:spacing w:before="13" w:line="239" w:lineRule="exact"/>
              <w:ind w:left="203" w:right="195"/>
              <w:rPr>
                <w:rFonts w:ascii="Times New Roman"/>
                <w:sz w:val="21"/>
              </w:rPr>
            </w:pPr>
            <w:r>
              <w:rPr>
                <w:rFonts w:ascii="Times New Roman"/>
                <w:sz w:val="21"/>
              </w:rPr>
              <w:t>68.90</w:t>
            </w:r>
          </w:p>
        </w:tc>
        <w:tc>
          <w:tcPr>
            <w:tcW w:w="1035" w:type="dxa"/>
          </w:tcPr>
          <w:p w14:paraId="7E3487F6">
            <w:pPr>
              <w:pStyle w:val="17"/>
              <w:spacing w:before="1" w:line="250" w:lineRule="exact"/>
              <w:ind w:left="168" w:right="164"/>
              <w:rPr>
                <w:sz w:val="21"/>
              </w:rPr>
            </w:pPr>
            <w:r>
              <w:rPr>
                <w:rFonts w:ascii="Times New Roman" w:eastAsia="Times New Roman"/>
                <w:sz w:val="21"/>
              </w:rPr>
              <w:t xml:space="preserve">1 </w:t>
            </w:r>
            <w:r>
              <w:rPr>
                <w:sz w:val="21"/>
              </w:rPr>
              <w:t>小时</w:t>
            </w:r>
          </w:p>
        </w:tc>
        <w:tc>
          <w:tcPr>
            <w:tcW w:w="1259" w:type="dxa"/>
          </w:tcPr>
          <w:p w14:paraId="5109963C">
            <w:pPr>
              <w:pStyle w:val="17"/>
              <w:spacing w:before="13" w:line="239" w:lineRule="exact"/>
              <w:ind w:left="188" w:right="180"/>
              <w:rPr>
                <w:rFonts w:ascii="Times New Roman"/>
                <w:sz w:val="21"/>
              </w:rPr>
            </w:pPr>
            <w:r>
              <w:rPr>
                <w:rFonts w:ascii="Times New Roman"/>
                <w:sz w:val="21"/>
              </w:rPr>
              <w:t>3.36E+02</w:t>
            </w:r>
          </w:p>
        </w:tc>
        <w:tc>
          <w:tcPr>
            <w:tcW w:w="1317" w:type="dxa"/>
          </w:tcPr>
          <w:p w14:paraId="30E38348">
            <w:pPr>
              <w:pStyle w:val="17"/>
              <w:spacing w:before="13" w:line="239" w:lineRule="exact"/>
              <w:ind w:left="108" w:right="98"/>
              <w:rPr>
                <w:rFonts w:ascii="Times New Roman"/>
                <w:sz w:val="21"/>
              </w:rPr>
            </w:pPr>
            <w:r>
              <w:rPr>
                <w:rFonts w:ascii="Times New Roman"/>
                <w:sz w:val="21"/>
              </w:rPr>
              <w:t>23090722</w:t>
            </w:r>
          </w:p>
        </w:tc>
        <w:tc>
          <w:tcPr>
            <w:tcW w:w="1230" w:type="dxa"/>
          </w:tcPr>
          <w:p w14:paraId="2416CD0D">
            <w:pPr>
              <w:pStyle w:val="17"/>
              <w:spacing w:before="13" w:line="239" w:lineRule="exact"/>
              <w:ind w:left="175" w:right="166"/>
              <w:rPr>
                <w:rFonts w:ascii="Times New Roman"/>
                <w:sz w:val="21"/>
              </w:rPr>
            </w:pPr>
            <w:r>
              <w:rPr>
                <w:rFonts w:ascii="Times New Roman"/>
                <w:sz w:val="21"/>
              </w:rPr>
              <w:t>0.00E+00</w:t>
            </w:r>
          </w:p>
        </w:tc>
        <w:tc>
          <w:tcPr>
            <w:tcW w:w="1725" w:type="dxa"/>
          </w:tcPr>
          <w:p w14:paraId="0DC39851">
            <w:pPr>
              <w:pStyle w:val="17"/>
              <w:spacing w:before="13" w:line="239" w:lineRule="exact"/>
              <w:ind w:left="419" w:right="413"/>
              <w:rPr>
                <w:rFonts w:ascii="Times New Roman"/>
                <w:sz w:val="21"/>
              </w:rPr>
            </w:pPr>
            <w:r>
              <w:rPr>
                <w:rFonts w:ascii="Times New Roman"/>
                <w:sz w:val="21"/>
              </w:rPr>
              <w:t>3.36E+02</w:t>
            </w:r>
          </w:p>
        </w:tc>
        <w:tc>
          <w:tcPr>
            <w:tcW w:w="1230" w:type="dxa"/>
          </w:tcPr>
          <w:p w14:paraId="47C3E244">
            <w:pPr>
              <w:pStyle w:val="17"/>
              <w:spacing w:before="13" w:line="239" w:lineRule="exact"/>
              <w:ind w:left="174" w:right="166"/>
              <w:rPr>
                <w:rFonts w:ascii="Times New Roman"/>
                <w:sz w:val="21"/>
              </w:rPr>
            </w:pPr>
            <w:r>
              <w:rPr>
                <w:rFonts w:ascii="Times New Roman"/>
                <w:sz w:val="21"/>
              </w:rPr>
              <w:t>4.50E+02</w:t>
            </w:r>
          </w:p>
        </w:tc>
        <w:tc>
          <w:tcPr>
            <w:tcW w:w="1517" w:type="dxa"/>
          </w:tcPr>
          <w:p w14:paraId="64549B6B">
            <w:pPr>
              <w:pStyle w:val="17"/>
              <w:spacing w:before="13" w:line="239" w:lineRule="exact"/>
              <w:ind w:left="501" w:right="492"/>
              <w:rPr>
                <w:rFonts w:ascii="Times New Roman"/>
                <w:sz w:val="21"/>
              </w:rPr>
            </w:pPr>
            <w:r>
              <w:rPr>
                <w:rFonts w:ascii="Times New Roman"/>
                <w:sz w:val="21"/>
              </w:rPr>
              <w:t>74.58</w:t>
            </w:r>
          </w:p>
        </w:tc>
        <w:tc>
          <w:tcPr>
            <w:tcW w:w="712" w:type="dxa"/>
            <w:tcBorders>
              <w:right w:val="nil"/>
            </w:tcBorders>
          </w:tcPr>
          <w:p w14:paraId="7D178B1A">
            <w:pPr>
              <w:pStyle w:val="17"/>
              <w:spacing w:line="252" w:lineRule="exact"/>
              <w:ind w:left="122" w:right="121"/>
              <w:rPr>
                <w:sz w:val="21"/>
              </w:rPr>
            </w:pPr>
            <w:r>
              <w:rPr>
                <w:sz w:val="21"/>
              </w:rPr>
              <w:t>达标</w:t>
            </w:r>
          </w:p>
        </w:tc>
      </w:tr>
    </w:tbl>
    <w:p w14:paraId="75484CAD">
      <w:pPr>
        <w:pStyle w:val="10"/>
        <w:spacing w:before="77" w:line="364" w:lineRule="auto"/>
        <w:ind w:left="240" w:right="117" w:firstLine="480"/>
      </w:pPr>
      <w:r>
        <w:rPr>
          <w:spacing w:val="-10"/>
          <w:position w:val="2"/>
        </w:rPr>
        <w:t>从上表可知，本项目新增</w:t>
      </w:r>
      <w:r>
        <w:rPr>
          <w:rFonts w:ascii="Times New Roman" w:eastAsia="Times New Roman"/>
          <w:position w:val="2"/>
        </w:rPr>
        <w:t>PM</w:t>
      </w:r>
      <w:r>
        <w:rPr>
          <w:rFonts w:ascii="Times New Roman" w:eastAsia="Times New Roman"/>
          <w:spacing w:val="-2"/>
          <w:w w:val="103"/>
          <w:position w:val="2"/>
          <w:vertAlign w:val="subscript"/>
        </w:rPr>
        <w:t>1</w:t>
      </w:r>
      <w:r>
        <w:rPr>
          <w:rFonts w:ascii="Times New Roman" w:eastAsia="Times New Roman"/>
          <w:w w:val="103"/>
          <w:position w:val="2"/>
          <w:vertAlign w:val="subscript"/>
        </w:rPr>
        <w:t>0</w:t>
      </w:r>
      <w:r>
        <w:rPr>
          <w:rFonts w:ascii="Times New Roman" w:eastAsia="Times New Roman"/>
          <w:position w:val="2"/>
          <w:vertAlign w:val="baseline"/>
        </w:rPr>
        <w:t xml:space="preserve"> </w:t>
      </w:r>
      <w:r>
        <w:rPr>
          <w:spacing w:val="6"/>
          <w:position w:val="2"/>
          <w:vertAlign w:val="baseline"/>
        </w:rPr>
        <w:t>非正常排放</w:t>
      </w:r>
      <w:r>
        <w:rPr>
          <w:rFonts w:ascii="Times New Roman" w:eastAsia="Times New Roman"/>
          <w:position w:val="2"/>
          <w:vertAlign w:val="baseline"/>
        </w:rPr>
        <w:t xml:space="preserve">1h </w:t>
      </w:r>
      <w:r>
        <w:rPr>
          <w:spacing w:val="1"/>
          <w:position w:val="2"/>
          <w:vertAlign w:val="baseline"/>
        </w:rPr>
        <w:t>平均浓度贡献值的最大占标率分别为</w:t>
      </w:r>
      <w:r>
        <w:rPr>
          <w:rFonts w:ascii="Times New Roman" w:eastAsia="Times New Roman"/>
          <w:position w:val="2"/>
          <w:vertAlign w:val="baseline"/>
        </w:rPr>
        <w:t>74.58</w:t>
      </w:r>
      <w:r>
        <w:rPr>
          <w:rFonts w:ascii="Times New Roman" w:eastAsia="Times New Roman"/>
          <w:spacing w:val="-1"/>
          <w:position w:val="2"/>
          <w:vertAlign w:val="baseline"/>
        </w:rPr>
        <w:t>%</w:t>
      </w:r>
      <w:r>
        <w:rPr>
          <w:spacing w:val="-23"/>
          <w:position w:val="2"/>
          <w:vertAlign w:val="baseline"/>
        </w:rPr>
        <w:t>，满足《环境空气质量标准</w:t>
      </w:r>
      <w:r>
        <w:rPr>
          <w:spacing w:val="-238"/>
          <w:position w:val="2"/>
          <w:vertAlign w:val="baseline"/>
        </w:rPr>
        <w:t>》</w:t>
      </w:r>
      <w:r>
        <w:rPr>
          <w:spacing w:val="-3"/>
          <w:position w:val="2"/>
          <w:vertAlign w:val="baseline"/>
        </w:rPr>
        <w:t>（</w:t>
      </w:r>
      <w:r>
        <w:rPr>
          <w:rFonts w:ascii="Times New Roman" w:eastAsia="Times New Roman"/>
          <w:spacing w:val="-1"/>
          <w:position w:val="2"/>
          <w:vertAlign w:val="baseline"/>
        </w:rPr>
        <w:t>G</w:t>
      </w:r>
      <w:r>
        <w:rPr>
          <w:rFonts w:ascii="Times New Roman" w:eastAsia="Times New Roman"/>
          <w:spacing w:val="-2"/>
          <w:position w:val="2"/>
          <w:vertAlign w:val="baseline"/>
        </w:rPr>
        <w:t>B</w:t>
      </w:r>
      <w:r>
        <w:rPr>
          <w:rFonts w:ascii="Times New Roman" w:eastAsia="Times New Roman"/>
          <w:position w:val="2"/>
          <w:vertAlign w:val="baseline"/>
        </w:rPr>
        <w:t>3095</w:t>
      </w:r>
      <w:r>
        <w:rPr>
          <w:rFonts w:ascii="Times New Roman" w:eastAsia="Times New Roman"/>
          <w:spacing w:val="0"/>
          <w:position w:val="2"/>
          <w:vertAlign w:val="baseline"/>
        </w:rPr>
        <w:t>-</w:t>
      </w:r>
      <w:r>
        <w:rPr>
          <w:rFonts w:ascii="Times New Roman" w:eastAsia="Times New Roman"/>
          <w:position w:val="2"/>
          <w:vertAlign w:val="baseline"/>
        </w:rPr>
        <w:t>201</w:t>
      </w:r>
      <w:r>
        <w:rPr>
          <w:rFonts w:ascii="Times New Roman" w:eastAsia="Times New Roman"/>
          <w:spacing w:val="1"/>
          <w:position w:val="2"/>
          <w:vertAlign w:val="baseline"/>
        </w:rPr>
        <w:t>2</w:t>
      </w:r>
      <w:r>
        <w:rPr>
          <w:position w:val="2"/>
          <w:vertAlign w:val="baseline"/>
        </w:rPr>
        <w:t>）</w:t>
      </w:r>
      <w:r>
        <w:rPr>
          <w:vertAlign w:val="baseline"/>
        </w:rPr>
        <w:t>中的二级标准要求。</w:t>
      </w:r>
    </w:p>
    <w:p w14:paraId="387F9465">
      <w:pPr>
        <w:spacing w:after="0" w:line="364" w:lineRule="auto"/>
        <w:sectPr>
          <w:pgSz w:w="16840" w:h="11910" w:orient="landscape"/>
          <w:pgMar w:top="1100" w:right="1080" w:bottom="1380" w:left="1200" w:header="0" w:footer="1192" w:gutter="0"/>
          <w:cols w:space="720" w:num="1"/>
        </w:sectPr>
      </w:pPr>
    </w:p>
    <w:p w14:paraId="76AF0077">
      <w:pPr>
        <w:pStyle w:val="10"/>
        <w:rPr>
          <w:sz w:val="20"/>
        </w:rPr>
      </w:pPr>
    </w:p>
    <w:p w14:paraId="73A4C16A">
      <w:pPr>
        <w:pStyle w:val="10"/>
        <w:spacing w:before="1"/>
        <w:rPr>
          <w:sz w:val="11"/>
        </w:rPr>
      </w:pPr>
    </w:p>
    <w:p w14:paraId="581F76C2">
      <w:pPr>
        <w:pStyle w:val="10"/>
        <w:ind w:left="240"/>
        <w:rPr>
          <w:sz w:val="20"/>
        </w:rPr>
      </w:pPr>
      <w:r>
        <w:rPr>
          <w:sz w:val="20"/>
        </w:rPr>
        <w:drawing>
          <wp:inline distT="0" distB="0" distL="0" distR="0">
            <wp:extent cx="6978650" cy="5303520"/>
            <wp:effectExtent l="0" t="0" r="0" b="0"/>
            <wp:docPr id="6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16.jpeg"/>
                    <pic:cNvPicPr>
                      <a:picLocks noChangeAspect="1"/>
                    </pic:cNvPicPr>
                  </pic:nvPicPr>
                  <pic:blipFill>
                    <a:blip r:embed="rId136" cstate="print"/>
                    <a:stretch>
                      <a:fillRect/>
                    </a:stretch>
                  </pic:blipFill>
                  <pic:spPr>
                    <a:xfrm>
                      <a:off x="0" y="0"/>
                      <a:ext cx="6979040" cy="5303520"/>
                    </a:xfrm>
                    <a:prstGeom prst="rect">
                      <a:avLst/>
                    </a:prstGeom>
                  </pic:spPr>
                </pic:pic>
              </a:graphicData>
            </a:graphic>
          </wp:inline>
        </w:drawing>
      </w:r>
    </w:p>
    <w:p w14:paraId="10EF2982">
      <w:pPr>
        <w:pStyle w:val="9"/>
        <w:spacing w:before="29"/>
        <w:ind w:left="2920"/>
      </w:pPr>
      <w:r>
        <w:rPr>
          <w:position w:val="2"/>
        </w:rPr>
        <w:t xml:space="preserve">图 </w:t>
      </w:r>
      <w:r>
        <w:rPr>
          <w:rFonts w:ascii="Times New Roman" w:eastAsia="Times New Roman"/>
          <w:position w:val="2"/>
        </w:rPr>
        <w:t xml:space="preserve">4.1-14 </w:t>
      </w:r>
      <w:r>
        <w:rPr>
          <w:position w:val="2"/>
        </w:rPr>
        <w:t xml:space="preserve">本项目新增污染源 </w:t>
      </w:r>
      <w:r>
        <w:rPr>
          <w:rFonts w:ascii="Times New Roman" w:eastAsia="Times New Roman"/>
          <w:position w:val="2"/>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非正常排放网格点小时值贡献值预测结果分布图</w:t>
      </w:r>
    </w:p>
    <w:p w14:paraId="32E342EB">
      <w:pPr>
        <w:spacing w:after="0"/>
        <w:sectPr>
          <w:pgSz w:w="16840" w:h="11910" w:orient="landscape"/>
          <w:pgMar w:top="1100" w:right="1080" w:bottom="1380" w:left="1200" w:header="0" w:footer="1192" w:gutter="0"/>
          <w:cols w:space="720" w:num="1"/>
        </w:sectPr>
      </w:pPr>
    </w:p>
    <w:p w14:paraId="71E60EBB">
      <w:pPr>
        <w:pStyle w:val="16"/>
        <w:numPr>
          <w:ilvl w:val="2"/>
          <w:numId w:val="17"/>
        </w:numPr>
        <w:tabs>
          <w:tab w:val="left" w:pos="1249"/>
        </w:tabs>
        <w:spacing w:before="55" w:after="0" w:line="240" w:lineRule="auto"/>
        <w:ind w:left="1248" w:right="0" w:hanging="628"/>
        <w:jc w:val="left"/>
        <w:rPr>
          <w:b/>
          <w:sz w:val="28"/>
        </w:rPr>
      </w:pPr>
      <w:r>
        <w:rPr>
          <w:b/>
          <w:sz w:val="28"/>
        </w:rPr>
        <w:t>大气防护距离</w:t>
      </w:r>
    </w:p>
    <w:p w14:paraId="3A34218A">
      <w:pPr>
        <w:pStyle w:val="10"/>
        <w:spacing w:before="212" w:line="364" w:lineRule="auto"/>
        <w:ind w:left="620" w:right="737" w:firstLine="480"/>
        <w:jc w:val="both"/>
      </w:pPr>
      <w:r>
        <w:t>根据《环境影响评价技术导则 大气环境》（</w:t>
      </w:r>
      <w:r>
        <w:rPr>
          <w:rFonts w:ascii="Times New Roman" w:eastAsia="Times New Roman"/>
        </w:rPr>
        <w:t>HJ2.2-2018</w:t>
      </w:r>
      <w:r>
        <w:t>）规定，对于项目</w:t>
      </w:r>
      <w:r>
        <w:rPr>
          <w:spacing w:val="-6"/>
        </w:rPr>
        <w:t>厂界浓度满足大气污染物厂界浓度限值，但厂界外大气污染物短期贡献浓度超过</w:t>
      </w:r>
      <w:r>
        <w:rPr>
          <w:spacing w:val="-12"/>
        </w:rPr>
        <w:t>环境质量浓度限值的，可以自厂界向外设置一定区域的大气环境防护区域，以确保大气环境防护区域外的污染物贡献浓度满足环境质量标准。</w:t>
      </w:r>
    </w:p>
    <w:p w14:paraId="4B3D0974">
      <w:pPr>
        <w:spacing w:before="3" w:line="364" w:lineRule="auto"/>
        <w:ind w:left="620" w:right="621" w:firstLine="480"/>
        <w:jc w:val="left"/>
        <w:rPr>
          <w:b/>
          <w:sz w:val="24"/>
        </w:rPr>
      </w:pPr>
      <w:r>
        <w:rPr>
          <w:spacing w:val="-11"/>
          <w:sz w:val="24"/>
        </w:rPr>
        <w:t>根据大气估算结果可知，本项目废气正常排放情况下</w:t>
      </w:r>
      <w:r>
        <w:rPr>
          <w:b/>
          <w:spacing w:val="-13"/>
          <w:sz w:val="24"/>
        </w:rPr>
        <w:t>，厂界线外没有超标点， 无需设置大气环境防护距离。</w:t>
      </w:r>
    </w:p>
    <w:p w14:paraId="00D02EB3">
      <w:pPr>
        <w:pStyle w:val="16"/>
        <w:numPr>
          <w:ilvl w:val="2"/>
          <w:numId w:val="17"/>
        </w:numPr>
        <w:tabs>
          <w:tab w:val="left" w:pos="1249"/>
        </w:tabs>
        <w:spacing w:before="54" w:after="0" w:line="240" w:lineRule="auto"/>
        <w:ind w:left="1248" w:right="0" w:hanging="628"/>
        <w:jc w:val="left"/>
        <w:rPr>
          <w:b/>
          <w:sz w:val="28"/>
        </w:rPr>
      </w:pPr>
      <w:r>
        <w:rPr>
          <w:b/>
          <w:sz w:val="28"/>
        </w:rPr>
        <w:t>大气污染物排放量核算</w:t>
      </w:r>
    </w:p>
    <w:p w14:paraId="333011CB">
      <w:pPr>
        <w:pStyle w:val="10"/>
        <w:spacing w:before="212"/>
        <w:ind w:left="1100"/>
      </w:pPr>
      <w:r>
        <w:rPr>
          <w:rFonts w:ascii="Times New Roman" w:eastAsia="Times New Roman"/>
        </w:rPr>
        <w:t>1</w:t>
      </w:r>
      <w:r>
        <w:t>、有组织排放量核算</w:t>
      </w:r>
    </w:p>
    <w:p w14:paraId="2A82796E">
      <w:pPr>
        <w:spacing w:before="160" w:line="364" w:lineRule="auto"/>
        <w:ind w:left="1100" w:right="1365" w:firstLine="0"/>
        <w:jc w:val="center"/>
        <w:rPr>
          <w:b/>
          <w:sz w:val="24"/>
        </w:rPr>
      </w:pPr>
      <w:r>
        <w:pict>
          <v:shape id="_x0000_s3116" o:spid="_x0000_s3116" o:spt="202" type="#_x0000_t202" style="position:absolute;left:0pt;margin-left:84.45pt;margin-top:50.75pt;height:28.25pt;width:426.6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2153"/>
                    <w:gridCol w:w="1278"/>
                    <w:gridCol w:w="1678"/>
                    <w:gridCol w:w="1584"/>
                    <w:gridCol w:w="1335"/>
                  </w:tblGrid>
                  <w:tr w14:paraId="55F23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89" w:type="dxa"/>
                        <w:tcBorders>
                          <w:left w:val="nil"/>
                        </w:tcBorders>
                      </w:tcPr>
                      <w:p w14:paraId="3DFF2EFE">
                        <w:pPr>
                          <w:pStyle w:val="17"/>
                          <w:spacing w:before="1" w:line="270" w:lineRule="atLeast"/>
                          <w:ind w:left="144" w:right="128"/>
                          <w:jc w:val="left"/>
                          <w:rPr>
                            <w:sz w:val="21"/>
                          </w:rPr>
                        </w:pPr>
                        <w:r>
                          <w:rPr>
                            <w:sz w:val="21"/>
                          </w:rPr>
                          <w:t>序号</w:t>
                        </w:r>
                      </w:p>
                    </w:tc>
                    <w:tc>
                      <w:tcPr>
                        <w:tcW w:w="2153" w:type="dxa"/>
                      </w:tcPr>
                      <w:p w14:paraId="6150B483">
                        <w:pPr>
                          <w:pStyle w:val="17"/>
                          <w:spacing w:before="136"/>
                          <w:ind w:left="550"/>
                          <w:jc w:val="left"/>
                          <w:rPr>
                            <w:sz w:val="21"/>
                          </w:rPr>
                        </w:pPr>
                        <w:r>
                          <w:rPr>
                            <w:sz w:val="21"/>
                          </w:rPr>
                          <w:t>排放口编号</w:t>
                        </w:r>
                      </w:p>
                    </w:tc>
                    <w:tc>
                      <w:tcPr>
                        <w:tcW w:w="1278" w:type="dxa"/>
                      </w:tcPr>
                      <w:p w14:paraId="3FABA4D5">
                        <w:pPr>
                          <w:pStyle w:val="17"/>
                          <w:spacing w:before="136"/>
                          <w:ind w:left="324"/>
                          <w:jc w:val="left"/>
                          <w:rPr>
                            <w:sz w:val="21"/>
                          </w:rPr>
                        </w:pPr>
                        <w:r>
                          <w:rPr>
                            <w:sz w:val="21"/>
                          </w:rPr>
                          <w:t>污染物</w:t>
                        </w:r>
                      </w:p>
                    </w:tc>
                    <w:tc>
                      <w:tcPr>
                        <w:tcW w:w="1678" w:type="dxa"/>
                      </w:tcPr>
                      <w:p w14:paraId="3E9B3D2C">
                        <w:pPr>
                          <w:pStyle w:val="17"/>
                          <w:spacing w:before="2"/>
                          <w:ind w:left="158" w:right="150"/>
                          <w:rPr>
                            <w:rFonts w:ascii="Times New Roman" w:eastAsia="Times New Roman"/>
                            <w:sz w:val="21"/>
                          </w:rPr>
                        </w:pPr>
                        <w:r>
                          <w:rPr>
                            <w:sz w:val="21"/>
                          </w:rPr>
                          <w:t>核算排放浓度</w:t>
                        </w:r>
                        <w:r>
                          <w:rPr>
                            <w:rFonts w:ascii="Times New Roman" w:eastAsia="Times New Roman"/>
                            <w:sz w:val="21"/>
                          </w:rPr>
                          <w:t>/</w:t>
                        </w:r>
                      </w:p>
                      <w:p w14:paraId="4E1B3C99">
                        <w:pPr>
                          <w:pStyle w:val="17"/>
                          <w:spacing w:before="2" w:line="252" w:lineRule="exact"/>
                          <w:ind w:left="158" w:right="150"/>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84" w:type="dxa"/>
                      </w:tcPr>
                      <w:p w14:paraId="5646619A">
                        <w:pPr>
                          <w:pStyle w:val="17"/>
                          <w:spacing w:before="2"/>
                          <w:ind w:left="112" w:right="102"/>
                          <w:rPr>
                            <w:rFonts w:ascii="Times New Roman" w:eastAsia="Times New Roman"/>
                            <w:sz w:val="21"/>
                          </w:rPr>
                        </w:pPr>
                        <w:r>
                          <w:rPr>
                            <w:sz w:val="21"/>
                          </w:rPr>
                          <w:t>核算排放速率</w:t>
                        </w:r>
                        <w:r>
                          <w:rPr>
                            <w:rFonts w:ascii="Times New Roman" w:eastAsia="Times New Roman"/>
                            <w:sz w:val="21"/>
                          </w:rPr>
                          <w:t>/</w:t>
                        </w:r>
                      </w:p>
                      <w:p w14:paraId="4E3B5F69">
                        <w:pPr>
                          <w:pStyle w:val="17"/>
                          <w:spacing w:before="2" w:line="252" w:lineRule="exact"/>
                          <w:ind w:left="110" w:right="102"/>
                          <w:rPr>
                            <w:sz w:val="21"/>
                          </w:rPr>
                        </w:pPr>
                        <w:r>
                          <w:rPr>
                            <w:sz w:val="21"/>
                          </w:rPr>
                          <w:t>（</w:t>
                        </w:r>
                        <w:r>
                          <w:rPr>
                            <w:rFonts w:ascii="Times New Roman" w:eastAsia="Times New Roman"/>
                            <w:sz w:val="21"/>
                          </w:rPr>
                          <w:t>kg/h</w:t>
                        </w:r>
                        <w:r>
                          <w:rPr>
                            <w:sz w:val="21"/>
                          </w:rPr>
                          <w:t>）</w:t>
                        </w:r>
                      </w:p>
                    </w:tc>
                    <w:tc>
                      <w:tcPr>
                        <w:tcW w:w="1335" w:type="dxa"/>
                        <w:tcBorders>
                          <w:right w:val="nil"/>
                        </w:tcBorders>
                      </w:tcPr>
                      <w:p w14:paraId="67E60BB1">
                        <w:pPr>
                          <w:pStyle w:val="17"/>
                          <w:spacing w:before="1" w:line="270" w:lineRule="atLeast"/>
                          <w:ind w:left="217" w:right="138" w:hanging="77"/>
                          <w:jc w:val="left"/>
                          <w:rPr>
                            <w:sz w:val="21"/>
                          </w:rPr>
                        </w:pPr>
                        <w:r>
                          <w:rPr>
                            <w:sz w:val="21"/>
                          </w:rPr>
                          <w:t>核算年排放量</w:t>
                        </w:r>
                        <w:r>
                          <w:rPr>
                            <w:rFonts w:ascii="Times New Roman" w:eastAsia="Times New Roman"/>
                            <w:sz w:val="21"/>
                          </w:rPr>
                          <w:t>/</w:t>
                        </w:r>
                        <w:r>
                          <w:rPr>
                            <w:sz w:val="21"/>
                          </w:rPr>
                          <w:t>（</w:t>
                        </w:r>
                        <w:r>
                          <w:rPr>
                            <w:rFonts w:ascii="Times New Roman" w:eastAsia="Times New Roman"/>
                            <w:sz w:val="21"/>
                          </w:rPr>
                          <w:t>t/a</w:t>
                        </w:r>
                        <w:r>
                          <w:rPr>
                            <w:sz w:val="21"/>
                          </w:rPr>
                          <w:t>）</w:t>
                        </w:r>
                      </w:p>
                    </w:tc>
                  </w:tr>
                </w:tbl>
                <w:p w14:paraId="5CAA2E30">
                  <w:pPr>
                    <w:pStyle w:val="10"/>
                  </w:pPr>
                </w:p>
              </w:txbxContent>
            </v:textbox>
          </v:shape>
        </w:pict>
      </w:r>
      <w:r>
        <w:rPr>
          <w:sz w:val="24"/>
        </w:rPr>
        <w:t>本项目排气筒均为一般排放口。具体有组织排放量核算情况见下表。</w:t>
      </w:r>
      <w:r>
        <w:rPr>
          <w:b/>
          <w:spacing w:val="-31"/>
          <w:sz w:val="24"/>
        </w:rPr>
        <w:t xml:space="preserve">表 </w:t>
      </w:r>
      <w:r>
        <w:rPr>
          <w:rFonts w:ascii="Times New Roman" w:eastAsia="Times New Roman"/>
          <w:b/>
          <w:sz w:val="24"/>
        </w:rPr>
        <w:t>4.1-24</w:t>
      </w:r>
      <w:r>
        <w:rPr>
          <w:rFonts w:ascii="Times New Roman" w:eastAsia="Times New Roman"/>
          <w:b/>
          <w:spacing w:val="58"/>
          <w:sz w:val="24"/>
        </w:rPr>
        <w:t xml:space="preserve"> </w:t>
      </w:r>
      <w:r>
        <w:rPr>
          <w:b/>
          <w:sz w:val="24"/>
        </w:rPr>
        <w:t>大气污染物有组织排放量核算表</w:t>
      </w:r>
    </w:p>
    <w:p w14:paraId="55EF409B">
      <w:pPr>
        <w:pStyle w:val="10"/>
        <w:rPr>
          <w:b/>
          <w:sz w:val="26"/>
        </w:rPr>
      </w:pPr>
    </w:p>
    <w:p w14:paraId="50F54E40">
      <w:pPr>
        <w:spacing w:before="207" w:line="348" w:lineRule="auto"/>
        <w:ind w:left="3931" w:right="4054" w:firstLine="0"/>
        <w:jc w:val="center"/>
        <w:rPr>
          <w:sz w:val="21"/>
        </w:rPr>
      </w:pPr>
      <w:r>
        <w:pict>
          <v:line id="_x0000_s3117" o:spid="_x0000_s3117" o:spt="20" style="position:absolute;left:0pt;margin-left:84.65pt;margin-top:26.8pt;height:0pt;width:425.85pt;mso-position-horizontal-relative:page;z-index:-251649024;mso-width-relative:page;mso-height-relative:page;" stroked="t" coordsize="21600,21600">
            <v:path arrowok="t"/>
            <v:fill focussize="0,0"/>
            <v:stroke weight="0.48pt" color="#000000"/>
            <v:imagedata o:title=""/>
            <o:lock v:ext="edit"/>
          </v:line>
        </w:pict>
      </w:r>
      <w:r>
        <w:pict>
          <v:shape id="_x0000_s3118" o:spid="_x0000_s3118" o:spt="202" type="#_x0000_t202" style="position:absolute;left:0pt;margin-left:84.45pt;margin-top:46.05pt;height:106pt;width:426.6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2153"/>
                    <w:gridCol w:w="1278"/>
                    <w:gridCol w:w="1678"/>
                    <w:gridCol w:w="1584"/>
                    <w:gridCol w:w="1335"/>
                  </w:tblGrid>
                  <w:tr w14:paraId="75F80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489" w:type="dxa"/>
                        <w:tcBorders>
                          <w:left w:val="nil"/>
                        </w:tcBorders>
                      </w:tcPr>
                      <w:p w14:paraId="28EA5750">
                        <w:pPr>
                          <w:pStyle w:val="17"/>
                          <w:spacing w:before="149"/>
                          <w:ind w:left="14"/>
                          <w:rPr>
                            <w:rFonts w:ascii="Times New Roman"/>
                            <w:sz w:val="21"/>
                          </w:rPr>
                        </w:pPr>
                        <w:r>
                          <w:rPr>
                            <w:rFonts w:ascii="Times New Roman"/>
                            <w:w w:val="99"/>
                            <w:sz w:val="21"/>
                          </w:rPr>
                          <w:t>1</w:t>
                        </w:r>
                      </w:p>
                    </w:tc>
                    <w:tc>
                      <w:tcPr>
                        <w:tcW w:w="2153" w:type="dxa"/>
                      </w:tcPr>
                      <w:p w14:paraId="1AFA4A9F">
                        <w:pPr>
                          <w:pStyle w:val="17"/>
                          <w:spacing w:before="1"/>
                          <w:ind w:left="21"/>
                          <w:rPr>
                            <w:sz w:val="21"/>
                          </w:rPr>
                        </w:pPr>
                        <w:r>
                          <w:rPr>
                            <w:rFonts w:ascii="Times New Roman" w:eastAsia="Times New Roman"/>
                            <w:sz w:val="21"/>
                          </w:rPr>
                          <w:t>DA001</w:t>
                        </w:r>
                        <w:r>
                          <w:rPr>
                            <w:sz w:val="21"/>
                          </w:rPr>
                          <w:t>（破碎、投料混</w:t>
                        </w:r>
                      </w:p>
                      <w:p w14:paraId="2C72D3FD">
                        <w:pPr>
                          <w:pStyle w:val="17"/>
                          <w:spacing w:before="2" w:line="252" w:lineRule="exact"/>
                          <w:ind w:left="9"/>
                          <w:rPr>
                            <w:sz w:val="21"/>
                          </w:rPr>
                        </w:pPr>
                        <w:r>
                          <w:rPr>
                            <w:sz w:val="21"/>
                          </w:rPr>
                          <w:t>料粉尘排气筒）</w:t>
                        </w:r>
                      </w:p>
                    </w:tc>
                    <w:tc>
                      <w:tcPr>
                        <w:tcW w:w="1278" w:type="dxa"/>
                      </w:tcPr>
                      <w:p w14:paraId="6B98BA50">
                        <w:pPr>
                          <w:pStyle w:val="17"/>
                          <w:spacing w:before="135"/>
                          <w:ind w:left="92" w:right="82"/>
                          <w:rPr>
                            <w:sz w:val="21"/>
                          </w:rPr>
                        </w:pPr>
                        <w:r>
                          <w:rPr>
                            <w:sz w:val="21"/>
                          </w:rPr>
                          <w:t>颗粒物</w:t>
                        </w:r>
                      </w:p>
                    </w:tc>
                    <w:tc>
                      <w:tcPr>
                        <w:tcW w:w="1678" w:type="dxa"/>
                      </w:tcPr>
                      <w:p w14:paraId="3AB2F405">
                        <w:pPr>
                          <w:pStyle w:val="17"/>
                          <w:spacing w:before="149"/>
                          <w:ind w:right="695"/>
                          <w:jc w:val="right"/>
                          <w:rPr>
                            <w:rFonts w:ascii="Times New Roman"/>
                            <w:sz w:val="21"/>
                          </w:rPr>
                        </w:pPr>
                        <w:r>
                          <w:rPr>
                            <w:rFonts w:ascii="Times New Roman"/>
                            <w:w w:val="95"/>
                            <w:sz w:val="21"/>
                          </w:rPr>
                          <w:t>0.3</w:t>
                        </w:r>
                      </w:p>
                    </w:tc>
                    <w:tc>
                      <w:tcPr>
                        <w:tcW w:w="1584" w:type="dxa"/>
                      </w:tcPr>
                      <w:p w14:paraId="48ACD622">
                        <w:pPr>
                          <w:pStyle w:val="17"/>
                          <w:spacing w:before="149"/>
                          <w:ind w:left="111" w:right="102"/>
                          <w:rPr>
                            <w:rFonts w:ascii="Times New Roman"/>
                            <w:sz w:val="21"/>
                          </w:rPr>
                        </w:pPr>
                        <w:r>
                          <w:rPr>
                            <w:rFonts w:ascii="Times New Roman"/>
                            <w:sz w:val="21"/>
                          </w:rPr>
                          <w:t>0.003</w:t>
                        </w:r>
                      </w:p>
                    </w:tc>
                    <w:tc>
                      <w:tcPr>
                        <w:tcW w:w="1335" w:type="dxa"/>
                        <w:tcBorders>
                          <w:right w:val="nil"/>
                        </w:tcBorders>
                      </w:tcPr>
                      <w:p w14:paraId="73D02217">
                        <w:pPr>
                          <w:pStyle w:val="17"/>
                          <w:spacing w:before="149"/>
                          <w:ind w:left="430"/>
                          <w:jc w:val="left"/>
                          <w:rPr>
                            <w:rFonts w:ascii="Times New Roman"/>
                            <w:sz w:val="21"/>
                          </w:rPr>
                        </w:pPr>
                        <w:r>
                          <w:rPr>
                            <w:rFonts w:ascii="Times New Roman"/>
                            <w:sz w:val="21"/>
                          </w:rPr>
                          <w:t>0.003</w:t>
                        </w:r>
                      </w:p>
                    </w:tc>
                  </w:tr>
                  <w:tr w14:paraId="20875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89" w:type="dxa"/>
                        <w:vMerge w:val="restart"/>
                        <w:tcBorders>
                          <w:left w:val="nil"/>
                        </w:tcBorders>
                      </w:tcPr>
                      <w:p w14:paraId="39FD338C">
                        <w:pPr>
                          <w:pStyle w:val="17"/>
                          <w:spacing w:before="6"/>
                          <w:jc w:val="left"/>
                          <w:rPr>
                            <w:b/>
                            <w:sz w:val="20"/>
                          </w:rPr>
                        </w:pPr>
                      </w:p>
                      <w:p w14:paraId="681937A5">
                        <w:pPr>
                          <w:pStyle w:val="17"/>
                          <w:ind w:left="14"/>
                          <w:rPr>
                            <w:rFonts w:ascii="Times New Roman"/>
                            <w:sz w:val="21"/>
                          </w:rPr>
                        </w:pPr>
                        <w:r>
                          <w:rPr>
                            <w:rFonts w:ascii="Times New Roman"/>
                            <w:w w:val="99"/>
                            <w:sz w:val="21"/>
                          </w:rPr>
                          <w:t>2</w:t>
                        </w:r>
                      </w:p>
                    </w:tc>
                    <w:tc>
                      <w:tcPr>
                        <w:tcW w:w="2153" w:type="dxa"/>
                        <w:vMerge w:val="restart"/>
                      </w:tcPr>
                      <w:p w14:paraId="0E47BC86">
                        <w:pPr>
                          <w:pStyle w:val="17"/>
                          <w:spacing w:before="111" w:line="242" w:lineRule="auto"/>
                          <w:ind w:left="178" w:right="85" w:hanging="70"/>
                          <w:jc w:val="left"/>
                          <w:rPr>
                            <w:sz w:val="21"/>
                          </w:rPr>
                        </w:pPr>
                        <w:r>
                          <w:rPr>
                            <w:rFonts w:ascii="Times New Roman" w:eastAsia="Times New Roman"/>
                            <w:spacing w:val="-8"/>
                            <w:sz w:val="21"/>
                          </w:rPr>
                          <w:t>DA002</w:t>
                        </w:r>
                        <w:r>
                          <w:rPr>
                            <w:spacing w:val="-8"/>
                            <w:sz w:val="21"/>
                          </w:rPr>
                          <w:t>（</w:t>
                        </w:r>
                        <w:r>
                          <w:rPr>
                            <w:spacing w:val="-18"/>
                            <w:sz w:val="21"/>
                          </w:rPr>
                          <w:t>挤出造粒、挤</w:t>
                        </w:r>
                        <w:r>
                          <w:rPr>
                            <w:spacing w:val="-13"/>
                            <w:sz w:val="21"/>
                          </w:rPr>
                          <w:t>出注塑废气排气筒</w:t>
                        </w:r>
                        <w:r>
                          <w:rPr>
                            <w:sz w:val="21"/>
                          </w:rPr>
                          <w:t>）</w:t>
                        </w:r>
                      </w:p>
                    </w:tc>
                    <w:tc>
                      <w:tcPr>
                        <w:tcW w:w="1278" w:type="dxa"/>
                      </w:tcPr>
                      <w:p w14:paraId="4382A011">
                        <w:pPr>
                          <w:pStyle w:val="17"/>
                          <w:spacing w:before="54"/>
                          <w:ind w:left="92" w:right="82"/>
                          <w:rPr>
                            <w:sz w:val="21"/>
                          </w:rPr>
                        </w:pPr>
                        <w:r>
                          <w:rPr>
                            <w:sz w:val="21"/>
                          </w:rPr>
                          <w:t>颗粒物</w:t>
                        </w:r>
                      </w:p>
                    </w:tc>
                    <w:tc>
                      <w:tcPr>
                        <w:tcW w:w="1678" w:type="dxa"/>
                      </w:tcPr>
                      <w:p w14:paraId="29602B89">
                        <w:pPr>
                          <w:pStyle w:val="17"/>
                          <w:spacing w:before="68"/>
                          <w:ind w:right="642"/>
                          <w:jc w:val="right"/>
                          <w:rPr>
                            <w:rFonts w:ascii="Times New Roman"/>
                            <w:sz w:val="21"/>
                          </w:rPr>
                        </w:pPr>
                        <w:r>
                          <w:rPr>
                            <w:rFonts w:ascii="Times New Roman"/>
                            <w:sz w:val="21"/>
                          </w:rPr>
                          <w:t>0.27</w:t>
                        </w:r>
                      </w:p>
                    </w:tc>
                    <w:tc>
                      <w:tcPr>
                        <w:tcW w:w="1584" w:type="dxa"/>
                      </w:tcPr>
                      <w:p w14:paraId="79BFB40E">
                        <w:pPr>
                          <w:pStyle w:val="17"/>
                          <w:spacing w:before="68"/>
                          <w:ind w:left="111" w:right="102"/>
                          <w:rPr>
                            <w:rFonts w:ascii="Times New Roman"/>
                            <w:sz w:val="21"/>
                          </w:rPr>
                        </w:pPr>
                        <w:r>
                          <w:rPr>
                            <w:rFonts w:ascii="Times New Roman"/>
                            <w:sz w:val="21"/>
                          </w:rPr>
                          <w:t>0.004</w:t>
                        </w:r>
                      </w:p>
                    </w:tc>
                    <w:tc>
                      <w:tcPr>
                        <w:tcW w:w="1335" w:type="dxa"/>
                        <w:tcBorders>
                          <w:right w:val="nil"/>
                        </w:tcBorders>
                      </w:tcPr>
                      <w:p w14:paraId="5A6C108A">
                        <w:pPr>
                          <w:pStyle w:val="17"/>
                          <w:spacing w:before="68"/>
                          <w:ind w:left="430"/>
                          <w:jc w:val="left"/>
                          <w:rPr>
                            <w:rFonts w:ascii="Times New Roman"/>
                            <w:sz w:val="21"/>
                          </w:rPr>
                        </w:pPr>
                        <w:r>
                          <w:rPr>
                            <w:rFonts w:ascii="Times New Roman"/>
                            <w:sz w:val="21"/>
                          </w:rPr>
                          <w:t>0.020</w:t>
                        </w:r>
                      </w:p>
                    </w:tc>
                  </w:tr>
                  <w:tr w14:paraId="26B54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89" w:type="dxa"/>
                        <w:vMerge w:val="continue"/>
                        <w:tcBorders>
                          <w:top w:val="nil"/>
                          <w:left w:val="nil"/>
                        </w:tcBorders>
                      </w:tcPr>
                      <w:p w14:paraId="2DB979D6">
                        <w:pPr>
                          <w:rPr>
                            <w:sz w:val="2"/>
                            <w:szCs w:val="2"/>
                          </w:rPr>
                        </w:pPr>
                      </w:p>
                    </w:tc>
                    <w:tc>
                      <w:tcPr>
                        <w:tcW w:w="2153" w:type="dxa"/>
                        <w:vMerge w:val="continue"/>
                        <w:tcBorders>
                          <w:top w:val="nil"/>
                        </w:tcBorders>
                      </w:tcPr>
                      <w:p w14:paraId="3006ABD7">
                        <w:pPr>
                          <w:rPr>
                            <w:sz w:val="2"/>
                            <w:szCs w:val="2"/>
                          </w:rPr>
                        </w:pPr>
                      </w:p>
                    </w:tc>
                    <w:tc>
                      <w:tcPr>
                        <w:tcW w:w="1278" w:type="dxa"/>
                      </w:tcPr>
                      <w:p w14:paraId="1E053E91">
                        <w:pPr>
                          <w:pStyle w:val="17"/>
                          <w:spacing w:before="54"/>
                          <w:ind w:left="92" w:right="85"/>
                          <w:rPr>
                            <w:sz w:val="21"/>
                          </w:rPr>
                        </w:pPr>
                        <w:r>
                          <w:rPr>
                            <w:sz w:val="21"/>
                          </w:rPr>
                          <w:t>非甲烷总烃</w:t>
                        </w:r>
                      </w:p>
                    </w:tc>
                    <w:tc>
                      <w:tcPr>
                        <w:tcW w:w="1678" w:type="dxa"/>
                      </w:tcPr>
                      <w:p w14:paraId="06CBAEC3">
                        <w:pPr>
                          <w:pStyle w:val="17"/>
                          <w:spacing w:before="68"/>
                          <w:ind w:right="642"/>
                          <w:jc w:val="right"/>
                          <w:rPr>
                            <w:rFonts w:ascii="Times New Roman"/>
                            <w:sz w:val="21"/>
                          </w:rPr>
                        </w:pPr>
                        <w:r>
                          <w:rPr>
                            <w:rFonts w:ascii="Times New Roman"/>
                            <w:sz w:val="21"/>
                          </w:rPr>
                          <w:t>52.3</w:t>
                        </w:r>
                      </w:p>
                    </w:tc>
                    <w:tc>
                      <w:tcPr>
                        <w:tcW w:w="1584" w:type="dxa"/>
                      </w:tcPr>
                      <w:p w14:paraId="20E7548B">
                        <w:pPr>
                          <w:pStyle w:val="17"/>
                          <w:spacing w:before="68"/>
                          <w:ind w:left="111" w:right="102"/>
                          <w:rPr>
                            <w:rFonts w:ascii="Times New Roman"/>
                            <w:sz w:val="21"/>
                          </w:rPr>
                        </w:pPr>
                        <w:r>
                          <w:rPr>
                            <w:rFonts w:ascii="Times New Roman"/>
                            <w:sz w:val="21"/>
                          </w:rPr>
                          <w:t>0.785</w:t>
                        </w:r>
                      </w:p>
                    </w:tc>
                    <w:tc>
                      <w:tcPr>
                        <w:tcW w:w="1335" w:type="dxa"/>
                        <w:tcBorders>
                          <w:right w:val="nil"/>
                        </w:tcBorders>
                      </w:tcPr>
                      <w:p w14:paraId="5F9E8DB6">
                        <w:pPr>
                          <w:pStyle w:val="17"/>
                          <w:spacing w:before="68"/>
                          <w:ind w:left="430"/>
                          <w:jc w:val="left"/>
                          <w:rPr>
                            <w:rFonts w:ascii="Times New Roman"/>
                            <w:sz w:val="21"/>
                          </w:rPr>
                        </w:pPr>
                        <w:r>
                          <w:rPr>
                            <w:rFonts w:ascii="Times New Roman"/>
                            <w:sz w:val="21"/>
                          </w:rPr>
                          <w:t>3.769</w:t>
                        </w:r>
                      </w:p>
                    </w:tc>
                  </w:tr>
                  <w:tr w14:paraId="53B45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42" w:type="dxa"/>
                        <w:gridSpan w:val="2"/>
                        <w:vMerge w:val="restart"/>
                        <w:tcBorders>
                          <w:left w:val="nil"/>
                        </w:tcBorders>
                      </w:tcPr>
                      <w:p w14:paraId="7ADB73FA">
                        <w:pPr>
                          <w:pStyle w:val="17"/>
                          <w:spacing w:before="4"/>
                          <w:jc w:val="left"/>
                          <w:rPr>
                            <w:b/>
                            <w:sz w:val="19"/>
                          </w:rPr>
                        </w:pPr>
                      </w:p>
                      <w:p w14:paraId="1AA705F1">
                        <w:pPr>
                          <w:pStyle w:val="17"/>
                          <w:ind w:left="590"/>
                          <w:jc w:val="left"/>
                          <w:rPr>
                            <w:sz w:val="21"/>
                          </w:rPr>
                        </w:pPr>
                        <w:r>
                          <w:rPr>
                            <w:sz w:val="21"/>
                          </w:rPr>
                          <w:t>一般排放口合计</w:t>
                        </w:r>
                      </w:p>
                    </w:tc>
                    <w:tc>
                      <w:tcPr>
                        <w:tcW w:w="4540" w:type="dxa"/>
                        <w:gridSpan w:val="3"/>
                      </w:tcPr>
                      <w:p w14:paraId="1E79794C">
                        <w:pPr>
                          <w:pStyle w:val="17"/>
                          <w:spacing w:before="53"/>
                          <w:ind w:left="1722" w:right="1715"/>
                          <w:rPr>
                            <w:sz w:val="21"/>
                          </w:rPr>
                        </w:pPr>
                        <w:r>
                          <w:rPr>
                            <w:sz w:val="21"/>
                          </w:rPr>
                          <w:t>颗粒物</w:t>
                        </w:r>
                      </w:p>
                    </w:tc>
                    <w:tc>
                      <w:tcPr>
                        <w:tcW w:w="1335" w:type="dxa"/>
                        <w:tcBorders>
                          <w:right w:val="nil"/>
                        </w:tcBorders>
                      </w:tcPr>
                      <w:p w14:paraId="26186A5A">
                        <w:pPr>
                          <w:pStyle w:val="17"/>
                          <w:spacing w:before="67"/>
                          <w:ind w:left="430"/>
                          <w:jc w:val="left"/>
                          <w:rPr>
                            <w:rFonts w:ascii="Times New Roman"/>
                            <w:sz w:val="21"/>
                          </w:rPr>
                        </w:pPr>
                        <w:r>
                          <w:rPr>
                            <w:rFonts w:ascii="Times New Roman"/>
                            <w:sz w:val="21"/>
                          </w:rPr>
                          <w:t>0.023</w:t>
                        </w:r>
                      </w:p>
                    </w:tc>
                  </w:tr>
                  <w:tr w14:paraId="1A1DA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642" w:type="dxa"/>
                        <w:gridSpan w:val="2"/>
                        <w:vMerge w:val="continue"/>
                        <w:tcBorders>
                          <w:top w:val="nil"/>
                          <w:left w:val="nil"/>
                        </w:tcBorders>
                      </w:tcPr>
                      <w:p w14:paraId="1CE24342">
                        <w:pPr>
                          <w:rPr>
                            <w:sz w:val="2"/>
                            <w:szCs w:val="2"/>
                          </w:rPr>
                        </w:pPr>
                      </w:p>
                    </w:tc>
                    <w:tc>
                      <w:tcPr>
                        <w:tcW w:w="4540" w:type="dxa"/>
                        <w:gridSpan w:val="3"/>
                      </w:tcPr>
                      <w:p w14:paraId="4BB2698A">
                        <w:pPr>
                          <w:pStyle w:val="17"/>
                          <w:spacing w:before="53"/>
                          <w:ind w:left="1724" w:right="1715"/>
                          <w:rPr>
                            <w:sz w:val="21"/>
                          </w:rPr>
                        </w:pPr>
                        <w:r>
                          <w:rPr>
                            <w:sz w:val="21"/>
                          </w:rPr>
                          <w:t>非甲烷总烃</w:t>
                        </w:r>
                      </w:p>
                    </w:tc>
                    <w:tc>
                      <w:tcPr>
                        <w:tcW w:w="1335" w:type="dxa"/>
                        <w:tcBorders>
                          <w:right w:val="nil"/>
                        </w:tcBorders>
                      </w:tcPr>
                      <w:p w14:paraId="3A2BB922">
                        <w:pPr>
                          <w:pStyle w:val="17"/>
                          <w:spacing w:before="67"/>
                          <w:ind w:left="430"/>
                          <w:jc w:val="left"/>
                          <w:rPr>
                            <w:rFonts w:ascii="Times New Roman"/>
                            <w:sz w:val="21"/>
                          </w:rPr>
                        </w:pPr>
                        <w:r>
                          <w:rPr>
                            <w:rFonts w:ascii="Times New Roman"/>
                            <w:sz w:val="21"/>
                          </w:rPr>
                          <w:t>3.769</w:t>
                        </w:r>
                      </w:p>
                    </w:tc>
                  </w:tr>
                </w:tbl>
                <w:p w14:paraId="056266F0">
                  <w:pPr>
                    <w:pStyle w:val="10"/>
                  </w:pPr>
                </w:p>
              </w:txbxContent>
            </v:textbox>
          </v:shape>
        </w:pict>
      </w:r>
      <w:r>
        <w:rPr>
          <w:w w:val="95"/>
          <w:sz w:val="21"/>
        </w:rPr>
        <w:t xml:space="preserve">主要排放口（无） </w:t>
      </w:r>
      <w:r>
        <w:rPr>
          <w:sz w:val="21"/>
        </w:rPr>
        <w:t>一般排放口</w:t>
      </w:r>
    </w:p>
    <w:p w14:paraId="7BB9F5E4">
      <w:pPr>
        <w:pStyle w:val="10"/>
        <w:rPr>
          <w:sz w:val="20"/>
        </w:rPr>
      </w:pPr>
    </w:p>
    <w:p w14:paraId="001C00DE">
      <w:pPr>
        <w:pStyle w:val="10"/>
        <w:rPr>
          <w:sz w:val="20"/>
        </w:rPr>
      </w:pPr>
    </w:p>
    <w:p w14:paraId="6BE4FC24">
      <w:pPr>
        <w:pStyle w:val="10"/>
        <w:rPr>
          <w:sz w:val="20"/>
        </w:rPr>
      </w:pPr>
    </w:p>
    <w:p w14:paraId="2D9F2C47">
      <w:pPr>
        <w:pStyle w:val="10"/>
        <w:rPr>
          <w:sz w:val="20"/>
        </w:rPr>
      </w:pPr>
    </w:p>
    <w:p w14:paraId="0E8369F2">
      <w:pPr>
        <w:pStyle w:val="10"/>
        <w:rPr>
          <w:sz w:val="20"/>
        </w:rPr>
      </w:pPr>
    </w:p>
    <w:p w14:paraId="4B6DF39C">
      <w:pPr>
        <w:pStyle w:val="10"/>
        <w:rPr>
          <w:sz w:val="20"/>
        </w:rPr>
      </w:pPr>
    </w:p>
    <w:p w14:paraId="4ED82F1A">
      <w:pPr>
        <w:pStyle w:val="10"/>
        <w:rPr>
          <w:sz w:val="20"/>
        </w:rPr>
      </w:pPr>
    </w:p>
    <w:p w14:paraId="55C5F061">
      <w:pPr>
        <w:pStyle w:val="10"/>
        <w:spacing w:before="10"/>
        <w:rPr>
          <w:sz w:val="22"/>
        </w:rPr>
      </w:pPr>
    </w:p>
    <w:p w14:paraId="7B968564">
      <w:pPr>
        <w:spacing w:before="0" w:after="35"/>
        <w:ind w:left="1100" w:right="1219" w:firstLine="0"/>
        <w:jc w:val="center"/>
        <w:rPr>
          <w:sz w:val="21"/>
        </w:rPr>
      </w:pPr>
      <w:r>
        <w:rPr>
          <w:sz w:val="21"/>
        </w:rPr>
        <w:t>有组织排放总计</w:t>
      </w:r>
    </w:p>
    <w:tbl>
      <w:tblPr>
        <w:tblStyle w:val="13"/>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2"/>
        <w:gridCol w:w="4540"/>
        <w:gridCol w:w="1335"/>
      </w:tblGrid>
      <w:tr w14:paraId="3FD30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642" w:type="dxa"/>
            <w:vMerge w:val="restart"/>
            <w:tcBorders>
              <w:left w:val="nil"/>
            </w:tcBorders>
          </w:tcPr>
          <w:p w14:paraId="0A2E4116">
            <w:pPr>
              <w:pStyle w:val="17"/>
              <w:jc w:val="left"/>
              <w:rPr>
                <w:sz w:val="16"/>
              </w:rPr>
            </w:pPr>
          </w:p>
          <w:p w14:paraId="530181C2">
            <w:pPr>
              <w:pStyle w:val="17"/>
              <w:ind w:left="590"/>
              <w:jc w:val="left"/>
              <w:rPr>
                <w:sz w:val="21"/>
              </w:rPr>
            </w:pPr>
            <w:r>
              <w:rPr>
                <w:sz w:val="21"/>
              </w:rPr>
              <w:t>有组织排放总计</w:t>
            </w:r>
          </w:p>
        </w:tc>
        <w:tc>
          <w:tcPr>
            <w:tcW w:w="4540" w:type="dxa"/>
          </w:tcPr>
          <w:p w14:paraId="68E57C61">
            <w:pPr>
              <w:pStyle w:val="17"/>
              <w:spacing w:before="32"/>
              <w:ind w:left="1722" w:right="1715"/>
              <w:rPr>
                <w:sz w:val="21"/>
              </w:rPr>
            </w:pPr>
            <w:r>
              <w:rPr>
                <w:sz w:val="21"/>
              </w:rPr>
              <w:t>颗粒物</w:t>
            </w:r>
          </w:p>
        </w:tc>
        <w:tc>
          <w:tcPr>
            <w:tcW w:w="1335" w:type="dxa"/>
            <w:tcBorders>
              <w:right w:val="nil"/>
            </w:tcBorders>
          </w:tcPr>
          <w:p w14:paraId="2128B327">
            <w:pPr>
              <w:pStyle w:val="17"/>
              <w:spacing w:before="46"/>
              <w:ind w:left="430"/>
              <w:jc w:val="left"/>
              <w:rPr>
                <w:rFonts w:ascii="Times New Roman"/>
                <w:sz w:val="21"/>
              </w:rPr>
            </w:pPr>
            <w:r>
              <w:rPr>
                <w:rFonts w:ascii="Times New Roman"/>
                <w:sz w:val="21"/>
              </w:rPr>
              <w:t>0.023</w:t>
            </w:r>
          </w:p>
        </w:tc>
      </w:tr>
      <w:tr w14:paraId="0F395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642" w:type="dxa"/>
            <w:vMerge w:val="continue"/>
            <w:tcBorders>
              <w:top w:val="nil"/>
              <w:left w:val="nil"/>
            </w:tcBorders>
          </w:tcPr>
          <w:p w14:paraId="443C32A6">
            <w:pPr>
              <w:rPr>
                <w:sz w:val="2"/>
                <w:szCs w:val="2"/>
              </w:rPr>
            </w:pPr>
          </w:p>
        </w:tc>
        <w:tc>
          <w:tcPr>
            <w:tcW w:w="4540" w:type="dxa"/>
          </w:tcPr>
          <w:p w14:paraId="07C2F875">
            <w:pPr>
              <w:pStyle w:val="17"/>
              <w:spacing w:before="33"/>
              <w:ind w:left="1724" w:right="1715"/>
              <w:rPr>
                <w:sz w:val="21"/>
              </w:rPr>
            </w:pPr>
            <w:r>
              <w:rPr>
                <w:sz w:val="21"/>
              </w:rPr>
              <w:t>非甲烷总烃</w:t>
            </w:r>
          </w:p>
        </w:tc>
        <w:tc>
          <w:tcPr>
            <w:tcW w:w="1335" w:type="dxa"/>
            <w:tcBorders>
              <w:right w:val="nil"/>
            </w:tcBorders>
          </w:tcPr>
          <w:p w14:paraId="6A5BF119">
            <w:pPr>
              <w:pStyle w:val="17"/>
              <w:spacing w:before="47"/>
              <w:ind w:left="430"/>
              <w:jc w:val="left"/>
              <w:rPr>
                <w:rFonts w:ascii="Times New Roman"/>
                <w:sz w:val="21"/>
              </w:rPr>
            </w:pPr>
            <w:r>
              <w:rPr>
                <w:rFonts w:ascii="Times New Roman"/>
                <w:sz w:val="21"/>
              </w:rPr>
              <w:t>3.769</w:t>
            </w:r>
          </w:p>
        </w:tc>
      </w:tr>
    </w:tbl>
    <w:p w14:paraId="4BC7EE73">
      <w:pPr>
        <w:pStyle w:val="9"/>
        <w:spacing w:before="80"/>
        <w:ind w:left="1061"/>
      </w:pPr>
      <w:r>
        <w:rPr>
          <w:rFonts w:ascii="Times New Roman" w:eastAsia="Times New Roman"/>
        </w:rPr>
        <w:t>2</w:t>
      </w:r>
      <w:r>
        <w:t>、无组织排放量核算</w:t>
      </w:r>
    </w:p>
    <w:p w14:paraId="1E0DC1C9">
      <w:pPr>
        <w:pStyle w:val="10"/>
        <w:spacing w:before="161"/>
        <w:ind w:left="1061"/>
      </w:pPr>
      <w:r>
        <w:t>本项目废气无组织排放量核算见下表。</w:t>
      </w:r>
    </w:p>
    <w:p w14:paraId="60E49EB8">
      <w:pPr>
        <w:pStyle w:val="9"/>
        <w:spacing w:before="160"/>
        <w:ind w:left="1100" w:right="1221"/>
        <w:jc w:val="center"/>
      </w:pPr>
      <w:r>
        <w:t>表</w:t>
      </w:r>
      <w:r>
        <w:rPr>
          <w:rFonts w:ascii="Times New Roman" w:eastAsia="Times New Roman"/>
        </w:rPr>
        <w:t>4.1-25</w:t>
      </w:r>
      <w:r>
        <w:rPr>
          <w:rFonts w:ascii="Times New Roman" w:eastAsia="Times New Roman"/>
          <w:spacing w:val="58"/>
        </w:rPr>
        <w:t xml:space="preserve"> </w:t>
      </w:r>
      <w:r>
        <w:t>大气无组织排放量核算表</w:t>
      </w:r>
    </w:p>
    <w:p w14:paraId="447FC340">
      <w:pPr>
        <w:pStyle w:val="10"/>
        <w:spacing w:before="4"/>
        <w:rPr>
          <w:b/>
          <w:sz w:val="6"/>
        </w:rPr>
      </w:pPr>
    </w:p>
    <w:tbl>
      <w:tblPr>
        <w:tblStyle w:val="13"/>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755"/>
        <w:gridCol w:w="1069"/>
        <w:gridCol w:w="1187"/>
        <w:gridCol w:w="1102"/>
        <w:gridCol w:w="1817"/>
        <w:gridCol w:w="1110"/>
        <w:gridCol w:w="1078"/>
      </w:tblGrid>
      <w:tr w14:paraId="39569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399" w:type="dxa"/>
            <w:vMerge w:val="restart"/>
            <w:tcBorders>
              <w:left w:val="nil"/>
            </w:tcBorders>
          </w:tcPr>
          <w:p w14:paraId="68814A86">
            <w:pPr>
              <w:pStyle w:val="17"/>
              <w:spacing w:before="26"/>
              <w:ind w:left="98"/>
              <w:jc w:val="left"/>
              <w:rPr>
                <w:sz w:val="21"/>
              </w:rPr>
            </w:pPr>
            <w:r>
              <w:rPr>
                <w:w w:val="99"/>
                <w:sz w:val="21"/>
              </w:rPr>
              <w:t>序</w:t>
            </w:r>
          </w:p>
          <w:p w14:paraId="2D6D67FE">
            <w:pPr>
              <w:pStyle w:val="17"/>
              <w:spacing w:before="43"/>
              <w:ind w:left="98"/>
              <w:jc w:val="left"/>
              <w:rPr>
                <w:sz w:val="21"/>
              </w:rPr>
            </w:pPr>
            <w:r>
              <w:rPr>
                <w:w w:val="99"/>
                <w:sz w:val="21"/>
              </w:rPr>
              <w:t>号</w:t>
            </w:r>
          </w:p>
        </w:tc>
        <w:tc>
          <w:tcPr>
            <w:tcW w:w="755" w:type="dxa"/>
            <w:vMerge w:val="restart"/>
          </w:tcPr>
          <w:p w14:paraId="4105BD31">
            <w:pPr>
              <w:pStyle w:val="17"/>
              <w:spacing w:before="26"/>
              <w:ind w:left="41" w:right="34"/>
              <w:rPr>
                <w:sz w:val="21"/>
              </w:rPr>
            </w:pPr>
            <w:r>
              <w:rPr>
                <w:sz w:val="21"/>
              </w:rPr>
              <w:t>排放口</w:t>
            </w:r>
          </w:p>
          <w:p w14:paraId="36F3F250">
            <w:pPr>
              <w:pStyle w:val="17"/>
              <w:spacing w:before="43"/>
              <w:ind w:left="41" w:right="34"/>
              <w:rPr>
                <w:sz w:val="21"/>
              </w:rPr>
            </w:pPr>
            <w:r>
              <w:rPr>
                <w:sz w:val="21"/>
              </w:rPr>
              <w:t>编号</w:t>
            </w:r>
          </w:p>
        </w:tc>
        <w:tc>
          <w:tcPr>
            <w:tcW w:w="1069" w:type="dxa"/>
            <w:vMerge w:val="restart"/>
          </w:tcPr>
          <w:p w14:paraId="4AAA7251">
            <w:pPr>
              <w:pStyle w:val="17"/>
              <w:spacing w:before="26"/>
              <w:ind w:left="324"/>
              <w:jc w:val="left"/>
              <w:rPr>
                <w:sz w:val="21"/>
              </w:rPr>
            </w:pPr>
            <w:r>
              <w:rPr>
                <w:w w:val="95"/>
                <w:sz w:val="21"/>
              </w:rPr>
              <w:t>产污</w:t>
            </w:r>
          </w:p>
          <w:p w14:paraId="286D5F29">
            <w:pPr>
              <w:pStyle w:val="17"/>
              <w:spacing w:before="43"/>
              <w:ind w:left="324"/>
              <w:jc w:val="left"/>
              <w:rPr>
                <w:sz w:val="21"/>
              </w:rPr>
            </w:pPr>
            <w:r>
              <w:rPr>
                <w:w w:val="95"/>
                <w:sz w:val="21"/>
              </w:rPr>
              <w:t>环节</w:t>
            </w:r>
          </w:p>
        </w:tc>
        <w:tc>
          <w:tcPr>
            <w:tcW w:w="1187" w:type="dxa"/>
            <w:vMerge w:val="restart"/>
          </w:tcPr>
          <w:p w14:paraId="3B0A9316">
            <w:pPr>
              <w:pStyle w:val="17"/>
              <w:spacing w:before="2"/>
              <w:jc w:val="left"/>
              <w:rPr>
                <w:b/>
                <w:sz w:val="14"/>
              </w:rPr>
            </w:pPr>
          </w:p>
          <w:p w14:paraId="314604CC">
            <w:pPr>
              <w:pStyle w:val="17"/>
              <w:ind w:left="277"/>
              <w:jc w:val="left"/>
              <w:rPr>
                <w:sz w:val="21"/>
              </w:rPr>
            </w:pPr>
            <w:r>
              <w:rPr>
                <w:sz w:val="21"/>
              </w:rPr>
              <w:t>污染物</w:t>
            </w:r>
          </w:p>
        </w:tc>
        <w:tc>
          <w:tcPr>
            <w:tcW w:w="1102" w:type="dxa"/>
            <w:vMerge w:val="restart"/>
          </w:tcPr>
          <w:p w14:paraId="7E7BA6B5">
            <w:pPr>
              <w:pStyle w:val="17"/>
              <w:spacing w:before="26"/>
              <w:ind w:left="130"/>
              <w:jc w:val="left"/>
              <w:rPr>
                <w:sz w:val="21"/>
              </w:rPr>
            </w:pPr>
            <w:r>
              <w:rPr>
                <w:w w:val="95"/>
                <w:sz w:val="21"/>
              </w:rPr>
              <w:t>主要污染</w:t>
            </w:r>
          </w:p>
          <w:p w14:paraId="12DEA0EE">
            <w:pPr>
              <w:pStyle w:val="17"/>
              <w:spacing w:before="43"/>
              <w:ind w:left="130"/>
              <w:jc w:val="left"/>
              <w:rPr>
                <w:sz w:val="21"/>
              </w:rPr>
            </w:pPr>
            <w:r>
              <w:rPr>
                <w:w w:val="95"/>
                <w:sz w:val="21"/>
              </w:rPr>
              <w:t>防治措施</w:t>
            </w:r>
          </w:p>
        </w:tc>
        <w:tc>
          <w:tcPr>
            <w:tcW w:w="2927" w:type="dxa"/>
            <w:gridSpan w:val="2"/>
          </w:tcPr>
          <w:p w14:paraId="48B6C52C">
            <w:pPr>
              <w:pStyle w:val="17"/>
              <w:spacing w:before="21"/>
              <w:ind w:left="201"/>
              <w:jc w:val="left"/>
              <w:rPr>
                <w:sz w:val="21"/>
              </w:rPr>
            </w:pPr>
            <w:r>
              <w:rPr>
                <w:sz w:val="21"/>
              </w:rPr>
              <w:t>国家或地方污染物排放标准</w:t>
            </w:r>
          </w:p>
        </w:tc>
        <w:tc>
          <w:tcPr>
            <w:tcW w:w="1078" w:type="dxa"/>
            <w:vMerge w:val="restart"/>
            <w:tcBorders>
              <w:right w:val="nil"/>
            </w:tcBorders>
          </w:tcPr>
          <w:p w14:paraId="74368761">
            <w:pPr>
              <w:pStyle w:val="17"/>
              <w:spacing w:before="26"/>
              <w:ind w:left="69" w:right="64"/>
              <w:rPr>
                <w:rFonts w:ascii="Times New Roman" w:eastAsia="Times New Roman"/>
                <w:sz w:val="21"/>
              </w:rPr>
            </w:pPr>
            <w:r>
              <w:rPr>
                <w:sz w:val="21"/>
              </w:rPr>
              <w:t>年排放量</w:t>
            </w:r>
            <w:r>
              <w:rPr>
                <w:rFonts w:ascii="Times New Roman" w:eastAsia="Times New Roman"/>
                <w:sz w:val="21"/>
              </w:rPr>
              <w:t>/</w:t>
            </w:r>
          </w:p>
          <w:p w14:paraId="0C070DF7">
            <w:pPr>
              <w:pStyle w:val="17"/>
              <w:spacing w:before="43"/>
              <w:ind w:left="66" w:right="64"/>
              <w:rPr>
                <w:sz w:val="21"/>
              </w:rPr>
            </w:pPr>
            <w:r>
              <w:rPr>
                <w:sz w:val="21"/>
              </w:rPr>
              <w:t>（</w:t>
            </w:r>
            <w:r>
              <w:rPr>
                <w:rFonts w:ascii="Times New Roman" w:eastAsia="Times New Roman"/>
                <w:sz w:val="21"/>
              </w:rPr>
              <w:t>t/a</w:t>
            </w:r>
            <w:r>
              <w:rPr>
                <w:sz w:val="21"/>
              </w:rPr>
              <w:t>）</w:t>
            </w:r>
          </w:p>
        </w:tc>
      </w:tr>
      <w:tr w14:paraId="23B4D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9" w:type="dxa"/>
            <w:vMerge w:val="continue"/>
            <w:tcBorders>
              <w:top w:val="nil"/>
              <w:left w:val="nil"/>
            </w:tcBorders>
          </w:tcPr>
          <w:p w14:paraId="48FDB60D">
            <w:pPr>
              <w:rPr>
                <w:sz w:val="2"/>
                <w:szCs w:val="2"/>
              </w:rPr>
            </w:pPr>
          </w:p>
        </w:tc>
        <w:tc>
          <w:tcPr>
            <w:tcW w:w="755" w:type="dxa"/>
            <w:vMerge w:val="continue"/>
            <w:tcBorders>
              <w:top w:val="nil"/>
            </w:tcBorders>
          </w:tcPr>
          <w:p w14:paraId="11F1A1C8">
            <w:pPr>
              <w:rPr>
                <w:sz w:val="2"/>
                <w:szCs w:val="2"/>
              </w:rPr>
            </w:pPr>
          </w:p>
        </w:tc>
        <w:tc>
          <w:tcPr>
            <w:tcW w:w="1069" w:type="dxa"/>
            <w:vMerge w:val="continue"/>
            <w:tcBorders>
              <w:top w:val="nil"/>
            </w:tcBorders>
          </w:tcPr>
          <w:p w14:paraId="289882A5">
            <w:pPr>
              <w:rPr>
                <w:sz w:val="2"/>
                <w:szCs w:val="2"/>
              </w:rPr>
            </w:pPr>
          </w:p>
        </w:tc>
        <w:tc>
          <w:tcPr>
            <w:tcW w:w="1187" w:type="dxa"/>
            <w:vMerge w:val="continue"/>
            <w:tcBorders>
              <w:top w:val="nil"/>
            </w:tcBorders>
          </w:tcPr>
          <w:p w14:paraId="0BE71C73">
            <w:pPr>
              <w:rPr>
                <w:sz w:val="2"/>
                <w:szCs w:val="2"/>
              </w:rPr>
            </w:pPr>
          </w:p>
        </w:tc>
        <w:tc>
          <w:tcPr>
            <w:tcW w:w="1102" w:type="dxa"/>
            <w:vMerge w:val="continue"/>
            <w:tcBorders>
              <w:top w:val="nil"/>
            </w:tcBorders>
          </w:tcPr>
          <w:p w14:paraId="4B329837">
            <w:pPr>
              <w:rPr>
                <w:sz w:val="2"/>
                <w:szCs w:val="2"/>
              </w:rPr>
            </w:pPr>
          </w:p>
        </w:tc>
        <w:tc>
          <w:tcPr>
            <w:tcW w:w="1817" w:type="dxa"/>
          </w:tcPr>
          <w:p w14:paraId="2AB99F2C">
            <w:pPr>
              <w:pStyle w:val="17"/>
              <w:spacing w:before="21"/>
              <w:ind w:left="487"/>
              <w:jc w:val="left"/>
              <w:rPr>
                <w:sz w:val="21"/>
              </w:rPr>
            </w:pPr>
            <w:r>
              <w:rPr>
                <w:sz w:val="21"/>
              </w:rPr>
              <w:t>标准名称</w:t>
            </w:r>
          </w:p>
        </w:tc>
        <w:tc>
          <w:tcPr>
            <w:tcW w:w="1110" w:type="dxa"/>
          </w:tcPr>
          <w:p w14:paraId="7B97BFDA">
            <w:pPr>
              <w:pStyle w:val="17"/>
              <w:spacing w:before="21"/>
              <w:ind w:left="53" w:right="47"/>
              <w:rPr>
                <w:sz w:val="21"/>
              </w:rPr>
            </w:pPr>
            <w:r>
              <w:rPr>
                <w:sz w:val="21"/>
              </w:rPr>
              <w:t>浓度限值</w:t>
            </w:r>
          </w:p>
        </w:tc>
        <w:tc>
          <w:tcPr>
            <w:tcW w:w="1078" w:type="dxa"/>
            <w:vMerge w:val="continue"/>
            <w:tcBorders>
              <w:top w:val="nil"/>
              <w:right w:val="nil"/>
            </w:tcBorders>
          </w:tcPr>
          <w:p w14:paraId="7167AFFA">
            <w:pPr>
              <w:rPr>
                <w:sz w:val="2"/>
                <w:szCs w:val="2"/>
              </w:rPr>
            </w:pPr>
          </w:p>
        </w:tc>
      </w:tr>
      <w:tr w14:paraId="2CC1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399" w:type="dxa"/>
            <w:tcBorders>
              <w:left w:val="nil"/>
            </w:tcBorders>
          </w:tcPr>
          <w:p w14:paraId="207FEC42">
            <w:pPr>
              <w:pStyle w:val="17"/>
              <w:jc w:val="left"/>
              <w:rPr>
                <w:b/>
                <w:sz w:val="22"/>
              </w:rPr>
            </w:pPr>
          </w:p>
          <w:p w14:paraId="01324406">
            <w:pPr>
              <w:pStyle w:val="17"/>
              <w:jc w:val="left"/>
              <w:rPr>
                <w:b/>
                <w:sz w:val="22"/>
              </w:rPr>
            </w:pPr>
          </w:p>
          <w:p w14:paraId="1A6D9A13">
            <w:pPr>
              <w:pStyle w:val="17"/>
              <w:spacing w:before="7"/>
              <w:jc w:val="left"/>
              <w:rPr>
                <w:b/>
                <w:sz w:val="19"/>
              </w:rPr>
            </w:pPr>
          </w:p>
          <w:p w14:paraId="7CF424C6">
            <w:pPr>
              <w:pStyle w:val="17"/>
              <w:ind w:left="13"/>
              <w:rPr>
                <w:rFonts w:ascii="Times New Roman"/>
                <w:sz w:val="21"/>
              </w:rPr>
            </w:pPr>
            <w:r>
              <w:rPr>
                <w:rFonts w:ascii="Times New Roman"/>
                <w:w w:val="99"/>
                <w:sz w:val="21"/>
              </w:rPr>
              <w:t>1</w:t>
            </w:r>
          </w:p>
        </w:tc>
        <w:tc>
          <w:tcPr>
            <w:tcW w:w="755" w:type="dxa"/>
          </w:tcPr>
          <w:p w14:paraId="6E574060">
            <w:pPr>
              <w:pStyle w:val="17"/>
              <w:jc w:val="left"/>
              <w:rPr>
                <w:b/>
                <w:sz w:val="20"/>
              </w:rPr>
            </w:pPr>
          </w:p>
          <w:p w14:paraId="4D55BB85">
            <w:pPr>
              <w:pStyle w:val="17"/>
              <w:jc w:val="left"/>
              <w:rPr>
                <w:b/>
                <w:sz w:val="20"/>
              </w:rPr>
            </w:pPr>
          </w:p>
          <w:p w14:paraId="3829083B">
            <w:pPr>
              <w:pStyle w:val="17"/>
              <w:spacing w:before="132" w:line="278" w:lineRule="auto"/>
              <w:ind w:left="270" w:right="52" w:hanging="209"/>
              <w:jc w:val="left"/>
              <w:rPr>
                <w:sz w:val="21"/>
              </w:rPr>
            </w:pPr>
            <w:r>
              <w:rPr>
                <w:sz w:val="21"/>
              </w:rPr>
              <w:t>生产车间</w:t>
            </w:r>
          </w:p>
        </w:tc>
        <w:tc>
          <w:tcPr>
            <w:tcW w:w="1069" w:type="dxa"/>
          </w:tcPr>
          <w:p w14:paraId="72D04B9B">
            <w:pPr>
              <w:pStyle w:val="17"/>
              <w:spacing w:before="12"/>
              <w:jc w:val="left"/>
              <w:rPr>
                <w:b/>
                <w:sz w:val="25"/>
              </w:rPr>
            </w:pPr>
          </w:p>
          <w:p w14:paraId="15A7D162">
            <w:pPr>
              <w:pStyle w:val="17"/>
              <w:spacing w:line="278" w:lineRule="auto"/>
              <w:ind w:left="43" w:right="33" w:hanging="3"/>
              <w:rPr>
                <w:sz w:val="21"/>
              </w:rPr>
            </w:pPr>
            <w:r>
              <w:rPr>
                <w:spacing w:val="-15"/>
                <w:w w:val="95"/>
                <w:sz w:val="21"/>
              </w:rPr>
              <w:t>破碎、投料</w:t>
            </w:r>
            <w:r>
              <w:rPr>
                <w:spacing w:val="-15"/>
                <w:sz w:val="21"/>
              </w:rPr>
              <w:t>混料及挤</w:t>
            </w:r>
            <w:r>
              <w:rPr>
                <w:spacing w:val="-24"/>
                <w:w w:val="95"/>
                <w:sz w:val="21"/>
              </w:rPr>
              <w:t>出造粒、挤</w:t>
            </w:r>
            <w:r>
              <w:rPr>
                <w:spacing w:val="-24"/>
                <w:sz w:val="21"/>
              </w:rPr>
              <w:t>出注塑</w:t>
            </w:r>
          </w:p>
        </w:tc>
        <w:tc>
          <w:tcPr>
            <w:tcW w:w="1187" w:type="dxa"/>
          </w:tcPr>
          <w:p w14:paraId="6584277E">
            <w:pPr>
              <w:pStyle w:val="17"/>
              <w:jc w:val="left"/>
              <w:rPr>
                <w:b/>
                <w:sz w:val="20"/>
              </w:rPr>
            </w:pPr>
          </w:p>
          <w:p w14:paraId="0DFFF321">
            <w:pPr>
              <w:pStyle w:val="17"/>
              <w:jc w:val="left"/>
              <w:rPr>
                <w:b/>
                <w:sz w:val="20"/>
              </w:rPr>
            </w:pPr>
          </w:p>
          <w:p w14:paraId="6D6D92F4">
            <w:pPr>
              <w:pStyle w:val="17"/>
              <w:spacing w:before="6"/>
              <w:jc w:val="left"/>
              <w:rPr>
                <w:b/>
                <w:sz w:val="22"/>
              </w:rPr>
            </w:pPr>
          </w:p>
          <w:p w14:paraId="1026A3B3">
            <w:pPr>
              <w:pStyle w:val="17"/>
              <w:ind w:left="277"/>
              <w:jc w:val="left"/>
              <w:rPr>
                <w:sz w:val="21"/>
              </w:rPr>
            </w:pPr>
            <w:r>
              <w:rPr>
                <w:sz w:val="21"/>
              </w:rPr>
              <w:t>颗粒物</w:t>
            </w:r>
          </w:p>
        </w:tc>
        <w:tc>
          <w:tcPr>
            <w:tcW w:w="1102" w:type="dxa"/>
          </w:tcPr>
          <w:p w14:paraId="7BE567E8">
            <w:pPr>
              <w:pStyle w:val="17"/>
              <w:jc w:val="left"/>
              <w:rPr>
                <w:b/>
                <w:sz w:val="20"/>
              </w:rPr>
            </w:pPr>
          </w:p>
          <w:p w14:paraId="4D29C59E">
            <w:pPr>
              <w:pStyle w:val="17"/>
              <w:jc w:val="left"/>
              <w:rPr>
                <w:b/>
                <w:sz w:val="20"/>
              </w:rPr>
            </w:pPr>
          </w:p>
          <w:p w14:paraId="0914F28E">
            <w:pPr>
              <w:pStyle w:val="17"/>
              <w:spacing w:before="6"/>
              <w:jc w:val="left"/>
              <w:rPr>
                <w:b/>
                <w:sz w:val="22"/>
              </w:rPr>
            </w:pPr>
          </w:p>
          <w:p w14:paraId="5E6A7B4D">
            <w:pPr>
              <w:pStyle w:val="17"/>
              <w:ind w:left="130"/>
              <w:jc w:val="left"/>
              <w:rPr>
                <w:sz w:val="21"/>
              </w:rPr>
            </w:pPr>
            <w:r>
              <w:rPr>
                <w:sz w:val="21"/>
              </w:rPr>
              <w:t>加强收集</w:t>
            </w:r>
          </w:p>
        </w:tc>
        <w:tc>
          <w:tcPr>
            <w:tcW w:w="1817" w:type="dxa"/>
          </w:tcPr>
          <w:p w14:paraId="6E41FB4B">
            <w:pPr>
              <w:pStyle w:val="17"/>
              <w:spacing w:before="20" w:line="278" w:lineRule="auto"/>
              <w:ind w:left="172" w:right="57" w:hanging="106"/>
              <w:jc w:val="left"/>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染物排放标准</w:t>
            </w:r>
            <w:r>
              <w:rPr>
                <w:sz w:val="21"/>
              </w:rPr>
              <w:fldChar w:fldCharType="end"/>
            </w:r>
            <w:r>
              <w:rPr>
                <w:sz w:val="21"/>
              </w:rPr>
              <w:t>》</w:t>
            </w:r>
          </w:p>
          <w:p w14:paraId="26EA9BFA">
            <w:pPr>
              <w:pStyle w:val="17"/>
              <w:spacing w:line="269" w:lineRule="exact"/>
              <w:ind w:left="45" w:right="-29"/>
              <w:jc w:val="left"/>
              <w:rPr>
                <w:sz w:val="21"/>
              </w:rPr>
            </w:pP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z w:val="21"/>
              </w:rPr>
              <w:t>31572-2015</w:t>
            </w:r>
            <w:r>
              <w:rPr>
                <w:sz w:val="21"/>
              </w:rPr>
              <w:t>）</w:t>
            </w:r>
          </w:p>
          <w:p w14:paraId="71DB096A">
            <w:pPr>
              <w:pStyle w:val="17"/>
              <w:spacing w:before="43"/>
              <w:ind w:left="120"/>
              <w:jc w:val="left"/>
              <w:rPr>
                <w:sz w:val="21"/>
              </w:rPr>
            </w:pPr>
            <w:r>
              <w:rPr>
                <w:sz w:val="21"/>
              </w:rPr>
              <w:t xml:space="preserve">及其 </w:t>
            </w:r>
            <w:r>
              <w:rPr>
                <w:rFonts w:ascii="Times New Roman" w:eastAsia="Times New Roman"/>
                <w:sz w:val="21"/>
              </w:rPr>
              <w:t xml:space="preserve">2024 </w:t>
            </w:r>
            <w:r>
              <w:rPr>
                <w:sz w:val="21"/>
              </w:rPr>
              <w:t>年修改</w:t>
            </w:r>
          </w:p>
          <w:p w14:paraId="08E637FC">
            <w:pPr>
              <w:pStyle w:val="17"/>
              <w:spacing w:before="2" w:line="310" w:lineRule="atLeast"/>
              <w:ind w:left="801" w:right="4" w:hanging="735"/>
              <w:jc w:val="left"/>
              <w:rPr>
                <w:sz w:val="21"/>
              </w:rPr>
            </w:pPr>
            <w:r>
              <w:rPr>
                <w:sz w:val="21"/>
              </w:rPr>
              <w:t xml:space="preserve">单表 </w:t>
            </w:r>
            <w:r>
              <w:rPr>
                <w:rFonts w:ascii="Times New Roman" w:eastAsia="Times New Roman"/>
                <w:sz w:val="21"/>
              </w:rPr>
              <w:t xml:space="preserve">9 </w:t>
            </w:r>
            <w:r>
              <w:rPr>
                <w:sz w:val="21"/>
              </w:rPr>
              <w:t>相关标准要求</w:t>
            </w:r>
          </w:p>
        </w:tc>
        <w:tc>
          <w:tcPr>
            <w:tcW w:w="1110" w:type="dxa"/>
          </w:tcPr>
          <w:p w14:paraId="295A864D">
            <w:pPr>
              <w:pStyle w:val="17"/>
              <w:jc w:val="left"/>
              <w:rPr>
                <w:b/>
                <w:sz w:val="22"/>
              </w:rPr>
            </w:pPr>
          </w:p>
          <w:p w14:paraId="146176F9">
            <w:pPr>
              <w:pStyle w:val="17"/>
              <w:jc w:val="left"/>
              <w:rPr>
                <w:b/>
                <w:sz w:val="22"/>
              </w:rPr>
            </w:pPr>
          </w:p>
          <w:p w14:paraId="5EF1B02A">
            <w:pPr>
              <w:pStyle w:val="17"/>
              <w:spacing w:before="7"/>
              <w:jc w:val="left"/>
              <w:rPr>
                <w:b/>
                <w:sz w:val="19"/>
              </w:rPr>
            </w:pPr>
          </w:p>
          <w:p w14:paraId="64CABBA0">
            <w:pPr>
              <w:pStyle w:val="17"/>
              <w:ind w:left="54" w:right="47"/>
              <w:rPr>
                <w:rFonts w:ascii="Times New Roman"/>
                <w:sz w:val="13"/>
              </w:rPr>
            </w:pPr>
            <w:r>
              <w:rPr>
                <w:rFonts w:ascii="Times New Roman"/>
                <w:sz w:val="21"/>
              </w:rPr>
              <w:t>1.0mg/m</w:t>
            </w:r>
            <w:r>
              <w:rPr>
                <w:rFonts w:ascii="Times New Roman"/>
                <w:position w:val="7"/>
                <w:sz w:val="13"/>
              </w:rPr>
              <w:t>3</w:t>
            </w:r>
          </w:p>
        </w:tc>
        <w:tc>
          <w:tcPr>
            <w:tcW w:w="1078" w:type="dxa"/>
            <w:tcBorders>
              <w:right w:val="nil"/>
            </w:tcBorders>
          </w:tcPr>
          <w:p w14:paraId="717E4658">
            <w:pPr>
              <w:pStyle w:val="17"/>
              <w:jc w:val="left"/>
              <w:rPr>
                <w:b/>
                <w:sz w:val="22"/>
              </w:rPr>
            </w:pPr>
          </w:p>
          <w:p w14:paraId="65026CEE">
            <w:pPr>
              <w:pStyle w:val="17"/>
              <w:jc w:val="left"/>
              <w:rPr>
                <w:b/>
                <w:sz w:val="22"/>
              </w:rPr>
            </w:pPr>
          </w:p>
          <w:p w14:paraId="4B847CEE">
            <w:pPr>
              <w:pStyle w:val="17"/>
              <w:spacing w:before="7"/>
              <w:jc w:val="left"/>
              <w:rPr>
                <w:b/>
                <w:sz w:val="19"/>
              </w:rPr>
            </w:pPr>
          </w:p>
          <w:p w14:paraId="7D1CE470">
            <w:pPr>
              <w:pStyle w:val="17"/>
              <w:ind w:left="301"/>
              <w:jc w:val="left"/>
              <w:rPr>
                <w:rFonts w:ascii="Times New Roman"/>
                <w:sz w:val="21"/>
              </w:rPr>
            </w:pPr>
            <w:r>
              <w:rPr>
                <w:rFonts w:ascii="Times New Roman"/>
                <w:sz w:val="21"/>
              </w:rPr>
              <w:t>0.308</w:t>
            </w:r>
          </w:p>
        </w:tc>
      </w:tr>
    </w:tbl>
    <w:p w14:paraId="2DF62761">
      <w:pPr>
        <w:spacing w:after="0"/>
        <w:jc w:val="left"/>
        <w:rPr>
          <w:rFonts w:ascii="Times New Roman"/>
          <w:sz w:val="21"/>
        </w:rPr>
        <w:sectPr>
          <w:footerReference r:id="rId31" w:type="default"/>
          <w:pgSz w:w="11910" w:h="16840"/>
          <w:pgMar w:top="1500" w:right="1060" w:bottom="1380" w:left="1180" w:header="0" w:footer="1192" w:gutter="0"/>
          <w:pgNumType w:start="130"/>
          <w:cols w:space="720" w:num="1"/>
        </w:sectPr>
      </w:pPr>
    </w:p>
    <w:tbl>
      <w:tblPr>
        <w:tblStyle w:val="13"/>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
        <w:gridCol w:w="755"/>
        <w:gridCol w:w="1069"/>
        <w:gridCol w:w="1187"/>
        <w:gridCol w:w="1102"/>
        <w:gridCol w:w="1817"/>
        <w:gridCol w:w="1110"/>
        <w:gridCol w:w="1078"/>
      </w:tblGrid>
      <w:tr w14:paraId="67D6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99" w:type="dxa"/>
            <w:vMerge w:val="restart"/>
            <w:tcBorders>
              <w:left w:val="nil"/>
            </w:tcBorders>
          </w:tcPr>
          <w:p w14:paraId="5AD43897">
            <w:pPr>
              <w:pStyle w:val="17"/>
              <w:jc w:val="left"/>
              <w:rPr>
                <w:rFonts w:ascii="Times New Roman"/>
                <w:sz w:val="22"/>
              </w:rPr>
            </w:pPr>
          </w:p>
        </w:tc>
        <w:tc>
          <w:tcPr>
            <w:tcW w:w="755" w:type="dxa"/>
            <w:vMerge w:val="restart"/>
          </w:tcPr>
          <w:p w14:paraId="08A56875">
            <w:pPr>
              <w:pStyle w:val="17"/>
              <w:jc w:val="left"/>
              <w:rPr>
                <w:rFonts w:ascii="Times New Roman"/>
                <w:sz w:val="22"/>
              </w:rPr>
            </w:pPr>
          </w:p>
        </w:tc>
        <w:tc>
          <w:tcPr>
            <w:tcW w:w="1069" w:type="dxa"/>
            <w:vMerge w:val="restart"/>
          </w:tcPr>
          <w:p w14:paraId="141304CC">
            <w:pPr>
              <w:pStyle w:val="17"/>
              <w:jc w:val="left"/>
              <w:rPr>
                <w:rFonts w:ascii="Times New Roman"/>
                <w:sz w:val="22"/>
              </w:rPr>
            </w:pPr>
          </w:p>
        </w:tc>
        <w:tc>
          <w:tcPr>
            <w:tcW w:w="1187" w:type="dxa"/>
            <w:vMerge w:val="restart"/>
          </w:tcPr>
          <w:p w14:paraId="0D9A45A1">
            <w:pPr>
              <w:pStyle w:val="17"/>
              <w:jc w:val="left"/>
              <w:rPr>
                <w:b/>
                <w:sz w:val="20"/>
              </w:rPr>
            </w:pPr>
          </w:p>
          <w:p w14:paraId="1B8551B1">
            <w:pPr>
              <w:pStyle w:val="17"/>
              <w:jc w:val="left"/>
              <w:rPr>
                <w:b/>
                <w:sz w:val="20"/>
              </w:rPr>
            </w:pPr>
          </w:p>
          <w:p w14:paraId="4B2008FF">
            <w:pPr>
              <w:pStyle w:val="17"/>
              <w:jc w:val="left"/>
              <w:rPr>
                <w:b/>
                <w:sz w:val="20"/>
              </w:rPr>
            </w:pPr>
          </w:p>
          <w:p w14:paraId="61D94CB6">
            <w:pPr>
              <w:pStyle w:val="17"/>
              <w:spacing w:before="3"/>
              <w:jc w:val="left"/>
              <w:rPr>
                <w:b/>
                <w:sz w:val="27"/>
              </w:rPr>
            </w:pPr>
          </w:p>
          <w:p w14:paraId="3828A9BD">
            <w:pPr>
              <w:pStyle w:val="17"/>
              <w:ind w:left="66"/>
              <w:jc w:val="left"/>
              <w:rPr>
                <w:sz w:val="21"/>
              </w:rPr>
            </w:pPr>
            <w:r>
              <w:rPr>
                <w:sz w:val="21"/>
              </w:rPr>
              <w:t>非甲烷总烃</w:t>
            </w:r>
          </w:p>
        </w:tc>
        <w:tc>
          <w:tcPr>
            <w:tcW w:w="1102" w:type="dxa"/>
            <w:vMerge w:val="restart"/>
          </w:tcPr>
          <w:p w14:paraId="13510BD3">
            <w:pPr>
              <w:pStyle w:val="17"/>
              <w:jc w:val="left"/>
              <w:rPr>
                <w:b/>
                <w:sz w:val="20"/>
              </w:rPr>
            </w:pPr>
          </w:p>
          <w:p w14:paraId="78E5F607">
            <w:pPr>
              <w:pStyle w:val="17"/>
              <w:jc w:val="left"/>
              <w:rPr>
                <w:b/>
                <w:sz w:val="20"/>
              </w:rPr>
            </w:pPr>
          </w:p>
          <w:p w14:paraId="3CA03A76">
            <w:pPr>
              <w:pStyle w:val="17"/>
              <w:jc w:val="left"/>
              <w:rPr>
                <w:b/>
                <w:sz w:val="20"/>
              </w:rPr>
            </w:pPr>
          </w:p>
          <w:p w14:paraId="07D044E3">
            <w:pPr>
              <w:pStyle w:val="17"/>
              <w:spacing w:before="3"/>
              <w:jc w:val="left"/>
              <w:rPr>
                <w:b/>
                <w:sz w:val="27"/>
              </w:rPr>
            </w:pPr>
          </w:p>
          <w:p w14:paraId="148AFDAC">
            <w:pPr>
              <w:pStyle w:val="17"/>
              <w:ind w:left="130"/>
              <w:jc w:val="left"/>
              <w:rPr>
                <w:sz w:val="21"/>
              </w:rPr>
            </w:pPr>
            <w:r>
              <w:rPr>
                <w:sz w:val="21"/>
              </w:rPr>
              <w:t>加强收集</w:t>
            </w:r>
          </w:p>
        </w:tc>
        <w:tc>
          <w:tcPr>
            <w:tcW w:w="1817" w:type="dxa"/>
            <w:vMerge w:val="restart"/>
          </w:tcPr>
          <w:p w14:paraId="16D8EE2C">
            <w:pPr>
              <w:pStyle w:val="17"/>
              <w:spacing w:before="4"/>
              <w:jc w:val="left"/>
              <w:rPr>
                <w:b/>
                <w:sz w:val="26"/>
              </w:rPr>
            </w:pPr>
          </w:p>
          <w:p w14:paraId="619F03CD">
            <w:pPr>
              <w:pStyle w:val="17"/>
              <w:spacing w:before="1" w:line="278" w:lineRule="auto"/>
              <w:ind w:left="67" w:right="59"/>
              <w:rPr>
                <w:sz w:val="21"/>
              </w:rPr>
            </w:pPr>
            <w:r>
              <w:rPr>
                <w:w w:val="95"/>
                <w:sz w:val="21"/>
              </w:rPr>
              <w:t>《挥发性有机物无</w:t>
            </w:r>
            <w:r>
              <w:rPr>
                <w:sz w:val="21"/>
              </w:rPr>
              <w:t>组织排放控制标 准》</w:t>
            </w:r>
          </w:p>
          <w:p w14:paraId="7C676892">
            <w:pPr>
              <w:pStyle w:val="17"/>
              <w:spacing w:line="269" w:lineRule="exact"/>
              <w:ind w:left="45"/>
              <w:jc w:val="left"/>
              <w:rPr>
                <w:sz w:val="21"/>
              </w:rPr>
            </w:pPr>
            <w:r>
              <w:rPr>
                <w:sz w:val="21"/>
              </w:rPr>
              <w:t>（</w:t>
            </w:r>
            <w:r>
              <w:rPr>
                <w:rFonts w:ascii="Times New Roman" w:eastAsia="Times New Roman"/>
                <w:sz w:val="21"/>
              </w:rPr>
              <w:t>GB37822-2019</w:t>
            </w:r>
            <w:r>
              <w:rPr>
                <w:sz w:val="21"/>
              </w:rPr>
              <w:t>）</w:t>
            </w:r>
          </w:p>
          <w:p w14:paraId="42AF9ABB">
            <w:pPr>
              <w:pStyle w:val="17"/>
              <w:spacing w:before="43" w:line="278" w:lineRule="auto"/>
              <w:ind w:left="48" w:right="40"/>
              <w:rPr>
                <w:sz w:val="21"/>
              </w:rPr>
            </w:pPr>
            <w:r>
              <w:rPr>
                <w:spacing w:val="-19"/>
                <w:sz w:val="21"/>
              </w:rPr>
              <w:t xml:space="preserve">附录 </w:t>
            </w:r>
            <w:r>
              <w:rPr>
                <w:rFonts w:ascii="Times New Roman" w:eastAsia="Times New Roman"/>
                <w:sz w:val="21"/>
              </w:rPr>
              <w:t xml:space="preserve">A </w:t>
            </w:r>
            <w:r>
              <w:rPr>
                <w:spacing w:val="-27"/>
                <w:sz w:val="21"/>
              </w:rPr>
              <w:t xml:space="preserve">表 </w:t>
            </w:r>
            <w:r>
              <w:rPr>
                <w:rFonts w:ascii="Times New Roman" w:eastAsia="Times New Roman"/>
                <w:sz w:val="21"/>
              </w:rPr>
              <w:t xml:space="preserve">A.1 </w:t>
            </w:r>
            <w:r>
              <w:rPr>
                <w:sz w:val="21"/>
              </w:rPr>
              <w:t>排放限值</w:t>
            </w:r>
          </w:p>
        </w:tc>
        <w:tc>
          <w:tcPr>
            <w:tcW w:w="1110" w:type="dxa"/>
          </w:tcPr>
          <w:p w14:paraId="4AFBF95F">
            <w:pPr>
              <w:pStyle w:val="17"/>
              <w:spacing w:before="21"/>
              <w:ind w:left="134"/>
              <w:jc w:val="left"/>
              <w:rPr>
                <w:sz w:val="21"/>
              </w:rPr>
            </w:pPr>
            <w:r>
              <w:rPr>
                <w:w w:val="95"/>
                <w:sz w:val="21"/>
              </w:rPr>
              <w:t>监控点处</w:t>
            </w:r>
          </w:p>
          <w:p w14:paraId="7680AF47">
            <w:pPr>
              <w:pStyle w:val="17"/>
              <w:spacing w:before="3" w:line="312" w:lineRule="exact"/>
              <w:ind w:left="107" w:right="99"/>
              <w:rPr>
                <w:rFonts w:ascii="Times New Roman" w:eastAsia="Times New Roman"/>
                <w:sz w:val="13"/>
              </w:rPr>
            </w:pPr>
            <w:r>
              <w:rPr>
                <w:rFonts w:ascii="Times New Roman" w:eastAsia="Times New Roman"/>
                <w:sz w:val="21"/>
              </w:rPr>
              <w:t xml:space="preserve">1h </w:t>
            </w:r>
            <w:r>
              <w:rPr>
                <w:sz w:val="21"/>
              </w:rPr>
              <w:t>平均浓度值</w:t>
            </w:r>
            <w:r>
              <w:rPr>
                <w:rFonts w:ascii="Times New Roman" w:eastAsia="Times New Roman"/>
                <w:sz w:val="21"/>
              </w:rPr>
              <w:t>10mg/m</w:t>
            </w:r>
            <w:r>
              <w:rPr>
                <w:rFonts w:ascii="Times New Roman" w:eastAsia="Times New Roman"/>
                <w:position w:val="7"/>
                <w:sz w:val="13"/>
              </w:rPr>
              <w:t>3</w:t>
            </w:r>
          </w:p>
        </w:tc>
        <w:tc>
          <w:tcPr>
            <w:tcW w:w="1078" w:type="dxa"/>
            <w:vMerge w:val="restart"/>
            <w:tcBorders>
              <w:right w:val="nil"/>
            </w:tcBorders>
          </w:tcPr>
          <w:p w14:paraId="18085710">
            <w:pPr>
              <w:pStyle w:val="17"/>
              <w:jc w:val="left"/>
              <w:rPr>
                <w:b/>
                <w:sz w:val="22"/>
              </w:rPr>
            </w:pPr>
          </w:p>
          <w:p w14:paraId="247E3F44">
            <w:pPr>
              <w:pStyle w:val="17"/>
              <w:jc w:val="left"/>
              <w:rPr>
                <w:b/>
                <w:sz w:val="22"/>
              </w:rPr>
            </w:pPr>
          </w:p>
          <w:p w14:paraId="536457B4">
            <w:pPr>
              <w:pStyle w:val="17"/>
              <w:jc w:val="left"/>
              <w:rPr>
                <w:b/>
                <w:sz w:val="22"/>
              </w:rPr>
            </w:pPr>
          </w:p>
          <w:p w14:paraId="437060F9">
            <w:pPr>
              <w:pStyle w:val="17"/>
              <w:spacing w:before="4"/>
              <w:jc w:val="left"/>
              <w:rPr>
                <w:b/>
                <w:sz w:val="22"/>
              </w:rPr>
            </w:pPr>
          </w:p>
          <w:p w14:paraId="668669F4">
            <w:pPr>
              <w:pStyle w:val="17"/>
              <w:ind w:left="301"/>
              <w:jc w:val="left"/>
              <w:rPr>
                <w:rFonts w:ascii="Times New Roman"/>
                <w:sz w:val="21"/>
              </w:rPr>
            </w:pPr>
            <w:r>
              <w:rPr>
                <w:rFonts w:ascii="Times New Roman"/>
                <w:sz w:val="21"/>
              </w:rPr>
              <w:t>1.675</w:t>
            </w:r>
          </w:p>
        </w:tc>
      </w:tr>
      <w:tr w14:paraId="61309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99" w:type="dxa"/>
            <w:vMerge w:val="continue"/>
            <w:tcBorders>
              <w:top w:val="nil"/>
              <w:left w:val="nil"/>
            </w:tcBorders>
          </w:tcPr>
          <w:p w14:paraId="3A627603">
            <w:pPr>
              <w:rPr>
                <w:sz w:val="2"/>
                <w:szCs w:val="2"/>
              </w:rPr>
            </w:pPr>
          </w:p>
        </w:tc>
        <w:tc>
          <w:tcPr>
            <w:tcW w:w="755" w:type="dxa"/>
            <w:vMerge w:val="continue"/>
            <w:tcBorders>
              <w:top w:val="nil"/>
            </w:tcBorders>
          </w:tcPr>
          <w:p w14:paraId="40C9DB8C">
            <w:pPr>
              <w:rPr>
                <w:sz w:val="2"/>
                <w:szCs w:val="2"/>
              </w:rPr>
            </w:pPr>
          </w:p>
        </w:tc>
        <w:tc>
          <w:tcPr>
            <w:tcW w:w="1069" w:type="dxa"/>
            <w:vMerge w:val="continue"/>
            <w:tcBorders>
              <w:top w:val="nil"/>
            </w:tcBorders>
          </w:tcPr>
          <w:p w14:paraId="75D01953">
            <w:pPr>
              <w:rPr>
                <w:sz w:val="2"/>
                <w:szCs w:val="2"/>
              </w:rPr>
            </w:pPr>
          </w:p>
        </w:tc>
        <w:tc>
          <w:tcPr>
            <w:tcW w:w="1187" w:type="dxa"/>
            <w:vMerge w:val="continue"/>
            <w:tcBorders>
              <w:top w:val="nil"/>
            </w:tcBorders>
          </w:tcPr>
          <w:p w14:paraId="35250BCC">
            <w:pPr>
              <w:rPr>
                <w:sz w:val="2"/>
                <w:szCs w:val="2"/>
              </w:rPr>
            </w:pPr>
          </w:p>
        </w:tc>
        <w:tc>
          <w:tcPr>
            <w:tcW w:w="1102" w:type="dxa"/>
            <w:vMerge w:val="continue"/>
            <w:tcBorders>
              <w:top w:val="nil"/>
            </w:tcBorders>
          </w:tcPr>
          <w:p w14:paraId="69367E4E">
            <w:pPr>
              <w:rPr>
                <w:sz w:val="2"/>
                <w:szCs w:val="2"/>
              </w:rPr>
            </w:pPr>
          </w:p>
        </w:tc>
        <w:tc>
          <w:tcPr>
            <w:tcW w:w="1817" w:type="dxa"/>
            <w:vMerge w:val="continue"/>
            <w:tcBorders>
              <w:top w:val="nil"/>
            </w:tcBorders>
          </w:tcPr>
          <w:p w14:paraId="786CE780">
            <w:pPr>
              <w:rPr>
                <w:sz w:val="2"/>
                <w:szCs w:val="2"/>
              </w:rPr>
            </w:pPr>
          </w:p>
        </w:tc>
        <w:tc>
          <w:tcPr>
            <w:tcW w:w="1110" w:type="dxa"/>
          </w:tcPr>
          <w:p w14:paraId="72B70649">
            <w:pPr>
              <w:pStyle w:val="17"/>
              <w:spacing w:before="21" w:line="278" w:lineRule="auto"/>
              <w:ind w:left="134" w:right="125"/>
              <w:jc w:val="both"/>
              <w:rPr>
                <w:sz w:val="21"/>
              </w:rPr>
            </w:pPr>
            <w:r>
              <w:rPr>
                <w:w w:val="95"/>
                <w:sz w:val="21"/>
              </w:rPr>
              <w:t>监控点处任意一次</w:t>
            </w:r>
            <w:r>
              <w:rPr>
                <w:sz w:val="21"/>
              </w:rPr>
              <w:t>浓度值</w:t>
            </w:r>
          </w:p>
          <w:p w14:paraId="26673E63">
            <w:pPr>
              <w:pStyle w:val="17"/>
              <w:spacing w:before="13"/>
              <w:ind w:left="170"/>
              <w:jc w:val="both"/>
              <w:rPr>
                <w:rFonts w:ascii="Times New Roman"/>
                <w:sz w:val="13"/>
              </w:rPr>
            </w:pPr>
            <w:r>
              <w:rPr>
                <w:rFonts w:ascii="Times New Roman"/>
                <w:sz w:val="21"/>
              </w:rPr>
              <w:t>30mg/m</w:t>
            </w:r>
            <w:r>
              <w:rPr>
                <w:rFonts w:ascii="Times New Roman"/>
                <w:position w:val="7"/>
                <w:sz w:val="13"/>
              </w:rPr>
              <w:t>3</w:t>
            </w:r>
          </w:p>
        </w:tc>
        <w:tc>
          <w:tcPr>
            <w:tcW w:w="1078" w:type="dxa"/>
            <w:vMerge w:val="continue"/>
            <w:tcBorders>
              <w:top w:val="nil"/>
              <w:right w:val="nil"/>
            </w:tcBorders>
          </w:tcPr>
          <w:p w14:paraId="51EB7AF1">
            <w:pPr>
              <w:rPr>
                <w:sz w:val="2"/>
                <w:szCs w:val="2"/>
              </w:rPr>
            </w:pPr>
          </w:p>
        </w:tc>
      </w:tr>
    </w:tbl>
    <w:p w14:paraId="723E1122">
      <w:pPr>
        <w:spacing w:before="20" w:after="23"/>
        <w:ind w:left="1100" w:right="1219" w:firstLine="0"/>
        <w:jc w:val="center"/>
        <w:rPr>
          <w:sz w:val="21"/>
        </w:rPr>
      </w:pPr>
      <w:r>
        <w:rPr>
          <w:sz w:val="21"/>
        </w:rPr>
        <w:t>无组织排放总计</w:t>
      </w:r>
    </w:p>
    <w:tbl>
      <w:tblPr>
        <w:tblStyle w:val="13"/>
        <w:tblW w:w="0" w:type="auto"/>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3"/>
        <w:gridCol w:w="2879"/>
        <w:gridCol w:w="3415"/>
      </w:tblGrid>
      <w:tr w14:paraId="7D5E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3" w:type="dxa"/>
            <w:vMerge w:val="restart"/>
            <w:tcBorders>
              <w:left w:val="nil"/>
            </w:tcBorders>
          </w:tcPr>
          <w:p w14:paraId="611F0CBD">
            <w:pPr>
              <w:pStyle w:val="17"/>
              <w:spacing w:before="3"/>
              <w:jc w:val="left"/>
              <w:rPr>
                <w:sz w:val="14"/>
              </w:rPr>
            </w:pPr>
          </w:p>
          <w:p w14:paraId="54D85956">
            <w:pPr>
              <w:pStyle w:val="17"/>
              <w:spacing w:before="1"/>
              <w:ind w:left="379"/>
              <w:jc w:val="left"/>
              <w:rPr>
                <w:sz w:val="21"/>
              </w:rPr>
            </w:pPr>
            <w:r>
              <w:rPr>
                <w:sz w:val="21"/>
              </w:rPr>
              <w:t>无组织排放总计</w:t>
            </w:r>
          </w:p>
        </w:tc>
        <w:tc>
          <w:tcPr>
            <w:tcW w:w="2879" w:type="dxa"/>
          </w:tcPr>
          <w:p w14:paraId="4652C369">
            <w:pPr>
              <w:pStyle w:val="17"/>
              <w:spacing w:before="20"/>
              <w:ind w:left="891" w:right="886"/>
              <w:rPr>
                <w:sz w:val="21"/>
              </w:rPr>
            </w:pPr>
            <w:r>
              <w:rPr>
                <w:sz w:val="21"/>
              </w:rPr>
              <w:t>颗粒物</w:t>
            </w:r>
          </w:p>
        </w:tc>
        <w:tc>
          <w:tcPr>
            <w:tcW w:w="3415" w:type="dxa"/>
            <w:tcBorders>
              <w:right w:val="nil"/>
            </w:tcBorders>
          </w:tcPr>
          <w:p w14:paraId="27E2B107">
            <w:pPr>
              <w:pStyle w:val="17"/>
              <w:spacing w:before="34"/>
              <w:ind w:left="1471"/>
              <w:jc w:val="left"/>
              <w:rPr>
                <w:rFonts w:ascii="Times New Roman"/>
                <w:sz w:val="21"/>
              </w:rPr>
            </w:pPr>
            <w:r>
              <w:rPr>
                <w:rFonts w:ascii="Times New Roman"/>
                <w:sz w:val="21"/>
              </w:rPr>
              <w:t>0.308</w:t>
            </w:r>
          </w:p>
        </w:tc>
      </w:tr>
      <w:tr w14:paraId="2898D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23" w:type="dxa"/>
            <w:vMerge w:val="continue"/>
            <w:tcBorders>
              <w:top w:val="nil"/>
              <w:left w:val="nil"/>
            </w:tcBorders>
          </w:tcPr>
          <w:p w14:paraId="39C9C10D">
            <w:pPr>
              <w:rPr>
                <w:sz w:val="2"/>
                <w:szCs w:val="2"/>
              </w:rPr>
            </w:pPr>
          </w:p>
        </w:tc>
        <w:tc>
          <w:tcPr>
            <w:tcW w:w="2879" w:type="dxa"/>
          </w:tcPr>
          <w:p w14:paraId="3FBDF419">
            <w:pPr>
              <w:pStyle w:val="17"/>
              <w:spacing w:before="22"/>
              <w:ind w:left="893" w:right="886"/>
              <w:rPr>
                <w:sz w:val="21"/>
              </w:rPr>
            </w:pPr>
            <w:r>
              <w:rPr>
                <w:sz w:val="21"/>
              </w:rPr>
              <w:t>非甲烷总烃</w:t>
            </w:r>
          </w:p>
        </w:tc>
        <w:tc>
          <w:tcPr>
            <w:tcW w:w="3415" w:type="dxa"/>
            <w:tcBorders>
              <w:right w:val="nil"/>
            </w:tcBorders>
          </w:tcPr>
          <w:p w14:paraId="257518F7">
            <w:pPr>
              <w:pStyle w:val="17"/>
              <w:spacing w:before="36"/>
              <w:ind w:left="1471"/>
              <w:jc w:val="left"/>
              <w:rPr>
                <w:rFonts w:ascii="Times New Roman"/>
                <w:sz w:val="21"/>
              </w:rPr>
            </w:pPr>
            <w:r>
              <w:rPr>
                <w:rFonts w:ascii="Times New Roman"/>
                <w:sz w:val="21"/>
              </w:rPr>
              <w:t>1.675</w:t>
            </w:r>
          </w:p>
        </w:tc>
      </w:tr>
    </w:tbl>
    <w:p w14:paraId="47AD8A84">
      <w:pPr>
        <w:pStyle w:val="9"/>
        <w:spacing w:before="80"/>
        <w:ind w:left="1100"/>
      </w:pPr>
      <w:r>
        <w:rPr>
          <w:rFonts w:ascii="Times New Roman" w:eastAsia="Times New Roman"/>
          <w:b w:val="0"/>
        </w:rPr>
        <w:t>3</w:t>
      </w:r>
      <w:r>
        <w:rPr>
          <w:b w:val="0"/>
        </w:rPr>
        <w:t>、</w:t>
      </w:r>
      <w:r>
        <w:t>大气污染物年排放量核算</w:t>
      </w:r>
    </w:p>
    <w:p w14:paraId="382BDBD6">
      <w:pPr>
        <w:pStyle w:val="10"/>
        <w:spacing w:before="161"/>
        <w:ind w:left="1061"/>
      </w:pPr>
      <w:r>
        <w:t>项目大气污染物年排放量核算见下表。</w:t>
      </w:r>
    </w:p>
    <w:p w14:paraId="588408F3">
      <w:pPr>
        <w:pStyle w:val="9"/>
        <w:spacing w:before="160"/>
        <w:ind w:left="1100" w:right="1220"/>
        <w:jc w:val="center"/>
      </w:pPr>
      <w:r>
        <w:t>表</w:t>
      </w:r>
      <w:r>
        <w:rPr>
          <w:rFonts w:ascii="Times New Roman" w:eastAsia="Times New Roman"/>
        </w:rPr>
        <w:t>4.1-26</w:t>
      </w:r>
      <w:r>
        <w:t>大气污染物年排放量核算表</w:t>
      </w:r>
    </w:p>
    <w:p w14:paraId="47DDE642">
      <w:pPr>
        <w:pStyle w:val="10"/>
        <w:spacing w:before="4"/>
        <w:rPr>
          <w:b/>
          <w:sz w:val="6"/>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3220"/>
        <w:gridCol w:w="3375"/>
      </w:tblGrid>
      <w:tr w14:paraId="47577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24" w:type="dxa"/>
            <w:tcBorders>
              <w:left w:val="nil"/>
            </w:tcBorders>
          </w:tcPr>
          <w:p w14:paraId="5AE08E31">
            <w:pPr>
              <w:pStyle w:val="17"/>
              <w:spacing w:before="90"/>
              <w:ind w:left="734" w:right="723"/>
              <w:rPr>
                <w:b/>
                <w:sz w:val="21"/>
              </w:rPr>
            </w:pPr>
            <w:r>
              <w:rPr>
                <w:b/>
                <w:sz w:val="21"/>
              </w:rPr>
              <w:t>序号</w:t>
            </w:r>
          </w:p>
        </w:tc>
        <w:tc>
          <w:tcPr>
            <w:tcW w:w="3220" w:type="dxa"/>
          </w:tcPr>
          <w:p w14:paraId="56523124">
            <w:pPr>
              <w:pStyle w:val="17"/>
              <w:spacing w:before="90"/>
              <w:ind w:left="1063" w:right="1056"/>
              <w:rPr>
                <w:b/>
                <w:sz w:val="21"/>
              </w:rPr>
            </w:pPr>
            <w:r>
              <w:rPr>
                <w:b/>
                <w:sz w:val="21"/>
              </w:rPr>
              <w:t>污染物</w:t>
            </w:r>
          </w:p>
        </w:tc>
        <w:tc>
          <w:tcPr>
            <w:tcW w:w="3375" w:type="dxa"/>
            <w:tcBorders>
              <w:right w:val="nil"/>
            </w:tcBorders>
          </w:tcPr>
          <w:p w14:paraId="646B2161">
            <w:pPr>
              <w:pStyle w:val="17"/>
              <w:spacing w:before="90"/>
              <w:ind w:left="886" w:right="886"/>
              <w:rPr>
                <w:b/>
                <w:sz w:val="21"/>
              </w:rPr>
            </w:pPr>
            <w:r>
              <w:rPr>
                <w:b/>
                <w:sz w:val="21"/>
              </w:rPr>
              <w:t>年排放量</w:t>
            </w:r>
            <w:r>
              <w:rPr>
                <w:rFonts w:ascii="Times New Roman" w:eastAsia="Times New Roman"/>
                <w:b/>
                <w:sz w:val="21"/>
              </w:rPr>
              <w:t>/</w:t>
            </w:r>
            <w:r>
              <w:rPr>
                <w:b/>
                <w:sz w:val="21"/>
              </w:rPr>
              <w:t>（</w:t>
            </w:r>
            <w:r>
              <w:rPr>
                <w:rFonts w:ascii="Times New Roman" w:eastAsia="Times New Roman"/>
                <w:b/>
                <w:sz w:val="21"/>
              </w:rPr>
              <w:t>t/a</w:t>
            </w:r>
            <w:r>
              <w:rPr>
                <w:b/>
                <w:sz w:val="21"/>
              </w:rPr>
              <w:t>）</w:t>
            </w:r>
          </w:p>
        </w:tc>
      </w:tr>
      <w:tr w14:paraId="3DA9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24" w:type="dxa"/>
            <w:tcBorders>
              <w:left w:val="nil"/>
            </w:tcBorders>
          </w:tcPr>
          <w:p w14:paraId="1DF3113F">
            <w:pPr>
              <w:pStyle w:val="17"/>
              <w:spacing w:before="34"/>
              <w:ind w:left="12"/>
              <w:rPr>
                <w:rFonts w:ascii="Times New Roman"/>
                <w:sz w:val="21"/>
              </w:rPr>
            </w:pPr>
            <w:r>
              <w:rPr>
                <w:rFonts w:ascii="Times New Roman"/>
                <w:w w:val="99"/>
                <w:sz w:val="21"/>
              </w:rPr>
              <w:t>1</w:t>
            </w:r>
          </w:p>
        </w:tc>
        <w:tc>
          <w:tcPr>
            <w:tcW w:w="3220" w:type="dxa"/>
          </w:tcPr>
          <w:p w14:paraId="4E6337DE">
            <w:pPr>
              <w:pStyle w:val="17"/>
              <w:spacing w:before="20"/>
              <w:ind w:left="1063" w:right="1053"/>
              <w:rPr>
                <w:sz w:val="21"/>
              </w:rPr>
            </w:pPr>
            <w:r>
              <w:rPr>
                <w:sz w:val="21"/>
              </w:rPr>
              <w:t>颗粒物</w:t>
            </w:r>
          </w:p>
        </w:tc>
        <w:tc>
          <w:tcPr>
            <w:tcW w:w="3375" w:type="dxa"/>
            <w:tcBorders>
              <w:right w:val="nil"/>
            </w:tcBorders>
          </w:tcPr>
          <w:p w14:paraId="077151A8">
            <w:pPr>
              <w:pStyle w:val="17"/>
              <w:spacing w:before="34"/>
              <w:ind w:left="886" w:right="882"/>
              <w:rPr>
                <w:rFonts w:ascii="Times New Roman"/>
                <w:sz w:val="21"/>
              </w:rPr>
            </w:pPr>
            <w:r>
              <w:rPr>
                <w:rFonts w:ascii="Times New Roman"/>
                <w:sz w:val="21"/>
              </w:rPr>
              <w:t>0.331</w:t>
            </w:r>
          </w:p>
        </w:tc>
      </w:tr>
      <w:tr w14:paraId="1FF37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24" w:type="dxa"/>
            <w:tcBorders>
              <w:left w:val="nil"/>
            </w:tcBorders>
          </w:tcPr>
          <w:p w14:paraId="1F1029DA">
            <w:pPr>
              <w:pStyle w:val="17"/>
              <w:spacing w:before="34"/>
              <w:ind w:left="12"/>
              <w:rPr>
                <w:rFonts w:ascii="Times New Roman"/>
                <w:sz w:val="21"/>
              </w:rPr>
            </w:pPr>
            <w:r>
              <w:rPr>
                <w:rFonts w:ascii="Times New Roman"/>
                <w:w w:val="99"/>
                <w:sz w:val="21"/>
              </w:rPr>
              <w:t>2</w:t>
            </w:r>
          </w:p>
        </w:tc>
        <w:tc>
          <w:tcPr>
            <w:tcW w:w="3220" w:type="dxa"/>
          </w:tcPr>
          <w:p w14:paraId="401D847D">
            <w:pPr>
              <w:pStyle w:val="17"/>
              <w:spacing w:before="20"/>
              <w:ind w:left="1063" w:right="1056"/>
              <w:rPr>
                <w:sz w:val="21"/>
              </w:rPr>
            </w:pPr>
            <w:r>
              <w:rPr>
                <w:sz w:val="21"/>
              </w:rPr>
              <w:t>非甲烷总烃</w:t>
            </w:r>
          </w:p>
        </w:tc>
        <w:tc>
          <w:tcPr>
            <w:tcW w:w="3375" w:type="dxa"/>
            <w:tcBorders>
              <w:right w:val="nil"/>
            </w:tcBorders>
          </w:tcPr>
          <w:p w14:paraId="7B9BF37B">
            <w:pPr>
              <w:pStyle w:val="17"/>
              <w:spacing w:before="34"/>
              <w:ind w:left="886" w:right="882"/>
              <w:rPr>
                <w:rFonts w:ascii="Times New Roman"/>
                <w:sz w:val="21"/>
              </w:rPr>
            </w:pPr>
            <w:r>
              <w:rPr>
                <w:rFonts w:ascii="Times New Roman"/>
                <w:sz w:val="21"/>
              </w:rPr>
              <w:t>5.444</w:t>
            </w:r>
          </w:p>
        </w:tc>
      </w:tr>
    </w:tbl>
    <w:p w14:paraId="45E14704">
      <w:pPr>
        <w:pStyle w:val="16"/>
        <w:numPr>
          <w:ilvl w:val="2"/>
          <w:numId w:val="17"/>
        </w:numPr>
        <w:tabs>
          <w:tab w:val="left" w:pos="1321"/>
        </w:tabs>
        <w:spacing w:before="132" w:after="0" w:line="240" w:lineRule="auto"/>
        <w:ind w:left="1320" w:right="0" w:hanging="700"/>
        <w:jc w:val="left"/>
        <w:rPr>
          <w:b/>
          <w:sz w:val="28"/>
        </w:rPr>
      </w:pPr>
      <w:r>
        <w:rPr>
          <w:b/>
          <w:sz w:val="28"/>
        </w:rPr>
        <w:t>大气环境影响评价结论</w:t>
      </w:r>
    </w:p>
    <w:p w14:paraId="78A4D467">
      <w:pPr>
        <w:pStyle w:val="10"/>
        <w:spacing w:before="214"/>
        <w:ind w:left="1102"/>
      </w:pPr>
      <w:r>
        <w:rPr>
          <w:rFonts w:ascii="Times New Roman" w:eastAsia="Times New Roman"/>
        </w:rPr>
        <w:t>1</w:t>
      </w:r>
      <w:r>
        <w:t>）本项目新增污染源正常排放下污染物短期浓度贡献值最大占标率均小于</w:t>
      </w:r>
    </w:p>
    <w:p w14:paraId="5DFA59CF">
      <w:pPr>
        <w:pStyle w:val="10"/>
        <w:spacing w:before="160"/>
        <w:ind w:left="620"/>
      </w:pPr>
      <w:r>
        <w:rPr>
          <w:rFonts w:ascii="Times New Roman" w:eastAsia="Times New Roman"/>
        </w:rPr>
        <w:t>100%</w:t>
      </w:r>
      <w:r>
        <w:t xml:space="preserve">，长期浓度贡献值最大占标率均小于 </w:t>
      </w:r>
      <w:r>
        <w:rPr>
          <w:rFonts w:ascii="Times New Roman" w:eastAsia="Times New Roman"/>
        </w:rPr>
        <w:t>30%</w:t>
      </w:r>
      <w:r>
        <w:t>。</w:t>
      </w:r>
    </w:p>
    <w:p w14:paraId="54C0541B">
      <w:pPr>
        <w:pStyle w:val="10"/>
        <w:spacing w:before="161" w:line="364" w:lineRule="auto"/>
        <w:ind w:left="620" w:right="737" w:firstLine="480"/>
        <w:jc w:val="both"/>
      </w:pPr>
      <w:r>
        <w:rPr>
          <w:rFonts w:ascii="Times New Roman" w:eastAsia="Times New Roman"/>
          <w:spacing w:val="-44"/>
        </w:rPr>
        <w:t>2</w:t>
      </w:r>
      <w:r>
        <w:rPr>
          <w:spacing w:val="-44"/>
        </w:rPr>
        <w:t>）</w:t>
      </w:r>
      <w:r>
        <w:rPr>
          <w:spacing w:val="-17"/>
        </w:rPr>
        <w:t xml:space="preserve">叠加现状浓度、区域拟建在建污染源后，非甲烷总烃 </w:t>
      </w:r>
      <w:r>
        <w:rPr>
          <w:rFonts w:ascii="Times New Roman" w:eastAsia="Times New Roman"/>
        </w:rPr>
        <w:t xml:space="preserve">1h </w:t>
      </w:r>
      <w:r>
        <w:rPr>
          <w:spacing w:val="-11"/>
        </w:rPr>
        <w:t>平均浓度满足《大</w:t>
      </w:r>
      <w:r>
        <w:rPr>
          <w:spacing w:val="-16"/>
          <w:position w:val="2"/>
        </w:rPr>
        <w:t xml:space="preserve">气污染物综合排放标准详解》中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1"/>
          <w:position w:val="2"/>
          <w:vertAlign w:val="baseline"/>
        </w:rPr>
        <w:t>的限值，</w:t>
      </w:r>
      <w:r>
        <w:rPr>
          <w:rFonts w:ascii="Times New Roman" w:eastAsia="Times New Roman"/>
          <w:spacing w:val="-3"/>
          <w:position w:val="2"/>
          <w:vertAlign w:val="baseline"/>
        </w:rPr>
        <w:t>PM</w:t>
      </w:r>
      <w:r>
        <w:rPr>
          <w:rFonts w:ascii="Times New Roman" w:eastAsia="Times New Roman"/>
          <w:spacing w:val="-3"/>
          <w:position w:val="2"/>
          <w:vertAlign w:val="subscript"/>
        </w:rPr>
        <w:t>10</w:t>
      </w:r>
      <w:r>
        <w:rPr>
          <w:rFonts w:ascii="Times New Roman" w:eastAsia="Times New Roman"/>
          <w:spacing w:val="-3"/>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TSP</w:t>
      </w:r>
      <w:r>
        <w:rPr>
          <w:spacing w:val="-12"/>
          <w:position w:val="2"/>
          <w:vertAlign w:val="baseline"/>
        </w:rPr>
        <w:t>、</w:t>
      </w:r>
      <w:r>
        <w:rPr>
          <w:rFonts w:ascii="Times New Roman" w:eastAsia="Times New Roman"/>
          <w:position w:val="2"/>
          <w:vertAlign w:val="baseline"/>
        </w:rPr>
        <w:t xml:space="preserve">1h </w:t>
      </w:r>
      <w:r>
        <w:rPr>
          <w:spacing w:val="-3"/>
          <w:position w:val="2"/>
          <w:vertAlign w:val="baseline"/>
        </w:rPr>
        <w:t>平均、日平</w:t>
      </w:r>
      <w:r>
        <w:rPr>
          <w:spacing w:val="-5"/>
          <w:vertAlign w:val="baseline"/>
        </w:rPr>
        <w:t>均、年平均浓度均满足《环境空气质量标准》</w:t>
      </w:r>
      <w:r>
        <w:rPr>
          <w:vertAlign w:val="baseline"/>
        </w:rPr>
        <w:t>（</w:t>
      </w:r>
      <w:r>
        <w:rPr>
          <w:rFonts w:ascii="Times New Roman" w:eastAsia="Times New Roman"/>
          <w:vertAlign w:val="baseline"/>
        </w:rPr>
        <w:t>GB3095-2012</w:t>
      </w:r>
      <w:r>
        <w:rPr>
          <w:vertAlign w:val="baseline"/>
        </w:rPr>
        <w:t>）中的二级标准要求。</w:t>
      </w:r>
    </w:p>
    <w:p w14:paraId="1CD8CB51">
      <w:pPr>
        <w:pStyle w:val="10"/>
        <w:spacing w:line="364" w:lineRule="auto"/>
        <w:ind w:left="620" w:right="740" w:firstLine="480"/>
        <w:jc w:val="both"/>
      </w:pPr>
      <w:r>
        <w:rPr>
          <w:rFonts w:ascii="Times New Roman" w:eastAsia="Times New Roman"/>
        </w:rPr>
        <w:t>3</w:t>
      </w:r>
      <w:r>
        <w:t xml:space="preserve">）本项目新增污染源非正常排放下污染物短期浓度贡献值最大占标率均小于 </w:t>
      </w:r>
      <w:r>
        <w:rPr>
          <w:rFonts w:ascii="Times New Roman" w:eastAsia="Times New Roman"/>
        </w:rPr>
        <w:t>100%</w:t>
      </w:r>
      <w:r>
        <w:t>。</w:t>
      </w:r>
    </w:p>
    <w:p w14:paraId="0AB6D4EE">
      <w:pPr>
        <w:pStyle w:val="10"/>
        <w:spacing w:line="364" w:lineRule="auto"/>
        <w:ind w:left="620" w:right="737" w:firstLine="480"/>
        <w:jc w:val="both"/>
      </w:pPr>
      <w:r>
        <w:rPr>
          <w:rFonts w:ascii="Times New Roman" w:eastAsia="Times New Roman"/>
        </w:rPr>
        <w:t>4</w:t>
      </w:r>
      <w:r>
        <w:t>）新增污染源正常排放下非甲烷总烃落地浓度预测值未超出《大气污染物</w:t>
      </w:r>
      <w:r>
        <w:rPr>
          <w:spacing w:val="-11"/>
          <w:position w:val="2"/>
        </w:rPr>
        <w:t xml:space="preserve">综合排放标准详解》中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3"/>
          <w:position w:val="2"/>
          <w:vertAlign w:val="baseline"/>
        </w:rPr>
        <w:t>的限值，</w:t>
      </w:r>
      <w:r>
        <w:rPr>
          <w:rFonts w:ascii="Times New Roman" w:eastAsia="Times New Roman"/>
          <w:spacing w:val="-11"/>
          <w:position w:val="2"/>
          <w:vertAlign w:val="baseline"/>
        </w:rPr>
        <w:t>PM</w:t>
      </w:r>
      <w:r>
        <w:rPr>
          <w:rFonts w:ascii="Times New Roman" w:eastAsia="Times New Roman"/>
          <w:spacing w:val="-11"/>
          <w:position w:val="2"/>
          <w:vertAlign w:val="subscript"/>
        </w:rPr>
        <w:t>10</w:t>
      </w:r>
      <w:r>
        <w:rPr>
          <w:spacing w:val="-48"/>
          <w:position w:val="2"/>
          <w:vertAlign w:val="baseline"/>
        </w:rPr>
        <w:t>、</w:t>
      </w:r>
      <w:r>
        <w:rPr>
          <w:rFonts w:ascii="Times New Roman" w:eastAsia="Times New Roman"/>
          <w:position w:val="2"/>
          <w:vertAlign w:val="baseline"/>
        </w:rPr>
        <w:t xml:space="preserve">TSP </w:t>
      </w:r>
      <w:r>
        <w:rPr>
          <w:spacing w:val="-5"/>
          <w:position w:val="2"/>
          <w:vertAlign w:val="baseline"/>
        </w:rPr>
        <w:t>落地浓度预测值未超出《环</w:t>
      </w:r>
      <w:r>
        <w:rPr>
          <w:spacing w:val="-3"/>
          <w:vertAlign w:val="baseline"/>
        </w:rPr>
        <w:t>境空气质量标准》</w:t>
      </w:r>
      <w:r>
        <w:rPr>
          <w:vertAlign w:val="baseline"/>
        </w:rPr>
        <w:t>（</w:t>
      </w:r>
      <w:r>
        <w:rPr>
          <w:rFonts w:ascii="Times New Roman" w:eastAsia="Times New Roman"/>
          <w:vertAlign w:val="baseline"/>
        </w:rPr>
        <w:t>GB3095-2012</w:t>
      </w:r>
      <w:r>
        <w:rPr>
          <w:vertAlign w:val="baseline"/>
        </w:rPr>
        <w:t>）</w:t>
      </w:r>
      <w:r>
        <w:rPr>
          <w:spacing w:val="-2"/>
          <w:vertAlign w:val="baseline"/>
        </w:rPr>
        <w:t>中的二级标准要求，厂界外无超标点，无需设置大气防护距离。</w:t>
      </w:r>
    </w:p>
    <w:p w14:paraId="1580D247">
      <w:pPr>
        <w:pStyle w:val="10"/>
        <w:spacing w:line="305" w:lineRule="exact"/>
        <w:ind w:left="1100"/>
      </w:pPr>
      <w:r>
        <w:t>综上，本项目大气环境影响可以接受。</w:t>
      </w:r>
    </w:p>
    <w:p w14:paraId="200CBF5C">
      <w:pPr>
        <w:pStyle w:val="3"/>
        <w:numPr>
          <w:ilvl w:val="1"/>
          <w:numId w:val="18"/>
        </w:numPr>
        <w:tabs>
          <w:tab w:val="left" w:pos="1069"/>
        </w:tabs>
        <w:spacing w:before="198" w:after="0" w:line="240" w:lineRule="auto"/>
        <w:ind w:left="1068" w:right="0" w:hanging="448"/>
        <w:jc w:val="left"/>
      </w:pPr>
      <w:bookmarkStart w:id="25" w:name="_TOC_250030"/>
      <w:bookmarkEnd w:id="25"/>
      <w:r>
        <w:t>地表水环境影响预测与分析</w:t>
      </w:r>
    </w:p>
    <w:p w14:paraId="09CD21B1">
      <w:pPr>
        <w:spacing w:after="0" w:line="240" w:lineRule="auto"/>
        <w:jc w:val="left"/>
        <w:sectPr>
          <w:pgSz w:w="11910" w:h="16840"/>
          <w:pgMar w:top="1420" w:right="1060" w:bottom="1380" w:left="1180" w:header="0" w:footer="1192" w:gutter="0"/>
          <w:cols w:space="720" w:num="1"/>
        </w:sectPr>
      </w:pPr>
    </w:p>
    <w:p w14:paraId="244DAD11">
      <w:pPr>
        <w:pStyle w:val="16"/>
        <w:numPr>
          <w:ilvl w:val="2"/>
          <w:numId w:val="18"/>
        </w:numPr>
        <w:tabs>
          <w:tab w:val="left" w:pos="1249"/>
        </w:tabs>
        <w:spacing w:before="55" w:after="0" w:line="240" w:lineRule="auto"/>
        <w:ind w:left="1248" w:right="0" w:hanging="628"/>
        <w:jc w:val="left"/>
        <w:rPr>
          <w:b/>
          <w:sz w:val="28"/>
        </w:rPr>
      </w:pPr>
      <w:r>
        <w:rPr>
          <w:b/>
          <w:sz w:val="28"/>
        </w:rPr>
        <w:t>废水产生排放情况</w:t>
      </w:r>
    </w:p>
    <w:p w14:paraId="018E211D">
      <w:pPr>
        <w:pStyle w:val="10"/>
        <w:spacing w:before="212" w:line="364" w:lineRule="auto"/>
        <w:ind w:left="620" w:right="737" w:firstLine="480"/>
        <w:jc w:val="both"/>
      </w:pPr>
      <w:r>
        <w:rPr>
          <w:spacing w:val="-5"/>
        </w:rPr>
        <w:t>本项目循环冷却水经循环冷却池沉淀后循环使用，不外排；本项目车间地面</w:t>
      </w:r>
      <w:r>
        <w:rPr>
          <w:spacing w:val="-11"/>
        </w:rPr>
        <w:t>采用人工清扫方式，不进行地面冲洗，无地面清洗废水产生；本项目废水主要为生活污水。</w:t>
      </w:r>
    </w:p>
    <w:p w14:paraId="6C742838">
      <w:pPr>
        <w:pStyle w:val="10"/>
        <w:spacing w:line="362" w:lineRule="auto"/>
        <w:ind w:left="620" w:right="741" w:firstLine="480"/>
        <w:jc w:val="both"/>
      </w:pPr>
      <w:r>
        <w:rPr>
          <w:spacing w:val="-5"/>
          <w:position w:val="2"/>
        </w:rPr>
        <w:t xml:space="preserve">本项目生活污水产生量为 </w:t>
      </w:r>
      <w:r>
        <w:rPr>
          <w:rFonts w:ascii="Times New Roman" w:eastAsia="Times New Roman"/>
          <w:position w:val="2"/>
        </w:rPr>
        <w:t>608t/a</w:t>
      </w:r>
      <w:r>
        <w:rPr>
          <w:spacing w:val="-5"/>
          <w:position w:val="2"/>
        </w:rPr>
        <w:t xml:space="preserve">，生活污水中主要污染物为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spacing w:val="2"/>
          <w:position w:val="2"/>
          <w:vertAlign w:val="baseline"/>
        </w:rPr>
        <w:t>、</w:t>
      </w:r>
      <w:r>
        <w:rPr>
          <w:rFonts w:ascii="Times New Roman" w:eastAsia="Times New Roman"/>
          <w:position w:val="2"/>
          <w:vertAlign w:val="baseline"/>
        </w:rPr>
        <w:t xml:space="preserve">SS </w:t>
      </w:r>
      <w:r>
        <w:rPr>
          <w:position w:val="2"/>
          <w:vertAlign w:val="baseline"/>
        </w:rPr>
        <w:t>等，依托中塑新材料公司化粪池处理排入汨罗市城市污水处理厂进</w:t>
      </w:r>
      <w:r>
        <w:rPr>
          <w:vertAlign w:val="baseline"/>
        </w:rPr>
        <w:t>行处理。本项目废水及污染物产生排放情况见下表。</w:t>
      </w:r>
    </w:p>
    <w:p w14:paraId="162A6AB4">
      <w:pPr>
        <w:pStyle w:val="9"/>
        <w:spacing w:before="4"/>
        <w:ind w:left="2746"/>
      </w:pPr>
      <w:r>
        <w:rPr>
          <w:spacing w:val="-31"/>
        </w:rPr>
        <w:t xml:space="preserve">表 </w:t>
      </w:r>
      <w:r>
        <w:rPr>
          <w:rFonts w:ascii="Times New Roman" w:eastAsia="Times New Roman"/>
        </w:rPr>
        <w:t>4.2-1</w:t>
      </w:r>
      <w:r>
        <w:rPr>
          <w:rFonts w:ascii="Times New Roman" w:eastAsia="Times New Roman"/>
          <w:spacing w:val="58"/>
        </w:rPr>
        <w:t xml:space="preserve"> </w:t>
      </w:r>
      <w:r>
        <w:t>项目废水产生排放情况一览表</w:t>
      </w:r>
    </w:p>
    <w:p w14:paraId="5D0E4FBE">
      <w:pPr>
        <w:pStyle w:val="10"/>
        <w:spacing w:before="3"/>
        <w:rPr>
          <w:b/>
          <w:sz w:val="6"/>
        </w:rPr>
      </w:pPr>
    </w:p>
    <w:tbl>
      <w:tblPr>
        <w:tblStyle w:val="13"/>
        <w:tblW w:w="0" w:type="auto"/>
        <w:tblInd w:w="6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739"/>
        <w:gridCol w:w="681"/>
        <w:gridCol w:w="902"/>
        <w:gridCol w:w="695"/>
        <w:gridCol w:w="479"/>
        <w:gridCol w:w="668"/>
        <w:gridCol w:w="693"/>
        <w:gridCol w:w="902"/>
        <w:gridCol w:w="696"/>
        <w:gridCol w:w="889"/>
        <w:gridCol w:w="479"/>
      </w:tblGrid>
      <w:tr w14:paraId="2610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restart"/>
            <w:tcBorders>
              <w:left w:val="nil"/>
            </w:tcBorders>
          </w:tcPr>
          <w:p w14:paraId="3E2A5BB5">
            <w:pPr>
              <w:pStyle w:val="17"/>
              <w:spacing w:before="4"/>
              <w:jc w:val="left"/>
              <w:rPr>
                <w:b/>
                <w:sz w:val="26"/>
              </w:rPr>
            </w:pPr>
          </w:p>
          <w:p w14:paraId="1A15DE7F">
            <w:pPr>
              <w:pStyle w:val="17"/>
              <w:spacing w:before="1"/>
              <w:ind w:left="53"/>
              <w:jc w:val="left"/>
              <w:rPr>
                <w:sz w:val="21"/>
              </w:rPr>
            </w:pPr>
            <w:r>
              <w:rPr>
                <w:spacing w:val="-11"/>
                <w:sz w:val="21"/>
              </w:rPr>
              <w:t>类型</w:t>
            </w:r>
          </w:p>
        </w:tc>
        <w:tc>
          <w:tcPr>
            <w:tcW w:w="739" w:type="dxa"/>
            <w:vMerge w:val="restart"/>
          </w:tcPr>
          <w:p w14:paraId="179F226F">
            <w:pPr>
              <w:pStyle w:val="17"/>
              <w:spacing w:before="4"/>
              <w:jc w:val="left"/>
              <w:rPr>
                <w:b/>
                <w:sz w:val="26"/>
              </w:rPr>
            </w:pPr>
          </w:p>
          <w:p w14:paraId="7388A0B0">
            <w:pPr>
              <w:pStyle w:val="17"/>
              <w:spacing w:before="1"/>
              <w:ind w:left="86"/>
              <w:jc w:val="left"/>
              <w:rPr>
                <w:sz w:val="21"/>
              </w:rPr>
            </w:pPr>
            <w:r>
              <w:rPr>
                <w:sz w:val="21"/>
              </w:rPr>
              <w:t>污染物</w:t>
            </w:r>
          </w:p>
        </w:tc>
        <w:tc>
          <w:tcPr>
            <w:tcW w:w="2278" w:type="dxa"/>
            <w:gridSpan w:val="3"/>
          </w:tcPr>
          <w:p w14:paraId="676929BD">
            <w:pPr>
              <w:pStyle w:val="17"/>
              <w:spacing w:before="21"/>
              <w:ind w:left="669"/>
              <w:jc w:val="left"/>
              <w:rPr>
                <w:sz w:val="21"/>
              </w:rPr>
            </w:pPr>
            <w:r>
              <w:rPr>
                <w:sz w:val="21"/>
              </w:rPr>
              <w:t>污染物产生</w:t>
            </w:r>
          </w:p>
        </w:tc>
        <w:tc>
          <w:tcPr>
            <w:tcW w:w="1147" w:type="dxa"/>
            <w:gridSpan w:val="2"/>
          </w:tcPr>
          <w:p w14:paraId="5731795A">
            <w:pPr>
              <w:pStyle w:val="17"/>
              <w:spacing w:before="21"/>
              <w:ind w:left="196"/>
              <w:jc w:val="left"/>
              <w:rPr>
                <w:sz w:val="21"/>
              </w:rPr>
            </w:pPr>
            <w:r>
              <w:rPr>
                <w:sz w:val="21"/>
              </w:rPr>
              <w:t>治理措施</w:t>
            </w:r>
          </w:p>
        </w:tc>
        <w:tc>
          <w:tcPr>
            <w:tcW w:w="2291" w:type="dxa"/>
            <w:gridSpan w:val="3"/>
          </w:tcPr>
          <w:p w14:paraId="46CF87B6">
            <w:pPr>
              <w:pStyle w:val="17"/>
              <w:spacing w:before="21"/>
              <w:ind w:left="674"/>
              <w:jc w:val="left"/>
              <w:rPr>
                <w:sz w:val="21"/>
              </w:rPr>
            </w:pPr>
            <w:r>
              <w:rPr>
                <w:sz w:val="21"/>
              </w:rPr>
              <w:t>污染物排放</w:t>
            </w:r>
          </w:p>
        </w:tc>
        <w:tc>
          <w:tcPr>
            <w:tcW w:w="889" w:type="dxa"/>
            <w:vMerge w:val="restart"/>
          </w:tcPr>
          <w:p w14:paraId="58747EB9">
            <w:pPr>
              <w:pStyle w:val="17"/>
              <w:spacing w:before="2"/>
              <w:jc w:val="left"/>
              <w:rPr>
                <w:b/>
                <w:sz w:val="14"/>
              </w:rPr>
            </w:pPr>
          </w:p>
          <w:p w14:paraId="29C80565">
            <w:pPr>
              <w:pStyle w:val="17"/>
              <w:ind w:left="67"/>
              <w:jc w:val="left"/>
              <w:rPr>
                <w:sz w:val="21"/>
              </w:rPr>
            </w:pPr>
            <w:r>
              <w:rPr>
                <w:w w:val="95"/>
                <w:sz w:val="21"/>
              </w:rPr>
              <w:t>排放限值</w:t>
            </w:r>
          </w:p>
          <w:p w14:paraId="4159CED1">
            <w:pPr>
              <w:pStyle w:val="17"/>
              <w:spacing w:before="43"/>
              <w:ind w:left="51"/>
              <w:jc w:val="left"/>
              <w:rPr>
                <w:sz w:val="21"/>
              </w:rPr>
            </w:pPr>
            <w:r>
              <w:rPr>
                <w:spacing w:val="-11"/>
                <w:sz w:val="21"/>
              </w:rPr>
              <w:t>（</w:t>
            </w:r>
            <w:r>
              <w:rPr>
                <w:rFonts w:ascii="Times New Roman" w:eastAsia="Times New Roman"/>
                <w:spacing w:val="-11"/>
                <w:sz w:val="21"/>
              </w:rPr>
              <w:t>mg/L</w:t>
            </w:r>
            <w:r>
              <w:rPr>
                <w:spacing w:val="-11"/>
                <w:sz w:val="21"/>
              </w:rPr>
              <w:t>）</w:t>
            </w:r>
          </w:p>
        </w:tc>
        <w:tc>
          <w:tcPr>
            <w:tcW w:w="479" w:type="dxa"/>
            <w:vMerge w:val="restart"/>
            <w:tcBorders>
              <w:right w:val="nil"/>
            </w:tcBorders>
          </w:tcPr>
          <w:p w14:paraId="3743EBD8">
            <w:pPr>
              <w:pStyle w:val="17"/>
              <w:spacing w:before="2"/>
              <w:jc w:val="left"/>
              <w:rPr>
                <w:b/>
                <w:sz w:val="14"/>
              </w:rPr>
            </w:pPr>
          </w:p>
          <w:p w14:paraId="2ACAF895">
            <w:pPr>
              <w:pStyle w:val="17"/>
              <w:spacing w:line="278" w:lineRule="auto"/>
              <w:ind w:left="52"/>
              <w:jc w:val="left"/>
              <w:rPr>
                <w:sz w:val="21"/>
              </w:rPr>
            </w:pPr>
            <w:r>
              <w:rPr>
                <w:sz w:val="21"/>
              </w:rPr>
              <w:t>达标情况</w:t>
            </w:r>
          </w:p>
        </w:tc>
      </w:tr>
      <w:tr w14:paraId="485F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8" w:type="dxa"/>
            <w:vMerge w:val="continue"/>
            <w:tcBorders>
              <w:top w:val="nil"/>
              <w:left w:val="nil"/>
            </w:tcBorders>
          </w:tcPr>
          <w:p w14:paraId="50DEA19B">
            <w:pPr>
              <w:rPr>
                <w:sz w:val="2"/>
                <w:szCs w:val="2"/>
              </w:rPr>
            </w:pPr>
          </w:p>
        </w:tc>
        <w:tc>
          <w:tcPr>
            <w:tcW w:w="739" w:type="dxa"/>
            <w:vMerge w:val="continue"/>
            <w:tcBorders>
              <w:top w:val="nil"/>
            </w:tcBorders>
          </w:tcPr>
          <w:p w14:paraId="048958DD">
            <w:pPr>
              <w:rPr>
                <w:sz w:val="2"/>
                <w:szCs w:val="2"/>
              </w:rPr>
            </w:pPr>
          </w:p>
        </w:tc>
        <w:tc>
          <w:tcPr>
            <w:tcW w:w="681" w:type="dxa"/>
          </w:tcPr>
          <w:p w14:paraId="535DC0BF">
            <w:pPr>
              <w:pStyle w:val="17"/>
              <w:spacing w:before="20"/>
              <w:ind w:left="57"/>
              <w:jc w:val="left"/>
              <w:rPr>
                <w:sz w:val="21"/>
              </w:rPr>
            </w:pPr>
            <w:r>
              <w:rPr>
                <w:w w:val="95"/>
                <w:sz w:val="21"/>
              </w:rPr>
              <w:t>废水量</w:t>
            </w:r>
          </w:p>
          <w:p w14:paraId="1C7F0757">
            <w:pPr>
              <w:pStyle w:val="17"/>
              <w:spacing w:before="43"/>
              <w:ind w:left="40"/>
              <w:jc w:val="left"/>
              <w:rPr>
                <w:sz w:val="21"/>
              </w:rPr>
            </w:pPr>
            <w:r>
              <w:rPr>
                <w:rFonts w:ascii="Times New Roman" w:eastAsia="Times New Roman"/>
                <w:spacing w:val="-12"/>
                <w:sz w:val="21"/>
              </w:rPr>
              <w:t>/</w:t>
            </w:r>
            <w:r>
              <w:rPr>
                <w:spacing w:val="-12"/>
                <w:sz w:val="21"/>
              </w:rPr>
              <w:t>（</w:t>
            </w:r>
            <w:r>
              <w:rPr>
                <w:rFonts w:ascii="Times New Roman" w:eastAsia="Times New Roman"/>
                <w:spacing w:val="-12"/>
                <w:sz w:val="21"/>
              </w:rPr>
              <w:t>t/a</w:t>
            </w:r>
            <w:r>
              <w:rPr>
                <w:spacing w:val="-12"/>
                <w:sz w:val="21"/>
              </w:rPr>
              <w:t>）</w:t>
            </w:r>
          </w:p>
        </w:tc>
        <w:tc>
          <w:tcPr>
            <w:tcW w:w="902" w:type="dxa"/>
          </w:tcPr>
          <w:p w14:paraId="6AB94BF6">
            <w:pPr>
              <w:pStyle w:val="17"/>
              <w:spacing w:before="20"/>
              <w:ind w:left="50"/>
              <w:jc w:val="left"/>
              <w:rPr>
                <w:rFonts w:ascii="Times New Roman" w:eastAsia="Times New Roman"/>
                <w:sz w:val="21"/>
              </w:rPr>
            </w:pPr>
            <w:r>
              <w:rPr>
                <w:spacing w:val="-22"/>
                <w:w w:val="95"/>
                <w:sz w:val="21"/>
              </w:rPr>
              <w:t>产生浓度</w:t>
            </w:r>
            <w:r>
              <w:rPr>
                <w:rFonts w:ascii="Times New Roman" w:eastAsia="Times New Roman"/>
                <w:w w:val="95"/>
                <w:sz w:val="21"/>
              </w:rPr>
              <w:t>/</w:t>
            </w:r>
          </w:p>
          <w:p w14:paraId="784B24B7">
            <w:pPr>
              <w:pStyle w:val="17"/>
              <w:spacing w:before="43"/>
              <w:ind w:left="55"/>
              <w:jc w:val="left"/>
              <w:rPr>
                <w:sz w:val="21"/>
              </w:rPr>
            </w:pPr>
            <w:r>
              <w:rPr>
                <w:spacing w:val="-11"/>
                <w:sz w:val="21"/>
              </w:rPr>
              <w:t>（</w:t>
            </w:r>
            <w:r>
              <w:rPr>
                <w:rFonts w:ascii="Times New Roman" w:eastAsia="Times New Roman"/>
                <w:spacing w:val="-11"/>
                <w:sz w:val="21"/>
              </w:rPr>
              <w:t>mg/L</w:t>
            </w:r>
            <w:r>
              <w:rPr>
                <w:spacing w:val="-11"/>
                <w:sz w:val="21"/>
              </w:rPr>
              <w:t>）</w:t>
            </w:r>
          </w:p>
        </w:tc>
        <w:tc>
          <w:tcPr>
            <w:tcW w:w="695" w:type="dxa"/>
          </w:tcPr>
          <w:p w14:paraId="364824CD">
            <w:pPr>
              <w:pStyle w:val="17"/>
              <w:spacing w:before="20"/>
              <w:ind w:left="41"/>
              <w:jc w:val="left"/>
              <w:rPr>
                <w:rFonts w:ascii="Times New Roman" w:eastAsia="Times New Roman"/>
                <w:sz w:val="21"/>
              </w:rPr>
            </w:pPr>
            <w:r>
              <w:rPr>
                <w:spacing w:val="-22"/>
                <w:w w:val="95"/>
                <w:sz w:val="21"/>
              </w:rPr>
              <w:t>产生量</w:t>
            </w:r>
            <w:r>
              <w:rPr>
                <w:rFonts w:ascii="Times New Roman" w:eastAsia="Times New Roman"/>
                <w:w w:val="95"/>
                <w:sz w:val="21"/>
              </w:rPr>
              <w:t>/</w:t>
            </w:r>
          </w:p>
          <w:p w14:paraId="61FC0A22">
            <w:pPr>
              <w:pStyle w:val="17"/>
              <w:spacing w:before="43"/>
              <w:ind w:left="70"/>
              <w:jc w:val="left"/>
              <w:rPr>
                <w:sz w:val="21"/>
              </w:rPr>
            </w:pPr>
            <w:r>
              <w:rPr>
                <w:spacing w:val="-11"/>
                <w:sz w:val="21"/>
              </w:rPr>
              <w:t>（</w:t>
            </w:r>
            <w:r>
              <w:rPr>
                <w:rFonts w:ascii="Times New Roman" w:eastAsia="Times New Roman"/>
                <w:spacing w:val="-11"/>
                <w:sz w:val="21"/>
              </w:rPr>
              <w:t>t/a</w:t>
            </w:r>
            <w:r>
              <w:rPr>
                <w:spacing w:val="-11"/>
                <w:sz w:val="21"/>
              </w:rPr>
              <w:t>）</w:t>
            </w:r>
          </w:p>
        </w:tc>
        <w:tc>
          <w:tcPr>
            <w:tcW w:w="479" w:type="dxa"/>
          </w:tcPr>
          <w:p w14:paraId="2335B155">
            <w:pPr>
              <w:pStyle w:val="17"/>
              <w:spacing w:before="177"/>
              <w:ind w:left="49"/>
              <w:jc w:val="left"/>
              <w:rPr>
                <w:sz w:val="21"/>
              </w:rPr>
            </w:pPr>
            <w:r>
              <w:rPr>
                <w:spacing w:val="-11"/>
                <w:sz w:val="21"/>
              </w:rPr>
              <w:t>工艺</w:t>
            </w:r>
          </w:p>
        </w:tc>
        <w:tc>
          <w:tcPr>
            <w:tcW w:w="668" w:type="dxa"/>
          </w:tcPr>
          <w:p w14:paraId="2184F61E">
            <w:pPr>
              <w:pStyle w:val="17"/>
              <w:spacing w:before="177"/>
              <w:ind w:left="21"/>
              <w:rPr>
                <w:rFonts w:ascii="Times New Roman" w:eastAsia="Times New Roman"/>
                <w:sz w:val="21"/>
              </w:rPr>
            </w:pPr>
            <w:r>
              <w:rPr>
                <w:spacing w:val="-21"/>
                <w:sz w:val="21"/>
              </w:rPr>
              <w:t>效率</w:t>
            </w:r>
            <w:r>
              <w:rPr>
                <w:rFonts w:ascii="Times New Roman" w:eastAsia="Times New Roman"/>
                <w:spacing w:val="-4"/>
                <w:sz w:val="21"/>
              </w:rPr>
              <w:t>/%</w:t>
            </w:r>
          </w:p>
        </w:tc>
        <w:tc>
          <w:tcPr>
            <w:tcW w:w="693" w:type="dxa"/>
          </w:tcPr>
          <w:p w14:paraId="5AA7EE04">
            <w:pPr>
              <w:pStyle w:val="17"/>
              <w:spacing w:before="20"/>
              <w:ind w:left="40"/>
              <w:jc w:val="left"/>
              <w:rPr>
                <w:rFonts w:ascii="Times New Roman" w:eastAsia="Times New Roman"/>
                <w:sz w:val="21"/>
              </w:rPr>
            </w:pPr>
            <w:r>
              <w:rPr>
                <w:spacing w:val="-22"/>
                <w:w w:val="95"/>
                <w:sz w:val="21"/>
              </w:rPr>
              <w:t>废水量</w:t>
            </w:r>
            <w:r>
              <w:rPr>
                <w:rFonts w:ascii="Times New Roman" w:eastAsia="Times New Roman"/>
                <w:w w:val="95"/>
                <w:sz w:val="21"/>
              </w:rPr>
              <w:t>/</w:t>
            </w:r>
          </w:p>
          <w:p w14:paraId="13735FEF">
            <w:pPr>
              <w:pStyle w:val="17"/>
              <w:spacing w:before="43"/>
              <w:ind w:left="69"/>
              <w:jc w:val="left"/>
              <w:rPr>
                <w:sz w:val="21"/>
              </w:rPr>
            </w:pPr>
            <w:r>
              <w:rPr>
                <w:spacing w:val="-11"/>
                <w:sz w:val="21"/>
              </w:rPr>
              <w:t>（</w:t>
            </w:r>
            <w:r>
              <w:rPr>
                <w:rFonts w:ascii="Times New Roman" w:eastAsia="Times New Roman"/>
                <w:spacing w:val="-11"/>
                <w:sz w:val="21"/>
              </w:rPr>
              <w:t>t/a</w:t>
            </w:r>
            <w:r>
              <w:rPr>
                <w:spacing w:val="-11"/>
                <w:sz w:val="21"/>
              </w:rPr>
              <w:t>）</w:t>
            </w:r>
          </w:p>
        </w:tc>
        <w:tc>
          <w:tcPr>
            <w:tcW w:w="902" w:type="dxa"/>
          </w:tcPr>
          <w:p w14:paraId="22C48841">
            <w:pPr>
              <w:pStyle w:val="17"/>
              <w:spacing w:before="20"/>
              <w:ind w:left="50"/>
              <w:jc w:val="left"/>
              <w:rPr>
                <w:rFonts w:ascii="Times New Roman" w:eastAsia="Times New Roman"/>
                <w:sz w:val="21"/>
              </w:rPr>
            </w:pPr>
            <w:r>
              <w:rPr>
                <w:spacing w:val="-22"/>
                <w:w w:val="95"/>
                <w:sz w:val="21"/>
              </w:rPr>
              <w:t>排放浓度</w:t>
            </w:r>
            <w:r>
              <w:rPr>
                <w:rFonts w:ascii="Times New Roman" w:eastAsia="Times New Roman"/>
                <w:w w:val="95"/>
                <w:sz w:val="21"/>
              </w:rPr>
              <w:t>/</w:t>
            </w:r>
          </w:p>
          <w:p w14:paraId="2825DACA">
            <w:pPr>
              <w:pStyle w:val="17"/>
              <w:spacing w:before="43"/>
              <w:ind w:left="55"/>
              <w:jc w:val="left"/>
              <w:rPr>
                <w:sz w:val="21"/>
              </w:rPr>
            </w:pPr>
            <w:r>
              <w:rPr>
                <w:spacing w:val="-11"/>
                <w:sz w:val="21"/>
              </w:rPr>
              <w:t>（</w:t>
            </w:r>
            <w:r>
              <w:rPr>
                <w:rFonts w:ascii="Times New Roman" w:eastAsia="Times New Roman"/>
                <w:spacing w:val="-11"/>
                <w:sz w:val="21"/>
              </w:rPr>
              <w:t>mg/L</w:t>
            </w:r>
            <w:r>
              <w:rPr>
                <w:spacing w:val="-11"/>
                <w:sz w:val="21"/>
              </w:rPr>
              <w:t>）</w:t>
            </w:r>
          </w:p>
        </w:tc>
        <w:tc>
          <w:tcPr>
            <w:tcW w:w="696" w:type="dxa"/>
          </w:tcPr>
          <w:p w14:paraId="1041D6AA">
            <w:pPr>
              <w:pStyle w:val="17"/>
              <w:spacing w:before="20"/>
              <w:ind w:left="41"/>
              <w:jc w:val="left"/>
              <w:rPr>
                <w:rFonts w:ascii="Times New Roman" w:eastAsia="Times New Roman"/>
                <w:sz w:val="21"/>
              </w:rPr>
            </w:pPr>
            <w:r>
              <w:rPr>
                <w:spacing w:val="-22"/>
                <w:w w:val="95"/>
                <w:sz w:val="21"/>
              </w:rPr>
              <w:t>排放量</w:t>
            </w:r>
            <w:r>
              <w:rPr>
                <w:rFonts w:ascii="Times New Roman" w:eastAsia="Times New Roman"/>
                <w:w w:val="95"/>
                <w:sz w:val="21"/>
              </w:rPr>
              <w:t>/</w:t>
            </w:r>
          </w:p>
          <w:p w14:paraId="2504D8CD">
            <w:pPr>
              <w:pStyle w:val="17"/>
              <w:spacing w:before="43"/>
              <w:ind w:left="70"/>
              <w:jc w:val="left"/>
              <w:rPr>
                <w:sz w:val="21"/>
              </w:rPr>
            </w:pPr>
            <w:r>
              <w:rPr>
                <w:spacing w:val="-11"/>
                <w:sz w:val="21"/>
              </w:rPr>
              <w:t>（</w:t>
            </w:r>
            <w:r>
              <w:rPr>
                <w:rFonts w:ascii="Times New Roman" w:eastAsia="Times New Roman"/>
                <w:spacing w:val="-11"/>
                <w:sz w:val="21"/>
              </w:rPr>
              <w:t>t/a</w:t>
            </w:r>
            <w:r>
              <w:rPr>
                <w:spacing w:val="-11"/>
                <w:sz w:val="21"/>
              </w:rPr>
              <w:t>）</w:t>
            </w:r>
          </w:p>
        </w:tc>
        <w:tc>
          <w:tcPr>
            <w:tcW w:w="889" w:type="dxa"/>
            <w:vMerge w:val="continue"/>
            <w:tcBorders>
              <w:top w:val="nil"/>
            </w:tcBorders>
          </w:tcPr>
          <w:p w14:paraId="209862F7">
            <w:pPr>
              <w:rPr>
                <w:sz w:val="2"/>
                <w:szCs w:val="2"/>
              </w:rPr>
            </w:pPr>
          </w:p>
        </w:tc>
        <w:tc>
          <w:tcPr>
            <w:tcW w:w="479" w:type="dxa"/>
            <w:vMerge w:val="continue"/>
            <w:tcBorders>
              <w:top w:val="nil"/>
              <w:right w:val="nil"/>
            </w:tcBorders>
          </w:tcPr>
          <w:p w14:paraId="5BA86C99">
            <w:pPr>
              <w:rPr>
                <w:sz w:val="2"/>
                <w:szCs w:val="2"/>
              </w:rPr>
            </w:pPr>
          </w:p>
        </w:tc>
      </w:tr>
      <w:tr w14:paraId="23689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78" w:type="dxa"/>
            <w:vMerge w:val="restart"/>
            <w:tcBorders>
              <w:left w:val="nil"/>
            </w:tcBorders>
          </w:tcPr>
          <w:p w14:paraId="70DCEA4D">
            <w:pPr>
              <w:pStyle w:val="17"/>
              <w:spacing w:before="3"/>
              <w:jc w:val="left"/>
              <w:rPr>
                <w:b/>
                <w:sz w:val="27"/>
              </w:rPr>
            </w:pPr>
          </w:p>
          <w:p w14:paraId="0F118A1E">
            <w:pPr>
              <w:pStyle w:val="17"/>
              <w:spacing w:line="278" w:lineRule="auto"/>
              <w:ind w:left="31" w:right="21"/>
              <w:jc w:val="left"/>
              <w:rPr>
                <w:sz w:val="21"/>
              </w:rPr>
            </w:pPr>
            <w:r>
              <w:rPr>
                <w:w w:val="95"/>
                <w:sz w:val="21"/>
              </w:rPr>
              <w:t>生活污水</w:t>
            </w:r>
          </w:p>
        </w:tc>
        <w:tc>
          <w:tcPr>
            <w:tcW w:w="739" w:type="dxa"/>
          </w:tcPr>
          <w:p w14:paraId="56D279B3">
            <w:pPr>
              <w:pStyle w:val="17"/>
              <w:spacing w:before="34"/>
              <w:ind w:left="22" w:right="13"/>
              <w:rPr>
                <w:rFonts w:ascii="Times New Roman"/>
                <w:sz w:val="21"/>
              </w:rPr>
            </w:pPr>
            <w:r>
              <w:rPr>
                <w:rFonts w:ascii="Times New Roman"/>
                <w:sz w:val="21"/>
              </w:rPr>
              <w:t>CODCr</w:t>
            </w:r>
          </w:p>
        </w:tc>
        <w:tc>
          <w:tcPr>
            <w:tcW w:w="681" w:type="dxa"/>
            <w:vMerge w:val="restart"/>
          </w:tcPr>
          <w:p w14:paraId="38EEA8B8">
            <w:pPr>
              <w:pStyle w:val="17"/>
              <w:jc w:val="left"/>
              <w:rPr>
                <w:b/>
                <w:sz w:val="22"/>
              </w:rPr>
            </w:pPr>
          </w:p>
          <w:p w14:paraId="3360B1F1">
            <w:pPr>
              <w:pStyle w:val="17"/>
              <w:spacing w:before="6"/>
              <w:jc w:val="left"/>
              <w:rPr>
                <w:b/>
                <w:sz w:val="18"/>
              </w:rPr>
            </w:pPr>
          </w:p>
          <w:p w14:paraId="77D33CD7">
            <w:pPr>
              <w:pStyle w:val="17"/>
              <w:ind w:left="182"/>
              <w:jc w:val="left"/>
              <w:rPr>
                <w:rFonts w:ascii="Times New Roman"/>
                <w:sz w:val="21"/>
              </w:rPr>
            </w:pPr>
            <w:r>
              <w:rPr>
                <w:rFonts w:ascii="Times New Roman"/>
                <w:sz w:val="21"/>
              </w:rPr>
              <w:t>608</w:t>
            </w:r>
          </w:p>
        </w:tc>
        <w:tc>
          <w:tcPr>
            <w:tcW w:w="902" w:type="dxa"/>
          </w:tcPr>
          <w:p w14:paraId="2E2170EC">
            <w:pPr>
              <w:pStyle w:val="17"/>
              <w:spacing w:before="34"/>
              <w:ind w:right="280"/>
              <w:jc w:val="right"/>
              <w:rPr>
                <w:rFonts w:ascii="Times New Roman"/>
                <w:sz w:val="21"/>
              </w:rPr>
            </w:pPr>
            <w:r>
              <w:rPr>
                <w:rFonts w:ascii="Times New Roman"/>
                <w:sz w:val="21"/>
              </w:rPr>
              <w:t>280</w:t>
            </w:r>
          </w:p>
        </w:tc>
        <w:tc>
          <w:tcPr>
            <w:tcW w:w="695" w:type="dxa"/>
          </w:tcPr>
          <w:p w14:paraId="0A1DCA02">
            <w:pPr>
              <w:pStyle w:val="17"/>
              <w:spacing w:before="36"/>
              <w:ind w:left="90" w:right="81"/>
              <w:rPr>
                <w:rFonts w:ascii="Times New Roman"/>
                <w:sz w:val="21"/>
              </w:rPr>
            </w:pPr>
            <w:r>
              <w:rPr>
                <w:rFonts w:ascii="Times New Roman"/>
                <w:sz w:val="21"/>
              </w:rPr>
              <w:t>0.170</w:t>
            </w:r>
          </w:p>
        </w:tc>
        <w:tc>
          <w:tcPr>
            <w:tcW w:w="479" w:type="dxa"/>
            <w:vMerge w:val="restart"/>
          </w:tcPr>
          <w:p w14:paraId="196BF006">
            <w:pPr>
              <w:pStyle w:val="17"/>
              <w:spacing w:before="3"/>
              <w:jc w:val="left"/>
              <w:rPr>
                <w:b/>
                <w:sz w:val="27"/>
              </w:rPr>
            </w:pPr>
          </w:p>
          <w:p w14:paraId="5F503EA9">
            <w:pPr>
              <w:pStyle w:val="17"/>
              <w:spacing w:line="278" w:lineRule="auto"/>
              <w:ind w:left="133" w:right="20" w:hanging="106"/>
              <w:jc w:val="left"/>
              <w:rPr>
                <w:sz w:val="21"/>
              </w:rPr>
            </w:pPr>
            <w:r>
              <w:rPr>
                <w:sz w:val="21"/>
              </w:rPr>
              <w:t>化粪池</w:t>
            </w:r>
          </w:p>
        </w:tc>
        <w:tc>
          <w:tcPr>
            <w:tcW w:w="668" w:type="dxa"/>
          </w:tcPr>
          <w:p w14:paraId="05BA67E5">
            <w:pPr>
              <w:pStyle w:val="17"/>
              <w:spacing w:before="34"/>
              <w:ind w:left="9"/>
              <w:rPr>
                <w:rFonts w:ascii="Times New Roman"/>
                <w:sz w:val="21"/>
              </w:rPr>
            </w:pPr>
            <w:r>
              <w:rPr>
                <w:rFonts w:ascii="Times New Roman"/>
                <w:sz w:val="21"/>
              </w:rPr>
              <w:t>20</w:t>
            </w:r>
          </w:p>
        </w:tc>
        <w:tc>
          <w:tcPr>
            <w:tcW w:w="693" w:type="dxa"/>
            <w:vMerge w:val="restart"/>
          </w:tcPr>
          <w:p w14:paraId="5A6902D4">
            <w:pPr>
              <w:pStyle w:val="17"/>
              <w:jc w:val="left"/>
              <w:rPr>
                <w:b/>
                <w:sz w:val="22"/>
              </w:rPr>
            </w:pPr>
          </w:p>
          <w:p w14:paraId="7D3FAC1D">
            <w:pPr>
              <w:pStyle w:val="17"/>
              <w:spacing w:before="6"/>
              <w:jc w:val="left"/>
              <w:rPr>
                <w:b/>
                <w:sz w:val="18"/>
              </w:rPr>
            </w:pPr>
          </w:p>
          <w:p w14:paraId="6053555D">
            <w:pPr>
              <w:pStyle w:val="17"/>
              <w:ind w:left="189"/>
              <w:jc w:val="left"/>
              <w:rPr>
                <w:rFonts w:ascii="Times New Roman"/>
                <w:sz w:val="21"/>
              </w:rPr>
            </w:pPr>
            <w:r>
              <w:rPr>
                <w:rFonts w:ascii="Times New Roman"/>
                <w:sz w:val="21"/>
              </w:rPr>
              <w:t>608</w:t>
            </w:r>
          </w:p>
        </w:tc>
        <w:tc>
          <w:tcPr>
            <w:tcW w:w="902" w:type="dxa"/>
          </w:tcPr>
          <w:p w14:paraId="70D7FC30">
            <w:pPr>
              <w:pStyle w:val="17"/>
              <w:spacing w:before="34"/>
              <w:ind w:left="273" w:right="263"/>
              <w:rPr>
                <w:rFonts w:ascii="Times New Roman"/>
                <w:sz w:val="21"/>
              </w:rPr>
            </w:pPr>
            <w:r>
              <w:rPr>
                <w:rFonts w:ascii="Times New Roman"/>
                <w:sz w:val="21"/>
              </w:rPr>
              <w:t>224</w:t>
            </w:r>
          </w:p>
        </w:tc>
        <w:tc>
          <w:tcPr>
            <w:tcW w:w="696" w:type="dxa"/>
          </w:tcPr>
          <w:p w14:paraId="13610FBE">
            <w:pPr>
              <w:pStyle w:val="17"/>
              <w:spacing w:before="36"/>
              <w:ind w:right="101"/>
              <w:jc w:val="right"/>
              <w:rPr>
                <w:rFonts w:ascii="Times New Roman"/>
                <w:sz w:val="21"/>
              </w:rPr>
            </w:pPr>
            <w:r>
              <w:rPr>
                <w:rFonts w:ascii="Times New Roman"/>
                <w:w w:val="95"/>
                <w:sz w:val="21"/>
              </w:rPr>
              <w:t>0.136</w:t>
            </w:r>
          </w:p>
        </w:tc>
        <w:tc>
          <w:tcPr>
            <w:tcW w:w="889" w:type="dxa"/>
          </w:tcPr>
          <w:p w14:paraId="71152457">
            <w:pPr>
              <w:pStyle w:val="17"/>
              <w:spacing w:before="36"/>
              <w:ind w:left="266" w:right="257"/>
              <w:rPr>
                <w:rFonts w:ascii="Times New Roman"/>
                <w:sz w:val="21"/>
              </w:rPr>
            </w:pPr>
            <w:r>
              <w:rPr>
                <w:rFonts w:ascii="Times New Roman"/>
                <w:sz w:val="21"/>
              </w:rPr>
              <w:t>320</w:t>
            </w:r>
          </w:p>
        </w:tc>
        <w:tc>
          <w:tcPr>
            <w:tcW w:w="479" w:type="dxa"/>
            <w:tcBorders>
              <w:right w:val="nil"/>
            </w:tcBorders>
          </w:tcPr>
          <w:p w14:paraId="29DB3A6A">
            <w:pPr>
              <w:pStyle w:val="17"/>
              <w:spacing w:before="20"/>
              <w:ind w:right="23"/>
              <w:jc w:val="right"/>
              <w:rPr>
                <w:sz w:val="21"/>
              </w:rPr>
            </w:pPr>
            <w:r>
              <w:rPr>
                <w:w w:val="95"/>
                <w:sz w:val="21"/>
              </w:rPr>
              <w:t>达标</w:t>
            </w:r>
          </w:p>
        </w:tc>
      </w:tr>
      <w:tr w14:paraId="5FD14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continue"/>
            <w:tcBorders>
              <w:top w:val="nil"/>
              <w:left w:val="nil"/>
            </w:tcBorders>
          </w:tcPr>
          <w:p w14:paraId="4303BF77">
            <w:pPr>
              <w:rPr>
                <w:sz w:val="2"/>
                <w:szCs w:val="2"/>
              </w:rPr>
            </w:pPr>
          </w:p>
        </w:tc>
        <w:tc>
          <w:tcPr>
            <w:tcW w:w="739" w:type="dxa"/>
          </w:tcPr>
          <w:p w14:paraId="30539559">
            <w:pPr>
              <w:pStyle w:val="17"/>
              <w:spacing w:before="33" w:line="259" w:lineRule="exact"/>
              <w:ind w:left="21" w:right="13"/>
              <w:rPr>
                <w:rFonts w:ascii="Times New Roman"/>
                <w:sz w:val="21"/>
              </w:rPr>
            </w:pPr>
            <w:r>
              <w:rPr>
                <w:rFonts w:ascii="Times New Roman"/>
                <w:position w:val="2"/>
                <w:sz w:val="21"/>
              </w:rPr>
              <w:t>BOD</w:t>
            </w:r>
            <w:r>
              <w:rPr>
                <w:rFonts w:ascii="Times New Roman"/>
                <w:position w:val="2"/>
                <w:sz w:val="21"/>
                <w:vertAlign w:val="subscript"/>
              </w:rPr>
              <w:t>5</w:t>
            </w:r>
          </w:p>
        </w:tc>
        <w:tc>
          <w:tcPr>
            <w:tcW w:w="681" w:type="dxa"/>
            <w:vMerge w:val="continue"/>
            <w:tcBorders>
              <w:top w:val="nil"/>
            </w:tcBorders>
          </w:tcPr>
          <w:p w14:paraId="3A31FC26">
            <w:pPr>
              <w:rPr>
                <w:sz w:val="2"/>
                <w:szCs w:val="2"/>
              </w:rPr>
            </w:pPr>
          </w:p>
        </w:tc>
        <w:tc>
          <w:tcPr>
            <w:tcW w:w="902" w:type="dxa"/>
          </w:tcPr>
          <w:p w14:paraId="54DEA94E">
            <w:pPr>
              <w:pStyle w:val="17"/>
              <w:spacing w:before="34"/>
              <w:ind w:right="280"/>
              <w:jc w:val="right"/>
              <w:rPr>
                <w:rFonts w:ascii="Times New Roman"/>
                <w:sz w:val="21"/>
              </w:rPr>
            </w:pPr>
            <w:r>
              <w:rPr>
                <w:rFonts w:ascii="Times New Roman"/>
                <w:sz w:val="21"/>
              </w:rPr>
              <w:t>200</w:t>
            </w:r>
          </w:p>
        </w:tc>
        <w:tc>
          <w:tcPr>
            <w:tcW w:w="695" w:type="dxa"/>
          </w:tcPr>
          <w:p w14:paraId="1CA5ECD3">
            <w:pPr>
              <w:pStyle w:val="17"/>
              <w:spacing w:before="36"/>
              <w:ind w:left="90" w:right="81"/>
              <w:rPr>
                <w:rFonts w:ascii="Times New Roman"/>
                <w:sz w:val="21"/>
              </w:rPr>
            </w:pPr>
            <w:r>
              <w:rPr>
                <w:rFonts w:ascii="Times New Roman"/>
                <w:sz w:val="21"/>
              </w:rPr>
              <w:t>0.122</w:t>
            </w:r>
          </w:p>
        </w:tc>
        <w:tc>
          <w:tcPr>
            <w:tcW w:w="479" w:type="dxa"/>
            <w:vMerge w:val="continue"/>
            <w:tcBorders>
              <w:top w:val="nil"/>
            </w:tcBorders>
          </w:tcPr>
          <w:p w14:paraId="3930080F">
            <w:pPr>
              <w:rPr>
                <w:sz w:val="2"/>
                <w:szCs w:val="2"/>
              </w:rPr>
            </w:pPr>
          </w:p>
        </w:tc>
        <w:tc>
          <w:tcPr>
            <w:tcW w:w="668" w:type="dxa"/>
          </w:tcPr>
          <w:p w14:paraId="03E60C13">
            <w:pPr>
              <w:pStyle w:val="17"/>
              <w:spacing w:before="34"/>
              <w:ind w:left="9"/>
              <w:rPr>
                <w:rFonts w:ascii="Times New Roman"/>
                <w:sz w:val="21"/>
              </w:rPr>
            </w:pPr>
            <w:r>
              <w:rPr>
                <w:rFonts w:ascii="Times New Roman"/>
                <w:sz w:val="21"/>
              </w:rPr>
              <w:t>40</w:t>
            </w:r>
          </w:p>
        </w:tc>
        <w:tc>
          <w:tcPr>
            <w:tcW w:w="693" w:type="dxa"/>
            <w:vMerge w:val="continue"/>
            <w:tcBorders>
              <w:top w:val="nil"/>
            </w:tcBorders>
          </w:tcPr>
          <w:p w14:paraId="59904B59">
            <w:pPr>
              <w:rPr>
                <w:sz w:val="2"/>
                <w:szCs w:val="2"/>
              </w:rPr>
            </w:pPr>
          </w:p>
        </w:tc>
        <w:tc>
          <w:tcPr>
            <w:tcW w:w="902" w:type="dxa"/>
          </w:tcPr>
          <w:p w14:paraId="5C30BD10">
            <w:pPr>
              <w:pStyle w:val="17"/>
              <w:spacing w:before="34"/>
              <w:ind w:left="273" w:right="263"/>
              <w:rPr>
                <w:rFonts w:ascii="Times New Roman"/>
                <w:sz w:val="21"/>
              </w:rPr>
            </w:pPr>
            <w:r>
              <w:rPr>
                <w:rFonts w:ascii="Times New Roman"/>
                <w:sz w:val="21"/>
              </w:rPr>
              <w:t>120</w:t>
            </w:r>
          </w:p>
        </w:tc>
        <w:tc>
          <w:tcPr>
            <w:tcW w:w="696" w:type="dxa"/>
          </w:tcPr>
          <w:p w14:paraId="6FBCFED1">
            <w:pPr>
              <w:pStyle w:val="17"/>
              <w:spacing w:before="36"/>
              <w:ind w:right="101"/>
              <w:jc w:val="right"/>
              <w:rPr>
                <w:rFonts w:ascii="Times New Roman"/>
                <w:sz w:val="21"/>
              </w:rPr>
            </w:pPr>
            <w:r>
              <w:rPr>
                <w:rFonts w:ascii="Times New Roman"/>
                <w:w w:val="95"/>
                <w:sz w:val="21"/>
              </w:rPr>
              <w:t>0.073</w:t>
            </w:r>
          </w:p>
        </w:tc>
        <w:tc>
          <w:tcPr>
            <w:tcW w:w="889" w:type="dxa"/>
          </w:tcPr>
          <w:p w14:paraId="408FFE86">
            <w:pPr>
              <w:pStyle w:val="17"/>
              <w:spacing w:before="36"/>
              <w:ind w:left="266" w:right="257"/>
              <w:rPr>
                <w:rFonts w:ascii="Times New Roman"/>
                <w:sz w:val="21"/>
              </w:rPr>
            </w:pPr>
            <w:r>
              <w:rPr>
                <w:rFonts w:ascii="Times New Roman"/>
                <w:sz w:val="21"/>
              </w:rPr>
              <w:t>160</w:t>
            </w:r>
          </w:p>
        </w:tc>
        <w:tc>
          <w:tcPr>
            <w:tcW w:w="479" w:type="dxa"/>
            <w:tcBorders>
              <w:right w:val="nil"/>
            </w:tcBorders>
          </w:tcPr>
          <w:p w14:paraId="44D8AF7E">
            <w:pPr>
              <w:pStyle w:val="17"/>
              <w:spacing w:before="20"/>
              <w:ind w:right="23"/>
              <w:jc w:val="right"/>
              <w:rPr>
                <w:sz w:val="21"/>
              </w:rPr>
            </w:pPr>
            <w:r>
              <w:rPr>
                <w:w w:val="95"/>
                <w:sz w:val="21"/>
              </w:rPr>
              <w:t>达标</w:t>
            </w:r>
          </w:p>
        </w:tc>
      </w:tr>
      <w:tr w14:paraId="1C3BF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78" w:type="dxa"/>
            <w:vMerge w:val="continue"/>
            <w:tcBorders>
              <w:top w:val="nil"/>
              <w:left w:val="nil"/>
            </w:tcBorders>
          </w:tcPr>
          <w:p w14:paraId="54BC15AB">
            <w:pPr>
              <w:rPr>
                <w:sz w:val="2"/>
                <w:szCs w:val="2"/>
              </w:rPr>
            </w:pPr>
          </w:p>
        </w:tc>
        <w:tc>
          <w:tcPr>
            <w:tcW w:w="739" w:type="dxa"/>
          </w:tcPr>
          <w:p w14:paraId="582103EB">
            <w:pPr>
              <w:pStyle w:val="17"/>
              <w:spacing w:before="36"/>
              <w:ind w:left="19" w:right="13"/>
              <w:rPr>
                <w:rFonts w:ascii="Times New Roman"/>
                <w:sz w:val="21"/>
              </w:rPr>
            </w:pPr>
            <w:r>
              <w:rPr>
                <w:rFonts w:ascii="Times New Roman"/>
                <w:sz w:val="21"/>
              </w:rPr>
              <w:t>SS</w:t>
            </w:r>
          </w:p>
        </w:tc>
        <w:tc>
          <w:tcPr>
            <w:tcW w:w="681" w:type="dxa"/>
            <w:vMerge w:val="continue"/>
            <w:tcBorders>
              <w:top w:val="nil"/>
            </w:tcBorders>
          </w:tcPr>
          <w:p w14:paraId="74726BFE">
            <w:pPr>
              <w:rPr>
                <w:sz w:val="2"/>
                <w:szCs w:val="2"/>
              </w:rPr>
            </w:pPr>
          </w:p>
        </w:tc>
        <w:tc>
          <w:tcPr>
            <w:tcW w:w="902" w:type="dxa"/>
          </w:tcPr>
          <w:p w14:paraId="29118F0E">
            <w:pPr>
              <w:pStyle w:val="17"/>
              <w:spacing w:before="36"/>
              <w:ind w:right="280"/>
              <w:jc w:val="right"/>
              <w:rPr>
                <w:rFonts w:ascii="Times New Roman"/>
                <w:sz w:val="21"/>
              </w:rPr>
            </w:pPr>
            <w:r>
              <w:rPr>
                <w:rFonts w:ascii="Times New Roman"/>
                <w:sz w:val="21"/>
              </w:rPr>
              <w:t>200</w:t>
            </w:r>
          </w:p>
        </w:tc>
        <w:tc>
          <w:tcPr>
            <w:tcW w:w="695" w:type="dxa"/>
          </w:tcPr>
          <w:p w14:paraId="75BE57ED">
            <w:pPr>
              <w:pStyle w:val="17"/>
              <w:spacing w:before="36"/>
              <w:ind w:left="90" w:right="81"/>
              <w:rPr>
                <w:rFonts w:ascii="Times New Roman"/>
                <w:sz w:val="21"/>
              </w:rPr>
            </w:pPr>
            <w:r>
              <w:rPr>
                <w:rFonts w:ascii="Times New Roman"/>
                <w:sz w:val="21"/>
              </w:rPr>
              <w:t>0.122</w:t>
            </w:r>
          </w:p>
        </w:tc>
        <w:tc>
          <w:tcPr>
            <w:tcW w:w="479" w:type="dxa"/>
            <w:vMerge w:val="continue"/>
            <w:tcBorders>
              <w:top w:val="nil"/>
            </w:tcBorders>
          </w:tcPr>
          <w:p w14:paraId="1429C0B0">
            <w:pPr>
              <w:rPr>
                <w:sz w:val="2"/>
                <w:szCs w:val="2"/>
              </w:rPr>
            </w:pPr>
          </w:p>
        </w:tc>
        <w:tc>
          <w:tcPr>
            <w:tcW w:w="668" w:type="dxa"/>
          </w:tcPr>
          <w:p w14:paraId="070D4B21">
            <w:pPr>
              <w:pStyle w:val="17"/>
              <w:spacing w:before="36"/>
              <w:ind w:left="9"/>
              <w:rPr>
                <w:rFonts w:ascii="Times New Roman"/>
                <w:sz w:val="21"/>
              </w:rPr>
            </w:pPr>
            <w:r>
              <w:rPr>
                <w:rFonts w:ascii="Times New Roman"/>
                <w:sz w:val="21"/>
              </w:rPr>
              <w:t>60</w:t>
            </w:r>
          </w:p>
        </w:tc>
        <w:tc>
          <w:tcPr>
            <w:tcW w:w="693" w:type="dxa"/>
            <w:vMerge w:val="continue"/>
            <w:tcBorders>
              <w:top w:val="nil"/>
            </w:tcBorders>
          </w:tcPr>
          <w:p w14:paraId="72ABB3D8">
            <w:pPr>
              <w:rPr>
                <w:sz w:val="2"/>
                <w:szCs w:val="2"/>
              </w:rPr>
            </w:pPr>
          </w:p>
        </w:tc>
        <w:tc>
          <w:tcPr>
            <w:tcW w:w="902" w:type="dxa"/>
          </w:tcPr>
          <w:p w14:paraId="58A72346">
            <w:pPr>
              <w:pStyle w:val="17"/>
              <w:spacing w:before="36"/>
              <w:ind w:left="273" w:right="263"/>
              <w:rPr>
                <w:rFonts w:ascii="Times New Roman"/>
                <w:sz w:val="21"/>
              </w:rPr>
            </w:pPr>
            <w:r>
              <w:rPr>
                <w:rFonts w:ascii="Times New Roman"/>
                <w:sz w:val="21"/>
              </w:rPr>
              <w:t>80</w:t>
            </w:r>
          </w:p>
        </w:tc>
        <w:tc>
          <w:tcPr>
            <w:tcW w:w="696" w:type="dxa"/>
          </w:tcPr>
          <w:p w14:paraId="4B46602E">
            <w:pPr>
              <w:pStyle w:val="17"/>
              <w:spacing w:before="36"/>
              <w:ind w:right="101"/>
              <w:jc w:val="right"/>
              <w:rPr>
                <w:rFonts w:ascii="Times New Roman"/>
                <w:sz w:val="21"/>
              </w:rPr>
            </w:pPr>
            <w:r>
              <w:rPr>
                <w:rFonts w:ascii="Times New Roman"/>
                <w:w w:val="95"/>
                <w:sz w:val="21"/>
              </w:rPr>
              <w:t>0.049</w:t>
            </w:r>
          </w:p>
        </w:tc>
        <w:tc>
          <w:tcPr>
            <w:tcW w:w="889" w:type="dxa"/>
          </w:tcPr>
          <w:p w14:paraId="3E7B6CE3">
            <w:pPr>
              <w:pStyle w:val="17"/>
              <w:spacing w:before="36"/>
              <w:ind w:left="266" w:right="257"/>
              <w:rPr>
                <w:rFonts w:ascii="Times New Roman"/>
                <w:sz w:val="21"/>
              </w:rPr>
            </w:pPr>
            <w:r>
              <w:rPr>
                <w:rFonts w:ascii="Times New Roman"/>
                <w:sz w:val="21"/>
              </w:rPr>
              <w:t>180</w:t>
            </w:r>
          </w:p>
        </w:tc>
        <w:tc>
          <w:tcPr>
            <w:tcW w:w="479" w:type="dxa"/>
            <w:tcBorders>
              <w:right w:val="nil"/>
            </w:tcBorders>
          </w:tcPr>
          <w:p w14:paraId="1EC63132">
            <w:pPr>
              <w:pStyle w:val="17"/>
              <w:spacing w:before="22"/>
              <w:ind w:right="23"/>
              <w:jc w:val="right"/>
              <w:rPr>
                <w:sz w:val="21"/>
              </w:rPr>
            </w:pPr>
            <w:r>
              <w:rPr>
                <w:w w:val="95"/>
                <w:sz w:val="21"/>
              </w:rPr>
              <w:t>达标</w:t>
            </w:r>
          </w:p>
        </w:tc>
      </w:tr>
      <w:tr w14:paraId="4A984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78" w:type="dxa"/>
            <w:vMerge w:val="continue"/>
            <w:tcBorders>
              <w:top w:val="nil"/>
              <w:left w:val="nil"/>
            </w:tcBorders>
          </w:tcPr>
          <w:p w14:paraId="4691E809">
            <w:pPr>
              <w:rPr>
                <w:sz w:val="2"/>
                <w:szCs w:val="2"/>
              </w:rPr>
            </w:pPr>
          </w:p>
        </w:tc>
        <w:tc>
          <w:tcPr>
            <w:tcW w:w="739" w:type="dxa"/>
          </w:tcPr>
          <w:p w14:paraId="207A0AA3">
            <w:pPr>
              <w:pStyle w:val="17"/>
              <w:spacing w:before="21"/>
              <w:ind w:left="18" w:right="13"/>
              <w:rPr>
                <w:sz w:val="21"/>
              </w:rPr>
            </w:pPr>
            <w:r>
              <w:rPr>
                <w:sz w:val="21"/>
              </w:rPr>
              <w:t>氨氮</w:t>
            </w:r>
          </w:p>
        </w:tc>
        <w:tc>
          <w:tcPr>
            <w:tcW w:w="681" w:type="dxa"/>
            <w:vMerge w:val="continue"/>
            <w:tcBorders>
              <w:top w:val="nil"/>
            </w:tcBorders>
          </w:tcPr>
          <w:p w14:paraId="1AC69197">
            <w:pPr>
              <w:rPr>
                <w:sz w:val="2"/>
                <w:szCs w:val="2"/>
              </w:rPr>
            </w:pPr>
          </w:p>
        </w:tc>
        <w:tc>
          <w:tcPr>
            <w:tcW w:w="902" w:type="dxa"/>
          </w:tcPr>
          <w:p w14:paraId="72E4CA74">
            <w:pPr>
              <w:pStyle w:val="17"/>
              <w:spacing w:before="35"/>
              <w:ind w:right="333"/>
              <w:jc w:val="right"/>
              <w:rPr>
                <w:rFonts w:ascii="Times New Roman"/>
                <w:sz w:val="21"/>
              </w:rPr>
            </w:pPr>
            <w:r>
              <w:rPr>
                <w:rFonts w:ascii="Times New Roman"/>
                <w:sz w:val="21"/>
              </w:rPr>
              <w:t>25</w:t>
            </w:r>
          </w:p>
        </w:tc>
        <w:tc>
          <w:tcPr>
            <w:tcW w:w="695" w:type="dxa"/>
          </w:tcPr>
          <w:p w14:paraId="37E07A88">
            <w:pPr>
              <w:pStyle w:val="17"/>
              <w:spacing w:before="35"/>
              <w:ind w:left="90" w:right="81"/>
              <w:rPr>
                <w:rFonts w:ascii="Times New Roman"/>
                <w:sz w:val="21"/>
              </w:rPr>
            </w:pPr>
            <w:r>
              <w:rPr>
                <w:rFonts w:ascii="Times New Roman"/>
                <w:sz w:val="21"/>
              </w:rPr>
              <w:t>0.015</w:t>
            </w:r>
          </w:p>
        </w:tc>
        <w:tc>
          <w:tcPr>
            <w:tcW w:w="479" w:type="dxa"/>
            <w:vMerge w:val="continue"/>
            <w:tcBorders>
              <w:top w:val="nil"/>
            </w:tcBorders>
          </w:tcPr>
          <w:p w14:paraId="7AC5340E">
            <w:pPr>
              <w:rPr>
                <w:sz w:val="2"/>
                <w:szCs w:val="2"/>
              </w:rPr>
            </w:pPr>
          </w:p>
        </w:tc>
        <w:tc>
          <w:tcPr>
            <w:tcW w:w="668" w:type="dxa"/>
          </w:tcPr>
          <w:p w14:paraId="21478EEC">
            <w:pPr>
              <w:pStyle w:val="17"/>
              <w:spacing w:before="35"/>
              <w:ind w:left="9"/>
              <w:rPr>
                <w:rFonts w:ascii="Times New Roman"/>
                <w:sz w:val="21"/>
              </w:rPr>
            </w:pPr>
            <w:r>
              <w:rPr>
                <w:rFonts w:ascii="Times New Roman"/>
                <w:w w:val="99"/>
                <w:sz w:val="21"/>
              </w:rPr>
              <w:t>0</w:t>
            </w:r>
          </w:p>
        </w:tc>
        <w:tc>
          <w:tcPr>
            <w:tcW w:w="693" w:type="dxa"/>
            <w:vMerge w:val="continue"/>
            <w:tcBorders>
              <w:top w:val="nil"/>
            </w:tcBorders>
          </w:tcPr>
          <w:p w14:paraId="66570E82">
            <w:pPr>
              <w:rPr>
                <w:sz w:val="2"/>
                <w:szCs w:val="2"/>
              </w:rPr>
            </w:pPr>
          </w:p>
        </w:tc>
        <w:tc>
          <w:tcPr>
            <w:tcW w:w="902" w:type="dxa"/>
          </w:tcPr>
          <w:p w14:paraId="7AA88F75">
            <w:pPr>
              <w:pStyle w:val="17"/>
              <w:spacing w:before="35"/>
              <w:ind w:left="273" w:right="263"/>
              <w:rPr>
                <w:rFonts w:ascii="Times New Roman"/>
                <w:sz w:val="21"/>
              </w:rPr>
            </w:pPr>
            <w:r>
              <w:rPr>
                <w:rFonts w:ascii="Times New Roman"/>
                <w:sz w:val="21"/>
              </w:rPr>
              <w:t>25</w:t>
            </w:r>
          </w:p>
        </w:tc>
        <w:tc>
          <w:tcPr>
            <w:tcW w:w="696" w:type="dxa"/>
          </w:tcPr>
          <w:p w14:paraId="54499CF3">
            <w:pPr>
              <w:pStyle w:val="17"/>
              <w:spacing w:before="35"/>
              <w:ind w:right="101"/>
              <w:jc w:val="right"/>
              <w:rPr>
                <w:rFonts w:ascii="Times New Roman"/>
                <w:sz w:val="21"/>
              </w:rPr>
            </w:pPr>
            <w:r>
              <w:rPr>
                <w:rFonts w:ascii="Times New Roman"/>
                <w:w w:val="95"/>
                <w:sz w:val="21"/>
              </w:rPr>
              <w:t>0.015</w:t>
            </w:r>
          </w:p>
        </w:tc>
        <w:tc>
          <w:tcPr>
            <w:tcW w:w="889" w:type="dxa"/>
          </w:tcPr>
          <w:p w14:paraId="405A13F5">
            <w:pPr>
              <w:pStyle w:val="17"/>
              <w:spacing w:before="35"/>
              <w:ind w:left="266" w:right="257"/>
              <w:rPr>
                <w:rFonts w:ascii="Times New Roman"/>
                <w:sz w:val="21"/>
              </w:rPr>
            </w:pPr>
            <w:r>
              <w:rPr>
                <w:rFonts w:ascii="Times New Roman"/>
                <w:sz w:val="21"/>
              </w:rPr>
              <w:t>25</w:t>
            </w:r>
          </w:p>
        </w:tc>
        <w:tc>
          <w:tcPr>
            <w:tcW w:w="479" w:type="dxa"/>
            <w:tcBorders>
              <w:right w:val="nil"/>
            </w:tcBorders>
          </w:tcPr>
          <w:p w14:paraId="0220B5D7">
            <w:pPr>
              <w:pStyle w:val="17"/>
              <w:spacing w:before="21"/>
              <w:ind w:right="23"/>
              <w:jc w:val="right"/>
              <w:rPr>
                <w:sz w:val="21"/>
              </w:rPr>
            </w:pPr>
            <w:r>
              <w:rPr>
                <w:w w:val="95"/>
                <w:sz w:val="21"/>
              </w:rPr>
              <w:t>达标</w:t>
            </w:r>
          </w:p>
        </w:tc>
      </w:tr>
    </w:tbl>
    <w:p w14:paraId="28250544">
      <w:pPr>
        <w:pStyle w:val="10"/>
        <w:spacing w:before="81"/>
        <w:ind w:left="1100"/>
      </w:pPr>
      <w:r>
        <w:t>根据上表可知，项目生活污水经化粪池处理后能满足《污水综合排放标准》</w:t>
      </w:r>
    </w:p>
    <w:p w14:paraId="664C7FF9">
      <w:pPr>
        <w:pStyle w:val="10"/>
        <w:spacing w:before="160" w:line="364" w:lineRule="auto"/>
        <w:ind w:left="620" w:right="446"/>
      </w:pPr>
      <w:r>
        <w:t>（</w:t>
      </w:r>
      <w:r>
        <w:rPr>
          <w:rFonts w:ascii="Times New Roman" w:eastAsia="Times New Roman"/>
        </w:rPr>
        <w:t>GB8978-1996</w:t>
      </w:r>
      <w:r>
        <w:t>）三级标准及汨罗市城市污水处理厂进水水质要求。中塑新材料公司将厂区内部分闲置厂房出租，配套的公用设施化粪池能满足本项目生产需求。</w:t>
      </w:r>
    </w:p>
    <w:p w14:paraId="73393381">
      <w:pPr>
        <w:pStyle w:val="16"/>
        <w:numPr>
          <w:ilvl w:val="2"/>
          <w:numId w:val="18"/>
        </w:numPr>
        <w:tabs>
          <w:tab w:val="left" w:pos="1249"/>
        </w:tabs>
        <w:spacing w:before="55" w:after="0" w:line="240" w:lineRule="auto"/>
        <w:ind w:left="1248" w:right="0" w:hanging="628"/>
        <w:jc w:val="left"/>
        <w:rPr>
          <w:b/>
          <w:sz w:val="28"/>
        </w:rPr>
      </w:pPr>
      <w:r>
        <w:rPr>
          <w:b/>
          <w:sz w:val="28"/>
        </w:rPr>
        <w:t>废水排放对区域地表水环境影响分析</w:t>
      </w:r>
    </w:p>
    <w:p w14:paraId="0B24BC50">
      <w:pPr>
        <w:pStyle w:val="10"/>
        <w:spacing w:before="135" w:line="364" w:lineRule="auto"/>
        <w:ind w:left="620" w:right="737" w:firstLine="480"/>
        <w:jc w:val="both"/>
      </w:pPr>
      <w:r>
        <w:rPr>
          <w:spacing w:val="-4"/>
        </w:rPr>
        <w:t>本项目所在区域在汨罗市城市污水处理厂纳污范围内，该区域污水管网已接</w:t>
      </w:r>
      <w:r>
        <w:rPr>
          <w:spacing w:val="-5"/>
        </w:rPr>
        <w:t>通，生活污水经化粪池处理后能满足《污水综合排放标准》</w:t>
      </w:r>
      <w:r>
        <w:t>（</w:t>
      </w:r>
      <w:r>
        <w:rPr>
          <w:rFonts w:ascii="Times New Roman" w:eastAsia="Times New Roman"/>
        </w:rPr>
        <w:t>GB8978-1996</w:t>
      </w:r>
      <w:r>
        <w:t>）三</w:t>
      </w:r>
      <w:r>
        <w:rPr>
          <w:spacing w:val="-5"/>
        </w:rPr>
        <w:t>级标准及汨罗市城市污水处理厂接管要求，排放量和污染物的排放浓度对汨罗市</w:t>
      </w:r>
      <w:r>
        <w:rPr>
          <w:spacing w:val="-10"/>
        </w:rPr>
        <w:t>城市污水处理厂不会造成污染冲击负荷，本项目生活废水排入后，污水处理厂处</w:t>
      </w:r>
      <w:r>
        <w:rPr>
          <w:spacing w:val="-14"/>
        </w:rPr>
        <w:t>理后尾水依旧可以达标排放，根据地表水体汨罗江常规监控断面监测数据，污水处理厂外排尾水对地表水体汨罗江影响可接受。</w:t>
      </w:r>
    </w:p>
    <w:p w14:paraId="6E4ECC51">
      <w:pPr>
        <w:pStyle w:val="10"/>
        <w:spacing w:line="364" w:lineRule="auto"/>
        <w:ind w:left="620" w:right="621" w:firstLine="480"/>
      </w:pPr>
      <w:r>
        <w:rPr>
          <w:spacing w:val="-2"/>
        </w:rPr>
        <w:t>汨罗市城市污水处理厂位于岳阳市汨罗市归义镇</w:t>
      </w:r>
      <w:r>
        <w:t>（原城郊乡</w:t>
      </w:r>
      <w:r>
        <w:rPr>
          <w:spacing w:val="-32"/>
        </w:rPr>
        <w:t>）</w:t>
      </w:r>
      <w:r>
        <w:rPr>
          <w:spacing w:val="-6"/>
        </w:rPr>
        <w:t>百丈村，占地</w:t>
      </w:r>
      <w:r>
        <w:rPr>
          <w:spacing w:val="-20"/>
        </w:rPr>
        <w:t xml:space="preserve">面积约 </w:t>
      </w:r>
      <w:r>
        <w:rPr>
          <w:rFonts w:ascii="Times New Roman" w:hAnsi="Times New Roman" w:eastAsia="Times New Roman"/>
        </w:rPr>
        <w:t xml:space="preserve">70.71 </w:t>
      </w:r>
      <w:r>
        <w:rPr>
          <w:spacing w:val="-6"/>
        </w:rPr>
        <w:t>亩，工程服务范围为汨罗市全城区的市政污水及汨罗高新技术产业</w:t>
      </w:r>
      <w:r>
        <w:rPr>
          <w:spacing w:val="-11"/>
        </w:rPr>
        <w:t>开发区新市片区的生活污水、工业污水。由汨罗市国祯水处理有限公司运行，设</w:t>
      </w:r>
      <w:r>
        <w:rPr>
          <w:spacing w:val="-19"/>
        </w:rPr>
        <w:t xml:space="preserve">计处理规模为 </w:t>
      </w:r>
      <w:r>
        <w:rPr>
          <w:rFonts w:ascii="Times New Roman" w:hAnsi="Times New Roman" w:eastAsia="Times New Roman"/>
        </w:rPr>
        <w:t xml:space="preserve">5.0 </w:t>
      </w:r>
      <w:r>
        <w:rPr>
          <w:spacing w:val="-30"/>
        </w:rPr>
        <w:t xml:space="preserve">万 </w:t>
      </w:r>
      <w:r>
        <w:rPr>
          <w:rFonts w:ascii="Times New Roman" w:hAnsi="Times New Roman" w:eastAsia="Times New Roman"/>
        </w:rPr>
        <w:t>t/</w:t>
      </w:r>
      <w:r>
        <w:rPr>
          <w:rFonts w:ascii="Times New Roman" w:hAnsi="Times New Roman" w:eastAsia="Times New Roman"/>
          <w:spacing w:val="-3"/>
        </w:rPr>
        <w:t>d</w:t>
      </w:r>
      <w:r>
        <w:rPr>
          <w:spacing w:val="-19"/>
        </w:rPr>
        <w:t xml:space="preserve">，目前实际处理规模为 </w:t>
      </w:r>
      <w:r>
        <w:rPr>
          <w:rFonts w:ascii="Times New Roman" w:hAnsi="Times New Roman" w:eastAsia="Times New Roman"/>
        </w:rPr>
        <w:t xml:space="preserve">2.35 </w:t>
      </w:r>
      <w:r>
        <w:rPr>
          <w:spacing w:val="-32"/>
        </w:rPr>
        <w:t xml:space="preserve">万 </w:t>
      </w:r>
      <w:r>
        <w:rPr>
          <w:rFonts w:ascii="Times New Roman" w:hAnsi="Times New Roman" w:eastAsia="Times New Roman"/>
        </w:rPr>
        <w:t>t/d</w:t>
      </w:r>
      <w:r>
        <w:rPr>
          <w:spacing w:val="-27"/>
        </w:rPr>
        <w:t xml:space="preserve">，处理余量为 </w:t>
      </w:r>
      <w:r>
        <w:rPr>
          <w:rFonts w:ascii="Times New Roman" w:hAnsi="Times New Roman" w:eastAsia="Times New Roman"/>
        </w:rPr>
        <w:t xml:space="preserve">2.65 </w:t>
      </w:r>
      <w:r>
        <w:rPr>
          <w:spacing w:val="-32"/>
        </w:rPr>
        <w:t xml:space="preserve">万 </w:t>
      </w:r>
      <w:r>
        <w:rPr>
          <w:rFonts w:ascii="Times New Roman" w:hAnsi="Times New Roman" w:eastAsia="Times New Roman"/>
        </w:rPr>
        <w:t>t/</w:t>
      </w:r>
      <w:r>
        <w:rPr>
          <w:rFonts w:ascii="Times New Roman" w:hAnsi="Times New Roman" w:eastAsia="Times New Roman"/>
          <w:spacing w:val="-3"/>
        </w:rPr>
        <w:t>d</w:t>
      </w:r>
      <w:r>
        <w:t>。污水处理工艺为：</w:t>
      </w:r>
      <w:r>
        <w:rPr>
          <w:rFonts w:ascii="Times New Roman" w:hAnsi="Times New Roman" w:eastAsia="Times New Roman"/>
        </w:rPr>
        <w:t>“</w:t>
      </w:r>
      <w:r>
        <w:t>氧化沟工艺（粗格栅及进水泵站</w:t>
      </w:r>
      <w:r>
        <w:rPr>
          <w:rFonts w:ascii="Times New Roman" w:hAnsi="Times New Roman" w:eastAsia="Times New Roman"/>
        </w:rPr>
        <w:t>+</w:t>
      </w:r>
      <w:r>
        <w:t>细格栅及旋流沉砂池</w:t>
      </w:r>
      <w:r>
        <w:rPr>
          <w:rFonts w:ascii="Times New Roman" w:hAnsi="Times New Roman" w:eastAsia="Times New Roman"/>
        </w:rPr>
        <w:t>+</w:t>
      </w:r>
      <w:r>
        <w:t>氧化沟（采用表曝）＋接触消毒池（二氧化氯消毒）</w:t>
      </w:r>
      <w:r>
        <w:rPr>
          <w:rFonts w:ascii="Times New Roman" w:hAnsi="Times New Roman" w:eastAsia="Times New Roman"/>
        </w:rPr>
        <w:t>”</w:t>
      </w:r>
      <w:r>
        <w:t>，出水水质执行《城镇污水处</w:t>
      </w:r>
    </w:p>
    <w:p w14:paraId="480EBBF8">
      <w:pPr>
        <w:spacing w:after="0" w:line="364" w:lineRule="auto"/>
        <w:sectPr>
          <w:pgSz w:w="11910" w:h="16840"/>
          <w:pgMar w:top="1500" w:right="1060" w:bottom="1380" w:left="1180" w:header="0" w:footer="1192" w:gutter="0"/>
          <w:cols w:space="720" w:num="1"/>
        </w:sectPr>
      </w:pPr>
    </w:p>
    <w:p w14:paraId="34B5DE2F">
      <w:pPr>
        <w:pStyle w:val="10"/>
        <w:spacing w:before="63" w:line="364" w:lineRule="auto"/>
        <w:ind w:left="620" w:right="737"/>
        <w:jc w:val="both"/>
      </w:pPr>
      <w:r>
        <w:rPr>
          <w:spacing w:val="-6"/>
        </w:rPr>
        <w:t>理厂污染物排放标准》</w:t>
      </w:r>
      <w:r>
        <w:rPr>
          <w:rFonts w:ascii="Times New Roman" w:eastAsia="Times New Roman"/>
        </w:rPr>
        <w:t>(GB18918-2002)</w:t>
      </w:r>
      <w:r>
        <w:rPr>
          <w:spacing w:val="-21"/>
        </w:rPr>
        <w:t xml:space="preserve">一级 </w:t>
      </w:r>
      <w:r>
        <w:rPr>
          <w:rFonts w:ascii="Times New Roman" w:eastAsia="Times New Roman"/>
        </w:rPr>
        <w:t xml:space="preserve">A </w:t>
      </w:r>
      <w:r>
        <w:rPr>
          <w:spacing w:val="-5"/>
        </w:rPr>
        <w:t>标准后经李家河排放至汨罗江。项</w:t>
      </w:r>
      <w:r>
        <w:rPr>
          <w:spacing w:val="-9"/>
        </w:rPr>
        <w:t xml:space="preserve">目运营期总废水排放量为 </w:t>
      </w:r>
      <w:r>
        <w:rPr>
          <w:rFonts w:ascii="Times New Roman" w:eastAsia="Times New Roman"/>
        </w:rPr>
        <w:t>608m3/a</w:t>
      </w:r>
      <w:r>
        <w:t>（</w:t>
      </w:r>
      <w:r>
        <w:rPr>
          <w:rFonts w:ascii="Times New Roman" w:eastAsia="Times New Roman"/>
        </w:rPr>
        <w:t>2.03m3/d</w:t>
      </w:r>
      <w:r>
        <w:t>），</w:t>
      </w:r>
      <w:r>
        <w:rPr>
          <w:spacing w:val="-1"/>
        </w:rPr>
        <w:t>占汨罗市城市污水处理厂处理</w:t>
      </w:r>
      <w:r>
        <w:rPr>
          <w:spacing w:val="-16"/>
        </w:rPr>
        <w:t xml:space="preserve">余量的 </w:t>
      </w:r>
      <w:r>
        <w:rPr>
          <w:rFonts w:ascii="Times New Roman" w:eastAsia="Times New Roman"/>
          <w:spacing w:val="-7"/>
        </w:rPr>
        <w:t>0.0076%</w:t>
      </w:r>
      <w:r>
        <w:rPr>
          <w:spacing w:val="-3"/>
        </w:rPr>
        <w:t>，因此汨罗市城市污水处理厂有足够的剩余能力接纳本项目的废水。</w:t>
      </w:r>
    </w:p>
    <w:p w14:paraId="0DCE0A2E">
      <w:pPr>
        <w:pStyle w:val="10"/>
        <w:spacing w:before="76"/>
        <w:ind w:left="1100"/>
      </w:pPr>
      <w:r>
        <w:t>综上所述，本项目生活污水接入汨罗市城市污水处理厂也是可行的。</w:t>
      </w:r>
    </w:p>
    <w:p w14:paraId="4CF93DD4">
      <w:pPr>
        <w:pStyle w:val="16"/>
        <w:numPr>
          <w:ilvl w:val="2"/>
          <w:numId w:val="18"/>
        </w:numPr>
        <w:tabs>
          <w:tab w:val="left" w:pos="1249"/>
        </w:tabs>
        <w:spacing w:before="215" w:after="0" w:line="240" w:lineRule="auto"/>
        <w:ind w:left="1248" w:right="0" w:hanging="628"/>
        <w:jc w:val="left"/>
        <w:rPr>
          <w:b/>
          <w:sz w:val="28"/>
        </w:rPr>
      </w:pPr>
      <w:r>
        <w:rPr>
          <w:b/>
          <w:spacing w:val="-1"/>
          <w:w w:val="95"/>
          <w:sz w:val="28"/>
        </w:rPr>
        <w:t>项目废水污染物排放信息表</w:t>
      </w:r>
    </w:p>
    <w:p w14:paraId="4F1C7C7E">
      <w:pPr>
        <w:pStyle w:val="10"/>
        <w:spacing w:before="211" w:line="364" w:lineRule="auto"/>
        <w:ind w:left="620" w:right="541" w:firstLine="480"/>
      </w:pPr>
      <w:r>
        <w:t>根据工程分析，按照《环境影响评价技术导则 地表水环境》（</w:t>
      </w:r>
      <w:r>
        <w:rPr>
          <w:rFonts w:ascii="Times New Roman" w:eastAsia="Times New Roman"/>
        </w:rPr>
        <w:t>HJ 2.3-2018</w:t>
      </w:r>
      <w:r>
        <w:t xml:space="preserve">） 附录 </w:t>
      </w:r>
      <w:r>
        <w:rPr>
          <w:rFonts w:ascii="Times New Roman" w:eastAsia="Times New Roman"/>
        </w:rPr>
        <w:t>G</w:t>
      </w:r>
      <w:r>
        <w:t>，本项目废水污染物排放信息情况见下表。</w:t>
      </w:r>
    </w:p>
    <w:p w14:paraId="6D8B27BC">
      <w:pPr>
        <w:pStyle w:val="9"/>
        <w:spacing w:before="1"/>
        <w:ind w:left="1100" w:right="1222"/>
        <w:jc w:val="center"/>
      </w:pPr>
      <w:r>
        <w:rPr>
          <w:spacing w:val="-31"/>
        </w:rPr>
        <w:t xml:space="preserve">表 </w:t>
      </w:r>
      <w:r>
        <w:rPr>
          <w:rFonts w:ascii="Times New Roman" w:eastAsia="Times New Roman"/>
        </w:rPr>
        <w:t>4.2-2</w:t>
      </w:r>
      <w:r>
        <w:rPr>
          <w:rFonts w:ascii="Times New Roman" w:eastAsia="Times New Roman"/>
          <w:spacing w:val="58"/>
        </w:rPr>
        <w:t xml:space="preserve"> </w:t>
      </w:r>
      <w:r>
        <w:t>本项目废水类别、污染物及污染治理措施信息表</w:t>
      </w:r>
    </w:p>
    <w:p w14:paraId="7DDA1AC1">
      <w:pPr>
        <w:pStyle w:val="10"/>
        <w:spacing w:before="4"/>
        <w:rPr>
          <w:b/>
          <w:sz w:val="6"/>
        </w:rPr>
      </w:pPr>
    </w:p>
    <w:tbl>
      <w:tblPr>
        <w:tblStyle w:val="13"/>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
        <w:gridCol w:w="592"/>
        <w:gridCol w:w="812"/>
        <w:gridCol w:w="731"/>
        <w:gridCol w:w="831"/>
        <w:gridCol w:w="657"/>
        <w:gridCol w:w="727"/>
        <w:gridCol w:w="669"/>
        <w:gridCol w:w="704"/>
        <w:gridCol w:w="877"/>
        <w:gridCol w:w="1541"/>
      </w:tblGrid>
      <w:tr w14:paraId="0F162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3" w:type="dxa"/>
            <w:vMerge w:val="restart"/>
            <w:tcBorders>
              <w:left w:val="nil"/>
            </w:tcBorders>
          </w:tcPr>
          <w:p w14:paraId="4FCA2B3E">
            <w:pPr>
              <w:pStyle w:val="17"/>
              <w:jc w:val="left"/>
              <w:rPr>
                <w:b/>
                <w:sz w:val="20"/>
              </w:rPr>
            </w:pPr>
          </w:p>
          <w:p w14:paraId="68E2ED84">
            <w:pPr>
              <w:pStyle w:val="17"/>
              <w:spacing w:before="6"/>
              <w:jc w:val="left"/>
              <w:rPr>
                <w:b/>
                <w:sz w:val="18"/>
              </w:rPr>
            </w:pPr>
          </w:p>
          <w:p w14:paraId="3CCB74AB">
            <w:pPr>
              <w:pStyle w:val="17"/>
              <w:spacing w:line="278" w:lineRule="auto"/>
              <w:ind w:left="79" w:right="67"/>
              <w:jc w:val="left"/>
              <w:rPr>
                <w:sz w:val="21"/>
              </w:rPr>
            </w:pPr>
            <w:r>
              <w:rPr>
                <w:sz w:val="21"/>
              </w:rPr>
              <w:t>序号</w:t>
            </w:r>
          </w:p>
        </w:tc>
        <w:tc>
          <w:tcPr>
            <w:tcW w:w="592" w:type="dxa"/>
            <w:vMerge w:val="restart"/>
          </w:tcPr>
          <w:p w14:paraId="405751E7">
            <w:pPr>
              <w:pStyle w:val="17"/>
              <w:jc w:val="left"/>
              <w:rPr>
                <w:b/>
                <w:sz w:val="20"/>
              </w:rPr>
            </w:pPr>
          </w:p>
          <w:p w14:paraId="40CBDA01">
            <w:pPr>
              <w:pStyle w:val="17"/>
              <w:spacing w:before="6"/>
              <w:jc w:val="left"/>
              <w:rPr>
                <w:b/>
                <w:sz w:val="18"/>
              </w:rPr>
            </w:pPr>
          </w:p>
          <w:p w14:paraId="614CF488">
            <w:pPr>
              <w:pStyle w:val="17"/>
              <w:spacing w:line="278" w:lineRule="auto"/>
              <w:ind w:left="86" w:right="76"/>
              <w:jc w:val="left"/>
              <w:rPr>
                <w:sz w:val="21"/>
              </w:rPr>
            </w:pPr>
            <w:r>
              <w:rPr>
                <w:w w:val="95"/>
                <w:sz w:val="21"/>
              </w:rPr>
              <w:t>废水类别</w:t>
            </w:r>
          </w:p>
        </w:tc>
        <w:tc>
          <w:tcPr>
            <w:tcW w:w="812" w:type="dxa"/>
            <w:vMerge w:val="restart"/>
          </w:tcPr>
          <w:p w14:paraId="51A14E3D">
            <w:pPr>
              <w:pStyle w:val="17"/>
              <w:jc w:val="left"/>
              <w:rPr>
                <w:b/>
                <w:sz w:val="20"/>
              </w:rPr>
            </w:pPr>
          </w:p>
          <w:p w14:paraId="39F673E4">
            <w:pPr>
              <w:pStyle w:val="17"/>
              <w:spacing w:before="6"/>
              <w:jc w:val="left"/>
              <w:rPr>
                <w:b/>
                <w:sz w:val="18"/>
              </w:rPr>
            </w:pPr>
          </w:p>
          <w:p w14:paraId="15850A97">
            <w:pPr>
              <w:pStyle w:val="17"/>
              <w:spacing w:line="278" w:lineRule="auto"/>
              <w:ind w:left="194" w:right="79" w:hanging="104"/>
              <w:jc w:val="left"/>
              <w:rPr>
                <w:sz w:val="21"/>
              </w:rPr>
            </w:pPr>
            <w:r>
              <w:rPr>
                <w:sz w:val="21"/>
              </w:rPr>
              <w:t>污染物种类</w:t>
            </w:r>
          </w:p>
        </w:tc>
        <w:tc>
          <w:tcPr>
            <w:tcW w:w="731" w:type="dxa"/>
            <w:vMerge w:val="restart"/>
          </w:tcPr>
          <w:p w14:paraId="3F68C234">
            <w:pPr>
              <w:pStyle w:val="17"/>
              <w:jc w:val="left"/>
              <w:rPr>
                <w:b/>
                <w:sz w:val="20"/>
              </w:rPr>
            </w:pPr>
          </w:p>
          <w:p w14:paraId="62BB19E5">
            <w:pPr>
              <w:pStyle w:val="17"/>
              <w:spacing w:before="6"/>
              <w:jc w:val="left"/>
              <w:rPr>
                <w:b/>
                <w:sz w:val="18"/>
              </w:rPr>
            </w:pPr>
          </w:p>
          <w:p w14:paraId="051F9D15">
            <w:pPr>
              <w:pStyle w:val="17"/>
              <w:spacing w:line="278" w:lineRule="auto"/>
              <w:ind w:left="258" w:right="39" w:hanging="209"/>
              <w:jc w:val="left"/>
              <w:rPr>
                <w:sz w:val="21"/>
              </w:rPr>
            </w:pPr>
            <w:r>
              <w:rPr>
                <w:sz w:val="21"/>
              </w:rPr>
              <w:t>排放去向</w:t>
            </w:r>
          </w:p>
        </w:tc>
        <w:tc>
          <w:tcPr>
            <w:tcW w:w="831" w:type="dxa"/>
            <w:vMerge w:val="restart"/>
          </w:tcPr>
          <w:p w14:paraId="56C7D54C">
            <w:pPr>
              <w:pStyle w:val="17"/>
              <w:jc w:val="left"/>
              <w:rPr>
                <w:b/>
                <w:sz w:val="20"/>
              </w:rPr>
            </w:pPr>
          </w:p>
          <w:p w14:paraId="42A67083">
            <w:pPr>
              <w:pStyle w:val="17"/>
              <w:spacing w:before="6"/>
              <w:jc w:val="left"/>
              <w:rPr>
                <w:b/>
                <w:sz w:val="18"/>
              </w:rPr>
            </w:pPr>
          </w:p>
          <w:p w14:paraId="11BBE0B3">
            <w:pPr>
              <w:pStyle w:val="17"/>
              <w:spacing w:line="278" w:lineRule="auto"/>
              <w:ind w:left="310" w:right="90" w:hanging="212"/>
              <w:jc w:val="left"/>
              <w:rPr>
                <w:sz w:val="21"/>
              </w:rPr>
            </w:pPr>
            <w:r>
              <w:rPr>
                <w:sz w:val="21"/>
              </w:rPr>
              <w:t>排放规律</w:t>
            </w:r>
          </w:p>
        </w:tc>
        <w:tc>
          <w:tcPr>
            <w:tcW w:w="2053" w:type="dxa"/>
            <w:gridSpan w:val="3"/>
          </w:tcPr>
          <w:p w14:paraId="2EDDD7FC">
            <w:pPr>
              <w:pStyle w:val="17"/>
              <w:spacing w:before="20"/>
              <w:ind w:left="396"/>
              <w:jc w:val="left"/>
              <w:rPr>
                <w:sz w:val="21"/>
              </w:rPr>
            </w:pPr>
            <w:r>
              <w:rPr>
                <w:sz w:val="21"/>
              </w:rPr>
              <w:t>污染治理设施</w:t>
            </w:r>
          </w:p>
        </w:tc>
        <w:tc>
          <w:tcPr>
            <w:tcW w:w="704" w:type="dxa"/>
            <w:vMerge w:val="restart"/>
          </w:tcPr>
          <w:p w14:paraId="1FA9A095">
            <w:pPr>
              <w:pStyle w:val="17"/>
              <w:spacing w:before="4"/>
              <w:jc w:val="left"/>
              <w:rPr>
                <w:b/>
                <w:sz w:val="26"/>
              </w:rPr>
            </w:pPr>
          </w:p>
          <w:p w14:paraId="7D95D758">
            <w:pPr>
              <w:pStyle w:val="17"/>
              <w:spacing w:line="278" w:lineRule="auto"/>
              <w:ind w:left="140" w:right="133"/>
              <w:jc w:val="both"/>
              <w:rPr>
                <w:sz w:val="21"/>
              </w:rPr>
            </w:pPr>
            <w:r>
              <w:rPr>
                <w:w w:val="95"/>
                <w:sz w:val="21"/>
              </w:rPr>
              <w:t>排放口编</w:t>
            </w:r>
            <w:r>
              <w:rPr>
                <w:sz w:val="21"/>
              </w:rPr>
              <w:t>号</w:t>
            </w:r>
          </w:p>
        </w:tc>
        <w:tc>
          <w:tcPr>
            <w:tcW w:w="877" w:type="dxa"/>
            <w:vMerge w:val="restart"/>
          </w:tcPr>
          <w:p w14:paraId="1A125E0F">
            <w:pPr>
              <w:pStyle w:val="17"/>
              <w:spacing w:before="1"/>
              <w:jc w:val="left"/>
              <w:rPr>
                <w:b/>
                <w:sz w:val="14"/>
              </w:rPr>
            </w:pPr>
          </w:p>
          <w:p w14:paraId="12EFDD11">
            <w:pPr>
              <w:pStyle w:val="17"/>
              <w:spacing w:before="1" w:line="278" w:lineRule="auto"/>
              <w:ind w:left="123" w:right="112"/>
              <w:jc w:val="both"/>
              <w:rPr>
                <w:sz w:val="21"/>
              </w:rPr>
            </w:pPr>
            <w:r>
              <w:rPr>
                <w:sz w:val="21"/>
              </w:rPr>
              <w:t>排放口设置是否符合要求</w:t>
            </w:r>
          </w:p>
        </w:tc>
        <w:tc>
          <w:tcPr>
            <w:tcW w:w="1541" w:type="dxa"/>
            <w:vMerge w:val="restart"/>
            <w:tcBorders>
              <w:right w:val="nil"/>
            </w:tcBorders>
          </w:tcPr>
          <w:p w14:paraId="739B2073">
            <w:pPr>
              <w:pStyle w:val="17"/>
              <w:jc w:val="left"/>
              <w:rPr>
                <w:b/>
                <w:sz w:val="20"/>
              </w:rPr>
            </w:pPr>
          </w:p>
          <w:p w14:paraId="405A3B94">
            <w:pPr>
              <w:pStyle w:val="17"/>
              <w:jc w:val="left"/>
              <w:rPr>
                <w:b/>
                <w:sz w:val="20"/>
              </w:rPr>
            </w:pPr>
          </w:p>
          <w:p w14:paraId="42BF6FEF">
            <w:pPr>
              <w:pStyle w:val="17"/>
              <w:spacing w:before="136"/>
              <w:ind w:left="244"/>
              <w:jc w:val="left"/>
              <w:rPr>
                <w:sz w:val="21"/>
              </w:rPr>
            </w:pPr>
            <w:r>
              <w:rPr>
                <w:sz w:val="21"/>
              </w:rPr>
              <w:t>排放口类型</w:t>
            </w:r>
          </w:p>
        </w:tc>
      </w:tr>
      <w:tr w14:paraId="4FF3C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63" w:type="dxa"/>
            <w:vMerge w:val="continue"/>
            <w:tcBorders>
              <w:top w:val="nil"/>
              <w:left w:val="nil"/>
            </w:tcBorders>
          </w:tcPr>
          <w:p w14:paraId="31931B3E">
            <w:pPr>
              <w:rPr>
                <w:sz w:val="2"/>
                <w:szCs w:val="2"/>
              </w:rPr>
            </w:pPr>
          </w:p>
        </w:tc>
        <w:tc>
          <w:tcPr>
            <w:tcW w:w="592" w:type="dxa"/>
            <w:vMerge w:val="continue"/>
            <w:tcBorders>
              <w:top w:val="nil"/>
            </w:tcBorders>
          </w:tcPr>
          <w:p w14:paraId="4A6D2A33">
            <w:pPr>
              <w:rPr>
                <w:sz w:val="2"/>
                <w:szCs w:val="2"/>
              </w:rPr>
            </w:pPr>
          </w:p>
        </w:tc>
        <w:tc>
          <w:tcPr>
            <w:tcW w:w="812" w:type="dxa"/>
            <w:vMerge w:val="continue"/>
            <w:tcBorders>
              <w:top w:val="nil"/>
            </w:tcBorders>
          </w:tcPr>
          <w:p w14:paraId="282FF650">
            <w:pPr>
              <w:rPr>
                <w:sz w:val="2"/>
                <w:szCs w:val="2"/>
              </w:rPr>
            </w:pPr>
          </w:p>
        </w:tc>
        <w:tc>
          <w:tcPr>
            <w:tcW w:w="731" w:type="dxa"/>
            <w:vMerge w:val="continue"/>
            <w:tcBorders>
              <w:top w:val="nil"/>
            </w:tcBorders>
          </w:tcPr>
          <w:p w14:paraId="19EE218C">
            <w:pPr>
              <w:rPr>
                <w:sz w:val="2"/>
                <w:szCs w:val="2"/>
              </w:rPr>
            </w:pPr>
          </w:p>
        </w:tc>
        <w:tc>
          <w:tcPr>
            <w:tcW w:w="831" w:type="dxa"/>
            <w:vMerge w:val="continue"/>
            <w:tcBorders>
              <w:top w:val="nil"/>
            </w:tcBorders>
          </w:tcPr>
          <w:p w14:paraId="3A5AF1D2">
            <w:pPr>
              <w:rPr>
                <w:sz w:val="2"/>
                <w:szCs w:val="2"/>
              </w:rPr>
            </w:pPr>
          </w:p>
        </w:tc>
        <w:tc>
          <w:tcPr>
            <w:tcW w:w="657" w:type="dxa"/>
          </w:tcPr>
          <w:p w14:paraId="447A4973">
            <w:pPr>
              <w:pStyle w:val="17"/>
              <w:spacing w:before="20" w:line="278" w:lineRule="auto"/>
              <w:ind w:left="117" w:right="109"/>
              <w:jc w:val="both"/>
              <w:rPr>
                <w:sz w:val="21"/>
              </w:rPr>
            </w:pPr>
            <w:r>
              <w:rPr>
                <w:w w:val="95"/>
                <w:sz w:val="21"/>
              </w:rPr>
              <w:t>污染治理设施</w:t>
            </w:r>
          </w:p>
          <w:p w14:paraId="028DEADF">
            <w:pPr>
              <w:pStyle w:val="17"/>
              <w:spacing w:line="269" w:lineRule="exact"/>
              <w:ind w:left="117"/>
              <w:jc w:val="both"/>
              <w:rPr>
                <w:sz w:val="21"/>
              </w:rPr>
            </w:pPr>
            <w:r>
              <w:rPr>
                <w:w w:val="95"/>
                <w:sz w:val="21"/>
              </w:rPr>
              <w:t>编号</w:t>
            </w:r>
          </w:p>
        </w:tc>
        <w:tc>
          <w:tcPr>
            <w:tcW w:w="727" w:type="dxa"/>
          </w:tcPr>
          <w:p w14:paraId="24161A7F">
            <w:pPr>
              <w:pStyle w:val="17"/>
              <w:spacing w:before="176" w:line="278" w:lineRule="auto"/>
              <w:ind w:left="48" w:right="37"/>
              <w:jc w:val="both"/>
              <w:rPr>
                <w:sz w:val="21"/>
              </w:rPr>
            </w:pPr>
            <w:r>
              <w:rPr>
                <w:sz w:val="21"/>
              </w:rPr>
              <w:t>污染治理设施名称</w:t>
            </w:r>
          </w:p>
        </w:tc>
        <w:tc>
          <w:tcPr>
            <w:tcW w:w="669" w:type="dxa"/>
          </w:tcPr>
          <w:p w14:paraId="7E030CC0">
            <w:pPr>
              <w:pStyle w:val="17"/>
              <w:spacing w:before="20" w:line="278" w:lineRule="auto"/>
              <w:ind w:left="123" w:right="115"/>
              <w:jc w:val="both"/>
              <w:rPr>
                <w:sz w:val="21"/>
              </w:rPr>
            </w:pPr>
            <w:r>
              <w:rPr>
                <w:w w:val="95"/>
                <w:sz w:val="21"/>
              </w:rPr>
              <w:t>污染治理设施</w:t>
            </w:r>
          </w:p>
          <w:p w14:paraId="3D19601F">
            <w:pPr>
              <w:pStyle w:val="17"/>
              <w:spacing w:line="269" w:lineRule="exact"/>
              <w:ind w:left="123"/>
              <w:jc w:val="both"/>
              <w:rPr>
                <w:sz w:val="21"/>
              </w:rPr>
            </w:pPr>
            <w:r>
              <w:rPr>
                <w:w w:val="95"/>
                <w:sz w:val="21"/>
              </w:rPr>
              <w:t>工艺</w:t>
            </w:r>
          </w:p>
        </w:tc>
        <w:tc>
          <w:tcPr>
            <w:tcW w:w="704" w:type="dxa"/>
            <w:vMerge w:val="continue"/>
            <w:tcBorders>
              <w:top w:val="nil"/>
            </w:tcBorders>
          </w:tcPr>
          <w:p w14:paraId="1F491398">
            <w:pPr>
              <w:rPr>
                <w:sz w:val="2"/>
                <w:szCs w:val="2"/>
              </w:rPr>
            </w:pPr>
          </w:p>
        </w:tc>
        <w:tc>
          <w:tcPr>
            <w:tcW w:w="877" w:type="dxa"/>
            <w:vMerge w:val="continue"/>
            <w:tcBorders>
              <w:top w:val="nil"/>
            </w:tcBorders>
          </w:tcPr>
          <w:p w14:paraId="31FD1707">
            <w:pPr>
              <w:rPr>
                <w:sz w:val="2"/>
                <w:szCs w:val="2"/>
              </w:rPr>
            </w:pPr>
          </w:p>
        </w:tc>
        <w:tc>
          <w:tcPr>
            <w:tcW w:w="1541" w:type="dxa"/>
            <w:vMerge w:val="continue"/>
            <w:tcBorders>
              <w:top w:val="nil"/>
              <w:right w:val="nil"/>
            </w:tcBorders>
          </w:tcPr>
          <w:p w14:paraId="746F1E2D">
            <w:pPr>
              <w:rPr>
                <w:sz w:val="2"/>
                <w:szCs w:val="2"/>
              </w:rPr>
            </w:pPr>
          </w:p>
        </w:tc>
      </w:tr>
      <w:tr w14:paraId="5FF1E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363" w:type="dxa"/>
            <w:tcBorders>
              <w:left w:val="nil"/>
            </w:tcBorders>
          </w:tcPr>
          <w:p w14:paraId="6774DDE9">
            <w:pPr>
              <w:pStyle w:val="17"/>
              <w:jc w:val="left"/>
              <w:rPr>
                <w:b/>
                <w:sz w:val="22"/>
              </w:rPr>
            </w:pPr>
          </w:p>
          <w:p w14:paraId="4EC6E078">
            <w:pPr>
              <w:pStyle w:val="17"/>
              <w:jc w:val="left"/>
              <w:rPr>
                <w:b/>
                <w:sz w:val="22"/>
              </w:rPr>
            </w:pPr>
          </w:p>
          <w:p w14:paraId="697C3740">
            <w:pPr>
              <w:pStyle w:val="17"/>
              <w:spacing w:before="6"/>
              <w:jc w:val="left"/>
              <w:rPr>
                <w:b/>
                <w:sz w:val="25"/>
              </w:rPr>
            </w:pPr>
          </w:p>
          <w:p w14:paraId="13F99879">
            <w:pPr>
              <w:pStyle w:val="17"/>
              <w:ind w:left="11"/>
              <w:rPr>
                <w:rFonts w:ascii="Times New Roman"/>
                <w:sz w:val="21"/>
              </w:rPr>
            </w:pPr>
            <w:r>
              <w:rPr>
                <w:rFonts w:ascii="Times New Roman"/>
                <w:w w:val="99"/>
                <w:sz w:val="21"/>
              </w:rPr>
              <w:t>1</w:t>
            </w:r>
          </w:p>
        </w:tc>
        <w:tc>
          <w:tcPr>
            <w:tcW w:w="592" w:type="dxa"/>
          </w:tcPr>
          <w:p w14:paraId="3F15D9A5">
            <w:pPr>
              <w:pStyle w:val="17"/>
              <w:jc w:val="left"/>
              <w:rPr>
                <w:b/>
                <w:sz w:val="20"/>
              </w:rPr>
            </w:pPr>
          </w:p>
          <w:p w14:paraId="2FCF4D17">
            <w:pPr>
              <w:pStyle w:val="17"/>
              <w:jc w:val="left"/>
              <w:rPr>
                <w:b/>
                <w:sz w:val="20"/>
              </w:rPr>
            </w:pPr>
          </w:p>
          <w:p w14:paraId="2799716A">
            <w:pPr>
              <w:pStyle w:val="17"/>
              <w:spacing w:before="2"/>
              <w:jc w:val="left"/>
              <w:rPr>
                <w:b/>
                <w:sz w:val="16"/>
              </w:rPr>
            </w:pPr>
          </w:p>
          <w:p w14:paraId="6E547841">
            <w:pPr>
              <w:pStyle w:val="17"/>
              <w:spacing w:before="1" w:line="278" w:lineRule="auto"/>
              <w:ind w:left="86" w:right="76"/>
              <w:jc w:val="left"/>
              <w:rPr>
                <w:sz w:val="21"/>
              </w:rPr>
            </w:pPr>
            <w:r>
              <w:rPr>
                <w:w w:val="95"/>
                <w:sz w:val="21"/>
              </w:rPr>
              <w:t>生活污水</w:t>
            </w:r>
          </w:p>
        </w:tc>
        <w:tc>
          <w:tcPr>
            <w:tcW w:w="812" w:type="dxa"/>
          </w:tcPr>
          <w:p w14:paraId="29FA23CB">
            <w:pPr>
              <w:pStyle w:val="17"/>
              <w:spacing w:before="12"/>
              <w:jc w:val="left"/>
              <w:rPr>
                <w:b/>
                <w:sz w:val="32"/>
              </w:rPr>
            </w:pPr>
          </w:p>
          <w:p w14:paraId="4D6123A8">
            <w:pPr>
              <w:pStyle w:val="17"/>
              <w:ind w:left="43"/>
              <w:jc w:val="left"/>
              <w:rPr>
                <w:rFonts w:ascii="Times New Roman"/>
                <w:sz w:val="21"/>
              </w:rPr>
            </w:pPr>
            <w:r>
              <w:rPr>
                <w:rFonts w:ascii="Times New Roman"/>
                <w:sz w:val="21"/>
              </w:rPr>
              <w:t>CODcr</w:t>
            </w:r>
          </w:p>
          <w:p w14:paraId="16183552">
            <w:pPr>
              <w:pStyle w:val="17"/>
              <w:spacing w:before="53"/>
              <w:ind w:left="43"/>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p w14:paraId="74A41EA5">
            <w:pPr>
              <w:pStyle w:val="17"/>
              <w:spacing w:before="40" w:line="278" w:lineRule="auto"/>
              <w:ind w:left="300" w:right="69" w:hanging="221"/>
              <w:jc w:val="left"/>
              <w:rPr>
                <w:sz w:val="21"/>
              </w:rPr>
            </w:pPr>
            <w:r>
              <w:rPr>
                <w:rFonts w:ascii="Times New Roman" w:eastAsia="Times New Roman"/>
                <w:w w:val="95"/>
                <w:sz w:val="21"/>
              </w:rPr>
              <w:t>SS</w:t>
            </w:r>
            <w:r>
              <w:rPr>
                <w:w w:val="95"/>
                <w:sz w:val="21"/>
              </w:rPr>
              <w:t>、氨</w:t>
            </w:r>
            <w:r>
              <w:rPr>
                <w:sz w:val="21"/>
              </w:rPr>
              <w:t>氮</w:t>
            </w:r>
          </w:p>
        </w:tc>
        <w:tc>
          <w:tcPr>
            <w:tcW w:w="731" w:type="dxa"/>
          </w:tcPr>
          <w:p w14:paraId="19F62F89">
            <w:pPr>
              <w:pStyle w:val="17"/>
              <w:jc w:val="left"/>
              <w:rPr>
                <w:b/>
                <w:sz w:val="20"/>
              </w:rPr>
            </w:pPr>
          </w:p>
          <w:p w14:paraId="5D1C7A05">
            <w:pPr>
              <w:pStyle w:val="17"/>
              <w:spacing w:before="152" w:line="213" w:lineRule="exact"/>
              <w:ind w:left="-162"/>
              <w:jc w:val="left"/>
              <w:rPr>
                <w:sz w:val="21"/>
              </w:rPr>
            </w:pPr>
            <w:r>
              <w:rPr>
                <w:w w:val="99"/>
                <w:sz w:val="21"/>
              </w:rPr>
              <w:t>、</w:t>
            </w:r>
          </w:p>
          <w:p w14:paraId="014F5BA9">
            <w:pPr>
              <w:pStyle w:val="17"/>
              <w:spacing w:line="213" w:lineRule="exact"/>
              <w:ind w:left="50"/>
              <w:jc w:val="left"/>
              <w:rPr>
                <w:sz w:val="21"/>
              </w:rPr>
            </w:pPr>
            <w:r>
              <w:rPr>
                <w:w w:val="95"/>
                <w:sz w:val="21"/>
              </w:rPr>
              <w:t>进入城</w:t>
            </w:r>
          </w:p>
          <w:p w14:paraId="237224AA">
            <w:pPr>
              <w:pStyle w:val="17"/>
              <w:spacing w:before="43" w:line="278" w:lineRule="auto"/>
              <w:ind w:left="50" w:right="39"/>
              <w:jc w:val="left"/>
              <w:rPr>
                <w:sz w:val="21"/>
              </w:rPr>
            </w:pPr>
            <w:r>
              <w:rPr>
                <w:sz w:val="21"/>
              </w:rPr>
              <w:t>市污水</w:t>
            </w:r>
            <w:r>
              <w:rPr>
                <w:w w:val="95"/>
                <w:sz w:val="21"/>
              </w:rPr>
              <w:t>处理厂</w:t>
            </w:r>
          </w:p>
        </w:tc>
        <w:tc>
          <w:tcPr>
            <w:tcW w:w="831" w:type="dxa"/>
          </w:tcPr>
          <w:p w14:paraId="237B5A5A">
            <w:pPr>
              <w:pStyle w:val="17"/>
              <w:jc w:val="left"/>
              <w:rPr>
                <w:b/>
                <w:sz w:val="20"/>
              </w:rPr>
            </w:pPr>
          </w:p>
          <w:p w14:paraId="0A877458">
            <w:pPr>
              <w:pStyle w:val="17"/>
              <w:jc w:val="left"/>
              <w:rPr>
                <w:b/>
                <w:sz w:val="24"/>
              </w:rPr>
            </w:pPr>
          </w:p>
          <w:p w14:paraId="527205D7">
            <w:pPr>
              <w:pStyle w:val="17"/>
              <w:spacing w:line="278" w:lineRule="auto"/>
              <w:ind w:left="13" w:right="5"/>
              <w:rPr>
                <w:sz w:val="21"/>
              </w:rPr>
            </w:pPr>
            <w:r>
              <w:rPr>
                <w:sz w:val="21"/>
              </w:rPr>
              <w:t>间断排</w:t>
            </w:r>
            <w:r>
              <w:rPr>
                <w:w w:val="95"/>
                <w:sz w:val="21"/>
              </w:rPr>
              <w:t>放，流量</w:t>
            </w:r>
            <w:r>
              <w:rPr>
                <w:sz w:val="21"/>
              </w:rPr>
              <w:t>稳定</w:t>
            </w:r>
          </w:p>
        </w:tc>
        <w:tc>
          <w:tcPr>
            <w:tcW w:w="657" w:type="dxa"/>
          </w:tcPr>
          <w:p w14:paraId="6557C94A">
            <w:pPr>
              <w:pStyle w:val="17"/>
              <w:jc w:val="left"/>
              <w:rPr>
                <w:b/>
                <w:sz w:val="22"/>
              </w:rPr>
            </w:pPr>
          </w:p>
          <w:p w14:paraId="64F3CA53">
            <w:pPr>
              <w:pStyle w:val="17"/>
              <w:jc w:val="left"/>
              <w:rPr>
                <w:b/>
                <w:sz w:val="22"/>
              </w:rPr>
            </w:pPr>
          </w:p>
          <w:p w14:paraId="261E2827">
            <w:pPr>
              <w:pStyle w:val="17"/>
              <w:spacing w:before="6"/>
              <w:jc w:val="left"/>
              <w:rPr>
                <w:b/>
                <w:sz w:val="25"/>
              </w:rPr>
            </w:pPr>
          </w:p>
          <w:p w14:paraId="397A60FE">
            <w:pPr>
              <w:pStyle w:val="17"/>
              <w:ind w:left="6"/>
              <w:rPr>
                <w:rFonts w:ascii="Times New Roman"/>
                <w:sz w:val="21"/>
              </w:rPr>
            </w:pPr>
            <w:r>
              <w:rPr>
                <w:rFonts w:ascii="Times New Roman"/>
                <w:w w:val="99"/>
                <w:sz w:val="21"/>
              </w:rPr>
              <w:t>/</w:t>
            </w:r>
          </w:p>
        </w:tc>
        <w:tc>
          <w:tcPr>
            <w:tcW w:w="727" w:type="dxa"/>
          </w:tcPr>
          <w:p w14:paraId="27CB224D">
            <w:pPr>
              <w:pStyle w:val="17"/>
              <w:spacing w:before="96"/>
              <w:ind w:left="48"/>
              <w:jc w:val="left"/>
              <w:rPr>
                <w:sz w:val="21"/>
              </w:rPr>
            </w:pPr>
            <w:r>
              <w:rPr>
                <w:sz w:val="21"/>
              </w:rPr>
              <w:t>化粪池</w:t>
            </w:r>
          </w:p>
          <w:p w14:paraId="5C352B4C">
            <w:pPr>
              <w:pStyle w:val="17"/>
              <w:spacing w:before="43" w:line="278" w:lineRule="auto"/>
              <w:ind w:left="48" w:right="37" w:hanging="3"/>
              <w:rPr>
                <w:sz w:val="21"/>
              </w:rPr>
            </w:pPr>
            <w:r>
              <w:rPr>
                <w:w w:val="95"/>
                <w:sz w:val="21"/>
              </w:rPr>
              <w:t>（依托中塑新材料公</w:t>
            </w:r>
            <w:r>
              <w:rPr>
                <w:sz w:val="21"/>
              </w:rPr>
              <w:t>司现 有）</w:t>
            </w:r>
          </w:p>
        </w:tc>
        <w:tc>
          <w:tcPr>
            <w:tcW w:w="669" w:type="dxa"/>
          </w:tcPr>
          <w:p w14:paraId="110AFA2B">
            <w:pPr>
              <w:pStyle w:val="17"/>
              <w:jc w:val="left"/>
              <w:rPr>
                <w:b/>
                <w:sz w:val="20"/>
              </w:rPr>
            </w:pPr>
          </w:p>
          <w:p w14:paraId="08433B97">
            <w:pPr>
              <w:pStyle w:val="17"/>
              <w:jc w:val="left"/>
              <w:rPr>
                <w:b/>
                <w:sz w:val="20"/>
              </w:rPr>
            </w:pPr>
          </w:p>
          <w:p w14:paraId="01903995">
            <w:pPr>
              <w:pStyle w:val="17"/>
              <w:spacing w:before="2"/>
              <w:jc w:val="left"/>
              <w:rPr>
                <w:b/>
                <w:sz w:val="16"/>
              </w:rPr>
            </w:pPr>
          </w:p>
          <w:p w14:paraId="54817BB5">
            <w:pPr>
              <w:pStyle w:val="17"/>
              <w:spacing w:before="1" w:line="278" w:lineRule="auto"/>
              <w:ind w:left="123" w:right="115"/>
              <w:jc w:val="left"/>
              <w:rPr>
                <w:sz w:val="21"/>
              </w:rPr>
            </w:pPr>
            <w:r>
              <w:rPr>
                <w:w w:val="95"/>
                <w:sz w:val="21"/>
              </w:rPr>
              <w:t>厌氧发酵</w:t>
            </w:r>
          </w:p>
        </w:tc>
        <w:tc>
          <w:tcPr>
            <w:tcW w:w="704" w:type="dxa"/>
          </w:tcPr>
          <w:p w14:paraId="1EC66391">
            <w:pPr>
              <w:pStyle w:val="17"/>
              <w:jc w:val="left"/>
              <w:rPr>
                <w:b/>
                <w:sz w:val="22"/>
              </w:rPr>
            </w:pPr>
          </w:p>
          <w:p w14:paraId="0476865E">
            <w:pPr>
              <w:pStyle w:val="17"/>
              <w:jc w:val="left"/>
              <w:rPr>
                <w:b/>
                <w:sz w:val="22"/>
              </w:rPr>
            </w:pPr>
          </w:p>
          <w:p w14:paraId="4C6BF687">
            <w:pPr>
              <w:pStyle w:val="17"/>
              <w:spacing w:before="170" w:line="309" w:lineRule="auto"/>
              <w:ind w:left="299" w:right="6" w:hanging="228"/>
              <w:jc w:val="left"/>
              <w:rPr>
                <w:rFonts w:ascii="Times New Roman"/>
                <w:sz w:val="21"/>
              </w:rPr>
            </w:pPr>
            <w:r>
              <w:rPr>
                <w:rFonts w:ascii="Times New Roman"/>
                <w:w w:val="95"/>
                <w:sz w:val="21"/>
              </w:rPr>
              <w:t xml:space="preserve">DW00 </w:t>
            </w:r>
            <w:r>
              <w:rPr>
                <w:rFonts w:ascii="Times New Roman"/>
                <w:sz w:val="21"/>
              </w:rPr>
              <w:t>1</w:t>
            </w:r>
          </w:p>
        </w:tc>
        <w:tc>
          <w:tcPr>
            <w:tcW w:w="877" w:type="dxa"/>
          </w:tcPr>
          <w:p w14:paraId="7C58F45A">
            <w:pPr>
              <w:pStyle w:val="17"/>
              <w:jc w:val="left"/>
              <w:rPr>
                <w:b/>
                <w:sz w:val="22"/>
              </w:rPr>
            </w:pPr>
          </w:p>
          <w:p w14:paraId="0D068B06">
            <w:pPr>
              <w:pStyle w:val="17"/>
              <w:jc w:val="left"/>
              <w:rPr>
                <w:b/>
                <w:sz w:val="22"/>
              </w:rPr>
            </w:pPr>
          </w:p>
          <w:p w14:paraId="00458E6B">
            <w:pPr>
              <w:pStyle w:val="17"/>
              <w:spacing w:before="156"/>
              <w:ind w:left="240"/>
              <w:jc w:val="left"/>
              <w:rPr>
                <w:sz w:val="21"/>
              </w:rPr>
            </w:pPr>
            <w:r>
              <w:rPr>
                <w:rFonts w:ascii="Wingdings" w:hAnsi="Wingdings" w:eastAsia="Wingdings"/>
                <w:sz w:val="21"/>
              </w:rPr>
              <w:t></w:t>
            </w:r>
            <w:r>
              <w:rPr>
                <w:sz w:val="21"/>
              </w:rPr>
              <w:t>是</w:t>
            </w:r>
          </w:p>
          <w:p w14:paraId="10A6AC61">
            <w:pPr>
              <w:pStyle w:val="17"/>
              <w:spacing w:before="43"/>
              <w:ind w:left="240"/>
              <w:jc w:val="left"/>
              <w:rPr>
                <w:sz w:val="21"/>
              </w:rPr>
            </w:pPr>
            <w:r>
              <w:rPr>
                <w:rFonts w:ascii="Wingdings" w:hAnsi="Wingdings" w:eastAsia="Wingdings"/>
                <w:w w:val="95"/>
                <w:sz w:val="21"/>
              </w:rPr>
              <w:t></w:t>
            </w:r>
            <w:r>
              <w:rPr>
                <w:w w:val="95"/>
                <w:sz w:val="21"/>
              </w:rPr>
              <w:t>否</w:t>
            </w:r>
          </w:p>
        </w:tc>
        <w:tc>
          <w:tcPr>
            <w:tcW w:w="1541" w:type="dxa"/>
            <w:tcBorders>
              <w:right w:val="nil"/>
            </w:tcBorders>
          </w:tcPr>
          <w:p w14:paraId="188C81CB">
            <w:pPr>
              <w:pStyle w:val="17"/>
              <w:ind w:left="236" w:right="234"/>
              <w:rPr>
                <w:sz w:val="21"/>
              </w:rPr>
            </w:pPr>
            <w:r>
              <w:rPr>
                <w:rFonts w:ascii="Wingdings" w:hAnsi="Wingdings" w:eastAsia="Wingdings"/>
                <w:sz w:val="21"/>
              </w:rPr>
              <w:t></w:t>
            </w:r>
            <w:r>
              <w:rPr>
                <w:sz w:val="21"/>
              </w:rPr>
              <w:t>企业总排</w:t>
            </w:r>
          </w:p>
          <w:p w14:paraId="618E4418">
            <w:pPr>
              <w:pStyle w:val="17"/>
              <w:numPr>
                <w:ilvl w:val="0"/>
                <w:numId w:val="19"/>
              </w:numPr>
              <w:tabs>
                <w:tab w:val="left" w:pos="444"/>
              </w:tabs>
              <w:spacing w:before="2" w:after="0" w:line="240" w:lineRule="auto"/>
              <w:ind w:left="443" w:right="0" w:hanging="187"/>
              <w:jc w:val="left"/>
              <w:rPr>
                <w:sz w:val="21"/>
              </w:rPr>
            </w:pPr>
            <w:r>
              <w:rPr>
                <w:sz w:val="21"/>
              </w:rPr>
              <w:t>雨水排放</w:t>
            </w:r>
          </w:p>
          <w:p w14:paraId="00CEE399">
            <w:pPr>
              <w:pStyle w:val="17"/>
              <w:numPr>
                <w:ilvl w:val="0"/>
                <w:numId w:val="20"/>
              </w:numPr>
              <w:tabs>
                <w:tab w:val="left" w:pos="236"/>
              </w:tabs>
              <w:spacing w:before="5" w:after="0" w:line="240" w:lineRule="auto"/>
              <w:ind w:left="138" w:right="0" w:hanging="91"/>
              <w:jc w:val="left"/>
              <w:rPr>
                <w:sz w:val="21"/>
              </w:rPr>
            </w:pPr>
            <w:r>
              <w:rPr>
                <w:sz w:val="21"/>
              </w:rPr>
              <w:t>清净下水排放</w:t>
            </w:r>
          </w:p>
          <w:p w14:paraId="0E067B83">
            <w:pPr>
              <w:pStyle w:val="17"/>
              <w:numPr>
                <w:ilvl w:val="1"/>
                <w:numId w:val="20"/>
              </w:numPr>
              <w:tabs>
                <w:tab w:val="left" w:pos="339"/>
              </w:tabs>
              <w:spacing w:before="2" w:after="0" w:line="240" w:lineRule="auto"/>
              <w:ind w:left="338" w:right="0" w:hanging="188"/>
              <w:jc w:val="left"/>
              <w:rPr>
                <w:sz w:val="21"/>
              </w:rPr>
            </w:pPr>
            <w:r>
              <w:rPr>
                <w:sz w:val="21"/>
              </w:rPr>
              <w:t>温排水排放</w:t>
            </w:r>
          </w:p>
          <w:p w14:paraId="6301DAFB">
            <w:pPr>
              <w:pStyle w:val="17"/>
              <w:numPr>
                <w:ilvl w:val="0"/>
                <w:numId w:val="20"/>
              </w:numPr>
              <w:tabs>
                <w:tab w:val="left" w:pos="236"/>
              </w:tabs>
              <w:spacing w:before="24" w:after="0" w:line="278" w:lineRule="auto"/>
              <w:ind w:left="138" w:right="43" w:hanging="91"/>
              <w:jc w:val="left"/>
              <w:rPr>
                <w:sz w:val="21"/>
              </w:rPr>
            </w:pPr>
            <w:r>
              <w:rPr>
                <w:w w:val="95"/>
                <w:sz w:val="21"/>
              </w:rPr>
              <w:t>车间或车间处</w:t>
            </w:r>
            <w:r>
              <w:rPr>
                <w:sz w:val="21"/>
              </w:rPr>
              <w:t>理设施排放口</w:t>
            </w:r>
          </w:p>
          <w:p w14:paraId="69C7D0CB">
            <w:pPr>
              <w:pStyle w:val="17"/>
              <w:spacing w:line="269" w:lineRule="exact"/>
              <w:ind w:left="234" w:right="234"/>
              <w:rPr>
                <w:sz w:val="21"/>
              </w:rPr>
            </w:pPr>
            <w:r>
              <w:rPr>
                <w:sz w:val="21"/>
              </w:rPr>
              <w:t>排放</w:t>
            </w:r>
          </w:p>
        </w:tc>
      </w:tr>
    </w:tbl>
    <w:p w14:paraId="56352F0A">
      <w:pPr>
        <w:pStyle w:val="9"/>
        <w:spacing w:before="82"/>
        <w:ind w:left="1100" w:right="1220"/>
        <w:jc w:val="center"/>
      </w:pPr>
      <w:r>
        <w:t xml:space="preserve">表 </w:t>
      </w:r>
      <w:r>
        <w:rPr>
          <w:rFonts w:ascii="Times New Roman" w:eastAsia="Times New Roman"/>
        </w:rPr>
        <w:t xml:space="preserve">4.2-3 </w:t>
      </w:r>
      <w:r>
        <w:t>项目废水间接排放口基本情况表</w:t>
      </w:r>
    </w:p>
    <w:p w14:paraId="7F94E19A">
      <w:pPr>
        <w:pStyle w:val="10"/>
        <w:spacing w:before="3"/>
        <w:rPr>
          <w:b/>
          <w:sz w:val="6"/>
        </w:rPr>
      </w:pPr>
    </w:p>
    <w:tbl>
      <w:tblPr>
        <w:tblStyle w:val="13"/>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735"/>
        <w:gridCol w:w="555"/>
        <w:gridCol w:w="690"/>
        <w:gridCol w:w="825"/>
        <w:gridCol w:w="717"/>
        <w:gridCol w:w="920"/>
        <w:gridCol w:w="480"/>
        <w:gridCol w:w="748"/>
        <w:gridCol w:w="896"/>
        <w:gridCol w:w="1293"/>
      </w:tblGrid>
      <w:tr w14:paraId="340FC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5" w:type="dxa"/>
            <w:vMerge w:val="restart"/>
            <w:tcBorders>
              <w:left w:val="nil"/>
            </w:tcBorders>
          </w:tcPr>
          <w:p w14:paraId="7B877904">
            <w:pPr>
              <w:pStyle w:val="17"/>
              <w:jc w:val="left"/>
              <w:rPr>
                <w:b/>
                <w:sz w:val="20"/>
              </w:rPr>
            </w:pPr>
          </w:p>
          <w:p w14:paraId="7211F641">
            <w:pPr>
              <w:pStyle w:val="17"/>
              <w:jc w:val="left"/>
              <w:rPr>
                <w:b/>
                <w:sz w:val="20"/>
              </w:rPr>
            </w:pPr>
          </w:p>
          <w:p w14:paraId="16CD1557">
            <w:pPr>
              <w:pStyle w:val="17"/>
              <w:spacing w:before="9"/>
              <w:jc w:val="left"/>
              <w:rPr>
                <w:b/>
                <w:sz w:val="23"/>
              </w:rPr>
            </w:pPr>
          </w:p>
          <w:p w14:paraId="3A4CFCEC">
            <w:pPr>
              <w:pStyle w:val="17"/>
              <w:ind w:left="115"/>
              <w:jc w:val="left"/>
              <w:rPr>
                <w:sz w:val="21"/>
              </w:rPr>
            </w:pPr>
            <w:r>
              <w:rPr>
                <w:sz w:val="21"/>
              </w:rPr>
              <w:t>序号</w:t>
            </w:r>
          </w:p>
        </w:tc>
        <w:tc>
          <w:tcPr>
            <w:tcW w:w="735" w:type="dxa"/>
            <w:vMerge w:val="restart"/>
          </w:tcPr>
          <w:p w14:paraId="7B6FDD3A">
            <w:pPr>
              <w:pStyle w:val="17"/>
              <w:jc w:val="left"/>
              <w:rPr>
                <w:b/>
                <w:sz w:val="20"/>
              </w:rPr>
            </w:pPr>
          </w:p>
          <w:p w14:paraId="74288301">
            <w:pPr>
              <w:pStyle w:val="17"/>
              <w:jc w:val="left"/>
              <w:rPr>
                <w:b/>
                <w:sz w:val="20"/>
              </w:rPr>
            </w:pPr>
          </w:p>
          <w:p w14:paraId="23797FE0">
            <w:pPr>
              <w:pStyle w:val="17"/>
              <w:spacing w:before="147" w:line="278" w:lineRule="auto"/>
              <w:ind w:left="156" w:right="42" w:hanging="106"/>
              <w:jc w:val="left"/>
              <w:rPr>
                <w:sz w:val="21"/>
              </w:rPr>
            </w:pPr>
            <w:r>
              <w:rPr>
                <w:sz w:val="21"/>
              </w:rPr>
              <w:t>排放口编号</w:t>
            </w:r>
          </w:p>
        </w:tc>
        <w:tc>
          <w:tcPr>
            <w:tcW w:w="1245" w:type="dxa"/>
            <w:gridSpan w:val="2"/>
          </w:tcPr>
          <w:p w14:paraId="6D4A29BC">
            <w:pPr>
              <w:pStyle w:val="17"/>
              <w:spacing w:before="19"/>
              <w:ind w:left="75" w:right="69"/>
              <w:rPr>
                <w:sz w:val="21"/>
              </w:rPr>
            </w:pPr>
            <w:r>
              <w:rPr>
                <w:sz w:val="21"/>
              </w:rPr>
              <w:t>排放口地理</w:t>
            </w:r>
          </w:p>
          <w:p w14:paraId="26F964FD">
            <w:pPr>
              <w:pStyle w:val="17"/>
              <w:spacing w:before="43"/>
              <w:ind w:left="73" w:right="69"/>
              <w:rPr>
                <w:sz w:val="21"/>
              </w:rPr>
            </w:pPr>
            <w:r>
              <w:rPr>
                <w:sz w:val="21"/>
              </w:rPr>
              <w:t>坐标</w:t>
            </w:r>
          </w:p>
        </w:tc>
        <w:tc>
          <w:tcPr>
            <w:tcW w:w="825" w:type="dxa"/>
            <w:vMerge w:val="restart"/>
          </w:tcPr>
          <w:p w14:paraId="10032CAC">
            <w:pPr>
              <w:pStyle w:val="17"/>
              <w:jc w:val="left"/>
              <w:rPr>
                <w:b/>
                <w:sz w:val="22"/>
              </w:rPr>
            </w:pPr>
          </w:p>
          <w:p w14:paraId="7AA499C4">
            <w:pPr>
              <w:pStyle w:val="17"/>
              <w:spacing w:before="4"/>
              <w:jc w:val="left"/>
              <w:rPr>
                <w:b/>
                <w:sz w:val="17"/>
              </w:rPr>
            </w:pPr>
          </w:p>
          <w:p w14:paraId="2CE9866B">
            <w:pPr>
              <w:pStyle w:val="17"/>
              <w:spacing w:line="278" w:lineRule="auto"/>
              <w:ind w:left="173" w:right="87" w:hanging="77"/>
              <w:jc w:val="left"/>
              <w:rPr>
                <w:rFonts w:ascii="Times New Roman" w:eastAsia="Times New Roman"/>
                <w:sz w:val="21"/>
              </w:rPr>
            </w:pPr>
            <w:r>
              <w:rPr>
                <w:sz w:val="21"/>
              </w:rPr>
              <w:t>废水排放量</w:t>
            </w:r>
            <w:r>
              <w:rPr>
                <w:rFonts w:ascii="Times New Roman" w:eastAsia="Times New Roman"/>
                <w:sz w:val="21"/>
              </w:rPr>
              <w:t>/</w:t>
            </w:r>
          </w:p>
          <w:p w14:paraId="04B4202B">
            <w:pPr>
              <w:pStyle w:val="17"/>
              <w:spacing w:line="269" w:lineRule="exact"/>
              <w:ind w:left="96"/>
              <w:jc w:val="left"/>
              <w:rPr>
                <w:sz w:val="21"/>
              </w:rPr>
            </w:pPr>
            <w:r>
              <w:rPr>
                <w:sz w:val="21"/>
              </w:rPr>
              <w:t>（</w:t>
            </w:r>
            <w:r>
              <w:rPr>
                <w:rFonts w:ascii="Times New Roman" w:eastAsia="Times New Roman"/>
                <w:sz w:val="21"/>
              </w:rPr>
              <w:t>t/a</w:t>
            </w:r>
            <w:r>
              <w:rPr>
                <w:sz w:val="21"/>
              </w:rPr>
              <w:t>）</w:t>
            </w:r>
          </w:p>
        </w:tc>
        <w:tc>
          <w:tcPr>
            <w:tcW w:w="717" w:type="dxa"/>
            <w:vMerge w:val="restart"/>
          </w:tcPr>
          <w:p w14:paraId="711F8FF3">
            <w:pPr>
              <w:pStyle w:val="17"/>
              <w:jc w:val="left"/>
              <w:rPr>
                <w:b/>
                <w:sz w:val="20"/>
              </w:rPr>
            </w:pPr>
          </w:p>
          <w:p w14:paraId="4B2F8926">
            <w:pPr>
              <w:pStyle w:val="17"/>
              <w:jc w:val="left"/>
              <w:rPr>
                <w:b/>
                <w:sz w:val="20"/>
              </w:rPr>
            </w:pPr>
          </w:p>
          <w:p w14:paraId="1B5426B6">
            <w:pPr>
              <w:pStyle w:val="17"/>
              <w:spacing w:before="147" w:line="278" w:lineRule="auto"/>
              <w:ind w:left="253" w:right="33" w:hanging="212"/>
              <w:jc w:val="left"/>
              <w:rPr>
                <w:sz w:val="21"/>
              </w:rPr>
            </w:pPr>
            <w:r>
              <w:rPr>
                <w:sz w:val="21"/>
              </w:rPr>
              <w:t>排放去向</w:t>
            </w:r>
          </w:p>
        </w:tc>
        <w:tc>
          <w:tcPr>
            <w:tcW w:w="920" w:type="dxa"/>
            <w:vMerge w:val="restart"/>
          </w:tcPr>
          <w:p w14:paraId="6E449A8B">
            <w:pPr>
              <w:pStyle w:val="17"/>
              <w:jc w:val="left"/>
              <w:rPr>
                <w:b/>
                <w:sz w:val="20"/>
              </w:rPr>
            </w:pPr>
          </w:p>
          <w:p w14:paraId="2D06391F">
            <w:pPr>
              <w:pStyle w:val="17"/>
              <w:jc w:val="left"/>
              <w:rPr>
                <w:b/>
                <w:sz w:val="20"/>
              </w:rPr>
            </w:pPr>
          </w:p>
          <w:p w14:paraId="179BB4D4">
            <w:pPr>
              <w:pStyle w:val="17"/>
              <w:spacing w:before="9"/>
              <w:jc w:val="left"/>
              <w:rPr>
                <w:b/>
                <w:sz w:val="23"/>
              </w:rPr>
            </w:pPr>
          </w:p>
          <w:p w14:paraId="68E3FAE2">
            <w:pPr>
              <w:pStyle w:val="17"/>
              <w:ind w:left="40"/>
              <w:jc w:val="left"/>
              <w:rPr>
                <w:sz w:val="21"/>
              </w:rPr>
            </w:pPr>
            <w:r>
              <w:rPr>
                <w:sz w:val="21"/>
              </w:rPr>
              <w:t>排放规律</w:t>
            </w:r>
          </w:p>
        </w:tc>
        <w:tc>
          <w:tcPr>
            <w:tcW w:w="480" w:type="dxa"/>
            <w:vMerge w:val="restart"/>
          </w:tcPr>
          <w:p w14:paraId="1C229CE3">
            <w:pPr>
              <w:pStyle w:val="17"/>
              <w:jc w:val="left"/>
              <w:rPr>
                <w:b/>
                <w:sz w:val="20"/>
              </w:rPr>
            </w:pPr>
          </w:p>
          <w:p w14:paraId="3F10B20A">
            <w:pPr>
              <w:pStyle w:val="17"/>
              <w:spacing w:before="4"/>
              <w:jc w:val="left"/>
              <w:rPr>
                <w:b/>
                <w:sz w:val="19"/>
              </w:rPr>
            </w:pPr>
          </w:p>
          <w:p w14:paraId="3C3AFEE1">
            <w:pPr>
              <w:pStyle w:val="17"/>
              <w:spacing w:line="278" w:lineRule="auto"/>
              <w:ind w:left="30" w:right="20"/>
              <w:jc w:val="both"/>
              <w:rPr>
                <w:sz w:val="21"/>
              </w:rPr>
            </w:pPr>
            <w:r>
              <w:rPr>
                <w:w w:val="95"/>
                <w:sz w:val="21"/>
              </w:rPr>
              <w:t>间歇排放时段</w:t>
            </w:r>
          </w:p>
        </w:tc>
        <w:tc>
          <w:tcPr>
            <w:tcW w:w="2937" w:type="dxa"/>
            <w:gridSpan w:val="3"/>
            <w:vMerge w:val="restart"/>
            <w:tcBorders>
              <w:right w:val="nil"/>
            </w:tcBorders>
          </w:tcPr>
          <w:p w14:paraId="4D00E460">
            <w:pPr>
              <w:pStyle w:val="17"/>
              <w:spacing w:before="10"/>
              <w:jc w:val="left"/>
              <w:rPr>
                <w:b/>
                <w:sz w:val="26"/>
              </w:rPr>
            </w:pPr>
          </w:p>
          <w:p w14:paraId="55A43DC6">
            <w:pPr>
              <w:pStyle w:val="17"/>
              <w:ind w:left="524"/>
              <w:jc w:val="left"/>
              <w:rPr>
                <w:sz w:val="21"/>
              </w:rPr>
            </w:pPr>
            <w:r>
              <w:rPr>
                <w:sz w:val="21"/>
              </w:rPr>
              <w:t>受纳污水处理厂信息</w:t>
            </w:r>
          </w:p>
        </w:tc>
      </w:tr>
      <w:tr w14:paraId="49E9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45" w:type="dxa"/>
            <w:vMerge w:val="continue"/>
            <w:tcBorders>
              <w:top w:val="nil"/>
              <w:left w:val="nil"/>
            </w:tcBorders>
          </w:tcPr>
          <w:p w14:paraId="0D5BD9F8">
            <w:pPr>
              <w:rPr>
                <w:sz w:val="2"/>
                <w:szCs w:val="2"/>
              </w:rPr>
            </w:pPr>
          </w:p>
        </w:tc>
        <w:tc>
          <w:tcPr>
            <w:tcW w:w="735" w:type="dxa"/>
            <w:vMerge w:val="continue"/>
            <w:tcBorders>
              <w:top w:val="nil"/>
            </w:tcBorders>
          </w:tcPr>
          <w:p w14:paraId="761E7809">
            <w:pPr>
              <w:rPr>
                <w:sz w:val="2"/>
                <w:szCs w:val="2"/>
              </w:rPr>
            </w:pPr>
          </w:p>
        </w:tc>
        <w:tc>
          <w:tcPr>
            <w:tcW w:w="555" w:type="dxa"/>
            <w:vMerge w:val="restart"/>
          </w:tcPr>
          <w:p w14:paraId="79235D02">
            <w:pPr>
              <w:pStyle w:val="17"/>
              <w:jc w:val="left"/>
              <w:rPr>
                <w:b/>
                <w:sz w:val="20"/>
              </w:rPr>
            </w:pPr>
          </w:p>
          <w:p w14:paraId="25B42DF1">
            <w:pPr>
              <w:pStyle w:val="17"/>
              <w:spacing w:before="12"/>
              <w:jc w:val="left"/>
              <w:rPr>
                <w:b/>
                <w:sz w:val="18"/>
              </w:rPr>
            </w:pPr>
          </w:p>
          <w:p w14:paraId="1A1846DB">
            <w:pPr>
              <w:pStyle w:val="17"/>
              <w:ind w:left="67"/>
              <w:jc w:val="left"/>
              <w:rPr>
                <w:sz w:val="21"/>
              </w:rPr>
            </w:pPr>
            <w:r>
              <w:rPr>
                <w:sz w:val="21"/>
              </w:rPr>
              <w:t>经度</w:t>
            </w:r>
          </w:p>
        </w:tc>
        <w:tc>
          <w:tcPr>
            <w:tcW w:w="690" w:type="dxa"/>
            <w:vMerge w:val="restart"/>
          </w:tcPr>
          <w:p w14:paraId="3E91B319">
            <w:pPr>
              <w:pStyle w:val="17"/>
              <w:jc w:val="left"/>
              <w:rPr>
                <w:b/>
                <w:sz w:val="20"/>
              </w:rPr>
            </w:pPr>
          </w:p>
          <w:p w14:paraId="06EA5AD6">
            <w:pPr>
              <w:pStyle w:val="17"/>
              <w:spacing w:before="12"/>
              <w:jc w:val="left"/>
              <w:rPr>
                <w:b/>
                <w:sz w:val="18"/>
              </w:rPr>
            </w:pPr>
          </w:p>
          <w:p w14:paraId="03C3A82C">
            <w:pPr>
              <w:pStyle w:val="17"/>
              <w:ind w:left="134"/>
              <w:jc w:val="left"/>
              <w:rPr>
                <w:sz w:val="21"/>
              </w:rPr>
            </w:pPr>
            <w:r>
              <w:rPr>
                <w:sz w:val="21"/>
              </w:rPr>
              <w:t>纬度</w:t>
            </w:r>
          </w:p>
        </w:tc>
        <w:tc>
          <w:tcPr>
            <w:tcW w:w="825" w:type="dxa"/>
            <w:vMerge w:val="continue"/>
            <w:tcBorders>
              <w:top w:val="nil"/>
            </w:tcBorders>
          </w:tcPr>
          <w:p w14:paraId="58B7B901">
            <w:pPr>
              <w:rPr>
                <w:sz w:val="2"/>
                <w:szCs w:val="2"/>
              </w:rPr>
            </w:pPr>
          </w:p>
        </w:tc>
        <w:tc>
          <w:tcPr>
            <w:tcW w:w="717" w:type="dxa"/>
            <w:vMerge w:val="continue"/>
            <w:tcBorders>
              <w:top w:val="nil"/>
            </w:tcBorders>
          </w:tcPr>
          <w:p w14:paraId="7B17BDF2">
            <w:pPr>
              <w:rPr>
                <w:sz w:val="2"/>
                <w:szCs w:val="2"/>
              </w:rPr>
            </w:pPr>
          </w:p>
        </w:tc>
        <w:tc>
          <w:tcPr>
            <w:tcW w:w="920" w:type="dxa"/>
            <w:vMerge w:val="continue"/>
            <w:tcBorders>
              <w:top w:val="nil"/>
            </w:tcBorders>
          </w:tcPr>
          <w:p w14:paraId="65C11CC6">
            <w:pPr>
              <w:rPr>
                <w:sz w:val="2"/>
                <w:szCs w:val="2"/>
              </w:rPr>
            </w:pPr>
          </w:p>
        </w:tc>
        <w:tc>
          <w:tcPr>
            <w:tcW w:w="480" w:type="dxa"/>
            <w:vMerge w:val="continue"/>
            <w:tcBorders>
              <w:top w:val="nil"/>
            </w:tcBorders>
          </w:tcPr>
          <w:p w14:paraId="258488EE">
            <w:pPr>
              <w:rPr>
                <w:sz w:val="2"/>
                <w:szCs w:val="2"/>
              </w:rPr>
            </w:pPr>
          </w:p>
        </w:tc>
        <w:tc>
          <w:tcPr>
            <w:tcW w:w="2937" w:type="dxa"/>
            <w:gridSpan w:val="3"/>
            <w:vMerge w:val="continue"/>
            <w:tcBorders>
              <w:top w:val="nil"/>
              <w:right w:val="nil"/>
            </w:tcBorders>
          </w:tcPr>
          <w:p w14:paraId="323D14B3">
            <w:pPr>
              <w:rPr>
                <w:sz w:val="2"/>
                <w:szCs w:val="2"/>
              </w:rPr>
            </w:pPr>
          </w:p>
        </w:tc>
      </w:tr>
      <w:tr w14:paraId="7C3C8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45" w:type="dxa"/>
            <w:vMerge w:val="continue"/>
            <w:tcBorders>
              <w:top w:val="nil"/>
              <w:left w:val="nil"/>
            </w:tcBorders>
          </w:tcPr>
          <w:p w14:paraId="1CB45977">
            <w:pPr>
              <w:rPr>
                <w:sz w:val="2"/>
                <w:szCs w:val="2"/>
              </w:rPr>
            </w:pPr>
          </w:p>
        </w:tc>
        <w:tc>
          <w:tcPr>
            <w:tcW w:w="735" w:type="dxa"/>
            <w:vMerge w:val="continue"/>
            <w:tcBorders>
              <w:top w:val="nil"/>
            </w:tcBorders>
          </w:tcPr>
          <w:p w14:paraId="048CAD11">
            <w:pPr>
              <w:rPr>
                <w:sz w:val="2"/>
                <w:szCs w:val="2"/>
              </w:rPr>
            </w:pPr>
          </w:p>
        </w:tc>
        <w:tc>
          <w:tcPr>
            <w:tcW w:w="555" w:type="dxa"/>
            <w:vMerge w:val="continue"/>
            <w:tcBorders>
              <w:top w:val="nil"/>
            </w:tcBorders>
          </w:tcPr>
          <w:p w14:paraId="37F8A7ED">
            <w:pPr>
              <w:rPr>
                <w:sz w:val="2"/>
                <w:szCs w:val="2"/>
              </w:rPr>
            </w:pPr>
          </w:p>
        </w:tc>
        <w:tc>
          <w:tcPr>
            <w:tcW w:w="690" w:type="dxa"/>
            <w:vMerge w:val="continue"/>
            <w:tcBorders>
              <w:top w:val="nil"/>
            </w:tcBorders>
          </w:tcPr>
          <w:p w14:paraId="24722EF6">
            <w:pPr>
              <w:rPr>
                <w:sz w:val="2"/>
                <w:szCs w:val="2"/>
              </w:rPr>
            </w:pPr>
          </w:p>
        </w:tc>
        <w:tc>
          <w:tcPr>
            <w:tcW w:w="825" w:type="dxa"/>
            <w:vMerge w:val="continue"/>
            <w:tcBorders>
              <w:top w:val="nil"/>
            </w:tcBorders>
          </w:tcPr>
          <w:p w14:paraId="2E27B8C4">
            <w:pPr>
              <w:rPr>
                <w:sz w:val="2"/>
                <w:szCs w:val="2"/>
              </w:rPr>
            </w:pPr>
          </w:p>
        </w:tc>
        <w:tc>
          <w:tcPr>
            <w:tcW w:w="717" w:type="dxa"/>
            <w:vMerge w:val="continue"/>
            <w:tcBorders>
              <w:top w:val="nil"/>
            </w:tcBorders>
          </w:tcPr>
          <w:p w14:paraId="35BCADA4">
            <w:pPr>
              <w:rPr>
                <w:sz w:val="2"/>
                <w:szCs w:val="2"/>
              </w:rPr>
            </w:pPr>
          </w:p>
        </w:tc>
        <w:tc>
          <w:tcPr>
            <w:tcW w:w="920" w:type="dxa"/>
            <w:vMerge w:val="continue"/>
            <w:tcBorders>
              <w:top w:val="nil"/>
            </w:tcBorders>
          </w:tcPr>
          <w:p w14:paraId="2A61E1B8">
            <w:pPr>
              <w:rPr>
                <w:sz w:val="2"/>
                <w:szCs w:val="2"/>
              </w:rPr>
            </w:pPr>
          </w:p>
        </w:tc>
        <w:tc>
          <w:tcPr>
            <w:tcW w:w="480" w:type="dxa"/>
            <w:vMerge w:val="continue"/>
            <w:tcBorders>
              <w:top w:val="nil"/>
            </w:tcBorders>
          </w:tcPr>
          <w:p w14:paraId="336DF2AA">
            <w:pPr>
              <w:rPr>
                <w:sz w:val="2"/>
                <w:szCs w:val="2"/>
              </w:rPr>
            </w:pPr>
          </w:p>
        </w:tc>
        <w:tc>
          <w:tcPr>
            <w:tcW w:w="748" w:type="dxa"/>
          </w:tcPr>
          <w:p w14:paraId="7BF970E1">
            <w:pPr>
              <w:pStyle w:val="17"/>
              <w:spacing w:before="10"/>
              <w:jc w:val="left"/>
              <w:rPr>
                <w:b/>
                <w:sz w:val="25"/>
              </w:rPr>
            </w:pPr>
          </w:p>
          <w:p w14:paraId="5AB3B2A5">
            <w:pPr>
              <w:pStyle w:val="17"/>
              <w:ind w:left="164"/>
              <w:jc w:val="left"/>
              <w:rPr>
                <w:sz w:val="21"/>
              </w:rPr>
            </w:pPr>
            <w:r>
              <w:rPr>
                <w:sz w:val="21"/>
              </w:rPr>
              <w:t>名称</w:t>
            </w:r>
          </w:p>
        </w:tc>
        <w:tc>
          <w:tcPr>
            <w:tcW w:w="896" w:type="dxa"/>
          </w:tcPr>
          <w:p w14:paraId="14FB7D81">
            <w:pPr>
              <w:pStyle w:val="17"/>
              <w:spacing w:before="175" w:line="278" w:lineRule="auto"/>
              <w:ind w:left="342" w:right="17" w:hanging="315"/>
              <w:jc w:val="left"/>
              <w:rPr>
                <w:sz w:val="21"/>
              </w:rPr>
            </w:pPr>
            <w:r>
              <w:rPr>
                <w:w w:val="95"/>
                <w:sz w:val="21"/>
              </w:rPr>
              <w:t>污染物种</w:t>
            </w:r>
            <w:r>
              <w:rPr>
                <w:sz w:val="21"/>
              </w:rPr>
              <w:t>类</w:t>
            </w:r>
          </w:p>
        </w:tc>
        <w:tc>
          <w:tcPr>
            <w:tcW w:w="1293" w:type="dxa"/>
            <w:tcBorders>
              <w:right w:val="nil"/>
            </w:tcBorders>
          </w:tcPr>
          <w:p w14:paraId="4DFF7217">
            <w:pPr>
              <w:pStyle w:val="17"/>
              <w:spacing w:before="19" w:line="278" w:lineRule="auto"/>
              <w:ind w:left="18" w:right="10"/>
              <w:rPr>
                <w:sz w:val="21"/>
              </w:rPr>
            </w:pPr>
            <w:r>
              <w:rPr>
                <w:w w:val="95"/>
                <w:sz w:val="21"/>
              </w:rPr>
              <w:t>国家或地方污染物排放标准</w:t>
            </w:r>
          </w:p>
          <w:p w14:paraId="55110B0D">
            <w:pPr>
              <w:pStyle w:val="17"/>
              <w:spacing w:line="269" w:lineRule="exact"/>
              <w:ind w:left="18" w:right="10"/>
              <w:rPr>
                <w:sz w:val="21"/>
              </w:rPr>
            </w:pPr>
            <w:r>
              <w:rPr>
                <w:sz w:val="21"/>
              </w:rPr>
              <w:t>浓度限值</w:t>
            </w:r>
          </w:p>
        </w:tc>
      </w:tr>
      <w:tr w14:paraId="34D3C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645" w:type="dxa"/>
            <w:vMerge w:val="restart"/>
            <w:tcBorders>
              <w:left w:val="nil"/>
            </w:tcBorders>
          </w:tcPr>
          <w:p w14:paraId="1D5D4337">
            <w:pPr>
              <w:pStyle w:val="17"/>
              <w:jc w:val="left"/>
              <w:rPr>
                <w:b/>
                <w:sz w:val="22"/>
              </w:rPr>
            </w:pPr>
          </w:p>
          <w:p w14:paraId="41F4ECC3">
            <w:pPr>
              <w:pStyle w:val="17"/>
              <w:spacing w:before="5"/>
              <w:jc w:val="left"/>
              <w:rPr>
                <w:b/>
                <w:sz w:val="20"/>
              </w:rPr>
            </w:pPr>
          </w:p>
          <w:p w14:paraId="5E16C2C6">
            <w:pPr>
              <w:pStyle w:val="17"/>
              <w:ind w:left="8"/>
              <w:rPr>
                <w:rFonts w:ascii="Times New Roman"/>
                <w:sz w:val="21"/>
              </w:rPr>
            </w:pPr>
            <w:r>
              <w:rPr>
                <w:rFonts w:ascii="Times New Roman"/>
                <w:w w:val="99"/>
                <w:sz w:val="21"/>
              </w:rPr>
              <w:t>1</w:t>
            </w:r>
          </w:p>
        </w:tc>
        <w:tc>
          <w:tcPr>
            <w:tcW w:w="735" w:type="dxa"/>
            <w:vMerge w:val="restart"/>
          </w:tcPr>
          <w:p w14:paraId="2DF129EC">
            <w:pPr>
              <w:pStyle w:val="17"/>
              <w:jc w:val="left"/>
              <w:rPr>
                <w:b/>
                <w:sz w:val="22"/>
              </w:rPr>
            </w:pPr>
          </w:p>
          <w:p w14:paraId="7199DDC1">
            <w:pPr>
              <w:pStyle w:val="17"/>
              <w:spacing w:before="5"/>
              <w:jc w:val="left"/>
              <w:rPr>
                <w:b/>
                <w:sz w:val="20"/>
              </w:rPr>
            </w:pPr>
          </w:p>
          <w:p w14:paraId="06D1E390">
            <w:pPr>
              <w:pStyle w:val="17"/>
              <w:ind w:left="34"/>
              <w:jc w:val="left"/>
              <w:rPr>
                <w:rFonts w:ascii="Times New Roman"/>
                <w:sz w:val="21"/>
              </w:rPr>
            </w:pPr>
            <w:r>
              <w:rPr>
                <w:rFonts w:ascii="Times New Roman"/>
                <w:sz w:val="21"/>
              </w:rPr>
              <w:t>DW001</w:t>
            </w:r>
          </w:p>
        </w:tc>
        <w:tc>
          <w:tcPr>
            <w:tcW w:w="555" w:type="dxa"/>
            <w:vMerge w:val="restart"/>
          </w:tcPr>
          <w:p w14:paraId="59703104">
            <w:pPr>
              <w:pStyle w:val="17"/>
              <w:spacing w:before="3"/>
              <w:jc w:val="left"/>
              <w:rPr>
                <w:b/>
                <w:sz w:val="30"/>
              </w:rPr>
            </w:pPr>
          </w:p>
          <w:p w14:paraId="6CCD03E3">
            <w:pPr>
              <w:pStyle w:val="17"/>
              <w:ind w:left="43"/>
              <w:jc w:val="left"/>
              <w:rPr>
                <w:rFonts w:ascii="Times New Roman"/>
                <w:sz w:val="21"/>
              </w:rPr>
            </w:pPr>
            <w:r>
              <w:rPr>
                <w:rFonts w:ascii="Times New Roman"/>
                <w:sz w:val="21"/>
              </w:rPr>
              <w:t>113.1</w:t>
            </w:r>
          </w:p>
          <w:p w14:paraId="3FA8F442">
            <w:pPr>
              <w:pStyle w:val="17"/>
              <w:spacing w:before="71"/>
              <w:ind w:left="14"/>
              <w:jc w:val="left"/>
              <w:rPr>
                <w:rFonts w:ascii="Times New Roman"/>
                <w:sz w:val="21"/>
              </w:rPr>
            </w:pPr>
            <w:r>
              <w:rPr>
                <w:rFonts w:ascii="Times New Roman"/>
                <w:sz w:val="21"/>
              </w:rPr>
              <w:t>73972</w:t>
            </w:r>
          </w:p>
        </w:tc>
        <w:tc>
          <w:tcPr>
            <w:tcW w:w="690" w:type="dxa"/>
            <w:vMerge w:val="restart"/>
          </w:tcPr>
          <w:p w14:paraId="0D569CEE">
            <w:pPr>
              <w:pStyle w:val="17"/>
              <w:spacing w:before="3"/>
              <w:jc w:val="left"/>
              <w:rPr>
                <w:b/>
                <w:sz w:val="30"/>
              </w:rPr>
            </w:pPr>
          </w:p>
          <w:p w14:paraId="3E5F7DC1">
            <w:pPr>
              <w:pStyle w:val="17"/>
              <w:ind w:left="34" w:right="27"/>
              <w:rPr>
                <w:rFonts w:ascii="Times New Roman"/>
                <w:sz w:val="21"/>
              </w:rPr>
            </w:pPr>
            <w:r>
              <w:rPr>
                <w:rFonts w:ascii="Times New Roman"/>
                <w:sz w:val="21"/>
              </w:rPr>
              <w:t>28.763</w:t>
            </w:r>
          </w:p>
          <w:p w14:paraId="72D734BD">
            <w:pPr>
              <w:pStyle w:val="17"/>
              <w:spacing w:before="71"/>
              <w:ind w:left="34" w:right="25"/>
              <w:rPr>
                <w:rFonts w:ascii="Times New Roman"/>
                <w:sz w:val="21"/>
              </w:rPr>
            </w:pPr>
            <w:r>
              <w:rPr>
                <w:rFonts w:ascii="Times New Roman"/>
                <w:sz w:val="21"/>
              </w:rPr>
              <w:t>778</w:t>
            </w:r>
          </w:p>
        </w:tc>
        <w:tc>
          <w:tcPr>
            <w:tcW w:w="825" w:type="dxa"/>
            <w:vMerge w:val="restart"/>
          </w:tcPr>
          <w:p w14:paraId="59F9F901">
            <w:pPr>
              <w:pStyle w:val="17"/>
              <w:jc w:val="left"/>
              <w:rPr>
                <w:b/>
                <w:sz w:val="22"/>
              </w:rPr>
            </w:pPr>
          </w:p>
          <w:p w14:paraId="15D3798B">
            <w:pPr>
              <w:pStyle w:val="17"/>
              <w:spacing w:before="5"/>
              <w:jc w:val="left"/>
              <w:rPr>
                <w:b/>
                <w:sz w:val="20"/>
              </w:rPr>
            </w:pPr>
          </w:p>
          <w:p w14:paraId="14A4CADE">
            <w:pPr>
              <w:pStyle w:val="17"/>
              <w:ind w:left="255"/>
              <w:jc w:val="left"/>
              <w:rPr>
                <w:rFonts w:ascii="Times New Roman"/>
                <w:sz w:val="21"/>
              </w:rPr>
            </w:pPr>
            <w:r>
              <w:rPr>
                <w:rFonts w:ascii="Times New Roman"/>
                <w:sz w:val="21"/>
              </w:rPr>
              <w:t>608</w:t>
            </w:r>
          </w:p>
        </w:tc>
        <w:tc>
          <w:tcPr>
            <w:tcW w:w="717" w:type="dxa"/>
            <w:vMerge w:val="restart"/>
          </w:tcPr>
          <w:p w14:paraId="26F592F3">
            <w:pPr>
              <w:pStyle w:val="17"/>
              <w:spacing w:before="21" w:line="310" w:lineRule="atLeast"/>
              <w:ind w:left="42" w:right="33"/>
              <w:jc w:val="both"/>
              <w:rPr>
                <w:sz w:val="21"/>
              </w:rPr>
            </w:pPr>
            <w:r>
              <w:rPr>
                <w:sz w:val="21"/>
              </w:rPr>
              <w:t>进入汨罗市城市污水处理厂</w:t>
            </w:r>
          </w:p>
        </w:tc>
        <w:tc>
          <w:tcPr>
            <w:tcW w:w="920" w:type="dxa"/>
            <w:vMerge w:val="restart"/>
          </w:tcPr>
          <w:p w14:paraId="3F645B8C">
            <w:pPr>
              <w:pStyle w:val="17"/>
              <w:spacing w:before="12"/>
              <w:jc w:val="left"/>
              <w:rPr>
                <w:b/>
                <w:sz w:val="16"/>
              </w:rPr>
            </w:pPr>
          </w:p>
          <w:p w14:paraId="54343BE8">
            <w:pPr>
              <w:pStyle w:val="17"/>
              <w:spacing w:before="1" w:line="278" w:lineRule="auto"/>
              <w:ind w:left="40" w:right="29" w:hanging="3"/>
              <w:rPr>
                <w:sz w:val="21"/>
              </w:rPr>
            </w:pPr>
            <w:r>
              <w:rPr>
                <w:sz w:val="21"/>
              </w:rPr>
              <w:t xml:space="preserve">连续排 </w:t>
            </w:r>
            <w:r>
              <w:rPr>
                <w:w w:val="95"/>
                <w:sz w:val="21"/>
              </w:rPr>
              <w:t>放，流量</w:t>
            </w:r>
            <w:r>
              <w:rPr>
                <w:sz w:val="21"/>
              </w:rPr>
              <w:t>稳定</w:t>
            </w:r>
          </w:p>
        </w:tc>
        <w:tc>
          <w:tcPr>
            <w:tcW w:w="480" w:type="dxa"/>
            <w:vMerge w:val="restart"/>
          </w:tcPr>
          <w:p w14:paraId="457B3769">
            <w:pPr>
              <w:pStyle w:val="17"/>
              <w:jc w:val="left"/>
              <w:rPr>
                <w:b/>
                <w:sz w:val="22"/>
              </w:rPr>
            </w:pPr>
          </w:p>
          <w:p w14:paraId="540B7198">
            <w:pPr>
              <w:pStyle w:val="17"/>
              <w:spacing w:before="5"/>
              <w:jc w:val="left"/>
              <w:rPr>
                <w:b/>
                <w:sz w:val="20"/>
              </w:rPr>
            </w:pPr>
          </w:p>
          <w:p w14:paraId="232981AC">
            <w:pPr>
              <w:pStyle w:val="17"/>
              <w:ind w:left="8"/>
              <w:rPr>
                <w:rFonts w:ascii="Times New Roman"/>
                <w:sz w:val="21"/>
              </w:rPr>
            </w:pPr>
            <w:r>
              <w:rPr>
                <w:rFonts w:ascii="Times New Roman"/>
                <w:w w:val="99"/>
                <w:sz w:val="21"/>
              </w:rPr>
              <w:t>/</w:t>
            </w:r>
          </w:p>
        </w:tc>
        <w:tc>
          <w:tcPr>
            <w:tcW w:w="748" w:type="dxa"/>
            <w:vMerge w:val="restart"/>
          </w:tcPr>
          <w:p w14:paraId="76CEE4E9">
            <w:pPr>
              <w:pStyle w:val="17"/>
              <w:spacing w:before="21" w:line="310" w:lineRule="atLeast"/>
              <w:ind w:left="58" w:right="48" w:hanging="1"/>
              <w:rPr>
                <w:sz w:val="21"/>
              </w:rPr>
            </w:pPr>
            <w:r>
              <w:rPr>
                <w:w w:val="95"/>
                <w:sz w:val="21"/>
              </w:rPr>
              <w:t>汨罗市城市污水处理</w:t>
            </w:r>
            <w:r>
              <w:rPr>
                <w:sz w:val="21"/>
              </w:rPr>
              <w:t>厂</w:t>
            </w:r>
          </w:p>
        </w:tc>
        <w:tc>
          <w:tcPr>
            <w:tcW w:w="896" w:type="dxa"/>
          </w:tcPr>
          <w:p w14:paraId="23E36BB7">
            <w:pPr>
              <w:pStyle w:val="17"/>
              <w:spacing w:before="47"/>
              <w:ind w:left="122" w:right="116"/>
              <w:rPr>
                <w:rFonts w:ascii="Times New Roman"/>
                <w:sz w:val="21"/>
              </w:rPr>
            </w:pPr>
            <w:r>
              <w:rPr>
                <w:rFonts w:ascii="Times New Roman"/>
                <w:sz w:val="21"/>
              </w:rPr>
              <w:t>CODcr</w:t>
            </w:r>
          </w:p>
        </w:tc>
        <w:tc>
          <w:tcPr>
            <w:tcW w:w="1293" w:type="dxa"/>
            <w:tcBorders>
              <w:right w:val="nil"/>
            </w:tcBorders>
          </w:tcPr>
          <w:p w14:paraId="10001AFF">
            <w:pPr>
              <w:pStyle w:val="17"/>
              <w:spacing w:before="47"/>
              <w:ind w:left="543"/>
              <w:jc w:val="left"/>
              <w:rPr>
                <w:rFonts w:ascii="Times New Roman"/>
                <w:sz w:val="21"/>
              </w:rPr>
            </w:pPr>
            <w:r>
              <w:rPr>
                <w:rFonts w:ascii="Times New Roman"/>
                <w:sz w:val="21"/>
              </w:rPr>
              <w:t>50</w:t>
            </w:r>
          </w:p>
        </w:tc>
      </w:tr>
      <w:tr w14:paraId="75840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45" w:type="dxa"/>
            <w:vMerge w:val="continue"/>
            <w:tcBorders>
              <w:top w:val="nil"/>
              <w:left w:val="nil"/>
            </w:tcBorders>
          </w:tcPr>
          <w:p w14:paraId="6DCC657E">
            <w:pPr>
              <w:rPr>
                <w:sz w:val="2"/>
                <w:szCs w:val="2"/>
              </w:rPr>
            </w:pPr>
          </w:p>
        </w:tc>
        <w:tc>
          <w:tcPr>
            <w:tcW w:w="735" w:type="dxa"/>
            <w:vMerge w:val="continue"/>
            <w:tcBorders>
              <w:top w:val="nil"/>
            </w:tcBorders>
          </w:tcPr>
          <w:p w14:paraId="63E254F3">
            <w:pPr>
              <w:rPr>
                <w:sz w:val="2"/>
                <w:szCs w:val="2"/>
              </w:rPr>
            </w:pPr>
          </w:p>
        </w:tc>
        <w:tc>
          <w:tcPr>
            <w:tcW w:w="555" w:type="dxa"/>
            <w:vMerge w:val="continue"/>
            <w:tcBorders>
              <w:top w:val="nil"/>
            </w:tcBorders>
          </w:tcPr>
          <w:p w14:paraId="37EE2C05">
            <w:pPr>
              <w:rPr>
                <w:sz w:val="2"/>
                <w:szCs w:val="2"/>
              </w:rPr>
            </w:pPr>
          </w:p>
        </w:tc>
        <w:tc>
          <w:tcPr>
            <w:tcW w:w="690" w:type="dxa"/>
            <w:vMerge w:val="continue"/>
            <w:tcBorders>
              <w:top w:val="nil"/>
            </w:tcBorders>
          </w:tcPr>
          <w:p w14:paraId="7C09BE64">
            <w:pPr>
              <w:rPr>
                <w:sz w:val="2"/>
                <w:szCs w:val="2"/>
              </w:rPr>
            </w:pPr>
          </w:p>
        </w:tc>
        <w:tc>
          <w:tcPr>
            <w:tcW w:w="825" w:type="dxa"/>
            <w:vMerge w:val="continue"/>
            <w:tcBorders>
              <w:top w:val="nil"/>
            </w:tcBorders>
          </w:tcPr>
          <w:p w14:paraId="6AF849DE">
            <w:pPr>
              <w:rPr>
                <w:sz w:val="2"/>
                <w:szCs w:val="2"/>
              </w:rPr>
            </w:pPr>
          </w:p>
        </w:tc>
        <w:tc>
          <w:tcPr>
            <w:tcW w:w="717" w:type="dxa"/>
            <w:vMerge w:val="continue"/>
            <w:tcBorders>
              <w:top w:val="nil"/>
            </w:tcBorders>
          </w:tcPr>
          <w:p w14:paraId="09FF6B1F">
            <w:pPr>
              <w:rPr>
                <w:sz w:val="2"/>
                <w:szCs w:val="2"/>
              </w:rPr>
            </w:pPr>
          </w:p>
        </w:tc>
        <w:tc>
          <w:tcPr>
            <w:tcW w:w="920" w:type="dxa"/>
            <w:vMerge w:val="continue"/>
            <w:tcBorders>
              <w:top w:val="nil"/>
            </w:tcBorders>
          </w:tcPr>
          <w:p w14:paraId="01C861B9">
            <w:pPr>
              <w:rPr>
                <w:sz w:val="2"/>
                <w:szCs w:val="2"/>
              </w:rPr>
            </w:pPr>
          </w:p>
        </w:tc>
        <w:tc>
          <w:tcPr>
            <w:tcW w:w="480" w:type="dxa"/>
            <w:vMerge w:val="continue"/>
            <w:tcBorders>
              <w:top w:val="nil"/>
            </w:tcBorders>
          </w:tcPr>
          <w:p w14:paraId="2A6FA651">
            <w:pPr>
              <w:rPr>
                <w:sz w:val="2"/>
                <w:szCs w:val="2"/>
              </w:rPr>
            </w:pPr>
          </w:p>
        </w:tc>
        <w:tc>
          <w:tcPr>
            <w:tcW w:w="748" w:type="dxa"/>
            <w:vMerge w:val="continue"/>
            <w:tcBorders>
              <w:top w:val="nil"/>
            </w:tcBorders>
          </w:tcPr>
          <w:p w14:paraId="3A2A8739">
            <w:pPr>
              <w:rPr>
                <w:sz w:val="2"/>
                <w:szCs w:val="2"/>
              </w:rPr>
            </w:pPr>
          </w:p>
        </w:tc>
        <w:tc>
          <w:tcPr>
            <w:tcW w:w="896" w:type="dxa"/>
          </w:tcPr>
          <w:p w14:paraId="60BD8FD3">
            <w:pPr>
              <w:pStyle w:val="17"/>
              <w:spacing w:before="43"/>
              <w:ind w:left="122" w:right="112"/>
              <w:rPr>
                <w:rFonts w:ascii="Times New Roman"/>
                <w:sz w:val="21"/>
              </w:rPr>
            </w:pPr>
            <w:r>
              <w:rPr>
                <w:rFonts w:ascii="Times New Roman"/>
                <w:position w:val="2"/>
                <w:sz w:val="21"/>
              </w:rPr>
              <w:t>BOD</w:t>
            </w:r>
            <w:r>
              <w:rPr>
                <w:rFonts w:ascii="Times New Roman"/>
                <w:position w:val="2"/>
                <w:sz w:val="21"/>
                <w:vertAlign w:val="subscript"/>
              </w:rPr>
              <w:t>5</w:t>
            </w:r>
          </w:p>
        </w:tc>
        <w:tc>
          <w:tcPr>
            <w:tcW w:w="1293" w:type="dxa"/>
            <w:tcBorders>
              <w:right w:val="nil"/>
            </w:tcBorders>
          </w:tcPr>
          <w:p w14:paraId="2252CFB6">
            <w:pPr>
              <w:pStyle w:val="17"/>
              <w:spacing w:before="47"/>
              <w:ind w:left="543"/>
              <w:jc w:val="left"/>
              <w:rPr>
                <w:rFonts w:ascii="Times New Roman"/>
                <w:sz w:val="21"/>
              </w:rPr>
            </w:pPr>
            <w:r>
              <w:rPr>
                <w:rFonts w:ascii="Times New Roman"/>
                <w:sz w:val="21"/>
              </w:rPr>
              <w:t>10</w:t>
            </w:r>
          </w:p>
        </w:tc>
      </w:tr>
      <w:tr w14:paraId="1676F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5" w:type="dxa"/>
            <w:vMerge w:val="continue"/>
            <w:tcBorders>
              <w:top w:val="nil"/>
              <w:left w:val="nil"/>
            </w:tcBorders>
          </w:tcPr>
          <w:p w14:paraId="3757C97B">
            <w:pPr>
              <w:rPr>
                <w:sz w:val="2"/>
                <w:szCs w:val="2"/>
              </w:rPr>
            </w:pPr>
          </w:p>
        </w:tc>
        <w:tc>
          <w:tcPr>
            <w:tcW w:w="735" w:type="dxa"/>
            <w:vMerge w:val="continue"/>
            <w:tcBorders>
              <w:top w:val="nil"/>
            </w:tcBorders>
          </w:tcPr>
          <w:p w14:paraId="37CE1188">
            <w:pPr>
              <w:rPr>
                <w:sz w:val="2"/>
                <w:szCs w:val="2"/>
              </w:rPr>
            </w:pPr>
          </w:p>
        </w:tc>
        <w:tc>
          <w:tcPr>
            <w:tcW w:w="555" w:type="dxa"/>
            <w:vMerge w:val="continue"/>
            <w:tcBorders>
              <w:top w:val="nil"/>
            </w:tcBorders>
          </w:tcPr>
          <w:p w14:paraId="0BFD56E3">
            <w:pPr>
              <w:rPr>
                <w:sz w:val="2"/>
                <w:szCs w:val="2"/>
              </w:rPr>
            </w:pPr>
          </w:p>
        </w:tc>
        <w:tc>
          <w:tcPr>
            <w:tcW w:w="690" w:type="dxa"/>
            <w:vMerge w:val="continue"/>
            <w:tcBorders>
              <w:top w:val="nil"/>
            </w:tcBorders>
          </w:tcPr>
          <w:p w14:paraId="0E2196B4">
            <w:pPr>
              <w:rPr>
                <w:sz w:val="2"/>
                <w:szCs w:val="2"/>
              </w:rPr>
            </w:pPr>
          </w:p>
        </w:tc>
        <w:tc>
          <w:tcPr>
            <w:tcW w:w="825" w:type="dxa"/>
            <w:vMerge w:val="continue"/>
            <w:tcBorders>
              <w:top w:val="nil"/>
            </w:tcBorders>
          </w:tcPr>
          <w:p w14:paraId="3468F0E7">
            <w:pPr>
              <w:rPr>
                <w:sz w:val="2"/>
                <w:szCs w:val="2"/>
              </w:rPr>
            </w:pPr>
          </w:p>
        </w:tc>
        <w:tc>
          <w:tcPr>
            <w:tcW w:w="717" w:type="dxa"/>
            <w:vMerge w:val="continue"/>
            <w:tcBorders>
              <w:top w:val="nil"/>
            </w:tcBorders>
          </w:tcPr>
          <w:p w14:paraId="71B163E8">
            <w:pPr>
              <w:rPr>
                <w:sz w:val="2"/>
                <w:szCs w:val="2"/>
              </w:rPr>
            </w:pPr>
          </w:p>
        </w:tc>
        <w:tc>
          <w:tcPr>
            <w:tcW w:w="920" w:type="dxa"/>
            <w:vMerge w:val="continue"/>
            <w:tcBorders>
              <w:top w:val="nil"/>
            </w:tcBorders>
          </w:tcPr>
          <w:p w14:paraId="7882F921">
            <w:pPr>
              <w:rPr>
                <w:sz w:val="2"/>
                <w:szCs w:val="2"/>
              </w:rPr>
            </w:pPr>
          </w:p>
        </w:tc>
        <w:tc>
          <w:tcPr>
            <w:tcW w:w="480" w:type="dxa"/>
            <w:vMerge w:val="continue"/>
            <w:tcBorders>
              <w:top w:val="nil"/>
            </w:tcBorders>
          </w:tcPr>
          <w:p w14:paraId="00DCE3B2">
            <w:pPr>
              <w:rPr>
                <w:sz w:val="2"/>
                <w:szCs w:val="2"/>
              </w:rPr>
            </w:pPr>
          </w:p>
        </w:tc>
        <w:tc>
          <w:tcPr>
            <w:tcW w:w="748" w:type="dxa"/>
            <w:vMerge w:val="continue"/>
            <w:tcBorders>
              <w:top w:val="nil"/>
            </w:tcBorders>
          </w:tcPr>
          <w:p w14:paraId="5D5925EB">
            <w:pPr>
              <w:rPr>
                <w:sz w:val="2"/>
                <w:szCs w:val="2"/>
              </w:rPr>
            </w:pPr>
          </w:p>
        </w:tc>
        <w:tc>
          <w:tcPr>
            <w:tcW w:w="896" w:type="dxa"/>
          </w:tcPr>
          <w:p w14:paraId="22383C18">
            <w:pPr>
              <w:pStyle w:val="17"/>
              <w:spacing w:before="21"/>
              <w:ind w:left="122" w:right="116"/>
              <w:rPr>
                <w:sz w:val="21"/>
              </w:rPr>
            </w:pPr>
            <w:r>
              <w:rPr>
                <w:sz w:val="21"/>
              </w:rPr>
              <w:t>氨氮</w:t>
            </w:r>
          </w:p>
        </w:tc>
        <w:tc>
          <w:tcPr>
            <w:tcW w:w="1293" w:type="dxa"/>
            <w:tcBorders>
              <w:right w:val="nil"/>
            </w:tcBorders>
          </w:tcPr>
          <w:p w14:paraId="7B28199B">
            <w:pPr>
              <w:pStyle w:val="17"/>
              <w:spacing w:before="35"/>
              <w:ind w:left="596"/>
              <w:jc w:val="left"/>
              <w:rPr>
                <w:rFonts w:ascii="Times New Roman"/>
                <w:sz w:val="21"/>
              </w:rPr>
            </w:pPr>
            <w:r>
              <w:rPr>
                <w:rFonts w:ascii="Times New Roman"/>
                <w:w w:val="99"/>
                <w:sz w:val="21"/>
              </w:rPr>
              <w:t>5</w:t>
            </w:r>
          </w:p>
        </w:tc>
      </w:tr>
      <w:tr w14:paraId="3EE4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5" w:type="dxa"/>
            <w:vMerge w:val="continue"/>
            <w:tcBorders>
              <w:top w:val="nil"/>
              <w:left w:val="nil"/>
            </w:tcBorders>
          </w:tcPr>
          <w:p w14:paraId="118A71E2">
            <w:pPr>
              <w:rPr>
                <w:sz w:val="2"/>
                <w:szCs w:val="2"/>
              </w:rPr>
            </w:pPr>
          </w:p>
        </w:tc>
        <w:tc>
          <w:tcPr>
            <w:tcW w:w="735" w:type="dxa"/>
            <w:vMerge w:val="continue"/>
            <w:tcBorders>
              <w:top w:val="nil"/>
            </w:tcBorders>
          </w:tcPr>
          <w:p w14:paraId="312B3731">
            <w:pPr>
              <w:rPr>
                <w:sz w:val="2"/>
                <w:szCs w:val="2"/>
              </w:rPr>
            </w:pPr>
          </w:p>
        </w:tc>
        <w:tc>
          <w:tcPr>
            <w:tcW w:w="555" w:type="dxa"/>
            <w:vMerge w:val="continue"/>
            <w:tcBorders>
              <w:top w:val="nil"/>
            </w:tcBorders>
          </w:tcPr>
          <w:p w14:paraId="206709B2">
            <w:pPr>
              <w:rPr>
                <w:sz w:val="2"/>
                <w:szCs w:val="2"/>
              </w:rPr>
            </w:pPr>
          </w:p>
        </w:tc>
        <w:tc>
          <w:tcPr>
            <w:tcW w:w="690" w:type="dxa"/>
            <w:vMerge w:val="continue"/>
            <w:tcBorders>
              <w:top w:val="nil"/>
            </w:tcBorders>
          </w:tcPr>
          <w:p w14:paraId="63FBCB40">
            <w:pPr>
              <w:rPr>
                <w:sz w:val="2"/>
                <w:szCs w:val="2"/>
              </w:rPr>
            </w:pPr>
          </w:p>
        </w:tc>
        <w:tc>
          <w:tcPr>
            <w:tcW w:w="825" w:type="dxa"/>
            <w:vMerge w:val="continue"/>
            <w:tcBorders>
              <w:top w:val="nil"/>
            </w:tcBorders>
          </w:tcPr>
          <w:p w14:paraId="0CF3AAB0">
            <w:pPr>
              <w:rPr>
                <w:sz w:val="2"/>
                <w:szCs w:val="2"/>
              </w:rPr>
            </w:pPr>
          </w:p>
        </w:tc>
        <w:tc>
          <w:tcPr>
            <w:tcW w:w="717" w:type="dxa"/>
            <w:vMerge w:val="continue"/>
            <w:tcBorders>
              <w:top w:val="nil"/>
            </w:tcBorders>
          </w:tcPr>
          <w:p w14:paraId="4ED1A1E4">
            <w:pPr>
              <w:rPr>
                <w:sz w:val="2"/>
                <w:szCs w:val="2"/>
              </w:rPr>
            </w:pPr>
          </w:p>
        </w:tc>
        <w:tc>
          <w:tcPr>
            <w:tcW w:w="920" w:type="dxa"/>
            <w:vMerge w:val="continue"/>
            <w:tcBorders>
              <w:top w:val="nil"/>
            </w:tcBorders>
          </w:tcPr>
          <w:p w14:paraId="447B6676">
            <w:pPr>
              <w:rPr>
                <w:sz w:val="2"/>
                <w:szCs w:val="2"/>
              </w:rPr>
            </w:pPr>
          </w:p>
        </w:tc>
        <w:tc>
          <w:tcPr>
            <w:tcW w:w="480" w:type="dxa"/>
            <w:vMerge w:val="continue"/>
            <w:tcBorders>
              <w:top w:val="nil"/>
            </w:tcBorders>
          </w:tcPr>
          <w:p w14:paraId="60B19E8F">
            <w:pPr>
              <w:rPr>
                <w:sz w:val="2"/>
                <w:szCs w:val="2"/>
              </w:rPr>
            </w:pPr>
          </w:p>
        </w:tc>
        <w:tc>
          <w:tcPr>
            <w:tcW w:w="748" w:type="dxa"/>
            <w:vMerge w:val="continue"/>
            <w:tcBorders>
              <w:top w:val="nil"/>
            </w:tcBorders>
          </w:tcPr>
          <w:p w14:paraId="05A8E2D9">
            <w:pPr>
              <w:rPr>
                <w:sz w:val="2"/>
                <w:szCs w:val="2"/>
              </w:rPr>
            </w:pPr>
          </w:p>
        </w:tc>
        <w:tc>
          <w:tcPr>
            <w:tcW w:w="896" w:type="dxa"/>
          </w:tcPr>
          <w:p w14:paraId="339ADA86">
            <w:pPr>
              <w:pStyle w:val="17"/>
              <w:spacing w:before="34"/>
              <w:ind w:left="122" w:right="115"/>
              <w:rPr>
                <w:rFonts w:ascii="Times New Roman"/>
                <w:sz w:val="21"/>
              </w:rPr>
            </w:pPr>
            <w:r>
              <w:rPr>
                <w:rFonts w:ascii="Times New Roman"/>
                <w:sz w:val="21"/>
              </w:rPr>
              <w:t>SS</w:t>
            </w:r>
          </w:p>
        </w:tc>
        <w:tc>
          <w:tcPr>
            <w:tcW w:w="1293" w:type="dxa"/>
            <w:tcBorders>
              <w:right w:val="nil"/>
            </w:tcBorders>
          </w:tcPr>
          <w:p w14:paraId="09CC3250">
            <w:pPr>
              <w:pStyle w:val="17"/>
              <w:spacing w:before="34"/>
              <w:ind w:left="543"/>
              <w:jc w:val="left"/>
              <w:rPr>
                <w:rFonts w:ascii="Times New Roman"/>
                <w:sz w:val="21"/>
              </w:rPr>
            </w:pPr>
            <w:r>
              <w:rPr>
                <w:rFonts w:ascii="Times New Roman"/>
                <w:sz w:val="21"/>
              </w:rPr>
              <w:t>10</w:t>
            </w:r>
          </w:p>
        </w:tc>
      </w:tr>
    </w:tbl>
    <w:p w14:paraId="602FD0B5">
      <w:pPr>
        <w:pStyle w:val="9"/>
        <w:spacing w:before="79"/>
        <w:ind w:left="1100" w:right="1220"/>
        <w:jc w:val="center"/>
      </w:pPr>
      <w:r>
        <w:rPr>
          <w:spacing w:val="-32"/>
        </w:rPr>
        <w:t xml:space="preserve">表 </w:t>
      </w:r>
      <w:r>
        <w:rPr>
          <w:rFonts w:ascii="Times New Roman" w:eastAsia="Times New Roman"/>
        </w:rPr>
        <w:t>4.2-4</w:t>
      </w:r>
      <w:r>
        <w:rPr>
          <w:rFonts w:ascii="Times New Roman" w:eastAsia="Times New Roman"/>
          <w:spacing w:val="55"/>
        </w:rPr>
        <w:t xml:space="preserve"> </w:t>
      </w:r>
      <w:r>
        <w:t>项目废水污染物排放执行情况表</w:t>
      </w:r>
    </w:p>
    <w:p w14:paraId="7AE83ED4">
      <w:pPr>
        <w:pStyle w:val="10"/>
        <w:spacing w:before="5"/>
        <w:rPr>
          <w:b/>
          <w:sz w:val="6"/>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81"/>
        <w:gridCol w:w="823"/>
        <w:gridCol w:w="1838"/>
        <w:gridCol w:w="1515"/>
        <w:gridCol w:w="1943"/>
        <w:gridCol w:w="1094"/>
      </w:tblGrid>
      <w:tr w14:paraId="2599C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restart"/>
            <w:tcBorders>
              <w:left w:val="nil"/>
            </w:tcBorders>
          </w:tcPr>
          <w:p w14:paraId="169832AD">
            <w:pPr>
              <w:pStyle w:val="17"/>
              <w:spacing w:before="8"/>
              <w:jc w:val="left"/>
              <w:rPr>
                <w:b/>
                <w:sz w:val="26"/>
              </w:rPr>
            </w:pPr>
          </w:p>
          <w:p w14:paraId="1F478EAC">
            <w:pPr>
              <w:pStyle w:val="17"/>
              <w:spacing w:line="278" w:lineRule="auto"/>
              <w:ind w:left="111" w:right="98"/>
              <w:jc w:val="left"/>
              <w:rPr>
                <w:sz w:val="21"/>
              </w:rPr>
            </w:pPr>
            <w:r>
              <w:rPr>
                <w:sz w:val="21"/>
              </w:rPr>
              <w:t>序号</w:t>
            </w:r>
          </w:p>
        </w:tc>
        <w:tc>
          <w:tcPr>
            <w:tcW w:w="881" w:type="dxa"/>
            <w:vMerge w:val="restart"/>
          </w:tcPr>
          <w:p w14:paraId="2AD0ECEE">
            <w:pPr>
              <w:pStyle w:val="17"/>
              <w:spacing w:before="8"/>
              <w:jc w:val="left"/>
              <w:rPr>
                <w:b/>
                <w:sz w:val="26"/>
              </w:rPr>
            </w:pPr>
          </w:p>
          <w:p w14:paraId="4A30B99D">
            <w:pPr>
              <w:pStyle w:val="17"/>
              <w:spacing w:line="278" w:lineRule="auto"/>
              <w:ind w:left="230" w:right="115" w:hanging="106"/>
              <w:jc w:val="left"/>
              <w:rPr>
                <w:sz w:val="21"/>
              </w:rPr>
            </w:pPr>
            <w:r>
              <w:rPr>
                <w:sz w:val="21"/>
              </w:rPr>
              <w:t>排放口编号</w:t>
            </w:r>
          </w:p>
        </w:tc>
        <w:tc>
          <w:tcPr>
            <w:tcW w:w="823" w:type="dxa"/>
            <w:vMerge w:val="restart"/>
          </w:tcPr>
          <w:p w14:paraId="23CF02F7">
            <w:pPr>
              <w:pStyle w:val="17"/>
              <w:spacing w:before="6"/>
              <w:jc w:val="left"/>
              <w:rPr>
                <w:b/>
                <w:sz w:val="14"/>
              </w:rPr>
            </w:pPr>
          </w:p>
          <w:p w14:paraId="7B775C6E">
            <w:pPr>
              <w:pStyle w:val="17"/>
              <w:spacing w:line="278" w:lineRule="auto"/>
              <w:ind w:left="201" w:right="191"/>
              <w:jc w:val="both"/>
              <w:rPr>
                <w:sz w:val="21"/>
              </w:rPr>
            </w:pPr>
            <w:r>
              <w:rPr>
                <w:w w:val="95"/>
                <w:sz w:val="21"/>
              </w:rPr>
              <w:t>污染物种</w:t>
            </w:r>
            <w:r>
              <w:rPr>
                <w:sz w:val="21"/>
              </w:rPr>
              <w:t>类</w:t>
            </w:r>
          </w:p>
        </w:tc>
        <w:tc>
          <w:tcPr>
            <w:tcW w:w="6390" w:type="dxa"/>
            <w:gridSpan w:val="4"/>
            <w:tcBorders>
              <w:right w:val="nil"/>
            </w:tcBorders>
          </w:tcPr>
          <w:p w14:paraId="6A5F48BE">
            <w:pPr>
              <w:pStyle w:val="17"/>
              <w:spacing w:before="20"/>
              <w:ind w:left="568"/>
              <w:jc w:val="left"/>
              <w:rPr>
                <w:sz w:val="21"/>
              </w:rPr>
            </w:pPr>
            <w:r>
              <w:rPr>
                <w:sz w:val="21"/>
              </w:rPr>
              <w:t>国家或地方污染物排放标准及其他按规定商定的排放协议</w:t>
            </w:r>
          </w:p>
        </w:tc>
      </w:tr>
      <w:tr w14:paraId="69C47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continue"/>
            <w:tcBorders>
              <w:top w:val="nil"/>
              <w:left w:val="nil"/>
            </w:tcBorders>
          </w:tcPr>
          <w:p w14:paraId="0A243350">
            <w:pPr>
              <w:rPr>
                <w:sz w:val="2"/>
                <w:szCs w:val="2"/>
              </w:rPr>
            </w:pPr>
          </w:p>
        </w:tc>
        <w:tc>
          <w:tcPr>
            <w:tcW w:w="881" w:type="dxa"/>
            <w:vMerge w:val="continue"/>
            <w:tcBorders>
              <w:top w:val="nil"/>
            </w:tcBorders>
          </w:tcPr>
          <w:p w14:paraId="209E248F">
            <w:pPr>
              <w:rPr>
                <w:sz w:val="2"/>
                <w:szCs w:val="2"/>
              </w:rPr>
            </w:pPr>
          </w:p>
        </w:tc>
        <w:tc>
          <w:tcPr>
            <w:tcW w:w="823" w:type="dxa"/>
            <w:vMerge w:val="continue"/>
            <w:tcBorders>
              <w:top w:val="nil"/>
            </w:tcBorders>
          </w:tcPr>
          <w:p w14:paraId="1D3B1E55">
            <w:pPr>
              <w:rPr>
                <w:sz w:val="2"/>
                <w:szCs w:val="2"/>
              </w:rPr>
            </w:pPr>
          </w:p>
        </w:tc>
        <w:tc>
          <w:tcPr>
            <w:tcW w:w="3353" w:type="dxa"/>
            <w:gridSpan w:val="2"/>
          </w:tcPr>
          <w:p w14:paraId="24FD7944">
            <w:pPr>
              <w:pStyle w:val="17"/>
              <w:spacing w:before="19"/>
              <w:ind w:left="520"/>
              <w:jc w:val="left"/>
              <w:rPr>
                <w:sz w:val="21"/>
              </w:rPr>
            </w:pPr>
            <w:r>
              <w:rPr>
                <w:sz w:val="21"/>
              </w:rPr>
              <w:t>厂区污水排放口排放标准</w:t>
            </w:r>
          </w:p>
        </w:tc>
        <w:tc>
          <w:tcPr>
            <w:tcW w:w="3037" w:type="dxa"/>
            <w:gridSpan w:val="2"/>
            <w:tcBorders>
              <w:right w:val="nil"/>
            </w:tcBorders>
          </w:tcPr>
          <w:p w14:paraId="3123AB4A">
            <w:pPr>
              <w:pStyle w:val="17"/>
              <w:spacing w:before="19"/>
              <w:ind w:left="573"/>
              <w:jc w:val="left"/>
              <w:rPr>
                <w:sz w:val="21"/>
              </w:rPr>
            </w:pPr>
            <w:r>
              <w:rPr>
                <w:sz w:val="21"/>
              </w:rPr>
              <w:t>污水处理厂排放标准</w:t>
            </w:r>
          </w:p>
        </w:tc>
      </w:tr>
      <w:tr w14:paraId="792D4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vMerge w:val="continue"/>
            <w:tcBorders>
              <w:top w:val="nil"/>
              <w:left w:val="nil"/>
            </w:tcBorders>
          </w:tcPr>
          <w:p w14:paraId="5F923CBC">
            <w:pPr>
              <w:rPr>
                <w:sz w:val="2"/>
                <w:szCs w:val="2"/>
              </w:rPr>
            </w:pPr>
          </w:p>
        </w:tc>
        <w:tc>
          <w:tcPr>
            <w:tcW w:w="881" w:type="dxa"/>
            <w:vMerge w:val="continue"/>
            <w:tcBorders>
              <w:top w:val="nil"/>
            </w:tcBorders>
          </w:tcPr>
          <w:p w14:paraId="6A3C8C61">
            <w:pPr>
              <w:rPr>
                <w:sz w:val="2"/>
                <w:szCs w:val="2"/>
              </w:rPr>
            </w:pPr>
          </w:p>
        </w:tc>
        <w:tc>
          <w:tcPr>
            <w:tcW w:w="823" w:type="dxa"/>
            <w:vMerge w:val="continue"/>
            <w:tcBorders>
              <w:top w:val="nil"/>
            </w:tcBorders>
          </w:tcPr>
          <w:p w14:paraId="79A381ED">
            <w:pPr>
              <w:rPr>
                <w:sz w:val="2"/>
                <w:szCs w:val="2"/>
              </w:rPr>
            </w:pPr>
          </w:p>
        </w:tc>
        <w:tc>
          <w:tcPr>
            <w:tcW w:w="1838" w:type="dxa"/>
          </w:tcPr>
          <w:p w14:paraId="04BAFCB1">
            <w:pPr>
              <w:pStyle w:val="17"/>
              <w:spacing w:before="175"/>
              <w:ind w:left="159" w:right="154"/>
              <w:rPr>
                <w:sz w:val="21"/>
              </w:rPr>
            </w:pPr>
            <w:r>
              <w:rPr>
                <w:sz w:val="21"/>
              </w:rPr>
              <w:t>名称</w:t>
            </w:r>
          </w:p>
        </w:tc>
        <w:tc>
          <w:tcPr>
            <w:tcW w:w="1515" w:type="dxa"/>
          </w:tcPr>
          <w:p w14:paraId="757F9BBC">
            <w:pPr>
              <w:pStyle w:val="17"/>
              <w:spacing w:before="175"/>
              <w:ind w:left="93" w:right="88"/>
              <w:rPr>
                <w:sz w:val="21"/>
              </w:rPr>
            </w:pPr>
            <w:r>
              <w:rPr>
                <w:sz w:val="21"/>
              </w:rPr>
              <w:t>浓度限值</w:t>
            </w:r>
          </w:p>
        </w:tc>
        <w:tc>
          <w:tcPr>
            <w:tcW w:w="1943" w:type="dxa"/>
          </w:tcPr>
          <w:p w14:paraId="13BC3FF7">
            <w:pPr>
              <w:pStyle w:val="17"/>
              <w:spacing w:before="175"/>
              <w:ind w:left="84" w:right="79"/>
              <w:rPr>
                <w:sz w:val="21"/>
              </w:rPr>
            </w:pPr>
            <w:r>
              <w:rPr>
                <w:sz w:val="21"/>
              </w:rPr>
              <w:t>名称</w:t>
            </w:r>
          </w:p>
        </w:tc>
        <w:tc>
          <w:tcPr>
            <w:tcW w:w="1094" w:type="dxa"/>
            <w:tcBorders>
              <w:right w:val="nil"/>
            </w:tcBorders>
          </w:tcPr>
          <w:p w14:paraId="33096AAB">
            <w:pPr>
              <w:pStyle w:val="17"/>
              <w:spacing w:before="19"/>
              <w:ind w:left="125"/>
              <w:jc w:val="left"/>
              <w:rPr>
                <w:sz w:val="21"/>
              </w:rPr>
            </w:pPr>
            <w:r>
              <w:rPr>
                <w:sz w:val="21"/>
              </w:rPr>
              <w:t>浓度限值</w:t>
            </w:r>
          </w:p>
          <w:p w14:paraId="7ACFE09D">
            <w:pPr>
              <w:pStyle w:val="17"/>
              <w:spacing w:before="43"/>
              <w:ind w:left="108"/>
              <w:jc w:val="left"/>
              <w:rPr>
                <w:sz w:val="21"/>
              </w:rPr>
            </w:pPr>
            <w:r>
              <w:rPr>
                <w:rFonts w:ascii="Times New Roman" w:eastAsia="Times New Roman"/>
                <w:sz w:val="21"/>
              </w:rPr>
              <w:t>/</w:t>
            </w:r>
            <w:r>
              <w:rPr>
                <w:sz w:val="21"/>
              </w:rPr>
              <w:t>（</w:t>
            </w:r>
            <w:r>
              <w:rPr>
                <w:rFonts w:ascii="Times New Roman" w:eastAsia="Times New Roman"/>
                <w:sz w:val="21"/>
              </w:rPr>
              <w:t>mg/L</w:t>
            </w:r>
            <w:r>
              <w:rPr>
                <w:sz w:val="21"/>
              </w:rPr>
              <w:t>）</w:t>
            </w:r>
          </w:p>
        </w:tc>
      </w:tr>
      <w:tr w14:paraId="5764B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6" w:type="dxa"/>
            <w:tcBorders>
              <w:left w:val="nil"/>
            </w:tcBorders>
          </w:tcPr>
          <w:p w14:paraId="450F02CD">
            <w:pPr>
              <w:pStyle w:val="17"/>
              <w:spacing w:before="35"/>
              <w:ind w:left="12"/>
              <w:rPr>
                <w:rFonts w:ascii="Times New Roman"/>
                <w:sz w:val="21"/>
              </w:rPr>
            </w:pPr>
            <w:r>
              <w:rPr>
                <w:rFonts w:ascii="Times New Roman"/>
                <w:w w:val="99"/>
                <w:sz w:val="21"/>
              </w:rPr>
              <w:t>1</w:t>
            </w:r>
          </w:p>
        </w:tc>
        <w:tc>
          <w:tcPr>
            <w:tcW w:w="881" w:type="dxa"/>
          </w:tcPr>
          <w:p w14:paraId="0BC58929">
            <w:pPr>
              <w:pStyle w:val="17"/>
              <w:spacing w:before="35"/>
              <w:ind w:left="107"/>
              <w:jc w:val="left"/>
              <w:rPr>
                <w:rFonts w:ascii="Times New Roman"/>
                <w:sz w:val="21"/>
              </w:rPr>
            </w:pPr>
            <w:r>
              <w:rPr>
                <w:rFonts w:ascii="Times New Roman"/>
                <w:sz w:val="21"/>
              </w:rPr>
              <w:t>DW001</w:t>
            </w:r>
          </w:p>
        </w:tc>
        <w:tc>
          <w:tcPr>
            <w:tcW w:w="823" w:type="dxa"/>
          </w:tcPr>
          <w:p w14:paraId="3178D90F">
            <w:pPr>
              <w:pStyle w:val="17"/>
              <w:spacing w:before="35"/>
              <w:ind w:left="107"/>
              <w:jc w:val="left"/>
              <w:rPr>
                <w:rFonts w:ascii="Times New Roman"/>
                <w:sz w:val="21"/>
              </w:rPr>
            </w:pPr>
            <w:r>
              <w:rPr>
                <w:rFonts w:ascii="Times New Roman"/>
                <w:sz w:val="21"/>
              </w:rPr>
              <w:t>CODcr</w:t>
            </w:r>
          </w:p>
        </w:tc>
        <w:tc>
          <w:tcPr>
            <w:tcW w:w="1838" w:type="dxa"/>
          </w:tcPr>
          <w:p w14:paraId="245F4D16">
            <w:pPr>
              <w:pStyle w:val="17"/>
              <w:spacing w:before="21"/>
              <w:ind w:left="164" w:right="154"/>
              <w:rPr>
                <w:sz w:val="21"/>
              </w:rPr>
            </w:pPr>
            <w:r>
              <w:rPr>
                <w:sz w:val="21"/>
              </w:rPr>
              <w:t>《污水综合排放</w:t>
            </w:r>
          </w:p>
        </w:tc>
        <w:tc>
          <w:tcPr>
            <w:tcW w:w="1515" w:type="dxa"/>
          </w:tcPr>
          <w:p w14:paraId="1D15BDF4">
            <w:pPr>
              <w:pStyle w:val="17"/>
              <w:spacing w:before="35"/>
              <w:ind w:left="99" w:right="88"/>
              <w:rPr>
                <w:rFonts w:ascii="Times New Roman"/>
                <w:sz w:val="21"/>
              </w:rPr>
            </w:pPr>
            <w:r>
              <w:rPr>
                <w:rFonts w:ascii="Times New Roman"/>
                <w:sz w:val="21"/>
              </w:rPr>
              <w:t>320</w:t>
            </w:r>
          </w:p>
        </w:tc>
        <w:tc>
          <w:tcPr>
            <w:tcW w:w="1943" w:type="dxa"/>
          </w:tcPr>
          <w:p w14:paraId="23E6C2C0">
            <w:pPr>
              <w:pStyle w:val="17"/>
              <w:spacing w:before="21"/>
              <w:ind w:left="87" w:right="79"/>
              <w:rPr>
                <w:sz w:val="21"/>
              </w:rPr>
            </w:pPr>
            <w:r>
              <w:rPr>
                <w:sz w:val="21"/>
              </w:rPr>
              <w:t>《城镇污水处理厂</w:t>
            </w:r>
          </w:p>
        </w:tc>
        <w:tc>
          <w:tcPr>
            <w:tcW w:w="1094" w:type="dxa"/>
            <w:tcBorders>
              <w:right w:val="nil"/>
            </w:tcBorders>
          </w:tcPr>
          <w:p w14:paraId="19956972">
            <w:pPr>
              <w:pStyle w:val="17"/>
              <w:spacing w:before="35"/>
              <w:ind w:left="422" w:right="417"/>
              <w:rPr>
                <w:rFonts w:ascii="Times New Roman"/>
                <w:sz w:val="21"/>
              </w:rPr>
            </w:pPr>
            <w:r>
              <w:rPr>
                <w:rFonts w:ascii="Times New Roman"/>
                <w:sz w:val="21"/>
              </w:rPr>
              <w:t>50</w:t>
            </w:r>
          </w:p>
        </w:tc>
      </w:tr>
    </w:tbl>
    <w:p w14:paraId="322777E5">
      <w:pPr>
        <w:spacing w:after="0"/>
        <w:rPr>
          <w:rFonts w:ascii="Times New Roman"/>
          <w:sz w:val="21"/>
        </w:rPr>
        <w:sectPr>
          <w:pgSz w:w="11910" w:h="16840"/>
          <w:pgMar w:top="1360" w:right="1060" w:bottom="1380" w:left="1180" w:header="0" w:footer="1192" w:gutter="0"/>
          <w:cols w:space="720" w:num="1"/>
        </w:sect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81"/>
        <w:gridCol w:w="823"/>
        <w:gridCol w:w="1838"/>
        <w:gridCol w:w="1515"/>
        <w:gridCol w:w="1943"/>
        <w:gridCol w:w="1094"/>
      </w:tblGrid>
      <w:tr w14:paraId="2511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6" w:type="dxa"/>
            <w:vMerge w:val="restart"/>
            <w:tcBorders>
              <w:left w:val="nil"/>
            </w:tcBorders>
          </w:tcPr>
          <w:p w14:paraId="67BE85F8">
            <w:pPr>
              <w:pStyle w:val="17"/>
              <w:jc w:val="left"/>
              <w:rPr>
                <w:rFonts w:ascii="Times New Roman"/>
                <w:sz w:val="22"/>
              </w:rPr>
            </w:pPr>
          </w:p>
        </w:tc>
        <w:tc>
          <w:tcPr>
            <w:tcW w:w="881" w:type="dxa"/>
            <w:vMerge w:val="restart"/>
          </w:tcPr>
          <w:p w14:paraId="415E49AE">
            <w:pPr>
              <w:pStyle w:val="17"/>
              <w:jc w:val="left"/>
              <w:rPr>
                <w:rFonts w:ascii="Times New Roman"/>
                <w:sz w:val="22"/>
              </w:rPr>
            </w:pPr>
          </w:p>
        </w:tc>
        <w:tc>
          <w:tcPr>
            <w:tcW w:w="823" w:type="dxa"/>
          </w:tcPr>
          <w:p w14:paraId="76336583">
            <w:pPr>
              <w:pStyle w:val="17"/>
              <w:spacing w:before="32" w:line="260" w:lineRule="exact"/>
              <w:ind w:right="142"/>
              <w:jc w:val="right"/>
              <w:rPr>
                <w:rFonts w:ascii="Times New Roman"/>
                <w:sz w:val="21"/>
              </w:rPr>
            </w:pPr>
            <w:r>
              <w:rPr>
                <w:rFonts w:ascii="Times New Roman"/>
                <w:position w:val="2"/>
                <w:sz w:val="21"/>
              </w:rPr>
              <w:t>BOD</w:t>
            </w:r>
            <w:r>
              <w:rPr>
                <w:rFonts w:ascii="Times New Roman"/>
                <w:position w:val="2"/>
                <w:sz w:val="21"/>
                <w:vertAlign w:val="subscript"/>
              </w:rPr>
              <w:t>5</w:t>
            </w:r>
          </w:p>
        </w:tc>
        <w:tc>
          <w:tcPr>
            <w:tcW w:w="1838" w:type="dxa"/>
            <w:vMerge w:val="restart"/>
          </w:tcPr>
          <w:p w14:paraId="66ABCADB">
            <w:pPr>
              <w:pStyle w:val="17"/>
              <w:spacing w:before="21"/>
              <w:ind w:left="604"/>
              <w:jc w:val="left"/>
              <w:rPr>
                <w:sz w:val="21"/>
              </w:rPr>
            </w:pPr>
            <w:r>
              <w:rPr>
                <w:sz w:val="21"/>
              </w:rPr>
              <w:t>标准》</w:t>
            </w:r>
          </w:p>
          <w:p w14:paraId="1A841919">
            <w:pPr>
              <w:pStyle w:val="17"/>
              <w:spacing w:before="43"/>
              <w:ind w:left="107"/>
              <w:jc w:val="left"/>
              <w:rPr>
                <w:sz w:val="21"/>
              </w:rPr>
            </w:pPr>
            <w:r>
              <w:rPr>
                <w:sz w:val="21"/>
              </w:rPr>
              <w:t>（</w:t>
            </w:r>
            <w:r>
              <w:rPr>
                <w:rFonts w:ascii="Times New Roman" w:eastAsia="Times New Roman"/>
                <w:sz w:val="21"/>
              </w:rPr>
              <w:t>GB8978-1996</w:t>
            </w:r>
            <w:r>
              <w:rPr>
                <w:sz w:val="21"/>
              </w:rPr>
              <w:t>）</w:t>
            </w:r>
          </w:p>
          <w:p w14:paraId="6C04F95B">
            <w:pPr>
              <w:pStyle w:val="17"/>
              <w:spacing w:before="2" w:line="310" w:lineRule="atLeast"/>
              <w:ind w:left="184" w:right="172"/>
              <w:jc w:val="both"/>
              <w:rPr>
                <w:sz w:val="21"/>
              </w:rPr>
            </w:pPr>
            <w:r>
              <w:rPr>
                <w:w w:val="95"/>
                <w:sz w:val="21"/>
              </w:rPr>
              <w:t>三级标准及汨罗市城市污水处理厂进水水质标准</w:t>
            </w:r>
          </w:p>
        </w:tc>
        <w:tc>
          <w:tcPr>
            <w:tcW w:w="1515" w:type="dxa"/>
          </w:tcPr>
          <w:p w14:paraId="11872107">
            <w:pPr>
              <w:pStyle w:val="17"/>
              <w:spacing w:before="35"/>
              <w:ind w:left="600"/>
              <w:jc w:val="left"/>
              <w:rPr>
                <w:rFonts w:ascii="Times New Roman"/>
                <w:sz w:val="21"/>
              </w:rPr>
            </w:pPr>
            <w:r>
              <w:rPr>
                <w:rFonts w:ascii="Times New Roman"/>
                <w:sz w:val="21"/>
              </w:rPr>
              <w:t>160</w:t>
            </w:r>
          </w:p>
        </w:tc>
        <w:tc>
          <w:tcPr>
            <w:tcW w:w="1943" w:type="dxa"/>
            <w:vMerge w:val="restart"/>
          </w:tcPr>
          <w:p w14:paraId="3A2D4C88">
            <w:pPr>
              <w:pStyle w:val="17"/>
              <w:spacing w:before="21"/>
              <w:ind w:left="131"/>
              <w:jc w:val="left"/>
              <w:rPr>
                <w:sz w:val="21"/>
              </w:rPr>
            </w:pPr>
            <w:r>
              <w:rPr>
                <w:w w:val="95"/>
                <w:sz w:val="21"/>
              </w:rPr>
              <w:t>污染物排放标准》</w:t>
            </w:r>
          </w:p>
          <w:p w14:paraId="1FA519DB">
            <w:pPr>
              <w:pStyle w:val="17"/>
              <w:spacing w:before="43"/>
              <w:ind w:left="87" w:right="79"/>
              <w:rPr>
                <w:sz w:val="21"/>
              </w:rPr>
            </w:pPr>
            <w:r>
              <w:rPr>
                <w:sz w:val="21"/>
              </w:rPr>
              <w:t>（</w:t>
            </w:r>
            <w:r>
              <w:rPr>
                <w:rFonts w:ascii="Times New Roman" w:eastAsia="Times New Roman"/>
                <w:sz w:val="21"/>
              </w:rPr>
              <w:t>GB18918-2002</w:t>
            </w:r>
            <w:r>
              <w:rPr>
                <w:sz w:val="21"/>
              </w:rPr>
              <w:t>）</w:t>
            </w:r>
          </w:p>
          <w:p w14:paraId="039570FE">
            <w:pPr>
              <w:pStyle w:val="17"/>
              <w:spacing w:before="43"/>
              <w:ind w:left="84" w:right="79"/>
              <w:rPr>
                <w:sz w:val="21"/>
              </w:rPr>
            </w:pPr>
            <w:r>
              <w:rPr>
                <w:sz w:val="21"/>
              </w:rPr>
              <w:t xml:space="preserve">一级 </w:t>
            </w:r>
            <w:r>
              <w:rPr>
                <w:rFonts w:ascii="Times New Roman" w:eastAsia="Times New Roman"/>
                <w:sz w:val="21"/>
              </w:rPr>
              <w:t xml:space="preserve">A </w:t>
            </w:r>
            <w:r>
              <w:rPr>
                <w:sz w:val="21"/>
              </w:rPr>
              <w:t>排放标准</w:t>
            </w:r>
          </w:p>
        </w:tc>
        <w:tc>
          <w:tcPr>
            <w:tcW w:w="1094" w:type="dxa"/>
            <w:tcBorders>
              <w:right w:val="nil"/>
            </w:tcBorders>
          </w:tcPr>
          <w:p w14:paraId="705BA309">
            <w:pPr>
              <w:pStyle w:val="17"/>
              <w:spacing w:before="35"/>
              <w:ind w:left="422" w:right="417"/>
              <w:rPr>
                <w:rFonts w:ascii="Times New Roman"/>
                <w:sz w:val="21"/>
              </w:rPr>
            </w:pPr>
            <w:r>
              <w:rPr>
                <w:rFonts w:ascii="Times New Roman"/>
                <w:sz w:val="21"/>
              </w:rPr>
              <w:t>10</w:t>
            </w:r>
          </w:p>
        </w:tc>
      </w:tr>
      <w:tr w14:paraId="63162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26" w:type="dxa"/>
            <w:vMerge w:val="continue"/>
            <w:tcBorders>
              <w:top w:val="nil"/>
              <w:left w:val="nil"/>
            </w:tcBorders>
          </w:tcPr>
          <w:p w14:paraId="1E9816DA">
            <w:pPr>
              <w:rPr>
                <w:sz w:val="2"/>
                <w:szCs w:val="2"/>
              </w:rPr>
            </w:pPr>
          </w:p>
        </w:tc>
        <w:tc>
          <w:tcPr>
            <w:tcW w:w="881" w:type="dxa"/>
            <w:vMerge w:val="continue"/>
            <w:tcBorders>
              <w:top w:val="nil"/>
            </w:tcBorders>
          </w:tcPr>
          <w:p w14:paraId="28C19E2B">
            <w:pPr>
              <w:rPr>
                <w:sz w:val="2"/>
                <w:szCs w:val="2"/>
              </w:rPr>
            </w:pPr>
          </w:p>
        </w:tc>
        <w:tc>
          <w:tcPr>
            <w:tcW w:w="823" w:type="dxa"/>
          </w:tcPr>
          <w:p w14:paraId="25795935">
            <w:pPr>
              <w:pStyle w:val="17"/>
              <w:spacing w:before="20"/>
              <w:ind w:right="191"/>
              <w:jc w:val="right"/>
              <w:rPr>
                <w:sz w:val="21"/>
              </w:rPr>
            </w:pPr>
            <w:r>
              <w:rPr>
                <w:w w:val="95"/>
                <w:sz w:val="21"/>
              </w:rPr>
              <w:t>氨氮</w:t>
            </w:r>
          </w:p>
        </w:tc>
        <w:tc>
          <w:tcPr>
            <w:tcW w:w="1838" w:type="dxa"/>
            <w:vMerge w:val="continue"/>
            <w:tcBorders>
              <w:top w:val="nil"/>
            </w:tcBorders>
          </w:tcPr>
          <w:p w14:paraId="1383DD86">
            <w:pPr>
              <w:rPr>
                <w:sz w:val="2"/>
                <w:szCs w:val="2"/>
              </w:rPr>
            </w:pPr>
          </w:p>
        </w:tc>
        <w:tc>
          <w:tcPr>
            <w:tcW w:w="1515" w:type="dxa"/>
          </w:tcPr>
          <w:p w14:paraId="3B7F21E3">
            <w:pPr>
              <w:pStyle w:val="17"/>
              <w:spacing w:before="34"/>
              <w:ind w:left="650"/>
              <w:jc w:val="left"/>
              <w:rPr>
                <w:rFonts w:ascii="Times New Roman"/>
                <w:sz w:val="21"/>
              </w:rPr>
            </w:pPr>
            <w:r>
              <w:rPr>
                <w:rFonts w:ascii="Times New Roman"/>
                <w:sz w:val="21"/>
              </w:rPr>
              <w:t>25</w:t>
            </w:r>
          </w:p>
        </w:tc>
        <w:tc>
          <w:tcPr>
            <w:tcW w:w="1943" w:type="dxa"/>
            <w:vMerge w:val="continue"/>
            <w:tcBorders>
              <w:top w:val="nil"/>
            </w:tcBorders>
          </w:tcPr>
          <w:p w14:paraId="742BF5AE">
            <w:pPr>
              <w:rPr>
                <w:sz w:val="2"/>
                <w:szCs w:val="2"/>
              </w:rPr>
            </w:pPr>
          </w:p>
        </w:tc>
        <w:tc>
          <w:tcPr>
            <w:tcW w:w="1094" w:type="dxa"/>
            <w:tcBorders>
              <w:right w:val="nil"/>
            </w:tcBorders>
          </w:tcPr>
          <w:p w14:paraId="57C7EBDE">
            <w:pPr>
              <w:pStyle w:val="17"/>
              <w:spacing w:before="34"/>
              <w:ind w:left="1"/>
              <w:rPr>
                <w:rFonts w:ascii="Times New Roman"/>
                <w:sz w:val="21"/>
              </w:rPr>
            </w:pPr>
            <w:r>
              <w:rPr>
                <w:rFonts w:ascii="Times New Roman"/>
                <w:w w:val="99"/>
                <w:sz w:val="21"/>
              </w:rPr>
              <w:t>5</w:t>
            </w:r>
          </w:p>
        </w:tc>
      </w:tr>
      <w:tr w14:paraId="03AC8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426" w:type="dxa"/>
            <w:vMerge w:val="continue"/>
            <w:tcBorders>
              <w:top w:val="nil"/>
              <w:left w:val="nil"/>
            </w:tcBorders>
          </w:tcPr>
          <w:p w14:paraId="0499EFA4">
            <w:pPr>
              <w:rPr>
                <w:sz w:val="2"/>
                <w:szCs w:val="2"/>
              </w:rPr>
            </w:pPr>
          </w:p>
        </w:tc>
        <w:tc>
          <w:tcPr>
            <w:tcW w:w="881" w:type="dxa"/>
            <w:vMerge w:val="continue"/>
            <w:tcBorders>
              <w:top w:val="nil"/>
            </w:tcBorders>
          </w:tcPr>
          <w:p w14:paraId="0611D8AF">
            <w:pPr>
              <w:rPr>
                <w:sz w:val="2"/>
                <w:szCs w:val="2"/>
              </w:rPr>
            </w:pPr>
          </w:p>
        </w:tc>
        <w:tc>
          <w:tcPr>
            <w:tcW w:w="823" w:type="dxa"/>
          </w:tcPr>
          <w:p w14:paraId="4481D67B">
            <w:pPr>
              <w:pStyle w:val="17"/>
              <w:spacing w:before="3"/>
              <w:jc w:val="left"/>
              <w:rPr>
                <w:b/>
                <w:sz w:val="26"/>
              </w:rPr>
            </w:pPr>
          </w:p>
          <w:p w14:paraId="3BCD1D77">
            <w:pPr>
              <w:pStyle w:val="17"/>
              <w:ind w:left="149" w:right="146"/>
              <w:rPr>
                <w:rFonts w:ascii="Times New Roman"/>
                <w:sz w:val="21"/>
              </w:rPr>
            </w:pPr>
            <w:r>
              <w:rPr>
                <w:rFonts w:ascii="Times New Roman"/>
                <w:sz w:val="21"/>
              </w:rPr>
              <w:t>SS</w:t>
            </w:r>
          </w:p>
        </w:tc>
        <w:tc>
          <w:tcPr>
            <w:tcW w:w="1838" w:type="dxa"/>
            <w:vMerge w:val="continue"/>
            <w:tcBorders>
              <w:top w:val="nil"/>
            </w:tcBorders>
          </w:tcPr>
          <w:p w14:paraId="37E09BA3">
            <w:pPr>
              <w:rPr>
                <w:sz w:val="2"/>
                <w:szCs w:val="2"/>
              </w:rPr>
            </w:pPr>
          </w:p>
        </w:tc>
        <w:tc>
          <w:tcPr>
            <w:tcW w:w="1515" w:type="dxa"/>
          </w:tcPr>
          <w:p w14:paraId="5A850A2F">
            <w:pPr>
              <w:pStyle w:val="17"/>
              <w:spacing w:before="3"/>
              <w:jc w:val="left"/>
              <w:rPr>
                <w:b/>
                <w:sz w:val="26"/>
              </w:rPr>
            </w:pPr>
          </w:p>
          <w:p w14:paraId="36001537">
            <w:pPr>
              <w:pStyle w:val="17"/>
              <w:ind w:left="600"/>
              <w:jc w:val="left"/>
              <w:rPr>
                <w:rFonts w:ascii="Times New Roman"/>
                <w:sz w:val="21"/>
              </w:rPr>
            </w:pPr>
            <w:r>
              <w:rPr>
                <w:rFonts w:ascii="Times New Roman"/>
                <w:sz w:val="21"/>
              </w:rPr>
              <w:t>180</w:t>
            </w:r>
          </w:p>
        </w:tc>
        <w:tc>
          <w:tcPr>
            <w:tcW w:w="1943" w:type="dxa"/>
            <w:vMerge w:val="continue"/>
            <w:tcBorders>
              <w:top w:val="nil"/>
            </w:tcBorders>
          </w:tcPr>
          <w:p w14:paraId="46195A56">
            <w:pPr>
              <w:rPr>
                <w:sz w:val="2"/>
                <w:szCs w:val="2"/>
              </w:rPr>
            </w:pPr>
          </w:p>
        </w:tc>
        <w:tc>
          <w:tcPr>
            <w:tcW w:w="1094" w:type="dxa"/>
            <w:tcBorders>
              <w:right w:val="nil"/>
            </w:tcBorders>
          </w:tcPr>
          <w:p w14:paraId="5C2670AB">
            <w:pPr>
              <w:pStyle w:val="17"/>
              <w:spacing w:before="3"/>
              <w:jc w:val="left"/>
              <w:rPr>
                <w:b/>
                <w:sz w:val="26"/>
              </w:rPr>
            </w:pPr>
          </w:p>
          <w:p w14:paraId="337C2876">
            <w:pPr>
              <w:pStyle w:val="17"/>
              <w:ind w:left="422" w:right="417"/>
              <w:rPr>
                <w:rFonts w:ascii="Times New Roman"/>
                <w:sz w:val="21"/>
              </w:rPr>
            </w:pPr>
            <w:r>
              <w:rPr>
                <w:rFonts w:ascii="Times New Roman"/>
                <w:sz w:val="21"/>
              </w:rPr>
              <w:t>10</w:t>
            </w:r>
          </w:p>
        </w:tc>
      </w:tr>
    </w:tbl>
    <w:p w14:paraId="6F775F30">
      <w:pPr>
        <w:pStyle w:val="9"/>
        <w:spacing w:before="82"/>
        <w:ind w:left="3137"/>
      </w:pPr>
      <w:r>
        <w:t xml:space="preserve">表 </w:t>
      </w:r>
      <w:r>
        <w:rPr>
          <w:rFonts w:ascii="Times New Roman" w:eastAsia="Times New Roman"/>
        </w:rPr>
        <w:t xml:space="preserve">4.2-5 </w:t>
      </w:r>
      <w:r>
        <w:t>废水污染物排放信息表</w:t>
      </w:r>
    </w:p>
    <w:p w14:paraId="2A24C478">
      <w:pPr>
        <w:pStyle w:val="10"/>
        <w:spacing w:before="2"/>
        <w:rPr>
          <w:b/>
          <w:sz w:val="6"/>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1241"/>
        <w:gridCol w:w="1239"/>
        <w:gridCol w:w="1957"/>
        <w:gridCol w:w="1733"/>
        <w:gridCol w:w="1722"/>
      </w:tblGrid>
      <w:tr w14:paraId="73F70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27" w:type="dxa"/>
            <w:tcBorders>
              <w:left w:val="nil"/>
            </w:tcBorders>
          </w:tcPr>
          <w:p w14:paraId="01BEC372">
            <w:pPr>
              <w:pStyle w:val="17"/>
              <w:spacing w:before="20"/>
              <w:ind w:left="212"/>
              <w:jc w:val="left"/>
              <w:rPr>
                <w:sz w:val="21"/>
              </w:rPr>
            </w:pPr>
            <w:r>
              <w:rPr>
                <w:w w:val="99"/>
                <w:sz w:val="21"/>
              </w:rPr>
              <w:t>序</w:t>
            </w:r>
          </w:p>
          <w:p w14:paraId="7590A36E">
            <w:pPr>
              <w:pStyle w:val="17"/>
              <w:spacing w:before="43"/>
              <w:ind w:left="212"/>
              <w:jc w:val="left"/>
              <w:rPr>
                <w:sz w:val="21"/>
              </w:rPr>
            </w:pPr>
            <w:r>
              <w:rPr>
                <w:w w:val="99"/>
                <w:sz w:val="21"/>
              </w:rPr>
              <w:t>号</w:t>
            </w:r>
          </w:p>
        </w:tc>
        <w:tc>
          <w:tcPr>
            <w:tcW w:w="1241" w:type="dxa"/>
          </w:tcPr>
          <w:p w14:paraId="33B894DD">
            <w:pPr>
              <w:pStyle w:val="17"/>
              <w:spacing w:before="20"/>
              <w:ind w:left="178" w:right="172"/>
              <w:rPr>
                <w:sz w:val="21"/>
              </w:rPr>
            </w:pPr>
            <w:r>
              <w:rPr>
                <w:sz w:val="21"/>
              </w:rPr>
              <w:t>排放口编</w:t>
            </w:r>
          </w:p>
          <w:p w14:paraId="78827D56">
            <w:pPr>
              <w:pStyle w:val="17"/>
              <w:spacing w:before="43"/>
              <w:ind w:left="6"/>
              <w:rPr>
                <w:sz w:val="21"/>
              </w:rPr>
            </w:pPr>
            <w:r>
              <w:rPr>
                <w:w w:val="99"/>
                <w:sz w:val="21"/>
              </w:rPr>
              <w:t>号</w:t>
            </w:r>
          </w:p>
        </w:tc>
        <w:tc>
          <w:tcPr>
            <w:tcW w:w="1239" w:type="dxa"/>
          </w:tcPr>
          <w:p w14:paraId="3217CD8B">
            <w:pPr>
              <w:pStyle w:val="17"/>
              <w:spacing w:before="20"/>
              <w:ind w:left="178" w:right="171"/>
              <w:rPr>
                <w:sz w:val="21"/>
              </w:rPr>
            </w:pPr>
            <w:r>
              <w:rPr>
                <w:sz w:val="21"/>
              </w:rPr>
              <w:t>污染物种</w:t>
            </w:r>
          </w:p>
          <w:p w14:paraId="28CE3F79">
            <w:pPr>
              <w:pStyle w:val="17"/>
              <w:spacing w:before="43"/>
              <w:ind w:left="7"/>
              <w:rPr>
                <w:sz w:val="21"/>
              </w:rPr>
            </w:pPr>
            <w:r>
              <w:rPr>
                <w:w w:val="99"/>
                <w:sz w:val="21"/>
              </w:rPr>
              <w:t>类</w:t>
            </w:r>
          </w:p>
        </w:tc>
        <w:tc>
          <w:tcPr>
            <w:tcW w:w="1957" w:type="dxa"/>
          </w:tcPr>
          <w:p w14:paraId="0A413597">
            <w:pPr>
              <w:pStyle w:val="17"/>
              <w:spacing w:before="176"/>
              <w:ind w:left="99" w:right="93"/>
              <w:rPr>
                <w:sz w:val="21"/>
              </w:rPr>
            </w:pPr>
            <w:r>
              <w:rPr>
                <w:sz w:val="21"/>
              </w:rPr>
              <w:t>排放浓度（</w:t>
            </w:r>
            <w:r>
              <w:rPr>
                <w:rFonts w:ascii="Times New Roman" w:eastAsia="Times New Roman"/>
                <w:sz w:val="21"/>
              </w:rPr>
              <w:t>mg/L</w:t>
            </w:r>
            <w:r>
              <w:rPr>
                <w:sz w:val="21"/>
              </w:rPr>
              <w:t>）</w:t>
            </w:r>
          </w:p>
        </w:tc>
        <w:tc>
          <w:tcPr>
            <w:tcW w:w="1733" w:type="dxa"/>
          </w:tcPr>
          <w:p w14:paraId="0031F04B">
            <w:pPr>
              <w:pStyle w:val="17"/>
              <w:spacing w:before="176"/>
              <w:ind w:left="130" w:right="9"/>
              <w:rPr>
                <w:sz w:val="21"/>
              </w:rPr>
            </w:pPr>
            <w:r>
              <w:rPr>
                <w:spacing w:val="-2"/>
                <w:w w:val="95"/>
                <w:sz w:val="21"/>
              </w:rPr>
              <w:t>日排放量</w:t>
            </w:r>
            <w:r>
              <w:rPr>
                <w:w w:val="95"/>
                <w:sz w:val="21"/>
              </w:rPr>
              <w:t>（</w:t>
            </w:r>
            <w:r>
              <w:rPr>
                <w:rFonts w:ascii="Times New Roman" w:eastAsia="Times New Roman"/>
                <w:w w:val="95"/>
                <w:sz w:val="21"/>
              </w:rPr>
              <w:t>kg/d</w:t>
            </w:r>
            <w:r>
              <w:rPr>
                <w:w w:val="95"/>
                <w:sz w:val="21"/>
              </w:rPr>
              <w:t>）</w:t>
            </w:r>
          </w:p>
        </w:tc>
        <w:tc>
          <w:tcPr>
            <w:tcW w:w="1722" w:type="dxa"/>
            <w:tcBorders>
              <w:right w:val="nil"/>
            </w:tcBorders>
          </w:tcPr>
          <w:p w14:paraId="18D7F9FE">
            <w:pPr>
              <w:pStyle w:val="17"/>
              <w:spacing w:before="176"/>
              <w:ind w:left="105" w:right="102"/>
              <w:rPr>
                <w:sz w:val="21"/>
              </w:rPr>
            </w:pPr>
            <w:r>
              <w:rPr>
                <w:sz w:val="21"/>
              </w:rPr>
              <w:t>年排放量（</w:t>
            </w:r>
            <w:r>
              <w:rPr>
                <w:rFonts w:ascii="Times New Roman" w:eastAsia="Times New Roman"/>
                <w:sz w:val="21"/>
              </w:rPr>
              <w:t>t/a</w:t>
            </w:r>
            <w:r>
              <w:rPr>
                <w:sz w:val="21"/>
              </w:rPr>
              <w:t>）</w:t>
            </w:r>
          </w:p>
        </w:tc>
      </w:tr>
      <w:tr w14:paraId="1EC3A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27" w:type="dxa"/>
            <w:vMerge w:val="restart"/>
            <w:tcBorders>
              <w:left w:val="nil"/>
            </w:tcBorders>
          </w:tcPr>
          <w:p w14:paraId="33DF7835">
            <w:pPr>
              <w:pStyle w:val="17"/>
              <w:jc w:val="left"/>
              <w:rPr>
                <w:b/>
                <w:sz w:val="22"/>
              </w:rPr>
            </w:pPr>
          </w:p>
          <w:p w14:paraId="7B82F0BD">
            <w:pPr>
              <w:pStyle w:val="17"/>
              <w:spacing w:before="6"/>
              <w:jc w:val="left"/>
              <w:rPr>
                <w:b/>
                <w:sz w:val="18"/>
              </w:rPr>
            </w:pPr>
          </w:p>
          <w:p w14:paraId="061C0411">
            <w:pPr>
              <w:pStyle w:val="17"/>
              <w:ind w:left="13"/>
              <w:rPr>
                <w:rFonts w:ascii="Times New Roman"/>
                <w:sz w:val="21"/>
              </w:rPr>
            </w:pPr>
            <w:r>
              <w:rPr>
                <w:rFonts w:ascii="Times New Roman"/>
                <w:w w:val="99"/>
                <w:sz w:val="21"/>
              </w:rPr>
              <w:t>1</w:t>
            </w:r>
          </w:p>
        </w:tc>
        <w:tc>
          <w:tcPr>
            <w:tcW w:w="1241" w:type="dxa"/>
            <w:vMerge w:val="restart"/>
          </w:tcPr>
          <w:p w14:paraId="567D4BB6">
            <w:pPr>
              <w:pStyle w:val="17"/>
              <w:jc w:val="left"/>
              <w:rPr>
                <w:b/>
                <w:sz w:val="22"/>
              </w:rPr>
            </w:pPr>
          </w:p>
          <w:p w14:paraId="605453C8">
            <w:pPr>
              <w:pStyle w:val="17"/>
              <w:spacing w:before="6"/>
              <w:jc w:val="left"/>
              <w:rPr>
                <w:b/>
                <w:sz w:val="18"/>
              </w:rPr>
            </w:pPr>
          </w:p>
          <w:p w14:paraId="5510BC63">
            <w:pPr>
              <w:pStyle w:val="17"/>
              <w:ind w:left="178" w:right="171"/>
              <w:rPr>
                <w:rFonts w:ascii="Times New Roman"/>
                <w:sz w:val="21"/>
              </w:rPr>
            </w:pPr>
            <w:r>
              <w:rPr>
                <w:rFonts w:ascii="Times New Roman"/>
                <w:sz w:val="21"/>
              </w:rPr>
              <w:t>W1</w:t>
            </w:r>
          </w:p>
        </w:tc>
        <w:tc>
          <w:tcPr>
            <w:tcW w:w="1239" w:type="dxa"/>
          </w:tcPr>
          <w:p w14:paraId="3382AA3F">
            <w:pPr>
              <w:pStyle w:val="17"/>
              <w:spacing w:before="33" w:line="259" w:lineRule="exact"/>
              <w:ind w:left="178" w:right="168"/>
              <w:rPr>
                <w:rFonts w:ascii="Times New Roman"/>
                <w:sz w:val="21"/>
              </w:rPr>
            </w:pPr>
            <w:r>
              <w:rPr>
                <w:rFonts w:ascii="Times New Roman"/>
                <w:position w:val="2"/>
                <w:sz w:val="21"/>
              </w:rPr>
              <w:t>COD</w:t>
            </w:r>
            <w:r>
              <w:rPr>
                <w:rFonts w:ascii="Times New Roman"/>
                <w:position w:val="2"/>
                <w:sz w:val="21"/>
                <w:vertAlign w:val="subscript"/>
              </w:rPr>
              <w:t>Cr</w:t>
            </w:r>
          </w:p>
        </w:tc>
        <w:tc>
          <w:tcPr>
            <w:tcW w:w="1957" w:type="dxa"/>
          </w:tcPr>
          <w:p w14:paraId="367525BC">
            <w:pPr>
              <w:pStyle w:val="17"/>
              <w:spacing w:before="34"/>
              <w:ind w:left="99" w:right="90"/>
              <w:rPr>
                <w:rFonts w:ascii="Times New Roman"/>
                <w:sz w:val="21"/>
              </w:rPr>
            </w:pPr>
            <w:r>
              <w:rPr>
                <w:rFonts w:ascii="Times New Roman"/>
                <w:sz w:val="21"/>
              </w:rPr>
              <w:t>50</w:t>
            </w:r>
          </w:p>
        </w:tc>
        <w:tc>
          <w:tcPr>
            <w:tcW w:w="1733" w:type="dxa"/>
          </w:tcPr>
          <w:p w14:paraId="6E5EE313">
            <w:pPr>
              <w:pStyle w:val="17"/>
              <w:spacing w:before="34"/>
              <w:ind w:left="20" w:right="9"/>
              <w:rPr>
                <w:rFonts w:ascii="Times New Roman"/>
                <w:sz w:val="21"/>
              </w:rPr>
            </w:pPr>
            <w:r>
              <w:rPr>
                <w:rFonts w:ascii="Times New Roman"/>
                <w:sz w:val="21"/>
              </w:rPr>
              <w:t>0.143</w:t>
            </w:r>
          </w:p>
        </w:tc>
        <w:tc>
          <w:tcPr>
            <w:tcW w:w="1722" w:type="dxa"/>
            <w:tcBorders>
              <w:right w:val="nil"/>
            </w:tcBorders>
          </w:tcPr>
          <w:p w14:paraId="2B3B27C6">
            <w:pPr>
              <w:pStyle w:val="17"/>
              <w:spacing w:before="34"/>
              <w:ind w:left="104" w:right="102"/>
              <w:rPr>
                <w:rFonts w:ascii="Times New Roman"/>
                <w:sz w:val="21"/>
              </w:rPr>
            </w:pPr>
            <w:r>
              <w:rPr>
                <w:rFonts w:ascii="Times New Roman"/>
                <w:sz w:val="21"/>
              </w:rPr>
              <w:t>0.043</w:t>
            </w:r>
          </w:p>
        </w:tc>
      </w:tr>
      <w:tr w14:paraId="3B6B1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4F300813">
            <w:pPr>
              <w:rPr>
                <w:sz w:val="2"/>
                <w:szCs w:val="2"/>
              </w:rPr>
            </w:pPr>
          </w:p>
        </w:tc>
        <w:tc>
          <w:tcPr>
            <w:tcW w:w="1241" w:type="dxa"/>
            <w:vMerge w:val="continue"/>
            <w:tcBorders>
              <w:top w:val="nil"/>
            </w:tcBorders>
          </w:tcPr>
          <w:p w14:paraId="253316B6">
            <w:pPr>
              <w:rPr>
                <w:sz w:val="2"/>
                <w:szCs w:val="2"/>
              </w:rPr>
            </w:pPr>
          </w:p>
        </w:tc>
        <w:tc>
          <w:tcPr>
            <w:tcW w:w="1239" w:type="dxa"/>
          </w:tcPr>
          <w:p w14:paraId="330561A5">
            <w:pPr>
              <w:pStyle w:val="17"/>
              <w:spacing w:before="32" w:line="259" w:lineRule="exact"/>
              <w:ind w:left="178" w:right="169"/>
              <w:rPr>
                <w:rFonts w:ascii="Times New Roman"/>
                <w:sz w:val="21"/>
              </w:rPr>
            </w:pPr>
            <w:r>
              <w:rPr>
                <w:rFonts w:ascii="Times New Roman"/>
                <w:position w:val="2"/>
                <w:sz w:val="21"/>
              </w:rPr>
              <w:t>BOD</w:t>
            </w:r>
            <w:r>
              <w:rPr>
                <w:rFonts w:ascii="Times New Roman"/>
                <w:position w:val="2"/>
                <w:sz w:val="21"/>
                <w:vertAlign w:val="subscript"/>
              </w:rPr>
              <w:t>5</w:t>
            </w:r>
          </w:p>
        </w:tc>
        <w:tc>
          <w:tcPr>
            <w:tcW w:w="1957" w:type="dxa"/>
          </w:tcPr>
          <w:p w14:paraId="1ECA5AD6">
            <w:pPr>
              <w:pStyle w:val="17"/>
              <w:spacing w:before="36"/>
              <w:ind w:left="99" w:right="90"/>
              <w:rPr>
                <w:rFonts w:ascii="Times New Roman"/>
                <w:sz w:val="21"/>
              </w:rPr>
            </w:pPr>
            <w:r>
              <w:rPr>
                <w:rFonts w:ascii="Times New Roman"/>
                <w:sz w:val="21"/>
              </w:rPr>
              <w:t>10</w:t>
            </w:r>
          </w:p>
        </w:tc>
        <w:tc>
          <w:tcPr>
            <w:tcW w:w="1733" w:type="dxa"/>
          </w:tcPr>
          <w:p w14:paraId="717D7296">
            <w:pPr>
              <w:pStyle w:val="17"/>
              <w:spacing w:before="36"/>
              <w:ind w:left="20" w:right="9"/>
              <w:rPr>
                <w:rFonts w:ascii="Times New Roman"/>
                <w:sz w:val="21"/>
              </w:rPr>
            </w:pPr>
            <w:r>
              <w:rPr>
                <w:rFonts w:ascii="Times New Roman"/>
                <w:sz w:val="21"/>
              </w:rPr>
              <w:t>0.029</w:t>
            </w:r>
          </w:p>
        </w:tc>
        <w:tc>
          <w:tcPr>
            <w:tcW w:w="1722" w:type="dxa"/>
            <w:tcBorders>
              <w:right w:val="nil"/>
            </w:tcBorders>
          </w:tcPr>
          <w:p w14:paraId="0EF20208">
            <w:pPr>
              <w:pStyle w:val="17"/>
              <w:spacing w:before="36"/>
              <w:ind w:left="104" w:right="102"/>
              <w:rPr>
                <w:rFonts w:ascii="Times New Roman"/>
                <w:sz w:val="21"/>
              </w:rPr>
            </w:pPr>
            <w:r>
              <w:rPr>
                <w:rFonts w:ascii="Times New Roman"/>
                <w:sz w:val="21"/>
              </w:rPr>
              <w:t>0.009</w:t>
            </w:r>
          </w:p>
        </w:tc>
      </w:tr>
      <w:tr w14:paraId="2D627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7CDBC7E3">
            <w:pPr>
              <w:rPr>
                <w:sz w:val="2"/>
                <w:szCs w:val="2"/>
              </w:rPr>
            </w:pPr>
          </w:p>
        </w:tc>
        <w:tc>
          <w:tcPr>
            <w:tcW w:w="1241" w:type="dxa"/>
            <w:vMerge w:val="continue"/>
            <w:tcBorders>
              <w:top w:val="nil"/>
            </w:tcBorders>
          </w:tcPr>
          <w:p w14:paraId="26AFA862">
            <w:pPr>
              <w:rPr>
                <w:sz w:val="2"/>
                <w:szCs w:val="2"/>
              </w:rPr>
            </w:pPr>
          </w:p>
        </w:tc>
        <w:tc>
          <w:tcPr>
            <w:tcW w:w="1239" w:type="dxa"/>
          </w:tcPr>
          <w:p w14:paraId="041DCE38">
            <w:pPr>
              <w:pStyle w:val="17"/>
              <w:spacing w:before="21"/>
              <w:ind w:left="176" w:right="171"/>
              <w:rPr>
                <w:sz w:val="21"/>
              </w:rPr>
            </w:pPr>
            <w:r>
              <w:rPr>
                <w:sz w:val="21"/>
              </w:rPr>
              <w:t>氨氮</w:t>
            </w:r>
          </w:p>
        </w:tc>
        <w:tc>
          <w:tcPr>
            <w:tcW w:w="1957" w:type="dxa"/>
          </w:tcPr>
          <w:p w14:paraId="68037344">
            <w:pPr>
              <w:pStyle w:val="17"/>
              <w:spacing w:before="35"/>
              <w:ind w:left="9"/>
              <w:rPr>
                <w:rFonts w:ascii="Times New Roman"/>
                <w:sz w:val="21"/>
              </w:rPr>
            </w:pPr>
            <w:r>
              <w:rPr>
                <w:rFonts w:ascii="Times New Roman"/>
                <w:w w:val="99"/>
                <w:sz w:val="21"/>
              </w:rPr>
              <w:t>5</w:t>
            </w:r>
          </w:p>
        </w:tc>
        <w:tc>
          <w:tcPr>
            <w:tcW w:w="1733" w:type="dxa"/>
          </w:tcPr>
          <w:p w14:paraId="08D408E6">
            <w:pPr>
              <w:pStyle w:val="17"/>
              <w:spacing w:before="35"/>
              <w:ind w:left="20" w:right="9"/>
              <w:rPr>
                <w:rFonts w:ascii="Times New Roman"/>
                <w:sz w:val="21"/>
              </w:rPr>
            </w:pPr>
            <w:r>
              <w:rPr>
                <w:rFonts w:ascii="Times New Roman"/>
                <w:sz w:val="21"/>
              </w:rPr>
              <w:t>0.014</w:t>
            </w:r>
          </w:p>
        </w:tc>
        <w:tc>
          <w:tcPr>
            <w:tcW w:w="1722" w:type="dxa"/>
            <w:tcBorders>
              <w:right w:val="nil"/>
            </w:tcBorders>
          </w:tcPr>
          <w:p w14:paraId="04D7DF5F">
            <w:pPr>
              <w:pStyle w:val="17"/>
              <w:spacing w:before="35"/>
              <w:ind w:left="104" w:right="102"/>
              <w:rPr>
                <w:rFonts w:ascii="Times New Roman"/>
                <w:sz w:val="21"/>
              </w:rPr>
            </w:pPr>
            <w:r>
              <w:rPr>
                <w:rFonts w:ascii="Times New Roman"/>
                <w:sz w:val="21"/>
              </w:rPr>
              <w:t>0.004</w:t>
            </w:r>
          </w:p>
        </w:tc>
      </w:tr>
      <w:tr w14:paraId="2661A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27" w:type="dxa"/>
            <w:vMerge w:val="continue"/>
            <w:tcBorders>
              <w:top w:val="nil"/>
              <w:left w:val="nil"/>
            </w:tcBorders>
          </w:tcPr>
          <w:p w14:paraId="5775D6F9">
            <w:pPr>
              <w:rPr>
                <w:sz w:val="2"/>
                <w:szCs w:val="2"/>
              </w:rPr>
            </w:pPr>
          </w:p>
        </w:tc>
        <w:tc>
          <w:tcPr>
            <w:tcW w:w="1241" w:type="dxa"/>
            <w:vMerge w:val="continue"/>
            <w:tcBorders>
              <w:top w:val="nil"/>
            </w:tcBorders>
          </w:tcPr>
          <w:p w14:paraId="2D408C76">
            <w:pPr>
              <w:rPr>
                <w:sz w:val="2"/>
                <w:szCs w:val="2"/>
              </w:rPr>
            </w:pPr>
          </w:p>
        </w:tc>
        <w:tc>
          <w:tcPr>
            <w:tcW w:w="1239" w:type="dxa"/>
          </w:tcPr>
          <w:p w14:paraId="28A3F089">
            <w:pPr>
              <w:pStyle w:val="17"/>
              <w:spacing w:before="35"/>
              <w:ind w:left="177" w:right="171"/>
              <w:rPr>
                <w:rFonts w:ascii="Times New Roman"/>
                <w:sz w:val="21"/>
              </w:rPr>
            </w:pPr>
            <w:r>
              <w:rPr>
                <w:rFonts w:ascii="Times New Roman"/>
                <w:sz w:val="21"/>
              </w:rPr>
              <w:t>SS</w:t>
            </w:r>
          </w:p>
        </w:tc>
        <w:tc>
          <w:tcPr>
            <w:tcW w:w="1957" w:type="dxa"/>
          </w:tcPr>
          <w:p w14:paraId="3C75B117">
            <w:pPr>
              <w:pStyle w:val="17"/>
              <w:spacing w:before="35"/>
              <w:ind w:left="99" w:right="90"/>
              <w:rPr>
                <w:rFonts w:ascii="Times New Roman"/>
                <w:sz w:val="21"/>
              </w:rPr>
            </w:pPr>
            <w:r>
              <w:rPr>
                <w:rFonts w:ascii="Times New Roman"/>
                <w:sz w:val="21"/>
              </w:rPr>
              <w:t>10</w:t>
            </w:r>
          </w:p>
        </w:tc>
        <w:tc>
          <w:tcPr>
            <w:tcW w:w="1733" w:type="dxa"/>
          </w:tcPr>
          <w:p w14:paraId="238CBE06">
            <w:pPr>
              <w:pStyle w:val="17"/>
              <w:spacing w:before="35"/>
              <w:ind w:left="20" w:right="9"/>
              <w:rPr>
                <w:rFonts w:ascii="Times New Roman"/>
                <w:sz w:val="21"/>
              </w:rPr>
            </w:pPr>
            <w:r>
              <w:rPr>
                <w:rFonts w:ascii="Times New Roman"/>
                <w:sz w:val="21"/>
              </w:rPr>
              <w:t>0.029</w:t>
            </w:r>
          </w:p>
        </w:tc>
        <w:tc>
          <w:tcPr>
            <w:tcW w:w="1722" w:type="dxa"/>
            <w:tcBorders>
              <w:right w:val="nil"/>
            </w:tcBorders>
          </w:tcPr>
          <w:p w14:paraId="28F144DF">
            <w:pPr>
              <w:pStyle w:val="17"/>
              <w:spacing w:before="35"/>
              <w:ind w:left="104" w:right="102"/>
              <w:rPr>
                <w:rFonts w:ascii="Times New Roman"/>
                <w:sz w:val="21"/>
              </w:rPr>
            </w:pPr>
            <w:r>
              <w:rPr>
                <w:rFonts w:ascii="Times New Roman"/>
                <w:sz w:val="21"/>
              </w:rPr>
              <w:t>0.009</w:t>
            </w:r>
          </w:p>
        </w:tc>
      </w:tr>
    </w:tbl>
    <w:p w14:paraId="00F0C9EC">
      <w:pPr>
        <w:pStyle w:val="3"/>
        <w:numPr>
          <w:ilvl w:val="1"/>
          <w:numId w:val="21"/>
        </w:numPr>
        <w:tabs>
          <w:tab w:val="left" w:pos="1069"/>
        </w:tabs>
        <w:spacing w:before="120" w:after="0" w:line="240" w:lineRule="auto"/>
        <w:ind w:left="1068" w:right="0" w:hanging="448"/>
        <w:jc w:val="left"/>
      </w:pPr>
      <w:bookmarkStart w:id="26" w:name="_TOC_250029"/>
      <w:bookmarkEnd w:id="26"/>
      <w:r>
        <w:t>地下水环境影响分析</w:t>
      </w:r>
    </w:p>
    <w:p w14:paraId="2A66EB9D">
      <w:pPr>
        <w:pStyle w:val="10"/>
        <w:spacing w:before="202" w:line="364" w:lineRule="auto"/>
        <w:ind w:left="620" w:right="684" w:firstLine="480"/>
      </w:pPr>
      <w:r>
        <w:rPr>
          <w:spacing w:val="-1"/>
        </w:rPr>
        <w:t>本项目属于《环境影响评价技术导则 地下水环境》</w:t>
      </w:r>
      <w:r>
        <w:t>（</w:t>
      </w:r>
      <w:r>
        <w:rPr>
          <w:rFonts w:ascii="Times New Roman" w:hAnsi="Times New Roman" w:eastAsia="Times New Roman"/>
        </w:rPr>
        <w:t>HJ610-2016</w:t>
      </w:r>
      <w:r>
        <w:t>）</w:t>
      </w:r>
      <w:r>
        <w:rPr>
          <w:spacing w:val="-21"/>
        </w:rPr>
        <w:t xml:space="preserve">附录 </w:t>
      </w:r>
      <w:r>
        <w:rPr>
          <w:rFonts w:ascii="Times New Roman" w:hAnsi="Times New Roman" w:eastAsia="Times New Roman"/>
        </w:rPr>
        <w:t xml:space="preserve">A </w:t>
      </w:r>
      <w:r>
        <w:t>中</w:t>
      </w:r>
      <w:r>
        <w:rPr>
          <w:rFonts w:ascii="Times New Roman" w:hAnsi="Times New Roman" w:eastAsia="Times New Roman"/>
        </w:rPr>
        <w:t>“</w:t>
      </w:r>
      <w:r>
        <w:rPr>
          <w:spacing w:val="-30"/>
        </w:rPr>
        <w:t xml:space="preserve">第 </w:t>
      </w:r>
      <w:r>
        <w:rPr>
          <w:rFonts w:ascii="Times New Roman" w:hAnsi="Times New Roman" w:eastAsia="Times New Roman"/>
          <w:spacing w:val="-3"/>
        </w:rPr>
        <w:t xml:space="preserve">116 </w:t>
      </w:r>
      <w:r>
        <w:t>项塑料制品制造</w:t>
      </w:r>
      <w:r>
        <w:rPr>
          <w:rFonts w:ascii="Times New Roman" w:hAnsi="Times New Roman" w:eastAsia="Times New Roman"/>
        </w:rPr>
        <w:t>-</w:t>
      </w:r>
      <w:r>
        <w:t>其他</w:t>
      </w:r>
      <w:r>
        <w:rPr>
          <w:rFonts w:ascii="Times New Roman" w:hAnsi="Times New Roman" w:eastAsia="Times New Roman"/>
        </w:rPr>
        <w:t>”</w:t>
      </w:r>
      <w:r>
        <w:t>，属于</w:t>
      </w:r>
      <w:r>
        <w:rPr>
          <w:rFonts w:ascii="Times New Roman" w:hAnsi="Times New Roman" w:eastAsia="Times New Roman"/>
        </w:rPr>
        <w:t>Ⅱ</w:t>
      </w:r>
      <w:r>
        <w:t xml:space="preserve">类项目地下水环境影响评价项目类别； </w:t>
      </w:r>
      <w:r>
        <w:rPr>
          <w:spacing w:val="-4"/>
        </w:rPr>
        <w:t>本项目位于湖南省汨罗市高新技术产业开发区新市片区，生产、生活用水由自来</w:t>
      </w:r>
      <w:r>
        <w:rPr>
          <w:spacing w:val="-11"/>
        </w:rPr>
        <w:t>水管网供给，项目区域地下水环境敏感程度为不敏感。因此确定地下水环境影响评价等级为三级评价。</w:t>
      </w:r>
    </w:p>
    <w:p w14:paraId="5C83A99C">
      <w:pPr>
        <w:pStyle w:val="10"/>
        <w:spacing w:before="3"/>
        <w:ind w:left="1100"/>
      </w:pPr>
      <w:r>
        <w:rPr>
          <w:rFonts w:ascii="Times New Roman" w:eastAsia="Times New Roman"/>
        </w:rPr>
        <w:t>1</w:t>
      </w:r>
      <w:r>
        <w:t>、区域水文地质基本情况</w:t>
      </w:r>
    </w:p>
    <w:p w14:paraId="47FD8AED">
      <w:pPr>
        <w:pStyle w:val="10"/>
        <w:spacing w:before="160"/>
        <w:ind w:left="1100"/>
      </w:pPr>
      <w:r>
        <w:t>（</w:t>
      </w:r>
      <w:r>
        <w:rPr>
          <w:rFonts w:ascii="Times New Roman" w:eastAsia="Times New Roman"/>
        </w:rPr>
        <w:t>1</w:t>
      </w:r>
      <w:r>
        <w:t>）地形地貌特征</w:t>
      </w:r>
    </w:p>
    <w:p w14:paraId="0FAEA10A">
      <w:pPr>
        <w:pStyle w:val="10"/>
        <w:spacing w:before="161" w:line="364" w:lineRule="auto"/>
        <w:ind w:left="620" w:right="737" w:firstLine="480"/>
        <w:jc w:val="both"/>
      </w:pPr>
      <w:r>
        <w:rPr>
          <w:spacing w:val="-5"/>
        </w:rPr>
        <w:t>项目所处地貌为由变质岩组成的低山丘陵区，属洞庭湖盆地边缘。南北为低</w:t>
      </w:r>
      <w:r>
        <w:rPr>
          <w:spacing w:val="-11"/>
        </w:rPr>
        <w:t>矮山岗，东西呈横向带状阶梯式变化。本地山地为新构造时期以来地壳运动相对</w:t>
      </w:r>
      <w:r>
        <w:rPr>
          <w:spacing w:val="-12"/>
        </w:rPr>
        <w:t>上升，经长期侵蚀、剥蚀所致；所在地地势相对平缓开阔，地势平坦，其原始地貌已不复存在，仅能从周边的边坡情况有所显示。</w:t>
      </w:r>
    </w:p>
    <w:p w14:paraId="1C79A804">
      <w:pPr>
        <w:pStyle w:val="10"/>
        <w:spacing w:before="2"/>
        <w:ind w:left="1100"/>
      </w:pPr>
      <w:r>
        <w:rPr>
          <w:rFonts w:ascii="Times New Roman" w:eastAsia="Times New Roman"/>
        </w:rPr>
        <w:t>A</w:t>
      </w:r>
      <w:r>
        <w:t>、地层岩性</w:t>
      </w:r>
    </w:p>
    <w:p w14:paraId="7FF69133">
      <w:pPr>
        <w:pStyle w:val="10"/>
        <w:spacing w:before="160" w:line="364" w:lineRule="auto"/>
        <w:ind w:left="620" w:right="645" w:firstLine="480"/>
      </w:pPr>
      <w:r>
        <w:rPr>
          <w:spacing w:val="-7"/>
        </w:rPr>
        <w:t>区内岩浆岩十分发育，遍布于汨罗南部，以幕阜山岩体为主。岩浆岩产出时</w:t>
      </w:r>
      <w:r>
        <w:rPr>
          <w:spacing w:val="-12"/>
        </w:rPr>
        <w:t>代以燕山晚期为主，另有小岩体产出时代不明。岩性为二云母二长花岗岩及黑云</w:t>
      </w:r>
      <w:r>
        <w:rPr>
          <w:spacing w:val="-14"/>
        </w:rPr>
        <w:t>母二长花岗岩，其中燕山晚期第一次侵入体的花岗岩具斑状结构；另有部分岩性</w:t>
      </w:r>
      <w:r>
        <w:rPr>
          <w:spacing w:val="-18"/>
        </w:rPr>
        <w:t xml:space="preserve">为黑云母花岗闪长岩和斜长花岗岩。区内岩浆岩风化程度与产出时代、岩性、出露部位等因素密切相关。位于地势低洼的山问盆地中的燕山晚期第一次侵入体， </w:t>
      </w:r>
      <w:r>
        <w:rPr>
          <w:spacing w:val="-16"/>
        </w:rPr>
        <w:t>花岗岩剧烈风化，部分呈疏松状砂土，风化深度可达十余米，尤以暗色矿物含量</w:t>
      </w:r>
      <w:r>
        <w:rPr>
          <w:spacing w:val="-17"/>
        </w:rPr>
        <w:t>较高的岩石风化程度更高。幕阜山岩体受后期构造运动影响，岩体内破碎带极为发育，走向以北东方向为主。</w:t>
      </w:r>
    </w:p>
    <w:p w14:paraId="0128322B">
      <w:pPr>
        <w:spacing w:after="0" w:line="364" w:lineRule="auto"/>
        <w:sectPr>
          <w:pgSz w:w="11910" w:h="16840"/>
          <w:pgMar w:top="1420" w:right="1060" w:bottom="1380" w:left="1180" w:header="0" w:footer="1192" w:gutter="0"/>
          <w:cols w:space="720" w:num="1"/>
        </w:sectPr>
      </w:pPr>
    </w:p>
    <w:p w14:paraId="5726EBEF">
      <w:pPr>
        <w:pStyle w:val="10"/>
        <w:spacing w:before="42" w:line="364" w:lineRule="auto"/>
        <w:ind w:left="620" w:right="737" w:firstLine="480"/>
        <w:jc w:val="both"/>
      </w:pPr>
      <w:r>
        <w:rPr>
          <w:spacing w:val="-6"/>
        </w:rPr>
        <w:t>境内出露地层岩性简单，以第四系和白垩系紫红色砂岩、泥岩较发育，境内</w:t>
      </w:r>
      <w:r>
        <w:rPr>
          <w:spacing w:val="-13"/>
        </w:rPr>
        <w:t>由新到老为第四系、白垩系、蓟县系等。第三系、侏罗系、三叠系、二叠系、石炭系、泥盆系、志留系、奥陶系、寒武系、震旦系等地层缺失。</w:t>
      </w:r>
    </w:p>
    <w:p w14:paraId="7C33CAF7">
      <w:pPr>
        <w:pStyle w:val="10"/>
        <w:spacing w:before="2"/>
        <w:ind w:left="1100"/>
      </w:pPr>
      <w:r>
        <w:rPr>
          <w:rFonts w:ascii="Times New Roman" w:eastAsia="Times New Roman"/>
        </w:rPr>
        <w:t>B</w:t>
      </w:r>
      <w:r>
        <w:t>、地质构造</w:t>
      </w:r>
    </w:p>
    <w:p w14:paraId="09A1618A">
      <w:pPr>
        <w:pStyle w:val="10"/>
        <w:spacing w:before="160" w:line="364" w:lineRule="auto"/>
        <w:ind w:left="620" w:right="737" w:firstLine="480"/>
        <w:jc w:val="both"/>
      </w:pPr>
      <w:r>
        <w:rPr>
          <w:spacing w:val="-4"/>
        </w:rPr>
        <w:t>汨罗市位于新华夏系巨型第二次沉降带的次一级隆起带，最明显的构造行迹为新华夏构造体系及北东向压扭性断裂。新华夏构造体系大致形成于晚白垩世</w:t>
      </w:r>
      <w:r>
        <w:rPr>
          <w:rFonts w:ascii="Times New Roman" w:hAnsi="Times New Roman" w:eastAsia="Times New Roman"/>
          <w:spacing w:val="-4"/>
        </w:rPr>
        <w:t xml:space="preserve">- </w:t>
      </w:r>
      <w:r>
        <w:rPr>
          <w:spacing w:val="-11"/>
        </w:rPr>
        <w:t>晚第三纪以前，控制着区内隆起和断陷盆地的形成与发展，并在此基础上发育了</w:t>
      </w:r>
      <w:r>
        <w:rPr>
          <w:spacing w:val="-16"/>
        </w:rPr>
        <w:t>一系列呈北北东向展布的断裂，在某些断裂旁发育了次一级断裂，由于有些断裂</w:t>
      </w:r>
      <w:r>
        <w:rPr>
          <w:spacing w:val="-13"/>
        </w:rPr>
        <w:t>的继承性，迁就、利用了原有断裂并在原有断裂的基础上发展形成，其延布方向</w:t>
      </w:r>
      <w:r>
        <w:rPr>
          <w:spacing w:val="-14"/>
        </w:rPr>
        <w:t xml:space="preserve">略大于北北东向，甚至呈北东 </w:t>
      </w:r>
      <w:r>
        <w:rPr>
          <w:rFonts w:ascii="Times New Roman" w:hAnsi="Times New Roman" w:eastAsia="Times New Roman"/>
        </w:rPr>
        <w:t>50-60°</w:t>
      </w:r>
      <w:r>
        <w:t>方向。主要有汨罗</w:t>
      </w:r>
      <w:r>
        <w:rPr>
          <w:rFonts w:ascii="Times New Roman" w:hAnsi="Times New Roman" w:eastAsia="Times New Roman"/>
        </w:rPr>
        <w:t>-</w:t>
      </w:r>
      <w:r>
        <w:t>湘阴断陷盆地、公田压扭性断裂及次级断裂、铜盆寺北东向断裂带。</w:t>
      </w:r>
    </w:p>
    <w:p w14:paraId="00AF9D4E">
      <w:pPr>
        <w:pStyle w:val="10"/>
        <w:spacing w:before="4"/>
        <w:ind w:left="1100"/>
      </w:pPr>
      <w:r>
        <w:t>（</w:t>
      </w:r>
      <w:r>
        <w:rPr>
          <w:rFonts w:ascii="Times New Roman" w:eastAsia="Times New Roman"/>
        </w:rPr>
        <w:t>2</w:t>
      </w:r>
      <w:r>
        <w:t>）地下水类型、埋深、补给和排泄条件</w:t>
      </w:r>
    </w:p>
    <w:p w14:paraId="7B15ADF8">
      <w:pPr>
        <w:pStyle w:val="10"/>
        <w:spacing w:before="161"/>
        <w:ind w:left="1100"/>
      </w:pPr>
      <w:r>
        <w:rPr>
          <w:rFonts w:ascii="Times New Roman" w:eastAsia="Times New Roman"/>
        </w:rPr>
        <w:t>1</w:t>
      </w:r>
      <w:r>
        <w:t>）区域水文地质条件</w:t>
      </w:r>
    </w:p>
    <w:p w14:paraId="07091693">
      <w:pPr>
        <w:pStyle w:val="10"/>
        <w:spacing w:before="160" w:line="364" w:lineRule="auto"/>
        <w:ind w:left="620" w:right="737" w:firstLine="480"/>
        <w:jc w:val="both"/>
      </w:pPr>
      <w:r>
        <w:rPr>
          <w:spacing w:val="-6"/>
        </w:rPr>
        <w:t>根据地下水类型赋存形式，含水介质可分为四类：松散岩类孔隙水、碎屑岩</w:t>
      </w:r>
      <w:r>
        <w:rPr>
          <w:spacing w:val="-11"/>
        </w:rPr>
        <w:t>孔隙裂隙水、浅变质岩裂隙水和岩浆岩风化裂隙水。根据湖南省水文地质图，汨</w:t>
      </w:r>
      <w:r>
        <w:rPr>
          <w:spacing w:val="-14"/>
        </w:rPr>
        <w:t>罗地区富水程度弱，为淡水分布，含水岩组类型生活主要为：碎屑岩类孔隙裂含水岩组和变质岩类裂隙含水岩组。</w:t>
      </w:r>
    </w:p>
    <w:p w14:paraId="3D9091E6">
      <w:pPr>
        <w:pStyle w:val="10"/>
        <w:spacing w:before="3"/>
        <w:ind w:left="1100"/>
      </w:pPr>
      <w:r>
        <w:rPr>
          <w:rFonts w:ascii="Times New Roman" w:eastAsia="Times New Roman"/>
        </w:rPr>
        <w:t>2</w:t>
      </w:r>
      <w:r>
        <w:t>）区域地下水补、径、排条件</w:t>
      </w:r>
    </w:p>
    <w:p w14:paraId="24C4DB74">
      <w:pPr>
        <w:pStyle w:val="10"/>
        <w:spacing w:before="160" w:line="364" w:lineRule="auto"/>
        <w:ind w:left="620" w:right="737" w:firstLine="480"/>
        <w:jc w:val="both"/>
      </w:pPr>
      <w:r>
        <w:rPr>
          <w:spacing w:val="-5"/>
        </w:rPr>
        <w:t>汨罗市地下水主要靠大气降水补给，地下水径流条件比较复杂，松散岩层孔</w:t>
      </w:r>
      <w:r>
        <w:rPr>
          <w:spacing w:val="-11"/>
        </w:rPr>
        <w:t>隙水及基岩裂隙，一般以潜水形式存在，补给、径流、排泄过程不明显，它们之间没有清楚的分带，排泄区受侵蚀基准面控制。</w:t>
      </w:r>
    </w:p>
    <w:p w14:paraId="02B72639">
      <w:pPr>
        <w:pStyle w:val="10"/>
        <w:spacing w:before="2"/>
        <w:ind w:left="1100"/>
      </w:pPr>
      <w:r>
        <w:t>①松散岩类孔隙水</w:t>
      </w:r>
    </w:p>
    <w:p w14:paraId="52101356">
      <w:pPr>
        <w:pStyle w:val="10"/>
        <w:spacing w:before="161" w:line="364" w:lineRule="auto"/>
        <w:ind w:left="620" w:right="617" w:firstLine="480"/>
      </w:pPr>
      <w:r>
        <w:rPr>
          <w:spacing w:val="-6"/>
        </w:rPr>
        <w:t>主要补给来源为大气降水直接渗入补给，以裸露于地表的砂或砂砾层吸收降</w:t>
      </w:r>
      <w:r>
        <w:rPr>
          <w:spacing w:val="-14"/>
        </w:rPr>
        <w:t xml:space="preserve">水渗入，入渗系数一般在 </w:t>
      </w:r>
      <w:r>
        <w:rPr>
          <w:rFonts w:ascii="Times New Roman" w:eastAsia="Times New Roman"/>
        </w:rPr>
        <w:t xml:space="preserve">0.1 </w:t>
      </w:r>
      <w:r>
        <w:rPr>
          <w:spacing w:val="-11"/>
        </w:rPr>
        <w:t xml:space="preserve">以下，各类岩性因渗透性能不同，渗入量有大有小， 以砂砾层渗入量最大。因为这类含水层多以潜水为主，地下径流区也是补给区， </w:t>
      </w:r>
      <w:r>
        <w:rPr>
          <w:spacing w:val="-14"/>
        </w:rPr>
        <w:t>地下水的径流坡度与含水层的岩性或孔隙含水层底板基岩的起伏状态有关，排泄区一般为汨罗江。</w:t>
      </w:r>
    </w:p>
    <w:p w14:paraId="1FF0309D">
      <w:pPr>
        <w:pStyle w:val="10"/>
        <w:spacing w:before="3"/>
        <w:ind w:left="1100"/>
      </w:pPr>
      <w:r>
        <w:t>②基岩裂隙水</w:t>
      </w:r>
    </w:p>
    <w:p w14:paraId="395B43A1">
      <w:pPr>
        <w:pStyle w:val="10"/>
        <w:spacing w:before="160"/>
        <w:ind w:left="1100"/>
      </w:pPr>
      <w:r>
        <w:t>以大气降水补给为主，局部地段通过断裂或裂隙补给，运移方向受侵蚀基准</w:t>
      </w:r>
    </w:p>
    <w:p w14:paraId="09FEE3DC">
      <w:pPr>
        <w:spacing w:after="0"/>
        <w:sectPr>
          <w:pgSz w:w="11910" w:h="16840"/>
          <w:pgMar w:top="1460" w:right="1060" w:bottom="1380" w:left="1180" w:header="0" w:footer="1192" w:gutter="0"/>
          <w:cols w:space="720" w:num="1"/>
        </w:sectPr>
      </w:pPr>
    </w:p>
    <w:p w14:paraId="4371B4D7">
      <w:pPr>
        <w:pStyle w:val="10"/>
        <w:spacing w:before="42" w:line="364" w:lineRule="auto"/>
        <w:ind w:left="620" w:right="737"/>
        <w:jc w:val="both"/>
      </w:pPr>
      <w:r>
        <w:rPr>
          <w:spacing w:val="-9"/>
        </w:rPr>
        <w:t>面控制，与地表水流域一致，顺坡面向低处流可在山坡排泄，但是多数在沟谷处</w:t>
      </w:r>
      <w:r>
        <w:rPr>
          <w:spacing w:val="-11"/>
        </w:rPr>
        <w:t>排泄，水力坡度稍缓于地形坡度，流动方向则与地表坡度一致，地下水的运移方式，主要沿裂隙或层面的渗透流，渗流速度缓慢。地下水的排泄地带与补给径流区分布一致，无明显分带性，径流途径短。</w:t>
      </w:r>
    </w:p>
    <w:p w14:paraId="59AA7CBE">
      <w:pPr>
        <w:pStyle w:val="10"/>
        <w:spacing w:before="2"/>
        <w:ind w:left="1100"/>
      </w:pPr>
      <w:r>
        <w:rPr>
          <w:rFonts w:ascii="Times New Roman" w:eastAsia="Times New Roman"/>
        </w:rPr>
        <w:t>3</w:t>
      </w:r>
      <w:r>
        <w:t>）地下水动态特征</w:t>
      </w:r>
    </w:p>
    <w:p w14:paraId="10B3C27C">
      <w:pPr>
        <w:pStyle w:val="10"/>
        <w:spacing w:before="161" w:line="364" w:lineRule="auto"/>
        <w:ind w:left="620" w:right="737" w:firstLine="480"/>
        <w:jc w:val="both"/>
      </w:pPr>
      <w:r>
        <w:rPr>
          <w:spacing w:val="-5"/>
        </w:rPr>
        <w:t>区域场地第四系孔隙水动态均属气象型，主要受大气降水因素影响。通过对</w:t>
      </w:r>
      <w:r>
        <w:rPr>
          <w:spacing w:val="-9"/>
        </w:rPr>
        <w:t xml:space="preserve">园区及周边钻孔地下水水位监测结果分析，场地地下水动态变化总体为：水位 </w:t>
      </w:r>
      <w:r>
        <w:rPr>
          <w:rFonts w:ascii="Times New Roman" w:eastAsia="Times New Roman"/>
        </w:rPr>
        <w:t xml:space="preserve">3 </w:t>
      </w:r>
      <w:r>
        <w:t>月</w:t>
      </w:r>
      <w:r>
        <w:rPr>
          <w:rFonts w:ascii="Times New Roman" w:eastAsia="Times New Roman"/>
        </w:rPr>
        <w:t xml:space="preserve">~9 </w:t>
      </w:r>
      <w:r>
        <w:rPr>
          <w:spacing w:val="-2"/>
        </w:rPr>
        <w:t>月随降雨量增加而上升，</w:t>
      </w:r>
      <w:r>
        <w:rPr>
          <w:rFonts w:ascii="Times New Roman" w:eastAsia="Times New Roman"/>
          <w:spacing w:val="-12"/>
        </w:rPr>
        <w:t xml:space="preserve">10 </w:t>
      </w:r>
      <w:r>
        <w:rPr>
          <w:spacing w:val="-12"/>
        </w:rPr>
        <w:t>月</w:t>
      </w:r>
      <w:r>
        <w:rPr>
          <w:rFonts w:ascii="Times New Roman" w:eastAsia="Times New Roman"/>
          <w:spacing w:val="-12"/>
        </w:rPr>
        <w:t>-</w:t>
      </w:r>
      <w:r>
        <w:rPr>
          <w:spacing w:val="-20"/>
        </w:rPr>
        <w:t xml:space="preserve">次年 </w:t>
      </w:r>
      <w:r>
        <w:rPr>
          <w:rFonts w:ascii="Times New Roman" w:eastAsia="Times New Roman"/>
        </w:rPr>
        <w:t xml:space="preserve">2 </w:t>
      </w:r>
      <w:r>
        <w:rPr>
          <w:spacing w:val="-4"/>
        </w:rPr>
        <w:t>月枯水期水位较低，地下水水位随降水量的增减而上下波动。</w:t>
      </w:r>
    </w:p>
    <w:p w14:paraId="53C87DA6">
      <w:pPr>
        <w:pStyle w:val="10"/>
        <w:spacing w:before="2"/>
        <w:ind w:left="1100"/>
      </w:pPr>
      <w:r>
        <w:rPr>
          <w:rFonts w:ascii="Times New Roman" w:eastAsia="Times New Roman"/>
        </w:rPr>
        <w:t>4</w:t>
      </w:r>
      <w:r>
        <w:t>）评价区水文地质条件</w:t>
      </w:r>
    </w:p>
    <w:p w14:paraId="46C6B911">
      <w:pPr>
        <w:pStyle w:val="10"/>
        <w:spacing w:before="161" w:line="364" w:lineRule="auto"/>
        <w:ind w:left="620" w:right="737" w:firstLine="480"/>
        <w:jc w:val="both"/>
      </w:pPr>
      <w:r>
        <w:rPr>
          <w:spacing w:val="-5"/>
        </w:rPr>
        <w:t>评价区地下水按其含水层性质及埋藏条件，可分为：松散岩类孔隙水和岩浆</w:t>
      </w:r>
      <w:r>
        <w:rPr>
          <w:spacing w:val="-6"/>
        </w:rPr>
        <w:t xml:space="preserve">岩风化裂隙水。项目评价区水文地质分布见图 </w:t>
      </w:r>
      <w:r>
        <w:rPr>
          <w:rFonts w:ascii="Times New Roman" w:eastAsia="Times New Roman"/>
        </w:rPr>
        <w:t>4.3-1</w:t>
      </w:r>
      <w:r>
        <w:t>。各类地下水地质富水性及地下水化学类型如下：</w:t>
      </w:r>
    </w:p>
    <w:p w14:paraId="263ADA9A">
      <w:pPr>
        <w:pStyle w:val="10"/>
        <w:spacing w:before="1"/>
        <w:ind w:left="1100"/>
      </w:pPr>
      <w:r>
        <w:t>①松散岩类孔隙水</w:t>
      </w:r>
    </w:p>
    <w:p w14:paraId="30D07460">
      <w:pPr>
        <w:pStyle w:val="10"/>
        <w:spacing w:before="161" w:line="364" w:lineRule="auto"/>
        <w:ind w:left="620" w:right="617" w:firstLine="480"/>
      </w:pPr>
      <w:r>
        <w:rPr>
          <w:spacing w:val="-16"/>
        </w:rPr>
        <w:t>含水岩组由全新统、更新统砂层、砂砾卵石层组成，沿汨罗江两岸阶地分布。</w:t>
      </w:r>
      <w:r>
        <w:rPr>
          <w:spacing w:val="-21"/>
        </w:rPr>
        <w:t xml:space="preserve">孔隙水主要赋存于 </w:t>
      </w:r>
      <w:r>
        <w:rPr>
          <w:rFonts w:ascii="Times New Roman" w:hAnsi="Times New Roman" w:eastAsia="Times New Roman"/>
        </w:rPr>
        <w:t>1</w:t>
      </w:r>
      <w:r>
        <w:t xml:space="preserve">、Ⅱ级阶地中下部的砂层或砾卵石层中，呈孔隙潜水形式， </w:t>
      </w:r>
      <w:r>
        <w:rPr>
          <w:spacing w:val="-6"/>
        </w:rPr>
        <w:t xml:space="preserve">含水中等，泉水流量 </w:t>
      </w:r>
      <w:r>
        <w:rPr>
          <w:rFonts w:ascii="Times New Roman" w:hAnsi="Times New Roman" w:eastAsia="Times New Roman"/>
        </w:rPr>
        <w:t>0.02-0.08L/S</w:t>
      </w:r>
      <w:r>
        <w:rPr>
          <w:spacing w:val="-6"/>
        </w:rPr>
        <w:t xml:space="preserve">，单井出水量可供应 </w:t>
      </w:r>
      <w:r>
        <w:rPr>
          <w:rFonts w:ascii="Times New Roman" w:hAnsi="Times New Roman" w:eastAsia="Times New Roman"/>
        </w:rPr>
        <w:t xml:space="preserve">20-40 </w:t>
      </w:r>
      <w:r>
        <w:t>人生活用水，井水</w:t>
      </w:r>
      <w:r>
        <w:rPr>
          <w:spacing w:val="-11"/>
        </w:rPr>
        <w:t xml:space="preserve">位埋深一般 </w:t>
      </w:r>
      <w:r>
        <w:rPr>
          <w:rFonts w:ascii="Times New Roman" w:hAnsi="Times New Roman" w:eastAsia="Times New Roman"/>
        </w:rPr>
        <w:t xml:space="preserve">1-3m </w:t>
      </w:r>
      <w:r>
        <w:t>左右。地下水补给来源主要为大气降水直接渗入补给，不同时</w:t>
      </w:r>
      <w:r>
        <w:rPr>
          <w:spacing w:val="-13"/>
        </w:rPr>
        <w:t>期地下水与地表水呈互补关系，一般地下水补给河水，洪水期可有短期的反补给。</w:t>
      </w:r>
      <w:r>
        <w:rPr>
          <w:spacing w:val="-16"/>
        </w:rPr>
        <w:t>地下水径流坡度与含水层的岩性或基岩底板起伏有关，由高处往低处运移，并于</w:t>
      </w:r>
      <w:r>
        <w:rPr>
          <w:spacing w:val="-19"/>
        </w:rPr>
        <w:t>低洼地带或冲沟中以泉点形式出露，或以人工取水方式排泄。水质类型以碳酸钙</w:t>
      </w:r>
      <w:r>
        <w:rPr>
          <w:spacing w:val="-22"/>
          <w:position w:val="2"/>
        </w:rPr>
        <w:t>型水</w:t>
      </w:r>
      <w:r>
        <w:rPr>
          <w:spacing w:val="-4"/>
          <w:position w:val="2"/>
        </w:rPr>
        <w:t>（</w:t>
      </w:r>
      <w:r>
        <w:rPr>
          <w:rFonts w:ascii="Times New Roman" w:hAnsi="Times New Roman" w:eastAsia="Times New Roman"/>
          <w:spacing w:val="-4"/>
          <w:position w:val="2"/>
        </w:rPr>
        <w:t>HCO</w:t>
      </w:r>
      <w:r>
        <w:rPr>
          <w:rFonts w:ascii="Times New Roman" w:hAnsi="Times New Roman" w:eastAsia="Times New Roman"/>
          <w:spacing w:val="-4"/>
          <w:position w:val="2"/>
          <w:vertAlign w:val="subscript"/>
        </w:rPr>
        <w:t>3</w:t>
      </w:r>
      <w:r>
        <w:rPr>
          <w:rFonts w:ascii="Times New Roman" w:hAnsi="Times New Roman" w:eastAsia="Times New Roman"/>
          <w:spacing w:val="-4"/>
          <w:position w:val="2"/>
          <w:vertAlign w:val="baseline"/>
        </w:rPr>
        <w:t>-Ca</w:t>
      </w:r>
      <w:r>
        <w:rPr>
          <w:spacing w:val="-4"/>
          <w:position w:val="2"/>
          <w:vertAlign w:val="baseline"/>
        </w:rPr>
        <w:t>）</w:t>
      </w:r>
      <w:r>
        <w:rPr>
          <w:spacing w:val="-9"/>
          <w:position w:val="2"/>
          <w:vertAlign w:val="baseline"/>
        </w:rPr>
        <w:t>为主。</w:t>
      </w:r>
      <w:r>
        <w:rPr>
          <w:rFonts w:ascii="Times New Roman" w:hAnsi="Times New Roman" w:eastAsia="Times New Roman"/>
          <w:position w:val="2"/>
          <w:vertAlign w:val="baseline"/>
        </w:rPr>
        <w:t xml:space="preserve">pH </w:t>
      </w:r>
      <w:r>
        <w:rPr>
          <w:spacing w:val="-29"/>
          <w:position w:val="2"/>
          <w:vertAlign w:val="baseline"/>
        </w:rPr>
        <w:t xml:space="preserve">值 </w:t>
      </w:r>
      <w:r>
        <w:rPr>
          <w:rFonts w:ascii="Times New Roman" w:hAnsi="Times New Roman" w:eastAsia="Times New Roman"/>
          <w:spacing w:val="-7"/>
          <w:position w:val="2"/>
          <w:vertAlign w:val="baseline"/>
        </w:rPr>
        <w:t>7-9</w:t>
      </w:r>
      <w:r>
        <w:rPr>
          <w:spacing w:val="-14"/>
          <w:position w:val="2"/>
          <w:vertAlign w:val="baseline"/>
        </w:rPr>
        <w:t xml:space="preserve">，矿化度 </w:t>
      </w:r>
      <w:r>
        <w:rPr>
          <w:rFonts w:ascii="Times New Roman" w:hAnsi="Times New Roman" w:eastAsia="Times New Roman"/>
          <w:spacing w:val="-3"/>
          <w:position w:val="2"/>
          <w:vertAlign w:val="baseline"/>
        </w:rPr>
        <w:t>0.1-0.5g/L</w:t>
      </w:r>
      <w:r>
        <w:rPr>
          <w:spacing w:val="-9"/>
          <w:position w:val="2"/>
          <w:vertAlign w:val="baseline"/>
        </w:rPr>
        <w:t xml:space="preserve">，总硬度平均值 </w:t>
      </w:r>
      <w:r>
        <w:rPr>
          <w:rFonts w:ascii="Times New Roman" w:hAnsi="Times New Roman" w:eastAsia="Times New Roman"/>
          <w:position w:val="2"/>
          <w:vertAlign w:val="baseline"/>
        </w:rPr>
        <w:t xml:space="preserve">6.43 </w:t>
      </w:r>
      <w:r>
        <w:rPr>
          <w:position w:val="2"/>
          <w:vertAlign w:val="baseline"/>
        </w:rPr>
        <w:t>德度。</w:t>
      </w:r>
    </w:p>
    <w:p w14:paraId="5CA98394">
      <w:pPr>
        <w:pStyle w:val="10"/>
        <w:ind w:left="1100"/>
      </w:pPr>
      <w:r>
        <w:t>②岩浆岩风化裂隙水</w:t>
      </w:r>
    </w:p>
    <w:p w14:paraId="4293AA0B">
      <w:pPr>
        <w:pStyle w:val="10"/>
        <w:spacing w:before="161" w:line="364" w:lineRule="auto"/>
        <w:ind w:left="620" w:right="737" w:firstLine="480"/>
        <w:jc w:val="both"/>
      </w:pPr>
      <w:r>
        <w:rPr>
          <w:spacing w:val="-4"/>
        </w:rPr>
        <w:t>含水岩组为燕山期二云母二长花岗岩及黑云母二长花岗岩组成。花岗岩剧烈</w:t>
      </w:r>
      <w:r>
        <w:rPr>
          <w:spacing w:val="-10"/>
        </w:rPr>
        <w:t>风化，风化深度可达十余米，地下水沿节理裂隙密集带活动。含水较中等，泉水</w:t>
      </w:r>
      <w:r>
        <w:rPr>
          <w:spacing w:val="-19"/>
        </w:rPr>
        <w:t xml:space="preserve">流量一般为 </w:t>
      </w:r>
      <w:r>
        <w:rPr>
          <w:rFonts w:ascii="Times New Roman" w:eastAsia="Times New Roman"/>
        </w:rPr>
        <w:t>0.01-1L/S</w:t>
      </w:r>
      <w:r>
        <w:t>。补给来源为大气降水及残坡积层中上层滞水、孔隙水。</w:t>
      </w:r>
    </w:p>
    <w:p w14:paraId="526D616A">
      <w:pPr>
        <w:pStyle w:val="10"/>
        <w:spacing w:before="2" w:line="364" w:lineRule="auto"/>
        <w:ind w:left="620" w:right="737" w:firstLine="480"/>
        <w:jc w:val="both"/>
      </w:pPr>
      <w:r>
        <w:rPr>
          <w:spacing w:val="-5"/>
        </w:rPr>
        <w:t>迳流排泄条件受裂隙发育程度及地形控制，丘坡地下水由高往低渗流，部分</w:t>
      </w:r>
      <w:r>
        <w:rPr>
          <w:spacing w:val="-11"/>
        </w:rPr>
        <w:t>地下水在谷地渗出地表，或以人工取水方式排泄。水力性质一般为潜水，局部具</w:t>
      </w:r>
      <w:r>
        <w:rPr>
          <w:spacing w:val="-11"/>
          <w:position w:val="2"/>
        </w:rPr>
        <w:t>承压性，水质类型一般为重碳酸盐钙型水（</w:t>
      </w:r>
      <w:r>
        <w:rPr>
          <w:rFonts w:ascii="Times New Roman" w:eastAsia="Times New Roman"/>
          <w:spacing w:val="-11"/>
          <w:position w:val="2"/>
        </w:rPr>
        <w:t>HCO</w:t>
      </w:r>
      <w:r>
        <w:rPr>
          <w:rFonts w:ascii="Times New Roman" w:eastAsia="Times New Roman"/>
          <w:spacing w:val="-11"/>
          <w:position w:val="2"/>
          <w:vertAlign w:val="subscript"/>
        </w:rPr>
        <w:t>3</w:t>
      </w:r>
      <w:r>
        <w:rPr>
          <w:rFonts w:ascii="Times New Roman" w:eastAsia="Times New Roman"/>
          <w:spacing w:val="-11"/>
          <w:position w:val="2"/>
          <w:vertAlign w:val="baseline"/>
        </w:rPr>
        <w:t>-Ca</w:t>
      </w:r>
      <w:r>
        <w:rPr>
          <w:spacing w:val="-11"/>
          <w:position w:val="2"/>
          <w:vertAlign w:val="baseline"/>
        </w:rPr>
        <w:t>），</w:t>
      </w:r>
      <w:r>
        <w:rPr>
          <w:rFonts w:ascii="Times New Roman" w:eastAsia="Times New Roman"/>
          <w:spacing w:val="-11"/>
          <w:position w:val="2"/>
          <w:vertAlign w:val="baseline"/>
        </w:rPr>
        <w:t xml:space="preserve">pH </w:t>
      </w:r>
      <w:r>
        <w:rPr>
          <w:spacing w:val="-31"/>
          <w:position w:val="2"/>
          <w:vertAlign w:val="baseline"/>
        </w:rPr>
        <w:t xml:space="preserve">值 </w:t>
      </w:r>
      <w:r>
        <w:rPr>
          <w:rFonts w:ascii="Times New Roman" w:eastAsia="Times New Roman"/>
          <w:position w:val="2"/>
          <w:vertAlign w:val="baseline"/>
        </w:rPr>
        <w:t>6.5-7.3</w:t>
      </w:r>
      <w:r>
        <w:rPr>
          <w:position w:val="2"/>
          <w:vertAlign w:val="baseline"/>
        </w:rPr>
        <w:t>；矿化度</w:t>
      </w:r>
    </w:p>
    <w:p w14:paraId="5AC8DB1B">
      <w:pPr>
        <w:spacing w:after="0" w:line="364" w:lineRule="auto"/>
        <w:jc w:val="both"/>
        <w:sectPr>
          <w:pgSz w:w="11910" w:h="16840"/>
          <w:pgMar w:top="1460" w:right="1060" w:bottom="1380" w:left="1180" w:header="0" w:footer="1192" w:gutter="0"/>
          <w:cols w:space="720" w:num="1"/>
        </w:sectPr>
      </w:pPr>
    </w:p>
    <w:p w14:paraId="54EB9E3C">
      <w:pPr>
        <w:pStyle w:val="10"/>
        <w:spacing w:before="62" w:after="80"/>
        <w:ind w:left="620"/>
      </w:pPr>
      <w:r>
        <w:rPr>
          <w:rFonts w:ascii="Times New Roman" w:eastAsia="Times New Roman"/>
        </w:rPr>
        <w:t>0.1-0.6g/L</w:t>
      </w:r>
      <w:r>
        <w:t xml:space="preserve">，总硬度平均值 </w:t>
      </w:r>
      <w:r>
        <w:rPr>
          <w:rFonts w:ascii="Times New Roman" w:eastAsia="Times New Roman"/>
        </w:rPr>
        <w:t xml:space="preserve">3.0 </w:t>
      </w:r>
      <w:r>
        <w:t>德度。</w:t>
      </w:r>
    </w:p>
    <w:p w14:paraId="35906494">
      <w:pPr>
        <w:pStyle w:val="10"/>
        <w:ind w:left="619"/>
        <w:rPr>
          <w:sz w:val="20"/>
        </w:rPr>
      </w:pPr>
      <w:r>
        <w:rPr>
          <w:sz w:val="20"/>
        </w:rPr>
        <w:pict>
          <v:group id="_x0000_s3119" o:spid="_x0000_s3119" o:spt="203" style="height:388.75pt;width:431.5pt;" coordsize="8630,7775">
            <o:lock v:ext="edit"/>
            <v:shape id="_x0000_s3120" o:spid="_x0000_s3120" o:spt="75" type="#_x0000_t75" style="position:absolute;left:15;top:15;height:7745;width:8600;" filled="f" stroked="f" coordsize="21600,21600">
              <v:path/>
              <v:fill on="f" focussize="0,0"/>
              <v:stroke on="f"/>
              <v:imagedata r:id="rId137" o:title=""/>
              <o:lock v:ext="edit" aspectratio="t"/>
            </v:shape>
            <v:shape id="_x0000_s3121" o:spid="_x0000_s3121" style="position:absolute;left:0;top:0;height:7775;width:8630;" fillcolor="#000000" filled="t" stroked="f" coordsize="8630,7775" path="m8622,7775l8,7775,5,7774,3,7773,1,7772,0,7770,0,7767,0,8,0,5,1,3,3,1,5,0,8,0,8622,0,8624,0,8626,1,8628,3,8629,5,8629,8,15,8,8,15,15,15,15,7760,8,7760,15,7767,8629,7767,8629,7770,8628,7772,8626,7773,8624,7774,8622,7775xm15,15l8,15,15,8,15,15xm8614,15l15,15,15,8,8614,8,8614,15xm8614,7767l8614,8,8622,15,8629,15,8629,7760,8622,7760,8614,7767xm8629,15l8622,15,8614,8,8629,8,8629,15xm15,7767l8,7760,15,7760,15,7767xm8614,7767l15,7767,15,7760,8614,7760,8614,7767xm8629,7767l8614,7767,8622,7760,8629,7760,8629,7767xe">
              <v:path arrowok="t"/>
              <v:fill on="t" focussize="0,0"/>
              <v:stroke on="f"/>
              <v:imagedata o:title=""/>
              <o:lock v:ext="edit"/>
            </v:shape>
            <v:shape id="_x0000_s3122" o:spid="_x0000_s3122" style="position:absolute;left:4458;top:4075;height:1146;width:1799;" fillcolor="#FF0000" filled="t" stroked="f" coordorigin="4458,4075" coordsize="1799,1146" path="m6200,5191l5194,4617,4534,4617,4525,4613,4517,4611,4508,4607,4500,4601,4493,4597,4486,4589,4480,4583,4474,4575,4470,4567,4466,4559,4462,4551,4460,4541,4459,4537,4459,4533,4458,4527,4458,4165,4459,4159,4459,4155,4460,4151,4462,4141,4466,4133,4470,4125,4474,4117,4480,4109,4486,4103,4493,4095,4500,4091,4508,4085,4517,4081,4525,4079,4534,4075,5652,4075,5661,4079,5670,4081,5678,4085,5683,4089,4542,4089,4537,4091,4538,4091,4529,4093,4530,4093,4522,4095,4523,4095,4515,4099,4516,4099,4508,4103,4509,4103,4502,4107,4503,4107,4496,4113,4497,4113,4491,4119,4492,4119,4487,4125,4487,4125,4483,4131,4483,4131,4480,4137,4480,4137,4477,4145,4477,4145,4475,4153,4475,4153,4474,4157,4474,4157,4473,4161,4474,4161,4473,4165,4473,4527,4474,4531,4473,4531,4474,4535,4474,4535,4475,4539,4475,4539,4477,4547,4477,4547,4480,4555,4480,4555,4483,4561,4483,4561,4487,4567,4487,4567,4492,4573,4491,4573,4497,4579,4496,4579,4503,4585,4502,4585,4509,4589,4508,4589,4516,4593,4515,4593,4523,4597,4522,4597,4530,4599,4529,4599,4538,4601,4537,4601,4542,4603,5200,4603,6135,5137,6200,5191xm5707,4139l5703,4131,5704,4131,5699,4125,5700,4125,5694,4119,5695,4119,5689,4113,5690,4113,5683,4107,5684,4107,5677,4103,5678,4103,5671,4099,5671,4099,5663,4095,5664,4095,5656,4093,5657,4093,5648,4091,5649,4091,5645,4089,5683,4089,5686,4091,5693,4095,5700,4103,5706,4109,5712,4117,5717,4125,5721,4133,5722,4137,5707,4137,5707,4139xm4479,4139l4480,4137,4480,4137,4479,4139xm5710,4147l5707,4137,5722,4137,5724,4141,5725,4145,5709,4145,5710,4147xm4477,4147l4477,4145,4477,4145,4477,4147xm5725,4547l5709,4547,5712,4539,5711,4539,5712,4535,5712,4535,5713,4531,5713,4531,5713,4527,5713,4165,5713,4165,5713,4161,5713,4161,5712,4157,5712,4157,5711,4153,5712,4153,5709,4145,5725,4145,5726,4151,5727,4155,5728,4159,5728,4165,5728,4527,5728,4533,5727,4537,5726,4541,5725,4547xm4477,4547l4477,4547,4477,4545,4477,4547xm5722,4555l5707,4555,5710,4545,5709,4547,5725,4547,5724,4551,5722,4555xm4480,4555l4480,4555,4479,4553,4480,4555xm6254,5221l6201,5191,6201,5191,6209,5179,6135,5137,5491,4603,5645,4603,5649,4601,5648,4601,5657,4599,5656,4599,5664,4597,5663,4597,5671,4593,5671,4593,5678,4589,5677,4589,5684,4585,5683,4585,5690,4579,5689,4579,5695,4573,5694,4573,5700,4567,5699,4567,5704,4561,5703,4561,5707,4553,5707,4555,5722,4555,5721,4559,5717,4567,5712,4575,5706,4583,5700,4589,5693,4597,5686,4601,5681,4605,5516,4605,5511,4617,5531,4617,6256,5217,6254,5221xm5531,4617l5511,4617,5516,4605,5531,4617xm5652,4617l5531,4617,5516,4605,5681,4605,5678,4607,5670,4611,5661,4613,5652,4617xm6201,5191l6200,5191,6135,5137,6209,5179,6201,5191xm6201,5191l6200,5191,6201,5191,6201,5191xe">
              <v:path arrowok="t"/>
              <v:fill on="t" focussize="0,0"/>
              <v:stroke on="f"/>
              <v:imagedata o:title=""/>
              <o:lock v:ext="edit"/>
            </v:shape>
            <v:shape id="_x0000_s3123" o:spid="_x0000_s3123" o:spt="75" type="#_x0000_t75" style="position:absolute;left:6198;top:5189;height:158;width:158;" filled="f" stroked="f" coordsize="21600,21600">
              <v:path/>
              <v:fill on="f" focussize="0,0"/>
              <v:stroke on="f"/>
              <v:imagedata r:id="rId138" o:title=""/>
              <o:lock v:ext="edit" aspectratio="t"/>
            </v:shape>
            <v:shape id="_x0000_s3124" o:spid="_x0000_s3124" o:spt="202" type="#_x0000_t202" style="position:absolute;left:4642;top:4237;height:209;width:652;" filled="f" stroked="f" coordsize="21600,21600">
              <v:path/>
              <v:fill on="f" focussize="0,0"/>
              <v:stroke on="f" joinstyle="miter"/>
              <v:imagedata o:title=""/>
              <o:lock v:ext="edit"/>
              <v:textbox inset="0mm,0mm,0mm,0mm">
                <w:txbxContent>
                  <w:p w14:paraId="2E1FE73B">
                    <w:pPr>
                      <w:spacing w:before="0" w:line="209" w:lineRule="exact"/>
                      <w:ind w:left="0" w:right="0" w:firstLine="0"/>
                      <w:jc w:val="left"/>
                      <w:rPr>
                        <w:b/>
                        <w:sz w:val="21"/>
                      </w:rPr>
                    </w:pPr>
                    <w:r>
                      <w:rPr>
                        <w:b/>
                        <w:color w:val="FF0000"/>
                        <w:sz w:val="21"/>
                      </w:rPr>
                      <w:t>项目地</w:t>
                    </w:r>
                  </w:p>
                </w:txbxContent>
              </v:textbox>
            </v:shape>
            <w10:wrap type="none"/>
            <w10:anchorlock/>
          </v:group>
        </w:pict>
      </w:r>
    </w:p>
    <w:p w14:paraId="2A235D30">
      <w:pPr>
        <w:spacing w:after="0"/>
        <w:rPr>
          <w:sz w:val="20"/>
        </w:rPr>
        <w:sectPr>
          <w:pgSz w:w="11910" w:h="16840"/>
          <w:pgMar w:top="1440" w:right="1060" w:bottom="1380" w:left="1180" w:header="0" w:footer="1192" w:gutter="0"/>
          <w:cols w:space="720" w:num="1"/>
        </w:sectPr>
      </w:pPr>
    </w:p>
    <w:p w14:paraId="788DDD2E">
      <w:pPr>
        <w:pStyle w:val="10"/>
        <w:spacing w:before="11"/>
        <w:rPr>
          <w:sz w:val="29"/>
        </w:rPr>
      </w:pPr>
    </w:p>
    <w:p w14:paraId="1DD4AE4B">
      <w:pPr>
        <w:pStyle w:val="10"/>
        <w:ind w:left="1100"/>
      </w:pPr>
      <w:r>
        <w:t>（</w:t>
      </w:r>
      <w:r>
        <w:rPr>
          <w:rFonts w:ascii="Times New Roman" w:eastAsia="Times New Roman"/>
        </w:rPr>
        <w:t>3</w:t>
      </w:r>
      <w:r>
        <w:t>）水文特征</w:t>
      </w:r>
    </w:p>
    <w:p w14:paraId="1FED9E27">
      <w:pPr>
        <w:tabs>
          <w:tab w:val="left" w:pos="1368"/>
        </w:tabs>
        <w:spacing w:before="12"/>
        <w:ind w:left="456" w:right="0" w:firstLine="0"/>
        <w:jc w:val="left"/>
        <w:rPr>
          <w:b/>
          <w:sz w:val="21"/>
        </w:rPr>
      </w:pPr>
      <w:r>
        <w:br w:type="column"/>
      </w:r>
      <w:r>
        <w:rPr>
          <w:b/>
          <w:sz w:val="21"/>
        </w:rPr>
        <w:t>图</w:t>
      </w:r>
      <w:r>
        <w:rPr>
          <w:b/>
          <w:spacing w:val="-52"/>
          <w:sz w:val="21"/>
        </w:rPr>
        <w:t xml:space="preserve"> </w:t>
      </w:r>
      <w:r>
        <w:rPr>
          <w:rFonts w:ascii="Times New Roman" w:eastAsia="Times New Roman"/>
          <w:b/>
          <w:sz w:val="21"/>
        </w:rPr>
        <w:t>4.3-1</w:t>
      </w:r>
      <w:r>
        <w:rPr>
          <w:rFonts w:ascii="Times New Roman" w:eastAsia="Times New Roman"/>
          <w:b/>
          <w:sz w:val="21"/>
        </w:rPr>
        <w:tab/>
      </w:r>
      <w:r>
        <w:rPr>
          <w:b/>
          <w:sz w:val="21"/>
        </w:rPr>
        <w:t>本项目评价区水文地质图</w:t>
      </w:r>
    </w:p>
    <w:p w14:paraId="18CC64F5">
      <w:pPr>
        <w:spacing w:after="0"/>
        <w:jc w:val="left"/>
        <w:rPr>
          <w:sz w:val="21"/>
        </w:rPr>
        <w:sectPr>
          <w:type w:val="continuous"/>
          <w:pgSz w:w="11910" w:h="16840"/>
          <w:pgMar w:top="1600" w:right="1060" w:bottom="280" w:left="1180" w:header="720" w:footer="720" w:gutter="0"/>
          <w:cols w:equalWidth="0" w:num="2">
            <w:col w:w="2661" w:space="40"/>
            <w:col w:w="6969"/>
          </w:cols>
        </w:sectPr>
      </w:pPr>
    </w:p>
    <w:p w14:paraId="61D27E3A">
      <w:pPr>
        <w:pStyle w:val="10"/>
        <w:spacing w:before="160" w:line="364" w:lineRule="auto"/>
        <w:ind w:left="620" w:right="737" w:firstLine="480"/>
        <w:jc w:val="both"/>
      </w:pPr>
      <w:r>
        <w:rPr>
          <w:spacing w:val="-5"/>
        </w:rPr>
        <w:t>为了解项目拟建地周边居民供水水井水质情况，由引用监测数据可知，项目</w:t>
      </w:r>
      <w:r>
        <w:rPr>
          <w:spacing w:val="-7"/>
        </w:rPr>
        <w:t>区域地下水监测因子均达到《地下水环境质量标准》</w:t>
      </w:r>
      <w:r>
        <w:rPr>
          <w:spacing w:val="-1"/>
        </w:rPr>
        <w:t>（</w:t>
      </w:r>
      <w:r>
        <w:rPr>
          <w:rFonts w:ascii="Times New Roman" w:hAnsi="Times New Roman" w:eastAsia="Times New Roman"/>
          <w:spacing w:val="-1"/>
        </w:rPr>
        <w:t>GB/T14848-2017</w:t>
      </w:r>
      <w:r>
        <w:rPr>
          <w:spacing w:val="-1"/>
        </w:rPr>
        <w:t>）</w:t>
      </w:r>
      <w:r>
        <w:t>中的</w:t>
      </w:r>
      <w:r>
        <w:rPr>
          <w:rFonts w:ascii="Times New Roman" w:hAnsi="Times New Roman" w:eastAsia="Times New Roman"/>
        </w:rPr>
        <w:t xml:space="preserve">Ⅲ </w:t>
      </w:r>
      <w:r>
        <w:t>类标准。</w:t>
      </w:r>
    </w:p>
    <w:p w14:paraId="3129A840">
      <w:pPr>
        <w:pStyle w:val="10"/>
        <w:spacing w:before="2" w:line="364" w:lineRule="auto"/>
        <w:ind w:left="620" w:right="737" w:firstLine="480"/>
        <w:jc w:val="both"/>
      </w:pPr>
      <w:r>
        <w:rPr>
          <w:spacing w:val="-16"/>
        </w:rPr>
        <w:t>根据调查，项目拟建地区域属于《环境影响评价技术导则 地下水环境》</w:t>
      </w:r>
      <w:r>
        <w:t>（</w:t>
      </w:r>
      <w:r>
        <w:rPr>
          <w:rFonts w:ascii="Times New Roman" w:eastAsia="Times New Roman"/>
        </w:rPr>
        <w:t>HJ 610-2016</w:t>
      </w:r>
      <w:r>
        <w:t>）</w:t>
      </w:r>
      <w:r>
        <w:rPr>
          <w:spacing w:val="-31"/>
        </w:rPr>
        <w:t xml:space="preserve">表 </w:t>
      </w:r>
      <w:r>
        <w:rPr>
          <w:rFonts w:ascii="Times New Roman" w:eastAsia="Times New Roman"/>
        </w:rPr>
        <w:t xml:space="preserve">1 </w:t>
      </w:r>
      <w:r>
        <w:t>中的不敏感区。</w:t>
      </w:r>
    </w:p>
    <w:p w14:paraId="5D08B0B8">
      <w:pPr>
        <w:pStyle w:val="10"/>
        <w:spacing w:before="1" w:line="364" w:lineRule="auto"/>
        <w:ind w:left="1100" w:right="6285"/>
      </w:pPr>
      <w:r>
        <w:rPr>
          <w:rFonts w:ascii="Times New Roman" w:eastAsia="Times New Roman"/>
        </w:rPr>
        <w:t>2</w:t>
      </w:r>
      <w:r>
        <w:t>、污染源及污染途径地下水污染源类型</w:t>
      </w:r>
    </w:p>
    <w:p w14:paraId="567835E2">
      <w:pPr>
        <w:pStyle w:val="10"/>
        <w:spacing w:before="2" w:line="364" w:lineRule="auto"/>
        <w:ind w:left="620" w:right="737" w:firstLine="480"/>
        <w:jc w:val="both"/>
      </w:pPr>
      <w:r>
        <w:rPr>
          <w:spacing w:val="-4"/>
        </w:rPr>
        <w:t>污染物从污染源进入地下水所经过路径称为地下水污染途径，地下水污染途</w:t>
      </w:r>
      <w:r>
        <w:rPr>
          <w:spacing w:val="-11"/>
        </w:rPr>
        <w:t>径是多种多样的。根据工程所处区域的地质情况，拟建项目可能对下水造成污染的途径主要为化粪池污水下渗对地下水造成的污染。</w:t>
      </w:r>
    </w:p>
    <w:p w14:paraId="05333D0A">
      <w:pPr>
        <w:spacing w:after="0" w:line="364" w:lineRule="auto"/>
        <w:jc w:val="both"/>
        <w:sectPr>
          <w:type w:val="continuous"/>
          <w:pgSz w:w="11910" w:h="16840"/>
          <w:pgMar w:top="1600" w:right="1060" w:bottom="280" w:left="1180" w:header="720" w:footer="720" w:gutter="0"/>
          <w:cols w:space="720" w:num="1"/>
        </w:sectPr>
      </w:pPr>
    </w:p>
    <w:p w14:paraId="1D80A6F1">
      <w:pPr>
        <w:pStyle w:val="10"/>
        <w:spacing w:before="62"/>
        <w:ind w:left="1100"/>
      </w:pPr>
      <w:r>
        <w:t>（</w:t>
      </w:r>
      <w:r>
        <w:rPr>
          <w:rFonts w:ascii="Times New Roman" w:eastAsia="Times New Roman"/>
        </w:rPr>
        <w:t>1</w:t>
      </w:r>
      <w:r>
        <w:t>）地下水污染源源强分析</w:t>
      </w:r>
    </w:p>
    <w:p w14:paraId="677B5B2B">
      <w:pPr>
        <w:pStyle w:val="10"/>
        <w:spacing w:before="160" w:line="364" w:lineRule="auto"/>
        <w:ind w:left="620" w:right="737" w:firstLine="480"/>
        <w:jc w:val="both"/>
      </w:pPr>
      <w:r>
        <w:rPr>
          <w:spacing w:val="-3"/>
        </w:rPr>
        <w:t>本项目可能对地下水的影响为废水的事故泄漏和危废暂存区的污染下渗。在</w:t>
      </w:r>
      <w:r>
        <w:rPr>
          <w:spacing w:val="-9"/>
        </w:rPr>
        <w:t>采取收集、防渗等措施后废水对地下水产生的影响极小，可忽略；对危废暂存区</w:t>
      </w:r>
      <w:r>
        <w:rPr>
          <w:spacing w:val="-1"/>
        </w:rPr>
        <w:t>按《危险废物贮存污染控制标准》</w:t>
      </w:r>
      <w:r>
        <w:t>（</w:t>
      </w:r>
      <w:r>
        <w:rPr>
          <w:rFonts w:ascii="Times New Roman" w:hAnsi="Times New Roman" w:eastAsia="Times New Roman"/>
        </w:rPr>
        <w:t>GB18597-2023</w:t>
      </w:r>
      <w:r>
        <w:t>）的要求，使防渗层渗透系数</w:t>
      </w:r>
      <w:r>
        <w:rPr>
          <w:rFonts w:ascii="Times New Roman" w:hAnsi="Times New Roman" w:eastAsia="Times New Roman"/>
        </w:rPr>
        <w:t>≤10</w:t>
      </w:r>
      <w:r>
        <w:rPr>
          <w:rFonts w:ascii="Times New Roman" w:hAnsi="Times New Roman" w:eastAsia="Times New Roman"/>
          <w:position w:val="8"/>
          <w:sz w:val="15"/>
        </w:rPr>
        <w:t>-10</w:t>
      </w:r>
      <w:r>
        <w:rPr>
          <w:rFonts w:ascii="Times New Roman" w:hAnsi="Times New Roman" w:eastAsia="Times New Roman"/>
        </w:rPr>
        <w:t>cm/s</w:t>
      </w:r>
      <w:r>
        <w:t>，同时在危废暂存区四周设堵截泄露的裙脚，通过上述措施可有效避免项目危险废物及废水对地下水的污染。</w:t>
      </w:r>
    </w:p>
    <w:p w14:paraId="25BB63D6">
      <w:pPr>
        <w:pStyle w:val="10"/>
        <w:spacing w:before="3"/>
        <w:ind w:left="1100"/>
      </w:pPr>
      <w:r>
        <w:t>（</w:t>
      </w:r>
      <w:r>
        <w:rPr>
          <w:rFonts w:ascii="Times New Roman" w:eastAsia="Times New Roman"/>
        </w:rPr>
        <w:t>2</w:t>
      </w:r>
      <w:r>
        <w:t>）污染途径分析</w:t>
      </w:r>
    </w:p>
    <w:p w14:paraId="3B21991C">
      <w:pPr>
        <w:pStyle w:val="10"/>
        <w:spacing w:before="161" w:line="364" w:lineRule="auto"/>
        <w:ind w:left="620" w:right="737" w:firstLine="480"/>
        <w:jc w:val="both"/>
      </w:pPr>
      <w:r>
        <w:rPr>
          <w:spacing w:val="0"/>
        </w:rPr>
        <w:t>本项目事故泄漏的废水及危废暂存区的污染下渗造成影响的途径是通过包</w:t>
      </w:r>
      <w:r>
        <w:rPr>
          <w:spacing w:val="-4"/>
        </w:rPr>
        <w:t>气带渗透到潜水含水层而污染地下水的。包气带厚度愈薄，透水性愈好，就愈易</w:t>
      </w:r>
      <w:r>
        <w:rPr>
          <w:spacing w:val="-12"/>
        </w:rPr>
        <w:t>造成潜水污染，反之，包气带愈厚、透水性愈差，则其隔污能力就愈强，则潜水层污染的可能性就小。</w:t>
      </w:r>
    </w:p>
    <w:p w14:paraId="67902084">
      <w:pPr>
        <w:pStyle w:val="10"/>
        <w:spacing w:before="2"/>
        <w:ind w:left="1100"/>
      </w:pPr>
      <w:r>
        <w:rPr>
          <w:rFonts w:ascii="Times New Roman" w:eastAsia="Times New Roman"/>
        </w:rPr>
        <w:t>3</w:t>
      </w:r>
      <w:r>
        <w:t>、影响分析</w:t>
      </w:r>
    </w:p>
    <w:p w14:paraId="19514F3C">
      <w:pPr>
        <w:pStyle w:val="10"/>
        <w:spacing w:before="161"/>
        <w:ind w:left="1100"/>
      </w:pPr>
      <w:r>
        <w:t>①对浅层地下水的污染影响</w:t>
      </w:r>
    </w:p>
    <w:p w14:paraId="42DB9E5F">
      <w:pPr>
        <w:pStyle w:val="10"/>
        <w:spacing w:before="160" w:line="364" w:lineRule="auto"/>
        <w:ind w:left="620" w:right="737" w:firstLine="480"/>
        <w:jc w:val="both"/>
      </w:pPr>
      <w:r>
        <w:rPr>
          <w:spacing w:val="-10"/>
        </w:rPr>
        <w:t>非正常情况下，对地下水的污染主要是由于污染物迁移穿过包气带进入含水</w:t>
      </w:r>
      <w:r>
        <w:rPr>
          <w:spacing w:val="-11"/>
        </w:rPr>
        <w:t>层造成。项目场地渗透性强，说明浅层地下水容易受到污染。若废水或废液发生渗漏，污染物会很快穿过包气带进入浅层地下水，对浅层地下水的污染大。</w:t>
      </w:r>
    </w:p>
    <w:p w14:paraId="662A1335">
      <w:pPr>
        <w:pStyle w:val="10"/>
        <w:spacing w:before="2"/>
        <w:ind w:left="1100"/>
      </w:pPr>
      <w:r>
        <w:t>②对深层地下水的污染影响</w:t>
      </w:r>
    </w:p>
    <w:p w14:paraId="554641CD">
      <w:pPr>
        <w:pStyle w:val="10"/>
        <w:spacing w:before="161" w:line="364" w:lineRule="auto"/>
        <w:ind w:left="620" w:right="645" w:firstLine="480"/>
      </w:pPr>
      <w:r>
        <w:rPr>
          <w:spacing w:val="-6"/>
        </w:rPr>
        <w:t>判断深层地下水是否会受到污染影响，通常分析深层地下水含水组上覆地层</w:t>
      </w:r>
      <w:r>
        <w:rPr>
          <w:spacing w:val="-11"/>
        </w:rPr>
        <w:t>的防污性能和有无与浅层地下水的水利联系。通过水文地质条件分析，该区域深层土质渗透性弱，所以垂直渗入补给条件较差，与浅层地下水水利联系不密切。因此，深层地下水受到项目下渗污水的污染影响较小。</w:t>
      </w:r>
    </w:p>
    <w:p w14:paraId="446074AF">
      <w:pPr>
        <w:pStyle w:val="10"/>
        <w:spacing w:before="2" w:line="364" w:lineRule="auto"/>
        <w:ind w:left="620" w:right="737" w:firstLine="480"/>
        <w:jc w:val="both"/>
      </w:pPr>
      <w:r>
        <w:rPr>
          <w:spacing w:val="-6"/>
        </w:rPr>
        <w:t>本项目将按照分区防渗要求进行建设，项目对可能产生地下水影响的各项途</w:t>
      </w:r>
      <w:r>
        <w:rPr>
          <w:spacing w:val="-12"/>
        </w:rPr>
        <w:t>径均进行有效预防，在确保各项防渗措施得以落实的前提下，可有效控制厂区内</w:t>
      </w:r>
      <w:r>
        <w:rPr>
          <w:spacing w:val="-15"/>
        </w:rPr>
        <w:t>的废水污染物下渗现象，避免污染地下水，因此项目不会对区域地下水环境产生明显影响。</w:t>
      </w:r>
    </w:p>
    <w:p w14:paraId="10831354">
      <w:pPr>
        <w:pStyle w:val="3"/>
        <w:numPr>
          <w:ilvl w:val="1"/>
          <w:numId w:val="21"/>
        </w:numPr>
        <w:tabs>
          <w:tab w:val="left" w:pos="1069"/>
        </w:tabs>
        <w:spacing w:before="43" w:after="0" w:line="240" w:lineRule="auto"/>
        <w:ind w:left="1068" w:right="0" w:hanging="448"/>
        <w:jc w:val="left"/>
      </w:pPr>
      <w:bookmarkStart w:id="27" w:name="_TOC_250028"/>
      <w:bookmarkEnd w:id="27"/>
      <w:r>
        <w:t>声环境影响预测与评价</w:t>
      </w:r>
    </w:p>
    <w:p w14:paraId="34EE6EEF">
      <w:pPr>
        <w:pStyle w:val="16"/>
        <w:numPr>
          <w:ilvl w:val="2"/>
          <w:numId w:val="21"/>
        </w:numPr>
        <w:tabs>
          <w:tab w:val="left" w:pos="1249"/>
        </w:tabs>
        <w:spacing w:before="253" w:after="0" w:line="240" w:lineRule="auto"/>
        <w:ind w:left="1248" w:right="0" w:hanging="628"/>
        <w:jc w:val="left"/>
        <w:rPr>
          <w:b/>
          <w:sz w:val="28"/>
        </w:rPr>
      </w:pPr>
      <w:r>
        <w:rPr>
          <w:b/>
          <w:sz w:val="28"/>
        </w:rPr>
        <w:t>噪声源情况</w:t>
      </w:r>
    </w:p>
    <w:p w14:paraId="580F362C">
      <w:pPr>
        <w:pStyle w:val="10"/>
        <w:spacing w:before="211" w:line="364" w:lineRule="auto"/>
        <w:ind w:left="620" w:right="617" w:firstLine="480"/>
      </w:pPr>
      <w:r>
        <w:rPr>
          <w:spacing w:val="-6"/>
        </w:rPr>
        <w:t>根据工程分析可知，本项目噪声源主要为破碎机、挤出造粒机、上料机、混</w:t>
      </w:r>
      <w:r>
        <w:rPr>
          <w:spacing w:val="-13"/>
        </w:rPr>
        <w:t xml:space="preserve">料机、挤出注塑机、自动裁切机、空压机、风机等，噪声源强约 </w:t>
      </w:r>
      <w:r>
        <w:rPr>
          <w:rFonts w:ascii="Times New Roman" w:eastAsia="Times New Roman"/>
          <w:spacing w:val="-6"/>
        </w:rPr>
        <w:t>70~85dB</w:t>
      </w:r>
      <w:r>
        <w:rPr>
          <w:spacing w:val="-6"/>
        </w:rPr>
        <w:t>（</w:t>
      </w:r>
      <w:r>
        <w:rPr>
          <w:rFonts w:ascii="Times New Roman" w:eastAsia="Times New Roman"/>
          <w:spacing w:val="-6"/>
        </w:rPr>
        <w:t>A</w:t>
      </w:r>
      <w:r>
        <w:rPr>
          <w:spacing w:val="-6"/>
        </w:rPr>
        <w:t>）</w:t>
      </w:r>
      <w:r>
        <w:t>。</w:t>
      </w:r>
    </w:p>
    <w:p w14:paraId="64DD39F1">
      <w:pPr>
        <w:spacing w:after="0" w:line="364" w:lineRule="auto"/>
        <w:sectPr>
          <w:pgSz w:w="11910" w:h="16840"/>
          <w:pgMar w:top="1440" w:right="1060" w:bottom="1380" w:left="1180" w:header="0" w:footer="1192" w:gutter="0"/>
          <w:cols w:space="720" w:num="1"/>
        </w:sectPr>
      </w:pPr>
    </w:p>
    <w:p w14:paraId="605E60C4">
      <w:pPr>
        <w:pStyle w:val="10"/>
        <w:spacing w:before="42" w:line="364" w:lineRule="auto"/>
        <w:ind w:left="620" w:right="737"/>
      </w:pPr>
      <w:r>
        <w:rPr>
          <w:spacing w:val="-7"/>
        </w:rPr>
        <w:t>经采取选用低噪声设备，厂房隔声、基础减震、隔音、消音等降噪措施后，各设</w:t>
      </w:r>
      <w:r>
        <w:rPr>
          <w:spacing w:val="-14"/>
        </w:rPr>
        <w:t xml:space="preserve">备噪声源强降低 </w:t>
      </w:r>
      <w:r>
        <w:rPr>
          <w:rFonts w:ascii="Times New Roman" w:eastAsia="Times New Roman"/>
        </w:rPr>
        <w:t>15~40dB</w:t>
      </w:r>
      <w:r>
        <w:t>（</w:t>
      </w:r>
      <w:r>
        <w:rPr>
          <w:rFonts w:ascii="Times New Roman" w:eastAsia="Times New Roman"/>
        </w:rPr>
        <w:t>A</w:t>
      </w:r>
      <w:r>
        <w:t>）。</w:t>
      </w:r>
    </w:p>
    <w:p w14:paraId="57FE4ECE">
      <w:pPr>
        <w:pStyle w:val="16"/>
        <w:numPr>
          <w:ilvl w:val="2"/>
          <w:numId w:val="21"/>
        </w:numPr>
        <w:tabs>
          <w:tab w:val="left" w:pos="1321"/>
        </w:tabs>
        <w:spacing w:before="55" w:after="0" w:line="240" w:lineRule="auto"/>
        <w:ind w:left="1320" w:right="0" w:hanging="700"/>
        <w:jc w:val="left"/>
        <w:rPr>
          <w:b/>
          <w:sz w:val="28"/>
        </w:rPr>
      </w:pPr>
      <w:r>
        <w:rPr>
          <w:b/>
          <w:sz w:val="28"/>
        </w:rPr>
        <w:t>预测模式</w:t>
      </w:r>
    </w:p>
    <w:p w14:paraId="423F3B4C">
      <w:pPr>
        <w:pStyle w:val="10"/>
        <w:spacing w:before="211" w:line="364" w:lineRule="auto"/>
        <w:ind w:left="620" w:right="749" w:firstLine="492"/>
        <w:jc w:val="both"/>
      </w:pPr>
      <w:r>
        <w:t>根据《环境影响评价技术导则 声环境》</w:t>
      </w:r>
      <w:r>
        <w:rPr>
          <w:rFonts w:ascii="Times New Roman" w:eastAsia="Times New Roman"/>
        </w:rPr>
        <w:t>(HJ2.4-2021)</w:t>
      </w:r>
      <w:r>
        <w:t xml:space="preserve">推荐的方法，在用倍频带声压级计算噪声传播衰减有困难时，可用 </w:t>
      </w:r>
      <w:r>
        <w:rPr>
          <w:rFonts w:ascii="Times New Roman" w:eastAsia="Times New Roman"/>
        </w:rPr>
        <w:t xml:space="preserve">A </w:t>
      </w:r>
      <w:r>
        <w:t>声级计算噪声影响，分析如下：</w:t>
      </w:r>
    </w:p>
    <w:p w14:paraId="4811DF83">
      <w:pPr>
        <w:pStyle w:val="10"/>
        <w:spacing w:line="311" w:lineRule="exact"/>
        <w:ind w:left="1111"/>
      </w:pPr>
      <w:r>
        <w:rPr>
          <w:position w:val="2"/>
        </w:rPr>
        <w:t xml:space="preserve">①计算某一室内声源靠近围护结构处产生的 </w:t>
      </w:r>
      <w:r>
        <w:rPr>
          <w:rFonts w:ascii="Times New Roman" w:hAnsi="Times New Roman" w:eastAsia="Times New Roman"/>
          <w:position w:val="2"/>
        </w:rPr>
        <w:t xml:space="preserve">A </w:t>
      </w:r>
      <w:r>
        <w:rPr>
          <w:position w:val="2"/>
        </w:rPr>
        <w:t xml:space="preserve">声压级 </w:t>
      </w:r>
      <w:r>
        <w:rPr>
          <w:rFonts w:ascii="Times New Roman" w:hAnsi="Times New Roman" w:eastAsia="Times New Roman"/>
          <w:position w:val="2"/>
        </w:rPr>
        <w:t>L</w:t>
      </w:r>
      <w:r>
        <w:rPr>
          <w:rFonts w:ascii="Times New Roman" w:hAnsi="Times New Roman" w:eastAsia="Times New Roman"/>
          <w:position w:val="2"/>
          <w:vertAlign w:val="subscript"/>
        </w:rPr>
        <w:t>p1</w:t>
      </w:r>
      <w:r>
        <w:rPr>
          <w:position w:val="2"/>
          <w:vertAlign w:val="baseline"/>
        </w:rPr>
        <w:t>：</w:t>
      </w:r>
    </w:p>
    <w:p w14:paraId="763FB619">
      <w:pPr>
        <w:pStyle w:val="10"/>
        <w:spacing w:before="5"/>
        <w:rPr>
          <w:sz w:val="10"/>
        </w:rPr>
      </w:pPr>
    </w:p>
    <w:p w14:paraId="5066BA5C">
      <w:pPr>
        <w:spacing w:after="0"/>
        <w:rPr>
          <w:sz w:val="10"/>
        </w:rPr>
        <w:sectPr>
          <w:pgSz w:w="11910" w:h="16840"/>
          <w:pgMar w:top="1460" w:right="1060" w:bottom="1380" w:left="1180" w:header="0" w:footer="1192" w:gutter="0"/>
          <w:cols w:space="720" w:num="1"/>
        </w:sectPr>
      </w:pPr>
    </w:p>
    <w:p w14:paraId="2D744A69">
      <w:pPr>
        <w:tabs>
          <w:tab w:val="left" w:pos="354"/>
        </w:tabs>
        <w:spacing w:before="232" w:line="22" w:lineRule="exact"/>
        <w:ind w:left="0" w:right="0" w:firstLine="0"/>
        <w:jc w:val="right"/>
        <w:rPr>
          <w:rFonts w:ascii="Times New Roman" w:hAnsi="Times New Roman"/>
          <w:i/>
          <w:sz w:val="24"/>
        </w:rPr>
      </w:pPr>
      <w:r>
        <w:rPr>
          <w:rFonts w:ascii="Times New Roman" w:hAnsi="Times New Roman"/>
          <w:i/>
          <w:sz w:val="24"/>
        </w:rPr>
        <w:t>L</w:t>
      </w:r>
      <w:r>
        <w:rPr>
          <w:rFonts w:ascii="Times New Roman" w:hAnsi="Times New Roman"/>
          <w:i/>
          <w:sz w:val="24"/>
        </w:rPr>
        <w:tab/>
      </w:r>
      <w:r>
        <w:rPr>
          <w:rFonts w:ascii="Symbol" w:hAnsi="Symbol"/>
          <w:sz w:val="24"/>
        </w:rPr>
        <w:t></w:t>
      </w:r>
      <w:r>
        <w:rPr>
          <w:rFonts w:ascii="Times New Roman" w:hAnsi="Times New Roman"/>
          <w:spacing w:val="0"/>
          <w:sz w:val="24"/>
        </w:rPr>
        <w:t xml:space="preserve"> </w:t>
      </w:r>
      <w:r>
        <w:rPr>
          <w:rFonts w:ascii="Times New Roman" w:hAnsi="Times New Roman"/>
          <w:i/>
          <w:sz w:val="24"/>
        </w:rPr>
        <w:t>L</w:t>
      </w:r>
    </w:p>
    <w:p w14:paraId="643E3DC4">
      <w:pPr>
        <w:pStyle w:val="10"/>
        <w:tabs>
          <w:tab w:val="left" w:pos="1025"/>
          <w:tab w:val="left" w:pos="1434"/>
        </w:tabs>
        <w:spacing w:before="99" w:line="155" w:lineRule="exact"/>
        <w:ind w:left="144"/>
        <w:rPr>
          <w:rFonts w:ascii="Symbol" w:hAnsi="Symbol"/>
        </w:rPr>
      </w:pPr>
      <w:r>
        <w:br w:type="column"/>
      </w:r>
      <w:r>
        <w:rPr>
          <w:rFonts w:ascii="Symbol" w:hAnsi="Symbol"/>
          <w:spacing w:val="2"/>
        </w:rPr>
        <w:t></w:t>
      </w:r>
      <w:r>
        <w:rPr>
          <w:rFonts w:ascii="Times New Roman" w:hAnsi="Times New Roman"/>
          <w:spacing w:val="2"/>
        </w:rPr>
        <w:t>10lg</w:t>
      </w:r>
      <w:r>
        <w:rPr>
          <w:rFonts w:ascii="Symbol" w:hAnsi="Symbol"/>
          <w:spacing w:val="2"/>
          <w:position w:val="13"/>
        </w:rPr>
        <w:t></w:t>
      </w:r>
      <w:r>
        <w:rPr>
          <w:rFonts w:ascii="Times New Roman" w:hAnsi="Times New Roman"/>
          <w:spacing w:val="2"/>
          <w:position w:val="13"/>
        </w:rPr>
        <w:tab/>
      </w:r>
      <w:r>
        <w:rPr>
          <w:rFonts w:ascii="Times New Roman" w:hAnsi="Times New Roman"/>
          <w:i/>
          <w:position w:val="15"/>
        </w:rPr>
        <w:t>Q</w:t>
      </w:r>
      <w:r>
        <w:rPr>
          <w:rFonts w:ascii="Times New Roman" w:hAnsi="Times New Roman"/>
          <w:i/>
          <w:position w:val="15"/>
        </w:rPr>
        <w:tab/>
      </w:r>
      <w:r>
        <w:rPr>
          <w:rFonts w:ascii="Symbol" w:hAnsi="Symbol"/>
        </w:rPr>
        <w:t></w:t>
      </w:r>
      <w:r>
        <w:rPr>
          <w:rFonts w:ascii="Times New Roman" w:hAnsi="Times New Roman"/>
        </w:rPr>
        <w:t xml:space="preserve"> </w:t>
      </w:r>
      <w:r>
        <w:rPr>
          <w:rFonts w:ascii="Times New Roman" w:hAnsi="Times New Roman"/>
          <w:position w:val="15"/>
        </w:rPr>
        <w:t>4</w:t>
      </w:r>
      <w:r>
        <w:rPr>
          <w:rFonts w:ascii="Times New Roman" w:hAnsi="Times New Roman"/>
          <w:spacing w:val="-35"/>
          <w:position w:val="15"/>
        </w:rPr>
        <w:t xml:space="preserve"> </w:t>
      </w:r>
      <w:r>
        <w:rPr>
          <w:rFonts w:ascii="Symbol" w:hAnsi="Symbol"/>
          <w:position w:val="13"/>
        </w:rPr>
        <w:t></w:t>
      </w:r>
    </w:p>
    <w:p w14:paraId="40BAB42F">
      <w:pPr>
        <w:pStyle w:val="10"/>
        <w:spacing w:before="5"/>
        <w:rPr>
          <w:rFonts w:ascii="Symbol" w:hAnsi="Symbol"/>
          <w:sz w:val="9"/>
        </w:rPr>
      </w:pPr>
      <w:r>
        <w:pict>
          <v:line id="_x0000_s3125" o:spid="_x0000_s3125" o:spt="20" style="position:absolute;left:0pt;margin-left:322.45pt;margin-top:7.95pt;height:0pt;width:27pt;mso-position-horizontal-relative:page;mso-wrap-distance-bottom:0pt;mso-wrap-distance-top:0pt;z-index:251660288;mso-width-relative:page;mso-height-relative:page;" stroked="t" coordsize="21600,21600">
            <v:path arrowok="t"/>
            <v:fill focussize="0,0"/>
            <v:stroke weight="0.5pt" color="#000000"/>
            <v:imagedata o:title=""/>
            <o:lock v:ext="edit"/>
            <w10:wrap type="topAndBottom"/>
          </v:line>
        </w:pict>
      </w:r>
      <w:r>
        <w:pict>
          <v:line id="_x0000_s3126" o:spid="_x0000_s3126" o:spt="20" style="position:absolute;left:0pt;margin-left:360.85pt;margin-top:7.95pt;height:0pt;width:9.3pt;mso-position-horizontal-relative:page;mso-wrap-distance-bottom:0pt;mso-wrap-distance-top:0pt;z-index:251660288;mso-width-relative:page;mso-height-relative:page;" stroked="t" coordsize="21600,21600">
            <v:path arrowok="t"/>
            <v:fill focussize="0,0"/>
            <v:stroke weight="0.5pt" color="#000000"/>
            <v:imagedata o:title=""/>
            <o:lock v:ext="edit"/>
            <w10:wrap type="topAndBottom"/>
          </v:line>
        </w:pict>
      </w:r>
    </w:p>
    <w:p w14:paraId="04534EC1">
      <w:pPr>
        <w:spacing w:after="0"/>
        <w:rPr>
          <w:rFonts w:ascii="Symbol" w:hAnsi="Symbol"/>
          <w:sz w:val="9"/>
        </w:rPr>
        <w:sectPr>
          <w:type w:val="continuous"/>
          <w:pgSz w:w="11910" w:h="16840"/>
          <w:pgMar w:top="1600" w:right="1060" w:bottom="280" w:left="1180" w:header="720" w:footer="720" w:gutter="0"/>
          <w:cols w:equalWidth="0" w:num="2">
            <w:col w:w="4384" w:space="40"/>
            <w:col w:w="5246"/>
          </w:cols>
        </w:sectPr>
      </w:pPr>
    </w:p>
    <w:p w14:paraId="634DA756">
      <w:pPr>
        <w:pStyle w:val="10"/>
        <w:spacing w:before="1"/>
        <w:rPr>
          <w:rFonts w:ascii="Symbol" w:hAnsi="Symbol"/>
          <w:sz w:val="12"/>
        </w:rPr>
      </w:pPr>
    </w:p>
    <w:p w14:paraId="4403BCB7">
      <w:pPr>
        <w:tabs>
          <w:tab w:val="left" w:pos="532"/>
        </w:tabs>
        <w:spacing w:before="1"/>
        <w:ind w:left="0" w:right="0" w:firstLine="0"/>
        <w:jc w:val="right"/>
        <w:rPr>
          <w:rFonts w:ascii="Times New Roman"/>
          <w:i/>
          <w:sz w:val="14"/>
        </w:rPr>
      </w:pPr>
      <w:r>
        <w:pict>
          <v:shape id="_x0000_s3127" o:spid="_x0000_s3127" o:spt="202" type="#_x0000_t202" style="position:absolute;left:0pt;margin-left:316.25pt;margin-top:2.4pt;height:14.6pt;width:4.6pt;mso-position-horizontal-relative:page;z-index:-251649024;mso-width-relative:page;mso-height-relative:page;" filled="f" stroked="f" coordsize="21600,21600">
            <v:path/>
            <v:fill on="f" focussize="0,0"/>
            <v:stroke on="f" joinstyle="miter"/>
            <v:imagedata o:title=""/>
            <o:lock v:ext="edit"/>
            <v:textbox inset="0mm,0mm,0mm,0mm">
              <w:txbxContent>
                <w:p w14:paraId="72F6AC6D">
                  <w:pPr>
                    <w:pStyle w:val="10"/>
                    <w:spacing w:line="292" w:lineRule="exact"/>
                    <w:rPr>
                      <w:rFonts w:ascii="Symbol" w:hAnsi="Symbol"/>
                    </w:rPr>
                  </w:pPr>
                  <w:r>
                    <w:rPr>
                      <w:rFonts w:ascii="Symbol" w:hAnsi="Symbol"/>
                      <w:w w:val="99"/>
                    </w:rPr>
                    <w:t></w:t>
                  </w:r>
                </w:p>
              </w:txbxContent>
            </v:textbox>
          </v:shape>
        </w:pict>
      </w:r>
      <w:r>
        <w:pict>
          <v:shape id="_x0000_s3128" o:spid="_x0000_s3128" o:spt="202" type="#_x0000_t202" style="position:absolute;left:0pt;margin-left:371.7pt;margin-top:2.4pt;height:14.6pt;width:4.6pt;mso-position-horizontal-relative:page;z-index:-251649024;mso-width-relative:page;mso-height-relative:page;" filled="f" stroked="f" coordsize="21600,21600">
            <v:path/>
            <v:fill on="f" focussize="0,0"/>
            <v:stroke on="f" joinstyle="miter"/>
            <v:imagedata o:title=""/>
            <o:lock v:ext="edit"/>
            <v:textbox inset="0mm,0mm,0mm,0mm">
              <w:txbxContent>
                <w:p w14:paraId="5BCC9ED2">
                  <w:pPr>
                    <w:pStyle w:val="10"/>
                    <w:spacing w:line="292" w:lineRule="exact"/>
                    <w:rPr>
                      <w:rFonts w:ascii="Symbol" w:hAnsi="Symbol"/>
                    </w:rPr>
                  </w:pPr>
                  <w:r>
                    <w:rPr>
                      <w:rFonts w:ascii="Symbol" w:hAnsi="Symbol"/>
                      <w:w w:val="99"/>
                    </w:rPr>
                    <w:t></w:t>
                  </w:r>
                </w:p>
              </w:txbxContent>
            </v:textbox>
          </v:shape>
        </w:pict>
      </w:r>
      <w:r>
        <w:rPr>
          <w:rFonts w:ascii="Times New Roman"/>
          <w:i/>
          <w:sz w:val="14"/>
        </w:rPr>
        <w:t>P</w:t>
      </w:r>
      <w:r>
        <w:rPr>
          <w:rFonts w:ascii="Times New Roman"/>
          <w:sz w:val="14"/>
        </w:rPr>
        <w:t>1</w:t>
      </w:r>
      <w:r>
        <w:rPr>
          <w:rFonts w:ascii="Times New Roman"/>
          <w:sz w:val="14"/>
        </w:rPr>
        <w:tab/>
      </w:r>
      <w:r>
        <w:rPr>
          <w:rFonts w:ascii="Times New Roman"/>
          <w:i/>
          <w:spacing w:val="-1"/>
          <w:sz w:val="14"/>
        </w:rPr>
        <w:t>W</w:t>
      </w:r>
    </w:p>
    <w:p w14:paraId="32B83418">
      <w:pPr>
        <w:tabs>
          <w:tab w:val="left" w:pos="1540"/>
        </w:tabs>
        <w:spacing w:before="0" w:line="474" w:lineRule="exact"/>
        <w:ind w:left="624" w:right="0" w:firstLine="0"/>
        <w:jc w:val="left"/>
        <w:rPr>
          <w:rFonts w:ascii="Symbol" w:hAnsi="Symbol"/>
          <w:sz w:val="24"/>
        </w:rPr>
      </w:pPr>
      <w:r>
        <w:br w:type="column"/>
      </w:r>
      <w:r>
        <w:rPr>
          <w:rFonts w:ascii="Symbol" w:hAnsi="Symbol"/>
          <w:position w:val="17"/>
          <w:sz w:val="24"/>
        </w:rPr>
        <w:t></w:t>
      </w:r>
      <w:r>
        <w:rPr>
          <w:rFonts w:ascii="Times New Roman" w:hAnsi="Times New Roman"/>
          <w:spacing w:val="-13"/>
          <w:position w:val="17"/>
          <w:sz w:val="24"/>
        </w:rPr>
        <w:t xml:space="preserve"> </w:t>
      </w:r>
      <w:r>
        <w:rPr>
          <w:rFonts w:ascii="Times New Roman" w:hAnsi="Times New Roman"/>
          <w:spacing w:val="-20"/>
          <w:sz w:val="24"/>
        </w:rPr>
        <w:t>4</w:t>
      </w:r>
      <w:r>
        <w:rPr>
          <w:spacing w:val="-20"/>
          <w:sz w:val="24"/>
        </w:rPr>
        <w:t>π</w:t>
      </w:r>
      <w:r>
        <w:rPr>
          <w:rFonts w:ascii="Times New Roman" w:hAnsi="Times New Roman"/>
          <w:i/>
          <w:spacing w:val="-20"/>
          <w:sz w:val="24"/>
        </w:rPr>
        <w:t>r</w:t>
      </w:r>
      <w:r>
        <w:rPr>
          <w:rFonts w:ascii="Times New Roman" w:hAnsi="Times New Roman"/>
          <w:i/>
          <w:spacing w:val="-36"/>
          <w:sz w:val="24"/>
        </w:rPr>
        <w:t xml:space="preserve"> </w:t>
      </w:r>
      <w:r>
        <w:rPr>
          <w:rFonts w:ascii="Times New Roman" w:hAnsi="Times New Roman"/>
          <w:position w:val="11"/>
          <w:sz w:val="14"/>
        </w:rPr>
        <w:t>2</w:t>
      </w:r>
      <w:r>
        <w:rPr>
          <w:rFonts w:ascii="Times New Roman" w:hAnsi="Times New Roman"/>
          <w:position w:val="11"/>
          <w:sz w:val="14"/>
        </w:rPr>
        <w:tab/>
      </w:r>
      <w:r>
        <w:rPr>
          <w:rFonts w:ascii="Times New Roman" w:hAnsi="Times New Roman"/>
          <w:i/>
          <w:sz w:val="24"/>
        </w:rPr>
        <w:t>R</w:t>
      </w:r>
      <w:r>
        <w:rPr>
          <w:rFonts w:ascii="Times New Roman" w:hAnsi="Times New Roman"/>
          <w:i/>
          <w:spacing w:val="-14"/>
          <w:sz w:val="24"/>
        </w:rPr>
        <w:t xml:space="preserve"> </w:t>
      </w:r>
      <w:r>
        <w:rPr>
          <w:rFonts w:ascii="Symbol" w:hAnsi="Symbol"/>
          <w:position w:val="17"/>
          <w:sz w:val="24"/>
        </w:rPr>
        <w:t></w:t>
      </w:r>
    </w:p>
    <w:p w14:paraId="2A081E53">
      <w:pPr>
        <w:spacing w:after="0" w:line="474" w:lineRule="exact"/>
        <w:jc w:val="left"/>
        <w:rPr>
          <w:rFonts w:ascii="Symbol" w:hAnsi="Symbol"/>
          <w:sz w:val="24"/>
        </w:rPr>
        <w:sectPr>
          <w:type w:val="continuous"/>
          <w:pgSz w:w="11910" w:h="16840"/>
          <w:pgMar w:top="1600" w:right="1060" w:bottom="280" w:left="1180" w:header="720" w:footer="720" w:gutter="0"/>
          <w:cols w:equalWidth="0" w:num="2">
            <w:col w:w="4482" w:space="40"/>
            <w:col w:w="5148"/>
          </w:cols>
        </w:sectPr>
      </w:pPr>
    </w:p>
    <w:p w14:paraId="131D19AF">
      <w:pPr>
        <w:pStyle w:val="10"/>
        <w:spacing w:before="8"/>
        <w:rPr>
          <w:rFonts w:ascii="Symbol" w:hAnsi="Symbol"/>
          <w:sz w:val="13"/>
        </w:rPr>
      </w:pPr>
    </w:p>
    <w:p w14:paraId="58809DBA">
      <w:pPr>
        <w:pStyle w:val="10"/>
        <w:spacing w:before="67"/>
        <w:ind w:left="1111"/>
      </w:pPr>
      <w:r>
        <w:t>式中：</w:t>
      </w:r>
    </w:p>
    <w:p w14:paraId="7F7DD318">
      <w:pPr>
        <w:pStyle w:val="10"/>
        <w:spacing w:before="160" w:line="364" w:lineRule="auto"/>
        <w:ind w:left="620" w:right="633" w:firstLine="492"/>
      </w:pPr>
      <w:r>
        <w:rPr>
          <w:rFonts w:ascii="Times New Roman" w:eastAsia="Times New Roman"/>
        </w:rPr>
        <w:t>Q</w:t>
      </w:r>
      <w:r>
        <w:t>－指向性因数：通常对无指向性声源，当声源放在房间中心时，</w:t>
      </w:r>
      <w:r>
        <w:rPr>
          <w:rFonts w:ascii="Times New Roman" w:eastAsia="Times New Roman"/>
        </w:rPr>
        <w:t>Q=1</w:t>
      </w:r>
      <w:r>
        <w:t>； 当放在一面墙的中心时，</w:t>
      </w:r>
      <w:r>
        <w:rPr>
          <w:rFonts w:ascii="Times New Roman" w:eastAsia="Times New Roman"/>
        </w:rPr>
        <w:t>Q=2</w:t>
      </w:r>
      <w:r>
        <w:t>；当放在两面墙夹角时，</w:t>
      </w:r>
      <w:r>
        <w:rPr>
          <w:rFonts w:ascii="Times New Roman" w:eastAsia="Times New Roman"/>
        </w:rPr>
        <w:t>Q=4</w:t>
      </w:r>
      <w:r>
        <w:t>；当放在三面墙夹角处时，</w:t>
      </w:r>
      <w:r>
        <w:rPr>
          <w:rFonts w:ascii="Times New Roman" w:eastAsia="Times New Roman"/>
        </w:rPr>
        <w:t>Q=8</w:t>
      </w:r>
      <w:r>
        <w:t>。</w:t>
      </w:r>
    </w:p>
    <w:p w14:paraId="6ED18E3B">
      <w:pPr>
        <w:pStyle w:val="10"/>
        <w:spacing w:before="2" w:line="364" w:lineRule="auto"/>
        <w:ind w:left="620" w:right="752" w:firstLine="492"/>
      </w:pPr>
      <w:r>
        <w:rPr>
          <w:rFonts w:ascii="Times New Roman" w:eastAsia="Times New Roman"/>
        </w:rPr>
        <w:t>R</w:t>
      </w:r>
      <w:r>
        <w:t>－房间常数：</w:t>
      </w:r>
      <w:r>
        <w:rPr>
          <w:rFonts w:ascii="Times New Roman" w:eastAsia="Times New Roman"/>
        </w:rPr>
        <w:t>R=Sa/(1-a)</w:t>
      </w:r>
      <w:r>
        <w:t>，</w:t>
      </w:r>
      <w:r>
        <w:rPr>
          <w:rFonts w:ascii="Times New Roman" w:eastAsia="Times New Roman"/>
        </w:rPr>
        <w:t xml:space="preserve">S </w:t>
      </w:r>
      <w:r>
        <w:t>为房间内表面面积，</w:t>
      </w:r>
      <w:r>
        <w:rPr>
          <w:rFonts w:ascii="Times New Roman" w:eastAsia="Times New Roman"/>
        </w:rPr>
        <w:t>m</w:t>
      </w:r>
      <w:r>
        <w:rPr>
          <w:rFonts w:ascii="Times New Roman" w:eastAsia="Times New Roman"/>
          <w:position w:val="8"/>
          <w:sz w:val="15"/>
        </w:rPr>
        <w:t>2</w:t>
      </w:r>
      <w:r>
        <w:t>；</w:t>
      </w:r>
      <w:r>
        <w:rPr>
          <w:rFonts w:ascii="Times New Roman" w:eastAsia="Times New Roman"/>
        </w:rPr>
        <w:t xml:space="preserve">a </w:t>
      </w:r>
      <w:r>
        <w:t>为平均吸声系数。</w:t>
      </w:r>
    </w:p>
    <w:p w14:paraId="3A5F1C8A">
      <w:pPr>
        <w:pStyle w:val="10"/>
        <w:spacing w:before="1"/>
        <w:ind w:left="1111"/>
      </w:pPr>
      <w:r>
        <w:rPr>
          <w:rFonts w:ascii="Times New Roman" w:eastAsia="Times New Roman"/>
        </w:rPr>
        <w:t>r</w:t>
      </w:r>
      <w:r>
        <w:t>－声源到靠近围护结构某点处的距离，</w:t>
      </w:r>
      <w:r>
        <w:rPr>
          <w:rFonts w:ascii="Times New Roman" w:eastAsia="Times New Roman"/>
        </w:rPr>
        <w:t>m</w:t>
      </w:r>
      <w:r>
        <w:t>。</w:t>
      </w:r>
    </w:p>
    <w:p w14:paraId="6C05D775">
      <w:pPr>
        <w:pStyle w:val="10"/>
        <w:spacing w:before="158"/>
        <w:ind w:left="1111"/>
      </w:pPr>
      <w:r>
        <w:rPr>
          <w:rFonts w:ascii="Times New Roman" w:eastAsia="Times New Roman"/>
          <w:position w:val="2"/>
        </w:rPr>
        <w:t>L</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 xml:space="preserve">为设备的 </w:t>
      </w:r>
      <w:r>
        <w:rPr>
          <w:rFonts w:ascii="Times New Roman" w:eastAsia="Times New Roman"/>
          <w:position w:val="2"/>
          <w:vertAlign w:val="baseline"/>
        </w:rPr>
        <w:t xml:space="preserve">A </w:t>
      </w:r>
      <w:r>
        <w:rPr>
          <w:position w:val="2"/>
          <w:vertAlign w:val="baseline"/>
        </w:rPr>
        <w:t>声功率级。</w:t>
      </w:r>
    </w:p>
    <w:p w14:paraId="777EE241">
      <w:pPr>
        <w:pStyle w:val="10"/>
        <w:spacing w:before="159"/>
        <w:ind w:left="1111"/>
      </w:pPr>
      <w:r>
        <w:t xml:space="preserve">计算出所有室内声源在围护结构处产生的叠加 </w:t>
      </w:r>
      <w:r>
        <w:rPr>
          <w:rFonts w:ascii="Times New Roman" w:eastAsia="Times New Roman"/>
        </w:rPr>
        <w:t xml:space="preserve">A </w:t>
      </w:r>
      <w:r>
        <w:t>声压级：</w:t>
      </w:r>
    </w:p>
    <w:p w14:paraId="6179D66E">
      <w:pPr>
        <w:tabs>
          <w:tab w:val="left" w:pos="1738"/>
          <w:tab w:val="left" w:pos="2229"/>
        </w:tabs>
        <w:spacing w:before="187" w:line="106" w:lineRule="exact"/>
        <w:ind w:left="1110" w:right="0" w:firstLine="0"/>
        <w:jc w:val="center"/>
        <w:rPr>
          <w:rFonts w:ascii="Symbol" w:hAnsi="Symbol"/>
          <w:sz w:val="24"/>
        </w:rPr>
      </w:pPr>
      <w:r>
        <w:rPr>
          <w:rFonts w:ascii="Symbol" w:hAnsi="Symbol"/>
          <w:position w:val="5"/>
          <w:sz w:val="24"/>
        </w:rPr>
        <w:t></w:t>
      </w:r>
      <w:r>
        <w:rPr>
          <w:rFonts w:ascii="Times New Roman" w:hAnsi="Times New Roman"/>
          <w:spacing w:val="42"/>
          <w:position w:val="5"/>
          <w:sz w:val="24"/>
        </w:rPr>
        <w:t xml:space="preserve"> </w:t>
      </w:r>
      <w:r>
        <w:rPr>
          <w:rFonts w:ascii="Times New Roman" w:hAnsi="Times New Roman"/>
          <w:i/>
          <w:position w:val="11"/>
          <w:sz w:val="14"/>
        </w:rPr>
        <w:t>N</w:t>
      </w:r>
      <w:r>
        <w:rPr>
          <w:rFonts w:ascii="Times New Roman" w:hAnsi="Times New Roman"/>
          <w:i/>
          <w:position w:val="11"/>
          <w:sz w:val="14"/>
        </w:rPr>
        <w:tab/>
      </w:r>
      <w:r>
        <w:rPr>
          <w:rFonts w:ascii="Times New Roman" w:hAnsi="Times New Roman"/>
          <w:sz w:val="14"/>
        </w:rPr>
        <w:t>0.1</w:t>
      </w:r>
      <w:r>
        <w:rPr>
          <w:rFonts w:ascii="Times New Roman" w:hAnsi="Times New Roman"/>
          <w:i/>
          <w:sz w:val="14"/>
        </w:rPr>
        <w:t>L</w:t>
      </w:r>
      <w:r>
        <w:rPr>
          <w:rFonts w:ascii="Times New Roman" w:hAnsi="Times New Roman"/>
          <w:i/>
          <w:sz w:val="14"/>
        </w:rPr>
        <w:tab/>
      </w:r>
      <w:r>
        <w:rPr>
          <w:rFonts w:ascii="Symbol" w:hAnsi="Symbol"/>
          <w:position w:val="5"/>
          <w:sz w:val="24"/>
        </w:rPr>
        <w:t></w:t>
      </w:r>
    </w:p>
    <w:p w14:paraId="105199EA">
      <w:pPr>
        <w:spacing w:after="0" w:line="106" w:lineRule="exact"/>
        <w:jc w:val="center"/>
        <w:rPr>
          <w:rFonts w:ascii="Symbol" w:hAnsi="Symbol"/>
          <w:sz w:val="24"/>
        </w:rPr>
        <w:sectPr>
          <w:type w:val="continuous"/>
          <w:pgSz w:w="11910" w:h="16840"/>
          <w:pgMar w:top="1600" w:right="1060" w:bottom="280" w:left="1180" w:header="720" w:footer="720" w:gutter="0"/>
          <w:cols w:space="720" w:num="1"/>
        </w:sectPr>
      </w:pPr>
    </w:p>
    <w:p w14:paraId="1980AA68">
      <w:pPr>
        <w:pStyle w:val="10"/>
        <w:rPr>
          <w:rFonts w:ascii="Symbol" w:hAnsi="Symbol"/>
        </w:rPr>
      </w:pPr>
    </w:p>
    <w:p w14:paraId="66ECA173">
      <w:pPr>
        <w:pStyle w:val="10"/>
        <w:rPr>
          <w:rFonts w:ascii="Symbol" w:hAnsi="Symbol"/>
        </w:rPr>
      </w:pPr>
    </w:p>
    <w:p w14:paraId="6F6F0252">
      <w:pPr>
        <w:pStyle w:val="10"/>
        <w:spacing w:before="215"/>
        <w:ind w:left="1111"/>
      </w:pPr>
      <w:r>
        <w:t>式中：</w:t>
      </w:r>
    </w:p>
    <w:p w14:paraId="54E72AAA">
      <w:pPr>
        <w:spacing w:before="6" w:line="389" w:lineRule="exact"/>
        <w:ind w:left="1111" w:right="0" w:firstLine="0"/>
        <w:jc w:val="left"/>
        <w:rPr>
          <w:rFonts w:ascii="Times New Roman" w:hAnsi="Times New Roman"/>
          <w:sz w:val="24"/>
        </w:rPr>
      </w:pPr>
      <w:r>
        <w:br w:type="column"/>
      </w:r>
      <w:r>
        <w:rPr>
          <w:rFonts w:ascii="Times New Roman" w:hAnsi="Times New Roman"/>
          <w:i/>
          <w:sz w:val="24"/>
        </w:rPr>
        <w:t>L</w:t>
      </w:r>
      <w:r>
        <w:rPr>
          <w:rFonts w:ascii="Times New Roman" w:hAnsi="Times New Roman"/>
          <w:i/>
          <w:position w:val="-5"/>
          <w:sz w:val="14"/>
        </w:rPr>
        <w:t>P</w:t>
      </w:r>
      <w:r>
        <w:rPr>
          <w:rFonts w:ascii="Times New Roman" w:hAnsi="Times New Roman"/>
          <w:position w:val="-5"/>
          <w:sz w:val="14"/>
        </w:rPr>
        <w:t>1</w:t>
      </w:r>
      <w:r>
        <w:rPr>
          <w:rFonts w:ascii="Times New Roman" w:hAnsi="Times New Roman"/>
          <w:spacing w:val="-25"/>
          <w:position w:val="-5"/>
          <w:sz w:val="14"/>
        </w:rPr>
        <w:t xml:space="preserve"> </w:t>
      </w:r>
      <w:r>
        <w:rPr>
          <w:rFonts w:ascii="Symbol" w:hAnsi="Symbol"/>
          <w:spacing w:val="-7"/>
          <w:sz w:val="31"/>
        </w:rPr>
        <w:t></w:t>
      </w:r>
      <w:r>
        <w:rPr>
          <w:rFonts w:ascii="Times New Roman" w:hAnsi="Times New Roman"/>
          <w:i/>
          <w:spacing w:val="-7"/>
          <w:sz w:val="24"/>
        </w:rPr>
        <w:t>T</w:t>
      </w:r>
      <w:r>
        <w:rPr>
          <w:rFonts w:ascii="Times New Roman" w:hAnsi="Times New Roman"/>
          <w:i/>
          <w:spacing w:val="-33"/>
          <w:sz w:val="24"/>
        </w:rPr>
        <w:t xml:space="preserve"> </w:t>
      </w:r>
      <w:r>
        <w:rPr>
          <w:rFonts w:ascii="Symbol" w:hAnsi="Symbol"/>
          <w:sz w:val="31"/>
        </w:rPr>
        <w:t></w:t>
      </w:r>
      <w:r>
        <w:rPr>
          <w:rFonts w:ascii="Times New Roman" w:hAnsi="Times New Roman"/>
          <w:spacing w:val="-59"/>
          <w:sz w:val="31"/>
        </w:rPr>
        <w:t xml:space="preserve"> </w:t>
      </w:r>
      <w:r>
        <w:rPr>
          <w:rFonts w:ascii="Symbol" w:hAnsi="Symbol"/>
          <w:sz w:val="24"/>
        </w:rPr>
        <w:t></w:t>
      </w:r>
      <w:r>
        <w:rPr>
          <w:rFonts w:ascii="Times New Roman" w:hAnsi="Times New Roman"/>
          <w:spacing w:val="-40"/>
          <w:sz w:val="24"/>
        </w:rPr>
        <w:t xml:space="preserve"> </w:t>
      </w:r>
      <w:r>
        <w:rPr>
          <w:rFonts w:ascii="Times New Roman" w:hAnsi="Times New Roman"/>
          <w:sz w:val="24"/>
        </w:rPr>
        <w:t>10lg</w:t>
      </w:r>
      <w:r>
        <w:rPr>
          <w:rFonts w:ascii="Symbol" w:hAnsi="Symbol"/>
          <w:position w:val="3"/>
          <w:sz w:val="24"/>
        </w:rPr>
        <w:t></w:t>
      </w:r>
      <w:r>
        <w:rPr>
          <w:rFonts w:ascii="Times New Roman" w:hAnsi="Times New Roman"/>
          <w:spacing w:val="-43"/>
          <w:position w:val="3"/>
          <w:sz w:val="24"/>
        </w:rPr>
        <w:t xml:space="preserve"> </w:t>
      </w:r>
      <w:r>
        <w:rPr>
          <w:rFonts w:ascii="Symbol" w:hAnsi="Symbol"/>
          <w:position w:val="-5"/>
          <w:sz w:val="35"/>
        </w:rPr>
        <w:t></w:t>
      </w:r>
      <w:r>
        <w:rPr>
          <w:rFonts w:ascii="Times New Roman" w:hAnsi="Times New Roman"/>
          <w:sz w:val="24"/>
        </w:rPr>
        <w:t>10</w:t>
      </w:r>
    </w:p>
    <w:p w14:paraId="6FC713E9">
      <w:pPr>
        <w:spacing w:before="0" w:line="235" w:lineRule="exact"/>
        <w:ind w:left="0" w:right="256" w:firstLine="0"/>
        <w:jc w:val="right"/>
        <w:rPr>
          <w:rFonts w:ascii="Times New Roman" w:hAnsi="Times New Roman"/>
          <w:sz w:val="14"/>
        </w:rPr>
      </w:pPr>
      <w:r>
        <w:rPr>
          <w:rFonts w:ascii="Symbol" w:hAnsi="Symbol"/>
          <w:position w:val="-2"/>
          <w:sz w:val="24"/>
        </w:rPr>
        <w:t></w:t>
      </w:r>
      <w:r>
        <w:rPr>
          <w:rFonts w:ascii="Times New Roman" w:hAnsi="Times New Roman"/>
          <w:position w:val="-2"/>
          <w:sz w:val="24"/>
        </w:rPr>
        <w:t xml:space="preserve"> </w:t>
      </w:r>
      <w:r>
        <w:rPr>
          <w:rFonts w:ascii="Times New Roman" w:hAnsi="Times New Roman"/>
          <w:i/>
          <w:sz w:val="14"/>
        </w:rPr>
        <w:t xml:space="preserve">j </w:t>
      </w:r>
      <w:r>
        <w:rPr>
          <w:rFonts w:ascii="Symbol" w:hAnsi="Symbol"/>
          <w:sz w:val="14"/>
        </w:rPr>
        <w:t></w:t>
      </w:r>
      <w:r>
        <w:rPr>
          <w:rFonts w:ascii="Times New Roman" w:hAnsi="Times New Roman"/>
          <w:sz w:val="14"/>
        </w:rPr>
        <w:t>1</w:t>
      </w:r>
    </w:p>
    <w:p w14:paraId="37094C52">
      <w:pPr>
        <w:spacing w:before="49" w:line="291" w:lineRule="exact"/>
        <w:ind w:left="225" w:right="0" w:firstLine="0"/>
        <w:jc w:val="left"/>
        <w:rPr>
          <w:rFonts w:ascii="Symbol" w:hAnsi="Symbol"/>
          <w:sz w:val="24"/>
        </w:rPr>
      </w:pPr>
      <w:r>
        <w:br w:type="column"/>
      </w:r>
      <w:r>
        <w:rPr>
          <w:rFonts w:ascii="Times New Roman" w:hAnsi="Times New Roman"/>
          <w:i/>
          <w:sz w:val="10"/>
        </w:rPr>
        <w:t>P</w:t>
      </w:r>
      <w:r>
        <w:rPr>
          <w:rFonts w:ascii="Times New Roman" w:hAnsi="Times New Roman"/>
          <w:sz w:val="10"/>
        </w:rPr>
        <w:t xml:space="preserve">1 </w:t>
      </w:r>
      <w:r>
        <w:rPr>
          <w:rFonts w:ascii="Times New Roman" w:hAnsi="Times New Roman"/>
          <w:i/>
          <w:sz w:val="10"/>
        </w:rPr>
        <w:t xml:space="preserve">j </w:t>
      </w:r>
      <w:r>
        <w:rPr>
          <w:rFonts w:ascii="Symbol" w:hAnsi="Symbol"/>
          <w:position w:val="-6"/>
          <w:sz w:val="24"/>
        </w:rPr>
        <w:t></w:t>
      </w:r>
    </w:p>
    <w:p w14:paraId="766A2143">
      <w:pPr>
        <w:pStyle w:val="10"/>
        <w:spacing w:line="291" w:lineRule="exact"/>
        <w:ind w:left="460"/>
        <w:rPr>
          <w:rFonts w:ascii="Symbol" w:hAnsi="Symbol"/>
        </w:rPr>
      </w:pPr>
      <w:r>
        <w:rPr>
          <w:rFonts w:ascii="Symbol" w:hAnsi="Symbol"/>
          <w:w w:val="99"/>
        </w:rPr>
        <w:t></w:t>
      </w:r>
    </w:p>
    <w:p w14:paraId="0C2277DA">
      <w:pPr>
        <w:spacing w:after="0" w:line="291" w:lineRule="exact"/>
        <w:rPr>
          <w:rFonts w:ascii="Symbol" w:hAnsi="Symbol"/>
        </w:rPr>
        <w:sectPr>
          <w:type w:val="continuous"/>
          <w:pgSz w:w="11910" w:h="16840"/>
          <w:pgMar w:top="1600" w:right="1060" w:bottom="280" w:left="1180" w:header="720" w:footer="720" w:gutter="0"/>
          <w:cols w:equalWidth="0" w:num="3">
            <w:col w:w="1897" w:space="537"/>
            <w:col w:w="2969" w:space="39"/>
            <w:col w:w="4228"/>
          </w:cols>
        </w:sectPr>
      </w:pPr>
    </w:p>
    <w:p w14:paraId="61ED8B31">
      <w:pPr>
        <w:pStyle w:val="10"/>
        <w:spacing w:before="158"/>
        <w:ind w:left="1111"/>
      </w:pPr>
      <w:r>
        <w:rPr>
          <w:rFonts w:ascii="Times New Roman" w:eastAsia="Times New Roman"/>
          <w:position w:val="2"/>
        </w:rPr>
        <w:t>Lp</w:t>
      </w:r>
      <w:r>
        <w:rPr>
          <w:rFonts w:ascii="Times New Roman" w:eastAsia="Times New Roman"/>
          <w:position w:val="2"/>
          <w:vertAlign w:val="subscript"/>
        </w:rPr>
        <w:t>1</w:t>
      </w:r>
      <w:r>
        <w:rPr>
          <w:rFonts w:ascii="Times New Roman" w:eastAsia="Times New Roman"/>
          <w:position w:val="2"/>
          <w:vertAlign w:val="baseline"/>
        </w:rPr>
        <w:t>(T)</w:t>
      </w:r>
      <w:r>
        <w:rPr>
          <w:position w:val="2"/>
          <w:vertAlign w:val="baseline"/>
        </w:rPr>
        <w:t xml:space="preserve">－靠近围护结构处室内 </w:t>
      </w:r>
      <w:r>
        <w:rPr>
          <w:rFonts w:ascii="Times New Roman" w:eastAsia="Times New Roman"/>
          <w:position w:val="2"/>
          <w:vertAlign w:val="baseline"/>
        </w:rPr>
        <w:t xml:space="preserve">N </w:t>
      </w:r>
      <w:r>
        <w:rPr>
          <w:position w:val="2"/>
          <w:vertAlign w:val="baseline"/>
        </w:rPr>
        <w:t xml:space="preserve">个声源叠加 </w:t>
      </w:r>
      <w:r>
        <w:rPr>
          <w:rFonts w:ascii="Times New Roman" w:eastAsia="Times New Roman"/>
          <w:position w:val="2"/>
          <w:vertAlign w:val="baseline"/>
        </w:rPr>
        <w:t xml:space="preserve">A </w:t>
      </w:r>
      <w:r>
        <w:rPr>
          <w:position w:val="2"/>
          <w:vertAlign w:val="baseline"/>
        </w:rPr>
        <w:t>声压级，</w:t>
      </w:r>
      <w:r>
        <w:rPr>
          <w:rFonts w:ascii="Times New Roman" w:eastAsia="Times New Roman"/>
          <w:position w:val="2"/>
          <w:vertAlign w:val="baseline"/>
        </w:rPr>
        <w:t>dB(A)</w:t>
      </w:r>
      <w:r>
        <w:rPr>
          <w:position w:val="2"/>
          <w:vertAlign w:val="baseline"/>
        </w:rPr>
        <w:t>；</w:t>
      </w:r>
    </w:p>
    <w:p w14:paraId="7F8FA5A1">
      <w:pPr>
        <w:pStyle w:val="10"/>
        <w:spacing w:before="159"/>
        <w:ind w:left="1111"/>
      </w:pPr>
      <w:r>
        <w:rPr>
          <w:rFonts w:ascii="Times New Roman" w:eastAsia="Times New Roman"/>
        </w:rPr>
        <w:t>Lp1j--</w:t>
      </w:r>
      <w:r>
        <w:t xml:space="preserve">室内 </w:t>
      </w:r>
      <w:r>
        <w:rPr>
          <w:rFonts w:ascii="Times New Roman" w:eastAsia="Times New Roman"/>
        </w:rPr>
        <w:t xml:space="preserve">j </w:t>
      </w:r>
      <w:r>
        <w:t xml:space="preserve">声源的 </w:t>
      </w:r>
      <w:r>
        <w:rPr>
          <w:rFonts w:ascii="Times New Roman" w:eastAsia="Times New Roman"/>
        </w:rPr>
        <w:t xml:space="preserve">A </w:t>
      </w:r>
      <w:r>
        <w:t>声压级，</w:t>
      </w:r>
      <w:r>
        <w:rPr>
          <w:rFonts w:ascii="Times New Roman" w:eastAsia="Times New Roman"/>
        </w:rPr>
        <w:t>dB(A)</w:t>
      </w:r>
      <w:r>
        <w:t>；</w:t>
      </w:r>
    </w:p>
    <w:p w14:paraId="0922D523">
      <w:pPr>
        <w:pStyle w:val="10"/>
        <w:spacing w:before="160" w:line="364" w:lineRule="auto"/>
        <w:ind w:left="620" w:right="749" w:firstLine="492"/>
      </w:pPr>
      <w:r>
        <w:t>②在室内近似为扩散声场地，按下式计算出靠近室外围护结构处的声压级：</w:t>
      </w:r>
    </w:p>
    <w:p w14:paraId="2190D8D1">
      <w:pPr>
        <w:spacing w:after="0" w:line="364" w:lineRule="auto"/>
        <w:sectPr>
          <w:type w:val="continuous"/>
          <w:pgSz w:w="11910" w:h="16840"/>
          <w:pgMar w:top="1600" w:right="1060" w:bottom="280" w:left="1180" w:header="720" w:footer="720" w:gutter="0"/>
          <w:cols w:space="720" w:num="1"/>
        </w:sectPr>
      </w:pPr>
    </w:p>
    <w:p w14:paraId="4AE5ACD5">
      <w:pPr>
        <w:pStyle w:val="10"/>
      </w:pPr>
    </w:p>
    <w:p w14:paraId="7BCA261D">
      <w:pPr>
        <w:pStyle w:val="10"/>
        <w:spacing w:before="162"/>
        <w:ind w:left="1111"/>
      </w:pPr>
      <w:r>
        <w:t>式中：</w:t>
      </w:r>
    </w:p>
    <w:p w14:paraId="1F647C0B">
      <w:pPr>
        <w:pStyle w:val="10"/>
        <w:spacing w:before="14"/>
        <w:ind w:left="1111"/>
        <w:rPr>
          <w:rFonts w:ascii="Times New Roman"/>
        </w:rPr>
      </w:pPr>
      <w:r>
        <w:br w:type="column"/>
      </w:r>
      <w:r>
        <w:rPr>
          <w:rFonts w:ascii="Times New Roman"/>
          <w:position w:val="2"/>
        </w:rPr>
        <w:t>L</w:t>
      </w:r>
      <w:r>
        <w:rPr>
          <w:rFonts w:ascii="Times New Roman"/>
          <w:position w:val="2"/>
          <w:vertAlign w:val="subscript"/>
        </w:rPr>
        <w:t>p2</w:t>
      </w:r>
      <w:r>
        <w:rPr>
          <w:rFonts w:ascii="Times New Roman"/>
          <w:position w:val="2"/>
          <w:vertAlign w:val="baseline"/>
        </w:rPr>
        <w:t>=L</w:t>
      </w:r>
      <w:r>
        <w:rPr>
          <w:rFonts w:ascii="Times New Roman"/>
          <w:position w:val="2"/>
          <w:vertAlign w:val="subscript"/>
        </w:rPr>
        <w:t>p1</w:t>
      </w:r>
      <w:r>
        <w:rPr>
          <w:rFonts w:ascii="Times New Roman"/>
          <w:position w:val="2"/>
          <w:vertAlign w:val="baseline"/>
        </w:rPr>
        <w:t>-(TL+6)</w:t>
      </w:r>
    </w:p>
    <w:p w14:paraId="4989E6FA">
      <w:pPr>
        <w:spacing w:after="0"/>
        <w:rPr>
          <w:rFonts w:ascii="Times New Roman"/>
        </w:rPr>
        <w:sectPr>
          <w:type w:val="continuous"/>
          <w:pgSz w:w="11910" w:h="16840"/>
          <w:pgMar w:top="1600" w:right="1060" w:bottom="280" w:left="1180" w:header="720" w:footer="720" w:gutter="0"/>
          <w:cols w:equalWidth="0" w:num="2">
            <w:col w:w="1897" w:space="959"/>
            <w:col w:w="6814"/>
          </w:cols>
        </w:sectPr>
      </w:pPr>
    </w:p>
    <w:p w14:paraId="53F68411">
      <w:pPr>
        <w:pStyle w:val="10"/>
        <w:spacing w:before="157" w:line="362" w:lineRule="auto"/>
        <w:ind w:left="1111" w:right="4720"/>
      </w:pPr>
      <w:r>
        <w:rPr>
          <w:rFonts w:ascii="Times New Roman" w:eastAsia="Times New Roman"/>
          <w:position w:val="2"/>
        </w:rPr>
        <w:t>L</w:t>
      </w:r>
      <w:r>
        <w:rPr>
          <w:rFonts w:ascii="Times New Roman" w:eastAsia="Times New Roman"/>
          <w:position w:val="2"/>
          <w:vertAlign w:val="subscript"/>
        </w:rPr>
        <w:t>p1</w:t>
      </w:r>
      <w:r>
        <w:rPr>
          <w:position w:val="2"/>
          <w:vertAlign w:val="baseline"/>
        </w:rPr>
        <w:t>－声源室内声压级，</w:t>
      </w:r>
      <w:r>
        <w:rPr>
          <w:rFonts w:ascii="Times New Roman" w:eastAsia="Times New Roman"/>
          <w:position w:val="2"/>
          <w:vertAlign w:val="baseline"/>
        </w:rPr>
        <w:t>dB(A)</w:t>
      </w:r>
      <w:r>
        <w:rPr>
          <w:position w:val="2"/>
          <w:vertAlign w:val="baseline"/>
        </w:rPr>
        <w:t xml:space="preserve">； </w:t>
      </w:r>
      <w:r>
        <w:rPr>
          <w:rFonts w:ascii="Times New Roman" w:eastAsia="Times New Roman"/>
          <w:position w:val="2"/>
          <w:vertAlign w:val="baseline"/>
        </w:rPr>
        <w:t>L</w:t>
      </w:r>
      <w:r>
        <w:rPr>
          <w:rFonts w:ascii="Times New Roman" w:eastAsia="Times New Roman"/>
          <w:position w:val="2"/>
          <w:vertAlign w:val="subscript"/>
        </w:rPr>
        <w:t>p2</w:t>
      </w:r>
      <w:r>
        <w:rPr>
          <w:position w:val="2"/>
          <w:vertAlign w:val="baseline"/>
        </w:rPr>
        <w:t>－等效室外声压级，</w:t>
      </w:r>
      <w:r>
        <w:rPr>
          <w:rFonts w:ascii="Times New Roman" w:eastAsia="Times New Roman"/>
          <w:position w:val="2"/>
          <w:vertAlign w:val="baseline"/>
        </w:rPr>
        <w:t>dB(A)</w:t>
      </w:r>
      <w:r>
        <w:rPr>
          <w:position w:val="2"/>
          <w:vertAlign w:val="baseline"/>
        </w:rPr>
        <w:t>；</w:t>
      </w:r>
    </w:p>
    <w:p w14:paraId="00A493D4">
      <w:pPr>
        <w:spacing w:after="0" w:line="362" w:lineRule="auto"/>
        <w:sectPr>
          <w:type w:val="continuous"/>
          <w:pgSz w:w="11910" w:h="16840"/>
          <w:pgMar w:top="1600" w:right="1060" w:bottom="280" w:left="1180" w:header="720" w:footer="720" w:gutter="0"/>
          <w:cols w:space="720" w:num="1"/>
        </w:sectPr>
      </w:pPr>
    </w:p>
    <w:p w14:paraId="2781DF61">
      <w:pPr>
        <w:pStyle w:val="10"/>
        <w:spacing w:before="62"/>
        <w:ind w:left="1111"/>
      </w:pPr>
      <w:r>
        <w:rPr>
          <w:rFonts w:ascii="Times New Roman" w:eastAsia="Times New Roman"/>
        </w:rPr>
        <w:t>TL</w:t>
      </w:r>
      <w:r>
        <w:t>－隔墙（或窗户）倍频带的隔声量，</w:t>
      </w:r>
      <w:r>
        <w:rPr>
          <w:rFonts w:ascii="Times New Roman" w:eastAsia="Times New Roman"/>
        </w:rPr>
        <w:t>dB(A)</w:t>
      </w:r>
      <w:r>
        <w:t>。</w:t>
      </w:r>
    </w:p>
    <w:p w14:paraId="0CFF25FD">
      <w:pPr>
        <w:pStyle w:val="10"/>
        <w:spacing w:before="3"/>
        <w:rPr>
          <w:sz w:val="18"/>
        </w:rPr>
      </w:pPr>
      <w:r>
        <w:drawing>
          <wp:anchor distT="0" distB="0" distL="0" distR="0" simplePos="0" relativeHeight="251660288" behindDoc="0" locked="0" layoutInCell="1" allowOverlap="1">
            <wp:simplePos x="0" y="0"/>
            <wp:positionH relativeFrom="page">
              <wp:posOffset>2533650</wp:posOffset>
            </wp:positionH>
            <wp:positionV relativeFrom="paragraph">
              <wp:posOffset>173355</wp:posOffset>
            </wp:positionV>
            <wp:extent cx="2516505" cy="1106170"/>
            <wp:effectExtent l="0" t="0" r="0" b="0"/>
            <wp:wrapTopAndBottom/>
            <wp:docPr id="7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19.jpeg"/>
                    <pic:cNvPicPr>
                      <a:picLocks noChangeAspect="1"/>
                    </pic:cNvPicPr>
                  </pic:nvPicPr>
                  <pic:blipFill>
                    <a:blip r:embed="rId139" cstate="print"/>
                    <a:stretch>
                      <a:fillRect/>
                    </a:stretch>
                  </pic:blipFill>
                  <pic:spPr>
                    <a:xfrm>
                      <a:off x="0" y="0"/>
                      <a:ext cx="2516547" cy="1106424"/>
                    </a:xfrm>
                    <a:prstGeom prst="rect">
                      <a:avLst/>
                    </a:prstGeom>
                  </pic:spPr>
                </pic:pic>
              </a:graphicData>
            </a:graphic>
          </wp:anchor>
        </w:drawing>
      </w:r>
    </w:p>
    <w:p w14:paraId="56B0CDF0">
      <w:pPr>
        <w:pStyle w:val="10"/>
        <w:spacing w:before="5"/>
        <w:rPr>
          <w:sz w:val="23"/>
        </w:rPr>
      </w:pPr>
    </w:p>
    <w:p w14:paraId="074BF6BD">
      <w:pPr>
        <w:pStyle w:val="9"/>
        <w:spacing w:before="0"/>
        <w:ind w:left="1100" w:right="695"/>
        <w:jc w:val="center"/>
      </w:pPr>
      <w:r>
        <w:rPr>
          <w:spacing w:val="-31"/>
        </w:rPr>
        <w:t xml:space="preserve">图 </w:t>
      </w:r>
      <w:r>
        <w:rPr>
          <w:rFonts w:ascii="Times New Roman" w:eastAsia="Times New Roman"/>
        </w:rPr>
        <w:t>4.4-1</w:t>
      </w:r>
      <w:r>
        <w:rPr>
          <w:rFonts w:ascii="Times New Roman" w:eastAsia="Times New Roman"/>
          <w:spacing w:val="58"/>
        </w:rPr>
        <w:t xml:space="preserve"> </w:t>
      </w:r>
      <w:r>
        <w:t>室内声源等效为室外声源图例</w:t>
      </w:r>
    </w:p>
    <w:p w14:paraId="224A6A99">
      <w:pPr>
        <w:pStyle w:val="10"/>
        <w:spacing w:before="161"/>
        <w:ind w:left="1100"/>
      </w:pPr>
      <w:r>
        <w:t>③户外声传播衰减计算</w:t>
      </w:r>
    </w:p>
    <w:p w14:paraId="5B40188D">
      <w:pPr>
        <w:pStyle w:val="10"/>
        <w:spacing w:before="157"/>
        <w:ind w:left="1100" w:right="740"/>
        <w:jc w:val="center"/>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position w:val="2"/>
          <w:vertAlign w:val="baseline"/>
        </w:rPr>
        <w:t>）</w:t>
      </w:r>
      <w:r>
        <w:rPr>
          <w:rFonts w:ascii="Times New Roman" w:eastAsia="Times New Roman"/>
          <w:position w:val="2"/>
          <w:vertAlign w:val="baseline"/>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0</w:t>
      </w:r>
      <w:r>
        <w:rPr>
          <w:position w:val="2"/>
          <w:vertAlign w:val="baseline"/>
        </w:rPr>
        <w:t>）</w:t>
      </w:r>
      <w:r>
        <w:rPr>
          <w:rFonts w:ascii="Times New Roman" w:eastAsia="Times New Roman"/>
          <w:position w:val="2"/>
          <w:vertAlign w:val="baseline"/>
        </w:rPr>
        <w:t>-20lg</w:t>
      </w:r>
      <w:r>
        <w:rPr>
          <w:position w:val="2"/>
          <w:vertAlign w:val="baseline"/>
        </w:rPr>
        <w:t>（</w:t>
      </w:r>
      <w:r>
        <w:rPr>
          <w:rFonts w:ascii="Times New Roman" w:eastAsia="Times New Roman"/>
          <w:position w:val="2"/>
          <w:vertAlign w:val="baseline"/>
        </w:rPr>
        <w:t>r/r</w:t>
      </w:r>
      <w:r>
        <w:rPr>
          <w:rFonts w:ascii="Times New Roman" w:eastAsia="Times New Roman"/>
          <w:position w:val="2"/>
          <w:vertAlign w:val="subscript"/>
        </w:rPr>
        <w:t>0</w:t>
      </w:r>
      <w:r>
        <w:rPr>
          <w:position w:val="2"/>
          <w:vertAlign w:val="baseline"/>
        </w:rPr>
        <w:t>）</w:t>
      </w:r>
    </w:p>
    <w:p w14:paraId="4044326A">
      <w:pPr>
        <w:pStyle w:val="10"/>
        <w:spacing w:before="159"/>
        <w:ind w:left="1111"/>
      </w:pPr>
      <w:r>
        <w:t>式中：</w:t>
      </w:r>
    </w:p>
    <w:p w14:paraId="613C1634">
      <w:pPr>
        <w:pStyle w:val="10"/>
        <w:spacing w:before="158"/>
        <w:ind w:left="1100"/>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position w:val="2"/>
          <w:vertAlign w:val="baseline"/>
        </w:rPr>
        <w:t xml:space="preserve">）－距声源 </w:t>
      </w:r>
      <w:r>
        <w:rPr>
          <w:rFonts w:ascii="Times New Roman" w:eastAsia="Times New Roman"/>
          <w:position w:val="2"/>
          <w:vertAlign w:val="baseline"/>
        </w:rPr>
        <w:t xml:space="preserve">r </w:t>
      </w:r>
      <w:r>
        <w:rPr>
          <w:position w:val="2"/>
          <w:vertAlign w:val="baseline"/>
        </w:rPr>
        <w:t xml:space="preserve">处的 </w:t>
      </w:r>
      <w:r>
        <w:rPr>
          <w:rFonts w:ascii="Times New Roman" w:eastAsia="Times New Roman"/>
          <w:position w:val="2"/>
          <w:vertAlign w:val="baseline"/>
        </w:rPr>
        <w:t xml:space="preserve">A </w:t>
      </w:r>
      <w:r>
        <w:rPr>
          <w:position w:val="2"/>
          <w:vertAlign w:val="baseline"/>
        </w:rPr>
        <w:t>声级，</w:t>
      </w:r>
      <w:r>
        <w:rPr>
          <w:rFonts w:ascii="Times New Roman" w:eastAsia="Times New Roman"/>
          <w:position w:val="2"/>
          <w:vertAlign w:val="baseline"/>
        </w:rPr>
        <w:t>dB</w:t>
      </w:r>
      <w:r>
        <w:rPr>
          <w:position w:val="2"/>
          <w:vertAlign w:val="baseline"/>
        </w:rPr>
        <w:t>（</w:t>
      </w:r>
      <w:r>
        <w:rPr>
          <w:rFonts w:ascii="Times New Roman" w:eastAsia="Times New Roman"/>
          <w:position w:val="2"/>
          <w:vertAlign w:val="baseline"/>
        </w:rPr>
        <w:t>A</w:t>
      </w:r>
      <w:r>
        <w:rPr>
          <w:position w:val="2"/>
          <w:vertAlign w:val="baseline"/>
        </w:rPr>
        <w:t>）；</w:t>
      </w:r>
    </w:p>
    <w:p w14:paraId="0D60414D">
      <w:pPr>
        <w:pStyle w:val="10"/>
        <w:spacing w:before="156"/>
        <w:ind w:left="1100"/>
      </w:pPr>
      <w:r>
        <w:rPr>
          <w:rFonts w:ascii="Times New Roman" w:eastAsia="Times New Roman"/>
          <w:position w:val="2"/>
        </w:rPr>
        <w:t>L</w:t>
      </w:r>
      <w:r>
        <w:rPr>
          <w:rFonts w:ascii="Times New Roman" w:eastAsia="Times New Roman"/>
          <w:position w:val="2"/>
          <w:vertAlign w:val="subscript"/>
        </w:rPr>
        <w:t>A</w:t>
      </w:r>
      <w:r>
        <w:rPr>
          <w:position w:val="2"/>
          <w:vertAlign w:val="baseline"/>
        </w:rPr>
        <w:t>（</w:t>
      </w:r>
      <w:r>
        <w:rPr>
          <w:rFonts w:ascii="Times New Roman" w:eastAsia="Times New Roman"/>
          <w:position w:val="2"/>
          <w:vertAlign w:val="baseline"/>
        </w:rPr>
        <w:t>r</w:t>
      </w:r>
      <w:r>
        <w:rPr>
          <w:rFonts w:ascii="Times New Roman" w:eastAsia="Times New Roman"/>
          <w:position w:val="2"/>
          <w:vertAlign w:val="subscript"/>
        </w:rPr>
        <w:t>0</w:t>
      </w:r>
      <w:r>
        <w:rPr>
          <w:position w:val="2"/>
          <w:vertAlign w:val="baseline"/>
        </w:rPr>
        <w:t xml:space="preserve">）－参考位置 </w:t>
      </w:r>
      <w:r>
        <w:rPr>
          <w:rFonts w:ascii="Times New Roman" w:eastAsia="Times New Roman"/>
          <w:position w:val="2"/>
          <w:vertAlign w:val="baseline"/>
        </w:rPr>
        <w:t>r</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处的 </w:t>
      </w:r>
      <w:r>
        <w:rPr>
          <w:rFonts w:ascii="Times New Roman" w:eastAsia="Times New Roman"/>
          <w:position w:val="2"/>
          <w:vertAlign w:val="baseline"/>
        </w:rPr>
        <w:t xml:space="preserve">A </w:t>
      </w:r>
      <w:r>
        <w:rPr>
          <w:position w:val="2"/>
          <w:vertAlign w:val="baseline"/>
        </w:rPr>
        <w:t>声级，</w:t>
      </w:r>
      <w:r>
        <w:rPr>
          <w:rFonts w:ascii="Times New Roman" w:eastAsia="Times New Roman"/>
          <w:position w:val="2"/>
          <w:vertAlign w:val="baseline"/>
        </w:rPr>
        <w:t>dB</w:t>
      </w:r>
      <w:r>
        <w:rPr>
          <w:position w:val="2"/>
          <w:vertAlign w:val="baseline"/>
        </w:rPr>
        <w:t>（</w:t>
      </w:r>
      <w:r>
        <w:rPr>
          <w:rFonts w:ascii="Times New Roman" w:eastAsia="Times New Roman"/>
          <w:position w:val="2"/>
          <w:vertAlign w:val="baseline"/>
        </w:rPr>
        <w:t>A</w:t>
      </w:r>
      <w:r>
        <w:rPr>
          <w:position w:val="2"/>
          <w:vertAlign w:val="baseline"/>
        </w:rPr>
        <w:t>）；</w:t>
      </w:r>
    </w:p>
    <w:p w14:paraId="3C488659">
      <w:pPr>
        <w:pStyle w:val="10"/>
        <w:spacing w:before="159"/>
        <w:ind w:left="1100"/>
      </w:pPr>
      <w:r>
        <w:rPr>
          <w:rFonts w:ascii="Times New Roman" w:eastAsia="Times New Roman"/>
        </w:rPr>
        <w:t>r</w:t>
      </w:r>
      <w:r>
        <w:t>－预测点距声源的距离；</w:t>
      </w:r>
    </w:p>
    <w:p w14:paraId="0809D267">
      <w:pPr>
        <w:pStyle w:val="10"/>
        <w:spacing w:before="157"/>
        <w:ind w:left="1100"/>
      </w:pPr>
      <w:r>
        <w:rPr>
          <w:rFonts w:ascii="Times New Roman" w:eastAsia="Times New Roman"/>
          <w:position w:val="2"/>
        </w:rPr>
        <w:t>r</w:t>
      </w:r>
      <w:r>
        <w:rPr>
          <w:rFonts w:ascii="Times New Roman" w:eastAsia="Times New Roman"/>
          <w:position w:val="2"/>
          <w:vertAlign w:val="subscript"/>
        </w:rPr>
        <w:t>0</w:t>
      </w:r>
      <w:r>
        <w:rPr>
          <w:position w:val="2"/>
          <w:vertAlign w:val="baseline"/>
        </w:rPr>
        <w:t>－参考位置距声源的距离。</w:t>
      </w:r>
    </w:p>
    <w:p w14:paraId="5C68B74C">
      <w:pPr>
        <w:pStyle w:val="10"/>
        <w:spacing w:before="159"/>
        <w:ind w:left="1100"/>
      </w:pPr>
      <w:r>
        <w:t>④室外声源计算</w:t>
      </w:r>
    </w:p>
    <w:p w14:paraId="6221665E">
      <w:pPr>
        <w:pStyle w:val="10"/>
        <w:spacing w:before="158" w:line="362" w:lineRule="auto"/>
        <w:ind w:left="620" w:right="737" w:firstLine="480"/>
        <w:jc w:val="both"/>
      </w:pPr>
      <w:r>
        <w:pict>
          <v:shape id="_x0000_s3129" o:spid="_x0000_s3129" o:spt="202" type="#_x0000_t202" style="position:absolute;left:0pt;margin-left:173.65pt;margin-top:82.55pt;height:13.2pt;width:6pt;mso-position-horizontal-relative:page;z-index:251660288;mso-width-relative:page;mso-height-relative:page;" filled="f" stroked="f" coordsize="21600,21600">
            <v:path/>
            <v:fill on="f" focussize="0,0"/>
            <v:stroke on="f" joinstyle="miter"/>
            <v:imagedata o:title=""/>
            <o:lock v:ext="edit"/>
            <v:textbox inset="0mm,0mm,0mm,0mm">
              <w:txbxContent>
                <w:p w14:paraId="56F9A0DA">
                  <w:pPr>
                    <w:pStyle w:val="10"/>
                    <w:spacing w:line="264" w:lineRule="exact"/>
                    <w:rPr>
                      <w:rFonts w:ascii="Times New Roman"/>
                    </w:rPr>
                  </w:pPr>
                  <w:r>
                    <w:rPr>
                      <w:rFonts w:ascii="Times New Roman"/>
                      <w:w w:val="99"/>
                    </w:rPr>
                    <w:t>1</w:t>
                  </w:r>
                </w:p>
              </w:txbxContent>
            </v:textbox>
          </v:shape>
        </w:pict>
      </w:r>
      <w:r>
        <w:pict>
          <v:shape id="_x0000_s3130" o:spid="_x0000_s3130" o:spt="202" type="#_x0000_t202" style="position:absolute;left:0pt;margin-left:186.85pt;margin-top:82.35pt;height:7.7pt;width:4.65pt;mso-position-horizontal-relative:page;z-index:-251649024;mso-width-relative:page;mso-height-relative:page;" filled="f" stroked="f" coordsize="21600,21600">
            <v:path/>
            <v:fill on="f" focussize="0,0"/>
            <v:stroke on="f" joinstyle="miter"/>
            <v:imagedata o:title=""/>
            <o:lock v:ext="edit"/>
            <v:textbox inset="0mm,0mm,0mm,0mm">
              <w:txbxContent>
                <w:p w14:paraId="302CCC23">
                  <w:pPr>
                    <w:spacing w:before="0" w:line="154" w:lineRule="exact"/>
                    <w:ind w:left="0" w:right="0" w:firstLine="0"/>
                    <w:jc w:val="left"/>
                    <w:rPr>
                      <w:rFonts w:ascii="Times New Roman"/>
                      <w:i/>
                      <w:sz w:val="14"/>
                    </w:rPr>
                  </w:pPr>
                  <w:r>
                    <w:rPr>
                      <w:rFonts w:ascii="Times New Roman"/>
                      <w:i/>
                      <w:w w:val="99"/>
                      <w:sz w:val="14"/>
                    </w:rPr>
                    <w:t>N</w:t>
                  </w:r>
                </w:p>
              </w:txbxContent>
            </v:textbox>
          </v:shape>
        </w:pict>
      </w:r>
      <w:r>
        <w:rPr>
          <w:spacing w:val="-20"/>
          <w:position w:val="2"/>
        </w:rPr>
        <w:t xml:space="preserve">设第 </w:t>
      </w:r>
      <w:r>
        <w:rPr>
          <w:rFonts w:ascii="Times New Roman" w:eastAsia="Times New Roman"/>
          <w:position w:val="2"/>
        </w:rPr>
        <w:t xml:space="preserve">i </w:t>
      </w:r>
      <w:r>
        <w:rPr>
          <w:spacing w:val="-5"/>
          <w:position w:val="2"/>
        </w:rPr>
        <w:t xml:space="preserve">个室外声源在预测点产生的 </w:t>
      </w:r>
      <w:r>
        <w:rPr>
          <w:rFonts w:ascii="Times New Roman" w:eastAsia="Times New Roman"/>
          <w:position w:val="2"/>
        </w:rPr>
        <w:t xml:space="preserve">A </w:t>
      </w:r>
      <w:r>
        <w:rPr>
          <w:spacing w:val="-15"/>
          <w:position w:val="2"/>
        </w:rPr>
        <w:t xml:space="preserve">声级为 </w:t>
      </w:r>
      <w:r>
        <w:rPr>
          <w:rFonts w:ascii="Times New Roman" w:eastAsia="Times New Roman"/>
          <w:position w:val="2"/>
        </w:rPr>
        <w:t>L</w:t>
      </w:r>
      <w:r>
        <w:rPr>
          <w:rFonts w:ascii="Times New Roman" w:eastAsia="Times New Roman"/>
          <w:position w:val="2"/>
          <w:vertAlign w:val="subscript"/>
        </w:rPr>
        <w:t>Ai</w:t>
      </w:r>
      <w:r>
        <w:rPr>
          <w:spacing w:val="-20"/>
          <w:position w:val="2"/>
          <w:vertAlign w:val="baseline"/>
        </w:rPr>
        <w:t xml:space="preserve">，在 </w:t>
      </w:r>
      <w:r>
        <w:rPr>
          <w:rFonts w:ascii="Times New Roman" w:eastAsia="Times New Roman"/>
          <w:position w:val="2"/>
          <w:vertAlign w:val="baseline"/>
        </w:rPr>
        <w:t xml:space="preserve">T </w:t>
      </w:r>
      <w:r>
        <w:rPr>
          <w:position w:val="2"/>
          <w:vertAlign w:val="baseline"/>
        </w:rPr>
        <w:t>时间内该声源工作时</w:t>
      </w:r>
      <w:r>
        <w:rPr>
          <w:spacing w:val="-18"/>
          <w:position w:val="2"/>
          <w:vertAlign w:val="baseline"/>
        </w:rPr>
        <w:t xml:space="preserve">间为 </w:t>
      </w:r>
      <w:r>
        <w:rPr>
          <w:rFonts w:ascii="Times New Roman" w:eastAsia="Times New Roman"/>
          <w:position w:val="2"/>
          <w:vertAlign w:val="baseline"/>
        </w:rPr>
        <w:t>t</w:t>
      </w:r>
      <w:r>
        <w:rPr>
          <w:rFonts w:ascii="Times New Roman" w:eastAsia="Times New Roman"/>
          <w:position w:val="2"/>
          <w:vertAlign w:val="subscript"/>
        </w:rPr>
        <w:t>i</w:t>
      </w:r>
      <w:r>
        <w:rPr>
          <w:spacing w:val="-18"/>
          <w:position w:val="2"/>
          <w:vertAlign w:val="baseline"/>
        </w:rPr>
        <w:t xml:space="preserve">；第 </w:t>
      </w:r>
      <w:r>
        <w:rPr>
          <w:rFonts w:ascii="Times New Roman" w:eastAsia="Times New Roman"/>
          <w:position w:val="2"/>
          <w:vertAlign w:val="baseline"/>
        </w:rPr>
        <w:t xml:space="preserve">j </w:t>
      </w:r>
      <w:r>
        <w:rPr>
          <w:spacing w:val="-4"/>
          <w:position w:val="2"/>
          <w:vertAlign w:val="baseline"/>
        </w:rPr>
        <w:t xml:space="preserve">个等效室外声源在预测点产生的 </w:t>
      </w:r>
      <w:r>
        <w:rPr>
          <w:rFonts w:ascii="Times New Roman" w:eastAsia="Times New Roman"/>
          <w:position w:val="2"/>
          <w:vertAlign w:val="baseline"/>
        </w:rPr>
        <w:t xml:space="preserve">A </w:t>
      </w:r>
      <w:r>
        <w:rPr>
          <w:spacing w:val="-14"/>
          <w:position w:val="2"/>
          <w:vertAlign w:val="baseline"/>
        </w:rPr>
        <w:t xml:space="preserve">声级为 </w:t>
      </w:r>
      <w:r>
        <w:rPr>
          <w:rFonts w:ascii="Times New Roman" w:eastAsia="Times New Roman"/>
          <w:position w:val="2"/>
          <w:vertAlign w:val="baseline"/>
        </w:rPr>
        <w:t>L</w:t>
      </w:r>
      <w:r>
        <w:rPr>
          <w:rFonts w:ascii="Times New Roman" w:eastAsia="Times New Roman"/>
          <w:position w:val="2"/>
          <w:vertAlign w:val="subscript"/>
        </w:rPr>
        <w:t>Aj</w:t>
      </w:r>
      <w:r>
        <w:rPr>
          <w:spacing w:val="-18"/>
          <w:position w:val="2"/>
          <w:vertAlign w:val="baseline"/>
        </w:rPr>
        <w:t xml:space="preserve">，在 </w:t>
      </w:r>
      <w:r>
        <w:rPr>
          <w:rFonts w:ascii="Times New Roman" w:eastAsia="Times New Roman"/>
          <w:position w:val="2"/>
          <w:vertAlign w:val="baseline"/>
        </w:rPr>
        <w:t xml:space="preserve">T </w:t>
      </w:r>
      <w:r>
        <w:rPr>
          <w:position w:val="2"/>
          <w:vertAlign w:val="baseline"/>
        </w:rPr>
        <w:t>时间内该声源</w:t>
      </w:r>
      <w:r>
        <w:rPr>
          <w:spacing w:val="-10"/>
          <w:position w:val="2"/>
          <w:vertAlign w:val="baseline"/>
        </w:rPr>
        <w:t xml:space="preserve">工作时间为 </w:t>
      </w:r>
      <w:r>
        <w:rPr>
          <w:rFonts w:ascii="Times New Roman" w:eastAsia="Times New Roman"/>
          <w:position w:val="2"/>
          <w:vertAlign w:val="baseline"/>
        </w:rPr>
        <w:t>t</w:t>
      </w:r>
      <w:r>
        <w:rPr>
          <w:rFonts w:ascii="Times New Roman" w:eastAsia="Times New Roman"/>
          <w:position w:val="2"/>
          <w:vertAlign w:val="subscript"/>
        </w:rPr>
        <w:t>j</w:t>
      </w:r>
      <w:r>
        <w:rPr>
          <w:position w:val="2"/>
          <w:vertAlign w:val="baseline"/>
        </w:rPr>
        <w:t>，则拟建工程声源对预测点产生的贡献值（</w:t>
      </w:r>
      <w:r>
        <w:rPr>
          <w:rFonts w:ascii="Times New Roman" w:eastAsia="Times New Roman"/>
          <w:position w:val="2"/>
          <w:vertAlign w:val="baseline"/>
        </w:rPr>
        <w:t>L</w:t>
      </w:r>
      <w:r>
        <w:rPr>
          <w:rFonts w:ascii="Times New Roman" w:eastAsia="Times New Roman"/>
          <w:position w:val="2"/>
          <w:vertAlign w:val="subscript"/>
        </w:rPr>
        <w:t>eqg</w:t>
      </w:r>
      <w:r>
        <w:rPr>
          <w:position w:val="2"/>
          <w:vertAlign w:val="baseline"/>
        </w:rPr>
        <w:t>）为：</w:t>
      </w:r>
    </w:p>
    <w:p w14:paraId="3BFAFEFD">
      <w:pPr>
        <w:spacing w:after="0" w:line="362" w:lineRule="auto"/>
        <w:jc w:val="both"/>
        <w:sectPr>
          <w:footerReference r:id="rId32" w:type="default"/>
          <w:pgSz w:w="11910" w:h="16840"/>
          <w:pgMar w:top="1440" w:right="1060" w:bottom="1380" w:left="1180" w:header="0" w:footer="1192" w:gutter="0"/>
          <w:pgNumType w:start="140"/>
          <w:cols w:space="720" w:num="1"/>
        </w:sectPr>
      </w:pPr>
    </w:p>
    <w:p w14:paraId="44E93961">
      <w:pPr>
        <w:pStyle w:val="10"/>
        <w:spacing w:before="31" w:line="222" w:lineRule="exact"/>
        <w:jc w:val="right"/>
        <w:rPr>
          <w:rFonts w:ascii="Symbol" w:hAnsi="Symbol"/>
        </w:rPr>
      </w:pPr>
      <w:r>
        <w:rPr>
          <w:rFonts w:ascii="Symbol" w:hAnsi="Symbol"/>
          <w:w w:val="99"/>
        </w:rPr>
        <w:t></w:t>
      </w:r>
    </w:p>
    <w:p w14:paraId="5389A9E7">
      <w:pPr>
        <w:tabs>
          <w:tab w:val="left" w:pos="409"/>
        </w:tabs>
        <w:spacing w:before="0" w:line="135" w:lineRule="exact"/>
        <w:ind w:left="0" w:right="0" w:firstLine="0"/>
        <w:jc w:val="right"/>
        <w:rPr>
          <w:rFonts w:ascii="Symbol" w:hAnsi="Symbol"/>
          <w:sz w:val="24"/>
        </w:rPr>
      </w:pPr>
      <w:r>
        <w:rPr>
          <w:rFonts w:ascii="Times New Roman" w:hAnsi="Times New Roman"/>
          <w:i/>
          <w:sz w:val="24"/>
        </w:rPr>
        <w:t>L</w:t>
      </w:r>
      <w:r>
        <w:rPr>
          <w:rFonts w:ascii="Times New Roman" w:hAnsi="Times New Roman"/>
          <w:i/>
          <w:sz w:val="24"/>
        </w:rPr>
        <w:tab/>
      </w:r>
      <w:r>
        <w:rPr>
          <w:rFonts w:ascii="Symbol" w:hAnsi="Symbol"/>
          <w:sz w:val="24"/>
        </w:rPr>
        <w:t></w:t>
      </w:r>
      <w:r>
        <w:rPr>
          <w:rFonts w:ascii="Times New Roman" w:hAnsi="Times New Roman"/>
          <w:spacing w:val="-33"/>
          <w:sz w:val="24"/>
        </w:rPr>
        <w:t xml:space="preserve"> </w:t>
      </w:r>
      <w:r>
        <w:rPr>
          <w:rFonts w:ascii="Times New Roman" w:hAnsi="Times New Roman"/>
          <w:sz w:val="24"/>
        </w:rPr>
        <w:t>10lg</w:t>
      </w:r>
      <w:r>
        <w:rPr>
          <w:rFonts w:ascii="Symbol" w:hAnsi="Symbol"/>
          <w:position w:val="3"/>
          <w:sz w:val="24"/>
        </w:rPr>
        <w:t></w:t>
      </w:r>
    </w:p>
    <w:p w14:paraId="27676425">
      <w:pPr>
        <w:spacing w:before="159" w:line="228" w:lineRule="exact"/>
        <w:ind w:left="206" w:right="0" w:firstLine="0"/>
        <w:jc w:val="left"/>
        <w:rPr>
          <w:rFonts w:ascii="Times New Roman" w:hAnsi="Times New Roman"/>
          <w:sz w:val="24"/>
        </w:rPr>
      </w:pPr>
      <w:r>
        <w:br w:type="column"/>
      </w:r>
      <w:r>
        <w:rPr>
          <w:rFonts w:ascii="Symbol" w:hAnsi="Symbol"/>
          <w:position w:val="-5"/>
          <w:sz w:val="35"/>
        </w:rPr>
        <w:t></w:t>
      </w:r>
      <w:r>
        <w:rPr>
          <w:rFonts w:ascii="Times New Roman" w:hAnsi="Times New Roman"/>
          <w:i/>
          <w:sz w:val="24"/>
        </w:rPr>
        <w:t xml:space="preserve">t </w:t>
      </w:r>
      <w:r>
        <w:rPr>
          <w:rFonts w:ascii="Times New Roman" w:hAnsi="Times New Roman"/>
          <w:sz w:val="24"/>
        </w:rPr>
        <w:t>10</w:t>
      </w:r>
    </w:p>
    <w:p w14:paraId="298964BB">
      <w:pPr>
        <w:tabs>
          <w:tab w:val="left" w:pos="558"/>
        </w:tabs>
        <w:spacing w:line="155" w:lineRule="exact"/>
        <w:ind w:left="-13" w:right="0" w:firstLine="0"/>
        <w:rPr>
          <w:rFonts w:ascii="Times New Roman"/>
          <w:sz w:val="15"/>
        </w:rPr>
      </w:pPr>
      <w:r>
        <w:rPr>
          <w:rFonts w:ascii="Times New Roman"/>
          <w:position w:val="11"/>
          <w:sz w:val="2"/>
        </w:rPr>
        <w:pict>
          <v:group id="_x0000_s3131" o:spid="_x0000_s3131" o:spt="203" style="height:0.5pt;width:8.75pt;" coordsize="175,10">
            <o:lock v:ext="edit"/>
            <v:line id="_x0000_s3132" o:spid="_x0000_s3132" o:spt="20" style="position:absolute;left:0;top:5;height:0;width:175;" stroked="t" coordsize="21600,21600">
              <v:path arrowok="t"/>
              <v:fill focussize="0,0"/>
              <v:stroke weight="0.5pt" color="#000000"/>
              <v:imagedata o:title=""/>
              <o:lock v:ext="edit"/>
            </v:line>
            <w10:wrap type="none"/>
            <w10:anchorlock/>
          </v:group>
        </w:pict>
      </w:r>
      <w:r>
        <w:rPr>
          <w:rFonts w:ascii="Times New Roman"/>
          <w:position w:val="11"/>
          <w:sz w:val="2"/>
        </w:rPr>
        <w:tab/>
      </w:r>
      <w:r>
        <w:rPr>
          <w:rFonts w:ascii="Times New Roman"/>
          <w:position w:val="-2"/>
          <w:sz w:val="15"/>
        </w:rPr>
        <w:pict>
          <v:shape id="_x0000_s3133" o:spid="_x0000_s3133" o:spt="202" type="#_x0000_t202" style="height:7.7pt;width:1.95pt;" filled="f" stroked="f" coordsize="21600,21600">
            <v:path/>
            <v:fill on="f" focussize="0,0"/>
            <v:stroke on="f" joinstyle="miter"/>
            <v:imagedata o:title=""/>
            <o:lock v:ext="edit"/>
            <v:textbox inset="0mm,0mm,0mm,0mm">
              <w:txbxContent>
                <w:p w14:paraId="2719AFB3">
                  <w:pPr>
                    <w:spacing w:before="0" w:line="154" w:lineRule="exact"/>
                    <w:ind w:left="0" w:right="0" w:firstLine="0"/>
                    <w:jc w:val="left"/>
                    <w:rPr>
                      <w:rFonts w:ascii="Times New Roman"/>
                      <w:i/>
                      <w:sz w:val="14"/>
                    </w:rPr>
                  </w:pPr>
                  <w:r>
                    <w:rPr>
                      <w:rFonts w:ascii="Times New Roman"/>
                      <w:i/>
                      <w:w w:val="99"/>
                      <w:sz w:val="14"/>
                    </w:rPr>
                    <w:t>i</w:t>
                  </w:r>
                </w:p>
              </w:txbxContent>
            </v:textbox>
            <w10:wrap type="none"/>
            <w10:anchorlock/>
          </v:shape>
        </w:pict>
      </w:r>
    </w:p>
    <w:p w14:paraId="1AFAADF4">
      <w:pPr>
        <w:pStyle w:val="10"/>
        <w:spacing w:before="1"/>
        <w:rPr>
          <w:rFonts w:ascii="Times New Roman"/>
          <w:sz w:val="18"/>
        </w:rPr>
      </w:pPr>
      <w:r>
        <w:br w:type="column"/>
      </w:r>
    </w:p>
    <w:p w14:paraId="6EA11816">
      <w:pPr>
        <w:spacing w:before="1"/>
        <w:ind w:left="-32" w:right="0" w:firstLine="0"/>
        <w:jc w:val="left"/>
        <w:rPr>
          <w:rFonts w:ascii="Times New Roman"/>
          <w:i/>
          <w:sz w:val="14"/>
        </w:rPr>
      </w:pPr>
      <w:r>
        <w:rPr>
          <w:rFonts w:ascii="Times New Roman"/>
          <w:sz w:val="14"/>
        </w:rPr>
        <w:t>0.1</w:t>
      </w:r>
      <w:r>
        <w:rPr>
          <w:rFonts w:ascii="Times New Roman"/>
          <w:i/>
          <w:sz w:val="14"/>
        </w:rPr>
        <w:t>L</w:t>
      </w:r>
    </w:p>
    <w:p w14:paraId="7CAD313F">
      <w:pPr>
        <w:spacing w:before="159" w:line="228" w:lineRule="exact"/>
        <w:ind w:left="-34" w:right="0" w:firstLine="0"/>
        <w:jc w:val="left"/>
        <w:rPr>
          <w:rFonts w:ascii="Times New Roman" w:hAnsi="Times New Roman"/>
          <w:sz w:val="24"/>
        </w:rPr>
      </w:pPr>
      <w:r>
        <w:br w:type="column"/>
      </w:r>
      <w:r>
        <w:rPr>
          <w:rFonts w:ascii="Times New Roman" w:hAnsi="Times New Roman"/>
          <w:i/>
          <w:position w:val="8"/>
          <w:sz w:val="10"/>
        </w:rPr>
        <w:t xml:space="preserve">Ai </w:t>
      </w:r>
      <w:r>
        <w:rPr>
          <w:rFonts w:ascii="Symbol" w:hAnsi="Symbol"/>
          <w:sz w:val="24"/>
        </w:rPr>
        <w:t></w:t>
      </w:r>
      <w:r>
        <w:rPr>
          <w:rFonts w:ascii="Times New Roman" w:hAnsi="Times New Roman"/>
          <w:sz w:val="24"/>
        </w:rPr>
        <w:t xml:space="preserve"> </w:t>
      </w:r>
      <w:r>
        <w:rPr>
          <w:rFonts w:ascii="Symbol" w:hAnsi="Symbol"/>
          <w:position w:val="-5"/>
          <w:sz w:val="35"/>
        </w:rPr>
        <w:t></w:t>
      </w:r>
      <w:r>
        <w:rPr>
          <w:rFonts w:ascii="Times New Roman" w:hAnsi="Times New Roman"/>
          <w:i/>
          <w:sz w:val="24"/>
        </w:rPr>
        <w:t xml:space="preserve">t </w:t>
      </w:r>
      <w:r>
        <w:rPr>
          <w:rFonts w:ascii="Times New Roman" w:hAnsi="Times New Roman"/>
          <w:sz w:val="24"/>
        </w:rPr>
        <w:t>10</w:t>
      </w:r>
    </w:p>
    <w:p w14:paraId="2401A378">
      <w:pPr>
        <w:pStyle w:val="10"/>
        <w:spacing w:before="4"/>
        <w:rPr>
          <w:rFonts w:ascii="Times New Roman"/>
          <w:sz w:val="16"/>
        </w:rPr>
      </w:pPr>
      <w:r>
        <w:br w:type="column"/>
      </w:r>
    </w:p>
    <w:p w14:paraId="226D365E">
      <w:pPr>
        <w:spacing w:before="0"/>
        <w:ind w:left="-32" w:right="0" w:firstLine="0"/>
        <w:jc w:val="left"/>
        <w:rPr>
          <w:rFonts w:ascii="Times New Roman"/>
          <w:i/>
          <w:sz w:val="14"/>
        </w:rPr>
      </w:pPr>
      <w:r>
        <w:rPr>
          <w:rFonts w:ascii="Times New Roman"/>
          <w:sz w:val="14"/>
        </w:rPr>
        <w:t>0.1</w:t>
      </w:r>
      <w:r>
        <w:rPr>
          <w:rFonts w:ascii="Times New Roman"/>
          <w:i/>
          <w:sz w:val="14"/>
        </w:rPr>
        <w:t>L</w:t>
      </w:r>
    </w:p>
    <w:p w14:paraId="66FE1223">
      <w:pPr>
        <w:spacing w:before="31" w:line="223" w:lineRule="exact"/>
        <w:ind w:left="122" w:right="0" w:firstLine="0"/>
        <w:jc w:val="center"/>
        <w:rPr>
          <w:rFonts w:ascii="Symbol" w:hAnsi="Symbol"/>
          <w:sz w:val="24"/>
        </w:rPr>
      </w:pPr>
      <w:r>
        <w:br w:type="column"/>
      </w:r>
      <w:r>
        <w:rPr>
          <w:rFonts w:ascii="Symbol" w:hAnsi="Symbol"/>
          <w:w w:val="95"/>
          <w:sz w:val="24"/>
        </w:rPr>
        <w:t></w:t>
      </w:r>
    </w:p>
    <w:p w14:paraId="78B8F733">
      <w:pPr>
        <w:spacing w:before="0" w:line="134" w:lineRule="exact"/>
        <w:ind w:left="-34" w:right="0" w:firstLine="0"/>
        <w:jc w:val="center"/>
        <w:rPr>
          <w:rFonts w:ascii="Symbol" w:hAnsi="Symbol"/>
          <w:sz w:val="24"/>
        </w:rPr>
      </w:pPr>
      <w:r>
        <w:rPr>
          <w:rFonts w:ascii="Times New Roman" w:hAnsi="Times New Roman"/>
          <w:i/>
          <w:sz w:val="10"/>
        </w:rPr>
        <w:t xml:space="preserve">Aj </w:t>
      </w:r>
      <w:r>
        <w:rPr>
          <w:rFonts w:ascii="Times New Roman" w:hAnsi="Times New Roman"/>
          <w:i/>
          <w:spacing w:val="15"/>
          <w:sz w:val="10"/>
        </w:rPr>
        <w:t xml:space="preserve"> </w:t>
      </w:r>
      <w:r>
        <w:rPr>
          <w:rFonts w:ascii="Symbol" w:hAnsi="Symbol"/>
          <w:position w:val="-6"/>
          <w:sz w:val="24"/>
        </w:rPr>
        <w:t></w:t>
      </w:r>
    </w:p>
    <w:p w14:paraId="190A7D0E">
      <w:pPr>
        <w:pStyle w:val="10"/>
        <w:spacing w:before="210" w:line="178" w:lineRule="exact"/>
        <w:ind w:left="594"/>
      </w:pPr>
      <w:r>
        <w:br w:type="column"/>
      </w:r>
      <w:r>
        <w:t>（</w:t>
      </w:r>
      <w:r>
        <w:rPr>
          <w:rFonts w:ascii="Times New Roman" w:eastAsia="Times New Roman"/>
        </w:rPr>
        <w:t>B.6</w:t>
      </w:r>
      <w:r>
        <w:t>）</w:t>
      </w:r>
    </w:p>
    <w:p w14:paraId="49F41D1F">
      <w:pPr>
        <w:spacing w:after="0" w:line="178" w:lineRule="exact"/>
        <w:sectPr>
          <w:type w:val="continuous"/>
          <w:pgSz w:w="11910" w:h="16840"/>
          <w:pgMar w:top="1600" w:right="1060" w:bottom="280" w:left="1180" w:header="720" w:footer="720" w:gutter="0"/>
          <w:cols w:equalWidth="0" w:num="7">
            <w:col w:w="2234" w:space="40"/>
            <w:col w:w="845" w:space="39"/>
            <w:col w:w="225" w:space="40"/>
            <w:col w:w="985" w:space="39"/>
            <w:col w:w="225" w:space="39"/>
            <w:col w:w="215" w:space="39"/>
            <w:col w:w="4705"/>
          </w:cols>
        </w:sectPr>
      </w:pPr>
    </w:p>
    <w:p w14:paraId="5A5E6B1D">
      <w:pPr>
        <w:spacing w:before="0" w:line="154" w:lineRule="exact"/>
        <w:ind w:left="0" w:right="0" w:firstLine="0"/>
        <w:jc w:val="right"/>
        <w:rPr>
          <w:rFonts w:ascii="Times New Roman"/>
          <w:sz w:val="14"/>
        </w:rPr>
      </w:pPr>
      <w:r>
        <w:rPr>
          <w:rFonts w:ascii="Times New Roman"/>
          <w:i/>
          <w:sz w:val="14"/>
        </w:rPr>
        <w:t>eq</w:t>
      </w:r>
      <w:r>
        <w:rPr>
          <w:rFonts w:ascii="Times New Roman"/>
          <w:sz w:val="14"/>
        </w:rPr>
        <w:t>g</w:t>
      </w:r>
    </w:p>
    <w:p w14:paraId="241E0970">
      <w:pPr>
        <w:spacing w:before="29"/>
        <w:ind w:left="632" w:right="0" w:firstLine="0"/>
        <w:jc w:val="left"/>
        <w:rPr>
          <w:rFonts w:ascii="Times New Roman" w:hAnsi="Times New Roman"/>
          <w:sz w:val="14"/>
        </w:rPr>
      </w:pPr>
      <w:r>
        <w:br w:type="column"/>
      </w:r>
      <w:r>
        <w:rPr>
          <w:rFonts w:ascii="Symbol" w:hAnsi="Symbol"/>
          <w:position w:val="-2"/>
          <w:sz w:val="24"/>
        </w:rPr>
        <w:t></w:t>
      </w:r>
      <w:r>
        <w:rPr>
          <w:rFonts w:ascii="Times New Roman" w:hAnsi="Times New Roman"/>
          <w:position w:val="-2"/>
          <w:sz w:val="24"/>
        </w:rPr>
        <w:t xml:space="preserve"> </w:t>
      </w:r>
      <w:r>
        <w:rPr>
          <w:rFonts w:ascii="Times New Roman" w:hAnsi="Times New Roman"/>
          <w:i/>
          <w:position w:val="4"/>
          <w:sz w:val="24"/>
        </w:rPr>
        <w:t xml:space="preserve">T </w:t>
      </w:r>
      <w:r>
        <w:rPr>
          <w:rFonts w:ascii="Times New Roman" w:hAnsi="Times New Roman"/>
          <w:sz w:val="14"/>
        </w:rPr>
        <w:t>i</w:t>
      </w:r>
      <w:r>
        <w:rPr>
          <w:rFonts w:ascii="Symbol" w:hAnsi="Symbol"/>
          <w:sz w:val="14"/>
        </w:rPr>
        <w:t></w:t>
      </w:r>
      <w:r>
        <w:rPr>
          <w:rFonts w:ascii="Times New Roman" w:hAnsi="Times New Roman"/>
          <w:sz w:val="14"/>
        </w:rPr>
        <w:t>1</w:t>
      </w:r>
    </w:p>
    <w:p w14:paraId="21DADA1B">
      <w:pPr>
        <w:spacing w:before="0" w:line="118" w:lineRule="exact"/>
        <w:ind w:left="1207" w:right="0" w:firstLine="0"/>
        <w:jc w:val="left"/>
        <w:rPr>
          <w:rFonts w:ascii="Times New Roman"/>
          <w:i/>
          <w:sz w:val="14"/>
        </w:rPr>
      </w:pPr>
      <w:r>
        <w:br w:type="column"/>
      </w:r>
      <w:r>
        <w:rPr>
          <w:rFonts w:ascii="Times New Roman"/>
          <w:i/>
          <w:sz w:val="14"/>
        </w:rPr>
        <w:t>j</w:t>
      </w:r>
    </w:p>
    <w:p w14:paraId="6655A050">
      <w:pPr>
        <w:tabs>
          <w:tab w:val="left" w:pos="1922"/>
        </w:tabs>
        <w:spacing w:before="0" w:line="258" w:lineRule="exact"/>
        <w:ind w:left="876" w:right="0" w:firstLine="0"/>
        <w:jc w:val="left"/>
        <w:rPr>
          <w:rFonts w:ascii="Symbol" w:hAnsi="Symbol"/>
          <w:sz w:val="24"/>
        </w:rPr>
      </w:pPr>
      <w:r>
        <w:pict>
          <v:shape id="_x0000_s3134" o:spid="_x0000_s3134" o:spt="202" type="#_x0000_t202" style="position:absolute;left:0pt;margin-left:248.8pt;margin-top:-21.1pt;height:7.7pt;width:5.8pt;mso-position-horizontal-relative:page;z-index:-251649024;mso-width-relative:page;mso-height-relative:page;" filled="f" stroked="f" coordsize="21600,21600">
            <v:path/>
            <v:fill on="f" focussize="0,0"/>
            <v:stroke on="f" joinstyle="miter"/>
            <v:imagedata o:title=""/>
            <o:lock v:ext="edit"/>
            <v:textbox inset="0mm,0mm,0mm,0mm">
              <w:txbxContent>
                <w:p w14:paraId="1A57A371">
                  <w:pPr>
                    <w:spacing w:before="0" w:line="154" w:lineRule="exact"/>
                    <w:ind w:left="0" w:right="0" w:firstLine="0"/>
                    <w:jc w:val="left"/>
                    <w:rPr>
                      <w:rFonts w:ascii="Times New Roman"/>
                      <w:i/>
                      <w:sz w:val="14"/>
                    </w:rPr>
                  </w:pPr>
                  <w:r>
                    <w:rPr>
                      <w:rFonts w:ascii="Times New Roman"/>
                      <w:i/>
                      <w:w w:val="99"/>
                      <w:sz w:val="14"/>
                    </w:rPr>
                    <w:t>M</w:t>
                  </w:r>
                </w:p>
              </w:txbxContent>
            </v:textbox>
          </v:shape>
        </w:pict>
      </w:r>
      <w:r>
        <w:rPr>
          <w:rFonts w:ascii="Times New Roman" w:hAnsi="Times New Roman"/>
          <w:i/>
          <w:sz w:val="14"/>
        </w:rPr>
        <w:t>j</w:t>
      </w:r>
      <w:r>
        <w:rPr>
          <w:rFonts w:ascii="Times New Roman" w:hAnsi="Times New Roman"/>
          <w:i/>
          <w:spacing w:val="-23"/>
          <w:sz w:val="14"/>
        </w:rPr>
        <w:t xml:space="preserve"> </w:t>
      </w:r>
      <w:r>
        <w:rPr>
          <w:rFonts w:ascii="Symbol" w:hAnsi="Symbol"/>
          <w:spacing w:val="-4"/>
          <w:sz w:val="14"/>
        </w:rPr>
        <w:t></w:t>
      </w:r>
      <w:r>
        <w:rPr>
          <w:rFonts w:ascii="Times New Roman" w:hAnsi="Times New Roman"/>
          <w:spacing w:val="-4"/>
          <w:sz w:val="14"/>
        </w:rPr>
        <w:t>1</w:t>
      </w:r>
      <w:r>
        <w:rPr>
          <w:rFonts w:ascii="Times New Roman" w:hAnsi="Times New Roman"/>
          <w:spacing w:val="-4"/>
          <w:sz w:val="14"/>
        </w:rPr>
        <w:tab/>
      </w:r>
      <w:r>
        <w:rPr>
          <w:rFonts w:ascii="Symbol" w:hAnsi="Symbol"/>
          <w:position w:val="-2"/>
          <w:sz w:val="24"/>
        </w:rPr>
        <w:t></w:t>
      </w:r>
    </w:p>
    <w:p w14:paraId="70BF0532">
      <w:pPr>
        <w:spacing w:after="0" w:line="258" w:lineRule="exact"/>
        <w:jc w:val="left"/>
        <w:rPr>
          <w:rFonts w:ascii="Symbol" w:hAnsi="Symbol"/>
          <w:sz w:val="24"/>
        </w:rPr>
        <w:sectPr>
          <w:type w:val="continuous"/>
          <w:pgSz w:w="11910" w:h="16840"/>
          <w:pgMar w:top="1600" w:right="1060" w:bottom="280" w:left="1180" w:header="720" w:footer="720" w:gutter="0"/>
          <w:cols w:equalWidth="0" w:num="3">
            <w:col w:w="1470" w:space="40"/>
            <w:col w:w="1362" w:space="39"/>
            <w:col w:w="6759"/>
          </w:cols>
        </w:sectPr>
      </w:pPr>
    </w:p>
    <w:p w14:paraId="6E1737C2">
      <w:pPr>
        <w:pStyle w:val="10"/>
        <w:spacing w:before="170"/>
        <w:ind w:left="1100"/>
      </w:pPr>
      <w:r>
        <w:rPr>
          <w:position w:val="2"/>
        </w:rPr>
        <w:t>式中：</w:t>
      </w:r>
      <w:r>
        <w:rPr>
          <w:rFonts w:ascii="Times New Roman" w:hAnsi="Times New Roman" w:eastAsia="Times New Roman"/>
          <w:position w:val="2"/>
        </w:rPr>
        <w:t>L</w:t>
      </w:r>
      <w:r>
        <w:rPr>
          <w:rFonts w:ascii="Times New Roman" w:hAnsi="Times New Roman" w:eastAsia="Times New Roman"/>
          <w:position w:val="2"/>
          <w:vertAlign w:val="subscript"/>
        </w:rPr>
        <w:t>eqg</w:t>
      </w:r>
      <w:r>
        <w:rPr>
          <w:rFonts w:ascii="Times New Roman" w:hAnsi="Times New Roman" w:eastAsia="Times New Roman"/>
          <w:position w:val="2"/>
          <w:vertAlign w:val="baseline"/>
        </w:rPr>
        <w:t>——</w:t>
      </w:r>
      <w:r>
        <w:rPr>
          <w:position w:val="2"/>
          <w:vertAlign w:val="baseline"/>
        </w:rPr>
        <w:t>建设项目声源在预测点产生的噪声贡献值，</w:t>
      </w:r>
      <w:r>
        <w:rPr>
          <w:rFonts w:ascii="Times New Roman" w:hAnsi="Times New Roman" w:eastAsia="Times New Roman"/>
          <w:position w:val="2"/>
          <w:vertAlign w:val="baseline"/>
        </w:rPr>
        <w:t>dB</w:t>
      </w:r>
      <w:r>
        <w:rPr>
          <w:position w:val="2"/>
          <w:vertAlign w:val="baseline"/>
        </w:rPr>
        <w:t>；</w:t>
      </w:r>
    </w:p>
    <w:p w14:paraId="4B608223">
      <w:pPr>
        <w:pStyle w:val="10"/>
        <w:spacing w:before="159"/>
        <w:ind w:left="1100"/>
      </w:pPr>
      <w:r>
        <w:rPr>
          <w:rFonts w:ascii="Times New Roman" w:hAnsi="Times New Roman" w:eastAsia="Times New Roman"/>
        </w:rPr>
        <w:t>T——</w:t>
      </w:r>
      <w:r>
        <w:t>用于计算等效声级的时间，</w:t>
      </w:r>
      <w:r>
        <w:rPr>
          <w:rFonts w:ascii="Times New Roman" w:hAnsi="Times New Roman" w:eastAsia="Times New Roman"/>
        </w:rPr>
        <w:t>s</w:t>
      </w:r>
      <w:r>
        <w:t>；</w:t>
      </w:r>
    </w:p>
    <w:p w14:paraId="54F07A26">
      <w:pPr>
        <w:pStyle w:val="10"/>
        <w:spacing w:before="161"/>
        <w:ind w:left="1100"/>
      </w:pPr>
      <w:r>
        <w:rPr>
          <w:rFonts w:ascii="Times New Roman" w:hAnsi="Times New Roman" w:eastAsia="Times New Roman"/>
        </w:rPr>
        <w:t>N——</w:t>
      </w:r>
      <w:r>
        <w:t>室外声源个数；</w:t>
      </w:r>
    </w:p>
    <w:p w14:paraId="305AC627">
      <w:pPr>
        <w:pStyle w:val="10"/>
        <w:spacing w:before="157"/>
        <w:ind w:left="1100"/>
      </w:pPr>
      <w:r>
        <w:rPr>
          <w:rFonts w:ascii="Times New Roman" w:hAnsi="Times New Roman" w:eastAsia="Times New Roman"/>
          <w:position w:val="2"/>
        </w:rPr>
        <w:t>t</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在 </w:t>
      </w:r>
      <w:r>
        <w:rPr>
          <w:rFonts w:ascii="Times New Roman" w:hAnsi="Times New Roman" w:eastAsia="Times New Roman"/>
          <w:position w:val="2"/>
          <w:vertAlign w:val="baseline"/>
        </w:rPr>
        <w:t xml:space="preserve">T </w:t>
      </w:r>
      <w:r>
        <w:rPr>
          <w:position w:val="2"/>
          <w:vertAlign w:val="baseline"/>
        </w:rPr>
        <w:t xml:space="preserve">时间内 </w:t>
      </w:r>
      <w:r>
        <w:rPr>
          <w:rFonts w:ascii="Times New Roman" w:hAnsi="Times New Roman" w:eastAsia="Times New Roman"/>
          <w:position w:val="2"/>
          <w:vertAlign w:val="baseline"/>
        </w:rPr>
        <w:t xml:space="preserve">i </w:t>
      </w:r>
      <w:r>
        <w:rPr>
          <w:position w:val="2"/>
          <w:vertAlign w:val="baseline"/>
        </w:rPr>
        <w:t>声源工作时间，</w:t>
      </w:r>
      <w:r>
        <w:rPr>
          <w:rFonts w:ascii="Times New Roman" w:hAnsi="Times New Roman" w:eastAsia="Times New Roman"/>
          <w:position w:val="2"/>
          <w:vertAlign w:val="baseline"/>
        </w:rPr>
        <w:t>s</w:t>
      </w:r>
      <w:r>
        <w:rPr>
          <w:position w:val="2"/>
          <w:vertAlign w:val="baseline"/>
        </w:rPr>
        <w:t>；</w:t>
      </w:r>
    </w:p>
    <w:p w14:paraId="23022601">
      <w:pPr>
        <w:pStyle w:val="10"/>
        <w:spacing w:before="159"/>
        <w:ind w:left="1100"/>
      </w:pPr>
      <w:r>
        <w:rPr>
          <w:rFonts w:ascii="Times New Roman" w:hAnsi="Times New Roman" w:eastAsia="Times New Roman"/>
        </w:rPr>
        <w:t>M——</w:t>
      </w:r>
      <w:r>
        <w:t>等效室外声源个数；</w:t>
      </w:r>
    </w:p>
    <w:p w14:paraId="29B8BC73">
      <w:pPr>
        <w:pStyle w:val="10"/>
        <w:spacing w:before="158" w:line="362" w:lineRule="auto"/>
        <w:ind w:left="1100" w:right="4548"/>
      </w:pPr>
      <w:r>
        <w:drawing>
          <wp:anchor distT="0" distB="0" distL="0" distR="0" simplePos="0" relativeHeight="251663360" behindDoc="1" locked="0" layoutInCell="1" allowOverlap="1">
            <wp:simplePos x="0" y="0"/>
            <wp:positionH relativeFrom="page">
              <wp:posOffset>1736090</wp:posOffset>
            </wp:positionH>
            <wp:positionV relativeFrom="paragraph">
              <wp:posOffset>650240</wp:posOffset>
            </wp:positionV>
            <wp:extent cx="2113280" cy="341630"/>
            <wp:effectExtent l="0" t="0" r="0" b="0"/>
            <wp:wrapNone/>
            <wp:docPr id="7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0.jpeg"/>
                    <pic:cNvPicPr>
                      <a:picLocks noChangeAspect="1"/>
                    </pic:cNvPicPr>
                  </pic:nvPicPr>
                  <pic:blipFill>
                    <a:blip r:embed="rId140" cstate="print"/>
                    <a:stretch>
                      <a:fillRect/>
                    </a:stretch>
                  </pic:blipFill>
                  <pic:spPr>
                    <a:xfrm>
                      <a:off x="0" y="0"/>
                      <a:ext cx="2113095" cy="341375"/>
                    </a:xfrm>
                    <a:prstGeom prst="rect">
                      <a:avLst/>
                    </a:prstGeom>
                  </pic:spPr>
                </pic:pic>
              </a:graphicData>
            </a:graphic>
          </wp:anchor>
        </w:drawing>
      </w:r>
      <w:r>
        <w:rPr>
          <w:rFonts w:ascii="Times New Roman" w:hAnsi="Times New Roman" w:eastAsia="Times New Roman"/>
          <w:position w:val="2"/>
        </w:rPr>
        <w:t>t</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spacing w:val="-31"/>
          <w:position w:val="2"/>
          <w:vertAlign w:val="baseline"/>
        </w:rPr>
        <w:t xml:space="preserve">在 </w:t>
      </w:r>
      <w:r>
        <w:rPr>
          <w:rFonts w:ascii="Times New Roman" w:hAnsi="Times New Roman" w:eastAsia="Times New Roman"/>
          <w:position w:val="2"/>
          <w:vertAlign w:val="baseline"/>
        </w:rPr>
        <w:t xml:space="preserve">T </w:t>
      </w:r>
      <w:r>
        <w:rPr>
          <w:spacing w:val="-16"/>
          <w:position w:val="2"/>
          <w:vertAlign w:val="baseline"/>
        </w:rPr>
        <w:t xml:space="preserve">时间内 </w:t>
      </w:r>
      <w:r>
        <w:rPr>
          <w:rFonts w:ascii="Times New Roman" w:hAnsi="Times New Roman" w:eastAsia="Times New Roman"/>
          <w:position w:val="2"/>
          <w:vertAlign w:val="baseline"/>
        </w:rPr>
        <w:t xml:space="preserve">j </w:t>
      </w:r>
      <w:r>
        <w:rPr>
          <w:position w:val="2"/>
          <w:vertAlign w:val="baseline"/>
        </w:rPr>
        <w:t>声源工作时间，</w:t>
      </w:r>
      <w:r>
        <w:rPr>
          <w:rFonts w:ascii="Times New Roman" w:hAnsi="Times New Roman" w:eastAsia="Times New Roman"/>
          <w:position w:val="2"/>
          <w:vertAlign w:val="baseline"/>
        </w:rPr>
        <w:t>s</w:t>
      </w:r>
      <w:r>
        <w:rPr>
          <w:position w:val="2"/>
          <w:vertAlign w:val="baseline"/>
        </w:rPr>
        <w:t>。噪声预测值（</w:t>
      </w:r>
      <w:r>
        <w:rPr>
          <w:rFonts w:ascii="Times New Roman" w:hAnsi="Times New Roman" w:eastAsia="Times New Roman"/>
          <w:position w:val="2"/>
          <w:vertAlign w:val="baseline"/>
        </w:rPr>
        <w:t>L</w:t>
      </w:r>
      <w:r>
        <w:rPr>
          <w:rFonts w:ascii="Times New Roman" w:hAnsi="Times New Roman" w:eastAsia="Times New Roman"/>
          <w:position w:val="2"/>
          <w:vertAlign w:val="subscript"/>
        </w:rPr>
        <w:t>eq</w:t>
      </w:r>
      <w:r>
        <w:rPr>
          <w:position w:val="2"/>
          <w:vertAlign w:val="baseline"/>
        </w:rPr>
        <w:t>）计算公式为：</w:t>
      </w:r>
    </w:p>
    <w:p w14:paraId="2162E2DF">
      <w:pPr>
        <w:pStyle w:val="10"/>
        <w:spacing w:before="12"/>
        <w:rPr>
          <w:sz w:val="11"/>
        </w:rPr>
      </w:pPr>
    </w:p>
    <w:p w14:paraId="4BF5DF07">
      <w:pPr>
        <w:spacing w:after="0"/>
        <w:rPr>
          <w:sz w:val="11"/>
        </w:rPr>
        <w:sectPr>
          <w:type w:val="continuous"/>
          <w:pgSz w:w="11910" w:h="16840"/>
          <w:pgMar w:top="1600" w:right="1060" w:bottom="280" w:left="1180" w:header="720" w:footer="720" w:gutter="0"/>
          <w:cols w:space="720" w:num="1"/>
        </w:sectPr>
      </w:pPr>
    </w:p>
    <w:p w14:paraId="44F79334">
      <w:pPr>
        <w:pStyle w:val="10"/>
      </w:pPr>
    </w:p>
    <w:p w14:paraId="48308888">
      <w:pPr>
        <w:pStyle w:val="10"/>
        <w:spacing w:before="165"/>
        <w:ind w:left="1100"/>
      </w:pPr>
      <w:r>
        <w:t>式中：</w:t>
      </w:r>
    </w:p>
    <w:p w14:paraId="7B89A1FC">
      <w:pPr>
        <w:spacing w:before="77"/>
        <w:ind w:left="737" w:right="0" w:firstLine="0"/>
        <w:jc w:val="left"/>
        <w:rPr>
          <w:sz w:val="24"/>
        </w:rPr>
      </w:pPr>
      <w:r>
        <w:br w:type="column"/>
      </w:r>
      <w:r>
        <w:rPr>
          <w:sz w:val="24"/>
        </w:rPr>
        <w:t>（</w:t>
      </w:r>
      <w:r>
        <w:rPr>
          <w:rFonts w:ascii="Times New Roman" w:eastAsia="Times New Roman"/>
          <w:sz w:val="24"/>
        </w:rPr>
        <w:t>3</w:t>
      </w:r>
      <w:r>
        <w:rPr>
          <w:sz w:val="24"/>
        </w:rPr>
        <w:t>）</w:t>
      </w:r>
    </w:p>
    <w:p w14:paraId="48A3DCD2">
      <w:pPr>
        <w:spacing w:after="0"/>
        <w:jc w:val="left"/>
        <w:rPr>
          <w:sz w:val="24"/>
        </w:rPr>
        <w:sectPr>
          <w:type w:val="continuous"/>
          <w:pgSz w:w="11910" w:h="16840"/>
          <w:pgMar w:top="1600" w:right="1060" w:bottom="280" w:left="1180" w:header="720" w:footer="720" w:gutter="0"/>
          <w:cols w:equalWidth="0" w:num="2">
            <w:col w:w="4883" w:space="40"/>
            <w:col w:w="4747"/>
          </w:cols>
        </w:sectPr>
      </w:pPr>
    </w:p>
    <w:p w14:paraId="76C5C667">
      <w:pPr>
        <w:pStyle w:val="10"/>
        <w:spacing w:before="59"/>
        <w:ind w:left="1100"/>
      </w:pPr>
      <w:r>
        <w:rPr>
          <w:rFonts w:ascii="Times New Roman" w:hAnsi="Times New Roman" w:eastAsia="Times New Roman"/>
          <w:position w:val="2"/>
        </w:rPr>
        <w:t>L</w:t>
      </w:r>
      <w:r>
        <w:rPr>
          <w:rFonts w:ascii="Times New Roman" w:hAnsi="Times New Roman" w:eastAsia="Times New Roman"/>
          <w:position w:val="2"/>
          <w:vertAlign w:val="subscript"/>
        </w:rPr>
        <w:t>eq</w:t>
      </w:r>
      <w:r>
        <w:rPr>
          <w:rFonts w:ascii="Times New Roman" w:hAnsi="Times New Roman" w:eastAsia="Times New Roman"/>
          <w:position w:val="2"/>
          <w:vertAlign w:val="baseline"/>
        </w:rPr>
        <w:t>——</w:t>
      </w:r>
      <w:r>
        <w:rPr>
          <w:position w:val="2"/>
          <w:vertAlign w:val="baseline"/>
        </w:rPr>
        <w:t>预测点的噪声预测值，</w:t>
      </w:r>
      <w:r>
        <w:rPr>
          <w:rFonts w:ascii="Times New Roman" w:hAnsi="Times New Roman" w:eastAsia="Times New Roman"/>
          <w:position w:val="2"/>
          <w:vertAlign w:val="baseline"/>
        </w:rPr>
        <w:t>dB</w:t>
      </w:r>
      <w:r>
        <w:rPr>
          <w:position w:val="2"/>
          <w:vertAlign w:val="baseline"/>
        </w:rPr>
        <w:t>；</w:t>
      </w:r>
    </w:p>
    <w:p w14:paraId="7C94622E">
      <w:pPr>
        <w:pStyle w:val="10"/>
        <w:spacing w:before="156"/>
        <w:ind w:left="1100"/>
      </w:pPr>
      <w:r>
        <w:rPr>
          <w:rFonts w:ascii="Times New Roman" w:hAnsi="Times New Roman" w:eastAsia="Times New Roman"/>
          <w:position w:val="2"/>
        </w:rPr>
        <w:t>L</w:t>
      </w:r>
      <w:r>
        <w:rPr>
          <w:rFonts w:ascii="Times New Roman" w:hAnsi="Times New Roman" w:eastAsia="Times New Roman"/>
          <w:position w:val="2"/>
          <w:vertAlign w:val="subscript"/>
        </w:rPr>
        <w:t>eqg</w:t>
      </w:r>
      <w:r>
        <w:rPr>
          <w:rFonts w:ascii="Times New Roman" w:hAnsi="Times New Roman" w:eastAsia="Times New Roman"/>
          <w:position w:val="2"/>
          <w:vertAlign w:val="baseline"/>
        </w:rPr>
        <w:t>——</w:t>
      </w:r>
      <w:r>
        <w:rPr>
          <w:position w:val="2"/>
          <w:vertAlign w:val="baseline"/>
        </w:rPr>
        <w:t>建设项目声源在预测点产生的噪声贡献值，</w:t>
      </w:r>
      <w:r>
        <w:rPr>
          <w:rFonts w:ascii="Times New Roman" w:hAnsi="Times New Roman" w:eastAsia="Times New Roman"/>
          <w:position w:val="2"/>
          <w:vertAlign w:val="baseline"/>
        </w:rPr>
        <w:t>dB</w:t>
      </w:r>
      <w:r>
        <w:rPr>
          <w:position w:val="2"/>
          <w:vertAlign w:val="baseline"/>
        </w:rPr>
        <w:t>；</w:t>
      </w:r>
    </w:p>
    <w:p w14:paraId="3B086DF0">
      <w:pPr>
        <w:pStyle w:val="10"/>
        <w:spacing w:before="156"/>
        <w:ind w:left="1100"/>
      </w:pPr>
      <w:r>
        <w:rPr>
          <w:rFonts w:ascii="Times New Roman" w:hAnsi="Times New Roman" w:eastAsia="Times New Roman"/>
          <w:position w:val="2"/>
        </w:rPr>
        <w:t>L</w:t>
      </w:r>
      <w:r>
        <w:rPr>
          <w:rFonts w:ascii="Times New Roman" w:hAnsi="Times New Roman" w:eastAsia="Times New Roman"/>
          <w:position w:val="2"/>
          <w:vertAlign w:val="subscript"/>
        </w:rPr>
        <w:t>eqb</w:t>
      </w:r>
      <w:r>
        <w:rPr>
          <w:rFonts w:ascii="Times New Roman" w:hAnsi="Times New Roman" w:eastAsia="Times New Roman"/>
          <w:position w:val="2"/>
          <w:vertAlign w:val="baseline"/>
        </w:rPr>
        <w:t>——</w:t>
      </w:r>
      <w:r>
        <w:rPr>
          <w:position w:val="2"/>
          <w:vertAlign w:val="baseline"/>
        </w:rPr>
        <w:t>预测点的背景噪声值，</w:t>
      </w:r>
      <w:r>
        <w:rPr>
          <w:rFonts w:ascii="Times New Roman" w:hAnsi="Times New Roman" w:eastAsia="Times New Roman"/>
          <w:position w:val="2"/>
          <w:vertAlign w:val="baseline"/>
        </w:rPr>
        <w:t>dB</w:t>
      </w:r>
      <w:r>
        <w:rPr>
          <w:position w:val="2"/>
          <w:vertAlign w:val="baseline"/>
        </w:rPr>
        <w:t>。</w:t>
      </w:r>
    </w:p>
    <w:p w14:paraId="3398570A">
      <w:pPr>
        <w:pStyle w:val="16"/>
        <w:numPr>
          <w:ilvl w:val="2"/>
          <w:numId w:val="22"/>
        </w:numPr>
        <w:tabs>
          <w:tab w:val="left" w:pos="1249"/>
        </w:tabs>
        <w:spacing w:before="213" w:after="0" w:line="240" w:lineRule="auto"/>
        <w:ind w:left="1248" w:right="0" w:hanging="628"/>
        <w:jc w:val="both"/>
        <w:rPr>
          <w:rFonts w:ascii="Times New Roman" w:eastAsia="Times New Roman"/>
          <w:b/>
          <w:sz w:val="28"/>
        </w:rPr>
      </w:pPr>
      <w:r>
        <w:rPr>
          <w:b/>
          <w:sz w:val="28"/>
        </w:rPr>
        <w:t>评价标准和评价量</w:t>
      </w:r>
    </w:p>
    <w:p w14:paraId="46B8BE01">
      <w:pPr>
        <w:pStyle w:val="10"/>
        <w:spacing w:before="132"/>
        <w:ind w:left="1100"/>
      </w:pPr>
      <w:r>
        <w:t>项目东侧、西侧、北侧厂界噪声均能满足《工业企业厂界环境噪声排放标准》</w:t>
      </w:r>
    </w:p>
    <w:p w14:paraId="510210B1">
      <w:pPr>
        <w:pStyle w:val="10"/>
        <w:spacing w:before="161" w:line="364" w:lineRule="auto"/>
        <w:ind w:left="620" w:right="737"/>
        <w:jc w:val="both"/>
      </w:pPr>
      <w:r>
        <w:t>（</w:t>
      </w:r>
      <w:r>
        <w:rPr>
          <w:rFonts w:ascii="Times New Roman" w:eastAsia="Times New Roman"/>
        </w:rPr>
        <w:t>GB12348-2008</w:t>
      </w:r>
      <w:r>
        <w:t>）</w:t>
      </w:r>
      <w:r>
        <w:rPr>
          <w:rFonts w:ascii="Times New Roman" w:eastAsia="Times New Roman"/>
        </w:rPr>
        <w:t xml:space="preserve">3 </w:t>
      </w:r>
      <w:r>
        <w:rPr>
          <w:spacing w:val="-1"/>
        </w:rPr>
        <w:t>类标准要求</w:t>
      </w:r>
      <w:r>
        <w:t>（</w:t>
      </w:r>
      <w:r>
        <w:rPr>
          <w:spacing w:val="-16"/>
        </w:rPr>
        <w:t xml:space="preserve">即昼间 </w:t>
      </w:r>
      <w:r>
        <w:rPr>
          <w:rFonts w:ascii="Times New Roman" w:eastAsia="Times New Roman"/>
        </w:rPr>
        <w:t xml:space="preserve">65 </w:t>
      </w:r>
      <w:r>
        <w:rPr>
          <w:rFonts w:ascii="Times New Roman" w:eastAsia="Times New Roman"/>
          <w:spacing w:val="-3"/>
        </w:rPr>
        <w:t>dB</w:t>
      </w:r>
      <w:r>
        <w:rPr>
          <w:spacing w:val="-3"/>
        </w:rPr>
        <w:t>（</w:t>
      </w:r>
      <w:r>
        <w:rPr>
          <w:rFonts w:ascii="Times New Roman" w:eastAsia="Times New Roman"/>
          <w:spacing w:val="-3"/>
        </w:rPr>
        <w:t>A</w:t>
      </w:r>
      <w:r>
        <w:rPr>
          <w:spacing w:val="-3"/>
        </w:rPr>
        <w:t>）</w:t>
      </w:r>
      <w:r>
        <w:rPr>
          <w:spacing w:val="-17"/>
        </w:rPr>
        <w:t xml:space="preserve">，夜间 </w:t>
      </w:r>
      <w:r>
        <w:rPr>
          <w:rFonts w:ascii="Times New Roman" w:eastAsia="Times New Roman"/>
        </w:rPr>
        <w:t xml:space="preserve">55 </w:t>
      </w:r>
      <w:r>
        <w:rPr>
          <w:rFonts w:ascii="Times New Roman" w:eastAsia="Times New Roman"/>
          <w:spacing w:val="-3"/>
        </w:rPr>
        <w:t>dB</w:t>
      </w:r>
      <w:r>
        <w:rPr>
          <w:spacing w:val="-3"/>
        </w:rPr>
        <w:t>（</w:t>
      </w:r>
      <w:r>
        <w:rPr>
          <w:rFonts w:ascii="Times New Roman" w:eastAsia="Times New Roman"/>
          <w:spacing w:val="-3"/>
        </w:rPr>
        <w:t>A</w:t>
      </w:r>
      <w:r>
        <w:rPr>
          <w:spacing w:val="-3"/>
        </w:rPr>
        <w:t>）），</w:t>
      </w:r>
      <w:r>
        <w:t>南</w:t>
      </w:r>
      <w:r>
        <w:rPr>
          <w:spacing w:val="-5"/>
        </w:rPr>
        <w:t>侧厂界噪声均能满足《工业企业厂界环境噪声排放标准》</w:t>
      </w:r>
      <w:r>
        <w:t>（</w:t>
      </w:r>
      <w:r>
        <w:rPr>
          <w:rFonts w:ascii="Times New Roman" w:eastAsia="Times New Roman"/>
        </w:rPr>
        <w:t>GB12348-2008</w:t>
      </w:r>
      <w:r>
        <w:t>）</w:t>
      </w:r>
      <w:r>
        <w:rPr>
          <w:rFonts w:ascii="Times New Roman" w:eastAsia="Times New Roman"/>
        </w:rPr>
        <w:t xml:space="preserve">4 </w:t>
      </w:r>
      <w:r>
        <w:t>类标准要求（</w:t>
      </w:r>
      <w:r>
        <w:rPr>
          <w:spacing w:val="-16"/>
        </w:rPr>
        <w:t xml:space="preserve">即昼间 </w:t>
      </w:r>
      <w:r>
        <w:rPr>
          <w:rFonts w:ascii="Times New Roman" w:eastAsia="Times New Roman"/>
        </w:rPr>
        <w:t>70 dB</w:t>
      </w:r>
      <w:r>
        <w:t>（</w:t>
      </w:r>
      <w:r>
        <w:rPr>
          <w:rFonts w:ascii="Times New Roman" w:eastAsia="Times New Roman"/>
        </w:rPr>
        <w:t>A</w:t>
      </w:r>
      <w:r>
        <w:t>），</w:t>
      </w:r>
      <w:r>
        <w:rPr>
          <w:spacing w:val="-21"/>
        </w:rPr>
        <w:t xml:space="preserve">夜间 </w:t>
      </w:r>
      <w:r>
        <w:rPr>
          <w:rFonts w:ascii="Times New Roman" w:eastAsia="Times New Roman"/>
        </w:rPr>
        <w:t>55 dB</w:t>
      </w:r>
      <w:r>
        <w:t>（</w:t>
      </w:r>
      <w:r>
        <w:rPr>
          <w:rFonts w:ascii="Times New Roman" w:eastAsia="Times New Roman"/>
        </w:rPr>
        <w:t>A</w:t>
      </w:r>
      <w:r>
        <w:t>））。</w:t>
      </w:r>
    </w:p>
    <w:p w14:paraId="74F31DA7">
      <w:pPr>
        <w:pStyle w:val="16"/>
        <w:numPr>
          <w:ilvl w:val="2"/>
          <w:numId w:val="22"/>
        </w:numPr>
        <w:tabs>
          <w:tab w:val="left" w:pos="1321"/>
        </w:tabs>
        <w:spacing w:before="130" w:after="0" w:line="240" w:lineRule="auto"/>
        <w:ind w:left="1320" w:right="0" w:hanging="700"/>
        <w:jc w:val="left"/>
        <w:rPr>
          <w:rFonts w:ascii="Times New Roman" w:eastAsia="Times New Roman"/>
          <w:b/>
          <w:sz w:val="28"/>
        </w:rPr>
      </w:pPr>
      <w:r>
        <w:rPr>
          <w:b/>
          <w:sz w:val="28"/>
        </w:rPr>
        <w:t>预测结果及评价</w:t>
      </w:r>
    </w:p>
    <w:p w14:paraId="570CE4F3">
      <w:pPr>
        <w:pStyle w:val="10"/>
        <w:spacing w:before="132"/>
        <w:ind w:left="1092"/>
      </w:pPr>
      <w:r>
        <w:t>本项目噪声预测结果见下表。</w:t>
      </w:r>
    </w:p>
    <w:p w14:paraId="2E69D046">
      <w:pPr>
        <w:pStyle w:val="9"/>
        <w:tabs>
          <w:tab w:val="left" w:pos="6091"/>
        </w:tabs>
        <w:spacing w:before="160" w:after="3"/>
        <w:ind w:left="2523"/>
        <w:rPr>
          <w:rFonts w:ascii="Times New Roman" w:eastAsia="Times New Roman"/>
        </w:rPr>
      </w:pPr>
      <w:r>
        <w:t>表</w:t>
      </w:r>
      <w:r>
        <w:rPr>
          <w:spacing w:val="-62"/>
        </w:rPr>
        <w:t xml:space="preserve"> </w:t>
      </w:r>
      <w:r>
        <w:rPr>
          <w:rFonts w:ascii="Times New Roman" w:eastAsia="Times New Roman"/>
        </w:rPr>
        <w:t>4.4-1</w:t>
      </w:r>
      <w:r>
        <w:rPr>
          <w:rFonts w:ascii="Times New Roman" w:eastAsia="Times New Roman"/>
          <w:spacing w:val="57"/>
        </w:rPr>
        <w:t xml:space="preserve"> </w:t>
      </w:r>
      <w:r>
        <w:t>声环境影响预测结果表</w:t>
      </w:r>
      <w:r>
        <w:tab/>
      </w:r>
      <w:r>
        <w:t>单位：</w:t>
      </w:r>
      <w:r>
        <w:rPr>
          <w:rFonts w:ascii="Times New Roman" w:eastAsia="Times New Roman"/>
        </w:rPr>
        <w:t>dB(A)</w:t>
      </w:r>
    </w:p>
    <w:tbl>
      <w:tblPr>
        <w:tblStyle w:val="13"/>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20"/>
        <w:gridCol w:w="1502"/>
        <w:gridCol w:w="1260"/>
        <w:gridCol w:w="1396"/>
        <w:gridCol w:w="2241"/>
      </w:tblGrid>
      <w:tr w14:paraId="44217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2120" w:type="dxa"/>
            <w:vMerge w:val="restart"/>
            <w:tcBorders>
              <w:left w:val="nil"/>
            </w:tcBorders>
          </w:tcPr>
          <w:p w14:paraId="266A1812">
            <w:pPr>
              <w:pStyle w:val="17"/>
              <w:jc w:val="left"/>
              <w:rPr>
                <w:rFonts w:ascii="Times New Roman"/>
                <w:b/>
                <w:sz w:val="20"/>
              </w:rPr>
            </w:pPr>
          </w:p>
          <w:p w14:paraId="4B7B537D">
            <w:pPr>
              <w:pStyle w:val="17"/>
              <w:spacing w:before="135"/>
              <w:ind w:left="647"/>
              <w:jc w:val="left"/>
              <w:rPr>
                <w:b/>
                <w:sz w:val="21"/>
              </w:rPr>
            </w:pPr>
            <w:r>
              <w:rPr>
                <w:b/>
                <w:sz w:val="21"/>
              </w:rPr>
              <w:t>预测点位</w:t>
            </w:r>
          </w:p>
        </w:tc>
        <w:tc>
          <w:tcPr>
            <w:tcW w:w="1502" w:type="dxa"/>
            <w:vMerge w:val="restart"/>
          </w:tcPr>
          <w:p w14:paraId="0DEF30CC">
            <w:pPr>
              <w:pStyle w:val="17"/>
              <w:jc w:val="left"/>
              <w:rPr>
                <w:rFonts w:ascii="Times New Roman"/>
                <w:b/>
                <w:sz w:val="20"/>
              </w:rPr>
            </w:pPr>
          </w:p>
          <w:p w14:paraId="1CA876FC">
            <w:pPr>
              <w:pStyle w:val="17"/>
              <w:spacing w:before="135"/>
              <w:ind w:left="223"/>
              <w:jc w:val="left"/>
              <w:rPr>
                <w:b/>
                <w:sz w:val="21"/>
              </w:rPr>
            </w:pPr>
            <w:r>
              <w:rPr>
                <w:b/>
                <w:sz w:val="21"/>
              </w:rPr>
              <w:t>厂界贡献值</w:t>
            </w:r>
          </w:p>
        </w:tc>
        <w:tc>
          <w:tcPr>
            <w:tcW w:w="2656" w:type="dxa"/>
            <w:gridSpan w:val="2"/>
            <w:tcBorders>
              <w:bottom w:val="single" w:color="000000" w:sz="4" w:space="0"/>
            </w:tcBorders>
          </w:tcPr>
          <w:p w14:paraId="6B17CF38">
            <w:pPr>
              <w:pStyle w:val="17"/>
              <w:spacing w:before="20"/>
              <w:ind w:left="884" w:right="867"/>
              <w:rPr>
                <w:b/>
                <w:sz w:val="21"/>
              </w:rPr>
            </w:pPr>
            <w:r>
              <w:rPr>
                <w:b/>
                <w:sz w:val="21"/>
              </w:rPr>
              <w:t>噪声标准</w:t>
            </w:r>
          </w:p>
          <w:p w14:paraId="582F2BBE">
            <w:pPr>
              <w:pStyle w:val="17"/>
              <w:spacing w:before="42" w:line="267" w:lineRule="exact"/>
              <w:ind w:left="884" w:right="867"/>
              <w:rPr>
                <w:b/>
                <w:sz w:val="21"/>
              </w:rPr>
            </w:pPr>
            <w:r>
              <w:rPr>
                <w:b/>
                <w:sz w:val="21"/>
              </w:rPr>
              <w:t>限值</w:t>
            </w:r>
          </w:p>
        </w:tc>
        <w:tc>
          <w:tcPr>
            <w:tcW w:w="2241" w:type="dxa"/>
            <w:vMerge w:val="restart"/>
            <w:tcBorders>
              <w:right w:val="nil"/>
            </w:tcBorders>
          </w:tcPr>
          <w:p w14:paraId="553D2B31">
            <w:pPr>
              <w:pStyle w:val="17"/>
              <w:jc w:val="left"/>
              <w:rPr>
                <w:rFonts w:ascii="Times New Roman"/>
                <w:b/>
                <w:sz w:val="20"/>
              </w:rPr>
            </w:pPr>
          </w:p>
          <w:p w14:paraId="5B8B38C7">
            <w:pPr>
              <w:pStyle w:val="17"/>
              <w:spacing w:before="135"/>
              <w:ind w:left="697"/>
              <w:jc w:val="left"/>
              <w:rPr>
                <w:b/>
                <w:sz w:val="21"/>
              </w:rPr>
            </w:pPr>
            <w:r>
              <w:rPr>
                <w:b/>
                <w:sz w:val="21"/>
              </w:rPr>
              <w:t>是否达标</w:t>
            </w:r>
          </w:p>
        </w:tc>
      </w:tr>
      <w:tr w14:paraId="65A33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2120" w:type="dxa"/>
            <w:vMerge w:val="continue"/>
            <w:tcBorders>
              <w:top w:val="nil"/>
              <w:left w:val="nil"/>
            </w:tcBorders>
          </w:tcPr>
          <w:p w14:paraId="00DFAB8A">
            <w:pPr>
              <w:rPr>
                <w:sz w:val="2"/>
                <w:szCs w:val="2"/>
              </w:rPr>
            </w:pPr>
          </w:p>
        </w:tc>
        <w:tc>
          <w:tcPr>
            <w:tcW w:w="1502" w:type="dxa"/>
            <w:vMerge w:val="continue"/>
            <w:tcBorders>
              <w:top w:val="nil"/>
            </w:tcBorders>
          </w:tcPr>
          <w:p w14:paraId="6A102A48">
            <w:pPr>
              <w:rPr>
                <w:sz w:val="2"/>
                <w:szCs w:val="2"/>
              </w:rPr>
            </w:pPr>
          </w:p>
        </w:tc>
        <w:tc>
          <w:tcPr>
            <w:tcW w:w="1260" w:type="dxa"/>
            <w:tcBorders>
              <w:top w:val="single" w:color="000000" w:sz="4" w:space="0"/>
              <w:right w:val="single" w:color="000000" w:sz="4" w:space="0"/>
            </w:tcBorders>
          </w:tcPr>
          <w:p w14:paraId="61B9A307">
            <w:pPr>
              <w:pStyle w:val="17"/>
              <w:spacing w:before="47"/>
              <w:ind w:left="399" w:right="386"/>
              <w:rPr>
                <w:sz w:val="21"/>
              </w:rPr>
            </w:pPr>
            <w:r>
              <w:rPr>
                <w:sz w:val="21"/>
              </w:rPr>
              <w:t>昼间</w:t>
            </w:r>
          </w:p>
        </w:tc>
        <w:tc>
          <w:tcPr>
            <w:tcW w:w="1396" w:type="dxa"/>
            <w:tcBorders>
              <w:top w:val="single" w:color="000000" w:sz="4" w:space="0"/>
              <w:left w:val="single" w:color="000000" w:sz="4" w:space="0"/>
            </w:tcBorders>
          </w:tcPr>
          <w:p w14:paraId="528D5C70">
            <w:pPr>
              <w:pStyle w:val="17"/>
              <w:spacing w:before="47"/>
              <w:ind w:left="471" w:right="449"/>
              <w:rPr>
                <w:sz w:val="21"/>
              </w:rPr>
            </w:pPr>
            <w:r>
              <w:rPr>
                <w:sz w:val="21"/>
              </w:rPr>
              <w:t>夜间</w:t>
            </w:r>
          </w:p>
        </w:tc>
        <w:tc>
          <w:tcPr>
            <w:tcW w:w="2241" w:type="dxa"/>
            <w:vMerge w:val="continue"/>
            <w:tcBorders>
              <w:top w:val="nil"/>
              <w:right w:val="nil"/>
            </w:tcBorders>
          </w:tcPr>
          <w:p w14:paraId="3D24630E">
            <w:pPr>
              <w:rPr>
                <w:sz w:val="2"/>
                <w:szCs w:val="2"/>
              </w:rPr>
            </w:pPr>
          </w:p>
        </w:tc>
      </w:tr>
      <w:tr w14:paraId="4ED67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120" w:type="dxa"/>
            <w:tcBorders>
              <w:left w:val="nil"/>
            </w:tcBorders>
          </w:tcPr>
          <w:p w14:paraId="7832BFBE">
            <w:pPr>
              <w:pStyle w:val="17"/>
              <w:spacing w:before="81"/>
              <w:ind w:left="755"/>
              <w:jc w:val="left"/>
              <w:rPr>
                <w:sz w:val="21"/>
              </w:rPr>
            </w:pPr>
            <w:r>
              <w:rPr>
                <w:sz w:val="21"/>
              </w:rPr>
              <w:t>东厂界</w:t>
            </w:r>
          </w:p>
        </w:tc>
        <w:tc>
          <w:tcPr>
            <w:tcW w:w="1502" w:type="dxa"/>
            <w:tcBorders>
              <w:bottom w:val="single" w:color="000000" w:sz="4" w:space="0"/>
            </w:tcBorders>
          </w:tcPr>
          <w:p w14:paraId="5AFC5544">
            <w:pPr>
              <w:pStyle w:val="17"/>
              <w:spacing w:before="95"/>
              <w:ind w:left="546" w:right="527"/>
              <w:rPr>
                <w:rFonts w:ascii="Times New Roman"/>
                <w:sz w:val="21"/>
              </w:rPr>
            </w:pPr>
            <w:r>
              <w:rPr>
                <w:rFonts w:ascii="Times New Roman"/>
                <w:sz w:val="21"/>
              </w:rPr>
              <w:t>31.9</w:t>
            </w:r>
          </w:p>
        </w:tc>
        <w:tc>
          <w:tcPr>
            <w:tcW w:w="1260" w:type="dxa"/>
            <w:tcBorders>
              <w:bottom w:val="single" w:color="000000" w:sz="4" w:space="0"/>
              <w:right w:val="single" w:color="000000" w:sz="4" w:space="0"/>
            </w:tcBorders>
          </w:tcPr>
          <w:p w14:paraId="61D80265">
            <w:pPr>
              <w:pStyle w:val="17"/>
              <w:spacing w:before="95"/>
              <w:ind w:left="398" w:right="386"/>
              <w:rPr>
                <w:rFonts w:ascii="Times New Roman"/>
                <w:sz w:val="21"/>
              </w:rPr>
            </w:pPr>
            <w:r>
              <w:rPr>
                <w:rFonts w:ascii="Times New Roman"/>
                <w:sz w:val="21"/>
              </w:rPr>
              <w:t>65</w:t>
            </w:r>
          </w:p>
        </w:tc>
        <w:tc>
          <w:tcPr>
            <w:tcW w:w="1396" w:type="dxa"/>
            <w:tcBorders>
              <w:left w:val="single" w:color="000000" w:sz="4" w:space="0"/>
              <w:bottom w:val="single" w:color="000000" w:sz="4" w:space="0"/>
            </w:tcBorders>
          </w:tcPr>
          <w:p w14:paraId="1BF2EDF4">
            <w:pPr>
              <w:pStyle w:val="17"/>
              <w:spacing w:before="95"/>
              <w:ind w:left="471" w:right="446"/>
              <w:rPr>
                <w:rFonts w:ascii="Times New Roman"/>
                <w:sz w:val="21"/>
              </w:rPr>
            </w:pPr>
            <w:r>
              <w:rPr>
                <w:rFonts w:ascii="Times New Roman"/>
                <w:sz w:val="21"/>
              </w:rPr>
              <w:t>55</w:t>
            </w:r>
          </w:p>
        </w:tc>
        <w:tc>
          <w:tcPr>
            <w:tcW w:w="2241" w:type="dxa"/>
            <w:tcBorders>
              <w:right w:val="nil"/>
            </w:tcBorders>
          </w:tcPr>
          <w:p w14:paraId="6C5D32A7">
            <w:pPr>
              <w:pStyle w:val="17"/>
              <w:spacing w:before="81"/>
              <w:ind w:left="1014"/>
              <w:jc w:val="left"/>
              <w:rPr>
                <w:sz w:val="21"/>
              </w:rPr>
            </w:pPr>
            <w:r>
              <w:rPr>
                <w:w w:val="99"/>
                <w:sz w:val="21"/>
              </w:rPr>
              <w:t>是</w:t>
            </w:r>
          </w:p>
        </w:tc>
      </w:tr>
      <w:tr w14:paraId="3E969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2120" w:type="dxa"/>
            <w:tcBorders>
              <w:left w:val="nil"/>
            </w:tcBorders>
          </w:tcPr>
          <w:p w14:paraId="127BAD83">
            <w:pPr>
              <w:pStyle w:val="17"/>
              <w:spacing w:before="86"/>
              <w:ind w:left="755"/>
              <w:jc w:val="left"/>
              <w:rPr>
                <w:sz w:val="21"/>
              </w:rPr>
            </w:pPr>
            <w:r>
              <w:rPr>
                <w:sz w:val="21"/>
              </w:rPr>
              <w:t>南厂界</w:t>
            </w:r>
          </w:p>
        </w:tc>
        <w:tc>
          <w:tcPr>
            <w:tcW w:w="1502" w:type="dxa"/>
            <w:tcBorders>
              <w:top w:val="single" w:color="000000" w:sz="4" w:space="0"/>
              <w:bottom w:val="single" w:color="000000" w:sz="4" w:space="0"/>
            </w:tcBorders>
          </w:tcPr>
          <w:p w14:paraId="6266718B">
            <w:pPr>
              <w:pStyle w:val="17"/>
              <w:spacing w:before="100"/>
              <w:ind w:left="546" w:right="527"/>
              <w:rPr>
                <w:rFonts w:ascii="Times New Roman"/>
                <w:sz w:val="21"/>
              </w:rPr>
            </w:pPr>
            <w:r>
              <w:rPr>
                <w:rFonts w:ascii="Times New Roman"/>
                <w:sz w:val="21"/>
              </w:rPr>
              <w:t>53.5</w:t>
            </w:r>
          </w:p>
        </w:tc>
        <w:tc>
          <w:tcPr>
            <w:tcW w:w="1260" w:type="dxa"/>
            <w:tcBorders>
              <w:top w:val="single" w:color="000000" w:sz="4" w:space="0"/>
              <w:bottom w:val="single" w:color="000000" w:sz="4" w:space="0"/>
              <w:right w:val="single" w:color="000000" w:sz="4" w:space="0"/>
            </w:tcBorders>
          </w:tcPr>
          <w:p w14:paraId="0929D7AD">
            <w:pPr>
              <w:pStyle w:val="17"/>
              <w:spacing w:before="100"/>
              <w:ind w:left="398" w:right="386"/>
              <w:rPr>
                <w:rFonts w:ascii="Times New Roman"/>
                <w:sz w:val="21"/>
              </w:rPr>
            </w:pPr>
            <w:r>
              <w:rPr>
                <w:rFonts w:ascii="Times New Roman"/>
                <w:sz w:val="21"/>
              </w:rPr>
              <w:t>70</w:t>
            </w:r>
          </w:p>
        </w:tc>
        <w:tc>
          <w:tcPr>
            <w:tcW w:w="1396" w:type="dxa"/>
            <w:tcBorders>
              <w:top w:val="single" w:color="000000" w:sz="4" w:space="0"/>
              <w:left w:val="single" w:color="000000" w:sz="4" w:space="0"/>
              <w:bottom w:val="single" w:color="000000" w:sz="4" w:space="0"/>
            </w:tcBorders>
          </w:tcPr>
          <w:p w14:paraId="0FEACD50">
            <w:pPr>
              <w:pStyle w:val="17"/>
              <w:spacing w:before="100"/>
              <w:ind w:left="471" w:right="446"/>
              <w:rPr>
                <w:rFonts w:ascii="Times New Roman"/>
                <w:sz w:val="21"/>
              </w:rPr>
            </w:pPr>
            <w:r>
              <w:rPr>
                <w:rFonts w:ascii="Times New Roman"/>
                <w:sz w:val="21"/>
              </w:rPr>
              <w:t>55</w:t>
            </w:r>
          </w:p>
        </w:tc>
        <w:tc>
          <w:tcPr>
            <w:tcW w:w="2241" w:type="dxa"/>
            <w:tcBorders>
              <w:right w:val="nil"/>
            </w:tcBorders>
          </w:tcPr>
          <w:p w14:paraId="7E53458F">
            <w:pPr>
              <w:pStyle w:val="17"/>
              <w:spacing w:before="86"/>
              <w:ind w:left="1014"/>
              <w:jc w:val="left"/>
              <w:rPr>
                <w:sz w:val="21"/>
              </w:rPr>
            </w:pPr>
            <w:r>
              <w:rPr>
                <w:w w:val="99"/>
                <w:sz w:val="21"/>
              </w:rPr>
              <w:t>是</w:t>
            </w:r>
          </w:p>
        </w:tc>
      </w:tr>
      <w:tr w14:paraId="1FAA4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2120" w:type="dxa"/>
            <w:tcBorders>
              <w:left w:val="nil"/>
            </w:tcBorders>
          </w:tcPr>
          <w:p w14:paraId="073D47F6">
            <w:pPr>
              <w:pStyle w:val="17"/>
              <w:spacing w:before="86"/>
              <w:ind w:left="755"/>
              <w:jc w:val="left"/>
              <w:rPr>
                <w:sz w:val="21"/>
              </w:rPr>
            </w:pPr>
            <w:r>
              <w:rPr>
                <w:sz w:val="21"/>
              </w:rPr>
              <w:t>西厂界</w:t>
            </w:r>
          </w:p>
        </w:tc>
        <w:tc>
          <w:tcPr>
            <w:tcW w:w="1502" w:type="dxa"/>
            <w:tcBorders>
              <w:top w:val="single" w:color="000000" w:sz="4" w:space="0"/>
              <w:bottom w:val="single" w:color="000000" w:sz="4" w:space="0"/>
            </w:tcBorders>
          </w:tcPr>
          <w:p w14:paraId="1EF317E7">
            <w:pPr>
              <w:pStyle w:val="17"/>
              <w:spacing w:before="100"/>
              <w:ind w:left="546" w:right="527"/>
              <w:rPr>
                <w:rFonts w:ascii="Times New Roman"/>
                <w:sz w:val="21"/>
              </w:rPr>
            </w:pPr>
            <w:r>
              <w:rPr>
                <w:rFonts w:ascii="Times New Roman"/>
                <w:sz w:val="21"/>
              </w:rPr>
              <w:t>49.1</w:t>
            </w:r>
          </w:p>
        </w:tc>
        <w:tc>
          <w:tcPr>
            <w:tcW w:w="1260" w:type="dxa"/>
            <w:tcBorders>
              <w:top w:val="single" w:color="000000" w:sz="4" w:space="0"/>
              <w:bottom w:val="single" w:color="000000" w:sz="4" w:space="0"/>
              <w:right w:val="single" w:color="000000" w:sz="4" w:space="0"/>
            </w:tcBorders>
          </w:tcPr>
          <w:p w14:paraId="134386B8">
            <w:pPr>
              <w:pStyle w:val="17"/>
              <w:spacing w:before="100"/>
              <w:ind w:left="398" w:right="386"/>
              <w:rPr>
                <w:rFonts w:ascii="Times New Roman"/>
                <w:sz w:val="21"/>
              </w:rPr>
            </w:pPr>
            <w:r>
              <w:rPr>
                <w:rFonts w:ascii="Times New Roman"/>
                <w:sz w:val="21"/>
              </w:rPr>
              <w:t>65</w:t>
            </w:r>
          </w:p>
        </w:tc>
        <w:tc>
          <w:tcPr>
            <w:tcW w:w="1396" w:type="dxa"/>
            <w:tcBorders>
              <w:top w:val="single" w:color="000000" w:sz="4" w:space="0"/>
              <w:left w:val="single" w:color="000000" w:sz="4" w:space="0"/>
              <w:bottom w:val="single" w:color="000000" w:sz="4" w:space="0"/>
            </w:tcBorders>
          </w:tcPr>
          <w:p w14:paraId="0A5192F3">
            <w:pPr>
              <w:pStyle w:val="17"/>
              <w:spacing w:before="100"/>
              <w:ind w:left="471" w:right="446"/>
              <w:rPr>
                <w:rFonts w:ascii="Times New Roman"/>
                <w:sz w:val="21"/>
              </w:rPr>
            </w:pPr>
            <w:r>
              <w:rPr>
                <w:rFonts w:ascii="Times New Roman"/>
                <w:sz w:val="21"/>
              </w:rPr>
              <w:t>55</w:t>
            </w:r>
          </w:p>
        </w:tc>
        <w:tc>
          <w:tcPr>
            <w:tcW w:w="2241" w:type="dxa"/>
            <w:tcBorders>
              <w:bottom w:val="single" w:color="000000" w:sz="4" w:space="0"/>
              <w:right w:val="nil"/>
            </w:tcBorders>
          </w:tcPr>
          <w:p w14:paraId="6048BA46">
            <w:pPr>
              <w:pStyle w:val="17"/>
              <w:spacing w:before="86"/>
              <w:ind w:left="1014"/>
              <w:jc w:val="left"/>
              <w:rPr>
                <w:sz w:val="21"/>
              </w:rPr>
            </w:pPr>
            <w:r>
              <w:rPr>
                <w:w w:val="99"/>
                <w:sz w:val="21"/>
              </w:rPr>
              <w:t>是</w:t>
            </w:r>
          </w:p>
        </w:tc>
      </w:tr>
      <w:tr w14:paraId="223DB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120" w:type="dxa"/>
            <w:tcBorders>
              <w:left w:val="nil"/>
            </w:tcBorders>
          </w:tcPr>
          <w:p w14:paraId="2BD6A1C8">
            <w:pPr>
              <w:pStyle w:val="17"/>
              <w:spacing w:before="86"/>
              <w:ind w:left="755"/>
              <w:jc w:val="left"/>
              <w:rPr>
                <w:sz w:val="21"/>
              </w:rPr>
            </w:pPr>
            <w:r>
              <w:rPr>
                <w:sz w:val="21"/>
              </w:rPr>
              <w:t>北厂界</w:t>
            </w:r>
          </w:p>
        </w:tc>
        <w:tc>
          <w:tcPr>
            <w:tcW w:w="1502" w:type="dxa"/>
            <w:tcBorders>
              <w:top w:val="single" w:color="000000" w:sz="4" w:space="0"/>
            </w:tcBorders>
          </w:tcPr>
          <w:p w14:paraId="3039170C">
            <w:pPr>
              <w:pStyle w:val="17"/>
              <w:spacing w:before="100"/>
              <w:ind w:left="546" w:right="527"/>
              <w:rPr>
                <w:rFonts w:ascii="Times New Roman"/>
                <w:sz w:val="21"/>
              </w:rPr>
            </w:pPr>
            <w:r>
              <w:rPr>
                <w:rFonts w:ascii="Times New Roman"/>
                <w:sz w:val="21"/>
              </w:rPr>
              <w:t>40.7</w:t>
            </w:r>
          </w:p>
        </w:tc>
        <w:tc>
          <w:tcPr>
            <w:tcW w:w="1260" w:type="dxa"/>
            <w:tcBorders>
              <w:top w:val="single" w:color="000000" w:sz="4" w:space="0"/>
              <w:right w:val="single" w:color="000000" w:sz="4" w:space="0"/>
            </w:tcBorders>
          </w:tcPr>
          <w:p w14:paraId="42D507D1">
            <w:pPr>
              <w:pStyle w:val="17"/>
              <w:spacing w:before="100"/>
              <w:ind w:left="398" w:right="386"/>
              <w:rPr>
                <w:rFonts w:ascii="Times New Roman"/>
                <w:sz w:val="21"/>
              </w:rPr>
            </w:pPr>
            <w:r>
              <w:rPr>
                <w:rFonts w:ascii="Times New Roman"/>
                <w:sz w:val="21"/>
              </w:rPr>
              <w:t>65</w:t>
            </w:r>
          </w:p>
        </w:tc>
        <w:tc>
          <w:tcPr>
            <w:tcW w:w="1396" w:type="dxa"/>
            <w:tcBorders>
              <w:top w:val="single" w:color="000000" w:sz="4" w:space="0"/>
              <w:left w:val="single" w:color="000000" w:sz="4" w:space="0"/>
            </w:tcBorders>
          </w:tcPr>
          <w:p w14:paraId="2F5348C7">
            <w:pPr>
              <w:pStyle w:val="17"/>
              <w:spacing w:before="100"/>
              <w:ind w:left="471" w:right="446"/>
              <w:rPr>
                <w:rFonts w:ascii="Times New Roman"/>
                <w:sz w:val="21"/>
              </w:rPr>
            </w:pPr>
            <w:r>
              <w:rPr>
                <w:rFonts w:ascii="Times New Roman"/>
                <w:sz w:val="21"/>
              </w:rPr>
              <w:t>55</w:t>
            </w:r>
          </w:p>
        </w:tc>
        <w:tc>
          <w:tcPr>
            <w:tcW w:w="2241" w:type="dxa"/>
            <w:tcBorders>
              <w:top w:val="single" w:color="000000" w:sz="4" w:space="0"/>
              <w:right w:val="nil"/>
            </w:tcBorders>
          </w:tcPr>
          <w:p w14:paraId="60BA5A52">
            <w:pPr>
              <w:pStyle w:val="17"/>
              <w:spacing w:before="86"/>
              <w:ind w:left="1014"/>
              <w:jc w:val="left"/>
              <w:rPr>
                <w:sz w:val="21"/>
              </w:rPr>
            </w:pPr>
            <w:r>
              <w:rPr>
                <w:w w:val="99"/>
                <w:sz w:val="21"/>
              </w:rPr>
              <w:t>是</w:t>
            </w:r>
          </w:p>
        </w:tc>
      </w:tr>
    </w:tbl>
    <w:p w14:paraId="1DAC1D31">
      <w:pPr>
        <w:pStyle w:val="10"/>
        <w:spacing w:before="80" w:line="364" w:lineRule="auto"/>
        <w:ind w:left="620" w:right="617" w:firstLine="600"/>
      </w:pPr>
      <w:r>
        <w:t>由上表的预测结果可知，建设项目正常营运时，在采取选取低噪声设备、</w:t>
      </w:r>
      <w:r>
        <w:rPr>
          <w:spacing w:val="-10"/>
        </w:rPr>
        <w:t>隔音、消音、基础减振、厂房隔声等措施处理后，项目东侧、西侧、北侧厂界噪</w:t>
      </w:r>
      <w:r>
        <w:rPr>
          <w:spacing w:val="-16"/>
        </w:rPr>
        <w:t>声均能满足《工业企业厂界环境噪声排放标准》</w:t>
      </w:r>
      <w:r>
        <w:rPr>
          <w:spacing w:val="-4"/>
        </w:rPr>
        <w:t>（</w:t>
      </w:r>
      <w:r>
        <w:rPr>
          <w:rFonts w:ascii="Times New Roman" w:eastAsia="Times New Roman"/>
          <w:spacing w:val="-4"/>
        </w:rPr>
        <w:t>GB12348-2008</w:t>
      </w:r>
      <w:r>
        <w:rPr>
          <w:spacing w:val="-4"/>
        </w:rPr>
        <w:t>）</w:t>
      </w:r>
      <w:r>
        <w:rPr>
          <w:rFonts w:ascii="Times New Roman" w:eastAsia="Times New Roman"/>
          <w:spacing w:val="-4"/>
        </w:rPr>
        <w:t xml:space="preserve">3 </w:t>
      </w:r>
      <w:r>
        <w:t xml:space="preserve">类标准要求， </w:t>
      </w:r>
      <w:r>
        <w:rPr>
          <w:spacing w:val="-2"/>
        </w:rPr>
        <w:t>南侧厂界噪声均能满足《工业企业厂界环境噪声排放标准》</w:t>
      </w:r>
      <w:r>
        <w:t>（</w:t>
      </w:r>
      <w:r>
        <w:rPr>
          <w:rFonts w:ascii="Times New Roman" w:eastAsia="Times New Roman"/>
        </w:rPr>
        <w:t>GB12348-2008</w:t>
      </w:r>
      <w:r>
        <w:t>）</w:t>
      </w:r>
      <w:r>
        <w:rPr>
          <w:rFonts w:ascii="Times New Roman" w:eastAsia="Times New Roman"/>
        </w:rPr>
        <w:t xml:space="preserve">4 </w:t>
      </w:r>
      <w:r>
        <w:t>类标准要求。因此项目建设对声环境影响可接受。</w:t>
      </w:r>
    </w:p>
    <w:p w14:paraId="397ACC41">
      <w:pPr>
        <w:pStyle w:val="3"/>
        <w:numPr>
          <w:ilvl w:val="1"/>
          <w:numId w:val="22"/>
        </w:numPr>
        <w:tabs>
          <w:tab w:val="left" w:pos="1069"/>
        </w:tabs>
        <w:spacing w:before="41" w:after="0" w:line="240" w:lineRule="auto"/>
        <w:ind w:left="1068" w:right="0" w:hanging="448"/>
        <w:jc w:val="left"/>
        <w:rPr>
          <w:rFonts w:ascii="Times New Roman" w:eastAsia="Times New Roman"/>
        </w:rPr>
      </w:pPr>
      <w:bookmarkStart w:id="28" w:name="_TOC_250027"/>
      <w:bookmarkEnd w:id="28"/>
      <w:r>
        <w:t>固体废物环境影响评价</w:t>
      </w:r>
    </w:p>
    <w:p w14:paraId="38B52D08">
      <w:pPr>
        <w:pStyle w:val="10"/>
        <w:spacing w:before="123" w:line="364" w:lineRule="auto"/>
        <w:ind w:left="620" w:right="617" w:firstLine="480"/>
      </w:pPr>
      <w:r>
        <w:rPr>
          <w:spacing w:val="-12"/>
        </w:rPr>
        <w:t>本项目主要固体废物为生活垃圾、收集除尘灰、一般废包装材料、造粒杂质、</w:t>
      </w:r>
      <w:r>
        <w:rPr>
          <w:spacing w:val="-13"/>
        </w:rPr>
        <w:t>废滤网、边角料、不合格品、废润滑油、含油废抹布手套、废活性炭、废过滤棉等。本项目固体废物对环境产生的影响从以下几方面进行分析。</w:t>
      </w:r>
    </w:p>
    <w:p w14:paraId="60A453D6">
      <w:pPr>
        <w:pStyle w:val="10"/>
        <w:spacing w:line="307" w:lineRule="exact"/>
        <w:ind w:left="1100"/>
      </w:pPr>
      <w:r>
        <w:rPr>
          <w:rFonts w:ascii="Times New Roman" w:eastAsia="Times New Roman"/>
        </w:rPr>
        <w:t>1</w:t>
      </w:r>
      <w:r>
        <w:t>、固体废物厂区收集、贮存情况</w:t>
      </w:r>
    </w:p>
    <w:p w14:paraId="7D3F1E9F">
      <w:pPr>
        <w:pStyle w:val="10"/>
        <w:spacing w:before="160" w:line="362" w:lineRule="auto"/>
        <w:ind w:left="620" w:right="737" w:firstLine="480"/>
      </w:pPr>
      <w:r>
        <w:rPr>
          <w:spacing w:val="-6"/>
        </w:rPr>
        <w:t xml:space="preserve">本项目将建设面积为 </w:t>
      </w:r>
      <w:r>
        <w:rPr>
          <w:rFonts w:ascii="Times New Roman" w:eastAsia="Times New Roman"/>
        </w:rPr>
        <w:t>20m</w:t>
      </w:r>
      <w:r>
        <w:rPr>
          <w:rFonts w:ascii="Times New Roman" w:eastAsia="Times New Roman"/>
          <w:position w:val="8"/>
          <w:sz w:val="15"/>
        </w:rPr>
        <w:t xml:space="preserve">2 </w:t>
      </w:r>
      <w:r>
        <w:rPr>
          <w:spacing w:val="-13"/>
        </w:rPr>
        <w:t xml:space="preserve">危废暂存间，面积为 </w:t>
      </w:r>
      <w:r>
        <w:rPr>
          <w:rFonts w:ascii="Times New Roman" w:eastAsia="Times New Roman"/>
        </w:rPr>
        <w:t>20m</w:t>
      </w:r>
      <w:r>
        <w:rPr>
          <w:rFonts w:ascii="Times New Roman" w:eastAsia="Times New Roman"/>
          <w:position w:val="8"/>
          <w:sz w:val="15"/>
        </w:rPr>
        <w:t xml:space="preserve">2 </w:t>
      </w:r>
      <w:r>
        <w:rPr>
          <w:spacing w:val="-7"/>
        </w:rPr>
        <w:t>一般固废暂存间，不同</w:t>
      </w:r>
      <w:r>
        <w:rPr>
          <w:spacing w:val="-12"/>
        </w:rPr>
        <w:t>性质的固体废物分类收集、分区堆存，避免互相污染，造成环境二次污染。本项</w:t>
      </w:r>
    </w:p>
    <w:p w14:paraId="79189466">
      <w:pPr>
        <w:spacing w:after="0" w:line="362" w:lineRule="auto"/>
        <w:sectPr>
          <w:pgSz w:w="11910" w:h="16840"/>
          <w:pgMar w:top="1440" w:right="1060" w:bottom="1380" w:left="1180" w:header="0" w:footer="1192" w:gutter="0"/>
          <w:cols w:space="720" w:num="1"/>
        </w:sectPr>
      </w:pPr>
    </w:p>
    <w:p w14:paraId="1B6ABCEB">
      <w:pPr>
        <w:pStyle w:val="10"/>
        <w:spacing w:before="43" w:line="364" w:lineRule="auto"/>
        <w:ind w:left="620" w:right="645"/>
      </w:pPr>
      <w:r>
        <w:rPr>
          <w:spacing w:val="-5"/>
        </w:rPr>
        <w:t>目产生的危险废物在产生点处采用专用容器盛装，然后立即采用专用转运工具转运至危废暂存间进行暂存，并且按照各危废的类别、暂存量和相容性分区贮存。</w:t>
      </w:r>
      <w:r>
        <w:rPr>
          <w:spacing w:val="-9"/>
        </w:rPr>
        <w:t>要求建设单位采用符合国家标准的专门容器分类收集，盛装危险废物的容器上必</w:t>
      </w:r>
      <w:r>
        <w:rPr>
          <w:spacing w:val="-13"/>
        </w:rPr>
        <w:t>须粘贴符合标准的标签，装载危险废物的容器及材质要满足相应的强度要求，装</w:t>
      </w:r>
      <w:r>
        <w:rPr>
          <w:spacing w:val="-17"/>
        </w:rPr>
        <w:t>载危险废物的容器必须完好无损，盛装危险废物的容器材质和衬里要与危险废物</w:t>
      </w:r>
      <w:r>
        <w:rPr>
          <w:spacing w:val="-12"/>
        </w:rPr>
        <w:t>相容等。进入危险废物暂存间贮存前应进行检验，并注册登记，作好记录，记录</w:t>
      </w:r>
      <w:r>
        <w:rPr>
          <w:spacing w:val="-16"/>
        </w:rPr>
        <w:t>上须注明危险废物的名称、来源、数量、特性和包装容器的类别、入库日期、存放库位、废物出库日期及接受单位名称。</w:t>
      </w:r>
    </w:p>
    <w:p w14:paraId="7840550E">
      <w:pPr>
        <w:pStyle w:val="10"/>
        <w:spacing w:line="305" w:lineRule="exact"/>
        <w:ind w:left="1100"/>
      </w:pPr>
      <w:r>
        <w:rPr>
          <w:rFonts w:ascii="Times New Roman" w:eastAsia="Times New Roman"/>
        </w:rPr>
        <w:t>2</w:t>
      </w:r>
      <w:r>
        <w:t>、固体废物运输过程散落、泄漏对环境的影响</w:t>
      </w:r>
    </w:p>
    <w:p w14:paraId="32002DCA">
      <w:pPr>
        <w:pStyle w:val="10"/>
        <w:spacing w:before="158" w:line="364" w:lineRule="auto"/>
        <w:ind w:left="620" w:right="645" w:firstLine="480"/>
      </w:pPr>
      <w:r>
        <w:rPr>
          <w:spacing w:val="-5"/>
        </w:rPr>
        <w:t>项目各固体废物厂内转移主要通过人工、手推车等方式进行运输。固体废物</w:t>
      </w:r>
      <w:r>
        <w:rPr>
          <w:spacing w:val="-9"/>
        </w:rPr>
        <w:t xml:space="preserve">在厂内运输过程中主要的环境污染为危险废物洒落或倾倒。危险废物内部转运作业应采用专用的工具，危险废物内部转运应填写《危险废物厂内转运记录表》； </w:t>
      </w:r>
      <w:r>
        <w:rPr>
          <w:spacing w:val="-13"/>
        </w:rPr>
        <w:t>内部转运结束后，应对转运路线进行检查和清理，确保无固体废物遗失在转移路</w:t>
      </w:r>
      <w:r>
        <w:rPr>
          <w:spacing w:val="-12"/>
        </w:rPr>
        <w:t>线上；运输前固体废物需进行分类，按种类、数量、危险特性、物理形态、运输</w:t>
      </w:r>
      <w:r>
        <w:rPr>
          <w:spacing w:val="-15"/>
        </w:rPr>
        <w:t>要求等因素确定包装形式；包装应与危险废物相容，且防渗、防漏。在做好以上几点的基础上，固体废物在厂内运输过程中对周边环境的影响较小。</w:t>
      </w:r>
    </w:p>
    <w:p w14:paraId="31B70947">
      <w:pPr>
        <w:pStyle w:val="10"/>
        <w:spacing w:line="364" w:lineRule="auto"/>
        <w:ind w:left="620" w:right="497" w:firstLine="480"/>
      </w:pPr>
      <w:r>
        <w:rPr>
          <w:spacing w:val="-5"/>
        </w:rPr>
        <w:t xml:space="preserve">项目固体废物外运主要采用公路运输，在运输过程中严格管理，固体废物的 </w:t>
      </w:r>
      <w:r>
        <w:rPr>
          <w:spacing w:val="-10"/>
        </w:rPr>
        <w:t xml:space="preserve">外运处置由相应的协议单位负责运输环节，运输过程中安全管理和处置均由该单 </w:t>
      </w:r>
      <w:r>
        <w:rPr>
          <w:spacing w:val="-12"/>
        </w:rPr>
        <w:t xml:space="preserve">位负责；承担危险废物运输的单位应获得交通运输部门颁发的危险货物运输资质， </w:t>
      </w:r>
      <w:r>
        <w:rPr>
          <w:spacing w:val="-15"/>
        </w:rPr>
        <w:t>危险废物公路运输应严格执行《道路危险货物运输管理规定》</w:t>
      </w:r>
      <w:r>
        <w:rPr>
          <w:spacing w:val="-3"/>
        </w:rPr>
        <w:t>（</w:t>
      </w:r>
      <w:r>
        <w:rPr>
          <w:spacing w:val="-5"/>
        </w:rPr>
        <w:t>交通部令〔</w:t>
      </w:r>
      <w:r>
        <w:rPr>
          <w:rFonts w:ascii="Times New Roman" w:eastAsia="Times New Roman"/>
        </w:rPr>
        <w:t xml:space="preserve">2005 </w:t>
      </w:r>
      <w:r>
        <w:rPr>
          <w:spacing w:val="-19"/>
        </w:rPr>
        <w:t xml:space="preserve">年〕第 </w:t>
      </w:r>
      <w:r>
        <w:rPr>
          <w:rFonts w:ascii="Times New Roman" w:eastAsia="Times New Roman"/>
        </w:rPr>
        <w:t>9</w:t>
      </w:r>
      <w:r>
        <w:rPr>
          <w:rFonts w:ascii="Times New Roman" w:eastAsia="Times New Roman"/>
          <w:spacing w:val="5"/>
        </w:rPr>
        <w:t xml:space="preserve"> </w:t>
      </w:r>
      <w:r>
        <w:t>号</w:t>
      </w:r>
      <w:r>
        <w:rPr>
          <w:spacing w:val="-20"/>
        </w:rPr>
        <w:t>）</w:t>
      </w:r>
      <w:r>
        <w:rPr>
          <w:spacing w:val="-6"/>
        </w:rPr>
        <w:t>相关标准。通过以上措施可避免固体废物在外运中洒落、泄漏，造成大气环境、土壤甚至地下水污染。</w:t>
      </w:r>
    </w:p>
    <w:p w14:paraId="31623EDA">
      <w:pPr>
        <w:pStyle w:val="10"/>
        <w:spacing w:line="304" w:lineRule="exact"/>
        <w:ind w:left="1100"/>
      </w:pPr>
      <w:r>
        <w:rPr>
          <w:rFonts w:ascii="Times New Roman" w:eastAsia="Times New Roman"/>
        </w:rPr>
        <w:t>3</w:t>
      </w:r>
      <w:r>
        <w:t>、固体废物堆放、贮存场所的环境影响</w:t>
      </w:r>
    </w:p>
    <w:p w14:paraId="66880010">
      <w:pPr>
        <w:pStyle w:val="10"/>
        <w:spacing w:before="157"/>
        <w:ind w:left="1100"/>
      </w:pPr>
      <w:r>
        <w:t>（</w:t>
      </w:r>
      <w:r>
        <w:rPr>
          <w:rFonts w:ascii="Times New Roman" w:eastAsia="Times New Roman"/>
        </w:rPr>
        <w:t>1</w:t>
      </w:r>
      <w:r>
        <w:t>）一般工业固废</w:t>
      </w:r>
    </w:p>
    <w:p w14:paraId="7E27DAA6">
      <w:pPr>
        <w:pStyle w:val="10"/>
        <w:spacing w:before="158" w:line="364" w:lineRule="auto"/>
        <w:ind w:left="620" w:right="617" w:firstLine="480"/>
      </w:pPr>
      <w:r>
        <w:rPr>
          <w:spacing w:val="-6"/>
        </w:rPr>
        <w:t>项目一般工业固废暂存间应严格按照《一般工业固体废物贮存和填埋污染控</w:t>
      </w:r>
      <w:r>
        <w:rPr>
          <w:spacing w:val="-17"/>
        </w:rPr>
        <w:t>制标准》</w:t>
      </w:r>
      <w:r>
        <w:rPr>
          <w:rFonts w:ascii="Times New Roman" w:eastAsia="Times New Roman"/>
        </w:rPr>
        <w:t>(GB18599-2020)</w:t>
      </w:r>
      <w:r>
        <w:rPr>
          <w:spacing w:val="-9"/>
        </w:rPr>
        <w:t>的要求规范建设和维护使用，并做好防雨、防风、防渗、防漏等措施。</w:t>
      </w:r>
    </w:p>
    <w:p w14:paraId="60E7C085">
      <w:pPr>
        <w:pStyle w:val="10"/>
        <w:spacing w:line="305" w:lineRule="exact"/>
        <w:ind w:left="1100"/>
      </w:pPr>
      <w:r>
        <w:t>（</w:t>
      </w:r>
      <w:r>
        <w:rPr>
          <w:rFonts w:ascii="Times New Roman" w:eastAsia="Times New Roman"/>
        </w:rPr>
        <w:t>2</w:t>
      </w:r>
      <w:r>
        <w:t>）危险废物</w:t>
      </w:r>
    </w:p>
    <w:p w14:paraId="1AB8936B">
      <w:pPr>
        <w:pStyle w:val="10"/>
        <w:spacing w:before="161" w:line="364" w:lineRule="auto"/>
        <w:ind w:left="620" w:right="737" w:firstLine="480"/>
      </w:pPr>
      <w:r>
        <w:rPr>
          <w:spacing w:val="-5"/>
        </w:rPr>
        <w:t>本项目危险废物经收集后进入危废暂存间，根据各危废的性质分类储存，项目危险废物贮存场所（设施）基本情况如下表所示。</w:t>
      </w:r>
    </w:p>
    <w:p w14:paraId="65D6A7D6">
      <w:pPr>
        <w:spacing w:after="0" w:line="364" w:lineRule="auto"/>
        <w:sectPr>
          <w:pgSz w:w="11910" w:h="16840"/>
          <w:pgMar w:top="1380" w:right="1060" w:bottom="1380" w:left="1180" w:header="0" w:footer="1192" w:gutter="0"/>
          <w:cols w:space="720" w:num="1"/>
        </w:sectPr>
      </w:pPr>
    </w:p>
    <w:p w14:paraId="4D8C67D1">
      <w:pPr>
        <w:pStyle w:val="9"/>
        <w:spacing w:before="155" w:after="3"/>
        <w:ind w:left="1812"/>
      </w:pPr>
      <w:r>
        <w:t xml:space="preserve">表 </w:t>
      </w:r>
      <w:r>
        <w:rPr>
          <w:rFonts w:ascii="Times New Roman" w:eastAsia="Times New Roman"/>
        </w:rPr>
        <w:t xml:space="preserve">4.5-1 </w:t>
      </w:r>
      <w:r>
        <w:t>项目危险废物贮存场所（设施）基本情况一览表</w:t>
      </w:r>
    </w:p>
    <w:tbl>
      <w:tblPr>
        <w:tblStyle w:val="13"/>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847"/>
        <w:gridCol w:w="757"/>
        <w:gridCol w:w="660"/>
        <w:gridCol w:w="1070"/>
        <w:gridCol w:w="624"/>
        <w:gridCol w:w="658"/>
        <w:gridCol w:w="748"/>
        <w:gridCol w:w="629"/>
        <w:gridCol w:w="620"/>
        <w:gridCol w:w="852"/>
        <w:gridCol w:w="621"/>
      </w:tblGrid>
      <w:tr w14:paraId="47F84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0" w:hRule="atLeast"/>
        </w:trPr>
        <w:tc>
          <w:tcPr>
            <w:tcW w:w="426" w:type="dxa"/>
            <w:tcBorders>
              <w:left w:val="nil"/>
            </w:tcBorders>
          </w:tcPr>
          <w:p w14:paraId="19FFAE5E">
            <w:pPr>
              <w:pStyle w:val="17"/>
              <w:jc w:val="left"/>
              <w:rPr>
                <w:b/>
                <w:sz w:val="20"/>
              </w:rPr>
            </w:pPr>
          </w:p>
          <w:p w14:paraId="63FD9713">
            <w:pPr>
              <w:pStyle w:val="17"/>
              <w:jc w:val="left"/>
              <w:rPr>
                <w:b/>
                <w:sz w:val="20"/>
              </w:rPr>
            </w:pPr>
          </w:p>
          <w:p w14:paraId="4C34B1FC">
            <w:pPr>
              <w:pStyle w:val="17"/>
              <w:jc w:val="left"/>
              <w:rPr>
                <w:b/>
                <w:sz w:val="20"/>
              </w:rPr>
            </w:pPr>
          </w:p>
          <w:p w14:paraId="56B3D2E7">
            <w:pPr>
              <w:pStyle w:val="17"/>
              <w:spacing w:before="6"/>
              <w:jc w:val="left"/>
              <w:rPr>
                <w:b/>
                <w:sz w:val="19"/>
              </w:rPr>
            </w:pPr>
          </w:p>
          <w:p w14:paraId="6F360C10">
            <w:pPr>
              <w:pStyle w:val="17"/>
              <w:spacing w:line="278" w:lineRule="auto"/>
              <w:ind w:left="112" w:right="97"/>
              <w:jc w:val="left"/>
              <w:rPr>
                <w:sz w:val="21"/>
              </w:rPr>
            </w:pPr>
            <w:r>
              <w:rPr>
                <w:sz w:val="21"/>
              </w:rPr>
              <w:t>序号</w:t>
            </w:r>
          </w:p>
        </w:tc>
        <w:tc>
          <w:tcPr>
            <w:tcW w:w="847" w:type="dxa"/>
          </w:tcPr>
          <w:p w14:paraId="61E2BC65">
            <w:pPr>
              <w:pStyle w:val="17"/>
              <w:jc w:val="left"/>
              <w:rPr>
                <w:b/>
                <w:sz w:val="22"/>
              </w:rPr>
            </w:pPr>
          </w:p>
          <w:p w14:paraId="41D7AD2C">
            <w:pPr>
              <w:pStyle w:val="17"/>
              <w:jc w:val="left"/>
              <w:rPr>
                <w:b/>
                <w:sz w:val="22"/>
              </w:rPr>
            </w:pPr>
          </w:p>
          <w:p w14:paraId="019851E6">
            <w:pPr>
              <w:pStyle w:val="17"/>
              <w:spacing w:before="142" w:line="278" w:lineRule="auto"/>
              <w:ind w:left="106" w:right="99"/>
              <w:rPr>
                <w:sz w:val="21"/>
              </w:rPr>
            </w:pPr>
            <w:r>
              <w:rPr>
                <w:w w:val="95"/>
                <w:sz w:val="21"/>
              </w:rPr>
              <w:t>贮存场</w:t>
            </w:r>
            <w:r>
              <w:rPr>
                <w:sz w:val="21"/>
              </w:rPr>
              <w:t>所</w:t>
            </w:r>
            <w:r>
              <w:rPr>
                <w:rFonts w:ascii="Times New Roman" w:eastAsia="Times New Roman"/>
                <w:sz w:val="21"/>
              </w:rPr>
              <w:t>(</w:t>
            </w:r>
            <w:r>
              <w:rPr>
                <w:sz w:val="21"/>
              </w:rPr>
              <w:t>设</w:t>
            </w:r>
          </w:p>
          <w:p w14:paraId="1503710B">
            <w:pPr>
              <w:pStyle w:val="17"/>
              <w:spacing w:line="278" w:lineRule="auto"/>
              <w:ind w:left="178" w:right="169"/>
              <w:rPr>
                <w:sz w:val="21"/>
              </w:rPr>
            </w:pPr>
            <w:r>
              <w:rPr>
                <w:w w:val="95"/>
                <w:sz w:val="21"/>
              </w:rPr>
              <w:t>施</w:t>
            </w:r>
            <w:r>
              <w:rPr>
                <w:rFonts w:ascii="Times New Roman" w:eastAsia="Times New Roman"/>
                <w:w w:val="95"/>
                <w:sz w:val="21"/>
              </w:rPr>
              <w:t>)</w:t>
            </w:r>
            <w:r>
              <w:rPr>
                <w:w w:val="95"/>
                <w:sz w:val="21"/>
              </w:rPr>
              <w:t>名</w:t>
            </w:r>
            <w:r>
              <w:rPr>
                <w:sz w:val="21"/>
              </w:rPr>
              <w:t>称</w:t>
            </w:r>
          </w:p>
        </w:tc>
        <w:tc>
          <w:tcPr>
            <w:tcW w:w="757" w:type="dxa"/>
          </w:tcPr>
          <w:p w14:paraId="0C3BAF89">
            <w:pPr>
              <w:pStyle w:val="17"/>
              <w:jc w:val="left"/>
              <w:rPr>
                <w:b/>
                <w:sz w:val="20"/>
              </w:rPr>
            </w:pPr>
          </w:p>
          <w:p w14:paraId="34D05535">
            <w:pPr>
              <w:pStyle w:val="17"/>
              <w:jc w:val="left"/>
              <w:rPr>
                <w:b/>
                <w:sz w:val="20"/>
              </w:rPr>
            </w:pPr>
          </w:p>
          <w:p w14:paraId="6B29838F">
            <w:pPr>
              <w:pStyle w:val="17"/>
              <w:spacing w:before="3"/>
              <w:jc w:val="left"/>
              <w:rPr>
                <w:b/>
                <w:sz w:val="27"/>
              </w:rPr>
            </w:pPr>
          </w:p>
          <w:p w14:paraId="11A1694D">
            <w:pPr>
              <w:pStyle w:val="17"/>
              <w:spacing w:line="278" w:lineRule="auto"/>
              <w:ind w:left="166" w:right="160"/>
              <w:jc w:val="both"/>
              <w:rPr>
                <w:sz w:val="21"/>
              </w:rPr>
            </w:pPr>
            <w:r>
              <w:rPr>
                <w:w w:val="95"/>
                <w:sz w:val="21"/>
              </w:rPr>
              <w:t>危险废物名称</w:t>
            </w:r>
          </w:p>
        </w:tc>
        <w:tc>
          <w:tcPr>
            <w:tcW w:w="660" w:type="dxa"/>
          </w:tcPr>
          <w:p w14:paraId="1B832D58">
            <w:pPr>
              <w:pStyle w:val="17"/>
              <w:jc w:val="left"/>
              <w:rPr>
                <w:b/>
                <w:sz w:val="20"/>
              </w:rPr>
            </w:pPr>
          </w:p>
          <w:p w14:paraId="7E184B82">
            <w:pPr>
              <w:pStyle w:val="17"/>
              <w:jc w:val="left"/>
              <w:rPr>
                <w:b/>
                <w:sz w:val="20"/>
              </w:rPr>
            </w:pPr>
          </w:p>
          <w:p w14:paraId="3B69EE2C">
            <w:pPr>
              <w:pStyle w:val="17"/>
              <w:spacing w:before="3"/>
              <w:jc w:val="left"/>
              <w:rPr>
                <w:b/>
                <w:sz w:val="27"/>
              </w:rPr>
            </w:pPr>
          </w:p>
          <w:p w14:paraId="2C77C3B4">
            <w:pPr>
              <w:pStyle w:val="17"/>
              <w:spacing w:line="278" w:lineRule="auto"/>
              <w:ind w:left="120" w:right="110"/>
              <w:jc w:val="both"/>
              <w:rPr>
                <w:sz w:val="21"/>
              </w:rPr>
            </w:pPr>
            <w:r>
              <w:rPr>
                <w:w w:val="95"/>
                <w:sz w:val="21"/>
              </w:rPr>
              <w:t>危险废物类别</w:t>
            </w:r>
          </w:p>
        </w:tc>
        <w:tc>
          <w:tcPr>
            <w:tcW w:w="1070" w:type="dxa"/>
          </w:tcPr>
          <w:p w14:paraId="33429F04">
            <w:pPr>
              <w:pStyle w:val="17"/>
              <w:jc w:val="left"/>
              <w:rPr>
                <w:b/>
                <w:sz w:val="20"/>
              </w:rPr>
            </w:pPr>
          </w:p>
          <w:p w14:paraId="7FD2FBAA">
            <w:pPr>
              <w:pStyle w:val="17"/>
              <w:jc w:val="left"/>
              <w:rPr>
                <w:b/>
                <w:sz w:val="20"/>
              </w:rPr>
            </w:pPr>
          </w:p>
          <w:p w14:paraId="0EF298E0">
            <w:pPr>
              <w:pStyle w:val="17"/>
              <w:jc w:val="left"/>
              <w:rPr>
                <w:b/>
                <w:sz w:val="20"/>
              </w:rPr>
            </w:pPr>
          </w:p>
          <w:p w14:paraId="2247B9C4">
            <w:pPr>
              <w:pStyle w:val="17"/>
              <w:spacing w:before="6"/>
              <w:jc w:val="left"/>
              <w:rPr>
                <w:b/>
                <w:sz w:val="19"/>
              </w:rPr>
            </w:pPr>
          </w:p>
          <w:p w14:paraId="56701300">
            <w:pPr>
              <w:pStyle w:val="17"/>
              <w:spacing w:line="278" w:lineRule="auto"/>
              <w:ind w:left="324" w:right="104" w:hanging="209"/>
              <w:jc w:val="left"/>
              <w:rPr>
                <w:sz w:val="21"/>
              </w:rPr>
            </w:pPr>
            <w:r>
              <w:rPr>
                <w:w w:val="95"/>
                <w:sz w:val="21"/>
              </w:rPr>
              <w:t>危险废物</w:t>
            </w:r>
            <w:r>
              <w:rPr>
                <w:sz w:val="21"/>
              </w:rPr>
              <w:t>代码</w:t>
            </w:r>
          </w:p>
        </w:tc>
        <w:tc>
          <w:tcPr>
            <w:tcW w:w="624" w:type="dxa"/>
          </w:tcPr>
          <w:p w14:paraId="4B0BF77A">
            <w:pPr>
              <w:pStyle w:val="17"/>
              <w:jc w:val="left"/>
              <w:rPr>
                <w:b/>
                <w:sz w:val="20"/>
              </w:rPr>
            </w:pPr>
          </w:p>
          <w:p w14:paraId="0AEF899D">
            <w:pPr>
              <w:pStyle w:val="17"/>
              <w:jc w:val="left"/>
              <w:rPr>
                <w:b/>
                <w:sz w:val="20"/>
              </w:rPr>
            </w:pPr>
          </w:p>
          <w:p w14:paraId="65255A17">
            <w:pPr>
              <w:pStyle w:val="17"/>
              <w:jc w:val="left"/>
              <w:rPr>
                <w:b/>
                <w:sz w:val="20"/>
              </w:rPr>
            </w:pPr>
          </w:p>
          <w:p w14:paraId="676D4D62">
            <w:pPr>
              <w:pStyle w:val="17"/>
              <w:spacing w:before="6"/>
              <w:jc w:val="left"/>
              <w:rPr>
                <w:b/>
                <w:sz w:val="19"/>
              </w:rPr>
            </w:pPr>
          </w:p>
          <w:p w14:paraId="1D759670">
            <w:pPr>
              <w:pStyle w:val="17"/>
              <w:spacing w:line="278" w:lineRule="auto"/>
              <w:ind w:left="206" w:right="196"/>
              <w:jc w:val="left"/>
              <w:rPr>
                <w:sz w:val="21"/>
              </w:rPr>
            </w:pPr>
            <w:r>
              <w:rPr>
                <w:sz w:val="21"/>
              </w:rPr>
              <w:t>位置</w:t>
            </w:r>
          </w:p>
        </w:tc>
        <w:tc>
          <w:tcPr>
            <w:tcW w:w="658" w:type="dxa"/>
          </w:tcPr>
          <w:p w14:paraId="4122FB5D">
            <w:pPr>
              <w:pStyle w:val="17"/>
              <w:jc w:val="left"/>
              <w:rPr>
                <w:b/>
                <w:sz w:val="20"/>
              </w:rPr>
            </w:pPr>
          </w:p>
          <w:p w14:paraId="39810864">
            <w:pPr>
              <w:pStyle w:val="17"/>
              <w:jc w:val="left"/>
              <w:rPr>
                <w:b/>
                <w:sz w:val="20"/>
              </w:rPr>
            </w:pPr>
          </w:p>
          <w:p w14:paraId="6409D707">
            <w:pPr>
              <w:pStyle w:val="17"/>
              <w:jc w:val="left"/>
              <w:rPr>
                <w:b/>
                <w:sz w:val="20"/>
              </w:rPr>
            </w:pPr>
          </w:p>
          <w:p w14:paraId="66BBB085">
            <w:pPr>
              <w:pStyle w:val="17"/>
              <w:spacing w:before="6"/>
              <w:jc w:val="left"/>
              <w:rPr>
                <w:b/>
                <w:sz w:val="19"/>
              </w:rPr>
            </w:pPr>
          </w:p>
          <w:p w14:paraId="6D2BA9C5">
            <w:pPr>
              <w:pStyle w:val="17"/>
              <w:spacing w:line="278" w:lineRule="auto"/>
              <w:ind w:left="118" w:right="110"/>
              <w:jc w:val="left"/>
              <w:rPr>
                <w:sz w:val="21"/>
              </w:rPr>
            </w:pPr>
            <w:r>
              <w:rPr>
                <w:w w:val="95"/>
                <w:sz w:val="21"/>
              </w:rPr>
              <w:t>占地面积</w:t>
            </w:r>
          </w:p>
        </w:tc>
        <w:tc>
          <w:tcPr>
            <w:tcW w:w="748" w:type="dxa"/>
          </w:tcPr>
          <w:p w14:paraId="00BB0198">
            <w:pPr>
              <w:pStyle w:val="17"/>
              <w:jc w:val="left"/>
              <w:rPr>
                <w:b/>
                <w:sz w:val="20"/>
              </w:rPr>
            </w:pPr>
          </w:p>
          <w:p w14:paraId="27A43ED6">
            <w:pPr>
              <w:pStyle w:val="17"/>
              <w:jc w:val="left"/>
              <w:rPr>
                <w:b/>
                <w:sz w:val="20"/>
              </w:rPr>
            </w:pPr>
          </w:p>
          <w:p w14:paraId="3AA57795">
            <w:pPr>
              <w:pStyle w:val="17"/>
              <w:jc w:val="left"/>
              <w:rPr>
                <w:b/>
                <w:sz w:val="20"/>
              </w:rPr>
            </w:pPr>
          </w:p>
          <w:p w14:paraId="7C38C950">
            <w:pPr>
              <w:pStyle w:val="17"/>
              <w:jc w:val="left"/>
              <w:rPr>
                <w:b/>
                <w:sz w:val="17"/>
              </w:rPr>
            </w:pPr>
          </w:p>
          <w:p w14:paraId="50951FE2">
            <w:pPr>
              <w:pStyle w:val="17"/>
              <w:spacing w:line="333" w:lineRule="auto"/>
              <w:ind w:left="163" w:right="154"/>
              <w:jc w:val="left"/>
              <w:rPr>
                <w:sz w:val="21"/>
              </w:rPr>
            </w:pPr>
            <w:r>
              <w:rPr>
                <w:w w:val="95"/>
                <w:sz w:val="21"/>
              </w:rPr>
              <w:t>贮存方式</w:t>
            </w:r>
          </w:p>
        </w:tc>
        <w:tc>
          <w:tcPr>
            <w:tcW w:w="629" w:type="dxa"/>
          </w:tcPr>
          <w:p w14:paraId="65470E63">
            <w:pPr>
              <w:pStyle w:val="17"/>
              <w:jc w:val="left"/>
              <w:rPr>
                <w:b/>
                <w:sz w:val="20"/>
              </w:rPr>
            </w:pPr>
          </w:p>
          <w:p w14:paraId="4178B4A6">
            <w:pPr>
              <w:pStyle w:val="17"/>
              <w:jc w:val="left"/>
              <w:rPr>
                <w:b/>
                <w:sz w:val="20"/>
              </w:rPr>
            </w:pPr>
          </w:p>
          <w:p w14:paraId="4CAF143C">
            <w:pPr>
              <w:pStyle w:val="17"/>
              <w:spacing w:before="162" w:line="278" w:lineRule="auto"/>
              <w:ind w:left="209" w:right="198"/>
              <w:jc w:val="left"/>
              <w:rPr>
                <w:sz w:val="21"/>
              </w:rPr>
            </w:pPr>
            <w:r>
              <w:rPr>
                <w:sz w:val="21"/>
              </w:rPr>
              <w:t>贮存</w:t>
            </w:r>
          </w:p>
          <w:p w14:paraId="31F0770B">
            <w:pPr>
              <w:pStyle w:val="17"/>
              <w:spacing w:before="62" w:line="278" w:lineRule="auto"/>
              <w:ind w:left="209" w:right="198"/>
              <w:jc w:val="left"/>
              <w:rPr>
                <w:sz w:val="21"/>
              </w:rPr>
            </w:pPr>
            <w:r>
              <w:rPr>
                <w:sz w:val="21"/>
              </w:rPr>
              <w:t>能力</w:t>
            </w:r>
          </w:p>
        </w:tc>
        <w:tc>
          <w:tcPr>
            <w:tcW w:w="620" w:type="dxa"/>
          </w:tcPr>
          <w:p w14:paraId="7C597468">
            <w:pPr>
              <w:pStyle w:val="17"/>
              <w:spacing w:before="4"/>
              <w:jc w:val="left"/>
              <w:rPr>
                <w:b/>
                <w:sz w:val="28"/>
              </w:rPr>
            </w:pPr>
          </w:p>
          <w:p w14:paraId="53B9DC8C">
            <w:pPr>
              <w:pStyle w:val="17"/>
              <w:spacing w:line="278" w:lineRule="auto"/>
              <w:ind w:left="204" w:right="194"/>
              <w:jc w:val="both"/>
              <w:rPr>
                <w:sz w:val="21"/>
              </w:rPr>
            </w:pPr>
            <w:r>
              <w:rPr>
                <w:sz w:val="21"/>
              </w:rPr>
              <w:t>最大贮存</w:t>
            </w:r>
          </w:p>
          <w:p w14:paraId="60409B5B">
            <w:pPr>
              <w:pStyle w:val="17"/>
              <w:spacing w:before="62" w:line="278" w:lineRule="auto"/>
              <w:ind w:left="204" w:right="194"/>
              <w:jc w:val="both"/>
              <w:rPr>
                <w:sz w:val="21"/>
              </w:rPr>
            </w:pPr>
            <w:r>
              <w:rPr>
                <w:sz w:val="21"/>
              </w:rPr>
              <w:t>周期</w:t>
            </w:r>
          </w:p>
        </w:tc>
        <w:tc>
          <w:tcPr>
            <w:tcW w:w="852" w:type="dxa"/>
          </w:tcPr>
          <w:p w14:paraId="10307F6D">
            <w:pPr>
              <w:pStyle w:val="17"/>
              <w:jc w:val="left"/>
              <w:rPr>
                <w:b/>
                <w:sz w:val="20"/>
              </w:rPr>
            </w:pPr>
          </w:p>
          <w:p w14:paraId="63FF6AEA">
            <w:pPr>
              <w:pStyle w:val="17"/>
              <w:jc w:val="left"/>
              <w:rPr>
                <w:b/>
                <w:sz w:val="20"/>
              </w:rPr>
            </w:pPr>
          </w:p>
          <w:p w14:paraId="63C37EC2">
            <w:pPr>
              <w:pStyle w:val="17"/>
              <w:jc w:val="left"/>
              <w:rPr>
                <w:b/>
                <w:sz w:val="20"/>
              </w:rPr>
            </w:pPr>
          </w:p>
          <w:p w14:paraId="24E14AB2">
            <w:pPr>
              <w:pStyle w:val="17"/>
              <w:jc w:val="left"/>
              <w:rPr>
                <w:b/>
                <w:sz w:val="20"/>
              </w:rPr>
            </w:pPr>
          </w:p>
          <w:p w14:paraId="7A3291D2">
            <w:pPr>
              <w:pStyle w:val="17"/>
              <w:spacing w:before="149"/>
              <w:ind w:left="85" w:right="78"/>
              <w:rPr>
                <w:sz w:val="21"/>
              </w:rPr>
            </w:pPr>
            <w:r>
              <w:rPr>
                <w:sz w:val="21"/>
              </w:rPr>
              <w:t>处理量</w:t>
            </w:r>
          </w:p>
        </w:tc>
        <w:tc>
          <w:tcPr>
            <w:tcW w:w="621" w:type="dxa"/>
            <w:tcBorders>
              <w:right w:val="nil"/>
            </w:tcBorders>
          </w:tcPr>
          <w:p w14:paraId="1FF46457">
            <w:pPr>
              <w:pStyle w:val="17"/>
              <w:spacing w:before="82" w:line="278" w:lineRule="auto"/>
              <w:ind w:left="203" w:right="201"/>
              <w:jc w:val="both"/>
              <w:rPr>
                <w:sz w:val="21"/>
              </w:rPr>
            </w:pPr>
            <w:r>
              <w:rPr>
                <w:sz w:val="21"/>
              </w:rPr>
              <w:t>是否满足贮存要求</w:t>
            </w:r>
          </w:p>
        </w:tc>
      </w:tr>
      <w:tr w14:paraId="132F8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6" w:type="dxa"/>
            <w:tcBorders>
              <w:left w:val="nil"/>
            </w:tcBorders>
          </w:tcPr>
          <w:p w14:paraId="1463BB4B">
            <w:pPr>
              <w:pStyle w:val="17"/>
              <w:spacing w:before="190"/>
              <w:ind w:left="14"/>
              <w:rPr>
                <w:rFonts w:ascii="Times New Roman"/>
                <w:sz w:val="21"/>
              </w:rPr>
            </w:pPr>
            <w:r>
              <w:rPr>
                <w:rFonts w:ascii="Times New Roman"/>
                <w:w w:val="99"/>
                <w:sz w:val="21"/>
              </w:rPr>
              <w:t>1</w:t>
            </w:r>
          </w:p>
        </w:tc>
        <w:tc>
          <w:tcPr>
            <w:tcW w:w="847" w:type="dxa"/>
            <w:vMerge w:val="restart"/>
          </w:tcPr>
          <w:p w14:paraId="43C0D285">
            <w:pPr>
              <w:pStyle w:val="17"/>
              <w:jc w:val="left"/>
              <w:rPr>
                <w:b/>
                <w:sz w:val="20"/>
              </w:rPr>
            </w:pPr>
          </w:p>
          <w:p w14:paraId="3B8D50A3">
            <w:pPr>
              <w:pStyle w:val="17"/>
              <w:jc w:val="left"/>
              <w:rPr>
                <w:b/>
                <w:sz w:val="20"/>
              </w:rPr>
            </w:pPr>
          </w:p>
          <w:p w14:paraId="77DC8629">
            <w:pPr>
              <w:pStyle w:val="17"/>
              <w:jc w:val="left"/>
              <w:rPr>
                <w:b/>
                <w:sz w:val="20"/>
              </w:rPr>
            </w:pPr>
          </w:p>
          <w:p w14:paraId="1033BBF9">
            <w:pPr>
              <w:pStyle w:val="17"/>
              <w:jc w:val="left"/>
              <w:rPr>
                <w:b/>
                <w:sz w:val="20"/>
              </w:rPr>
            </w:pPr>
          </w:p>
          <w:p w14:paraId="7739001B">
            <w:pPr>
              <w:pStyle w:val="17"/>
              <w:spacing w:before="9"/>
              <w:jc w:val="left"/>
              <w:rPr>
                <w:b/>
                <w:sz w:val="22"/>
              </w:rPr>
            </w:pPr>
          </w:p>
          <w:p w14:paraId="184FFE72">
            <w:pPr>
              <w:pStyle w:val="17"/>
              <w:spacing w:line="331" w:lineRule="auto"/>
              <w:ind w:left="212" w:right="99" w:hanging="106"/>
              <w:jc w:val="left"/>
              <w:rPr>
                <w:sz w:val="21"/>
              </w:rPr>
            </w:pPr>
            <w:r>
              <w:rPr>
                <w:sz w:val="21"/>
              </w:rPr>
              <w:t>危废暂存间</w:t>
            </w:r>
          </w:p>
        </w:tc>
        <w:tc>
          <w:tcPr>
            <w:tcW w:w="757" w:type="dxa"/>
          </w:tcPr>
          <w:p w14:paraId="182F8BA0">
            <w:pPr>
              <w:pStyle w:val="17"/>
              <w:spacing w:before="20"/>
              <w:ind w:left="43" w:right="34"/>
              <w:rPr>
                <w:sz w:val="21"/>
              </w:rPr>
            </w:pPr>
            <w:r>
              <w:rPr>
                <w:sz w:val="21"/>
              </w:rPr>
              <w:t>废润滑</w:t>
            </w:r>
          </w:p>
          <w:p w14:paraId="318E95E6">
            <w:pPr>
              <w:pStyle w:val="17"/>
              <w:spacing w:before="43"/>
              <w:ind w:left="6"/>
              <w:rPr>
                <w:sz w:val="21"/>
              </w:rPr>
            </w:pPr>
            <w:r>
              <w:rPr>
                <w:w w:val="99"/>
                <w:sz w:val="21"/>
              </w:rPr>
              <w:t>油</w:t>
            </w:r>
          </w:p>
        </w:tc>
        <w:tc>
          <w:tcPr>
            <w:tcW w:w="660" w:type="dxa"/>
          </w:tcPr>
          <w:p w14:paraId="08DD1860">
            <w:pPr>
              <w:pStyle w:val="17"/>
              <w:spacing w:before="190"/>
              <w:ind w:left="50"/>
              <w:jc w:val="left"/>
              <w:rPr>
                <w:rFonts w:ascii="Times New Roman"/>
                <w:sz w:val="21"/>
              </w:rPr>
            </w:pPr>
            <w:r>
              <w:rPr>
                <w:rFonts w:ascii="Times New Roman"/>
                <w:sz w:val="21"/>
              </w:rPr>
              <w:t>HW08</w:t>
            </w:r>
          </w:p>
        </w:tc>
        <w:tc>
          <w:tcPr>
            <w:tcW w:w="1070" w:type="dxa"/>
          </w:tcPr>
          <w:p w14:paraId="1DFAFDD8">
            <w:pPr>
              <w:pStyle w:val="17"/>
              <w:spacing w:before="190"/>
              <w:ind w:left="22" w:right="15"/>
              <w:rPr>
                <w:rFonts w:ascii="Times New Roman"/>
                <w:sz w:val="21"/>
              </w:rPr>
            </w:pPr>
            <w:r>
              <w:rPr>
                <w:rFonts w:ascii="Times New Roman"/>
                <w:sz w:val="21"/>
              </w:rPr>
              <w:t>900-249-08</w:t>
            </w:r>
          </w:p>
        </w:tc>
        <w:tc>
          <w:tcPr>
            <w:tcW w:w="624" w:type="dxa"/>
            <w:vMerge w:val="restart"/>
          </w:tcPr>
          <w:p w14:paraId="6E31D1D1">
            <w:pPr>
              <w:pStyle w:val="17"/>
              <w:jc w:val="left"/>
              <w:rPr>
                <w:b/>
                <w:sz w:val="20"/>
              </w:rPr>
            </w:pPr>
          </w:p>
          <w:p w14:paraId="6E29A82A">
            <w:pPr>
              <w:pStyle w:val="17"/>
              <w:jc w:val="left"/>
              <w:rPr>
                <w:b/>
                <w:sz w:val="20"/>
              </w:rPr>
            </w:pPr>
          </w:p>
          <w:p w14:paraId="3B9996E6">
            <w:pPr>
              <w:pStyle w:val="17"/>
              <w:spacing w:before="5"/>
              <w:jc w:val="left"/>
              <w:rPr>
                <w:b/>
                <w:sz w:val="28"/>
              </w:rPr>
            </w:pPr>
          </w:p>
          <w:p w14:paraId="243E6A9F">
            <w:pPr>
              <w:pStyle w:val="17"/>
              <w:spacing w:line="278" w:lineRule="auto"/>
              <w:ind w:left="206" w:right="196"/>
              <w:jc w:val="both"/>
              <w:rPr>
                <w:sz w:val="21"/>
              </w:rPr>
            </w:pPr>
            <w:r>
              <w:rPr>
                <w:sz w:val="21"/>
              </w:rPr>
              <w:t>危废暂存间</w:t>
            </w:r>
          </w:p>
        </w:tc>
        <w:tc>
          <w:tcPr>
            <w:tcW w:w="658" w:type="dxa"/>
          </w:tcPr>
          <w:p w14:paraId="4276875B">
            <w:pPr>
              <w:pStyle w:val="17"/>
              <w:spacing w:before="190"/>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3E9F09B0">
            <w:pPr>
              <w:pStyle w:val="17"/>
              <w:spacing w:before="176"/>
              <w:ind w:left="163"/>
              <w:jc w:val="left"/>
              <w:rPr>
                <w:sz w:val="21"/>
              </w:rPr>
            </w:pPr>
            <w:r>
              <w:rPr>
                <w:sz w:val="21"/>
              </w:rPr>
              <w:t>桶装</w:t>
            </w:r>
          </w:p>
        </w:tc>
        <w:tc>
          <w:tcPr>
            <w:tcW w:w="629" w:type="dxa"/>
          </w:tcPr>
          <w:p w14:paraId="087B8980">
            <w:pPr>
              <w:pStyle w:val="17"/>
              <w:spacing w:before="190"/>
              <w:ind w:left="101" w:right="92"/>
              <w:rPr>
                <w:rFonts w:ascii="Times New Roman"/>
                <w:sz w:val="21"/>
              </w:rPr>
            </w:pPr>
            <w:r>
              <w:rPr>
                <w:rFonts w:ascii="Times New Roman"/>
                <w:sz w:val="21"/>
              </w:rPr>
              <w:t>1t</w:t>
            </w:r>
          </w:p>
        </w:tc>
        <w:tc>
          <w:tcPr>
            <w:tcW w:w="620" w:type="dxa"/>
          </w:tcPr>
          <w:p w14:paraId="38BB17BD">
            <w:pPr>
              <w:pStyle w:val="17"/>
              <w:spacing w:before="176"/>
              <w:ind w:right="194"/>
              <w:jc w:val="right"/>
              <w:rPr>
                <w:sz w:val="21"/>
              </w:rPr>
            </w:pPr>
            <w:r>
              <w:rPr>
                <w:w w:val="99"/>
                <w:sz w:val="21"/>
              </w:rPr>
              <w:t>年</w:t>
            </w:r>
          </w:p>
        </w:tc>
        <w:tc>
          <w:tcPr>
            <w:tcW w:w="852" w:type="dxa"/>
          </w:tcPr>
          <w:p w14:paraId="4766B7F0">
            <w:pPr>
              <w:pStyle w:val="17"/>
              <w:spacing w:before="190"/>
              <w:ind w:left="88" w:right="78"/>
              <w:rPr>
                <w:rFonts w:ascii="Times New Roman"/>
                <w:sz w:val="21"/>
              </w:rPr>
            </w:pPr>
            <w:r>
              <w:rPr>
                <w:rFonts w:ascii="Times New Roman"/>
                <w:sz w:val="21"/>
              </w:rPr>
              <w:t>0.01t</w:t>
            </w:r>
          </w:p>
        </w:tc>
        <w:tc>
          <w:tcPr>
            <w:tcW w:w="621" w:type="dxa"/>
            <w:tcBorders>
              <w:right w:val="nil"/>
            </w:tcBorders>
          </w:tcPr>
          <w:p w14:paraId="78171F3D">
            <w:pPr>
              <w:pStyle w:val="17"/>
              <w:spacing w:before="176"/>
              <w:ind w:left="203"/>
              <w:jc w:val="left"/>
              <w:rPr>
                <w:sz w:val="21"/>
              </w:rPr>
            </w:pPr>
            <w:r>
              <w:rPr>
                <w:w w:val="99"/>
                <w:sz w:val="21"/>
              </w:rPr>
              <w:t>是</w:t>
            </w:r>
          </w:p>
        </w:tc>
      </w:tr>
      <w:tr w14:paraId="3773A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26" w:type="dxa"/>
            <w:tcBorders>
              <w:left w:val="nil"/>
            </w:tcBorders>
          </w:tcPr>
          <w:p w14:paraId="53CEAA53">
            <w:pPr>
              <w:pStyle w:val="17"/>
              <w:spacing w:before="2"/>
              <w:jc w:val="left"/>
              <w:rPr>
                <w:b/>
                <w:sz w:val="27"/>
              </w:rPr>
            </w:pPr>
          </w:p>
          <w:p w14:paraId="4608B6AD">
            <w:pPr>
              <w:pStyle w:val="17"/>
              <w:ind w:left="14"/>
              <w:rPr>
                <w:rFonts w:ascii="Times New Roman"/>
                <w:sz w:val="21"/>
              </w:rPr>
            </w:pPr>
            <w:r>
              <w:rPr>
                <w:rFonts w:ascii="Times New Roman"/>
                <w:w w:val="99"/>
                <w:sz w:val="21"/>
              </w:rPr>
              <w:t>2</w:t>
            </w:r>
          </w:p>
        </w:tc>
        <w:tc>
          <w:tcPr>
            <w:tcW w:w="847" w:type="dxa"/>
            <w:vMerge w:val="continue"/>
            <w:tcBorders>
              <w:top w:val="nil"/>
            </w:tcBorders>
          </w:tcPr>
          <w:p w14:paraId="098D813E">
            <w:pPr>
              <w:rPr>
                <w:sz w:val="2"/>
                <w:szCs w:val="2"/>
              </w:rPr>
            </w:pPr>
          </w:p>
        </w:tc>
        <w:tc>
          <w:tcPr>
            <w:tcW w:w="757" w:type="dxa"/>
          </w:tcPr>
          <w:p w14:paraId="0E828B7B">
            <w:pPr>
              <w:pStyle w:val="17"/>
              <w:spacing w:before="22"/>
              <w:ind w:left="63"/>
              <w:jc w:val="left"/>
              <w:rPr>
                <w:sz w:val="21"/>
              </w:rPr>
            </w:pPr>
            <w:r>
              <w:rPr>
                <w:sz w:val="21"/>
              </w:rPr>
              <w:t>含油废</w:t>
            </w:r>
          </w:p>
          <w:p w14:paraId="503101A7">
            <w:pPr>
              <w:pStyle w:val="17"/>
              <w:spacing w:before="2" w:line="310" w:lineRule="atLeast"/>
              <w:ind w:left="272" w:right="52" w:hanging="209"/>
              <w:jc w:val="left"/>
              <w:rPr>
                <w:sz w:val="21"/>
              </w:rPr>
            </w:pPr>
            <w:r>
              <w:rPr>
                <w:sz w:val="21"/>
              </w:rPr>
              <w:t>抹布手套</w:t>
            </w:r>
          </w:p>
        </w:tc>
        <w:tc>
          <w:tcPr>
            <w:tcW w:w="660" w:type="dxa"/>
          </w:tcPr>
          <w:p w14:paraId="2CB16FD7">
            <w:pPr>
              <w:pStyle w:val="17"/>
              <w:spacing w:before="2"/>
              <w:jc w:val="left"/>
              <w:rPr>
                <w:b/>
                <w:sz w:val="27"/>
              </w:rPr>
            </w:pPr>
          </w:p>
          <w:p w14:paraId="7D8A3660">
            <w:pPr>
              <w:pStyle w:val="17"/>
              <w:ind w:left="50"/>
              <w:jc w:val="left"/>
              <w:rPr>
                <w:rFonts w:ascii="Times New Roman"/>
                <w:sz w:val="21"/>
              </w:rPr>
            </w:pPr>
            <w:r>
              <w:rPr>
                <w:rFonts w:ascii="Times New Roman"/>
                <w:sz w:val="21"/>
              </w:rPr>
              <w:t>HW49</w:t>
            </w:r>
          </w:p>
        </w:tc>
        <w:tc>
          <w:tcPr>
            <w:tcW w:w="1070" w:type="dxa"/>
          </w:tcPr>
          <w:p w14:paraId="3D3038D7">
            <w:pPr>
              <w:pStyle w:val="17"/>
              <w:spacing w:before="2"/>
              <w:jc w:val="left"/>
              <w:rPr>
                <w:b/>
                <w:sz w:val="27"/>
              </w:rPr>
            </w:pPr>
          </w:p>
          <w:p w14:paraId="3203104C">
            <w:pPr>
              <w:pStyle w:val="17"/>
              <w:ind w:left="23" w:right="14"/>
              <w:rPr>
                <w:rFonts w:ascii="Times New Roman"/>
                <w:sz w:val="21"/>
              </w:rPr>
            </w:pPr>
            <w:r>
              <w:rPr>
                <w:rFonts w:ascii="Times New Roman"/>
                <w:sz w:val="21"/>
              </w:rPr>
              <w:t>900-041-49</w:t>
            </w:r>
          </w:p>
        </w:tc>
        <w:tc>
          <w:tcPr>
            <w:tcW w:w="624" w:type="dxa"/>
            <w:vMerge w:val="continue"/>
            <w:tcBorders>
              <w:top w:val="nil"/>
            </w:tcBorders>
          </w:tcPr>
          <w:p w14:paraId="05CBA478">
            <w:pPr>
              <w:rPr>
                <w:sz w:val="2"/>
                <w:szCs w:val="2"/>
              </w:rPr>
            </w:pPr>
          </w:p>
        </w:tc>
        <w:tc>
          <w:tcPr>
            <w:tcW w:w="658" w:type="dxa"/>
          </w:tcPr>
          <w:p w14:paraId="17EFA1D0">
            <w:pPr>
              <w:pStyle w:val="17"/>
              <w:spacing w:before="2"/>
              <w:jc w:val="left"/>
              <w:rPr>
                <w:b/>
                <w:sz w:val="27"/>
              </w:rPr>
            </w:pPr>
          </w:p>
          <w:p w14:paraId="07B0D6B1">
            <w:pPr>
              <w:pStyle w:val="17"/>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5DB06F81">
            <w:pPr>
              <w:pStyle w:val="17"/>
              <w:spacing w:before="1"/>
              <w:jc w:val="left"/>
              <w:rPr>
                <w:b/>
                <w:sz w:val="26"/>
              </w:rPr>
            </w:pPr>
          </w:p>
          <w:p w14:paraId="5D983936">
            <w:pPr>
              <w:pStyle w:val="17"/>
              <w:ind w:left="163"/>
              <w:jc w:val="left"/>
              <w:rPr>
                <w:sz w:val="21"/>
              </w:rPr>
            </w:pPr>
            <w:r>
              <w:rPr>
                <w:sz w:val="21"/>
              </w:rPr>
              <w:t>袋装</w:t>
            </w:r>
          </w:p>
        </w:tc>
        <w:tc>
          <w:tcPr>
            <w:tcW w:w="629" w:type="dxa"/>
          </w:tcPr>
          <w:p w14:paraId="3641D096">
            <w:pPr>
              <w:pStyle w:val="17"/>
              <w:spacing w:before="2"/>
              <w:jc w:val="left"/>
              <w:rPr>
                <w:b/>
                <w:sz w:val="27"/>
              </w:rPr>
            </w:pPr>
          </w:p>
          <w:p w14:paraId="76D36DFA">
            <w:pPr>
              <w:pStyle w:val="17"/>
              <w:ind w:left="101" w:right="92"/>
              <w:rPr>
                <w:rFonts w:ascii="Times New Roman"/>
                <w:sz w:val="21"/>
              </w:rPr>
            </w:pPr>
            <w:r>
              <w:rPr>
                <w:rFonts w:ascii="Times New Roman"/>
                <w:sz w:val="21"/>
              </w:rPr>
              <w:t>1t</w:t>
            </w:r>
          </w:p>
        </w:tc>
        <w:tc>
          <w:tcPr>
            <w:tcW w:w="620" w:type="dxa"/>
          </w:tcPr>
          <w:p w14:paraId="45D5E38E">
            <w:pPr>
              <w:pStyle w:val="17"/>
              <w:spacing w:before="1"/>
              <w:jc w:val="left"/>
              <w:rPr>
                <w:b/>
                <w:sz w:val="26"/>
              </w:rPr>
            </w:pPr>
          </w:p>
          <w:p w14:paraId="25C1C5D4">
            <w:pPr>
              <w:pStyle w:val="17"/>
              <w:ind w:right="194"/>
              <w:jc w:val="right"/>
              <w:rPr>
                <w:sz w:val="21"/>
              </w:rPr>
            </w:pPr>
            <w:r>
              <w:rPr>
                <w:w w:val="99"/>
                <w:sz w:val="21"/>
              </w:rPr>
              <w:t>年</w:t>
            </w:r>
          </w:p>
        </w:tc>
        <w:tc>
          <w:tcPr>
            <w:tcW w:w="852" w:type="dxa"/>
          </w:tcPr>
          <w:p w14:paraId="7A40A6C9">
            <w:pPr>
              <w:pStyle w:val="17"/>
              <w:spacing w:before="2"/>
              <w:jc w:val="left"/>
              <w:rPr>
                <w:b/>
                <w:sz w:val="27"/>
              </w:rPr>
            </w:pPr>
          </w:p>
          <w:p w14:paraId="52094B30">
            <w:pPr>
              <w:pStyle w:val="17"/>
              <w:ind w:left="88" w:right="78"/>
              <w:rPr>
                <w:rFonts w:ascii="Times New Roman"/>
                <w:sz w:val="21"/>
              </w:rPr>
            </w:pPr>
            <w:r>
              <w:rPr>
                <w:rFonts w:ascii="Times New Roman"/>
                <w:sz w:val="21"/>
              </w:rPr>
              <w:t>0.01t</w:t>
            </w:r>
          </w:p>
        </w:tc>
        <w:tc>
          <w:tcPr>
            <w:tcW w:w="621" w:type="dxa"/>
            <w:tcBorders>
              <w:right w:val="nil"/>
            </w:tcBorders>
          </w:tcPr>
          <w:p w14:paraId="694ACF3C">
            <w:pPr>
              <w:pStyle w:val="17"/>
              <w:spacing w:before="1"/>
              <w:jc w:val="left"/>
              <w:rPr>
                <w:b/>
                <w:sz w:val="26"/>
              </w:rPr>
            </w:pPr>
          </w:p>
          <w:p w14:paraId="2749E85E">
            <w:pPr>
              <w:pStyle w:val="17"/>
              <w:ind w:left="203"/>
              <w:jc w:val="left"/>
              <w:rPr>
                <w:sz w:val="21"/>
              </w:rPr>
            </w:pPr>
            <w:r>
              <w:rPr>
                <w:w w:val="99"/>
                <w:sz w:val="21"/>
              </w:rPr>
              <w:t>是</w:t>
            </w:r>
          </w:p>
        </w:tc>
      </w:tr>
      <w:tr w14:paraId="652EA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426" w:type="dxa"/>
            <w:tcBorders>
              <w:left w:val="nil"/>
            </w:tcBorders>
          </w:tcPr>
          <w:p w14:paraId="63062CEA">
            <w:pPr>
              <w:pStyle w:val="17"/>
              <w:jc w:val="left"/>
              <w:rPr>
                <w:b/>
                <w:sz w:val="32"/>
              </w:rPr>
            </w:pPr>
          </w:p>
          <w:p w14:paraId="1B83971E">
            <w:pPr>
              <w:pStyle w:val="17"/>
              <w:ind w:left="14"/>
              <w:rPr>
                <w:rFonts w:ascii="Times New Roman"/>
                <w:sz w:val="21"/>
              </w:rPr>
            </w:pPr>
            <w:r>
              <w:rPr>
                <w:rFonts w:ascii="Times New Roman"/>
                <w:w w:val="99"/>
                <w:sz w:val="21"/>
              </w:rPr>
              <w:t>3</w:t>
            </w:r>
          </w:p>
        </w:tc>
        <w:tc>
          <w:tcPr>
            <w:tcW w:w="847" w:type="dxa"/>
            <w:vMerge w:val="continue"/>
            <w:tcBorders>
              <w:top w:val="nil"/>
            </w:tcBorders>
          </w:tcPr>
          <w:p w14:paraId="76755FF2">
            <w:pPr>
              <w:rPr>
                <w:sz w:val="2"/>
                <w:szCs w:val="2"/>
              </w:rPr>
            </w:pPr>
          </w:p>
        </w:tc>
        <w:tc>
          <w:tcPr>
            <w:tcW w:w="757" w:type="dxa"/>
          </w:tcPr>
          <w:p w14:paraId="7B596324">
            <w:pPr>
              <w:pStyle w:val="17"/>
              <w:spacing w:before="9"/>
              <w:jc w:val="left"/>
              <w:rPr>
                <w:b/>
                <w:sz w:val="18"/>
              </w:rPr>
            </w:pPr>
          </w:p>
          <w:p w14:paraId="30965FA3">
            <w:pPr>
              <w:pStyle w:val="17"/>
              <w:spacing w:line="278" w:lineRule="auto"/>
              <w:ind w:left="272" w:right="52" w:hanging="209"/>
              <w:jc w:val="left"/>
              <w:rPr>
                <w:sz w:val="21"/>
              </w:rPr>
            </w:pPr>
            <w:r>
              <w:rPr>
                <w:sz w:val="21"/>
              </w:rPr>
              <w:t>废活性炭</w:t>
            </w:r>
          </w:p>
        </w:tc>
        <w:tc>
          <w:tcPr>
            <w:tcW w:w="660" w:type="dxa"/>
          </w:tcPr>
          <w:p w14:paraId="1CC7B309">
            <w:pPr>
              <w:pStyle w:val="17"/>
              <w:jc w:val="left"/>
              <w:rPr>
                <w:b/>
                <w:sz w:val="32"/>
              </w:rPr>
            </w:pPr>
          </w:p>
          <w:p w14:paraId="6358DEC4">
            <w:pPr>
              <w:pStyle w:val="17"/>
              <w:ind w:left="50"/>
              <w:jc w:val="left"/>
              <w:rPr>
                <w:rFonts w:ascii="Times New Roman"/>
                <w:sz w:val="21"/>
              </w:rPr>
            </w:pPr>
            <w:r>
              <w:rPr>
                <w:rFonts w:ascii="Times New Roman"/>
                <w:sz w:val="21"/>
              </w:rPr>
              <w:t>HW49</w:t>
            </w:r>
          </w:p>
        </w:tc>
        <w:tc>
          <w:tcPr>
            <w:tcW w:w="1070" w:type="dxa"/>
          </w:tcPr>
          <w:p w14:paraId="6EC48B55">
            <w:pPr>
              <w:pStyle w:val="17"/>
              <w:jc w:val="left"/>
              <w:rPr>
                <w:b/>
                <w:sz w:val="32"/>
              </w:rPr>
            </w:pPr>
          </w:p>
          <w:p w14:paraId="5864D19C">
            <w:pPr>
              <w:pStyle w:val="17"/>
              <w:ind w:left="22" w:right="15"/>
              <w:rPr>
                <w:rFonts w:ascii="Times New Roman"/>
                <w:sz w:val="21"/>
              </w:rPr>
            </w:pPr>
            <w:r>
              <w:rPr>
                <w:rFonts w:ascii="Times New Roman"/>
                <w:sz w:val="21"/>
              </w:rPr>
              <w:t>900-039-49</w:t>
            </w:r>
          </w:p>
        </w:tc>
        <w:tc>
          <w:tcPr>
            <w:tcW w:w="624" w:type="dxa"/>
            <w:vMerge w:val="continue"/>
            <w:tcBorders>
              <w:top w:val="nil"/>
            </w:tcBorders>
          </w:tcPr>
          <w:p w14:paraId="466C1739">
            <w:pPr>
              <w:rPr>
                <w:sz w:val="2"/>
                <w:szCs w:val="2"/>
              </w:rPr>
            </w:pPr>
          </w:p>
        </w:tc>
        <w:tc>
          <w:tcPr>
            <w:tcW w:w="658" w:type="dxa"/>
          </w:tcPr>
          <w:p w14:paraId="1290DF77">
            <w:pPr>
              <w:pStyle w:val="17"/>
              <w:jc w:val="left"/>
              <w:rPr>
                <w:b/>
                <w:sz w:val="32"/>
              </w:rPr>
            </w:pPr>
          </w:p>
          <w:p w14:paraId="1042B623">
            <w:pPr>
              <w:pStyle w:val="17"/>
              <w:ind w:left="108"/>
              <w:jc w:val="left"/>
              <w:rPr>
                <w:rFonts w:ascii="Times New Roman"/>
                <w:sz w:val="13"/>
              </w:rPr>
            </w:pPr>
            <w:r>
              <w:rPr>
                <w:rFonts w:ascii="Times New Roman"/>
                <w:sz w:val="21"/>
              </w:rPr>
              <w:t>17m</w:t>
            </w:r>
            <w:r>
              <w:rPr>
                <w:rFonts w:ascii="Times New Roman"/>
                <w:position w:val="7"/>
                <w:sz w:val="13"/>
              </w:rPr>
              <w:t>2</w:t>
            </w:r>
          </w:p>
        </w:tc>
        <w:tc>
          <w:tcPr>
            <w:tcW w:w="748" w:type="dxa"/>
          </w:tcPr>
          <w:p w14:paraId="7D4BB0F2">
            <w:pPr>
              <w:pStyle w:val="17"/>
              <w:jc w:val="left"/>
              <w:rPr>
                <w:b/>
                <w:sz w:val="20"/>
              </w:rPr>
            </w:pPr>
          </w:p>
          <w:p w14:paraId="356AD0DC">
            <w:pPr>
              <w:pStyle w:val="17"/>
              <w:spacing w:before="140"/>
              <w:ind w:left="163"/>
              <w:jc w:val="left"/>
              <w:rPr>
                <w:sz w:val="21"/>
              </w:rPr>
            </w:pPr>
            <w:r>
              <w:rPr>
                <w:sz w:val="21"/>
              </w:rPr>
              <w:t>袋装</w:t>
            </w:r>
          </w:p>
        </w:tc>
        <w:tc>
          <w:tcPr>
            <w:tcW w:w="629" w:type="dxa"/>
          </w:tcPr>
          <w:p w14:paraId="1B241A7B">
            <w:pPr>
              <w:pStyle w:val="17"/>
              <w:jc w:val="left"/>
              <w:rPr>
                <w:b/>
                <w:sz w:val="32"/>
              </w:rPr>
            </w:pPr>
          </w:p>
          <w:p w14:paraId="5206CDBB">
            <w:pPr>
              <w:pStyle w:val="17"/>
              <w:ind w:left="99" w:right="92"/>
              <w:rPr>
                <w:rFonts w:ascii="Times New Roman"/>
                <w:sz w:val="21"/>
              </w:rPr>
            </w:pPr>
            <w:r>
              <w:rPr>
                <w:rFonts w:ascii="Times New Roman"/>
                <w:sz w:val="21"/>
              </w:rPr>
              <w:t>17t</w:t>
            </w:r>
          </w:p>
        </w:tc>
        <w:tc>
          <w:tcPr>
            <w:tcW w:w="620" w:type="dxa"/>
          </w:tcPr>
          <w:p w14:paraId="026EC1F9">
            <w:pPr>
              <w:pStyle w:val="17"/>
              <w:spacing w:before="84" w:line="278" w:lineRule="auto"/>
              <w:ind w:left="204" w:right="194"/>
              <w:jc w:val="both"/>
              <w:rPr>
                <w:sz w:val="21"/>
              </w:rPr>
            </w:pPr>
            <w:r>
              <w:rPr>
                <w:sz w:val="21"/>
              </w:rPr>
              <w:t>三个月</w:t>
            </w:r>
          </w:p>
        </w:tc>
        <w:tc>
          <w:tcPr>
            <w:tcW w:w="852" w:type="dxa"/>
          </w:tcPr>
          <w:p w14:paraId="39C9CC17">
            <w:pPr>
              <w:pStyle w:val="17"/>
              <w:jc w:val="left"/>
              <w:rPr>
                <w:b/>
                <w:sz w:val="32"/>
              </w:rPr>
            </w:pPr>
          </w:p>
          <w:p w14:paraId="3A322730">
            <w:pPr>
              <w:pStyle w:val="17"/>
              <w:ind w:left="88" w:right="78"/>
              <w:rPr>
                <w:rFonts w:ascii="Times New Roman"/>
                <w:sz w:val="21"/>
              </w:rPr>
            </w:pPr>
            <w:r>
              <w:rPr>
                <w:rFonts w:ascii="Times New Roman"/>
                <w:sz w:val="21"/>
              </w:rPr>
              <w:t>59.306t</w:t>
            </w:r>
          </w:p>
        </w:tc>
        <w:tc>
          <w:tcPr>
            <w:tcW w:w="621" w:type="dxa"/>
            <w:tcBorders>
              <w:right w:val="nil"/>
            </w:tcBorders>
          </w:tcPr>
          <w:p w14:paraId="3370472B">
            <w:pPr>
              <w:pStyle w:val="17"/>
              <w:jc w:val="left"/>
              <w:rPr>
                <w:b/>
                <w:sz w:val="20"/>
              </w:rPr>
            </w:pPr>
          </w:p>
          <w:p w14:paraId="6B1C608F">
            <w:pPr>
              <w:pStyle w:val="17"/>
              <w:spacing w:before="140"/>
              <w:ind w:left="203"/>
              <w:jc w:val="left"/>
              <w:rPr>
                <w:sz w:val="21"/>
              </w:rPr>
            </w:pPr>
            <w:r>
              <w:rPr>
                <w:w w:val="99"/>
                <w:sz w:val="21"/>
              </w:rPr>
              <w:t>是</w:t>
            </w:r>
          </w:p>
        </w:tc>
      </w:tr>
      <w:tr w14:paraId="67876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26" w:type="dxa"/>
            <w:tcBorders>
              <w:left w:val="nil"/>
            </w:tcBorders>
          </w:tcPr>
          <w:p w14:paraId="68FB43FC">
            <w:pPr>
              <w:pStyle w:val="17"/>
              <w:spacing w:before="192"/>
              <w:ind w:left="14"/>
              <w:rPr>
                <w:rFonts w:ascii="Times New Roman"/>
                <w:sz w:val="21"/>
              </w:rPr>
            </w:pPr>
            <w:r>
              <w:rPr>
                <w:rFonts w:ascii="Times New Roman"/>
                <w:w w:val="99"/>
                <w:sz w:val="21"/>
              </w:rPr>
              <w:t>4</w:t>
            </w:r>
          </w:p>
        </w:tc>
        <w:tc>
          <w:tcPr>
            <w:tcW w:w="847" w:type="dxa"/>
            <w:vMerge w:val="continue"/>
            <w:tcBorders>
              <w:top w:val="nil"/>
            </w:tcBorders>
          </w:tcPr>
          <w:p w14:paraId="01656E75">
            <w:pPr>
              <w:rPr>
                <w:sz w:val="2"/>
                <w:szCs w:val="2"/>
              </w:rPr>
            </w:pPr>
          </w:p>
        </w:tc>
        <w:tc>
          <w:tcPr>
            <w:tcW w:w="757" w:type="dxa"/>
          </w:tcPr>
          <w:p w14:paraId="5E9B5586">
            <w:pPr>
              <w:pStyle w:val="17"/>
              <w:spacing w:before="22"/>
              <w:ind w:left="43" w:right="34"/>
              <w:rPr>
                <w:sz w:val="21"/>
              </w:rPr>
            </w:pPr>
            <w:r>
              <w:rPr>
                <w:sz w:val="21"/>
              </w:rPr>
              <w:t>废过滤</w:t>
            </w:r>
          </w:p>
          <w:p w14:paraId="4FF23AEB">
            <w:pPr>
              <w:pStyle w:val="17"/>
              <w:spacing w:before="43"/>
              <w:ind w:left="6"/>
              <w:rPr>
                <w:sz w:val="21"/>
              </w:rPr>
            </w:pPr>
            <w:r>
              <w:rPr>
                <w:w w:val="99"/>
                <w:sz w:val="21"/>
              </w:rPr>
              <w:t>棉</w:t>
            </w:r>
          </w:p>
        </w:tc>
        <w:tc>
          <w:tcPr>
            <w:tcW w:w="660" w:type="dxa"/>
          </w:tcPr>
          <w:p w14:paraId="46068EBC">
            <w:pPr>
              <w:pStyle w:val="17"/>
              <w:spacing w:before="192"/>
              <w:ind w:left="50"/>
              <w:jc w:val="left"/>
              <w:rPr>
                <w:rFonts w:ascii="Times New Roman"/>
                <w:sz w:val="21"/>
              </w:rPr>
            </w:pPr>
            <w:r>
              <w:rPr>
                <w:rFonts w:ascii="Times New Roman"/>
                <w:sz w:val="21"/>
              </w:rPr>
              <w:t>HW49</w:t>
            </w:r>
          </w:p>
        </w:tc>
        <w:tc>
          <w:tcPr>
            <w:tcW w:w="1070" w:type="dxa"/>
          </w:tcPr>
          <w:p w14:paraId="60CF6868">
            <w:pPr>
              <w:pStyle w:val="17"/>
              <w:spacing w:before="192"/>
              <w:ind w:left="23" w:right="14"/>
              <w:rPr>
                <w:rFonts w:ascii="Times New Roman"/>
                <w:sz w:val="21"/>
              </w:rPr>
            </w:pPr>
            <w:r>
              <w:rPr>
                <w:rFonts w:ascii="Times New Roman"/>
                <w:sz w:val="21"/>
              </w:rPr>
              <w:t>900-041-49</w:t>
            </w:r>
          </w:p>
        </w:tc>
        <w:tc>
          <w:tcPr>
            <w:tcW w:w="624" w:type="dxa"/>
            <w:vMerge w:val="continue"/>
            <w:tcBorders>
              <w:top w:val="nil"/>
            </w:tcBorders>
          </w:tcPr>
          <w:p w14:paraId="1F8FE483">
            <w:pPr>
              <w:rPr>
                <w:sz w:val="2"/>
                <w:szCs w:val="2"/>
              </w:rPr>
            </w:pPr>
          </w:p>
        </w:tc>
        <w:tc>
          <w:tcPr>
            <w:tcW w:w="658" w:type="dxa"/>
          </w:tcPr>
          <w:p w14:paraId="4526E116">
            <w:pPr>
              <w:pStyle w:val="17"/>
              <w:spacing w:before="192"/>
              <w:ind w:left="161"/>
              <w:jc w:val="left"/>
              <w:rPr>
                <w:rFonts w:ascii="Times New Roman"/>
                <w:sz w:val="13"/>
              </w:rPr>
            </w:pPr>
            <w:r>
              <w:rPr>
                <w:rFonts w:ascii="Times New Roman"/>
                <w:sz w:val="21"/>
              </w:rPr>
              <w:t>1m</w:t>
            </w:r>
            <w:r>
              <w:rPr>
                <w:rFonts w:ascii="Times New Roman"/>
                <w:position w:val="7"/>
                <w:sz w:val="13"/>
              </w:rPr>
              <w:t>2</w:t>
            </w:r>
          </w:p>
        </w:tc>
        <w:tc>
          <w:tcPr>
            <w:tcW w:w="748" w:type="dxa"/>
          </w:tcPr>
          <w:p w14:paraId="4BDF4255">
            <w:pPr>
              <w:pStyle w:val="17"/>
              <w:spacing w:before="178"/>
              <w:ind w:left="163"/>
              <w:jc w:val="left"/>
              <w:rPr>
                <w:sz w:val="21"/>
              </w:rPr>
            </w:pPr>
            <w:r>
              <w:rPr>
                <w:sz w:val="21"/>
              </w:rPr>
              <w:t>袋装</w:t>
            </w:r>
          </w:p>
        </w:tc>
        <w:tc>
          <w:tcPr>
            <w:tcW w:w="629" w:type="dxa"/>
          </w:tcPr>
          <w:p w14:paraId="5F361EF4">
            <w:pPr>
              <w:pStyle w:val="17"/>
              <w:spacing w:before="192"/>
              <w:ind w:left="104" w:right="92"/>
              <w:rPr>
                <w:rFonts w:ascii="Times New Roman"/>
                <w:sz w:val="21"/>
              </w:rPr>
            </w:pPr>
            <w:r>
              <w:rPr>
                <w:rFonts w:ascii="Times New Roman"/>
                <w:sz w:val="21"/>
              </w:rPr>
              <w:t>1t</w:t>
            </w:r>
          </w:p>
        </w:tc>
        <w:tc>
          <w:tcPr>
            <w:tcW w:w="620" w:type="dxa"/>
          </w:tcPr>
          <w:p w14:paraId="01B7CB4C">
            <w:pPr>
              <w:pStyle w:val="17"/>
              <w:spacing w:before="178"/>
              <w:ind w:right="194"/>
              <w:jc w:val="right"/>
              <w:rPr>
                <w:sz w:val="21"/>
              </w:rPr>
            </w:pPr>
            <w:r>
              <w:rPr>
                <w:w w:val="99"/>
                <w:sz w:val="21"/>
              </w:rPr>
              <w:t>年</w:t>
            </w:r>
          </w:p>
        </w:tc>
        <w:tc>
          <w:tcPr>
            <w:tcW w:w="852" w:type="dxa"/>
          </w:tcPr>
          <w:p w14:paraId="23AC5AC3">
            <w:pPr>
              <w:pStyle w:val="17"/>
              <w:spacing w:before="192"/>
              <w:ind w:left="88" w:right="78"/>
              <w:rPr>
                <w:rFonts w:ascii="Times New Roman"/>
                <w:sz w:val="21"/>
              </w:rPr>
            </w:pPr>
            <w:r>
              <w:rPr>
                <w:rFonts w:ascii="Times New Roman"/>
                <w:sz w:val="21"/>
              </w:rPr>
              <w:t>0.06t</w:t>
            </w:r>
          </w:p>
        </w:tc>
        <w:tc>
          <w:tcPr>
            <w:tcW w:w="621" w:type="dxa"/>
            <w:tcBorders>
              <w:right w:val="nil"/>
            </w:tcBorders>
          </w:tcPr>
          <w:p w14:paraId="440BD981">
            <w:pPr>
              <w:pStyle w:val="17"/>
              <w:spacing w:before="178"/>
              <w:ind w:left="203"/>
              <w:jc w:val="left"/>
              <w:rPr>
                <w:sz w:val="21"/>
              </w:rPr>
            </w:pPr>
            <w:r>
              <w:rPr>
                <w:w w:val="99"/>
                <w:sz w:val="21"/>
              </w:rPr>
              <w:t>是</w:t>
            </w:r>
          </w:p>
        </w:tc>
      </w:tr>
    </w:tbl>
    <w:p w14:paraId="2F762211">
      <w:pPr>
        <w:pStyle w:val="10"/>
        <w:spacing w:before="1" w:line="364" w:lineRule="auto"/>
        <w:ind w:left="620" w:right="737" w:firstLine="482"/>
      </w:pPr>
      <w:r>
        <w:rPr>
          <w:spacing w:val="-9"/>
        </w:rPr>
        <w:t>根据上表可知，项目危废暂存间能满足全厂危险废物的贮存要求。危废间应按照《危险废物贮存污染控制标准》（</w:t>
      </w:r>
      <w:r>
        <w:rPr>
          <w:rFonts w:ascii="Times New Roman" w:eastAsia="Times New Roman"/>
          <w:spacing w:val="-9"/>
        </w:rPr>
        <w:t>GB18597-2023</w:t>
      </w:r>
      <w:r>
        <w:rPr>
          <w:spacing w:val="-9"/>
        </w:rPr>
        <w:t>）要求建设，项目投产后</w:t>
      </w:r>
      <w:r>
        <w:rPr>
          <w:spacing w:val="-14"/>
        </w:rPr>
        <w:t>应根据其危险性质进行分类存放，并由专业人员管理，禁止将其与非有毒有害固</w:t>
      </w:r>
      <w:r>
        <w:rPr>
          <w:spacing w:val="-15"/>
        </w:rPr>
        <w:t>体废物混杂堆放，危废间具有防扬散、防流失、防渗漏等措施，地面已进行防渗</w:t>
      </w:r>
      <w:r>
        <w:rPr>
          <w:spacing w:val="-13"/>
        </w:rPr>
        <w:t>防腐处理，暂存间设置有明显危废标志等。通过以上措施可有效防止项目固体废物因淋溶或泄漏而污染到土壤、地下水。</w:t>
      </w:r>
    </w:p>
    <w:p w14:paraId="76E6A2C2">
      <w:pPr>
        <w:pStyle w:val="10"/>
        <w:spacing w:line="304" w:lineRule="exact"/>
        <w:ind w:left="1100"/>
      </w:pPr>
      <w:r>
        <w:rPr>
          <w:rFonts w:ascii="Times New Roman" w:eastAsia="Times New Roman"/>
        </w:rPr>
        <w:t>4</w:t>
      </w:r>
      <w:r>
        <w:t>、固体废物综合利用、处理、处置的环境影响</w:t>
      </w:r>
    </w:p>
    <w:p w14:paraId="1F796C6F">
      <w:pPr>
        <w:pStyle w:val="10"/>
        <w:spacing w:before="161" w:line="364" w:lineRule="auto"/>
        <w:ind w:left="620" w:right="497" w:firstLine="480"/>
      </w:pPr>
      <w:r>
        <w:rPr>
          <w:spacing w:val="-7"/>
        </w:rPr>
        <w:t xml:space="preserve">项目危险废物废润滑油、含油废抹布手套和废活性炭、废过滤棉均收集暂存 </w:t>
      </w:r>
      <w:r>
        <w:rPr>
          <w:spacing w:val="-11"/>
        </w:rPr>
        <w:t>后委托具有相应危废类别的危险废物经营许可证单位进行处置；一般废包装材料、</w:t>
      </w:r>
      <w:r>
        <w:rPr>
          <w:spacing w:val="-12"/>
        </w:rPr>
        <w:t>造粒杂质、废滤网等外售至物资回收公司；收集除尘灰收集后回用于生产，边角 料、不合格品经破碎处理后回用于生产。</w:t>
      </w:r>
    </w:p>
    <w:p w14:paraId="495BA073">
      <w:pPr>
        <w:pStyle w:val="10"/>
        <w:spacing w:line="305" w:lineRule="exact"/>
        <w:ind w:left="1100"/>
      </w:pPr>
      <w:r>
        <w:t>项目生活垃圾由园区环卫部门集中收集处理。</w:t>
      </w:r>
    </w:p>
    <w:p w14:paraId="6D4312BF">
      <w:pPr>
        <w:pStyle w:val="10"/>
        <w:spacing w:before="158" w:line="364" w:lineRule="auto"/>
        <w:ind w:left="620" w:right="737" w:firstLine="480"/>
      </w:pPr>
      <w:r>
        <w:rPr>
          <w:spacing w:val="-9"/>
        </w:rPr>
        <w:t>综上所述，项目所产生的所有固体废物均完全处理处置，对周围环境不会产生二次污染。</w:t>
      </w:r>
    </w:p>
    <w:p w14:paraId="44D20A23">
      <w:pPr>
        <w:pStyle w:val="3"/>
        <w:numPr>
          <w:ilvl w:val="1"/>
          <w:numId w:val="22"/>
        </w:numPr>
        <w:tabs>
          <w:tab w:val="left" w:pos="1069"/>
        </w:tabs>
        <w:spacing w:before="119" w:after="0" w:line="240" w:lineRule="auto"/>
        <w:ind w:left="1068" w:right="0" w:hanging="448"/>
        <w:jc w:val="left"/>
        <w:rPr>
          <w:rFonts w:ascii="Times New Roman" w:eastAsia="Times New Roman"/>
        </w:rPr>
      </w:pPr>
      <w:bookmarkStart w:id="29" w:name="_TOC_250026"/>
      <w:bookmarkEnd w:id="29"/>
      <w:r>
        <w:t>环境风险评价</w:t>
      </w:r>
    </w:p>
    <w:p w14:paraId="1C23E070">
      <w:pPr>
        <w:spacing w:after="0" w:line="240" w:lineRule="auto"/>
        <w:jc w:val="left"/>
        <w:rPr>
          <w:rFonts w:ascii="Times New Roman" w:eastAsia="Times New Roman"/>
        </w:rPr>
        <w:sectPr>
          <w:pgSz w:w="11910" w:h="16840"/>
          <w:pgMar w:top="1580" w:right="1060" w:bottom="1380" w:left="1180" w:header="0" w:footer="1192" w:gutter="0"/>
          <w:cols w:space="720" w:num="1"/>
        </w:sectPr>
      </w:pPr>
    </w:p>
    <w:p w14:paraId="513ADE9F">
      <w:pPr>
        <w:pStyle w:val="10"/>
        <w:spacing w:before="43" w:line="364" w:lineRule="auto"/>
        <w:ind w:left="620" w:right="617" w:firstLine="480"/>
        <w:jc w:val="both"/>
      </w:pPr>
      <w:r>
        <w:rPr>
          <w:spacing w:val="-3"/>
        </w:rPr>
        <w:t>环境风险评价是以突发性事故导致的危险物质环境急性损害防控为目标，对</w:t>
      </w:r>
      <w:r>
        <w:rPr>
          <w:spacing w:val="-8"/>
        </w:rPr>
        <w:t>建设项目的环境风险进行分析、预测和评估，提出环境风险预防、控制、减缓措</w:t>
      </w:r>
      <w:r>
        <w:rPr>
          <w:spacing w:val="-18"/>
        </w:rPr>
        <w:t>施，明确环境风险监控及应急建议要求，为建设项目环境风险防控提供科学依据。</w:t>
      </w:r>
    </w:p>
    <w:p w14:paraId="6F4A9AB6">
      <w:pPr>
        <w:pStyle w:val="10"/>
        <w:spacing w:before="78" w:line="364" w:lineRule="auto"/>
        <w:ind w:left="620" w:right="737" w:firstLine="480"/>
        <w:jc w:val="both"/>
      </w:pPr>
      <w:r>
        <w:rPr>
          <w:spacing w:val="-6"/>
        </w:rPr>
        <w:t>根据《建设项目环境风险评价技术导则》</w:t>
      </w:r>
      <w:r>
        <w:rPr>
          <w:rFonts w:ascii="Times New Roman" w:eastAsia="Times New Roman"/>
        </w:rPr>
        <w:t xml:space="preserve">(HJ </w:t>
      </w:r>
      <w:r>
        <w:rPr>
          <w:rFonts w:ascii="Times New Roman" w:eastAsia="Times New Roman"/>
          <w:spacing w:val="-3"/>
        </w:rPr>
        <w:t>169-2018)</w:t>
      </w:r>
      <w:r>
        <w:rPr>
          <w:spacing w:val="-2"/>
        </w:rPr>
        <w:t>，环境风险评价基本</w:t>
      </w:r>
      <w:r>
        <w:rPr>
          <w:spacing w:val="-9"/>
        </w:rPr>
        <w:t>内容包括风险调查、环境风险潜势初判、风险识别、风险事故情形分析、风险预测与评价、环境风险管理等。</w:t>
      </w:r>
    </w:p>
    <w:p w14:paraId="64A21B06">
      <w:pPr>
        <w:pStyle w:val="16"/>
        <w:numPr>
          <w:ilvl w:val="2"/>
          <w:numId w:val="23"/>
        </w:numPr>
        <w:tabs>
          <w:tab w:val="left" w:pos="1295"/>
        </w:tabs>
        <w:spacing w:before="60" w:after="0" w:line="240" w:lineRule="auto"/>
        <w:ind w:left="1294" w:right="0" w:hanging="674"/>
        <w:jc w:val="left"/>
        <w:rPr>
          <w:b/>
          <w:sz w:val="30"/>
        </w:rPr>
      </w:pPr>
      <w:r>
        <w:rPr>
          <w:b/>
          <w:sz w:val="30"/>
        </w:rPr>
        <w:t>风险调查</w:t>
      </w:r>
    </w:p>
    <w:p w14:paraId="2B46684B">
      <w:pPr>
        <w:pStyle w:val="9"/>
        <w:numPr>
          <w:ilvl w:val="3"/>
          <w:numId w:val="23"/>
        </w:numPr>
        <w:tabs>
          <w:tab w:val="left" w:pos="1340"/>
        </w:tabs>
        <w:spacing w:before="220" w:after="0" w:line="240" w:lineRule="auto"/>
        <w:ind w:left="1340" w:right="0" w:hanging="720"/>
        <w:jc w:val="left"/>
      </w:pPr>
      <w:r>
        <w:t>项目风险源调查</w:t>
      </w:r>
    </w:p>
    <w:p w14:paraId="18E2BA45">
      <w:pPr>
        <w:pStyle w:val="10"/>
        <w:spacing w:before="81" w:line="364" w:lineRule="auto"/>
        <w:ind w:left="620" w:right="617" w:firstLine="480"/>
      </w:pPr>
      <w:r>
        <w:rPr>
          <w:spacing w:val="-7"/>
        </w:rPr>
        <w:t>根据工程分析，对照《建设项目环境风险评价技术导则》</w:t>
      </w:r>
      <w:r>
        <w:t>（</w:t>
      </w:r>
      <w:r>
        <w:rPr>
          <w:rFonts w:ascii="Times New Roman" w:eastAsia="Times New Roman"/>
        </w:rPr>
        <w:t>HJ169-2018</w:t>
      </w:r>
      <w:r>
        <w:t>）附</w:t>
      </w:r>
      <w:r>
        <w:rPr>
          <w:spacing w:val="-30"/>
        </w:rPr>
        <w:t xml:space="preserve">录 </w:t>
      </w:r>
      <w:r>
        <w:rPr>
          <w:rFonts w:ascii="Times New Roman" w:eastAsia="Times New Roman"/>
          <w:spacing w:val="-26"/>
        </w:rPr>
        <w:t>B</w:t>
      </w:r>
      <w:r>
        <w:rPr>
          <w:spacing w:val="-13"/>
        </w:rPr>
        <w:t xml:space="preserve">，筛选本项目的风险物质，本项目涉及的原料无毒，不属于剧毒、有毒物质， </w:t>
      </w:r>
      <w:r>
        <w:rPr>
          <w:spacing w:val="-16"/>
        </w:rPr>
        <w:t>本项目风险物质主要为在生产过程中产生的危险废物废润滑油、含油废抹布手套和废活性炭，工艺废气挥发性有机物，各物质储存数量和分布情况见下表。</w:t>
      </w:r>
    </w:p>
    <w:p w14:paraId="30B2B15A">
      <w:pPr>
        <w:pStyle w:val="9"/>
        <w:spacing w:before="0"/>
        <w:ind w:left="2383"/>
      </w:pPr>
      <w:r>
        <w:t xml:space="preserve">表 </w:t>
      </w:r>
      <w:r>
        <w:rPr>
          <w:rFonts w:ascii="Times New Roman" w:eastAsia="Times New Roman"/>
        </w:rPr>
        <w:t xml:space="preserve">4.6-1 </w:t>
      </w:r>
      <w:r>
        <w:t>项目风险物质数量及分布情况一览表</w:t>
      </w:r>
    </w:p>
    <w:p w14:paraId="5B3CF954">
      <w:pPr>
        <w:pStyle w:val="10"/>
        <w:spacing w:before="3" w:after="1"/>
        <w:rPr>
          <w:b/>
          <w:sz w:val="12"/>
        </w:rPr>
      </w:pPr>
    </w:p>
    <w:tbl>
      <w:tblPr>
        <w:tblStyle w:val="13"/>
        <w:tblW w:w="0" w:type="auto"/>
        <w:tblInd w:w="5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2090"/>
        <w:gridCol w:w="2115"/>
        <w:gridCol w:w="3060"/>
      </w:tblGrid>
      <w:tr w14:paraId="0105F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1092" w:type="dxa"/>
            <w:tcBorders>
              <w:left w:val="nil"/>
            </w:tcBorders>
          </w:tcPr>
          <w:p w14:paraId="647D5D05">
            <w:pPr>
              <w:pStyle w:val="17"/>
              <w:spacing w:before="62"/>
              <w:ind w:left="318" w:right="308"/>
              <w:rPr>
                <w:sz w:val="21"/>
              </w:rPr>
            </w:pPr>
            <w:r>
              <w:rPr>
                <w:sz w:val="21"/>
              </w:rPr>
              <w:t>序号</w:t>
            </w:r>
          </w:p>
        </w:tc>
        <w:tc>
          <w:tcPr>
            <w:tcW w:w="4205" w:type="dxa"/>
            <w:gridSpan w:val="2"/>
          </w:tcPr>
          <w:p w14:paraId="734BB195">
            <w:pPr>
              <w:pStyle w:val="17"/>
              <w:spacing w:before="62"/>
              <w:ind w:left="1660" w:right="1655"/>
              <w:rPr>
                <w:sz w:val="21"/>
              </w:rPr>
            </w:pPr>
            <w:r>
              <w:rPr>
                <w:sz w:val="21"/>
              </w:rPr>
              <w:t>风险物质</w:t>
            </w:r>
          </w:p>
        </w:tc>
        <w:tc>
          <w:tcPr>
            <w:tcW w:w="3060" w:type="dxa"/>
            <w:tcBorders>
              <w:right w:val="nil"/>
            </w:tcBorders>
          </w:tcPr>
          <w:p w14:paraId="677BF301">
            <w:pPr>
              <w:pStyle w:val="17"/>
              <w:spacing w:before="62"/>
              <w:ind w:left="400" w:right="398"/>
              <w:rPr>
                <w:sz w:val="21"/>
              </w:rPr>
            </w:pPr>
            <w:r>
              <w:rPr>
                <w:sz w:val="21"/>
              </w:rPr>
              <w:t>最大储存量</w:t>
            </w:r>
            <w:r>
              <w:rPr>
                <w:rFonts w:ascii="Times New Roman" w:eastAsia="Times New Roman"/>
                <w:sz w:val="21"/>
              </w:rPr>
              <w:t>/</w:t>
            </w:r>
            <w:r>
              <w:rPr>
                <w:sz w:val="21"/>
              </w:rPr>
              <w:t>在线量（</w:t>
            </w:r>
            <w:r>
              <w:rPr>
                <w:rFonts w:ascii="Times New Roman" w:eastAsia="Times New Roman"/>
                <w:sz w:val="21"/>
              </w:rPr>
              <w:t>t</w:t>
            </w:r>
            <w:r>
              <w:rPr>
                <w:sz w:val="21"/>
              </w:rPr>
              <w:t>）</w:t>
            </w:r>
          </w:p>
        </w:tc>
      </w:tr>
      <w:tr w14:paraId="7F3DE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537A9D08">
            <w:pPr>
              <w:pStyle w:val="17"/>
              <w:spacing w:before="65"/>
              <w:ind w:left="14"/>
              <w:rPr>
                <w:rFonts w:ascii="Times New Roman"/>
                <w:sz w:val="21"/>
              </w:rPr>
            </w:pPr>
            <w:r>
              <w:rPr>
                <w:rFonts w:ascii="Times New Roman"/>
                <w:w w:val="99"/>
                <w:sz w:val="21"/>
              </w:rPr>
              <w:t>1</w:t>
            </w:r>
          </w:p>
        </w:tc>
        <w:tc>
          <w:tcPr>
            <w:tcW w:w="2090" w:type="dxa"/>
            <w:vMerge w:val="restart"/>
          </w:tcPr>
          <w:p w14:paraId="1950C177">
            <w:pPr>
              <w:pStyle w:val="17"/>
              <w:jc w:val="left"/>
              <w:rPr>
                <w:b/>
                <w:sz w:val="20"/>
              </w:rPr>
            </w:pPr>
          </w:p>
          <w:p w14:paraId="4802610F">
            <w:pPr>
              <w:pStyle w:val="17"/>
              <w:spacing w:before="5"/>
              <w:jc w:val="left"/>
              <w:rPr>
                <w:b/>
                <w:sz w:val="28"/>
              </w:rPr>
            </w:pPr>
          </w:p>
          <w:p w14:paraId="782D83A7">
            <w:pPr>
              <w:pStyle w:val="17"/>
              <w:ind w:left="625"/>
              <w:jc w:val="left"/>
              <w:rPr>
                <w:sz w:val="21"/>
              </w:rPr>
            </w:pPr>
            <w:r>
              <w:rPr>
                <w:sz w:val="21"/>
              </w:rPr>
              <w:t>危险废物</w:t>
            </w:r>
          </w:p>
        </w:tc>
        <w:tc>
          <w:tcPr>
            <w:tcW w:w="2115" w:type="dxa"/>
          </w:tcPr>
          <w:p w14:paraId="32A21FAD">
            <w:pPr>
              <w:pStyle w:val="17"/>
              <w:spacing w:before="48"/>
              <w:ind w:left="300" w:right="292"/>
              <w:rPr>
                <w:sz w:val="21"/>
              </w:rPr>
            </w:pPr>
            <w:r>
              <w:rPr>
                <w:sz w:val="21"/>
              </w:rPr>
              <w:t>废润滑油</w:t>
            </w:r>
          </w:p>
        </w:tc>
        <w:tc>
          <w:tcPr>
            <w:tcW w:w="3060" w:type="dxa"/>
            <w:tcBorders>
              <w:right w:val="nil"/>
            </w:tcBorders>
          </w:tcPr>
          <w:p w14:paraId="15214B7F">
            <w:pPr>
              <w:pStyle w:val="17"/>
              <w:spacing w:before="65"/>
              <w:ind w:left="400" w:right="397"/>
              <w:rPr>
                <w:rFonts w:ascii="Times New Roman"/>
                <w:sz w:val="21"/>
              </w:rPr>
            </w:pPr>
            <w:r>
              <w:rPr>
                <w:rFonts w:ascii="Times New Roman"/>
                <w:sz w:val="21"/>
              </w:rPr>
              <w:t>0.01</w:t>
            </w:r>
          </w:p>
        </w:tc>
      </w:tr>
      <w:tr w14:paraId="33C8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0FFE4FA8">
            <w:pPr>
              <w:pStyle w:val="17"/>
              <w:spacing w:before="64"/>
              <w:ind w:left="14"/>
              <w:rPr>
                <w:rFonts w:ascii="Times New Roman"/>
                <w:sz w:val="21"/>
              </w:rPr>
            </w:pPr>
            <w:r>
              <w:rPr>
                <w:rFonts w:ascii="Times New Roman"/>
                <w:w w:val="99"/>
                <w:sz w:val="21"/>
              </w:rPr>
              <w:t>2</w:t>
            </w:r>
          </w:p>
        </w:tc>
        <w:tc>
          <w:tcPr>
            <w:tcW w:w="2090" w:type="dxa"/>
            <w:vMerge w:val="continue"/>
            <w:tcBorders>
              <w:top w:val="nil"/>
            </w:tcBorders>
          </w:tcPr>
          <w:p w14:paraId="5339027B">
            <w:pPr>
              <w:rPr>
                <w:sz w:val="2"/>
                <w:szCs w:val="2"/>
              </w:rPr>
            </w:pPr>
          </w:p>
        </w:tc>
        <w:tc>
          <w:tcPr>
            <w:tcW w:w="2115" w:type="dxa"/>
          </w:tcPr>
          <w:p w14:paraId="76B4CF8E">
            <w:pPr>
              <w:pStyle w:val="17"/>
              <w:spacing w:before="48"/>
              <w:ind w:left="300" w:right="295"/>
              <w:rPr>
                <w:sz w:val="21"/>
              </w:rPr>
            </w:pPr>
            <w:r>
              <w:rPr>
                <w:sz w:val="21"/>
              </w:rPr>
              <w:t>含油废抹布手套</w:t>
            </w:r>
          </w:p>
        </w:tc>
        <w:tc>
          <w:tcPr>
            <w:tcW w:w="3060" w:type="dxa"/>
            <w:tcBorders>
              <w:right w:val="nil"/>
            </w:tcBorders>
          </w:tcPr>
          <w:p w14:paraId="0FFAFB82">
            <w:pPr>
              <w:pStyle w:val="17"/>
              <w:spacing w:before="64"/>
              <w:ind w:left="400" w:right="397"/>
              <w:rPr>
                <w:rFonts w:ascii="Times New Roman"/>
                <w:sz w:val="21"/>
              </w:rPr>
            </w:pPr>
            <w:r>
              <w:rPr>
                <w:rFonts w:ascii="Times New Roman"/>
                <w:sz w:val="21"/>
              </w:rPr>
              <w:t>0.01</w:t>
            </w:r>
          </w:p>
        </w:tc>
      </w:tr>
      <w:tr w14:paraId="4C4A3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2EA8F38B">
            <w:pPr>
              <w:pStyle w:val="17"/>
              <w:spacing w:before="63"/>
              <w:ind w:left="14"/>
              <w:rPr>
                <w:rFonts w:ascii="Times New Roman"/>
                <w:sz w:val="21"/>
              </w:rPr>
            </w:pPr>
            <w:r>
              <w:rPr>
                <w:rFonts w:ascii="Times New Roman"/>
                <w:w w:val="99"/>
                <w:sz w:val="21"/>
              </w:rPr>
              <w:t>3</w:t>
            </w:r>
          </w:p>
        </w:tc>
        <w:tc>
          <w:tcPr>
            <w:tcW w:w="2090" w:type="dxa"/>
            <w:vMerge w:val="continue"/>
            <w:tcBorders>
              <w:top w:val="nil"/>
            </w:tcBorders>
          </w:tcPr>
          <w:p w14:paraId="447D6971">
            <w:pPr>
              <w:rPr>
                <w:sz w:val="2"/>
                <w:szCs w:val="2"/>
              </w:rPr>
            </w:pPr>
          </w:p>
        </w:tc>
        <w:tc>
          <w:tcPr>
            <w:tcW w:w="2115" w:type="dxa"/>
          </w:tcPr>
          <w:p w14:paraId="7FE307B1">
            <w:pPr>
              <w:pStyle w:val="17"/>
              <w:spacing w:before="49"/>
              <w:ind w:left="300" w:right="292"/>
              <w:rPr>
                <w:sz w:val="21"/>
              </w:rPr>
            </w:pPr>
            <w:r>
              <w:rPr>
                <w:sz w:val="21"/>
              </w:rPr>
              <w:t>废活性炭</w:t>
            </w:r>
          </w:p>
        </w:tc>
        <w:tc>
          <w:tcPr>
            <w:tcW w:w="3060" w:type="dxa"/>
            <w:tcBorders>
              <w:right w:val="nil"/>
            </w:tcBorders>
          </w:tcPr>
          <w:p w14:paraId="2B0BDFF8">
            <w:pPr>
              <w:pStyle w:val="17"/>
              <w:spacing w:before="63"/>
              <w:ind w:left="400" w:right="397"/>
              <w:rPr>
                <w:rFonts w:ascii="Times New Roman"/>
                <w:sz w:val="21"/>
              </w:rPr>
            </w:pPr>
            <w:r>
              <w:rPr>
                <w:rFonts w:ascii="Times New Roman"/>
                <w:sz w:val="21"/>
              </w:rPr>
              <w:t>17</w:t>
            </w:r>
          </w:p>
        </w:tc>
      </w:tr>
      <w:tr w14:paraId="3D8A7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7F20D6B8">
            <w:pPr>
              <w:pStyle w:val="17"/>
              <w:spacing w:before="65"/>
              <w:ind w:left="14"/>
              <w:rPr>
                <w:rFonts w:ascii="Times New Roman"/>
                <w:sz w:val="21"/>
              </w:rPr>
            </w:pPr>
            <w:r>
              <w:rPr>
                <w:rFonts w:ascii="Times New Roman"/>
                <w:w w:val="99"/>
                <w:sz w:val="21"/>
              </w:rPr>
              <w:t>4</w:t>
            </w:r>
          </w:p>
        </w:tc>
        <w:tc>
          <w:tcPr>
            <w:tcW w:w="2090" w:type="dxa"/>
            <w:vMerge w:val="continue"/>
            <w:tcBorders>
              <w:top w:val="nil"/>
            </w:tcBorders>
          </w:tcPr>
          <w:p w14:paraId="302D56DD">
            <w:pPr>
              <w:rPr>
                <w:sz w:val="2"/>
                <w:szCs w:val="2"/>
              </w:rPr>
            </w:pPr>
          </w:p>
        </w:tc>
        <w:tc>
          <w:tcPr>
            <w:tcW w:w="2115" w:type="dxa"/>
          </w:tcPr>
          <w:p w14:paraId="04D63E36">
            <w:pPr>
              <w:pStyle w:val="17"/>
              <w:spacing w:before="48"/>
              <w:ind w:left="300" w:right="292"/>
              <w:rPr>
                <w:sz w:val="21"/>
              </w:rPr>
            </w:pPr>
            <w:r>
              <w:rPr>
                <w:sz w:val="21"/>
              </w:rPr>
              <w:t>废过滤棉</w:t>
            </w:r>
          </w:p>
        </w:tc>
        <w:tc>
          <w:tcPr>
            <w:tcW w:w="3060" w:type="dxa"/>
            <w:tcBorders>
              <w:right w:val="nil"/>
            </w:tcBorders>
          </w:tcPr>
          <w:p w14:paraId="0B3B2CEC">
            <w:pPr>
              <w:pStyle w:val="17"/>
              <w:spacing w:before="65"/>
              <w:ind w:left="400" w:right="397"/>
              <w:rPr>
                <w:rFonts w:ascii="Times New Roman"/>
                <w:sz w:val="21"/>
              </w:rPr>
            </w:pPr>
            <w:r>
              <w:rPr>
                <w:rFonts w:ascii="Times New Roman"/>
                <w:sz w:val="21"/>
              </w:rPr>
              <w:t>0.06</w:t>
            </w:r>
          </w:p>
        </w:tc>
      </w:tr>
      <w:tr w14:paraId="20633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92" w:type="dxa"/>
            <w:tcBorders>
              <w:left w:val="nil"/>
            </w:tcBorders>
          </w:tcPr>
          <w:p w14:paraId="6F639773">
            <w:pPr>
              <w:pStyle w:val="17"/>
              <w:spacing w:before="64"/>
              <w:ind w:left="14"/>
              <w:rPr>
                <w:rFonts w:ascii="Times New Roman"/>
                <w:sz w:val="21"/>
              </w:rPr>
            </w:pPr>
            <w:r>
              <w:rPr>
                <w:rFonts w:ascii="Times New Roman"/>
                <w:w w:val="99"/>
                <w:sz w:val="21"/>
              </w:rPr>
              <w:t>5</w:t>
            </w:r>
          </w:p>
        </w:tc>
        <w:tc>
          <w:tcPr>
            <w:tcW w:w="2090" w:type="dxa"/>
          </w:tcPr>
          <w:p w14:paraId="207F52D7">
            <w:pPr>
              <w:pStyle w:val="17"/>
              <w:spacing w:before="48"/>
              <w:ind w:left="625"/>
              <w:jc w:val="left"/>
              <w:rPr>
                <w:sz w:val="21"/>
              </w:rPr>
            </w:pPr>
            <w:r>
              <w:rPr>
                <w:sz w:val="21"/>
              </w:rPr>
              <w:t>工艺废气</w:t>
            </w:r>
          </w:p>
        </w:tc>
        <w:tc>
          <w:tcPr>
            <w:tcW w:w="2115" w:type="dxa"/>
          </w:tcPr>
          <w:p w14:paraId="6ABBAC29">
            <w:pPr>
              <w:pStyle w:val="17"/>
              <w:spacing w:before="48"/>
              <w:ind w:left="300" w:right="295"/>
              <w:rPr>
                <w:sz w:val="21"/>
              </w:rPr>
            </w:pPr>
            <w:r>
              <w:rPr>
                <w:sz w:val="21"/>
              </w:rPr>
              <w:t>挥发性有机物</w:t>
            </w:r>
          </w:p>
        </w:tc>
        <w:tc>
          <w:tcPr>
            <w:tcW w:w="3060" w:type="dxa"/>
            <w:tcBorders>
              <w:right w:val="nil"/>
            </w:tcBorders>
          </w:tcPr>
          <w:p w14:paraId="6C55F87A">
            <w:pPr>
              <w:pStyle w:val="17"/>
              <w:spacing w:before="48"/>
              <w:ind w:left="400" w:right="398"/>
              <w:rPr>
                <w:sz w:val="21"/>
              </w:rPr>
            </w:pPr>
            <w:r>
              <w:rPr>
                <w:rFonts w:ascii="Times New Roman" w:eastAsia="Times New Roman"/>
                <w:sz w:val="21"/>
              </w:rPr>
              <w:t>0.003141</w:t>
            </w:r>
            <w:r>
              <w:rPr>
                <w:sz w:val="21"/>
              </w:rPr>
              <w:t>（在线量）</w:t>
            </w:r>
          </w:p>
        </w:tc>
      </w:tr>
    </w:tbl>
    <w:p w14:paraId="1AB94190">
      <w:pPr>
        <w:pStyle w:val="9"/>
        <w:numPr>
          <w:ilvl w:val="3"/>
          <w:numId w:val="23"/>
        </w:numPr>
        <w:tabs>
          <w:tab w:val="left" w:pos="1340"/>
        </w:tabs>
        <w:spacing w:before="82" w:after="0" w:line="240" w:lineRule="auto"/>
        <w:ind w:left="1340" w:right="0" w:hanging="720"/>
        <w:jc w:val="left"/>
      </w:pPr>
      <w:r>
        <w:t>环境风险敏感目标调查</w:t>
      </w:r>
    </w:p>
    <w:p w14:paraId="53B24807">
      <w:pPr>
        <w:pStyle w:val="10"/>
        <w:spacing w:before="160" w:line="364" w:lineRule="auto"/>
        <w:ind w:left="620" w:right="749" w:firstLine="504"/>
      </w:pPr>
      <w:r>
        <w:t>本项目环境风险评价等级为简单分析，可不设环境风险评价范围及环境风险保护目标。</w:t>
      </w:r>
    </w:p>
    <w:p w14:paraId="3F5A9812">
      <w:pPr>
        <w:pStyle w:val="16"/>
        <w:numPr>
          <w:ilvl w:val="2"/>
          <w:numId w:val="24"/>
        </w:numPr>
        <w:tabs>
          <w:tab w:val="left" w:pos="1249"/>
        </w:tabs>
        <w:spacing w:before="53" w:after="0" w:line="240" w:lineRule="auto"/>
        <w:ind w:left="1248" w:right="0" w:hanging="628"/>
        <w:jc w:val="left"/>
        <w:rPr>
          <w:rFonts w:ascii="Times New Roman" w:eastAsia="Times New Roman"/>
          <w:b/>
          <w:sz w:val="28"/>
        </w:rPr>
      </w:pPr>
      <w:r>
        <w:rPr>
          <w:b/>
          <w:sz w:val="28"/>
        </w:rPr>
        <w:t>环境风险潜势初判和评价等级</w:t>
      </w:r>
    </w:p>
    <w:p w14:paraId="3B38E131">
      <w:pPr>
        <w:pStyle w:val="10"/>
        <w:spacing w:before="135" w:line="362" w:lineRule="auto"/>
        <w:ind w:left="620" w:right="737" w:firstLine="480"/>
      </w:pPr>
      <w:r>
        <w:t>根据《建设项目环境风险评价导则》（</w:t>
      </w:r>
      <w:r>
        <w:rPr>
          <w:rFonts w:ascii="Times New Roman" w:eastAsia="Times New Roman"/>
        </w:rPr>
        <w:t>HJ 169-2018</w:t>
      </w:r>
      <w:r>
        <w:t xml:space="preserve">）附录 </w:t>
      </w:r>
      <w:r>
        <w:rPr>
          <w:rFonts w:ascii="Times New Roman" w:eastAsia="Times New Roman"/>
        </w:rPr>
        <w:t>C</w:t>
      </w:r>
      <w:r>
        <w:t xml:space="preserve">，计算本项目所涉及的危险物质最大存在总量与其在附录 </w:t>
      </w:r>
      <w:r>
        <w:rPr>
          <w:rFonts w:ascii="Times New Roman" w:eastAsia="Times New Roman"/>
        </w:rPr>
        <w:t xml:space="preserve">B </w:t>
      </w:r>
      <w:r>
        <w:t xml:space="preserve">中对应临界量的比值 </w:t>
      </w:r>
      <w:r>
        <w:rPr>
          <w:rFonts w:ascii="Times New Roman" w:eastAsia="Times New Roman"/>
        </w:rPr>
        <w:t>Q</w:t>
      </w:r>
      <w:r>
        <w:t>。</w:t>
      </w:r>
    </w:p>
    <w:p w14:paraId="1297624C">
      <w:pPr>
        <w:pStyle w:val="10"/>
        <w:spacing w:before="2" w:line="364" w:lineRule="auto"/>
        <w:ind w:left="1100" w:right="823"/>
      </w:pPr>
      <w:r>
        <w:t xml:space="preserve">当只涉及一种危险物质时，计算该物质的总量与其临界量比值，即为 </w:t>
      </w:r>
      <w:r>
        <w:rPr>
          <w:rFonts w:ascii="Times New Roman" w:eastAsia="Times New Roman"/>
        </w:rPr>
        <w:t>Q</w:t>
      </w:r>
      <w:r>
        <w:t>； 当存在多种危险物质时，则下式计算物质总量与其临界量比值（</w:t>
      </w:r>
      <w:r>
        <w:rPr>
          <w:rFonts w:ascii="Times New Roman" w:eastAsia="Times New Roman"/>
        </w:rPr>
        <w:t>Q</w:t>
      </w:r>
      <w:r>
        <w:t>）：</w:t>
      </w:r>
    </w:p>
    <w:p w14:paraId="2C189056">
      <w:pPr>
        <w:spacing w:before="0" w:line="302" w:lineRule="exact"/>
        <w:ind w:left="1100" w:right="1240" w:firstLine="0"/>
        <w:jc w:val="center"/>
        <w:rPr>
          <w:rFonts w:ascii="Cambria Math" w:hAnsi="Cambria Math" w:eastAsia="Cambria Math"/>
          <w:sz w:val="15"/>
        </w:rPr>
      </w:pPr>
      <w:r>
        <w:rPr>
          <w:rFonts w:ascii="Cambria Math" w:hAnsi="Cambria Math" w:eastAsia="Cambria Math"/>
          <w:sz w:val="21"/>
        </w:rPr>
        <w:t xml:space="preserve">Q =  </w:t>
      </w:r>
      <w:r>
        <w:rPr>
          <w:rFonts w:ascii="Cambria Math" w:hAnsi="Cambria Math" w:eastAsia="Cambria Math"/>
          <w:position w:val="16"/>
          <w:sz w:val="21"/>
        </w:rPr>
        <w:t>�</w:t>
      </w:r>
      <w:r>
        <w:rPr>
          <w:rFonts w:ascii="Cambria Math" w:hAnsi="Cambria Math" w:eastAsia="Cambria Math"/>
          <w:position w:val="11"/>
          <w:sz w:val="15"/>
        </w:rPr>
        <w:t xml:space="preserve">1  </w:t>
      </w:r>
      <w:r>
        <w:rPr>
          <w:rFonts w:ascii="Cambria Math" w:hAnsi="Cambria Math" w:eastAsia="Cambria Math"/>
          <w:sz w:val="21"/>
        </w:rPr>
        <w:t xml:space="preserve">+ </w:t>
      </w:r>
      <w:r>
        <w:rPr>
          <w:rFonts w:ascii="Cambria Math" w:hAnsi="Cambria Math" w:eastAsia="Cambria Math"/>
          <w:position w:val="16"/>
          <w:sz w:val="21"/>
        </w:rPr>
        <w:t>�</w:t>
      </w:r>
      <w:r>
        <w:rPr>
          <w:rFonts w:ascii="Cambria Math" w:hAnsi="Cambria Math" w:eastAsia="Cambria Math"/>
          <w:position w:val="11"/>
          <w:sz w:val="15"/>
        </w:rPr>
        <w:t xml:space="preserve">2  </w:t>
      </w:r>
      <w:r>
        <w:rPr>
          <w:rFonts w:ascii="Cambria Math" w:hAnsi="Cambria Math" w:eastAsia="Cambria Math"/>
          <w:sz w:val="21"/>
        </w:rPr>
        <w:t xml:space="preserve">+ … </w:t>
      </w:r>
      <w:r>
        <w:rPr>
          <w:rFonts w:ascii="Cambria Math" w:hAnsi="Cambria Math" w:eastAsia="Cambria Math"/>
          <w:position w:val="16"/>
          <w:sz w:val="21"/>
        </w:rPr>
        <w:t>�</w:t>
      </w:r>
      <w:r>
        <w:rPr>
          <w:rFonts w:ascii="Cambria Math" w:hAnsi="Cambria Math" w:eastAsia="Cambria Math"/>
          <w:position w:val="11"/>
          <w:sz w:val="15"/>
        </w:rPr>
        <w:t>�</w:t>
      </w:r>
    </w:p>
    <w:p w14:paraId="6C63E4FB">
      <w:pPr>
        <w:tabs>
          <w:tab w:val="left" w:pos="4757"/>
          <w:tab w:val="left" w:pos="5434"/>
        </w:tabs>
        <w:spacing w:line="20" w:lineRule="exact"/>
        <w:ind w:left="4273" w:right="0" w:firstLine="0"/>
        <w:rPr>
          <w:rFonts w:ascii="Cambria Math"/>
          <w:sz w:val="2"/>
        </w:rPr>
      </w:pPr>
      <w:r>
        <w:rPr>
          <w:rFonts w:ascii="Cambria Math"/>
          <w:sz w:val="2"/>
        </w:rPr>
        <w:pict>
          <v:group id="_x0000_s3135" o:spid="_x0000_s3135" o:spt="203" style="height:0.7pt;width:11.65pt;" coordsize="233,14">
            <o:lock v:ext="edit"/>
            <v:line id="_x0000_s3136" o:spid="_x0000_s3136" o:spt="20" style="position:absolute;left:0;top:7;height:0;width:233;" stroked="t" coordsize="21600,21600">
              <v:path arrowok="t"/>
              <v:fill focussize="0,0"/>
              <v:stroke weight="0.692992125984252pt" color="#000000"/>
              <v:imagedata o:title=""/>
              <o:lock v:ext="edit"/>
            </v:line>
            <w10:wrap type="none"/>
            <w10:anchorlock/>
          </v:group>
        </w:pict>
      </w:r>
      <w:r>
        <w:rPr>
          <w:rFonts w:ascii="Cambria Math"/>
          <w:sz w:val="2"/>
        </w:rPr>
        <w:tab/>
      </w:r>
      <w:r>
        <w:rPr>
          <w:rFonts w:ascii="Cambria Math"/>
          <w:sz w:val="2"/>
        </w:rPr>
        <w:pict>
          <v:group id="_x0000_s3137" o:spid="_x0000_s3137" o:spt="203" style="height:0.7pt;width:11.65pt;" coordsize="233,14">
            <o:lock v:ext="edit"/>
            <v:line id="_x0000_s3138" o:spid="_x0000_s3138" o:spt="20" style="position:absolute;left:0;top:7;height:0;width:233;" stroked="t" coordsize="21600,21600">
              <v:path arrowok="t"/>
              <v:fill focussize="0,0"/>
              <v:stroke weight="0.692992125984252pt" color="#000000"/>
              <v:imagedata o:title=""/>
              <o:lock v:ext="edit"/>
            </v:line>
            <w10:wrap type="none"/>
            <w10:anchorlock/>
          </v:group>
        </w:pict>
      </w:r>
      <w:r>
        <w:rPr>
          <w:rFonts w:ascii="Cambria Math"/>
          <w:sz w:val="2"/>
        </w:rPr>
        <w:tab/>
      </w:r>
      <w:r>
        <w:rPr>
          <w:rFonts w:ascii="Cambria Math"/>
          <w:sz w:val="2"/>
        </w:rPr>
        <w:pict>
          <v:group id="_x0000_s3139" o:spid="_x0000_s3139" o:spt="203" style="height:0.7pt;width:11.8pt;" coordsize="236,14">
            <o:lock v:ext="edit"/>
            <v:line id="_x0000_s3140" o:spid="_x0000_s3140" o:spt="20" style="position:absolute;left:0;top:7;height:0;width:235;" stroked="t" coordsize="21600,21600">
              <v:path arrowok="t"/>
              <v:fill focussize="0,0"/>
              <v:stroke weight="0.692992125984252pt" color="#000000"/>
              <v:imagedata o:title=""/>
              <o:lock v:ext="edit"/>
            </v:line>
            <w10:wrap type="none"/>
            <w10:anchorlock/>
          </v:group>
        </w:pict>
      </w:r>
    </w:p>
    <w:p w14:paraId="285C7762">
      <w:pPr>
        <w:spacing w:after="0" w:line="20" w:lineRule="exact"/>
        <w:rPr>
          <w:rFonts w:ascii="Cambria Math"/>
          <w:sz w:val="2"/>
        </w:rPr>
        <w:sectPr>
          <w:pgSz w:w="11910" w:h="16840"/>
          <w:pgMar w:top="1380" w:right="1060" w:bottom="1380" w:left="1180" w:header="0" w:footer="1192" w:gutter="0"/>
          <w:cols w:space="720" w:num="1"/>
        </w:sectPr>
      </w:pPr>
    </w:p>
    <w:p w14:paraId="1E88B8F6">
      <w:pPr>
        <w:pStyle w:val="10"/>
        <w:spacing w:before="7"/>
        <w:rPr>
          <w:rFonts w:ascii="Cambria Math"/>
          <w:sz w:val="27"/>
        </w:rPr>
      </w:pPr>
    </w:p>
    <w:p w14:paraId="56FCF2D6">
      <w:pPr>
        <w:pStyle w:val="10"/>
        <w:ind w:left="1100"/>
      </w:pPr>
      <w:r>
        <w:t>式中：</w:t>
      </w:r>
    </w:p>
    <w:p w14:paraId="26003297">
      <w:pPr>
        <w:tabs>
          <w:tab w:val="left" w:pos="1582"/>
          <w:tab w:val="left" w:pos="2259"/>
        </w:tabs>
        <w:spacing w:before="0" w:line="272" w:lineRule="exact"/>
        <w:ind w:left="1100" w:right="0" w:firstLine="0"/>
        <w:jc w:val="left"/>
        <w:rPr>
          <w:rFonts w:ascii="Cambria Math" w:eastAsia="Cambria Math"/>
          <w:sz w:val="15"/>
        </w:rPr>
      </w:pPr>
      <w:r>
        <w:br w:type="column"/>
      </w:r>
      <w:r>
        <w:rPr>
          <w:rFonts w:ascii="Cambria Math" w:eastAsia="Cambria Math"/>
          <w:sz w:val="21"/>
        </w:rPr>
        <w:t>�</w:t>
      </w:r>
      <w:r>
        <w:rPr>
          <w:rFonts w:ascii="Cambria Math" w:eastAsia="Cambria Math"/>
          <w:position w:val="-3"/>
          <w:sz w:val="15"/>
        </w:rPr>
        <w:t>1</w:t>
      </w:r>
      <w:r>
        <w:rPr>
          <w:rFonts w:ascii="Cambria Math" w:eastAsia="Cambria Math"/>
          <w:position w:val="-3"/>
          <w:sz w:val="15"/>
        </w:rPr>
        <w:tab/>
      </w:r>
      <w:r>
        <w:rPr>
          <w:rFonts w:ascii="Cambria Math" w:eastAsia="Cambria Math"/>
          <w:sz w:val="21"/>
        </w:rPr>
        <w:t>�</w:t>
      </w:r>
      <w:r>
        <w:rPr>
          <w:rFonts w:ascii="Cambria Math" w:eastAsia="Cambria Math"/>
          <w:position w:val="-3"/>
          <w:sz w:val="15"/>
        </w:rPr>
        <w:t>2</w:t>
      </w:r>
      <w:r>
        <w:rPr>
          <w:rFonts w:ascii="Cambria Math" w:eastAsia="Cambria Math"/>
          <w:position w:val="-3"/>
          <w:sz w:val="15"/>
        </w:rPr>
        <w:tab/>
      </w:r>
      <w:r>
        <w:rPr>
          <w:rFonts w:ascii="Cambria Math" w:eastAsia="Cambria Math"/>
          <w:sz w:val="21"/>
        </w:rPr>
        <w:t>�</w:t>
      </w:r>
      <w:r>
        <w:rPr>
          <w:rFonts w:ascii="Cambria Math" w:eastAsia="Cambria Math"/>
          <w:position w:val="-3"/>
          <w:sz w:val="15"/>
        </w:rPr>
        <w:t>�</w:t>
      </w:r>
    </w:p>
    <w:p w14:paraId="52C60DFD">
      <w:pPr>
        <w:spacing w:after="0" w:line="272" w:lineRule="exact"/>
        <w:jc w:val="left"/>
        <w:rPr>
          <w:rFonts w:ascii="Cambria Math" w:eastAsia="Cambria Math"/>
          <w:sz w:val="15"/>
        </w:rPr>
        <w:sectPr>
          <w:type w:val="continuous"/>
          <w:pgSz w:w="11910" w:h="16840"/>
          <w:pgMar w:top="1600" w:right="1060" w:bottom="280" w:left="1180" w:header="720" w:footer="720" w:gutter="0"/>
          <w:cols w:equalWidth="0" w:num="2">
            <w:col w:w="1861" w:space="1319"/>
            <w:col w:w="6490"/>
          </w:cols>
        </w:sectPr>
      </w:pPr>
    </w:p>
    <w:p w14:paraId="64D6853C">
      <w:pPr>
        <w:pStyle w:val="10"/>
        <w:spacing w:before="158"/>
        <w:ind w:left="1100"/>
      </w:pPr>
      <w:r>
        <w:rPr>
          <w:rFonts w:ascii="Times New Roman" w:hAnsi="Times New Roman" w:eastAsia="Times New Roman"/>
        </w:rPr>
        <w:t>q</w:t>
      </w:r>
      <w:r>
        <w:rPr>
          <w:rFonts w:ascii="Times New Roman" w:hAnsi="Times New Roman" w:eastAsia="Times New Roman"/>
          <w:vertAlign w:val="subscript"/>
        </w:rPr>
        <w:t>1</w:t>
      </w:r>
      <w:r>
        <w:rPr>
          <w:vertAlign w:val="baseline"/>
        </w:rPr>
        <w:t>，</w:t>
      </w:r>
      <w:r>
        <w:rPr>
          <w:rFonts w:ascii="Times New Roman" w:hAnsi="Times New Roman" w:eastAsia="Times New Roman"/>
          <w:vertAlign w:val="baseline"/>
        </w:rPr>
        <w:t>q</w:t>
      </w:r>
      <w:r>
        <w:rPr>
          <w:rFonts w:ascii="Times New Roman" w:hAnsi="Times New Roman" w:eastAsia="Times New Roman"/>
          <w:vertAlign w:val="subscript"/>
        </w:rPr>
        <w:t>2</w:t>
      </w:r>
      <w:r>
        <w:rPr>
          <w:position w:val="-2"/>
          <w:sz w:val="12"/>
          <w:vertAlign w:val="baseline"/>
        </w:rPr>
        <w:t>，</w:t>
      </w:r>
      <w:r>
        <w:rPr>
          <w:rFonts w:ascii="Times New Roman" w:hAnsi="Times New Roman" w:eastAsia="Times New Roman"/>
          <w:vertAlign w:val="baseline"/>
        </w:rPr>
        <w:t>q</w:t>
      </w:r>
      <w:r>
        <w:rPr>
          <w:rFonts w:ascii="Times New Roman" w:hAnsi="Times New Roman" w:eastAsia="Times New Roman"/>
          <w:vertAlign w:val="subscript"/>
        </w:rPr>
        <w:t>n</w:t>
      </w:r>
      <w:r>
        <w:rPr>
          <w:rFonts w:ascii="Times New Roman" w:hAnsi="Times New Roman" w:eastAsia="Times New Roman"/>
          <w:vertAlign w:val="baseline"/>
        </w:rPr>
        <w:t>——</w:t>
      </w:r>
      <w:r>
        <w:rPr>
          <w:vertAlign w:val="baseline"/>
        </w:rPr>
        <w:t>每种危险物质的最大存在总量，</w:t>
      </w:r>
      <w:r>
        <w:rPr>
          <w:rFonts w:ascii="Times New Roman" w:hAnsi="Times New Roman" w:eastAsia="Times New Roman"/>
          <w:vertAlign w:val="baseline"/>
        </w:rPr>
        <w:t>t</w:t>
      </w:r>
      <w:r>
        <w:rPr>
          <w:vertAlign w:val="baseline"/>
        </w:rPr>
        <w:t>；</w:t>
      </w:r>
    </w:p>
    <w:p w14:paraId="01164B7C">
      <w:pPr>
        <w:spacing w:after="0"/>
        <w:sectPr>
          <w:type w:val="continuous"/>
          <w:pgSz w:w="11910" w:h="16840"/>
          <w:pgMar w:top="1600" w:right="1060" w:bottom="280" w:left="1180" w:header="720" w:footer="720" w:gutter="0"/>
          <w:cols w:space="720" w:num="1"/>
        </w:sectPr>
      </w:pPr>
    </w:p>
    <w:p w14:paraId="7A169045">
      <w:pPr>
        <w:pStyle w:val="10"/>
        <w:spacing w:before="63" w:line="360" w:lineRule="auto"/>
        <w:ind w:left="1100" w:right="4025"/>
      </w:pPr>
      <w:r>
        <w:rPr>
          <w:rFonts w:ascii="Times New Roman" w:hAnsi="Times New Roman" w:eastAsia="Times New Roman"/>
        </w:rPr>
        <w:t>Q</w:t>
      </w:r>
      <w:r>
        <w:rPr>
          <w:rFonts w:ascii="Times New Roman" w:hAnsi="Times New Roman" w:eastAsia="Times New Roman"/>
          <w:vertAlign w:val="subscript"/>
        </w:rPr>
        <w:t>1</w:t>
      </w:r>
      <w:r>
        <w:rPr>
          <w:vertAlign w:val="baseline"/>
        </w:rPr>
        <w:t>，</w:t>
      </w:r>
      <w:r>
        <w:rPr>
          <w:rFonts w:ascii="Times New Roman" w:hAnsi="Times New Roman" w:eastAsia="Times New Roman"/>
          <w:vertAlign w:val="baseline"/>
        </w:rPr>
        <w:t>Q</w:t>
      </w:r>
      <w:r>
        <w:rPr>
          <w:rFonts w:ascii="Times New Roman" w:hAnsi="Times New Roman" w:eastAsia="Times New Roman"/>
          <w:vertAlign w:val="subscript"/>
        </w:rPr>
        <w:t>2</w:t>
      </w:r>
      <w:r>
        <w:rPr>
          <w:position w:val="-3"/>
          <w:sz w:val="12"/>
          <w:vertAlign w:val="baseline"/>
        </w:rPr>
        <w:t>，</w:t>
      </w:r>
      <w:r>
        <w:rPr>
          <w:rFonts w:ascii="Times New Roman" w:hAnsi="Times New Roman" w:eastAsia="Times New Roman"/>
          <w:vertAlign w:val="baseline"/>
        </w:rPr>
        <w:t>Q</w:t>
      </w:r>
      <w:r>
        <w:rPr>
          <w:rFonts w:ascii="Times New Roman" w:hAnsi="Times New Roman" w:eastAsia="Times New Roman"/>
          <w:vertAlign w:val="subscript"/>
        </w:rPr>
        <w:t>n</w:t>
      </w:r>
      <w:r>
        <w:rPr>
          <w:rFonts w:ascii="Times New Roman" w:hAnsi="Times New Roman" w:eastAsia="Times New Roman"/>
          <w:vertAlign w:val="baseline"/>
        </w:rPr>
        <w:t>——</w:t>
      </w:r>
      <w:r>
        <w:rPr>
          <w:vertAlign w:val="baseline"/>
        </w:rPr>
        <w:t>每种危险物质的临界量，</w:t>
      </w:r>
      <w:r>
        <w:rPr>
          <w:rFonts w:ascii="Times New Roman" w:hAnsi="Times New Roman" w:eastAsia="Times New Roman"/>
          <w:vertAlign w:val="baseline"/>
        </w:rPr>
        <w:t>t</w:t>
      </w:r>
      <w:r>
        <w:rPr>
          <w:vertAlign w:val="baseline"/>
        </w:rPr>
        <w:t xml:space="preserve">。当 </w:t>
      </w:r>
      <w:r>
        <w:rPr>
          <w:rFonts w:ascii="Times New Roman" w:hAnsi="Times New Roman" w:eastAsia="Times New Roman"/>
          <w:vertAlign w:val="baseline"/>
        </w:rPr>
        <w:t>Q</w:t>
      </w:r>
      <w:r>
        <w:rPr>
          <w:vertAlign w:val="baseline"/>
        </w:rPr>
        <w:t>＜</w:t>
      </w:r>
      <w:r>
        <w:rPr>
          <w:rFonts w:ascii="Times New Roman" w:hAnsi="Times New Roman" w:eastAsia="Times New Roman"/>
          <w:vertAlign w:val="baseline"/>
        </w:rPr>
        <w:t xml:space="preserve">1 </w:t>
      </w:r>
      <w:r>
        <w:rPr>
          <w:vertAlign w:val="baseline"/>
        </w:rPr>
        <w:t>时，该项目环境风险潜势为</w:t>
      </w:r>
      <w:r>
        <w:rPr>
          <w:rFonts w:ascii="Times New Roman" w:hAnsi="Times New Roman" w:eastAsia="Times New Roman"/>
          <w:vertAlign w:val="baseline"/>
        </w:rPr>
        <w:t>Ⅰ</w:t>
      </w:r>
      <w:r>
        <w:rPr>
          <w:vertAlign w:val="baseline"/>
        </w:rPr>
        <w:t>。</w:t>
      </w:r>
    </w:p>
    <w:p w14:paraId="3B2C73E6">
      <w:pPr>
        <w:pStyle w:val="10"/>
        <w:spacing w:before="5" w:line="364" w:lineRule="auto"/>
        <w:ind w:left="1100" w:right="67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1)1≤Q</w:t>
      </w:r>
      <w:r>
        <w:t>＜</w:t>
      </w:r>
      <w:r>
        <w:rPr>
          <w:rFonts w:ascii="Times New Roman" w:hAnsi="Times New Roman" w:eastAsia="Times New Roman"/>
        </w:rPr>
        <w:t>10</w:t>
      </w:r>
      <w:r>
        <w:t>；（</w:t>
      </w:r>
      <w:r>
        <w:rPr>
          <w:rFonts w:ascii="Times New Roman" w:hAnsi="Times New Roman" w:eastAsia="Times New Roman"/>
        </w:rPr>
        <w:t>2)10≤Q</w:t>
      </w:r>
      <w:r>
        <w:t>＜</w:t>
      </w:r>
      <w:r>
        <w:rPr>
          <w:rFonts w:ascii="Times New Roman" w:hAnsi="Times New Roman" w:eastAsia="Times New Roman"/>
        </w:rPr>
        <w:t>100</w:t>
      </w:r>
      <w:r>
        <w:t>；（</w:t>
      </w:r>
      <w:r>
        <w:rPr>
          <w:rFonts w:ascii="Times New Roman" w:hAnsi="Times New Roman" w:eastAsia="Times New Roman"/>
        </w:rPr>
        <w:t>3)Q≥100</w:t>
      </w:r>
      <w:r>
        <w:t>。对照《建设项目环境风险评价导则》（</w:t>
      </w:r>
      <w:r>
        <w:rPr>
          <w:rFonts w:ascii="Times New Roman" w:hAnsi="Times New Roman" w:eastAsia="Times New Roman"/>
        </w:rPr>
        <w:t>HJ 169-2018</w:t>
      </w:r>
      <w:r>
        <w:t xml:space="preserve">）附录 </w:t>
      </w:r>
      <w:r>
        <w:rPr>
          <w:rFonts w:ascii="Times New Roman" w:hAnsi="Times New Roman" w:eastAsia="Times New Roman"/>
        </w:rPr>
        <w:t xml:space="preserve">B </w:t>
      </w:r>
      <w:r>
        <w:t>中的风险物质</w:t>
      </w:r>
    </w:p>
    <w:p w14:paraId="12E2E551">
      <w:pPr>
        <w:pStyle w:val="10"/>
        <w:spacing w:line="306" w:lineRule="exact"/>
        <w:ind w:left="620"/>
      </w:pPr>
      <w:r>
        <w:t xml:space="preserve">的临界量，确定本项目 </w:t>
      </w:r>
      <w:r>
        <w:rPr>
          <w:rFonts w:ascii="Times New Roman" w:eastAsia="Times New Roman"/>
        </w:rPr>
        <w:t xml:space="preserve">Q </w:t>
      </w:r>
      <w:r>
        <w:t>值如下表所示。</w:t>
      </w:r>
    </w:p>
    <w:p w14:paraId="53FDB0D2">
      <w:pPr>
        <w:pStyle w:val="9"/>
        <w:spacing w:before="160"/>
        <w:ind w:left="2141"/>
      </w:pPr>
      <w:r>
        <w:t xml:space="preserve">表 </w:t>
      </w:r>
      <w:r>
        <w:rPr>
          <w:rFonts w:ascii="Times New Roman" w:eastAsia="Times New Roman"/>
        </w:rPr>
        <w:t xml:space="preserve">4.6-2 </w:t>
      </w:r>
      <w:r>
        <w:t xml:space="preserve">本项目危险物质与临界量比值 </w:t>
      </w:r>
      <w:r>
        <w:rPr>
          <w:rFonts w:ascii="Times New Roman" w:eastAsia="Times New Roman"/>
        </w:rPr>
        <w:t xml:space="preserve">Q </w:t>
      </w:r>
      <w:r>
        <w:t>计算结果</w:t>
      </w:r>
    </w:p>
    <w:p w14:paraId="57AC4AEC">
      <w:pPr>
        <w:pStyle w:val="10"/>
        <w:spacing w:before="3" w:after="1"/>
        <w:rPr>
          <w:b/>
          <w:sz w:val="12"/>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037"/>
        <w:gridCol w:w="1829"/>
        <w:gridCol w:w="2011"/>
        <w:gridCol w:w="1645"/>
        <w:gridCol w:w="1287"/>
      </w:tblGrid>
      <w:tr w14:paraId="02953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37C967CF">
            <w:pPr>
              <w:pStyle w:val="17"/>
              <w:spacing w:before="21"/>
              <w:ind w:left="126" w:right="116"/>
              <w:rPr>
                <w:b/>
                <w:sz w:val="21"/>
              </w:rPr>
            </w:pPr>
            <w:r>
              <w:rPr>
                <w:b/>
                <w:sz w:val="21"/>
              </w:rPr>
              <w:t>序号</w:t>
            </w:r>
          </w:p>
        </w:tc>
        <w:tc>
          <w:tcPr>
            <w:tcW w:w="2866" w:type="dxa"/>
            <w:gridSpan w:val="2"/>
          </w:tcPr>
          <w:p w14:paraId="34CA49A9">
            <w:pPr>
              <w:pStyle w:val="17"/>
              <w:spacing w:before="21"/>
              <w:ind w:left="800"/>
              <w:jc w:val="left"/>
              <w:rPr>
                <w:b/>
                <w:sz w:val="21"/>
              </w:rPr>
            </w:pPr>
            <w:r>
              <w:rPr>
                <w:b/>
                <w:sz w:val="21"/>
              </w:rPr>
              <w:t>危险物质名称</w:t>
            </w:r>
          </w:p>
        </w:tc>
        <w:tc>
          <w:tcPr>
            <w:tcW w:w="2011" w:type="dxa"/>
          </w:tcPr>
          <w:p w14:paraId="41A7584D">
            <w:pPr>
              <w:pStyle w:val="17"/>
              <w:spacing w:before="21"/>
              <w:ind w:left="169" w:right="161"/>
              <w:rPr>
                <w:b/>
                <w:sz w:val="21"/>
              </w:rPr>
            </w:pPr>
            <w:r>
              <w:rPr>
                <w:b/>
                <w:sz w:val="21"/>
              </w:rPr>
              <w:t xml:space="preserve">最大量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1645" w:type="dxa"/>
          </w:tcPr>
          <w:p w14:paraId="2DA98701">
            <w:pPr>
              <w:pStyle w:val="17"/>
              <w:spacing w:before="21"/>
              <w:ind w:left="36" w:right="29"/>
              <w:rPr>
                <w:b/>
                <w:sz w:val="21"/>
              </w:rPr>
            </w:pPr>
            <w:r>
              <w:rPr>
                <w:b/>
                <w:sz w:val="21"/>
              </w:rPr>
              <w:t xml:space="preserve">临界量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1287" w:type="dxa"/>
            <w:tcBorders>
              <w:right w:val="nil"/>
            </w:tcBorders>
          </w:tcPr>
          <w:p w14:paraId="469DD740">
            <w:pPr>
              <w:pStyle w:val="17"/>
              <w:spacing w:before="35"/>
              <w:ind w:left="277" w:right="277"/>
              <w:rPr>
                <w:rFonts w:ascii="Times New Roman"/>
                <w:b/>
                <w:sz w:val="21"/>
              </w:rPr>
            </w:pPr>
            <w:r>
              <w:rPr>
                <w:rFonts w:ascii="Times New Roman"/>
                <w:b/>
                <w:sz w:val="21"/>
              </w:rPr>
              <w:t>q/Q</w:t>
            </w:r>
          </w:p>
        </w:tc>
      </w:tr>
      <w:tr w14:paraId="577E6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3BE27B69">
            <w:pPr>
              <w:pStyle w:val="17"/>
              <w:spacing w:before="34"/>
              <w:ind w:left="11"/>
              <w:rPr>
                <w:rFonts w:ascii="Times New Roman"/>
                <w:sz w:val="21"/>
              </w:rPr>
            </w:pPr>
            <w:r>
              <w:rPr>
                <w:rFonts w:ascii="Times New Roman"/>
                <w:w w:val="99"/>
                <w:sz w:val="21"/>
              </w:rPr>
              <w:t>1</w:t>
            </w:r>
          </w:p>
        </w:tc>
        <w:tc>
          <w:tcPr>
            <w:tcW w:w="1037" w:type="dxa"/>
            <w:vMerge w:val="restart"/>
          </w:tcPr>
          <w:p w14:paraId="39D843D6">
            <w:pPr>
              <w:pStyle w:val="17"/>
              <w:spacing w:before="7"/>
              <w:jc w:val="left"/>
              <w:rPr>
                <w:b/>
                <w:sz w:val="28"/>
              </w:rPr>
            </w:pPr>
          </w:p>
          <w:p w14:paraId="2EBAEB0F">
            <w:pPr>
              <w:pStyle w:val="17"/>
              <w:spacing w:line="244" w:lineRule="auto"/>
              <w:ind w:left="411" w:right="192" w:hanging="209"/>
              <w:jc w:val="left"/>
              <w:rPr>
                <w:sz w:val="21"/>
              </w:rPr>
            </w:pPr>
            <w:r>
              <w:rPr>
                <w:sz w:val="21"/>
              </w:rPr>
              <w:t>危险废物</w:t>
            </w:r>
          </w:p>
        </w:tc>
        <w:tc>
          <w:tcPr>
            <w:tcW w:w="1829" w:type="dxa"/>
          </w:tcPr>
          <w:p w14:paraId="5E5AE6BA">
            <w:pPr>
              <w:pStyle w:val="17"/>
              <w:spacing w:before="20"/>
              <w:ind w:left="156" w:right="151"/>
              <w:rPr>
                <w:sz w:val="21"/>
              </w:rPr>
            </w:pPr>
            <w:r>
              <w:rPr>
                <w:sz w:val="21"/>
              </w:rPr>
              <w:t>废润滑油</w:t>
            </w:r>
          </w:p>
        </w:tc>
        <w:tc>
          <w:tcPr>
            <w:tcW w:w="2011" w:type="dxa"/>
          </w:tcPr>
          <w:p w14:paraId="42DB487B">
            <w:pPr>
              <w:pStyle w:val="17"/>
              <w:spacing w:before="34"/>
              <w:ind w:left="169" w:right="163"/>
              <w:rPr>
                <w:rFonts w:ascii="Times New Roman"/>
                <w:sz w:val="21"/>
              </w:rPr>
            </w:pPr>
            <w:r>
              <w:rPr>
                <w:rFonts w:ascii="Times New Roman"/>
                <w:sz w:val="21"/>
              </w:rPr>
              <w:t>0.01</w:t>
            </w:r>
          </w:p>
        </w:tc>
        <w:tc>
          <w:tcPr>
            <w:tcW w:w="1645" w:type="dxa"/>
          </w:tcPr>
          <w:p w14:paraId="36F1E4C3">
            <w:pPr>
              <w:pStyle w:val="17"/>
              <w:spacing w:before="34"/>
              <w:ind w:left="36" w:right="28"/>
              <w:rPr>
                <w:rFonts w:ascii="Times New Roman"/>
                <w:sz w:val="21"/>
              </w:rPr>
            </w:pPr>
            <w:r>
              <w:rPr>
                <w:rFonts w:ascii="Times New Roman"/>
                <w:sz w:val="21"/>
              </w:rPr>
              <w:t>100</w:t>
            </w:r>
          </w:p>
        </w:tc>
        <w:tc>
          <w:tcPr>
            <w:tcW w:w="1287" w:type="dxa"/>
            <w:tcBorders>
              <w:right w:val="nil"/>
            </w:tcBorders>
          </w:tcPr>
          <w:p w14:paraId="4CC2B080">
            <w:pPr>
              <w:pStyle w:val="17"/>
              <w:spacing w:before="37"/>
              <w:ind w:left="278" w:right="277"/>
              <w:rPr>
                <w:rFonts w:ascii="Times New Roman"/>
                <w:sz w:val="21"/>
              </w:rPr>
            </w:pPr>
            <w:r>
              <w:rPr>
                <w:rFonts w:ascii="Times New Roman"/>
                <w:sz w:val="21"/>
              </w:rPr>
              <w:t>0.0001</w:t>
            </w:r>
          </w:p>
        </w:tc>
      </w:tr>
      <w:tr w14:paraId="4E7EF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5F75E09F">
            <w:pPr>
              <w:pStyle w:val="17"/>
              <w:spacing w:before="34"/>
              <w:ind w:left="11"/>
              <w:rPr>
                <w:rFonts w:ascii="Times New Roman"/>
                <w:sz w:val="21"/>
              </w:rPr>
            </w:pPr>
            <w:r>
              <w:rPr>
                <w:rFonts w:ascii="Times New Roman"/>
                <w:w w:val="99"/>
                <w:sz w:val="21"/>
              </w:rPr>
              <w:t>2</w:t>
            </w:r>
          </w:p>
        </w:tc>
        <w:tc>
          <w:tcPr>
            <w:tcW w:w="1037" w:type="dxa"/>
            <w:vMerge w:val="continue"/>
            <w:tcBorders>
              <w:top w:val="nil"/>
            </w:tcBorders>
          </w:tcPr>
          <w:p w14:paraId="42C4AA0A">
            <w:pPr>
              <w:rPr>
                <w:sz w:val="2"/>
                <w:szCs w:val="2"/>
              </w:rPr>
            </w:pPr>
          </w:p>
        </w:tc>
        <w:tc>
          <w:tcPr>
            <w:tcW w:w="1829" w:type="dxa"/>
          </w:tcPr>
          <w:p w14:paraId="66197561">
            <w:pPr>
              <w:pStyle w:val="17"/>
              <w:spacing w:before="20"/>
              <w:ind w:left="158" w:right="151"/>
              <w:rPr>
                <w:sz w:val="21"/>
              </w:rPr>
            </w:pPr>
            <w:r>
              <w:rPr>
                <w:sz w:val="21"/>
              </w:rPr>
              <w:t>含油废抹布手套</w:t>
            </w:r>
          </w:p>
        </w:tc>
        <w:tc>
          <w:tcPr>
            <w:tcW w:w="2011" w:type="dxa"/>
          </w:tcPr>
          <w:p w14:paraId="1B7252A5">
            <w:pPr>
              <w:pStyle w:val="17"/>
              <w:spacing w:before="34"/>
              <w:ind w:left="169" w:right="163"/>
              <w:rPr>
                <w:rFonts w:ascii="Times New Roman"/>
                <w:sz w:val="21"/>
              </w:rPr>
            </w:pPr>
            <w:r>
              <w:rPr>
                <w:rFonts w:ascii="Times New Roman"/>
                <w:sz w:val="21"/>
              </w:rPr>
              <w:t>0.01</w:t>
            </w:r>
          </w:p>
        </w:tc>
        <w:tc>
          <w:tcPr>
            <w:tcW w:w="1645" w:type="dxa"/>
          </w:tcPr>
          <w:p w14:paraId="62194627">
            <w:pPr>
              <w:pStyle w:val="17"/>
              <w:spacing w:before="34"/>
              <w:ind w:left="36" w:right="28"/>
              <w:rPr>
                <w:rFonts w:ascii="Times New Roman"/>
                <w:sz w:val="21"/>
              </w:rPr>
            </w:pPr>
            <w:r>
              <w:rPr>
                <w:rFonts w:ascii="Times New Roman"/>
                <w:sz w:val="21"/>
              </w:rPr>
              <w:t>100</w:t>
            </w:r>
          </w:p>
        </w:tc>
        <w:tc>
          <w:tcPr>
            <w:tcW w:w="1287" w:type="dxa"/>
            <w:tcBorders>
              <w:right w:val="nil"/>
            </w:tcBorders>
          </w:tcPr>
          <w:p w14:paraId="0FE5563B">
            <w:pPr>
              <w:pStyle w:val="17"/>
              <w:spacing w:before="36"/>
              <w:ind w:left="278" w:right="277"/>
              <w:rPr>
                <w:rFonts w:ascii="Times New Roman"/>
                <w:sz w:val="21"/>
              </w:rPr>
            </w:pPr>
            <w:r>
              <w:rPr>
                <w:rFonts w:ascii="Times New Roman"/>
                <w:sz w:val="21"/>
              </w:rPr>
              <w:t>0.0001</w:t>
            </w:r>
          </w:p>
        </w:tc>
      </w:tr>
      <w:tr w14:paraId="54471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0" w:type="dxa"/>
            <w:tcBorders>
              <w:left w:val="nil"/>
            </w:tcBorders>
          </w:tcPr>
          <w:p w14:paraId="1DDF6E82">
            <w:pPr>
              <w:pStyle w:val="17"/>
              <w:spacing w:before="36"/>
              <w:ind w:left="11"/>
              <w:rPr>
                <w:rFonts w:ascii="Times New Roman"/>
                <w:sz w:val="21"/>
              </w:rPr>
            </w:pPr>
            <w:r>
              <w:rPr>
                <w:rFonts w:ascii="Times New Roman"/>
                <w:w w:val="99"/>
                <w:sz w:val="21"/>
              </w:rPr>
              <w:t>3</w:t>
            </w:r>
          </w:p>
        </w:tc>
        <w:tc>
          <w:tcPr>
            <w:tcW w:w="1037" w:type="dxa"/>
            <w:vMerge w:val="continue"/>
            <w:tcBorders>
              <w:top w:val="nil"/>
            </w:tcBorders>
          </w:tcPr>
          <w:p w14:paraId="5C47EEE0">
            <w:pPr>
              <w:rPr>
                <w:sz w:val="2"/>
                <w:szCs w:val="2"/>
              </w:rPr>
            </w:pPr>
          </w:p>
        </w:tc>
        <w:tc>
          <w:tcPr>
            <w:tcW w:w="1829" w:type="dxa"/>
          </w:tcPr>
          <w:p w14:paraId="07F560ED">
            <w:pPr>
              <w:pStyle w:val="17"/>
              <w:spacing w:before="19"/>
              <w:ind w:left="156" w:right="151"/>
              <w:rPr>
                <w:sz w:val="21"/>
              </w:rPr>
            </w:pPr>
            <w:r>
              <w:rPr>
                <w:sz w:val="21"/>
              </w:rPr>
              <w:t>废活性炭</w:t>
            </w:r>
          </w:p>
        </w:tc>
        <w:tc>
          <w:tcPr>
            <w:tcW w:w="2011" w:type="dxa"/>
          </w:tcPr>
          <w:p w14:paraId="3533DD76">
            <w:pPr>
              <w:pStyle w:val="17"/>
              <w:spacing w:before="36"/>
              <w:ind w:left="169" w:right="163"/>
              <w:rPr>
                <w:rFonts w:ascii="Times New Roman"/>
                <w:sz w:val="21"/>
              </w:rPr>
            </w:pPr>
            <w:r>
              <w:rPr>
                <w:rFonts w:ascii="Times New Roman"/>
                <w:sz w:val="21"/>
              </w:rPr>
              <w:t>17.0</w:t>
            </w:r>
          </w:p>
        </w:tc>
        <w:tc>
          <w:tcPr>
            <w:tcW w:w="1645" w:type="dxa"/>
          </w:tcPr>
          <w:p w14:paraId="63A2D919">
            <w:pPr>
              <w:pStyle w:val="17"/>
              <w:spacing w:before="36"/>
              <w:ind w:left="36" w:right="28"/>
              <w:rPr>
                <w:rFonts w:ascii="Times New Roman"/>
                <w:sz w:val="21"/>
              </w:rPr>
            </w:pPr>
            <w:r>
              <w:rPr>
                <w:rFonts w:ascii="Times New Roman"/>
                <w:sz w:val="21"/>
              </w:rPr>
              <w:t>100</w:t>
            </w:r>
          </w:p>
        </w:tc>
        <w:tc>
          <w:tcPr>
            <w:tcW w:w="1287" w:type="dxa"/>
            <w:tcBorders>
              <w:right w:val="nil"/>
            </w:tcBorders>
          </w:tcPr>
          <w:p w14:paraId="6CEAF1AC">
            <w:pPr>
              <w:pStyle w:val="17"/>
              <w:spacing w:before="36"/>
              <w:ind w:left="278" w:right="277"/>
              <w:rPr>
                <w:rFonts w:ascii="Times New Roman"/>
                <w:sz w:val="21"/>
              </w:rPr>
            </w:pPr>
            <w:r>
              <w:rPr>
                <w:rFonts w:ascii="Times New Roman"/>
                <w:sz w:val="21"/>
              </w:rPr>
              <w:t>0.17</w:t>
            </w:r>
          </w:p>
        </w:tc>
      </w:tr>
      <w:tr w14:paraId="67AB6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10" w:type="dxa"/>
            <w:tcBorders>
              <w:left w:val="nil"/>
            </w:tcBorders>
          </w:tcPr>
          <w:p w14:paraId="5C1D7AF1">
            <w:pPr>
              <w:pStyle w:val="17"/>
              <w:spacing w:before="35"/>
              <w:ind w:left="11"/>
              <w:rPr>
                <w:rFonts w:ascii="Times New Roman"/>
                <w:sz w:val="21"/>
              </w:rPr>
            </w:pPr>
            <w:r>
              <w:rPr>
                <w:rFonts w:ascii="Times New Roman"/>
                <w:w w:val="99"/>
                <w:sz w:val="21"/>
              </w:rPr>
              <w:t>4</w:t>
            </w:r>
          </w:p>
        </w:tc>
        <w:tc>
          <w:tcPr>
            <w:tcW w:w="1037" w:type="dxa"/>
            <w:vMerge w:val="continue"/>
            <w:tcBorders>
              <w:top w:val="nil"/>
            </w:tcBorders>
          </w:tcPr>
          <w:p w14:paraId="60A899FB">
            <w:pPr>
              <w:rPr>
                <w:sz w:val="2"/>
                <w:szCs w:val="2"/>
              </w:rPr>
            </w:pPr>
          </w:p>
        </w:tc>
        <w:tc>
          <w:tcPr>
            <w:tcW w:w="1829" w:type="dxa"/>
          </w:tcPr>
          <w:p w14:paraId="5DD7879D">
            <w:pPr>
              <w:pStyle w:val="17"/>
              <w:spacing w:before="19"/>
              <w:ind w:left="156" w:right="151"/>
              <w:rPr>
                <w:sz w:val="21"/>
              </w:rPr>
            </w:pPr>
            <w:r>
              <w:rPr>
                <w:sz w:val="21"/>
              </w:rPr>
              <w:t>废过滤棉</w:t>
            </w:r>
          </w:p>
        </w:tc>
        <w:tc>
          <w:tcPr>
            <w:tcW w:w="2011" w:type="dxa"/>
          </w:tcPr>
          <w:p w14:paraId="2C4BDDCB">
            <w:pPr>
              <w:pStyle w:val="17"/>
              <w:spacing w:before="35"/>
              <w:ind w:left="169" w:right="163"/>
              <w:rPr>
                <w:rFonts w:ascii="Times New Roman"/>
                <w:sz w:val="21"/>
              </w:rPr>
            </w:pPr>
            <w:r>
              <w:rPr>
                <w:rFonts w:ascii="Times New Roman"/>
                <w:sz w:val="21"/>
              </w:rPr>
              <w:t>0.06</w:t>
            </w:r>
          </w:p>
        </w:tc>
        <w:tc>
          <w:tcPr>
            <w:tcW w:w="1645" w:type="dxa"/>
          </w:tcPr>
          <w:p w14:paraId="07113BC1">
            <w:pPr>
              <w:pStyle w:val="17"/>
              <w:spacing w:before="35"/>
              <w:ind w:left="36" w:right="28"/>
              <w:rPr>
                <w:rFonts w:ascii="Times New Roman"/>
                <w:sz w:val="21"/>
              </w:rPr>
            </w:pPr>
            <w:r>
              <w:rPr>
                <w:rFonts w:ascii="Times New Roman"/>
                <w:sz w:val="21"/>
              </w:rPr>
              <w:t>100</w:t>
            </w:r>
          </w:p>
        </w:tc>
        <w:tc>
          <w:tcPr>
            <w:tcW w:w="1287" w:type="dxa"/>
            <w:tcBorders>
              <w:right w:val="nil"/>
            </w:tcBorders>
          </w:tcPr>
          <w:p w14:paraId="48FE1CAD">
            <w:pPr>
              <w:pStyle w:val="17"/>
              <w:spacing w:before="35"/>
              <w:ind w:left="278" w:right="277"/>
              <w:rPr>
                <w:rFonts w:ascii="Times New Roman"/>
                <w:sz w:val="21"/>
              </w:rPr>
            </w:pPr>
            <w:r>
              <w:rPr>
                <w:rFonts w:ascii="Times New Roman"/>
                <w:sz w:val="21"/>
              </w:rPr>
              <w:t>0.0006</w:t>
            </w:r>
          </w:p>
        </w:tc>
      </w:tr>
      <w:tr w14:paraId="76340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0" w:type="dxa"/>
            <w:tcBorders>
              <w:left w:val="nil"/>
            </w:tcBorders>
          </w:tcPr>
          <w:p w14:paraId="19DE0334">
            <w:pPr>
              <w:pStyle w:val="17"/>
              <w:spacing w:before="35"/>
              <w:ind w:left="11"/>
              <w:rPr>
                <w:rFonts w:ascii="Times New Roman"/>
                <w:sz w:val="21"/>
              </w:rPr>
            </w:pPr>
            <w:r>
              <w:rPr>
                <w:rFonts w:ascii="Times New Roman"/>
                <w:w w:val="99"/>
                <w:sz w:val="21"/>
              </w:rPr>
              <w:t>5</w:t>
            </w:r>
          </w:p>
        </w:tc>
        <w:tc>
          <w:tcPr>
            <w:tcW w:w="1037" w:type="dxa"/>
          </w:tcPr>
          <w:p w14:paraId="647D8A90">
            <w:pPr>
              <w:pStyle w:val="17"/>
              <w:spacing w:before="21"/>
              <w:ind w:left="308"/>
              <w:jc w:val="left"/>
              <w:rPr>
                <w:sz w:val="21"/>
              </w:rPr>
            </w:pPr>
            <w:r>
              <w:rPr>
                <w:sz w:val="21"/>
              </w:rPr>
              <w:t>废气</w:t>
            </w:r>
          </w:p>
        </w:tc>
        <w:tc>
          <w:tcPr>
            <w:tcW w:w="1829" w:type="dxa"/>
          </w:tcPr>
          <w:p w14:paraId="615050D9">
            <w:pPr>
              <w:pStyle w:val="17"/>
              <w:spacing w:before="19"/>
              <w:ind w:left="158" w:right="151"/>
              <w:rPr>
                <w:sz w:val="21"/>
              </w:rPr>
            </w:pPr>
            <w:r>
              <w:rPr>
                <w:sz w:val="21"/>
              </w:rPr>
              <w:t>挥发性有机物</w:t>
            </w:r>
          </w:p>
        </w:tc>
        <w:tc>
          <w:tcPr>
            <w:tcW w:w="2011" w:type="dxa"/>
          </w:tcPr>
          <w:p w14:paraId="167FC2C2">
            <w:pPr>
              <w:pStyle w:val="17"/>
              <w:spacing w:before="19"/>
              <w:ind w:left="169" w:right="164"/>
              <w:rPr>
                <w:sz w:val="21"/>
              </w:rPr>
            </w:pPr>
            <w:r>
              <w:rPr>
                <w:rFonts w:ascii="Times New Roman" w:eastAsia="Times New Roman"/>
                <w:sz w:val="21"/>
              </w:rPr>
              <w:t>0.003141</w:t>
            </w:r>
            <w:r>
              <w:rPr>
                <w:sz w:val="21"/>
              </w:rPr>
              <w:t>在线量）</w:t>
            </w:r>
          </w:p>
        </w:tc>
        <w:tc>
          <w:tcPr>
            <w:tcW w:w="1645" w:type="dxa"/>
          </w:tcPr>
          <w:p w14:paraId="3D877097">
            <w:pPr>
              <w:pStyle w:val="17"/>
              <w:spacing w:before="35"/>
              <w:ind w:left="8"/>
              <w:rPr>
                <w:rFonts w:ascii="Times New Roman"/>
                <w:sz w:val="21"/>
              </w:rPr>
            </w:pPr>
            <w:r>
              <w:rPr>
                <w:rFonts w:ascii="Times New Roman"/>
                <w:w w:val="99"/>
                <w:sz w:val="21"/>
              </w:rPr>
              <w:t>5</w:t>
            </w:r>
          </w:p>
        </w:tc>
        <w:tc>
          <w:tcPr>
            <w:tcW w:w="1287" w:type="dxa"/>
            <w:tcBorders>
              <w:right w:val="nil"/>
            </w:tcBorders>
          </w:tcPr>
          <w:p w14:paraId="03A3D8D3">
            <w:pPr>
              <w:pStyle w:val="17"/>
              <w:spacing w:before="35"/>
              <w:ind w:left="281" w:right="277"/>
              <w:rPr>
                <w:rFonts w:ascii="Times New Roman"/>
                <w:sz w:val="21"/>
              </w:rPr>
            </w:pPr>
            <w:r>
              <w:rPr>
                <w:rFonts w:ascii="Times New Roman"/>
                <w:sz w:val="21"/>
              </w:rPr>
              <w:t>0.00063</w:t>
            </w:r>
          </w:p>
        </w:tc>
      </w:tr>
      <w:tr w14:paraId="0AB43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32" w:type="dxa"/>
            <w:gridSpan w:val="5"/>
            <w:tcBorders>
              <w:left w:val="nil"/>
            </w:tcBorders>
          </w:tcPr>
          <w:p w14:paraId="0724DBA7">
            <w:pPr>
              <w:pStyle w:val="17"/>
              <w:spacing w:before="21"/>
              <w:ind w:left="3390" w:right="3376"/>
              <w:rPr>
                <w:sz w:val="21"/>
              </w:rPr>
            </w:pPr>
            <w:r>
              <w:rPr>
                <w:sz w:val="21"/>
              </w:rPr>
              <w:t>合计</w:t>
            </w:r>
          </w:p>
        </w:tc>
        <w:tc>
          <w:tcPr>
            <w:tcW w:w="1287" w:type="dxa"/>
            <w:tcBorders>
              <w:right w:val="nil"/>
            </w:tcBorders>
          </w:tcPr>
          <w:p w14:paraId="3B94A72A">
            <w:pPr>
              <w:pStyle w:val="17"/>
              <w:spacing w:before="35"/>
              <w:ind w:left="281" w:right="277"/>
              <w:rPr>
                <w:rFonts w:ascii="Times New Roman"/>
                <w:sz w:val="21"/>
              </w:rPr>
            </w:pPr>
            <w:r>
              <w:rPr>
                <w:rFonts w:ascii="Times New Roman"/>
                <w:sz w:val="21"/>
              </w:rPr>
              <w:t>0.17143</w:t>
            </w:r>
          </w:p>
        </w:tc>
      </w:tr>
    </w:tbl>
    <w:p w14:paraId="54545A5F">
      <w:pPr>
        <w:spacing w:before="100" w:line="417" w:lineRule="auto"/>
        <w:ind w:left="620" w:right="739" w:firstLine="0"/>
        <w:jc w:val="left"/>
        <w:rPr>
          <w:rFonts w:hint="eastAsia" w:ascii="黑体" w:eastAsia="黑体"/>
          <w:sz w:val="21"/>
        </w:rPr>
      </w:pPr>
      <w:r>
        <w:rPr>
          <w:rFonts w:hint="eastAsia" w:ascii="黑体" w:eastAsia="黑体"/>
          <w:spacing w:val="-4"/>
          <w:sz w:val="21"/>
        </w:rPr>
        <w:t>备注：项目危险废物临界量参照危害水环境物质</w:t>
      </w:r>
      <w:r>
        <w:rPr>
          <w:rFonts w:hint="eastAsia" w:ascii="黑体" w:eastAsia="黑体"/>
          <w:sz w:val="21"/>
        </w:rPr>
        <w:t>（</w:t>
      </w:r>
      <w:r>
        <w:rPr>
          <w:rFonts w:hint="eastAsia" w:ascii="黑体" w:eastAsia="黑体"/>
          <w:spacing w:val="-10"/>
          <w:sz w:val="21"/>
        </w:rPr>
        <w:t xml:space="preserve">急性毒性类别 </w:t>
      </w:r>
      <w:r>
        <w:rPr>
          <w:rFonts w:hint="eastAsia" w:ascii="黑体" w:eastAsia="黑体"/>
          <w:spacing w:val="-5"/>
          <w:sz w:val="21"/>
        </w:rPr>
        <w:t>1）</w:t>
      </w:r>
      <w:r>
        <w:rPr>
          <w:rFonts w:hint="eastAsia" w:ascii="黑体" w:eastAsia="黑体"/>
          <w:spacing w:val="-3"/>
          <w:sz w:val="21"/>
        </w:rPr>
        <w:t>考虑，有机废气临界量参照健康危险急性毒性物质（</w:t>
      </w:r>
      <w:r>
        <w:rPr>
          <w:rFonts w:hint="eastAsia" w:ascii="黑体" w:eastAsia="黑体"/>
          <w:spacing w:val="-20"/>
          <w:sz w:val="21"/>
        </w:rPr>
        <w:t xml:space="preserve">类别 </w:t>
      </w:r>
      <w:r>
        <w:rPr>
          <w:rFonts w:ascii="Times New Roman" w:eastAsia="Times New Roman"/>
          <w:sz w:val="21"/>
        </w:rPr>
        <w:t>1</w:t>
      </w:r>
      <w:r>
        <w:rPr>
          <w:rFonts w:hint="eastAsia" w:ascii="黑体" w:eastAsia="黑体"/>
          <w:sz w:val="21"/>
        </w:rPr>
        <w:t>）。</w:t>
      </w:r>
    </w:p>
    <w:p w14:paraId="1117FE73">
      <w:pPr>
        <w:pStyle w:val="10"/>
        <w:spacing w:line="289" w:lineRule="exact"/>
        <w:ind w:left="1124"/>
      </w:pPr>
      <w:r>
        <w:t xml:space="preserve">根据上表可知项目 </w:t>
      </w:r>
      <w:r>
        <w:rPr>
          <w:rFonts w:ascii="Times New Roman" w:eastAsia="Times New Roman"/>
        </w:rPr>
        <w:t>Q=0.17143</w:t>
      </w:r>
      <w:r>
        <w:t>＜</w:t>
      </w:r>
      <w:r>
        <w:rPr>
          <w:rFonts w:ascii="Times New Roman" w:eastAsia="Times New Roman"/>
        </w:rPr>
        <w:t>1</w:t>
      </w:r>
      <w:r>
        <w:t xml:space="preserve">，风险潜势为 </w:t>
      </w:r>
      <w:r>
        <w:rPr>
          <w:rFonts w:ascii="Times New Roman" w:eastAsia="Times New Roman"/>
        </w:rPr>
        <w:t>I</w:t>
      </w:r>
      <w:r>
        <w:t>，开展简单分析即可。</w:t>
      </w:r>
    </w:p>
    <w:p w14:paraId="021E09AF">
      <w:pPr>
        <w:pStyle w:val="16"/>
        <w:numPr>
          <w:ilvl w:val="2"/>
          <w:numId w:val="24"/>
        </w:numPr>
        <w:tabs>
          <w:tab w:val="left" w:pos="1295"/>
        </w:tabs>
        <w:spacing w:before="199" w:after="0" w:line="240" w:lineRule="auto"/>
        <w:ind w:left="1294" w:right="0" w:hanging="674"/>
        <w:jc w:val="left"/>
        <w:rPr>
          <w:rFonts w:ascii="Times New Roman" w:eastAsia="Times New Roman"/>
          <w:b/>
          <w:sz w:val="30"/>
        </w:rPr>
      </w:pPr>
      <w:r>
        <w:rPr>
          <w:b/>
          <w:w w:val="95"/>
          <w:sz w:val="30"/>
        </w:rPr>
        <w:t>环境风险识别</w:t>
      </w:r>
    </w:p>
    <w:p w14:paraId="47581399">
      <w:pPr>
        <w:pStyle w:val="9"/>
        <w:numPr>
          <w:ilvl w:val="3"/>
          <w:numId w:val="24"/>
        </w:numPr>
        <w:tabs>
          <w:tab w:val="left" w:pos="1340"/>
        </w:tabs>
        <w:spacing w:before="201" w:after="0" w:line="240" w:lineRule="auto"/>
        <w:ind w:left="1340" w:right="0" w:hanging="720"/>
        <w:jc w:val="left"/>
      </w:pPr>
      <w:r>
        <w:rPr>
          <w:w w:val="95"/>
        </w:rPr>
        <w:t>物质危险性分析</w:t>
      </w:r>
    </w:p>
    <w:p w14:paraId="30A4A888">
      <w:pPr>
        <w:pStyle w:val="10"/>
        <w:spacing w:before="160" w:line="364" w:lineRule="auto"/>
        <w:ind w:left="620" w:right="737" w:firstLine="480"/>
        <w:jc w:val="both"/>
      </w:pPr>
      <w:r>
        <w:rPr>
          <w:spacing w:val="-7"/>
        </w:rPr>
        <w:t>根据《建设项目环境风险评价技术导则》</w:t>
      </w:r>
      <w:r>
        <w:t>（</w:t>
      </w:r>
      <w:r>
        <w:rPr>
          <w:rFonts w:ascii="Times New Roman" w:eastAsia="Times New Roman"/>
        </w:rPr>
        <w:t>HJ169-2018</w:t>
      </w:r>
      <w:r>
        <w:t>）</w:t>
      </w:r>
      <w:r>
        <w:rPr>
          <w:spacing w:val="-4"/>
        </w:rPr>
        <w:t>等，本项目涉及的</w:t>
      </w:r>
      <w:r>
        <w:rPr>
          <w:spacing w:val="-10"/>
        </w:rPr>
        <w:t>危险物质为危险废物废润滑油、含油废抹布手套和废活性炭，工艺废气挥发性有机物。</w:t>
      </w:r>
    </w:p>
    <w:p w14:paraId="383BF5C9">
      <w:pPr>
        <w:pStyle w:val="9"/>
        <w:numPr>
          <w:ilvl w:val="3"/>
          <w:numId w:val="24"/>
        </w:numPr>
        <w:tabs>
          <w:tab w:val="left" w:pos="1340"/>
        </w:tabs>
        <w:spacing w:before="2" w:after="0" w:line="240" w:lineRule="auto"/>
        <w:ind w:left="1340" w:right="0" w:hanging="720"/>
        <w:jc w:val="left"/>
      </w:pPr>
      <w:r>
        <w:t>生产系统危险性识别</w:t>
      </w:r>
    </w:p>
    <w:p w14:paraId="0489297E">
      <w:pPr>
        <w:pStyle w:val="10"/>
        <w:spacing w:before="161" w:line="364" w:lineRule="auto"/>
        <w:ind w:left="620" w:right="737" w:firstLine="480"/>
      </w:pPr>
      <w:r>
        <w:rPr>
          <w:spacing w:val="-5"/>
        </w:rPr>
        <w:t>根据项目生产运行中重要生产设备，根据其物料及其数量、工艺参数等因素和物料危险性的分析，识别出设备的危险性。</w:t>
      </w:r>
    </w:p>
    <w:p w14:paraId="5D60B879">
      <w:pPr>
        <w:pStyle w:val="10"/>
        <w:spacing w:before="1"/>
        <w:ind w:left="1100"/>
      </w:pPr>
      <w:r>
        <w:t>根据国家安全监管总局《关于公布首批重点监管的危险化工工艺目录的通知》</w:t>
      </w:r>
    </w:p>
    <w:p w14:paraId="18885DE0">
      <w:pPr>
        <w:pStyle w:val="10"/>
        <w:spacing w:before="160" w:line="364" w:lineRule="auto"/>
        <w:ind w:left="620" w:right="737"/>
        <w:jc w:val="both"/>
      </w:pPr>
      <w:r>
        <w:t>（安监总管三</w:t>
      </w:r>
      <w:r>
        <w:rPr>
          <w:rFonts w:ascii="Times New Roman" w:eastAsia="Times New Roman"/>
        </w:rPr>
        <w:t xml:space="preserve">[2009]116 </w:t>
      </w:r>
      <w:r>
        <w:t>号）、《关于公布第二批重点监管危险化工工艺目录和调整首批重点监管危险化工工艺中部分典型工艺的通知》（安监总管三</w:t>
      </w:r>
      <w:r>
        <w:rPr>
          <w:rFonts w:ascii="Times New Roman" w:eastAsia="Times New Roman"/>
        </w:rPr>
        <w:t xml:space="preserve">[2013]3 </w:t>
      </w:r>
      <w:r>
        <w:t>号），本项目采用的生产工艺不属于上述文件中的危险化工工艺。</w:t>
      </w:r>
    </w:p>
    <w:p w14:paraId="373207E2">
      <w:pPr>
        <w:pStyle w:val="9"/>
        <w:numPr>
          <w:ilvl w:val="3"/>
          <w:numId w:val="24"/>
        </w:numPr>
        <w:tabs>
          <w:tab w:val="left" w:pos="1340"/>
        </w:tabs>
        <w:spacing w:before="2" w:after="0" w:line="240" w:lineRule="auto"/>
        <w:ind w:left="1340" w:right="0" w:hanging="720"/>
        <w:jc w:val="left"/>
      </w:pPr>
      <w:r>
        <w:t>储运过程风险分析</w:t>
      </w:r>
    </w:p>
    <w:p w14:paraId="5962DA05">
      <w:pPr>
        <w:pStyle w:val="10"/>
        <w:spacing w:before="161" w:line="364" w:lineRule="auto"/>
        <w:ind w:left="620" w:right="672" w:firstLine="480"/>
      </w:pPr>
      <w:r>
        <w:t xml:space="preserve">本项目不涉及液体原料，主要原料和产品 </w:t>
      </w:r>
      <w:r>
        <w:rPr>
          <w:rFonts w:ascii="Times New Roman" w:eastAsia="Times New Roman"/>
        </w:rPr>
        <w:t xml:space="preserve">PE </w:t>
      </w:r>
      <w:r>
        <w:t xml:space="preserve">塑料颗粒、废 </w:t>
      </w:r>
      <w:r>
        <w:rPr>
          <w:rFonts w:ascii="Times New Roman" w:eastAsia="Times New Roman"/>
        </w:rPr>
        <w:t xml:space="preserve">PE </w:t>
      </w:r>
      <w:r>
        <w:t xml:space="preserve">塑料、为易燃，主要储运风险考虑 </w:t>
      </w:r>
      <w:r>
        <w:rPr>
          <w:rFonts w:ascii="Times New Roman" w:eastAsia="Times New Roman"/>
        </w:rPr>
        <w:t xml:space="preserve">PE </w:t>
      </w:r>
      <w:r>
        <w:t xml:space="preserve">塑料颗粒、废 </w:t>
      </w:r>
      <w:r>
        <w:rPr>
          <w:rFonts w:ascii="Times New Roman" w:eastAsia="Times New Roman"/>
        </w:rPr>
        <w:t xml:space="preserve">PE </w:t>
      </w:r>
      <w:r>
        <w:t>塑料颗粒及成品火灾风险和危险废</w:t>
      </w:r>
    </w:p>
    <w:p w14:paraId="2F4FB06F">
      <w:pPr>
        <w:spacing w:after="0" w:line="364" w:lineRule="auto"/>
        <w:sectPr>
          <w:pgSz w:w="11910" w:h="16840"/>
          <w:pgMar w:top="1360" w:right="1060" w:bottom="1380" w:left="1180" w:header="0" w:footer="1192" w:gutter="0"/>
          <w:cols w:space="720" w:num="1"/>
        </w:sectPr>
      </w:pPr>
    </w:p>
    <w:p w14:paraId="0C5D1551">
      <w:pPr>
        <w:pStyle w:val="10"/>
        <w:spacing w:before="42" w:line="364" w:lineRule="auto"/>
        <w:ind w:left="620" w:right="737"/>
        <w:jc w:val="both"/>
      </w:pPr>
      <w:r>
        <w:rPr>
          <w:spacing w:val="-9"/>
        </w:rPr>
        <w:t>物泄漏风险。危险废物在储运过程中因操作不当导致泄漏，因本项目液态危废产</w:t>
      </w:r>
      <w:r>
        <w:rPr>
          <w:spacing w:val="-12"/>
        </w:rPr>
        <w:t>生量很少，在发生倾倒泄漏或火灾的时候易收集，易控制，基本不会对外环境造成不利影响。</w:t>
      </w:r>
    </w:p>
    <w:p w14:paraId="77D9EAB4">
      <w:pPr>
        <w:pStyle w:val="9"/>
        <w:numPr>
          <w:ilvl w:val="3"/>
          <w:numId w:val="24"/>
        </w:numPr>
        <w:tabs>
          <w:tab w:val="left" w:pos="1340"/>
        </w:tabs>
        <w:spacing w:before="2" w:after="0" w:line="240" w:lineRule="auto"/>
        <w:ind w:left="1340" w:right="0" w:hanging="720"/>
        <w:jc w:val="left"/>
      </w:pPr>
      <w:r>
        <w:t>环保设施风险识别</w:t>
      </w:r>
    </w:p>
    <w:p w14:paraId="1E5B9355">
      <w:pPr>
        <w:pStyle w:val="10"/>
        <w:spacing w:before="160"/>
        <w:ind w:left="1100"/>
      </w:pPr>
      <w:r>
        <w:t>本项目涉及的环保设施主要有废气处理设施、危险废物收集贮存设施等。</w:t>
      </w:r>
    </w:p>
    <w:p w14:paraId="0E759C88">
      <w:pPr>
        <w:pStyle w:val="10"/>
        <w:spacing w:before="161" w:line="364" w:lineRule="auto"/>
        <w:ind w:left="620" w:right="617" w:firstLine="480"/>
        <w:jc w:val="both"/>
      </w:pPr>
      <w:r>
        <w:t>（</w:t>
      </w:r>
      <w:r>
        <w:rPr>
          <w:rFonts w:ascii="Times New Roman" w:eastAsia="Times New Roman"/>
        </w:rPr>
        <w:t>1</w:t>
      </w:r>
      <w:r>
        <w:t>）本项目废气处理设施主要为布袋除尘器</w:t>
      </w:r>
      <w:r>
        <w:rPr>
          <w:rFonts w:ascii="Times New Roman" w:eastAsia="Times New Roman"/>
        </w:rPr>
        <w:t>+</w:t>
      </w:r>
      <w:r>
        <w:rPr>
          <w:spacing w:val="0"/>
        </w:rPr>
        <w:t>过滤棉</w:t>
      </w:r>
      <w:r>
        <w:rPr>
          <w:rFonts w:ascii="Times New Roman" w:eastAsia="Times New Roman"/>
        </w:rPr>
        <w:t>+</w:t>
      </w:r>
      <w:r>
        <w:t>生物滤床</w:t>
      </w:r>
      <w:r>
        <w:rPr>
          <w:rFonts w:ascii="Times New Roman" w:eastAsia="Times New Roman"/>
        </w:rPr>
        <w:t>+</w:t>
      </w:r>
      <w:r>
        <w:t>二级活性</w:t>
      </w:r>
      <w:r>
        <w:rPr>
          <w:spacing w:val="-10"/>
        </w:rPr>
        <w:t>炭吸附装置，若发生设施断电、风机故障、处理设施失效等均可能导致大气污染</w:t>
      </w:r>
      <w:r>
        <w:rPr>
          <w:spacing w:val="-19"/>
        </w:rPr>
        <w:t>物事故排放，对环境空气可能会造成较大危害，使一定范围内大气环境质量超标。</w:t>
      </w:r>
    </w:p>
    <w:p w14:paraId="394555DD">
      <w:pPr>
        <w:pStyle w:val="10"/>
        <w:spacing w:before="1" w:line="364" w:lineRule="auto"/>
        <w:ind w:left="620" w:right="740" w:firstLine="480"/>
      </w:pPr>
      <w:r>
        <w:t>（</w:t>
      </w:r>
      <w:r>
        <w:rPr>
          <w:rFonts w:ascii="Times New Roman" w:eastAsia="Times New Roman"/>
        </w:rPr>
        <w:t>2</w:t>
      </w:r>
      <w:r>
        <w:t>）本项目危险废物在产生点采用专用容器盛装后按照要求转运至危险暂存间进行贮存，若操作不当，可能发生危险废物泄露，从而污染环境。</w:t>
      </w:r>
    </w:p>
    <w:p w14:paraId="0D5654C7">
      <w:pPr>
        <w:pStyle w:val="16"/>
        <w:numPr>
          <w:ilvl w:val="2"/>
          <w:numId w:val="25"/>
        </w:numPr>
        <w:tabs>
          <w:tab w:val="left" w:pos="1249"/>
        </w:tabs>
        <w:spacing w:before="55" w:after="0" w:line="240" w:lineRule="auto"/>
        <w:ind w:left="1248" w:right="0" w:hanging="628"/>
        <w:jc w:val="both"/>
        <w:rPr>
          <w:b/>
          <w:sz w:val="28"/>
        </w:rPr>
      </w:pPr>
      <w:r>
        <w:rPr>
          <w:b/>
          <w:sz w:val="28"/>
        </w:rPr>
        <w:t>环境风险分析</w:t>
      </w:r>
    </w:p>
    <w:p w14:paraId="30528333">
      <w:pPr>
        <w:pStyle w:val="10"/>
        <w:spacing w:before="133"/>
        <w:ind w:left="1100"/>
      </w:pPr>
      <w:r>
        <w:t>本项目储运设施和环保设施环境风险分析见下表。</w:t>
      </w:r>
    </w:p>
    <w:p w14:paraId="26DF87CA">
      <w:pPr>
        <w:pStyle w:val="9"/>
        <w:spacing w:before="160" w:after="2"/>
        <w:ind w:left="3017"/>
      </w:pPr>
      <w:r>
        <w:t xml:space="preserve">表 </w:t>
      </w:r>
      <w:r>
        <w:rPr>
          <w:rFonts w:ascii="Times New Roman" w:eastAsia="Times New Roman"/>
        </w:rPr>
        <w:t xml:space="preserve">4.6-3 </w:t>
      </w:r>
      <w:r>
        <w:t>项目环境风险分析一览表</w:t>
      </w:r>
    </w:p>
    <w:tbl>
      <w:tblPr>
        <w:tblStyle w:val="13"/>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063"/>
        <w:gridCol w:w="2895"/>
        <w:gridCol w:w="3765"/>
      </w:tblGrid>
      <w:tr w14:paraId="32EA1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 w:type="dxa"/>
            <w:tcBorders>
              <w:left w:val="nil"/>
            </w:tcBorders>
          </w:tcPr>
          <w:p w14:paraId="262B8FCA">
            <w:pPr>
              <w:pStyle w:val="17"/>
              <w:spacing w:before="21"/>
              <w:ind w:left="191"/>
              <w:jc w:val="left"/>
              <w:rPr>
                <w:sz w:val="21"/>
              </w:rPr>
            </w:pPr>
            <w:r>
              <w:rPr>
                <w:w w:val="95"/>
                <w:sz w:val="21"/>
              </w:rPr>
              <w:t>设施</w:t>
            </w:r>
          </w:p>
          <w:p w14:paraId="44F35708">
            <w:pPr>
              <w:pStyle w:val="17"/>
              <w:spacing w:before="42"/>
              <w:ind w:left="191"/>
              <w:jc w:val="left"/>
              <w:rPr>
                <w:sz w:val="21"/>
              </w:rPr>
            </w:pPr>
            <w:r>
              <w:rPr>
                <w:w w:val="95"/>
                <w:sz w:val="21"/>
              </w:rPr>
              <w:t>名称</w:t>
            </w:r>
          </w:p>
        </w:tc>
        <w:tc>
          <w:tcPr>
            <w:tcW w:w="1063" w:type="dxa"/>
          </w:tcPr>
          <w:p w14:paraId="66A9346E">
            <w:pPr>
              <w:pStyle w:val="17"/>
              <w:spacing w:before="176"/>
              <w:ind w:left="87" w:right="82"/>
              <w:rPr>
                <w:sz w:val="21"/>
              </w:rPr>
            </w:pPr>
            <w:r>
              <w:rPr>
                <w:sz w:val="21"/>
              </w:rPr>
              <w:t>事故类型</w:t>
            </w:r>
          </w:p>
        </w:tc>
        <w:tc>
          <w:tcPr>
            <w:tcW w:w="2895" w:type="dxa"/>
          </w:tcPr>
          <w:p w14:paraId="7A0100E7">
            <w:pPr>
              <w:pStyle w:val="17"/>
              <w:spacing w:before="176"/>
              <w:ind w:left="607"/>
              <w:jc w:val="left"/>
              <w:rPr>
                <w:sz w:val="21"/>
              </w:rPr>
            </w:pPr>
            <w:r>
              <w:rPr>
                <w:sz w:val="21"/>
              </w:rPr>
              <w:t>事故引发可能原因</w:t>
            </w:r>
          </w:p>
        </w:tc>
        <w:tc>
          <w:tcPr>
            <w:tcW w:w="3765" w:type="dxa"/>
            <w:tcBorders>
              <w:right w:val="nil"/>
            </w:tcBorders>
          </w:tcPr>
          <w:p w14:paraId="0C9DFF67">
            <w:pPr>
              <w:pStyle w:val="17"/>
              <w:spacing w:before="176"/>
              <w:ind w:left="71" w:right="71"/>
              <w:rPr>
                <w:sz w:val="21"/>
              </w:rPr>
            </w:pPr>
            <w:r>
              <w:rPr>
                <w:sz w:val="21"/>
              </w:rPr>
              <w:t>影响结果</w:t>
            </w:r>
          </w:p>
        </w:tc>
      </w:tr>
      <w:tr w14:paraId="6C9F0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4" w:type="dxa"/>
            <w:tcBorders>
              <w:left w:val="nil"/>
            </w:tcBorders>
          </w:tcPr>
          <w:p w14:paraId="719B7533">
            <w:pPr>
              <w:pStyle w:val="17"/>
              <w:spacing w:before="176" w:line="278" w:lineRule="auto"/>
              <w:ind w:left="297" w:right="177" w:hanging="106"/>
              <w:jc w:val="left"/>
              <w:rPr>
                <w:sz w:val="21"/>
              </w:rPr>
            </w:pPr>
            <w:r>
              <w:rPr>
                <w:w w:val="95"/>
                <w:sz w:val="21"/>
              </w:rPr>
              <w:t>原料</w:t>
            </w:r>
            <w:r>
              <w:rPr>
                <w:sz w:val="21"/>
              </w:rPr>
              <w:t>区</w:t>
            </w:r>
          </w:p>
        </w:tc>
        <w:tc>
          <w:tcPr>
            <w:tcW w:w="1063" w:type="dxa"/>
          </w:tcPr>
          <w:p w14:paraId="5104C970">
            <w:pPr>
              <w:pStyle w:val="17"/>
              <w:spacing w:before="12"/>
              <w:jc w:val="left"/>
              <w:rPr>
                <w:b/>
                <w:sz w:val="25"/>
              </w:rPr>
            </w:pPr>
          </w:p>
          <w:p w14:paraId="3887A947">
            <w:pPr>
              <w:pStyle w:val="17"/>
              <w:ind w:left="89" w:right="81"/>
              <w:rPr>
                <w:sz w:val="21"/>
              </w:rPr>
            </w:pPr>
            <w:r>
              <w:rPr>
                <w:sz w:val="21"/>
              </w:rPr>
              <w:t>火灾</w:t>
            </w:r>
          </w:p>
        </w:tc>
        <w:tc>
          <w:tcPr>
            <w:tcW w:w="2895" w:type="dxa"/>
          </w:tcPr>
          <w:p w14:paraId="00143757">
            <w:pPr>
              <w:pStyle w:val="17"/>
              <w:spacing w:before="20" w:line="278" w:lineRule="auto"/>
              <w:ind w:left="101" w:right="91"/>
              <w:rPr>
                <w:sz w:val="21"/>
              </w:rPr>
            </w:pPr>
            <w:r>
              <w:rPr>
                <w:rFonts w:ascii="Times New Roman" w:eastAsia="Times New Roman"/>
                <w:sz w:val="21"/>
              </w:rPr>
              <w:t xml:space="preserve">PE </w:t>
            </w:r>
            <w:r>
              <w:rPr>
                <w:sz w:val="21"/>
              </w:rPr>
              <w:t xml:space="preserve">新料、废 </w:t>
            </w:r>
            <w:r>
              <w:rPr>
                <w:rFonts w:ascii="Times New Roman" w:eastAsia="Times New Roman"/>
                <w:sz w:val="21"/>
              </w:rPr>
              <w:t xml:space="preserve">PE </w:t>
            </w:r>
            <w:r>
              <w:rPr>
                <w:sz w:val="21"/>
              </w:rPr>
              <w:t>塑料、</w:t>
            </w:r>
            <w:r>
              <w:rPr>
                <w:rFonts w:ascii="Times New Roman" w:eastAsia="Times New Roman"/>
                <w:sz w:val="21"/>
              </w:rPr>
              <w:t xml:space="preserve">PE </w:t>
            </w:r>
            <w:r>
              <w:rPr>
                <w:sz w:val="21"/>
              </w:rPr>
              <w:t>蜡等发生火灾及其次生环境污</w:t>
            </w:r>
          </w:p>
          <w:p w14:paraId="21406763">
            <w:pPr>
              <w:pStyle w:val="17"/>
              <w:spacing w:line="269" w:lineRule="exact"/>
              <w:ind w:left="7"/>
              <w:rPr>
                <w:sz w:val="21"/>
              </w:rPr>
            </w:pPr>
            <w:r>
              <w:rPr>
                <w:w w:val="99"/>
                <w:sz w:val="21"/>
              </w:rPr>
              <w:t>染</w:t>
            </w:r>
          </w:p>
        </w:tc>
        <w:tc>
          <w:tcPr>
            <w:tcW w:w="3765" w:type="dxa"/>
            <w:tcBorders>
              <w:right w:val="nil"/>
            </w:tcBorders>
          </w:tcPr>
          <w:p w14:paraId="10758BC2">
            <w:pPr>
              <w:pStyle w:val="17"/>
              <w:spacing w:before="176" w:line="278" w:lineRule="auto"/>
              <w:ind w:left="1252" w:right="36" w:hanging="1145"/>
              <w:jc w:val="left"/>
              <w:rPr>
                <w:sz w:val="21"/>
              </w:rPr>
            </w:pPr>
            <w:r>
              <w:rPr>
                <w:w w:val="95"/>
                <w:sz w:val="21"/>
              </w:rPr>
              <w:t>将对大气环境、地表水、土壤等造成一</w:t>
            </w:r>
            <w:r>
              <w:rPr>
                <w:sz w:val="21"/>
              </w:rPr>
              <w:t>定的不利影响</w:t>
            </w:r>
          </w:p>
        </w:tc>
      </w:tr>
      <w:tr w14:paraId="2A69A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94" w:type="dxa"/>
            <w:tcBorders>
              <w:left w:val="nil"/>
            </w:tcBorders>
          </w:tcPr>
          <w:p w14:paraId="7F001A50">
            <w:pPr>
              <w:pStyle w:val="17"/>
              <w:spacing w:before="176" w:line="278" w:lineRule="auto"/>
              <w:ind w:left="191" w:right="177"/>
              <w:jc w:val="left"/>
              <w:rPr>
                <w:sz w:val="21"/>
              </w:rPr>
            </w:pPr>
            <w:r>
              <w:rPr>
                <w:w w:val="95"/>
                <w:sz w:val="21"/>
              </w:rPr>
              <w:t>储运设施</w:t>
            </w:r>
          </w:p>
        </w:tc>
        <w:tc>
          <w:tcPr>
            <w:tcW w:w="1063" w:type="dxa"/>
          </w:tcPr>
          <w:p w14:paraId="08FD3EFE">
            <w:pPr>
              <w:pStyle w:val="17"/>
              <w:spacing w:before="11"/>
              <w:jc w:val="left"/>
              <w:rPr>
                <w:b/>
                <w:sz w:val="25"/>
              </w:rPr>
            </w:pPr>
          </w:p>
          <w:p w14:paraId="6CC7D616">
            <w:pPr>
              <w:pStyle w:val="17"/>
              <w:ind w:left="89" w:right="81"/>
              <w:rPr>
                <w:sz w:val="21"/>
              </w:rPr>
            </w:pPr>
            <w:r>
              <w:rPr>
                <w:sz w:val="21"/>
              </w:rPr>
              <w:t>泄漏</w:t>
            </w:r>
          </w:p>
        </w:tc>
        <w:tc>
          <w:tcPr>
            <w:tcW w:w="2895" w:type="dxa"/>
          </w:tcPr>
          <w:p w14:paraId="512F77F2">
            <w:pPr>
              <w:pStyle w:val="17"/>
              <w:spacing w:before="176" w:line="278" w:lineRule="auto"/>
              <w:ind w:left="1130" w:right="177" w:hanging="944"/>
              <w:jc w:val="left"/>
              <w:rPr>
                <w:sz w:val="21"/>
              </w:rPr>
            </w:pPr>
            <w:r>
              <w:rPr>
                <w:w w:val="95"/>
                <w:sz w:val="21"/>
              </w:rPr>
              <w:t>因操作不当导致液态危废倾</w:t>
            </w:r>
            <w:r>
              <w:rPr>
                <w:sz w:val="21"/>
              </w:rPr>
              <w:t>倒泄漏</w:t>
            </w:r>
          </w:p>
        </w:tc>
        <w:tc>
          <w:tcPr>
            <w:tcW w:w="3765" w:type="dxa"/>
            <w:tcBorders>
              <w:right w:val="nil"/>
            </w:tcBorders>
          </w:tcPr>
          <w:p w14:paraId="4B386646">
            <w:pPr>
              <w:pStyle w:val="17"/>
              <w:spacing w:before="20" w:line="278" w:lineRule="auto"/>
              <w:ind w:left="76" w:right="71"/>
              <w:rPr>
                <w:sz w:val="21"/>
              </w:rPr>
            </w:pPr>
            <w:r>
              <w:rPr>
                <w:w w:val="95"/>
                <w:sz w:val="21"/>
              </w:rPr>
              <w:t>液态危废量很少，可控制在厂区内，不会对大气环境、周边水体、土壤等造成</w:t>
            </w:r>
          </w:p>
          <w:p w14:paraId="7EDA6B8B">
            <w:pPr>
              <w:pStyle w:val="17"/>
              <w:spacing w:line="269" w:lineRule="exact"/>
              <w:ind w:left="73" w:right="71"/>
              <w:rPr>
                <w:sz w:val="21"/>
              </w:rPr>
            </w:pPr>
            <w:r>
              <w:rPr>
                <w:sz w:val="21"/>
              </w:rPr>
              <w:t>影响</w:t>
            </w:r>
          </w:p>
        </w:tc>
      </w:tr>
      <w:tr w14:paraId="5C69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794" w:type="dxa"/>
            <w:tcBorders>
              <w:left w:val="nil"/>
            </w:tcBorders>
          </w:tcPr>
          <w:p w14:paraId="59D48FA5">
            <w:pPr>
              <w:pStyle w:val="17"/>
              <w:spacing w:before="142" w:line="278" w:lineRule="auto"/>
              <w:ind w:left="191" w:right="177"/>
              <w:jc w:val="left"/>
              <w:rPr>
                <w:sz w:val="21"/>
              </w:rPr>
            </w:pPr>
            <w:r>
              <w:rPr>
                <w:w w:val="95"/>
                <w:sz w:val="21"/>
              </w:rPr>
              <w:t>环保设施</w:t>
            </w:r>
          </w:p>
        </w:tc>
        <w:tc>
          <w:tcPr>
            <w:tcW w:w="1063" w:type="dxa"/>
          </w:tcPr>
          <w:p w14:paraId="1C045E60">
            <w:pPr>
              <w:pStyle w:val="17"/>
              <w:spacing w:before="142" w:line="278" w:lineRule="auto"/>
              <w:ind w:left="321" w:right="102" w:hanging="212"/>
              <w:jc w:val="left"/>
              <w:rPr>
                <w:sz w:val="21"/>
              </w:rPr>
            </w:pPr>
            <w:r>
              <w:rPr>
                <w:w w:val="95"/>
                <w:sz w:val="21"/>
              </w:rPr>
              <w:t>废气事故</w:t>
            </w:r>
            <w:r>
              <w:rPr>
                <w:sz w:val="21"/>
              </w:rPr>
              <w:t>排放</w:t>
            </w:r>
          </w:p>
        </w:tc>
        <w:tc>
          <w:tcPr>
            <w:tcW w:w="2895" w:type="dxa"/>
          </w:tcPr>
          <w:p w14:paraId="70F16441">
            <w:pPr>
              <w:pStyle w:val="17"/>
              <w:spacing w:before="142" w:line="278" w:lineRule="auto"/>
              <w:ind w:left="501" w:right="98" w:hanging="394"/>
              <w:jc w:val="left"/>
              <w:rPr>
                <w:sz w:val="21"/>
              </w:rPr>
            </w:pPr>
            <w:r>
              <w:rPr>
                <w:w w:val="95"/>
                <w:sz w:val="21"/>
              </w:rPr>
              <w:t>废气处理设施发生断电、风机</w:t>
            </w:r>
            <w:r>
              <w:rPr>
                <w:sz w:val="21"/>
              </w:rPr>
              <w:t>故障、活性炭失效等</w:t>
            </w:r>
          </w:p>
        </w:tc>
        <w:tc>
          <w:tcPr>
            <w:tcW w:w="3765" w:type="dxa"/>
            <w:tcBorders>
              <w:right w:val="nil"/>
            </w:tcBorders>
          </w:tcPr>
          <w:p w14:paraId="1CE5686E">
            <w:pPr>
              <w:pStyle w:val="17"/>
              <w:spacing w:before="3"/>
              <w:jc w:val="left"/>
              <w:rPr>
                <w:b/>
                <w:sz w:val="23"/>
              </w:rPr>
            </w:pPr>
          </w:p>
          <w:p w14:paraId="47DABF10">
            <w:pPr>
              <w:pStyle w:val="17"/>
              <w:ind w:left="73" w:right="71"/>
              <w:rPr>
                <w:sz w:val="21"/>
              </w:rPr>
            </w:pPr>
            <w:r>
              <w:rPr>
                <w:sz w:val="21"/>
              </w:rPr>
              <w:t>将对大气环境造成一定的不利影响</w:t>
            </w:r>
          </w:p>
        </w:tc>
      </w:tr>
    </w:tbl>
    <w:p w14:paraId="479779D1">
      <w:pPr>
        <w:pStyle w:val="10"/>
        <w:spacing w:before="80"/>
        <w:ind w:left="1100"/>
      </w:pPr>
      <w:r>
        <w:rPr>
          <w:rFonts w:ascii="Times New Roman" w:eastAsia="Times New Roman"/>
        </w:rPr>
        <w:t>1</w:t>
      </w:r>
      <w:r>
        <w:t>、原辅材料和产品危险特性分析</w:t>
      </w:r>
    </w:p>
    <w:p w14:paraId="217782A3">
      <w:pPr>
        <w:pStyle w:val="10"/>
        <w:spacing w:before="161" w:line="364" w:lineRule="auto"/>
        <w:ind w:left="620" w:right="705" w:firstLine="480"/>
        <w:jc w:val="both"/>
      </w:pPr>
      <w:r>
        <w:rPr>
          <w:spacing w:val="-12"/>
        </w:rPr>
        <w:t xml:space="preserve">项目原料 </w:t>
      </w:r>
      <w:r>
        <w:rPr>
          <w:rFonts w:ascii="Times New Roman" w:eastAsia="Times New Roman"/>
        </w:rPr>
        <w:t xml:space="preserve">PE </w:t>
      </w:r>
      <w:r>
        <w:rPr>
          <w:spacing w:val="-12"/>
        </w:rPr>
        <w:t xml:space="preserve">新料、废 </w:t>
      </w:r>
      <w:r>
        <w:rPr>
          <w:rFonts w:ascii="Times New Roman" w:eastAsia="Times New Roman"/>
        </w:rPr>
        <w:t xml:space="preserve">PE </w:t>
      </w:r>
      <w:r>
        <w:t>塑料、</w:t>
      </w:r>
      <w:r>
        <w:rPr>
          <w:rFonts w:ascii="Times New Roman" w:eastAsia="Times New Roman"/>
        </w:rPr>
        <w:t xml:space="preserve">PE </w:t>
      </w:r>
      <w:r>
        <w:t>蜡具有可燃性，在该原料运输过程中、贮存在仓库中可能发生火灾，燃烧后释放有害废气，将产生一定的环境风险。</w:t>
      </w:r>
    </w:p>
    <w:p w14:paraId="7661EA91">
      <w:pPr>
        <w:pStyle w:val="10"/>
        <w:spacing w:before="1" w:line="364" w:lineRule="auto"/>
        <w:ind w:left="620" w:right="737" w:firstLine="480"/>
        <w:jc w:val="both"/>
      </w:pPr>
      <w:r>
        <w:rPr>
          <w:rFonts w:ascii="Times New Roman" w:eastAsia="Times New Roman"/>
        </w:rPr>
        <w:t xml:space="preserve">PE </w:t>
      </w:r>
      <w:r>
        <w:rPr>
          <w:spacing w:val="-11"/>
        </w:rPr>
        <w:t xml:space="preserve">新料、废 </w:t>
      </w:r>
      <w:r>
        <w:rPr>
          <w:rFonts w:ascii="Times New Roman" w:eastAsia="Times New Roman"/>
        </w:rPr>
        <w:t xml:space="preserve">PE </w:t>
      </w:r>
      <w:r>
        <w:t>塑料、</w:t>
      </w:r>
      <w:r>
        <w:rPr>
          <w:rFonts w:ascii="Times New Roman" w:eastAsia="Times New Roman"/>
        </w:rPr>
        <w:t xml:space="preserve">PE </w:t>
      </w:r>
      <w:r>
        <w:rPr>
          <w:spacing w:val="-6"/>
        </w:rPr>
        <w:t xml:space="preserve">蜡燃烧伴随大量的 </w:t>
      </w:r>
      <w:r>
        <w:rPr>
          <w:rFonts w:ascii="Times New Roman" w:eastAsia="Times New Roman"/>
        </w:rPr>
        <w:t xml:space="preserve">CO </w:t>
      </w:r>
      <w:r>
        <w:t>及有毒有害的塑料分解产</w:t>
      </w:r>
      <w:r>
        <w:rPr>
          <w:spacing w:val="-9"/>
        </w:rPr>
        <w:t>物产生，将威胁作业人员的生命安全，造成重大生命、财产损失，并对周围环境</w:t>
      </w:r>
      <w:r>
        <w:rPr>
          <w:spacing w:val="-11"/>
        </w:rPr>
        <w:t>产生影响。塑料粉末与空气易形成混合物，浓度达爆炸极限遇高热、明火、电火花等发生火灾爆炸（闪爆）。</w:t>
      </w:r>
    </w:p>
    <w:p w14:paraId="6EF40529">
      <w:pPr>
        <w:pStyle w:val="10"/>
        <w:spacing w:before="2"/>
        <w:ind w:left="1100"/>
      </w:pPr>
      <w:r>
        <w:rPr>
          <w:rFonts w:ascii="Times New Roman" w:eastAsia="Times New Roman"/>
        </w:rPr>
        <w:t>2</w:t>
      </w:r>
      <w:r>
        <w:t>、生产过程风险识别</w:t>
      </w:r>
    </w:p>
    <w:p w14:paraId="1DB2B6B9">
      <w:pPr>
        <w:spacing w:after="0"/>
        <w:sectPr>
          <w:pgSz w:w="11910" w:h="16840"/>
          <w:pgMar w:top="1460" w:right="1060" w:bottom="1380" w:left="1180" w:header="0" w:footer="1192" w:gutter="0"/>
          <w:cols w:space="720" w:num="1"/>
        </w:sectPr>
      </w:pPr>
    </w:p>
    <w:p w14:paraId="09C8B6F3">
      <w:pPr>
        <w:pStyle w:val="10"/>
        <w:spacing w:before="42" w:line="364" w:lineRule="auto"/>
        <w:ind w:left="620" w:right="737" w:firstLine="600"/>
      </w:pPr>
      <w:r>
        <w:t>根据本项目的特点，生产过程事故风险类型为废气事故排放及火灾造成对环境的次生危害。</w:t>
      </w:r>
    </w:p>
    <w:p w14:paraId="14015FE0">
      <w:pPr>
        <w:pStyle w:val="10"/>
        <w:spacing w:before="1"/>
        <w:ind w:left="1100"/>
      </w:pPr>
      <w:r>
        <w:t>废气风险排放的境风险风析：</w:t>
      </w:r>
    </w:p>
    <w:p w14:paraId="60E98560">
      <w:pPr>
        <w:pStyle w:val="10"/>
        <w:spacing w:before="161"/>
        <w:ind w:left="1100"/>
      </w:pPr>
      <w:r>
        <w:t>应急处置：（</w:t>
      </w:r>
      <w:r>
        <w:rPr>
          <w:rFonts w:ascii="Times New Roman" w:eastAsia="Times New Roman"/>
        </w:rPr>
        <w:t>1</w:t>
      </w:r>
      <w:r>
        <w:t>）停止生产作业；（</w:t>
      </w:r>
      <w:r>
        <w:rPr>
          <w:rFonts w:ascii="Times New Roman" w:eastAsia="Times New Roman"/>
        </w:rPr>
        <w:t>2</w:t>
      </w:r>
      <w:r>
        <w:t>）对故障废气设备进行维修，停止生产；</w:t>
      </w:r>
    </w:p>
    <w:p w14:paraId="578F2D1D">
      <w:pPr>
        <w:pStyle w:val="10"/>
        <w:spacing w:before="160" w:line="364" w:lineRule="auto"/>
        <w:ind w:left="620" w:right="737" w:firstLine="480"/>
        <w:jc w:val="both"/>
      </w:pPr>
      <w:r>
        <w:t>（</w:t>
      </w:r>
      <w:r>
        <w:rPr>
          <w:rFonts w:ascii="Times New Roman" w:eastAsia="Times New Roman"/>
        </w:rPr>
        <w:t>3</w:t>
      </w:r>
      <w:r>
        <w:t>）发现严重超标时，立即通知运行人员立即实施部分停工或减少废气排放，并迅速调查清楚超标原因应急；（</w:t>
      </w:r>
      <w:r>
        <w:rPr>
          <w:rFonts w:ascii="Times New Roman" w:eastAsia="Times New Roman"/>
        </w:rPr>
        <w:t>4</w:t>
      </w:r>
      <w:r>
        <w:t xml:space="preserve">）消防小组到达现场后根据现场情况， </w:t>
      </w:r>
      <w:r>
        <w:rPr>
          <w:spacing w:val="-7"/>
        </w:rPr>
        <w:t>组织人员进行现场救援，后勤保障小组处置负责应急物资的调用，确实应急救援</w:t>
      </w:r>
      <w:r>
        <w:rPr>
          <w:spacing w:val="-12"/>
        </w:rPr>
        <w:t>工作的顺利进行。组负责事故现场治安保卫，交通指挥，危险区域警戒，并负责</w:t>
      </w:r>
      <w:r>
        <w:rPr>
          <w:spacing w:val="-15"/>
        </w:rPr>
        <w:t>引导危险区域员工、群众撤离，疏散到风险源的上风和侧风向安全区域。通讯联络小组负责抢险救援过程的联络事宜。</w:t>
      </w:r>
    </w:p>
    <w:p w14:paraId="51F22E0A">
      <w:pPr>
        <w:pStyle w:val="10"/>
        <w:spacing w:before="4" w:line="364" w:lineRule="auto"/>
        <w:ind w:left="620" w:right="737" w:firstLine="480"/>
        <w:jc w:val="both"/>
      </w:pPr>
      <w:r>
        <w:t>预防措施：（</w:t>
      </w:r>
      <w:r>
        <w:rPr>
          <w:rFonts w:ascii="Times New Roman" w:eastAsia="Times New Roman"/>
        </w:rPr>
        <w:t>1</w:t>
      </w:r>
      <w:r>
        <w:t>）按照环保主管部门的规定，严格实行废气的总量控制，产量与废气处理设施的处理能力合理匹配；（</w:t>
      </w:r>
      <w:r>
        <w:rPr>
          <w:rFonts w:ascii="Times New Roman" w:eastAsia="Times New Roman"/>
        </w:rPr>
        <w:t>2</w:t>
      </w:r>
      <w:r>
        <w:t>）废气处理设施管理部门加强与其</w:t>
      </w:r>
      <w:r>
        <w:rPr>
          <w:spacing w:val="-10"/>
        </w:rPr>
        <w:t>他各部门的信息沟通，当废气量或污染因子须防浓度可能突然升高时提前发出预警信息措施；（</w:t>
      </w:r>
      <w:r>
        <w:rPr>
          <w:rFonts w:ascii="Times New Roman" w:eastAsia="Times New Roman"/>
          <w:spacing w:val="-10"/>
        </w:rPr>
        <w:t>3</w:t>
      </w:r>
      <w:r>
        <w:rPr>
          <w:spacing w:val="-10"/>
        </w:rPr>
        <w:t>）加强废气处理设备设施及废气排放管道的维护、管理、发现故障及时修复；（</w:t>
      </w:r>
      <w:r>
        <w:rPr>
          <w:rFonts w:ascii="Times New Roman" w:eastAsia="Times New Roman"/>
          <w:spacing w:val="-10"/>
        </w:rPr>
        <w:t>4</w:t>
      </w:r>
      <w:r>
        <w:rPr>
          <w:spacing w:val="-10"/>
        </w:rPr>
        <w:t>）结合实际，制定科学的废气处理操作规程，实行标准化操作：操作人员外送培训合格，持证上岗。</w:t>
      </w:r>
    </w:p>
    <w:p w14:paraId="0FE7FDD6">
      <w:pPr>
        <w:pStyle w:val="10"/>
        <w:spacing w:before="3"/>
        <w:ind w:left="1100"/>
      </w:pPr>
      <w:r>
        <w:rPr>
          <w:rFonts w:ascii="Times New Roman" w:eastAsia="Times New Roman"/>
        </w:rPr>
        <w:t>3</w:t>
      </w:r>
      <w:r>
        <w:t>、火灾风险识别</w:t>
      </w:r>
    </w:p>
    <w:p w14:paraId="5B789EDE">
      <w:pPr>
        <w:pStyle w:val="10"/>
        <w:spacing w:before="161"/>
        <w:ind w:left="1100"/>
      </w:pPr>
      <w:r>
        <w:t>（</w:t>
      </w:r>
      <w:r>
        <w:rPr>
          <w:rFonts w:ascii="Times New Roman" w:eastAsia="Times New Roman"/>
        </w:rPr>
        <w:t>1</w:t>
      </w:r>
      <w:r>
        <w:t>）产品存储环境因素分析</w:t>
      </w:r>
    </w:p>
    <w:p w14:paraId="160B1A7F">
      <w:pPr>
        <w:pStyle w:val="10"/>
        <w:spacing w:before="160" w:line="364" w:lineRule="auto"/>
        <w:ind w:left="620" w:right="617" w:firstLine="480"/>
      </w:pPr>
      <w:r>
        <w:rPr>
          <w:spacing w:val="-12"/>
        </w:rPr>
        <w:t xml:space="preserve">项目原料 </w:t>
      </w:r>
      <w:r>
        <w:rPr>
          <w:rFonts w:ascii="Times New Roman" w:eastAsia="Times New Roman"/>
        </w:rPr>
        <w:t xml:space="preserve">PE </w:t>
      </w:r>
      <w:r>
        <w:rPr>
          <w:spacing w:val="-17"/>
        </w:rPr>
        <w:t xml:space="preserve">新料、废 </w:t>
      </w:r>
      <w:r>
        <w:rPr>
          <w:rFonts w:ascii="Times New Roman" w:eastAsia="Times New Roman"/>
        </w:rPr>
        <w:t xml:space="preserve">PE </w:t>
      </w:r>
      <w:r>
        <w:rPr>
          <w:spacing w:val="-6"/>
        </w:rPr>
        <w:t>塑料、</w:t>
      </w:r>
      <w:r>
        <w:rPr>
          <w:rFonts w:ascii="Times New Roman" w:eastAsia="Times New Roman"/>
        </w:rPr>
        <w:t xml:space="preserve">PE </w:t>
      </w:r>
      <w:r>
        <w:t>蜡等储存过程中存在的环境风险为火灾</w:t>
      </w:r>
      <w:r>
        <w:rPr>
          <w:spacing w:val="-15"/>
        </w:rPr>
        <w:t xml:space="preserve">风险。诱发火灾的因素主要有：违章吸烟、动火；使用气焊、电焊等进行维修时， </w:t>
      </w:r>
      <w:r>
        <w:rPr>
          <w:spacing w:val="-16"/>
        </w:rPr>
        <w:t>未采取有效防护措施；电气线路和电气设施在开关断开、接触不良、短路、漏电</w:t>
      </w:r>
      <w:r>
        <w:rPr>
          <w:spacing w:val="-14"/>
        </w:rPr>
        <w:t>时产生火花，以及静电放电火花；未采取有效避雷措施，或者避雷措施失效而导致雷击失火等。</w:t>
      </w:r>
    </w:p>
    <w:p w14:paraId="4D33B807">
      <w:pPr>
        <w:pStyle w:val="10"/>
        <w:spacing w:before="3"/>
        <w:ind w:left="1100"/>
      </w:pPr>
      <w:r>
        <w:t>（</w:t>
      </w:r>
      <w:r>
        <w:rPr>
          <w:rFonts w:ascii="Times New Roman" w:eastAsia="Times New Roman"/>
        </w:rPr>
        <w:t>2</w:t>
      </w:r>
      <w:r>
        <w:t>）事故次生</w:t>
      </w:r>
      <w:r>
        <w:rPr>
          <w:rFonts w:ascii="Times New Roman" w:eastAsia="Times New Roman"/>
        </w:rPr>
        <w:t>/</w:t>
      </w:r>
      <w:r>
        <w:t>伴生污染影响分析</w:t>
      </w:r>
    </w:p>
    <w:p w14:paraId="435A0F1E">
      <w:pPr>
        <w:pStyle w:val="10"/>
        <w:spacing w:before="161"/>
        <w:ind w:left="1100"/>
      </w:pPr>
      <w:r>
        <w:t>①大气环境影响</w:t>
      </w:r>
    </w:p>
    <w:p w14:paraId="6DB5BB5E">
      <w:pPr>
        <w:pStyle w:val="10"/>
        <w:spacing w:before="160" w:line="364" w:lineRule="auto"/>
        <w:ind w:left="620" w:right="550" w:firstLine="480"/>
      </w:pPr>
      <w:r>
        <w:t xml:space="preserve">发生火灾对环境的污染影响主要来自物料燃烧释放的大量 </w:t>
      </w:r>
      <w:r>
        <w:rPr>
          <w:rFonts w:ascii="Times New Roman" w:eastAsia="Times New Roman"/>
        </w:rPr>
        <w:t>CO</w:t>
      </w:r>
      <w:r>
        <w:rPr>
          <w:rFonts w:ascii="Times New Roman" w:eastAsia="Times New Roman"/>
          <w:spacing w:val="58"/>
        </w:rPr>
        <w:t xml:space="preserve"> </w:t>
      </w:r>
      <w:r>
        <w:t>等有害气体。参照《建设项目环境风险评价技术导则》（</w:t>
      </w:r>
      <w:r>
        <w:rPr>
          <w:rFonts w:ascii="Times New Roman" w:eastAsia="Times New Roman"/>
        </w:rPr>
        <w:t>HJ169-2018</w:t>
      </w:r>
      <w:r>
        <w:t>）</w:t>
      </w:r>
      <w:r>
        <w:rPr>
          <w:spacing w:val="0"/>
        </w:rPr>
        <w:t xml:space="preserve">附录 </w:t>
      </w:r>
      <w:r>
        <w:rPr>
          <w:rFonts w:ascii="Times New Roman" w:eastAsia="Times New Roman"/>
        </w:rPr>
        <w:t>F</w:t>
      </w:r>
      <w:r>
        <w:rPr>
          <w:rFonts w:ascii="Times New Roman" w:eastAsia="Times New Roman"/>
          <w:spacing w:val="0"/>
        </w:rPr>
        <w:t xml:space="preserve">  </w:t>
      </w:r>
      <w:r>
        <w:t>中关于油品火灾伴生</w:t>
      </w:r>
      <w:r>
        <w:rPr>
          <w:rFonts w:ascii="Times New Roman" w:eastAsia="Times New Roman"/>
        </w:rPr>
        <w:t>/</w:t>
      </w:r>
      <w:r>
        <w:rPr>
          <w:spacing w:val="-1"/>
        </w:rPr>
        <w:t xml:space="preserve">次生 </w:t>
      </w:r>
      <w:r>
        <w:rPr>
          <w:rFonts w:ascii="Times New Roman" w:eastAsia="Times New Roman"/>
        </w:rPr>
        <w:t xml:space="preserve">CO </w:t>
      </w:r>
      <w:r>
        <w:rPr>
          <w:spacing w:val="-4"/>
        </w:rPr>
        <w:t xml:space="preserve">产生量的计算公式估算本项目发生火灾时的 </w:t>
      </w:r>
      <w:r>
        <w:rPr>
          <w:rFonts w:ascii="Times New Roman" w:eastAsia="Times New Roman"/>
        </w:rPr>
        <w:t xml:space="preserve">CO </w:t>
      </w:r>
      <w:r>
        <w:t>产生量。</w:t>
      </w:r>
    </w:p>
    <w:p w14:paraId="7A18B0A7">
      <w:pPr>
        <w:pStyle w:val="10"/>
        <w:spacing w:before="2"/>
        <w:ind w:left="1100"/>
        <w:rPr>
          <w:rFonts w:ascii="Times New Roman" w:eastAsia="Times New Roman"/>
        </w:rPr>
      </w:pPr>
      <w:r>
        <w:rPr>
          <w:rFonts w:ascii="Times New Roman" w:eastAsia="Times New Roman"/>
        </w:rPr>
        <w:t>G</w:t>
      </w:r>
      <w:r>
        <w:rPr>
          <w:rFonts w:ascii="Times New Roman" w:eastAsia="Times New Roman"/>
          <w:spacing w:val="57"/>
        </w:rPr>
        <w:t xml:space="preserve"> </w:t>
      </w:r>
      <w:r>
        <w:t>一氧化碳</w:t>
      </w:r>
      <w:r>
        <w:rPr>
          <w:rFonts w:ascii="Times New Roman" w:eastAsia="Times New Roman"/>
        </w:rPr>
        <w:t>=2330qCQ</w:t>
      </w:r>
    </w:p>
    <w:p w14:paraId="3FE4404F">
      <w:pPr>
        <w:spacing w:after="0"/>
        <w:rPr>
          <w:rFonts w:ascii="Times New Roman" w:eastAsia="Times New Roman"/>
        </w:rPr>
        <w:sectPr>
          <w:pgSz w:w="11910" w:h="16840"/>
          <w:pgMar w:top="1460" w:right="1060" w:bottom="1380" w:left="1180" w:header="0" w:footer="1192" w:gutter="0"/>
          <w:cols w:space="720" w:num="1"/>
        </w:sectPr>
      </w:pPr>
    </w:p>
    <w:p w14:paraId="7D2F5822">
      <w:pPr>
        <w:pStyle w:val="10"/>
        <w:spacing w:before="62"/>
        <w:ind w:left="1100"/>
      </w:pPr>
      <w:r>
        <w:rPr>
          <w:rFonts w:ascii="Times New Roman" w:hAnsi="Times New Roman" w:eastAsia="Times New Roman"/>
        </w:rPr>
        <w:t>G</w:t>
      </w:r>
      <w:r>
        <w:rPr>
          <w:rFonts w:ascii="Times New Roman" w:hAnsi="Times New Roman" w:eastAsia="Times New Roman"/>
          <w:spacing w:val="57"/>
        </w:rPr>
        <w:t xml:space="preserve"> </w:t>
      </w:r>
      <w:r>
        <w:t>一氧化碳</w:t>
      </w:r>
      <w:r>
        <w:rPr>
          <w:rFonts w:ascii="Times New Roman" w:hAnsi="Times New Roman" w:eastAsia="Times New Roman"/>
        </w:rPr>
        <w:t>—CO</w:t>
      </w:r>
      <w:r>
        <w:rPr>
          <w:rFonts w:ascii="Times New Roman" w:hAnsi="Times New Roman" w:eastAsia="Times New Roman"/>
          <w:spacing w:val="57"/>
        </w:rPr>
        <w:t xml:space="preserve"> </w:t>
      </w:r>
      <w:r>
        <w:t>的产生量，</w:t>
      </w:r>
      <w:r>
        <w:rPr>
          <w:rFonts w:ascii="Times New Roman" w:hAnsi="Times New Roman" w:eastAsia="Times New Roman"/>
        </w:rPr>
        <w:t>kg/s</w:t>
      </w:r>
      <w:r>
        <w:t>；</w:t>
      </w:r>
    </w:p>
    <w:p w14:paraId="5B10EF49">
      <w:pPr>
        <w:pStyle w:val="10"/>
        <w:spacing w:before="160"/>
        <w:ind w:left="1100"/>
      </w:pPr>
      <w:r>
        <w:rPr>
          <w:rFonts w:ascii="Times New Roman" w:hAnsi="Times New Roman" w:eastAsia="Times New Roman"/>
        </w:rPr>
        <w:t>C—</w:t>
      </w:r>
      <w:r>
        <w:t xml:space="preserve">物质中碳的含量，取 </w:t>
      </w:r>
      <w:r>
        <w:rPr>
          <w:rFonts w:ascii="Times New Roman" w:hAnsi="Times New Roman" w:eastAsia="Times New Roman"/>
        </w:rPr>
        <w:t>85%</w:t>
      </w:r>
      <w:r>
        <w:t>；</w:t>
      </w:r>
    </w:p>
    <w:p w14:paraId="241C88BB">
      <w:pPr>
        <w:pStyle w:val="10"/>
        <w:spacing w:before="161"/>
        <w:ind w:left="1100"/>
      </w:pPr>
      <w:r>
        <w:rPr>
          <w:rFonts w:ascii="Times New Roman" w:hAnsi="Times New Roman" w:eastAsia="Times New Roman"/>
        </w:rPr>
        <w:t>q—</w:t>
      </w:r>
      <w:r>
        <w:t>化学不完全燃烧值，</w:t>
      </w:r>
      <w:r>
        <w:rPr>
          <w:rFonts w:ascii="Times New Roman" w:hAnsi="Times New Roman" w:eastAsia="Times New Roman"/>
        </w:rPr>
        <w:t>1.5%~6.0%</w:t>
      </w:r>
      <w:r>
        <w:t xml:space="preserve">，取 </w:t>
      </w:r>
      <w:r>
        <w:rPr>
          <w:rFonts w:ascii="Times New Roman" w:hAnsi="Times New Roman" w:eastAsia="Times New Roman"/>
        </w:rPr>
        <w:t>3.5%</w:t>
      </w:r>
      <w:r>
        <w:t>；</w:t>
      </w:r>
    </w:p>
    <w:p w14:paraId="30E5D754">
      <w:pPr>
        <w:pStyle w:val="10"/>
        <w:spacing w:before="160"/>
        <w:ind w:left="1100"/>
      </w:pPr>
      <w:r>
        <w:rPr>
          <w:rFonts w:ascii="Times New Roman" w:hAnsi="Times New Roman" w:eastAsia="Times New Roman"/>
        </w:rPr>
        <w:t>Q—</w:t>
      </w:r>
      <w:r>
        <w:t>参与燃烧的物质量，</w:t>
      </w:r>
      <w:r>
        <w:rPr>
          <w:rFonts w:ascii="Times New Roman" w:hAnsi="Times New Roman" w:eastAsia="Times New Roman"/>
        </w:rPr>
        <w:t>t/s</w:t>
      </w:r>
      <w:r>
        <w:t>。</w:t>
      </w:r>
    </w:p>
    <w:p w14:paraId="1774C462">
      <w:pPr>
        <w:pStyle w:val="10"/>
        <w:spacing w:before="161" w:line="364" w:lineRule="auto"/>
        <w:ind w:left="620" w:right="737" w:firstLine="480"/>
        <w:jc w:val="both"/>
      </w:pPr>
      <w:r>
        <w:rPr>
          <w:spacing w:val="-4"/>
        </w:rPr>
        <w:t xml:space="preserve">按参与燃烧的物质量为 </w:t>
      </w:r>
      <w:r>
        <w:rPr>
          <w:rFonts w:ascii="Times New Roman" w:eastAsia="Times New Roman"/>
        </w:rPr>
        <w:t xml:space="preserve">10kg/s </w:t>
      </w:r>
      <w:r>
        <w:t>计算，根据上述公式，本项目发生火灾时， 火灾伴生</w:t>
      </w:r>
      <w:r>
        <w:rPr>
          <w:rFonts w:ascii="Times New Roman" w:eastAsia="Times New Roman"/>
        </w:rPr>
        <w:t>/</w:t>
      </w:r>
      <w:r>
        <w:rPr>
          <w:spacing w:val="-11"/>
        </w:rPr>
        <w:t xml:space="preserve">次生污染物 </w:t>
      </w:r>
      <w:r>
        <w:rPr>
          <w:rFonts w:ascii="Times New Roman" w:eastAsia="Times New Roman"/>
        </w:rPr>
        <w:t xml:space="preserve">CO </w:t>
      </w:r>
      <w:r>
        <w:rPr>
          <w:spacing w:val="-9"/>
        </w:rPr>
        <w:t xml:space="preserve">的产生速率为 </w:t>
      </w:r>
      <w:r>
        <w:rPr>
          <w:rFonts w:ascii="Times New Roman" w:eastAsia="Times New Roman"/>
        </w:rPr>
        <w:t>0.69kg/s</w:t>
      </w:r>
      <w:r>
        <w:rPr>
          <w:spacing w:val="-13"/>
        </w:rPr>
        <w:t xml:space="preserve">，按燃烧 </w:t>
      </w:r>
      <w:r>
        <w:rPr>
          <w:rFonts w:ascii="Times New Roman" w:eastAsia="Times New Roman"/>
        </w:rPr>
        <w:t xml:space="preserve">1 </w:t>
      </w:r>
      <w:r>
        <w:rPr>
          <w:spacing w:val="-12"/>
        </w:rPr>
        <w:t xml:space="preserve">小时计算，则 </w:t>
      </w:r>
      <w:r>
        <w:rPr>
          <w:rFonts w:ascii="Times New Roman" w:eastAsia="Times New Roman"/>
        </w:rPr>
        <w:t xml:space="preserve">CO </w:t>
      </w:r>
      <w:r>
        <w:t>的</w:t>
      </w:r>
      <w:r>
        <w:rPr>
          <w:spacing w:val="-13"/>
        </w:rPr>
        <w:t xml:space="preserve">产生量为 </w:t>
      </w:r>
      <w:r>
        <w:rPr>
          <w:rFonts w:ascii="Times New Roman" w:eastAsia="Times New Roman"/>
        </w:rPr>
        <w:t>2.5t</w:t>
      </w:r>
      <w:r>
        <w:t>。</w:t>
      </w:r>
    </w:p>
    <w:p w14:paraId="0B8A297E">
      <w:pPr>
        <w:pStyle w:val="10"/>
        <w:spacing w:before="2" w:line="364" w:lineRule="auto"/>
        <w:ind w:left="620" w:right="617" w:firstLine="480"/>
      </w:pPr>
      <w:r>
        <w:t>在正常情况下，空气的组成有氮气、氧气、二氧化碳及氢、氖、臭氧、氪、</w:t>
      </w:r>
      <w:r>
        <w:rPr>
          <w:spacing w:val="-8"/>
        </w:rPr>
        <w:t>氙和尘等，而物料燃烧所产生浓烟和恶臭；另外还有一氧化碳、硫化物、氮氧化</w:t>
      </w:r>
      <w:r>
        <w:rPr>
          <w:spacing w:val="-22"/>
        </w:rPr>
        <w:t>物、</w:t>
      </w:r>
      <w:r>
        <w:rPr>
          <w:rFonts w:ascii="Times New Roman" w:eastAsia="Times New Roman"/>
        </w:rPr>
        <w:t xml:space="preserve">VOCS </w:t>
      </w:r>
      <w:r>
        <w:rPr>
          <w:spacing w:val="-9"/>
        </w:rPr>
        <w:t xml:space="preserve">及烟尘等，对环境和人体健康产生较大危害是 </w:t>
      </w:r>
      <w:r>
        <w:rPr>
          <w:rFonts w:ascii="Times New Roman" w:eastAsia="Times New Roman"/>
        </w:rPr>
        <w:t>CO</w:t>
      </w:r>
      <w:r>
        <w:rPr>
          <w:spacing w:val="-39"/>
        </w:rPr>
        <w:t>、</w:t>
      </w:r>
      <w:r>
        <w:rPr>
          <w:rFonts w:ascii="Times New Roman" w:eastAsia="Times New Roman"/>
        </w:rPr>
        <w:t>NOX</w:t>
      </w:r>
      <w:r>
        <w:rPr>
          <w:spacing w:val="-7"/>
        </w:rPr>
        <w:t>、硫氧化物、烟尘等有害物质。</w:t>
      </w:r>
    </w:p>
    <w:p w14:paraId="114E0A0E">
      <w:pPr>
        <w:pStyle w:val="10"/>
        <w:spacing w:before="2" w:line="364" w:lineRule="auto"/>
        <w:ind w:left="620" w:right="737" w:firstLine="480"/>
        <w:jc w:val="both"/>
      </w:pPr>
      <w:r>
        <w:rPr>
          <w:spacing w:val="-7"/>
        </w:rPr>
        <w:t>一氧化碳产生量相对较大，危害也较大，一氧化碳的浓度过高或持续时间过</w:t>
      </w:r>
      <w:r>
        <w:rPr>
          <w:spacing w:val="-13"/>
        </w:rPr>
        <w:t>长都会使人窒息或死亡。一般情况下，火场附近的一氧化碳的浓度较高</w:t>
      </w:r>
      <w:r>
        <w:t>（浓度可</w:t>
      </w:r>
      <w:r>
        <w:rPr>
          <w:spacing w:val="5"/>
        </w:rPr>
        <w:t xml:space="preserve">达 </w:t>
      </w:r>
      <w:r>
        <w:rPr>
          <w:rFonts w:ascii="Times New Roman" w:eastAsia="Times New Roman"/>
        </w:rPr>
        <w:t>0.02%</w:t>
      </w:r>
      <w:r>
        <w:t>）</w:t>
      </w:r>
      <w:r>
        <w:rPr>
          <w:spacing w:val="-10"/>
        </w:rPr>
        <w:t xml:space="preserve">，而距火场 </w:t>
      </w:r>
      <w:r>
        <w:rPr>
          <w:rFonts w:ascii="Times New Roman" w:eastAsia="Times New Roman"/>
        </w:rPr>
        <w:t xml:space="preserve">30m </w:t>
      </w:r>
      <w:r>
        <w:t>处，一氧化碳的浓度逐渐降低（</w:t>
      </w:r>
      <w:r>
        <w:rPr>
          <w:rFonts w:ascii="Times New Roman" w:eastAsia="Times New Roman"/>
        </w:rPr>
        <w:t>0.001%</w:t>
      </w:r>
      <w:r>
        <w:t xml:space="preserve">）。因此， </w:t>
      </w:r>
      <w:r>
        <w:rPr>
          <w:spacing w:val="-5"/>
        </w:rPr>
        <w:t>近距离靠近火场会造成一氧化碳中毒的危险。据以往报道，在火灾而造成的人员死亡中，</w:t>
      </w:r>
      <w:r>
        <w:rPr>
          <w:rFonts w:ascii="Times New Roman" w:eastAsia="Times New Roman"/>
          <w:spacing w:val="-5"/>
        </w:rPr>
        <w:t xml:space="preserve">3/4 </w:t>
      </w:r>
      <w:r>
        <w:t>的人死于有害气体，而且有害气体中一氧化碳是主要的有毒物质。</w:t>
      </w:r>
      <w:r>
        <w:rPr>
          <w:spacing w:val="-7"/>
        </w:rPr>
        <w:t>空气中含有大量的氮气，无论对植物还是人类均没有危害作用。但当空气中的氮</w:t>
      </w:r>
      <w:r>
        <w:rPr>
          <w:spacing w:val="-8"/>
        </w:rPr>
        <w:t>被转化成氮氧化物和氮氢化物</w:t>
      </w:r>
      <w:r>
        <w:t>（</w:t>
      </w:r>
      <w:r>
        <w:rPr>
          <w:spacing w:val="-6"/>
        </w:rPr>
        <w:t>如二氧化氮、一氧化氮、氨气等</w:t>
      </w:r>
      <w:r>
        <w:rPr>
          <w:spacing w:val="-20"/>
        </w:rPr>
        <w:t>）</w:t>
      </w:r>
      <w:r>
        <w:rPr>
          <w:spacing w:val="-4"/>
        </w:rPr>
        <w:t>时，其危害作</w:t>
      </w:r>
      <w:r>
        <w:rPr>
          <w:spacing w:val="-10"/>
        </w:rPr>
        <w:t>用显著增加。二氧化氮具有强烈的刺激性，能引起哮喘、支气管炎、肺水肿等多</w:t>
      </w:r>
      <w:r>
        <w:rPr>
          <w:spacing w:val="-12"/>
        </w:rPr>
        <w:t xml:space="preserve">种疾病。当空气中二氧化氮浓度达到 </w:t>
      </w:r>
      <w:r>
        <w:rPr>
          <w:rFonts w:ascii="Times New Roman" w:eastAsia="Times New Roman"/>
        </w:rPr>
        <w:t>0.05%</w:t>
      </w:r>
      <w:r>
        <w:rPr>
          <w:spacing w:val="-6"/>
        </w:rPr>
        <w:t>时，就会使人致死。在火场之外的开</w:t>
      </w:r>
      <w:r>
        <w:rPr>
          <w:spacing w:val="-11"/>
        </w:rPr>
        <w:t>阔的空间内，由于烟雾扩散，二氧化氮的浓度被迅速稀释，不会对人体健康造成危害。</w:t>
      </w:r>
    </w:p>
    <w:p w14:paraId="2D7B1C1D">
      <w:pPr>
        <w:pStyle w:val="10"/>
        <w:spacing w:before="7" w:line="364" w:lineRule="auto"/>
        <w:ind w:left="620" w:right="737" w:firstLine="480"/>
        <w:jc w:val="both"/>
      </w:pPr>
      <w:r>
        <w:rPr>
          <w:spacing w:val="0"/>
        </w:rPr>
        <w:t>火灾发生时虽不可避免的对厂区内人员安全与生产设施产生较大的不利影</w:t>
      </w:r>
      <w:r>
        <w:rPr>
          <w:spacing w:val="-9"/>
        </w:rPr>
        <w:t>响，但火灾发生时有害气体对周围敏感点环境空气质量只产生暂时性影响，短时</w:t>
      </w:r>
      <w:r>
        <w:rPr>
          <w:spacing w:val="-13"/>
        </w:rPr>
        <w:t>内会造成周围敏感点环境空气质量一定成程度的恶化，但不会对人体健康造成损害。</w:t>
      </w:r>
    </w:p>
    <w:p w14:paraId="2766C074">
      <w:pPr>
        <w:pStyle w:val="16"/>
        <w:numPr>
          <w:ilvl w:val="2"/>
          <w:numId w:val="25"/>
        </w:numPr>
        <w:tabs>
          <w:tab w:val="left" w:pos="1249"/>
        </w:tabs>
        <w:spacing w:before="56" w:after="0" w:line="240" w:lineRule="auto"/>
        <w:ind w:left="1248" w:right="0" w:hanging="628"/>
        <w:jc w:val="left"/>
        <w:rPr>
          <w:b/>
          <w:sz w:val="28"/>
        </w:rPr>
      </w:pPr>
      <w:r>
        <w:rPr>
          <w:b/>
          <w:sz w:val="28"/>
        </w:rPr>
        <w:t>环境风险防范措施</w:t>
      </w:r>
    </w:p>
    <w:p w14:paraId="302D1BA8">
      <w:pPr>
        <w:pStyle w:val="10"/>
        <w:spacing w:before="132"/>
        <w:ind w:left="1100"/>
      </w:pPr>
      <w:r>
        <w:rPr>
          <w:rFonts w:ascii="Times New Roman" w:eastAsia="Times New Roman"/>
        </w:rPr>
        <w:t>1</w:t>
      </w:r>
      <w:r>
        <w:t>、废气事故排放环境风险防范措施</w:t>
      </w:r>
    </w:p>
    <w:p w14:paraId="155FDB72">
      <w:pPr>
        <w:pStyle w:val="10"/>
        <w:spacing w:before="161"/>
        <w:ind w:left="1100"/>
      </w:pPr>
      <w:r>
        <w:t>项目在生产管理出现事故或烟气治理设备出现故障时，会有浓度较高的粉尘、</w:t>
      </w:r>
    </w:p>
    <w:p w14:paraId="68F02605">
      <w:pPr>
        <w:spacing w:after="0"/>
        <w:sectPr>
          <w:pgSz w:w="11910" w:h="16840"/>
          <w:pgMar w:top="1440" w:right="1060" w:bottom="1380" w:left="1180" w:header="0" w:footer="1192" w:gutter="0"/>
          <w:cols w:space="720" w:num="1"/>
        </w:sectPr>
      </w:pPr>
    </w:p>
    <w:p w14:paraId="185E30A7">
      <w:pPr>
        <w:pStyle w:val="10"/>
        <w:spacing w:before="43"/>
        <w:ind w:left="620"/>
      </w:pPr>
      <w:r>
        <w:t>挥发性有机物排放。为控制和减少废气的事故排放，建议采取如下防范设施：</w:t>
      </w:r>
    </w:p>
    <w:p w14:paraId="09C6DFE0">
      <w:pPr>
        <w:pStyle w:val="10"/>
        <w:spacing w:before="160" w:line="362" w:lineRule="auto"/>
        <w:ind w:left="620" w:right="737" w:firstLine="480"/>
        <w:jc w:val="both"/>
      </w:pPr>
      <w:r>
        <w:rPr>
          <w:spacing w:val="-5"/>
        </w:rPr>
        <w:t>①平时加强废气处理设施的维护保养，及时发现处理设备的隐患，并及时进行维修，确保废气处理系统正常运行。</w:t>
      </w:r>
    </w:p>
    <w:p w14:paraId="05887637">
      <w:pPr>
        <w:pStyle w:val="10"/>
        <w:spacing w:before="5" w:line="362" w:lineRule="auto"/>
        <w:ind w:left="620" w:right="741" w:firstLine="480"/>
        <w:jc w:val="both"/>
      </w:pPr>
      <w:r>
        <w:rPr>
          <w:spacing w:val="-8"/>
        </w:rPr>
        <w:t>②每年定期对设备、管道进行检修，检修时，检修人员需在残留气体经风机排尽吸收后，再进行检修，同时需佩戴个人防护用具。</w:t>
      </w:r>
    </w:p>
    <w:p w14:paraId="62324968">
      <w:pPr>
        <w:pStyle w:val="10"/>
        <w:spacing w:before="5" w:line="362" w:lineRule="auto"/>
        <w:ind w:left="620" w:right="737" w:firstLine="480"/>
        <w:jc w:val="both"/>
      </w:pPr>
      <w:r>
        <w:rPr>
          <w:spacing w:val="-7"/>
        </w:rPr>
        <w:t>③建立健全的环保机构，配置必要的监测仪器，对管理人员和技术人员进行岗位培训，对废气处理实行全过程跟踪控制。</w:t>
      </w:r>
    </w:p>
    <w:p w14:paraId="6B959DEC">
      <w:pPr>
        <w:pStyle w:val="10"/>
        <w:spacing w:before="5" w:line="364" w:lineRule="auto"/>
        <w:ind w:left="620" w:right="737" w:firstLine="480"/>
        <w:jc w:val="both"/>
      </w:pPr>
      <w:r>
        <w:rPr>
          <w:spacing w:val="-6"/>
        </w:rPr>
        <w:t>④项目应设有备用电源和备用处理设备，以备停电或设备出现故障时保障废气全部抽入处理系统进行处理以达标排放。</w:t>
      </w:r>
    </w:p>
    <w:p w14:paraId="1DF43E7F">
      <w:pPr>
        <w:pStyle w:val="10"/>
        <w:spacing w:line="306" w:lineRule="exact"/>
        <w:ind w:left="1100"/>
      </w:pPr>
      <w:r>
        <w:rPr>
          <w:rFonts w:ascii="Times New Roman" w:eastAsia="Times New Roman"/>
        </w:rPr>
        <w:t>2</w:t>
      </w:r>
      <w:r>
        <w:t>、总图布置和建筑安全防范措施</w:t>
      </w:r>
    </w:p>
    <w:p w14:paraId="5C4847B6">
      <w:pPr>
        <w:pStyle w:val="10"/>
        <w:spacing w:before="158"/>
        <w:ind w:left="1100"/>
      </w:pPr>
      <w:r>
        <w:t>厂区的选址、总图布置和建筑安全等设计要求严格按照《建筑设计防火规范》</w:t>
      </w:r>
    </w:p>
    <w:p w14:paraId="3CC52B36">
      <w:pPr>
        <w:pStyle w:val="10"/>
        <w:spacing w:before="161"/>
        <w:ind w:left="620"/>
      </w:pPr>
      <w:r>
        <w:t>（</w:t>
      </w:r>
      <w:r>
        <w:rPr>
          <w:rFonts w:ascii="Times New Roman" w:eastAsia="Times New Roman"/>
        </w:rPr>
        <w:t>GB50016-2014</w:t>
      </w:r>
      <w:r>
        <w:t>）等国家有关的法规、标准执行。</w:t>
      </w:r>
    </w:p>
    <w:p w14:paraId="582297A5">
      <w:pPr>
        <w:pStyle w:val="10"/>
        <w:spacing w:before="160" w:line="364" w:lineRule="auto"/>
        <w:ind w:left="620" w:right="617" w:firstLine="480"/>
      </w:pPr>
      <w:r>
        <w:rPr>
          <w:spacing w:val="-11"/>
        </w:rPr>
        <w:t>（</w:t>
      </w:r>
      <w:r>
        <w:rPr>
          <w:rFonts w:ascii="Times New Roman" w:eastAsia="Times New Roman"/>
          <w:spacing w:val="-11"/>
        </w:rPr>
        <w:t>1</w:t>
      </w:r>
      <w:r>
        <w:rPr>
          <w:spacing w:val="-11"/>
        </w:rPr>
        <w:t>）</w:t>
      </w:r>
      <w:r>
        <w:rPr>
          <w:spacing w:val="-9"/>
        </w:rPr>
        <w:t>在总平面布置方面，严格执行《建筑防火通用规范》</w:t>
      </w:r>
      <w:r>
        <w:t>（</w:t>
      </w:r>
      <w:r>
        <w:rPr>
          <w:rFonts w:ascii="Times New Roman" w:eastAsia="Times New Roman"/>
        </w:rPr>
        <w:t>GB55037-2022</w:t>
      </w:r>
      <w:r>
        <w:t xml:space="preserve">） 等相关规范要求，所有建、构筑物之间或与其它场所之间留有足够的防火间距， </w:t>
      </w:r>
      <w:r>
        <w:rPr>
          <w:spacing w:val="-6"/>
        </w:rPr>
        <w:t>防止在火灾或爆炸时相互影响；严格按工艺处理物料特性，对厂区进行危险区划分，对危险化学品按照其性质特点以及储存要求设置储存车间，不得混放；</w:t>
      </w:r>
    </w:p>
    <w:p w14:paraId="4D22534D">
      <w:pPr>
        <w:pStyle w:val="10"/>
        <w:spacing w:line="364" w:lineRule="auto"/>
        <w:ind w:left="620" w:right="737" w:firstLine="480"/>
        <w:jc w:val="both"/>
      </w:pPr>
      <w:r>
        <w:t>（</w:t>
      </w:r>
      <w:r>
        <w:rPr>
          <w:rFonts w:ascii="Times New Roman" w:eastAsia="Times New Roman"/>
        </w:rPr>
        <w:t>2</w:t>
      </w:r>
      <w:r>
        <w:t xml:space="preserve">）生产车间和各物料储存间设计有通风系统，通风量视控制空间大小， </w:t>
      </w:r>
      <w:r>
        <w:rPr>
          <w:spacing w:val="-6"/>
        </w:rPr>
        <w:t>按每小时至少换气六次进行设计。根据化学品的性质，对化学品存储间考虑防火</w:t>
      </w:r>
      <w:r>
        <w:rPr>
          <w:spacing w:val="-12"/>
        </w:rPr>
        <w:t>防爆及排风的要求，所有的化学品容器、使用点都设有局部排风以保证室内处于良好的工作环境。</w:t>
      </w:r>
    </w:p>
    <w:p w14:paraId="2D9A987E">
      <w:pPr>
        <w:pStyle w:val="10"/>
        <w:spacing w:line="364" w:lineRule="auto"/>
        <w:ind w:left="620" w:right="737" w:firstLine="480"/>
        <w:jc w:val="both"/>
      </w:pPr>
      <w:r>
        <w:t>（</w:t>
      </w:r>
      <w:r>
        <w:rPr>
          <w:rFonts w:ascii="Times New Roman" w:eastAsia="Times New Roman"/>
        </w:rPr>
        <w:t>3</w:t>
      </w:r>
      <w:r>
        <w:t>）为了防止事故造成重大人身伤亡和设备损失，设计有完整、高效的消</w:t>
      </w:r>
      <w:r>
        <w:rPr>
          <w:spacing w:val="-8"/>
        </w:rPr>
        <w:t>防报警系统，整个系统包括感烟系统、应急疏散系统、室内外消防装置系统、排</w:t>
      </w:r>
      <w:r>
        <w:rPr>
          <w:spacing w:val="-13"/>
        </w:rPr>
        <w:t>烟系统和应急照明及疏散指示系统。在选址、总平面布置和建筑安全防范上采取上述一系列安全和预防措施，可以有效地控制或缓解对周围环境风险。</w:t>
      </w:r>
    </w:p>
    <w:p w14:paraId="15DB609D">
      <w:pPr>
        <w:pStyle w:val="10"/>
        <w:spacing w:line="305" w:lineRule="exact"/>
        <w:ind w:left="1100"/>
      </w:pPr>
      <w:r>
        <w:rPr>
          <w:rFonts w:ascii="Times New Roman" w:eastAsia="Times New Roman"/>
        </w:rPr>
        <w:t>3</w:t>
      </w:r>
      <w:r>
        <w:t>、工艺技术设计安全防范措施</w:t>
      </w:r>
    </w:p>
    <w:p w14:paraId="3765D810">
      <w:pPr>
        <w:pStyle w:val="10"/>
        <w:spacing w:before="153" w:line="364" w:lineRule="auto"/>
        <w:ind w:left="620" w:right="737" w:firstLine="480"/>
        <w:jc w:val="both"/>
      </w:pPr>
      <w:r>
        <w:t>（</w:t>
      </w:r>
      <w:r>
        <w:rPr>
          <w:rFonts w:ascii="Times New Roman" w:eastAsia="Times New Roman"/>
        </w:rPr>
        <w:t>1</w:t>
      </w:r>
      <w:r>
        <w:t>）制定各岗位工艺安全措施和安全操作规程，并教育职工严格执行。必</w:t>
      </w:r>
      <w:r>
        <w:rPr>
          <w:spacing w:val="-9"/>
        </w:rPr>
        <w:t>须做到：建立完整的工艺规程和操作法，工艺规程中除了考虑正常的开停车、正常操作外，还应考虑异常操作处理及紧急事故处理的安全措施和设施。</w:t>
      </w:r>
    </w:p>
    <w:p w14:paraId="003953B1">
      <w:pPr>
        <w:pStyle w:val="10"/>
        <w:spacing w:line="364" w:lineRule="auto"/>
        <w:ind w:left="620" w:right="765" w:firstLine="480"/>
        <w:jc w:val="both"/>
      </w:pPr>
      <w:r>
        <w:t>（</w:t>
      </w:r>
      <w:r>
        <w:rPr>
          <w:rFonts w:ascii="Times New Roman" w:eastAsia="Times New Roman"/>
        </w:rPr>
        <w:t>2</w:t>
      </w:r>
      <w:r>
        <w:t>）生产装置的供电、供水、供风等公用设施必须满足正常生产和事故状态下的要求。</w:t>
      </w:r>
    </w:p>
    <w:p w14:paraId="6BB1C61A">
      <w:pPr>
        <w:spacing w:after="0" w:line="364" w:lineRule="auto"/>
        <w:jc w:val="both"/>
        <w:sectPr>
          <w:pgSz w:w="11910" w:h="16840"/>
          <w:pgMar w:top="1380" w:right="1060" w:bottom="1380" w:left="1180" w:header="0" w:footer="1192" w:gutter="0"/>
          <w:cols w:space="720" w:num="1"/>
        </w:sectPr>
      </w:pPr>
    </w:p>
    <w:p w14:paraId="471B10F8">
      <w:pPr>
        <w:pStyle w:val="10"/>
        <w:spacing w:before="63" w:line="364" w:lineRule="auto"/>
        <w:ind w:left="620" w:right="737" w:firstLine="480"/>
        <w:jc w:val="both"/>
      </w:pPr>
      <w:r>
        <w:t>（</w:t>
      </w:r>
      <w:r>
        <w:rPr>
          <w:rFonts w:ascii="Times New Roman" w:eastAsia="Times New Roman"/>
        </w:rPr>
        <w:t>3</w:t>
      </w:r>
      <w:r>
        <w:t>）所有管道系统均必须按有关标准进行良好设计、制作及安装，必须由</w:t>
      </w:r>
      <w:r>
        <w:rPr>
          <w:spacing w:val="-5"/>
        </w:rPr>
        <w:t>当地有关质检部门进行验收并通过后方能投入使用。物料输送管线要定期试压检漏。</w:t>
      </w:r>
    </w:p>
    <w:p w14:paraId="17C0CE99">
      <w:pPr>
        <w:pStyle w:val="10"/>
        <w:spacing w:line="362" w:lineRule="auto"/>
        <w:ind w:left="620" w:right="765" w:firstLine="480"/>
      </w:pPr>
      <w:r>
        <w:t>（</w:t>
      </w:r>
      <w:r>
        <w:rPr>
          <w:rFonts w:ascii="Times New Roman" w:eastAsia="Times New Roman"/>
        </w:rPr>
        <w:t>4</w:t>
      </w:r>
      <w:r>
        <w:t>）加强设备的日常管理，杜绝跑、冒、滴、漏，对事故漏下的物料应及时清除。维护设备卫生，加强设备管理。</w:t>
      </w:r>
    </w:p>
    <w:p w14:paraId="6A8DFFC6">
      <w:pPr>
        <w:pStyle w:val="10"/>
        <w:spacing w:before="4"/>
        <w:ind w:left="1100"/>
      </w:pPr>
      <w:r>
        <w:rPr>
          <w:rFonts w:ascii="Times New Roman" w:eastAsia="Times New Roman"/>
        </w:rPr>
        <w:t>4</w:t>
      </w:r>
      <w:r>
        <w:t>、电气、电讯安全防范措施</w:t>
      </w:r>
    </w:p>
    <w:p w14:paraId="7ADE890C">
      <w:pPr>
        <w:pStyle w:val="10"/>
        <w:spacing w:before="158" w:line="364" w:lineRule="auto"/>
        <w:ind w:left="620" w:right="737" w:firstLine="480"/>
        <w:jc w:val="both"/>
      </w:pPr>
      <w:r>
        <w:rPr>
          <w:spacing w:val="-7"/>
        </w:rPr>
        <w:t>应根据危险区域的等级，正确选择相应类型的级别和组别的电气设备。电气</w:t>
      </w:r>
      <w:r>
        <w:rPr>
          <w:spacing w:val="-12"/>
        </w:rPr>
        <w:t>设备的组级别只能高于环境组级别，不能随意降低标准。设计、安装、运行、维</w:t>
      </w:r>
      <w:r>
        <w:rPr>
          <w:spacing w:val="-13"/>
        </w:rPr>
        <w:t>修电气设备、线路、仪表等应符合国家有关标准、规程和规范的要求，并要求达到整体防爆性的要求；电气控制设备及导线尽可能远离易燃物质。</w:t>
      </w:r>
    </w:p>
    <w:p w14:paraId="1EC2ABE9">
      <w:pPr>
        <w:pStyle w:val="10"/>
        <w:spacing w:line="364" w:lineRule="auto"/>
        <w:ind w:left="620" w:right="617" w:firstLine="480"/>
      </w:pPr>
      <w:r>
        <w:rPr>
          <w:spacing w:val="-12"/>
        </w:rPr>
        <w:t xml:space="preserve">采用三相五线制加漏电保护体制。将中性线与接地线分开，中性线对地绝缘， </w:t>
      </w:r>
      <w:r>
        <w:rPr>
          <w:spacing w:val="-16"/>
        </w:rPr>
        <w:t>接地线</w:t>
      </w:r>
      <w:r>
        <w:t>（保护零线</w:t>
      </w:r>
      <w:r>
        <w:rPr>
          <w:spacing w:val="-24"/>
        </w:rPr>
        <w:t>）</w:t>
      </w:r>
      <w:r>
        <w:rPr>
          <w:spacing w:val="-6"/>
        </w:rPr>
        <w:t>专用接地，以减少对地产生火花的可能性。安装漏电保护应</w:t>
      </w:r>
      <w:r>
        <w:rPr>
          <w:spacing w:val="-11"/>
        </w:rPr>
        <w:t>严格按照有关规范要求执行。禁止使用临时线路，尽可能少用移动式电具。如必须使用，要有严格的安全措施。</w:t>
      </w:r>
    </w:p>
    <w:p w14:paraId="45DF7DA4">
      <w:pPr>
        <w:pStyle w:val="10"/>
        <w:spacing w:line="364" w:lineRule="auto"/>
        <w:ind w:left="620" w:right="645" w:firstLine="480"/>
      </w:pPr>
      <w:r>
        <w:rPr>
          <w:spacing w:val="-5"/>
        </w:rPr>
        <w:t>建立和健全电气安全规章制度和安全操作规程，并严格执行。加强对电气设施进行维护、保养、检修，保持电气设备正常运行：包括保持电气设备的电压、</w:t>
      </w:r>
      <w:r>
        <w:rPr>
          <w:spacing w:val="-10"/>
        </w:rPr>
        <w:t>电流、温升等参数不超过允许值，保持电气设备足够的绝缘能力，保持电气连接良好等。</w:t>
      </w:r>
    </w:p>
    <w:p w14:paraId="0FD7CC62">
      <w:pPr>
        <w:pStyle w:val="10"/>
        <w:spacing w:line="364" w:lineRule="auto"/>
        <w:ind w:left="620" w:right="645" w:firstLine="480"/>
      </w:pPr>
      <w:r>
        <w:t>企业应按规定定期进行防雷检测，保持完好状态，使之有可靠的保护作用， 尤其是每年雷雨季节来临之前，要对接地系统进行一次检查，发现有不合格现象进行整改，确保接地线无松动、无断开、无锈蚀现象。</w:t>
      </w:r>
    </w:p>
    <w:p w14:paraId="307E489A">
      <w:pPr>
        <w:pStyle w:val="10"/>
        <w:spacing w:line="364" w:lineRule="auto"/>
        <w:ind w:left="620" w:right="645" w:firstLine="480"/>
      </w:pPr>
      <w:r>
        <w:t>做好配电室、电气线路和单相电气设备、电动机、电焊机、手持电动工具、临时用电的安全作业和维护保养；定期进行安全检查，杜绝</w:t>
      </w:r>
      <w:r>
        <w:rPr>
          <w:rFonts w:ascii="Times New Roman" w:hAnsi="Times New Roman" w:eastAsia="Times New Roman"/>
        </w:rPr>
        <w:t>“</w:t>
      </w:r>
      <w:r>
        <w:t>三违</w:t>
      </w:r>
      <w:r>
        <w:rPr>
          <w:rFonts w:ascii="Times New Roman" w:hAnsi="Times New Roman" w:eastAsia="Times New Roman"/>
        </w:rPr>
        <w:t>”</w:t>
      </w:r>
      <w:r>
        <w:t>。</w:t>
      </w:r>
    </w:p>
    <w:p w14:paraId="366DEAF0">
      <w:pPr>
        <w:pStyle w:val="10"/>
        <w:ind w:left="1100"/>
      </w:pPr>
      <w:r>
        <w:t>对职工进行电气安全教育，掌握触电急救方法，严禁非电工进行电气操作。</w:t>
      </w:r>
    </w:p>
    <w:p w14:paraId="54BAC200">
      <w:pPr>
        <w:pStyle w:val="10"/>
        <w:spacing w:before="152"/>
        <w:ind w:left="1100"/>
      </w:pPr>
      <w:r>
        <w:rPr>
          <w:rFonts w:ascii="Times New Roman" w:eastAsia="Times New Roman"/>
        </w:rPr>
        <w:t>5</w:t>
      </w:r>
      <w:r>
        <w:t>、消防及火灾报警系统风险防范措施</w:t>
      </w:r>
    </w:p>
    <w:p w14:paraId="11EB5DEA">
      <w:pPr>
        <w:pStyle w:val="10"/>
        <w:spacing w:before="158" w:line="364" w:lineRule="auto"/>
        <w:ind w:left="620" w:right="645" w:firstLine="480"/>
      </w:pPr>
      <w:r>
        <w:t>建立健全各种有关消防与安全生产的规章制度，建立岗位责任制。暂存区、</w:t>
      </w:r>
      <w:r>
        <w:rPr>
          <w:spacing w:val="-8"/>
        </w:rPr>
        <w:t>生产车间严禁明火。根据相关规定，生产车间、危废暂存间等场所应配置足量的泡沫、干粉等灭火器，并保持完好状态。</w:t>
      </w:r>
    </w:p>
    <w:p w14:paraId="42473EC5">
      <w:pPr>
        <w:pStyle w:val="10"/>
        <w:spacing w:line="307" w:lineRule="exact"/>
        <w:ind w:left="1100"/>
      </w:pPr>
      <w:r>
        <w:rPr>
          <w:rFonts w:ascii="Times New Roman" w:eastAsia="Times New Roman"/>
        </w:rPr>
        <w:t>6</w:t>
      </w:r>
      <w:r>
        <w:t>、环保设施风险防范措施</w:t>
      </w:r>
    </w:p>
    <w:p w14:paraId="68E48215">
      <w:pPr>
        <w:pStyle w:val="10"/>
        <w:spacing w:before="160"/>
        <w:ind w:left="1100"/>
      </w:pPr>
      <w:r>
        <w:t>（</w:t>
      </w:r>
      <w:r>
        <w:rPr>
          <w:rFonts w:ascii="Times New Roman" w:eastAsia="Times New Roman"/>
        </w:rPr>
        <w:t>1</w:t>
      </w:r>
      <w:r>
        <w:t>）废气处理装置风险防范措施</w:t>
      </w:r>
    </w:p>
    <w:p w14:paraId="53E27095">
      <w:pPr>
        <w:spacing w:after="0"/>
        <w:sectPr>
          <w:footerReference r:id="rId33" w:type="default"/>
          <w:pgSz w:w="11910" w:h="16840"/>
          <w:pgMar w:top="1360" w:right="1060" w:bottom="1380" w:left="1180" w:header="0" w:footer="1192" w:gutter="0"/>
          <w:pgNumType w:start="150"/>
          <w:cols w:space="720" w:num="1"/>
        </w:sectPr>
      </w:pPr>
    </w:p>
    <w:p w14:paraId="57E15538">
      <w:pPr>
        <w:pStyle w:val="10"/>
        <w:spacing w:before="63" w:line="364" w:lineRule="auto"/>
        <w:ind w:left="620" w:right="804" w:firstLine="480"/>
        <w:jc w:val="both"/>
      </w:pPr>
      <w:r>
        <w:t>①由专人负责日常环境管理工作，制订</w:t>
      </w:r>
      <w:r>
        <w:rPr>
          <w:rFonts w:ascii="Times New Roman" w:hAnsi="Times New Roman" w:eastAsia="Times New Roman"/>
        </w:rPr>
        <w:t>“</w:t>
      </w:r>
      <w:r>
        <w:t>环保管理人员职责</w:t>
      </w:r>
      <w:r>
        <w:rPr>
          <w:rFonts w:ascii="Times New Roman" w:hAnsi="Times New Roman" w:eastAsia="Times New Roman"/>
        </w:rPr>
        <w:t>”</w:t>
      </w:r>
      <w:r>
        <w:t>和</w:t>
      </w:r>
      <w:r>
        <w:rPr>
          <w:rFonts w:ascii="Times New Roman" w:hAnsi="Times New Roman" w:eastAsia="Times New Roman"/>
        </w:rPr>
        <w:t>“</w:t>
      </w:r>
      <w:r>
        <w:t>环境污染防治措施</w:t>
      </w:r>
      <w:r>
        <w:rPr>
          <w:rFonts w:ascii="Times New Roman" w:hAnsi="Times New Roman" w:eastAsia="Times New Roman"/>
        </w:rPr>
        <w:t>”</w:t>
      </w:r>
      <w:r>
        <w:t>制度，加强废气治理设施的监督和管理。</w:t>
      </w:r>
    </w:p>
    <w:p w14:paraId="7C63EE1A">
      <w:pPr>
        <w:pStyle w:val="10"/>
        <w:spacing w:line="364" w:lineRule="auto"/>
        <w:ind w:left="620" w:right="737" w:firstLine="480"/>
        <w:jc w:val="both"/>
      </w:pPr>
      <w:r>
        <w:rPr>
          <w:spacing w:val="-5"/>
        </w:rPr>
        <w:t>②加强废气处理设施及设备的定期检修和维护工作，发现事故隐患，及时解决，一旦不能及时解决，立即停止生产。</w:t>
      </w:r>
    </w:p>
    <w:p w14:paraId="3CFB87D7">
      <w:pPr>
        <w:pStyle w:val="10"/>
        <w:spacing w:line="306" w:lineRule="exact"/>
        <w:ind w:left="1100"/>
      </w:pPr>
      <w:r>
        <w:t>③引进技术先进、处理效果好的废气治理设备和设施，保证污染物达标排放。</w:t>
      </w:r>
    </w:p>
    <w:p w14:paraId="2E7BC7B8">
      <w:pPr>
        <w:pStyle w:val="10"/>
        <w:spacing w:before="159"/>
        <w:ind w:left="1100"/>
      </w:pPr>
      <w:r>
        <w:t>（</w:t>
      </w:r>
      <w:r>
        <w:rPr>
          <w:rFonts w:ascii="Times New Roman" w:eastAsia="Times New Roman"/>
        </w:rPr>
        <w:t>2</w:t>
      </w:r>
      <w:r>
        <w:t>）危险废物暂存场所风险防范措施</w:t>
      </w:r>
    </w:p>
    <w:p w14:paraId="4581F24F">
      <w:pPr>
        <w:pStyle w:val="10"/>
        <w:spacing w:before="158" w:line="364" w:lineRule="auto"/>
        <w:ind w:left="620" w:right="737" w:firstLine="480"/>
        <w:jc w:val="both"/>
      </w:pPr>
      <w:r>
        <w:rPr>
          <w:spacing w:val="-6"/>
        </w:rPr>
        <w:t>危险废物暂存过程中如储存不当，管理不善，容易发生泄漏、火灾等风险事故，其风险防范措施如下：</w:t>
      </w:r>
    </w:p>
    <w:p w14:paraId="56F588C7">
      <w:pPr>
        <w:pStyle w:val="10"/>
        <w:spacing w:before="1" w:line="362" w:lineRule="auto"/>
        <w:ind w:left="620" w:right="497" w:firstLine="480"/>
      </w:pPr>
      <w:r>
        <w:rPr>
          <w:spacing w:val="-4"/>
        </w:rPr>
        <w:t>①危险废物暂存场所必须严格按照国家标准和规范进行设置，必须设置防渗、防漏、防腐、防雨等防范措施。</w:t>
      </w:r>
    </w:p>
    <w:p w14:paraId="4AFCC3C2">
      <w:pPr>
        <w:pStyle w:val="10"/>
        <w:spacing w:before="3" w:line="364" w:lineRule="auto"/>
        <w:ind w:left="620" w:right="737" w:firstLine="480"/>
        <w:jc w:val="both"/>
      </w:pPr>
      <w:r>
        <w:rPr>
          <w:spacing w:val="-7"/>
        </w:rPr>
        <w:t>②在暂存场所内，各危险废物种类必须分类储存，并设置相应的标签，标明</w:t>
      </w:r>
      <w:r>
        <w:rPr>
          <w:spacing w:val="-12"/>
        </w:rPr>
        <w:t>危废的来源，具体的成分，主要成分的性质和泄漏、火灾等处置方式，不得混合储存，各储存分区之间必须设置相应的防护距离，防止发生连锁反应。</w:t>
      </w:r>
    </w:p>
    <w:p w14:paraId="0D079304">
      <w:pPr>
        <w:pStyle w:val="10"/>
        <w:spacing w:line="364" w:lineRule="auto"/>
        <w:ind w:left="620" w:right="737" w:firstLine="480"/>
        <w:jc w:val="both"/>
      </w:pPr>
      <w:r>
        <w:rPr>
          <w:spacing w:val="-5"/>
        </w:rPr>
        <w:t>③危险废物必须在密封容器内暂存，不得敞开堆放；储存容器材质必须根据</w:t>
      </w:r>
      <w:r>
        <w:rPr>
          <w:spacing w:val="-10"/>
        </w:rPr>
        <w:t>危险废物的性质进行选择，应防止发生危险废物腐蚀、锈蚀储存容器的情况，防止泄漏事故的发生。</w:t>
      </w:r>
    </w:p>
    <w:p w14:paraId="62778232">
      <w:pPr>
        <w:pStyle w:val="10"/>
        <w:spacing w:line="362" w:lineRule="auto"/>
        <w:ind w:left="620" w:right="737" w:firstLine="480"/>
        <w:jc w:val="both"/>
      </w:pPr>
      <w:r>
        <w:rPr>
          <w:spacing w:val="-5"/>
        </w:rPr>
        <w:t>④危险废物暂存场所应设置浓烟感应器、可燃气体监控仪等设施，监控燃烧过程中浓烟和可燃气体的浓度，以便于及时对火灾事故进行防范和处理。</w:t>
      </w:r>
    </w:p>
    <w:p w14:paraId="1B38AE42">
      <w:pPr>
        <w:pStyle w:val="10"/>
        <w:spacing w:before="4"/>
        <w:ind w:left="1100"/>
      </w:pPr>
      <w:r>
        <w:rPr>
          <w:rFonts w:ascii="Times New Roman" w:eastAsia="Times New Roman"/>
        </w:rPr>
        <w:t>7</w:t>
      </w:r>
      <w:r>
        <w:t>、火灾事故风险防范措施</w:t>
      </w:r>
    </w:p>
    <w:p w14:paraId="220CA835">
      <w:pPr>
        <w:pStyle w:val="10"/>
        <w:spacing w:before="158" w:line="364" w:lineRule="auto"/>
        <w:ind w:left="620" w:right="765" w:firstLine="480"/>
        <w:jc w:val="both"/>
      </w:pPr>
      <w:r>
        <w:t>（</w:t>
      </w:r>
      <w:r>
        <w:rPr>
          <w:rFonts w:ascii="Times New Roman" w:eastAsia="Times New Roman"/>
        </w:rPr>
        <w:t>1</w:t>
      </w:r>
      <w:r>
        <w:t>）消除和控制明火源：在厂房各处配备灭火器、消防栓等消防物资，以便及时扑灭初期火灾。</w:t>
      </w:r>
    </w:p>
    <w:p w14:paraId="441FF421">
      <w:pPr>
        <w:pStyle w:val="10"/>
        <w:spacing w:line="364" w:lineRule="auto"/>
        <w:ind w:left="620" w:right="737" w:firstLine="480"/>
        <w:jc w:val="both"/>
      </w:pPr>
      <w:r>
        <w:t>（</w:t>
      </w:r>
      <w:r>
        <w:rPr>
          <w:rFonts w:ascii="Times New Roman" w:eastAsia="Times New Roman"/>
        </w:rPr>
        <w:t>2</w:t>
      </w:r>
      <w:r>
        <w:t>）防止电气火花：采取有效措施防止电气线路和电气设施在开关断开、</w:t>
      </w:r>
      <w:r>
        <w:rPr>
          <w:spacing w:val="-9"/>
        </w:rPr>
        <w:t>接触不良、短路、漏电时产生火花，防止静电放电火花；采取防雷接地措施，防止雷电放电火花。</w:t>
      </w:r>
    </w:p>
    <w:p w14:paraId="53EA8F4C">
      <w:pPr>
        <w:pStyle w:val="10"/>
        <w:spacing w:line="362" w:lineRule="auto"/>
        <w:ind w:left="620" w:right="765" w:firstLine="480"/>
        <w:jc w:val="both"/>
      </w:pPr>
      <w:r>
        <w:t>（</w:t>
      </w:r>
      <w:r>
        <w:rPr>
          <w:rFonts w:ascii="Times New Roman" w:eastAsia="Times New Roman"/>
        </w:rPr>
        <w:t>3</w:t>
      </w:r>
      <w:r>
        <w:t>）定期对原料使用过程中的相关人员，如联络员、仓管员、直接使用人员进行过程监查，定期对上述人员进行相关知识教育和岗位职责培训。</w:t>
      </w:r>
    </w:p>
    <w:p w14:paraId="07AB546D">
      <w:pPr>
        <w:pStyle w:val="10"/>
        <w:spacing w:before="3" w:line="362" w:lineRule="auto"/>
        <w:ind w:left="620" w:right="765" w:firstLine="480"/>
        <w:jc w:val="both"/>
      </w:pPr>
      <w:r>
        <w:t>（</w:t>
      </w:r>
      <w:r>
        <w:rPr>
          <w:rFonts w:ascii="Times New Roman" w:eastAsia="Times New Roman"/>
        </w:rPr>
        <w:t>4</w:t>
      </w:r>
      <w:r>
        <w:t>）严格控制原料品质，做到从源头防控风险事故，严禁收购医疗废物及危险废物类废塑料。</w:t>
      </w:r>
    </w:p>
    <w:p w14:paraId="1160F5DB">
      <w:pPr>
        <w:pStyle w:val="16"/>
        <w:numPr>
          <w:ilvl w:val="2"/>
          <w:numId w:val="25"/>
        </w:numPr>
        <w:tabs>
          <w:tab w:val="left" w:pos="1321"/>
        </w:tabs>
        <w:spacing w:before="135" w:after="0" w:line="240" w:lineRule="auto"/>
        <w:ind w:left="1320" w:right="0" w:hanging="700"/>
        <w:jc w:val="left"/>
        <w:rPr>
          <w:b/>
          <w:sz w:val="28"/>
        </w:rPr>
      </w:pPr>
      <w:r>
        <w:rPr>
          <w:b/>
          <w:sz w:val="28"/>
        </w:rPr>
        <w:t>其他应急要求</w:t>
      </w:r>
    </w:p>
    <w:p w14:paraId="3148825E">
      <w:pPr>
        <w:spacing w:after="0" w:line="240" w:lineRule="auto"/>
        <w:jc w:val="left"/>
        <w:rPr>
          <w:sz w:val="28"/>
        </w:rPr>
        <w:sectPr>
          <w:pgSz w:w="11910" w:h="16840"/>
          <w:pgMar w:top="1360" w:right="1060" w:bottom="1380" w:left="1180" w:header="0" w:footer="1192" w:gutter="0"/>
          <w:cols w:space="720" w:num="1"/>
        </w:sectPr>
      </w:pPr>
    </w:p>
    <w:p w14:paraId="0636B641">
      <w:pPr>
        <w:pStyle w:val="9"/>
        <w:numPr>
          <w:ilvl w:val="3"/>
          <w:numId w:val="25"/>
        </w:numPr>
        <w:tabs>
          <w:tab w:val="left" w:pos="1340"/>
        </w:tabs>
        <w:spacing w:before="62" w:after="0" w:line="240" w:lineRule="auto"/>
        <w:ind w:left="1340" w:right="0" w:hanging="720"/>
        <w:jc w:val="left"/>
      </w:pPr>
      <w:r>
        <w:t>建立联动防范体系</w:t>
      </w:r>
    </w:p>
    <w:p w14:paraId="2339484B">
      <w:pPr>
        <w:spacing w:before="160" w:line="364" w:lineRule="auto"/>
        <w:ind w:left="620" w:right="645" w:firstLine="480"/>
        <w:jc w:val="left"/>
        <w:rPr>
          <w:sz w:val="24"/>
        </w:rPr>
      </w:pPr>
      <w:r>
        <w:rPr>
          <w:sz w:val="24"/>
        </w:rPr>
        <w:t>本项目位于</w:t>
      </w:r>
      <w:r>
        <w:rPr>
          <w:spacing w:val="-3"/>
          <w:sz w:val="21"/>
        </w:rPr>
        <w:t xml:space="preserve">湖南汨罗高新技术产业开发区新市片区中塑新材料公司内 </w:t>
      </w:r>
      <w:r>
        <w:rPr>
          <w:rFonts w:ascii="Times New Roman" w:eastAsia="Times New Roman"/>
          <w:sz w:val="21"/>
        </w:rPr>
        <w:t xml:space="preserve">16 </w:t>
      </w:r>
      <w:r>
        <w:rPr>
          <w:sz w:val="21"/>
        </w:rPr>
        <w:t>栋厂房</w:t>
      </w:r>
      <w:r>
        <w:rPr>
          <w:spacing w:val="-25"/>
          <w:sz w:val="24"/>
        </w:rPr>
        <w:t>，企业环境风险防范应建立园区、周边企业、政府部门对接、联动的风险防范体系。可从以下几个方面进行建设：</w:t>
      </w:r>
    </w:p>
    <w:p w14:paraId="3550664F">
      <w:pPr>
        <w:pStyle w:val="10"/>
        <w:spacing w:before="2" w:line="364" w:lineRule="auto"/>
        <w:ind w:left="620" w:right="737" w:firstLine="480"/>
        <w:jc w:val="both"/>
      </w:pPr>
      <w:r>
        <w:rPr>
          <w:rFonts w:ascii="Times New Roman" w:eastAsia="Times New Roman"/>
        </w:rPr>
        <w:t>1</w:t>
      </w:r>
      <w:r>
        <w:t>、公司应建立厂内各车间的联动体系，并在预案中予以体现。一旦某车间</w:t>
      </w:r>
      <w:r>
        <w:rPr>
          <w:spacing w:val="-7"/>
        </w:rPr>
        <w:t>发生燃爆等事故，相邻车间乃至全厂可根据事故发生的性质、大小，决定是否需</w:t>
      </w:r>
      <w:r>
        <w:rPr>
          <w:spacing w:val="-11"/>
        </w:rPr>
        <w:t>要立即停产，是否需要切断污染源、风险源，防止造成连锁反应，甚至多米诺骨牌效应。</w:t>
      </w:r>
    </w:p>
    <w:p w14:paraId="3585A338">
      <w:pPr>
        <w:pStyle w:val="10"/>
        <w:spacing w:before="3" w:line="364" w:lineRule="auto"/>
        <w:ind w:left="620" w:right="740" w:firstLine="480"/>
        <w:jc w:val="both"/>
      </w:pPr>
      <w:r>
        <w:rPr>
          <w:rFonts w:ascii="Times New Roman" w:eastAsia="Times New Roman"/>
        </w:rPr>
        <w:t>2</w:t>
      </w:r>
      <w:r>
        <w:t>、公司所使用的危险化学品种类及数量应及时上报园区救援中心，并将可能发生的事故类型及对应的救援方案纳入园区风险管理体系。</w:t>
      </w:r>
    </w:p>
    <w:p w14:paraId="6081CEFF">
      <w:pPr>
        <w:pStyle w:val="10"/>
        <w:spacing w:before="1" w:line="364" w:lineRule="auto"/>
        <w:ind w:left="620" w:right="737" w:firstLine="480"/>
        <w:jc w:val="both"/>
      </w:pPr>
      <w:r>
        <w:rPr>
          <w:rFonts w:ascii="Times New Roman" w:eastAsia="Times New Roman"/>
        </w:rPr>
        <w:t>3</w:t>
      </w:r>
      <w:r>
        <w:t>、建设畅通的信息通道，使公司应急指挥部必须与园区、周边企业、周边</w:t>
      </w:r>
      <w:r>
        <w:rPr>
          <w:spacing w:val="-5"/>
        </w:rPr>
        <w:t xml:space="preserve">村委会、镇人民政府保持 </w:t>
      </w:r>
      <w:r>
        <w:rPr>
          <w:rFonts w:ascii="Times New Roman" w:eastAsia="Times New Roman"/>
        </w:rPr>
        <w:t xml:space="preserve">24 </w:t>
      </w:r>
      <w:r>
        <w:t>小时的电话联系。一旦发生风险事故，可在第一时间通知相关单位组织居民疏散、撤离。</w:t>
      </w:r>
    </w:p>
    <w:p w14:paraId="25B11BBA">
      <w:pPr>
        <w:pStyle w:val="9"/>
        <w:numPr>
          <w:ilvl w:val="3"/>
          <w:numId w:val="25"/>
        </w:numPr>
        <w:tabs>
          <w:tab w:val="left" w:pos="1340"/>
        </w:tabs>
        <w:spacing w:before="2" w:after="0" w:line="240" w:lineRule="auto"/>
        <w:ind w:left="1340" w:right="0" w:hanging="720"/>
        <w:jc w:val="left"/>
      </w:pPr>
      <w:r>
        <w:t>突发环境事件应急预案编制要求</w:t>
      </w:r>
    </w:p>
    <w:p w14:paraId="61AB70BC">
      <w:pPr>
        <w:pStyle w:val="10"/>
        <w:spacing w:before="160"/>
        <w:ind w:left="1100"/>
      </w:pPr>
      <w:r>
        <w:rPr>
          <w:spacing w:val="-15"/>
        </w:rPr>
        <w:t>建设单位应按照《企业事业单位突发环境事件应急预案备案管理办法</w:t>
      </w:r>
      <w:r>
        <w:t>（试行</w:t>
      </w:r>
      <w:r>
        <w:rPr>
          <w:spacing w:val="-120"/>
        </w:rPr>
        <w:t>）</w:t>
      </w:r>
      <w:r>
        <w:t>》</w:t>
      </w:r>
    </w:p>
    <w:p w14:paraId="18788492">
      <w:pPr>
        <w:pStyle w:val="10"/>
        <w:spacing w:before="161" w:line="364" w:lineRule="auto"/>
        <w:ind w:left="620" w:right="737"/>
        <w:jc w:val="both"/>
      </w:pPr>
      <w:r>
        <w:t>（环发</w:t>
      </w:r>
      <w:r>
        <w:rPr>
          <w:rFonts w:ascii="Times New Roman" w:eastAsia="Times New Roman"/>
        </w:rPr>
        <w:t xml:space="preserve">[2015]4 </w:t>
      </w:r>
      <w:r>
        <w:t>号</w:t>
      </w:r>
      <w:r>
        <w:rPr>
          <w:rFonts w:ascii="Times New Roman" w:eastAsia="Times New Roman"/>
        </w:rPr>
        <w:t>)</w:t>
      </w:r>
      <w:r>
        <w:rPr>
          <w:spacing w:val="-6"/>
        </w:rPr>
        <w:t>、《湖南省环境保护厅关于进一步加强突发环境事件应急预案管理工作的通知》（湘环函</w:t>
      </w:r>
      <w:r>
        <w:rPr>
          <w:rFonts w:ascii="Times New Roman" w:eastAsia="Times New Roman"/>
          <w:spacing w:val="-6"/>
        </w:rPr>
        <w:t xml:space="preserve">[2017]107 </w:t>
      </w:r>
      <w:r>
        <w:t>号）、《湖南省突发环境事件应急预案管理办法》（湘环发</w:t>
      </w:r>
      <w:r>
        <w:rPr>
          <w:rFonts w:ascii="Times New Roman" w:eastAsia="Times New Roman"/>
        </w:rPr>
        <w:t xml:space="preserve">[2013]20 </w:t>
      </w:r>
      <w:r>
        <w:t>号）、《湖南省人民政府办公厅关于印发</w:t>
      </w:r>
      <w:r>
        <w:rPr>
          <w:rFonts w:ascii="Times New Roman" w:eastAsia="Times New Roman"/>
        </w:rPr>
        <w:t>&lt;</w:t>
      </w:r>
      <w:r>
        <w:t>湖南省突发环境事件应急预案的通知</w:t>
      </w:r>
      <w:r>
        <w:rPr>
          <w:rFonts w:ascii="Times New Roman" w:eastAsia="Times New Roman"/>
        </w:rPr>
        <w:t>&gt;</w:t>
      </w:r>
      <w:r>
        <w:rPr>
          <w:spacing w:val="-58"/>
        </w:rPr>
        <w:t>》</w:t>
      </w:r>
      <w:r>
        <w:rPr>
          <w:spacing w:val="-3"/>
        </w:rPr>
        <w:t>（</w:t>
      </w:r>
      <w:r>
        <w:t>湘政办发</w:t>
      </w:r>
      <w:r>
        <w:rPr>
          <w:rFonts w:ascii="Times New Roman" w:eastAsia="Times New Roman"/>
        </w:rPr>
        <w:t xml:space="preserve">[2018]2 </w:t>
      </w:r>
      <w:r>
        <w:t>号</w:t>
      </w:r>
      <w:r>
        <w:rPr>
          <w:spacing w:val="-32"/>
        </w:rPr>
        <w:t>）</w:t>
      </w:r>
      <w:r>
        <w:t>的要求进行企业突发环境事件应急预案的编制和备案，具体应急预案制定的内容见下表。</w:t>
      </w:r>
    </w:p>
    <w:p w14:paraId="2D8E8298">
      <w:pPr>
        <w:pStyle w:val="9"/>
        <w:tabs>
          <w:tab w:val="left" w:pos="3485"/>
        </w:tabs>
        <w:spacing w:before="0" w:line="234" w:lineRule="exact"/>
        <w:ind w:left="2443"/>
      </w:pPr>
      <w:r>
        <w:t>表</w:t>
      </w:r>
      <w:r>
        <w:rPr>
          <w:spacing w:val="-61"/>
        </w:rPr>
        <w:t xml:space="preserve"> </w:t>
      </w:r>
      <w:r>
        <w:rPr>
          <w:rFonts w:ascii="Times New Roman" w:eastAsia="Times New Roman"/>
        </w:rPr>
        <w:t>4.6-4</w:t>
      </w:r>
      <w:r>
        <w:rPr>
          <w:rFonts w:ascii="Times New Roman" w:eastAsia="Times New Roman"/>
        </w:rPr>
        <w:tab/>
      </w:r>
      <w:r>
        <w:t>环境风险应急预案主要内容及要求</w:t>
      </w:r>
    </w:p>
    <w:tbl>
      <w:tblPr>
        <w:tblStyle w:val="13"/>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778"/>
        <w:gridCol w:w="6103"/>
      </w:tblGrid>
      <w:tr w14:paraId="3AEEA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1" w:type="dxa"/>
            <w:tcBorders>
              <w:left w:val="nil"/>
            </w:tcBorders>
          </w:tcPr>
          <w:p w14:paraId="1374F3EC">
            <w:pPr>
              <w:pStyle w:val="17"/>
              <w:spacing w:before="20"/>
              <w:ind w:left="94" w:right="82"/>
              <w:rPr>
                <w:sz w:val="21"/>
              </w:rPr>
            </w:pPr>
            <w:r>
              <w:rPr>
                <w:sz w:val="21"/>
              </w:rPr>
              <w:t>序号</w:t>
            </w:r>
          </w:p>
        </w:tc>
        <w:tc>
          <w:tcPr>
            <w:tcW w:w="1778" w:type="dxa"/>
          </w:tcPr>
          <w:p w14:paraId="5F6A7CFC">
            <w:pPr>
              <w:pStyle w:val="17"/>
              <w:spacing w:before="20"/>
              <w:ind w:left="132" w:right="125"/>
              <w:rPr>
                <w:sz w:val="21"/>
              </w:rPr>
            </w:pPr>
            <w:r>
              <w:rPr>
                <w:sz w:val="21"/>
              </w:rPr>
              <w:t>项目</w:t>
            </w:r>
          </w:p>
        </w:tc>
        <w:tc>
          <w:tcPr>
            <w:tcW w:w="6103" w:type="dxa"/>
            <w:tcBorders>
              <w:right w:val="nil"/>
            </w:tcBorders>
          </w:tcPr>
          <w:p w14:paraId="7AA8C528">
            <w:pPr>
              <w:pStyle w:val="17"/>
              <w:spacing w:before="20"/>
              <w:ind w:left="89" w:right="87"/>
              <w:rPr>
                <w:sz w:val="21"/>
              </w:rPr>
            </w:pPr>
            <w:r>
              <w:rPr>
                <w:sz w:val="21"/>
              </w:rPr>
              <w:t>重点内容及要求</w:t>
            </w:r>
          </w:p>
        </w:tc>
      </w:tr>
      <w:tr w14:paraId="720BD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41" w:type="dxa"/>
            <w:tcBorders>
              <w:left w:val="nil"/>
            </w:tcBorders>
          </w:tcPr>
          <w:p w14:paraId="1CB186AD">
            <w:pPr>
              <w:pStyle w:val="17"/>
              <w:spacing w:before="36"/>
              <w:ind w:left="15"/>
              <w:rPr>
                <w:rFonts w:ascii="Times New Roman"/>
                <w:sz w:val="21"/>
              </w:rPr>
            </w:pPr>
            <w:r>
              <w:rPr>
                <w:rFonts w:ascii="Times New Roman"/>
                <w:w w:val="99"/>
                <w:sz w:val="21"/>
              </w:rPr>
              <w:t>1</w:t>
            </w:r>
          </w:p>
        </w:tc>
        <w:tc>
          <w:tcPr>
            <w:tcW w:w="1778" w:type="dxa"/>
          </w:tcPr>
          <w:p w14:paraId="58D15F22">
            <w:pPr>
              <w:pStyle w:val="17"/>
              <w:spacing w:before="22"/>
              <w:ind w:left="132" w:right="125"/>
              <w:rPr>
                <w:sz w:val="21"/>
              </w:rPr>
            </w:pPr>
            <w:r>
              <w:rPr>
                <w:sz w:val="21"/>
              </w:rPr>
              <w:t>预案适用范围</w:t>
            </w:r>
          </w:p>
        </w:tc>
        <w:tc>
          <w:tcPr>
            <w:tcW w:w="6103" w:type="dxa"/>
            <w:tcBorders>
              <w:right w:val="nil"/>
            </w:tcBorders>
          </w:tcPr>
          <w:p w14:paraId="3CCD4E54">
            <w:pPr>
              <w:pStyle w:val="17"/>
              <w:spacing w:before="22"/>
              <w:ind w:left="89" w:right="87"/>
              <w:rPr>
                <w:sz w:val="21"/>
              </w:rPr>
            </w:pPr>
            <w:r>
              <w:rPr>
                <w:sz w:val="21"/>
              </w:rPr>
              <w:t>明确预案适用的主体、地理或管理范围、事件类别和工作内容</w:t>
            </w:r>
          </w:p>
        </w:tc>
      </w:tr>
      <w:tr w14:paraId="68840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41" w:type="dxa"/>
            <w:tcBorders>
              <w:left w:val="nil"/>
            </w:tcBorders>
          </w:tcPr>
          <w:p w14:paraId="126A4892">
            <w:pPr>
              <w:pStyle w:val="17"/>
              <w:spacing w:before="191"/>
              <w:ind w:left="15"/>
              <w:rPr>
                <w:rFonts w:ascii="Times New Roman"/>
                <w:sz w:val="21"/>
              </w:rPr>
            </w:pPr>
            <w:r>
              <w:rPr>
                <w:rFonts w:ascii="Times New Roman"/>
                <w:w w:val="99"/>
                <w:sz w:val="21"/>
              </w:rPr>
              <w:t>2</w:t>
            </w:r>
          </w:p>
        </w:tc>
        <w:tc>
          <w:tcPr>
            <w:tcW w:w="1778" w:type="dxa"/>
          </w:tcPr>
          <w:p w14:paraId="34D07D72">
            <w:pPr>
              <w:pStyle w:val="17"/>
              <w:spacing w:before="21"/>
              <w:ind w:left="132" w:right="125"/>
              <w:rPr>
                <w:sz w:val="21"/>
              </w:rPr>
            </w:pPr>
            <w:r>
              <w:rPr>
                <w:sz w:val="21"/>
              </w:rPr>
              <w:t>环境事件分类与</w:t>
            </w:r>
          </w:p>
          <w:p w14:paraId="0ECA16A5">
            <w:pPr>
              <w:pStyle w:val="17"/>
              <w:spacing w:before="43" w:line="268" w:lineRule="exact"/>
              <w:ind w:left="132" w:right="125"/>
              <w:rPr>
                <w:sz w:val="21"/>
              </w:rPr>
            </w:pPr>
            <w:r>
              <w:rPr>
                <w:sz w:val="21"/>
              </w:rPr>
              <w:t>分 级</w:t>
            </w:r>
          </w:p>
        </w:tc>
        <w:tc>
          <w:tcPr>
            <w:tcW w:w="6103" w:type="dxa"/>
            <w:tcBorders>
              <w:right w:val="nil"/>
            </w:tcBorders>
          </w:tcPr>
          <w:p w14:paraId="4AFCEB14">
            <w:pPr>
              <w:pStyle w:val="17"/>
              <w:spacing w:before="178"/>
              <w:ind w:left="89" w:right="89"/>
              <w:rPr>
                <w:sz w:val="21"/>
              </w:rPr>
            </w:pPr>
            <w:r>
              <w:rPr>
                <w:sz w:val="21"/>
              </w:rPr>
              <w:t>根据《企业环境风险等级评估方法》，确定企业环境风险等级。</w:t>
            </w:r>
          </w:p>
        </w:tc>
      </w:tr>
    </w:tbl>
    <w:p w14:paraId="2F0087B1">
      <w:pPr>
        <w:spacing w:after="0"/>
        <w:rPr>
          <w:sz w:val="21"/>
        </w:rPr>
        <w:sectPr>
          <w:pgSz w:w="11910" w:h="16840"/>
          <w:pgMar w:top="1440" w:right="1060" w:bottom="1380" w:left="1180" w:header="0" w:footer="1192" w:gutter="0"/>
          <w:cols w:space="720" w:num="1"/>
        </w:sectPr>
      </w:pPr>
    </w:p>
    <w:tbl>
      <w:tblPr>
        <w:tblStyle w:val="13"/>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778"/>
        <w:gridCol w:w="6103"/>
      </w:tblGrid>
      <w:tr w14:paraId="66FE6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641" w:type="dxa"/>
            <w:tcBorders>
              <w:left w:val="nil"/>
            </w:tcBorders>
          </w:tcPr>
          <w:p w14:paraId="166070DB">
            <w:pPr>
              <w:pStyle w:val="17"/>
              <w:jc w:val="left"/>
              <w:rPr>
                <w:b/>
                <w:sz w:val="22"/>
              </w:rPr>
            </w:pPr>
          </w:p>
          <w:p w14:paraId="1D40295C">
            <w:pPr>
              <w:pStyle w:val="17"/>
              <w:jc w:val="left"/>
              <w:rPr>
                <w:b/>
                <w:sz w:val="22"/>
              </w:rPr>
            </w:pPr>
          </w:p>
          <w:p w14:paraId="62B39025">
            <w:pPr>
              <w:pStyle w:val="17"/>
              <w:jc w:val="left"/>
              <w:rPr>
                <w:b/>
                <w:sz w:val="22"/>
              </w:rPr>
            </w:pPr>
          </w:p>
          <w:p w14:paraId="76953517">
            <w:pPr>
              <w:pStyle w:val="17"/>
              <w:jc w:val="left"/>
              <w:rPr>
                <w:b/>
                <w:sz w:val="22"/>
              </w:rPr>
            </w:pPr>
          </w:p>
          <w:p w14:paraId="771388CE">
            <w:pPr>
              <w:pStyle w:val="17"/>
              <w:jc w:val="left"/>
              <w:rPr>
                <w:b/>
                <w:sz w:val="22"/>
              </w:rPr>
            </w:pPr>
          </w:p>
          <w:p w14:paraId="4D638BC2">
            <w:pPr>
              <w:pStyle w:val="17"/>
              <w:spacing w:before="185"/>
              <w:ind w:right="255"/>
              <w:jc w:val="right"/>
              <w:rPr>
                <w:rFonts w:ascii="Times New Roman"/>
                <w:sz w:val="21"/>
              </w:rPr>
            </w:pPr>
            <w:r>
              <w:rPr>
                <w:rFonts w:ascii="Times New Roman"/>
                <w:w w:val="99"/>
                <w:sz w:val="21"/>
              </w:rPr>
              <w:t>3</w:t>
            </w:r>
          </w:p>
        </w:tc>
        <w:tc>
          <w:tcPr>
            <w:tcW w:w="1778" w:type="dxa"/>
          </w:tcPr>
          <w:p w14:paraId="4F7276CF">
            <w:pPr>
              <w:pStyle w:val="17"/>
              <w:jc w:val="left"/>
              <w:rPr>
                <w:b/>
                <w:sz w:val="20"/>
              </w:rPr>
            </w:pPr>
          </w:p>
          <w:p w14:paraId="78F91FDD">
            <w:pPr>
              <w:pStyle w:val="17"/>
              <w:jc w:val="left"/>
              <w:rPr>
                <w:b/>
                <w:sz w:val="20"/>
              </w:rPr>
            </w:pPr>
          </w:p>
          <w:p w14:paraId="1C354451">
            <w:pPr>
              <w:pStyle w:val="17"/>
              <w:jc w:val="left"/>
              <w:rPr>
                <w:b/>
                <w:sz w:val="20"/>
              </w:rPr>
            </w:pPr>
          </w:p>
          <w:p w14:paraId="4293E01C">
            <w:pPr>
              <w:pStyle w:val="17"/>
              <w:jc w:val="left"/>
              <w:rPr>
                <w:b/>
                <w:sz w:val="20"/>
              </w:rPr>
            </w:pPr>
          </w:p>
          <w:p w14:paraId="1E6DEBC3">
            <w:pPr>
              <w:pStyle w:val="17"/>
              <w:jc w:val="left"/>
              <w:rPr>
                <w:b/>
                <w:sz w:val="20"/>
              </w:rPr>
            </w:pPr>
          </w:p>
          <w:p w14:paraId="50FCE5AB">
            <w:pPr>
              <w:pStyle w:val="17"/>
              <w:spacing w:before="5"/>
              <w:jc w:val="left"/>
              <w:rPr>
                <w:b/>
                <w:sz w:val="23"/>
              </w:rPr>
            </w:pPr>
          </w:p>
          <w:p w14:paraId="61178138">
            <w:pPr>
              <w:pStyle w:val="17"/>
              <w:ind w:left="132" w:right="125"/>
              <w:rPr>
                <w:sz w:val="21"/>
              </w:rPr>
            </w:pPr>
            <w:r>
              <w:rPr>
                <w:sz w:val="21"/>
              </w:rPr>
              <w:t>组织机构与职责</w:t>
            </w:r>
          </w:p>
        </w:tc>
        <w:tc>
          <w:tcPr>
            <w:tcW w:w="6103" w:type="dxa"/>
            <w:tcBorders>
              <w:right w:val="nil"/>
            </w:tcBorders>
          </w:tcPr>
          <w:p w14:paraId="4764D03D">
            <w:pPr>
              <w:pStyle w:val="17"/>
              <w:spacing w:before="21" w:line="278" w:lineRule="auto"/>
              <w:ind w:left="107" w:right="103" w:firstLine="2"/>
              <w:jc w:val="both"/>
              <w:rPr>
                <w:sz w:val="21"/>
              </w:rPr>
            </w:pPr>
            <w:r>
              <w:rPr>
                <w:w w:val="95"/>
                <w:sz w:val="21"/>
              </w:rPr>
              <w:t xml:space="preserve">①以应急组织体系结构图、应急响应流程图的形式，说明组织体 </w:t>
            </w:r>
            <w:r>
              <w:rPr>
                <w:spacing w:val="-12"/>
                <w:sz w:val="21"/>
              </w:rPr>
              <w:t>系构成、应急指挥 运行机制，配有应急队伍成员名单和联系方式</w:t>
            </w:r>
            <w:r>
              <w:rPr>
                <w:spacing w:val="-13"/>
                <w:sz w:val="21"/>
              </w:rPr>
              <w:t>表； ②明确组织体系的构成及其职责。一般包括应急指挥部及其办事机构、现场处置 组、环境应急监测组、应急保障组以及其他</w:t>
            </w:r>
            <w:r>
              <w:rPr>
                <w:spacing w:val="-15"/>
                <w:sz w:val="21"/>
              </w:rPr>
              <w:t>必要的行动组； ③明确应急状态下指挥运行机制，建立统一的应</w:t>
            </w:r>
            <w:r>
              <w:rPr>
                <w:spacing w:val="-14"/>
                <w:sz w:val="21"/>
              </w:rPr>
              <w:t>急指挥、协调和决策程序； ④根据应急根据突发环境事件的危害</w:t>
            </w:r>
            <w:r>
              <w:rPr>
                <w:spacing w:val="-12"/>
                <w:sz w:val="21"/>
              </w:rPr>
              <w:t>程度、影响范围、周边环境敏感点、企业应急 响应能力等，建立</w:t>
            </w:r>
            <w:r>
              <w:rPr>
                <w:spacing w:val="-15"/>
                <w:sz w:val="21"/>
              </w:rPr>
              <w:t xml:space="preserve">分级应急响应机制，明确不同应急响应级别对应的指挥权限； ⑤ </w:t>
            </w:r>
            <w:r>
              <w:rPr>
                <w:spacing w:val="-15"/>
                <w:w w:val="95"/>
                <w:sz w:val="21"/>
              </w:rPr>
              <w:t xml:space="preserve">说明企业与政府及其有关部门之间的关系。明确政府及其有关部 </w:t>
            </w:r>
            <w:r>
              <w:rPr>
                <w:spacing w:val="-14"/>
                <w:sz w:val="21"/>
              </w:rPr>
              <w:t>门介入后，企业 内部指挥协调、配合处置、参与应急保障等工作</w:t>
            </w:r>
          </w:p>
          <w:p w14:paraId="6CCF7A55">
            <w:pPr>
              <w:pStyle w:val="17"/>
              <w:spacing w:line="268" w:lineRule="exact"/>
              <w:ind w:left="89" w:right="87"/>
              <w:rPr>
                <w:sz w:val="21"/>
              </w:rPr>
            </w:pPr>
            <w:r>
              <w:rPr>
                <w:sz w:val="21"/>
              </w:rPr>
              <w:t>任务和责任人</w:t>
            </w:r>
          </w:p>
        </w:tc>
      </w:tr>
      <w:tr w14:paraId="257C0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41" w:type="dxa"/>
            <w:tcBorders>
              <w:left w:val="nil"/>
            </w:tcBorders>
          </w:tcPr>
          <w:p w14:paraId="5ACD67B5">
            <w:pPr>
              <w:pStyle w:val="17"/>
              <w:jc w:val="left"/>
              <w:rPr>
                <w:b/>
                <w:sz w:val="27"/>
              </w:rPr>
            </w:pPr>
          </w:p>
          <w:p w14:paraId="0696C774">
            <w:pPr>
              <w:pStyle w:val="17"/>
              <w:spacing w:before="1"/>
              <w:ind w:right="255"/>
              <w:jc w:val="right"/>
              <w:rPr>
                <w:rFonts w:ascii="Times New Roman"/>
                <w:sz w:val="21"/>
              </w:rPr>
            </w:pPr>
            <w:r>
              <w:rPr>
                <w:rFonts w:ascii="Times New Roman"/>
                <w:w w:val="99"/>
                <w:sz w:val="21"/>
              </w:rPr>
              <w:t>4</w:t>
            </w:r>
          </w:p>
        </w:tc>
        <w:tc>
          <w:tcPr>
            <w:tcW w:w="1778" w:type="dxa"/>
          </w:tcPr>
          <w:p w14:paraId="143B7181">
            <w:pPr>
              <w:pStyle w:val="17"/>
              <w:spacing w:before="12"/>
              <w:jc w:val="left"/>
              <w:rPr>
                <w:b/>
                <w:sz w:val="25"/>
              </w:rPr>
            </w:pPr>
          </w:p>
          <w:p w14:paraId="649FEBC0">
            <w:pPr>
              <w:pStyle w:val="17"/>
              <w:ind w:left="132" w:right="123"/>
              <w:rPr>
                <w:sz w:val="21"/>
              </w:rPr>
            </w:pPr>
            <w:r>
              <w:rPr>
                <w:sz w:val="21"/>
              </w:rPr>
              <w:t>监控和预警</w:t>
            </w:r>
          </w:p>
        </w:tc>
        <w:tc>
          <w:tcPr>
            <w:tcW w:w="6103" w:type="dxa"/>
            <w:tcBorders>
              <w:right w:val="nil"/>
            </w:tcBorders>
          </w:tcPr>
          <w:p w14:paraId="1DFEE91B">
            <w:pPr>
              <w:pStyle w:val="17"/>
              <w:spacing w:before="20"/>
              <w:ind w:left="107" w:firstLine="2"/>
              <w:jc w:val="left"/>
              <w:rPr>
                <w:sz w:val="21"/>
              </w:rPr>
            </w:pPr>
            <w:r>
              <w:rPr>
                <w:sz w:val="21"/>
              </w:rPr>
              <w:t>①建立企业内部监控预警方案；②明确监控信息的获得途径和分</w:t>
            </w:r>
          </w:p>
          <w:p w14:paraId="06D0DCCD">
            <w:pPr>
              <w:pStyle w:val="17"/>
              <w:spacing w:before="3" w:line="310" w:lineRule="atLeast"/>
              <w:ind w:left="374" w:right="103" w:hanging="267"/>
              <w:jc w:val="left"/>
              <w:rPr>
                <w:sz w:val="21"/>
              </w:rPr>
            </w:pPr>
            <w:r>
              <w:rPr>
                <w:spacing w:val="-9"/>
                <w:sz w:val="21"/>
              </w:rPr>
              <w:t>析研判的方式方 法；③明确企业内部预警条件，预警等级，预警信息发布、接收、调整、解除程序、 发布内容、责任人；</w:t>
            </w:r>
          </w:p>
        </w:tc>
      </w:tr>
      <w:tr w14:paraId="3208E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641" w:type="dxa"/>
            <w:tcBorders>
              <w:left w:val="nil"/>
            </w:tcBorders>
          </w:tcPr>
          <w:p w14:paraId="3420CBB9">
            <w:pPr>
              <w:pStyle w:val="17"/>
              <w:jc w:val="left"/>
              <w:rPr>
                <w:b/>
                <w:sz w:val="22"/>
              </w:rPr>
            </w:pPr>
          </w:p>
          <w:p w14:paraId="5D571ED2">
            <w:pPr>
              <w:pStyle w:val="17"/>
              <w:jc w:val="left"/>
              <w:rPr>
                <w:b/>
                <w:sz w:val="22"/>
              </w:rPr>
            </w:pPr>
          </w:p>
          <w:p w14:paraId="5F7997D4">
            <w:pPr>
              <w:pStyle w:val="17"/>
              <w:jc w:val="left"/>
              <w:rPr>
                <w:b/>
                <w:sz w:val="22"/>
              </w:rPr>
            </w:pPr>
          </w:p>
          <w:p w14:paraId="656DC952">
            <w:pPr>
              <w:pStyle w:val="17"/>
              <w:spacing w:before="11"/>
              <w:jc w:val="left"/>
              <w:rPr>
                <w:b/>
                <w:sz w:val="21"/>
              </w:rPr>
            </w:pPr>
          </w:p>
          <w:p w14:paraId="024196A0">
            <w:pPr>
              <w:pStyle w:val="17"/>
              <w:ind w:right="255"/>
              <w:jc w:val="right"/>
              <w:rPr>
                <w:rFonts w:ascii="Times New Roman"/>
                <w:sz w:val="21"/>
              </w:rPr>
            </w:pPr>
            <w:r>
              <w:rPr>
                <w:rFonts w:ascii="Times New Roman"/>
                <w:w w:val="99"/>
                <w:sz w:val="21"/>
              </w:rPr>
              <w:t>5</w:t>
            </w:r>
          </w:p>
        </w:tc>
        <w:tc>
          <w:tcPr>
            <w:tcW w:w="1778" w:type="dxa"/>
          </w:tcPr>
          <w:p w14:paraId="5BA96637">
            <w:pPr>
              <w:pStyle w:val="17"/>
              <w:jc w:val="left"/>
              <w:rPr>
                <w:b/>
                <w:sz w:val="20"/>
              </w:rPr>
            </w:pPr>
          </w:p>
          <w:p w14:paraId="78BBA423">
            <w:pPr>
              <w:pStyle w:val="17"/>
              <w:jc w:val="left"/>
              <w:rPr>
                <w:b/>
                <w:sz w:val="20"/>
              </w:rPr>
            </w:pPr>
          </w:p>
          <w:p w14:paraId="14A4681C">
            <w:pPr>
              <w:pStyle w:val="17"/>
              <w:jc w:val="left"/>
              <w:rPr>
                <w:b/>
                <w:sz w:val="20"/>
              </w:rPr>
            </w:pPr>
          </w:p>
          <w:p w14:paraId="09F7E603">
            <w:pPr>
              <w:pStyle w:val="17"/>
              <w:spacing w:before="10"/>
              <w:jc w:val="left"/>
              <w:rPr>
                <w:b/>
                <w:sz w:val="26"/>
              </w:rPr>
            </w:pPr>
          </w:p>
          <w:p w14:paraId="1459DDB8">
            <w:pPr>
              <w:pStyle w:val="17"/>
              <w:ind w:left="129" w:right="125"/>
              <w:rPr>
                <w:sz w:val="21"/>
              </w:rPr>
            </w:pPr>
            <w:r>
              <w:rPr>
                <w:sz w:val="21"/>
              </w:rPr>
              <w:t>应急响应</w:t>
            </w:r>
          </w:p>
        </w:tc>
        <w:tc>
          <w:tcPr>
            <w:tcW w:w="6103" w:type="dxa"/>
            <w:tcBorders>
              <w:right w:val="nil"/>
            </w:tcBorders>
          </w:tcPr>
          <w:p w14:paraId="04415D76">
            <w:pPr>
              <w:pStyle w:val="17"/>
              <w:spacing w:before="20" w:line="278" w:lineRule="auto"/>
              <w:ind w:left="107" w:right="103" w:firstLine="2"/>
              <w:jc w:val="both"/>
              <w:rPr>
                <w:sz w:val="21"/>
              </w:rPr>
            </w:pPr>
            <w:r>
              <w:rPr>
                <w:w w:val="95"/>
                <w:sz w:val="21"/>
              </w:rPr>
              <w:t xml:space="preserve">①根据环境风险评估报告中的风险分析和情景构建内容，说明应 </w:t>
            </w:r>
            <w:r>
              <w:rPr>
                <w:spacing w:val="-5"/>
                <w:sz w:val="21"/>
              </w:rPr>
              <w:t>对流程和措施，体 现：企业内部控制污染源</w:t>
            </w:r>
            <w:r>
              <w:rPr>
                <w:rFonts w:ascii="Times New Roman" w:hAnsi="Times New Roman" w:eastAsia="Times New Roman"/>
                <w:sz w:val="21"/>
              </w:rPr>
              <w:t>-</w:t>
            </w:r>
            <w:r>
              <w:rPr>
                <w:sz w:val="21"/>
              </w:rPr>
              <w:t>研判污染范围</w:t>
            </w:r>
            <w:r>
              <w:rPr>
                <w:rFonts w:ascii="Times New Roman" w:hAnsi="Times New Roman" w:eastAsia="Times New Roman"/>
                <w:sz w:val="21"/>
              </w:rPr>
              <w:t>-</w:t>
            </w:r>
            <w:r>
              <w:rPr>
                <w:sz w:val="21"/>
              </w:rPr>
              <w:t>控制污染扩散</w:t>
            </w:r>
            <w:r>
              <w:rPr>
                <w:rFonts w:ascii="Times New Roman" w:hAnsi="Times New Roman" w:eastAsia="Times New Roman"/>
                <w:spacing w:val="-3"/>
                <w:sz w:val="21"/>
              </w:rPr>
              <w:t>-</w:t>
            </w:r>
            <w:r>
              <w:rPr>
                <w:spacing w:val="-1"/>
                <w:sz w:val="21"/>
              </w:rPr>
              <w:t>污染处置应对流程和措施； ②体现必要的企业外部应</w:t>
            </w:r>
            <w:r>
              <w:rPr>
                <w:spacing w:val="-12"/>
                <w:sz w:val="21"/>
              </w:rPr>
              <w:t>急措施、配合当地人民政府的响应措施及对当地人民政 府应急措</w:t>
            </w:r>
            <w:r>
              <w:rPr>
                <w:spacing w:val="-14"/>
                <w:sz w:val="21"/>
              </w:rPr>
              <w:t xml:space="preserve">施的建议； ③分别说明可能的事件情景及应急处置方案，明确相关岗位人员采取措施的时间、 地点、内容、方式、目标等； ④ </w:t>
            </w:r>
            <w:r>
              <w:rPr>
                <w:spacing w:val="-16"/>
                <w:sz w:val="21"/>
              </w:rPr>
              <w:t>将应急措施细化、落实到岗位，形成应急处置卡； ⑤配有厂区平</w:t>
            </w:r>
          </w:p>
          <w:p w14:paraId="64BFC11E">
            <w:pPr>
              <w:pStyle w:val="17"/>
              <w:spacing w:line="268" w:lineRule="exact"/>
              <w:ind w:left="1655"/>
              <w:jc w:val="left"/>
              <w:rPr>
                <w:sz w:val="21"/>
              </w:rPr>
            </w:pPr>
            <w:r>
              <w:rPr>
                <w:sz w:val="21"/>
              </w:rPr>
              <w:t>面布置图，应急物资表</w:t>
            </w:r>
            <w:r>
              <w:rPr>
                <w:rFonts w:ascii="Times New Roman" w:eastAsia="Times New Roman"/>
                <w:sz w:val="21"/>
              </w:rPr>
              <w:t>/</w:t>
            </w:r>
            <w:r>
              <w:rPr>
                <w:sz w:val="21"/>
              </w:rPr>
              <w:t>分布图</w:t>
            </w:r>
          </w:p>
        </w:tc>
      </w:tr>
      <w:tr w14:paraId="1221C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left w:val="nil"/>
            </w:tcBorders>
          </w:tcPr>
          <w:p w14:paraId="3D657B75">
            <w:pPr>
              <w:pStyle w:val="17"/>
              <w:spacing w:before="190"/>
              <w:ind w:right="255"/>
              <w:jc w:val="right"/>
              <w:rPr>
                <w:rFonts w:ascii="Times New Roman"/>
                <w:sz w:val="21"/>
              </w:rPr>
            </w:pPr>
            <w:r>
              <w:rPr>
                <w:rFonts w:ascii="Times New Roman"/>
                <w:w w:val="99"/>
                <w:sz w:val="21"/>
              </w:rPr>
              <w:t>6</w:t>
            </w:r>
          </w:p>
        </w:tc>
        <w:tc>
          <w:tcPr>
            <w:tcW w:w="1778" w:type="dxa"/>
          </w:tcPr>
          <w:p w14:paraId="780789EE">
            <w:pPr>
              <w:pStyle w:val="17"/>
              <w:spacing w:before="176"/>
              <w:ind w:left="129" w:right="125"/>
              <w:rPr>
                <w:sz w:val="21"/>
              </w:rPr>
            </w:pPr>
            <w:r>
              <w:rPr>
                <w:sz w:val="21"/>
              </w:rPr>
              <w:t>应急保障</w:t>
            </w:r>
          </w:p>
        </w:tc>
        <w:tc>
          <w:tcPr>
            <w:tcW w:w="6103" w:type="dxa"/>
            <w:tcBorders>
              <w:right w:val="nil"/>
            </w:tcBorders>
          </w:tcPr>
          <w:p w14:paraId="6FCCC184">
            <w:pPr>
              <w:pStyle w:val="17"/>
              <w:spacing w:before="20"/>
              <w:ind w:left="89" w:right="89"/>
              <w:rPr>
                <w:sz w:val="21"/>
              </w:rPr>
            </w:pPr>
            <w:r>
              <w:rPr>
                <w:sz w:val="21"/>
              </w:rPr>
              <w:t>说明环境应急预案涉及的人力资源、财力、物资以及其他技术、</w:t>
            </w:r>
          </w:p>
          <w:p w14:paraId="61BE0A9E">
            <w:pPr>
              <w:pStyle w:val="17"/>
              <w:spacing w:before="43"/>
              <w:ind w:left="89" w:right="87"/>
              <w:rPr>
                <w:sz w:val="21"/>
              </w:rPr>
            </w:pPr>
            <w:r>
              <w:rPr>
                <w:sz w:val="21"/>
              </w:rPr>
              <w:t>重要设施的保障</w:t>
            </w:r>
          </w:p>
        </w:tc>
      </w:tr>
      <w:tr w14:paraId="71B63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41" w:type="dxa"/>
            <w:tcBorders>
              <w:left w:val="nil"/>
            </w:tcBorders>
          </w:tcPr>
          <w:p w14:paraId="07D66D91">
            <w:pPr>
              <w:pStyle w:val="17"/>
              <w:spacing w:before="2"/>
              <w:jc w:val="left"/>
              <w:rPr>
                <w:b/>
                <w:sz w:val="27"/>
              </w:rPr>
            </w:pPr>
          </w:p>
          <w:p w14:paraId="7AE39AA7">
            <w:pPr>
              <w:pStyle w:val="17"/>
              <w:ind w:right="255"/>
              <w:jc w:val="right"/>
              <w:rPr>
                <w:rFonts w:ascii="Times New Roman"/>
                <w:sz w:val="21"/>
              </w:rPr>
            </w:pPr>
            <w:r>
              <w:rPr>
                <w:rFonts w:ascii="Times New Roman"/>
                <w:w w:val="99"/>
                <w:sz w:val="21"/>
              </w:rPr>
              <w:t>7</w:t>
            </w:r>
          </w:p>
        </w:tc>
        <w:tc>
          <w:tcPr>
            <w:tcW w:w="1778" w:type="dxa"/>
          </w:tcPr>
          <w:p w14:paraId="7C32BBEF">
            <w:pPr>
              <w:pStyle w:val="17"/>
              <w:jc w:val="left"/>
              <w:rPr>
                <w:b/>
                <w:sz w:val="26"/>
              </w:rPr>
            </w:pPr>
          </w:p>
          <w:p w14:paraId="2FC80010">
            <w:pPr>
              <w:pStyle w:val="17"/>
              <w:spacing w:before="1"/>
              <w:ind w:left="129" w:right="125"/>
              <w:rPr>
                <w:sz w:val="21"/>
              </w:rPr>
            </w:pPr>
            <w:r>
              <w:rPr>
                <w:sz w:val="21"/>
              </w:rPr>
              <w:t>善后处置</w:t>
            </w:r>
          </w:p>
        </w:tc>
        <w:tc>
          <w:tcPr>
            <w:tcW w:w="6103" w:type="dxa"/>
            <w:tcBorders>
              <w:right w:val="nil"/>
            </w:tcBorders>
          </w:tcPr>
          <w:p w14:paraId="2AAF81B4">
            <w:pPr>
              <w:pStyle w:val="17"/>
              <w:spacing w:before="22" w:line="278" w:lineRule="auto"/>
              <w:ind w:left="107" w:right="103" w:hanging="3"/>
              <w:rPr>
                <w:sz w:val="21"/>
              </w:rPr>
            </w:pPr>
            <w:r>
              <w:rPr>
                <w:w w:val="95"/>
                <w:sz w:val="21"/>
              </w:rPr>
              <w:t xml:space="preserve">说明事后恢复的工作内容和责任人，一般包括：现场污染物的后 </w:t>
            </w:r>
            <w:r>
              <w:rPr>
                <w:spacing w:val="-11"/>
                <w:sz w:val="21"/>
              </w:rPr>
              <w:t>续处理；环境应急 相关设施、设备、场所的维护；配合开展环境</w:t>
            </w:r>
          </w:p>
          <w:p w14:paraId="740E14D8">
            <w:pPr>
              <w:pStyle w:val="17"/>
              <w:spacing w:line="269" w:lineRule="exact"/>
              <w:ind w:left="89" w:right="87"/>
              <w:rPr>
                <w:sz w:val="21"/>
              </w:rPr>
            </w:pPr>
            <w:r>
              <w:rPr>
                <w:sz w:val="21"/>
              </w:rPr>
              <w:t>损害评估、赔偿、事件调查处理等</w:t>
            </w:r>
          </w:p>
        </w:tc>
      </w:tr>
      <w:tr w14:paraId="42C1E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1" w:type="dxa"/>
            <w:tcBorders>
              <w:left w:val="nil"/>
            </w:tcBorders>
          </w:tcPr>
          <w:p w14:paraId="653A958F">
            <w:pPr>
              <w:pStyle w:val="17"/>
              <w:spacing w:before="191"/>
              <w:ind w:right="255"/>
              <w:jc w:val="right"/>
              <w:rPr>
                <w:rFonts w:ascii="Times New Roman"/>
                <w:sz w:val="21"/>
              </w:rPr>
            </w:pPr>
            <w:r>
              <w:rPr>
                <w:rFonts w:ascii="Times New Roman"/>
                <w:w w:val="99"/>
                <w:sz w:val="21"/>
              </w:rPr>
              <w:t>8</w:t>
            </w:r>
          </w:p>
        </w:tc>
        <w:tc>
          <w:tcPr>
            <w:tcW w:w="1778" w:type="dxa"/>
          </w:tcPr>
          <w:p w14:paraId="12E9E311">
            <w:pPr>
              <w:pStyle w:val="17"/>
              <w:spacing w:before="177"/>
              <w:ind w:left="132" w:right="125"/>
              <w:rPr>
                <w:sz w:val="21"/>
              </w:rPr>
            </w:pPr>
            <w:r>
              <w:rPr>
                <w:sz w:val="21"/>
              </w:rPr>
              <w:t>预案管理与演练</w:t>
            </w:r>
          </w:p>
        </w:tc>
        <w:tc>
          <w:tcPr>
            <w:tcW w:w="6103" w:type="dxa"/>
            <w:tcBorders>
              <w:right w:val="nil"/>
            </w:tcBorders>
          </w:tcPr>
          <w:p w14:paraId="2ECA11A7">
            <w:pPr>
              <w:pStyle w:val="17"/>
              <w:spacing w:before="21"/>
              <w:ind w:left="89" w:right="89"/>
              <w:rPr>
                <w:sz w:val="21"/>
              </w:rPr>
            </w:pPr>
            <w:r>
              <w:rPr>
                <w:sz w:val="21"/>
              </w:rPr>
              <w:t>安排有关环境应急预案的培训和演练；明确环境应急预案的评估</w:t>
            </w:r>
          </w:p>
          <w:p w14:paraId="44D83D92">
            <w:pPr>
              <w:pStyle w:val="17"/>
              <w:spacing w:before="43"/>
              <w:ind w:left="89" w:right="89"/>
              <w:rPr>
                <w:sz w:val="21"/>
              </w:rPr>
            </w:pPr>
            <w:r>
              <w:rPr>
                <w:sz w:val="21"/>
              </w:rPr>
              <w:t>修订要求</w:t>
            </w:r>
          </w:p>
        </w:tc>
      </w:tr>
    </w:tbl>
    <w:p w14:paraId="1A569F0F">
      <w:pPr>
        <w:pStyle w:val="9"/>
        <w:numPr>
          <w:ilvl w:val="3"/>
          <w:numId w:val="25"/>
        </w:numPr>
        <w:tabs>
          <w:tab w:val="left" w:pos="1340"/>
        </w:tabs>
        <w:spacing w:before="82" w:after="0" w:line="240" w:lineRule="auto"/>
        <w:ind w:left="1340" w:right="0" w:hanging="720"/>
        <w:jc w:val="left"/>
      </w:pPr>
      <w:r>
        <w:rPr>
          <w:w w:val="95"/>
        </w:rPr>
        <w:t>应急救援保障</w:t>
      </w:r>
    </w:p>
    <w:p w14:paraId="29C76DAA">
      <w:pPr>
        <w:pStyle w:val="10"/>
        <w:spacing w:before="161"/>
        <w:ind w:left="1100"/>
      </w:pPr>
      <w:r>
        <w:rPr>
          <w:rFonts w:ascii="Times New Roman" w:eastAsia="Times New Roman"/>
        </w:rPr>
        <w:t>1</w:t>
      </w:r>
      <w:r>
        <w:t>、救援专业队伍组成及分工</w:t>
      </w:r>
    </w:p>
    <w:p w14:paraId="1F827D60">
      <w:pPr>
        <w:pStyle w:val="10"/>
        <w:spacing w:before="160" w:line="364" w:lineRule="auto"/>
        <w:ind w:left="620" w:right="645" w:firstLine="480"/>
      </w:pPr>
      <w:r>
        <w:t>（</w:t>
      </w:r>
      <w:r>
        <w:rPr>
          <w:rFonts w:ascii="Times New Roman" w:eastAsia="Times New Roman"/>
        </w:rPr>
        <w:t>1</w:t>
      </w:r>
      <w:r>
        <w:t>）应急抢险组：其主要职责是在事故应急领导小组和事故应急办公室的</w:t>
      </w:r>
      <w:r>
        <w:rPr>
          <w:spacing w:val="-9"/>
        </w:rPr>
        <w:t>统一领导下，对现场发生的各类生产安全事故迅速开展应急抢险救援、火灾扑救等工作。当工厂救援力量不足以控制事态时，及时向地方和社会救援机构求助。</w:t>
      </w:r>
      <w:r>
        <w:rPr>
          <w:spacing w:val="-12"/>
        </w:rPr>
        <w:t xml:space="preserve">应急抢险救援组是常设机构，常年保持 </w:t>
      </w:r>
      <w:r>
        <w:rPr>
          <w:rFonts w:ascii="Times New Roman" w:eastAsia="Times New Roman"/>
        </w:rPr>
        <w:t xml:space="preserve">24 </w:t>
      </w:r>
      <w:r>
        <w:t>小时值班，确保应急响应及时，信息上报、沟通及时准确。</w:t>
      </w:r>
    </w:p>
    <w:p w14:paraId="5108113C">
      <w:pPr>
        <w:pStyle w:val="10"/>
        <w:spacing w:before="3" w:line="364" w:lineRule="auto"/>
        <w:ind w:left="620" w:right="740" w:firstLine="480"/>
      </w:pPr>
      <w:r>
        <w:t>（</w:t>
      </w:r>
      <w:r>
        <w:rPr>
          <w:rFonts w:ascii="Times New Roman" w:eastAsia="Times New Roman"/>
        </w:rPr>
        <w:t>2</w:t>
      </w:r>
      <w:r>
        <w:t>）消防疏散组：主要职责是将事故危险区域内或可能危及的区域内所有人员疏散到指定的安全紧急集合点，并进行人员清点。</w:t>
      </w:r>
    </w:p>
    <w:p w14:paraId="147EE1D1">
      <w:pPr>
        <w:spacing w:after="0" w:line="364" w:lineRule="auto"/>
        <w:sectPr>
          <w:pgSz w:w="11910" w:h="16840"/>
          <w:pgMar w:top="1420" w:right="1060" w:bottom="1380" w:left="1180" w:header="0" w:footer="1192" w:gutter="0"/>
          <w:cols w:space="720" w:num="1"/>
        </w:sectPr>
      </w:pPr>
    </w:p>
    <w:p w14:paraId="05CD91F1">
      <w:pPr>
        <w:pStyle w:val="10"/>
        <w:spacing w:before="62" w:line="364" w:lineRule="auto"/>
        <w:ind w:left="620" w:right="737" w:firstLine="480"/>
        <w:jc w:val="both"/>
      </w:pPr>
      <w:r>
        <w:t>（</w:t>
      </w:r>
      <w:r>
        <w:rPr>
          <w:rFonts w:ascii="Times New Roman" w:eastAsia="Times New Roman"/>
        </w:rPr>
        <w:t>3</w:t>
      </w:r>
      <w:r>
        <w:t xml:space="preserve">）医疗救护组：主要职责是负责现场伤亡人员的应急救治和处置工作， </w:t>
      </w:r>
      <w:r>
        <w:rPr>
          <w:spacing w:val="-8"/>
        </w:rPr>
        <w:t>当力量不足时，应及时向地方和社会救治机构求助。医疗救护组是常设机构，常</w:t>
      </w:r>
      <w:r>
        <w:rPr>
          <w:spacing w:val="-21"/>
        </w:rPr>
        <w:t xml:space="preserve">年保持 </w:t>
      </w:r>
      <w:r>
        <w:rPr>
          <w:rFonts w:ascii="Times New Roman" w:eastAsia="Times New Roman"/>
        </w:rPr>
        <w:t xml:space="preserve">24 </w:t>
      </w:r>
      <w:r>
        <w:t>小时值班，确保应急响应及时，信息上报、沟通及时准确。</w:t>
      </w:r>
    </w:p>
    <w:p w14:paraId="03B9BF41">
      <w:pPr>
        <w:pStyle w:val="10"/>
        <w:spacing w:before="2" w:line="364" w:lineRule="auto"/>
        <w:ind w:left="620" w:right="737" w:firstLine="480"/>
        <w:jc w:val="both"/>
      </w:pPr>
      <w:r>
        <w:t>（</w:t>
      </w:r>
      <w:r>
        <w:rPr>
          <w:rFonts w:ascii="Times New Roman" w:eastAsia="Times New Roman"/>
        </w:rPr>
        <w:t>4</w:t>
      </w:r>
      <w:r>
        <w:t>）设备保障组：主要职责是负责现场应急救援设备的保障，在应急领导</w:t>
      </w:r>
      <w:r>
        <w:rPr>
          <w:spacing w:val="-7"/>
        </w:rPr>
        <w:t>小组的统一指挥下，及时调动起重设备、铲车、现场电器设备、照明设备等应急救援设备，做好应急抢险救援工作。</w:t>
      </w:r>
    </w:p>
    <w:p w14:paraId="35252B5D">
      <w:pPr>
        <w:pStyle w:val="10"/>
        <w:spacing w:before="1" w:line="364" w:lineRule="auto"/>
        <w:ind w:left="620" w:right="617" w:firstLine="480"/>
      </w:pPr>
      <w:r>
        <w:rPr>
          <w:spacing w:val="-11"/>
        </w:rPr>
        <w:t>（</w:t>
      </w:r>
      <w:r>
        <w:rPr>
          <w:rFonts w:ascii="Times New Roman" w:eastAsia="Times New Roman"/>
          <w:spacing w:val="-11"/>
        </w:rPr>
        <w:t>5</w:t>
      </w:r>
      <w:r>
        <w:rPr>
          <w:spacing w:val="-11"/>
        </w:rPr>
        <w:t>）</w:t>
      </w:r>
      <w:r>
        <w:rPr>
          <w:spacing w:val="-7"/>
        </w:rPr>
        <w:t>秩序维持组：主要职责是负责事发现场或危险区域的警戒、秩序维持、交通疏理和管制、现场保护等工作。</w:t>
      </w:r>
    </w:p>
    <w:p w14:paraId="723C491A">
      <w:pPr>
        <w:pStyle w:val="10"/>
        <w:spacing w:before="2" w:line="364" w:lineRule="auto"/>
        <w:ind w:left="620" w:right="617" w:firstLine="480"/>
      </w:pPr>
      <w:r>
        <w:rPr>
          <w:spacing w:val="-7"/>
        </w:rPr>
        <w:t>（</w:t>
      </w:r>
      <w:r>
        <w:rPr>
          <w:rFonts w:ascii="Times New Roman" w:eastAsia="Times New Roman"/>
          <w:spacing w:val="-7"/>
        </w:rPr>
        <w:t>6</w:t>
      </w:r>
      <w:r>
        <w:rPr>
          <w:spacing w:val="-7"/>
        </w:rPr>
        <w:t>）后勤保障组：主要职责是负责应急物资、设备、器材等的调拨、供应、运输等工作，确保现场应急处置工作顺利进行。</w:t>
      </w:r>
    </w:p>
    <w:p w14:paraId="17AD783E">
      <w:pPr>
        <w:pStyle w:val="10"/>
        <w:spacing w:before="1"/>
        <w:ind w:left="1100"/>
      </w:pPr>
      <w:r>
        <w:rPr>
          <w:rFonts w:ascii="Times New Roman" w:eastAsia="Times New Roman"/>
        </w:rPr>
        <w:t>2</w:t>
      </w:r>
      <w:r>
        <w:t>、保障制度</w:t>
      </w:r>
    </w:p>
    <w:p w14:paraId="59C639D6">
      <w:pPr>
        <w:pStyle w:val="10"/>
        <w:spacing w:before="160" w:line="364" w:lineRule="auto"/>
        <w:ind w:left="620" w:right="645" w:firstLine="480"/>
        <w:jc w:val="both"/>
      </w:pPr>
      <w:r>
        <w:t>应急救援责任制：包括应急救援领导小组职责、应急救援指挥部人员分工、救援专业队伍分工。</w:t>
      </w:r>
    </w:p>
    <w:p w14:paraId="3239BFA0">
      <w:pPr>
        <w:pStyle w:val="10"/>
        <w:spacing w:before="2"/>
        <w:ind w:left="1100"/>
      </w:pPr>
      <w:r>
        <w:t>值班制度：</w:t>
      </w:r>
    </w:p>
    <w:p w14:paraId="1643CEA0">
      <w:pPr>
        <w:pStyle w:val="10"/>
        <w:spacing w:before="160"/>
        <w:ind w:left="1100"/>
        <w:rPr>
          <w:rFonts w:ascii="Times New Roman" w:eastAsia="Times New Roman"/>
        </w:rPr>
      </w:pPr>
      <w:r>
        <w:t xml:space="preserve">值班时间为当日 </w:t>
      </w:r>
      <w:r>
        <w:rPr>
          <w:rFonts w:ascii="Times New Roman" w:eastAsia="Times New Roman"/>
        </w:rPr>
        <w:t>18</w:t>
      </w:r>
      <w:r>
        <w:t>：</w:t>
      </w:r>
      <w:r>
        <w:rPr>
          <w:rFonts w:ascii="Times New Roman" w:eastAsia="Times New Roman"/>
        </w:rPr>
        <w:t>00~</w:t>
      </w:r>
      <w:r>
        <w:t xml:space="preserve">次日 </w:t>
      </w:r>
      <w:r>
        <w:rPr>
          <w:rFonts w:ascii="Times New Roman" w:eastAsia="Times New Roman"/>
        </w:rPr>
        <w:t>8</w:t>
      </w:r>
      <w:r>
        <w:t>：</w:t>
      </w:r>
      <w:r>
        <w:rPr>
          <w:rFonts w:ascii="Times New Roman" w:eastAsia="Times New Roman"/>
        </w:rPr>
        <w:t>00</w:t>
      </w:r>
    </w:p>
    <w:p w14:paraId="1761299A">
      <w:pPr>
        <w:pStyle w:val="10"/>
        <w:spacing w:before="161" w:line="364" w:lineRule="auto"/>
        <w:ind w:left="1100" w:right="2325"/>
      </w:pPr>
      <w:r>
        <w:t>值班人员夜间必须在厂内值班室职守，并由所在部门考勤； 因公或私事不能到位，所在部门必须安排相应人员代替；</w:t>
      </w:r>
    </w:p>
    <w:p w14:paraId="08AD725E">
      <w:pPr>
        <w:pStyle w:val="10"/>
        <w:spacing w:before="1" w:line="364" w:lineRule="auto"/>
        <w:ind w:left="620" w:right="737" w:firstLine="480"/>
        <w:jc w:val="both"/>
      </w:pPr>
      <w:r>
        <w:rPr>
          <w:spacing w:val="-6"/>
        </w:rPr>
        <w:t>值班人员务必本人签名，他人不得代签；如在值班中遇到紧急情况，应采取果断措施进行处理，并及时向有关领导联系汇报。</w:t>
      </w:r>
    </w:p>
    <w:p w14:paraId="328FFD94">
      <w:pPr>
        <w:pStyle w:val="10"/>
        <w:spacing w:before="1" w:line="364" w:lineRule="auto"/>
        <w:ind w:left="620" w:right="737" w:firstLine="480"/>
        <w:jc w:val="both"/>
      </w:pPr>
      <w:r>
        <w:rPr>
          <w:spacing w:val="-8"/>
        </w:rPr>
        <w:t>应急救援培训制度：应急救援装备、物质、药品等检查、维护制度。生产安</w:t>
      </w:r>
      <w:r>
        <w:rPr>
          <w:spacing w:val="-14"/>
        </w:rPr>
        <w:t>全事故应急演练至少每年一次，应急演练应根据自身特点制定周密细致的演练计</w:t>
      </w:r>
      <w:r>
        <w:rPr>
          <w:spacing w:val="-10"/>
        </w:rPr>
        <w:t>划，演练过程中要认真检查预案，发现问题及时进行修订、完善，演练结果要及时总结评估。</w:t>
      </w:r>
    </w:p>
    <w:p w14:paraId="7DA45500">
      <w:pPr>
        <w:spacing w:before="56"/>
        <w:ind w:left="620" w:right="0" w:firstLine="0"/>
        <w:jc w:val="left"/>
        <w:rPr>
          <w:b/>
          <w:sz w:val="28"/>
        </w:rPr>
      </w:pPr>
      <w:r>
        <w:rPr>
          <w:rFonts w:ascii="Times New Roman" w:eastAsia="Times New Roman"/>
          <w:b/>
          <w:sz w:val="28"/>
        </w:rPr>
        <w:t xml:space="preserve">4.6.7 </w:t>
      </w:r>
      <w:r>
        <w:rPr>
          <w:b/>
          <w:sz w:val="28"/>
        </w:rPr>
        <w:t>环境风险评价结论</w:t>
      </w:r>
    </w:p>
    <w:p w14:paraId="1B5A415C">
      <w:pPr>
        <w:pStyle w:val="10"/>
        <w:spacing w:before="212" w:line="364" w:lineRule="auto"/>
        <w:ind w:left="620" w:right="681" w:firstLine="480"/>
        <w:jc w:val="both"/>
      </w:pPr>
      <w:r>
        <w:rPr>
          <w:spacing w:val="-5"/>
        </w:rPr>
        <w:t>项目涉及的主要风险物质为危险废物和工艺废气等。项目位于汨罗高新技术</w:t>
      </w:r>
      <w:r>
        <w:rPr>
          <w:spacing w:val="-11"/>
        </w:rPr>
        <w:t>产业开发区新市片区，不涉及自然保护区、风景名称区、饮用水源保护区等环境敏感区。周边敏感目标主要是居民点。项目环境风险潜势为</w:t>
      </w:r>
      <w:r>
        <w:rPr>
          <w:rFonts w:ascii="Times New Roman" w:hAnsi="Times New Roman" w:eastAsia="Times New Roman"/>
          <w:spacing w:val="6"/>
        </w:rPr>
        <w:t>Ⅰ</w:t>
      </w:r>
      <w:r>
        <w:rPr>
          <w:spacing w:val="5"/>
        </w:rPr>
        <w:t xml:space="preserve">，仅作简单分析， </w:t>
      </w:r>
      <w:r>
        <w:rPr>
          <w:spacing w:val="7"/>
        </w:rPr>
        <w:t>项目不涉及危险化工工艺，液态风险物质泄漏量很小，各风险事故在落实环境风险防范措施前提下均较可控制，不会对厂区外环境造成不良影响，环境</w:t>
      </w:r>
    </w:p>
    <w:p w14:paraId="7382FE9E">
      <w:pPr>
        <w:spacing w:after="0" w:line="364" w:lineRule="auto"/>
        <w:jc w:val="both"/>
        <w:sectPr>
          <w:pgSz w:w="11910" w:h="16840"/>
          <w:pgMar w:top="1440" w:right="1060" w:bottom="1380" w:left="1180" w:header="0" w:footer="1192" w:gutter="0"/>
          <w:cols w:space="720" w:num="1"/>
        </w:sectPr>
      </w:pPr>
    </w:p>
    <w:p w14:paraId="062CD739">
      <w:pPr>
        <w:pStyle w:val="10"/>
        <w:spacing w:before="42"/>
        <w:ind w:left="620"/>
      </w:pPr>
      <w:r>
        <w:t>风险影响可接受。</w:t>
      </w:r>
    </w:p>
    <w:p w14:paraId="7ED79B4A">
      <w:pPr>
        <w:pStyle w:val="3"/>
        <w:spacing w:before="201"/>
        <w:ind w:left="620" w:firstLine="0"/>
      </w:pPr>
      <w:bookmarkStart w:id="30" w:name="_TOC_250025"/>
      <w:r>
        <w:rPr>
          <w:rFonts w:ascii="Times New Roman" w:eastAsia="Times New Roman"/>
        </w:rPr>
        <w:t xml:space="preserve">4.7 </w:t>
      </w:r>
      <w:bookmarkEnd w:id="30"/>
      <w:r>
        <w:t>生态环境影响分析</w:t>
      </w:r>
    </w:p>
    <w:p w14:paraId="0F77E14B">
      <w:pPr>
        <w:pStyle w:val="10"/>
        <w:spacing w:before="199" w:line="364" w:lineRule="auto"/>
        <w:ind w:left="620" w:right="737" w:firstLine="480"/>
        <w:jc w:val="both"/>
      </w:pPr>
      <w:r>
        <w:rPr>
          <w:spacing w:val="-6"/>
        </w:rPr>
        <w:t>本项目位于工业园区已建厂房内，地面已进行硬化，项目所在区域动物以常</w:t>
      </w:r>
      <w:r>
        <w:rPr>
          <w:spacing w:val="-12"/>
        </w:rPr>
        <w:t>见种为主，如鼠类、麻雀、蜻蜓等，没有珍稀濒危动植物资源。本次项目营运期</w:t>
      </w:r>
      <w:r>
        <w:rPr>
          <w:spacing w:val="-16"/>
        </w:rPr>
        <w:t>对生态环境的影响主要是项目排放的废气对周边植被的影响。本次项目外排废气主要是颗粒物、非甲烷总烃等，其对植被的影响主要有以下：</w:t>
      </w:r>
    </w:p>
    <w:p w14:paraId="58FC6917">
      <w:pPr>
        <w:pStyle w:val="10"/>
        <w:spacing w:before="2" w:line="364" w:lineRule="auto"/>
        <w:ind w:left="620" w:right="737" w:firstLine="480"/>
        <w:jc w:val="both"/>
      </w:pPr>
      <w:r>
        <w:t>（</w:t>
      </w:r>
      <w:r>
        <w:rPr>
          <w:rFonts w:ascii="Times New Roman" w:eastAsia="Times New Roman"/>
        </w:rPr>
        <w:t>1</w:t>
      </w:r>
      <w:r>
        <w:t>）颗粒物等污染物沉积在绿色植物叶面，堵塞气孔，阻挡光合作用、呼</w:t>
      </w:r>
      <w:r>
        <w:rPr>
          <w:spacing w:val="-11"/>
        </w:rPr>
        <w:t>吸作用、蒸腾作用等，危害植物健康。另外农作物叶片上积尘太多会影响区域的景观环境。</w:t>
      </w:r>
    </w:p>
    <w:p w14:paraId="722FA7CF">
      <w:pPr>
        <w:pStyle w:val="10"/>
        <w:spacing w:before="2" w:line="364" w:lineRule="auto"/>
        <w:ind w:left="620" w:right="737" w:firstLine="480"/>
        <w:jc w:val="both"/>
      </w:pPr>
      <w:r>
        <w:t>（</w:t>
      </w:r>
      <w:r>
        <w:rPr>
          <w:rFonts w:ascii="Times New Roman" w:eastAsia="Times New Roman"/>
        </w:rPr>
        <w:t>2</w:t>
      </w:r>
      <w:r>
        <w:t>）有机废气的排放会造成臭氧层的毁坏，有机废气和酸性废气会造成酸</w:t>
      </w:r>
      <w:r>
        <w:rPr>
          <w:spacing w:val="-9"/>
        </w:rPr>
        <w:t>雨，危害植物的生长并造成农作物产量下降，腐蚀建筑等。工业废气会造成全球气候变暖和冰山融化，对生态环境造成威胁。</w:t>
      </w:r>
    </w:p>
    <w:p w14:paraId="0D0EB9E2">
      <w:pPr>
        <w:pStyle w:val="10"/>
        <w:spacing w:before="2" w:line="364" w:lineRule="auto"/>
        <w:ind w:left="620" w:right="737" w:firstLine="480"/>
        <w:jc w:val="both"/>
      </w:pPr>
      <w:r>
        <w:rPr>
          <w:spacing w:val="-9"/>
        </w:rPr>
        <w:t>因此，本项目在结合实际技术情况的条件下，应尽量采用最优的废气污染控</w:t>
      </w:r>
      <w:r>
        <w:rPr>
          <w:spacing w:val="-11"/>
        </w:rPr>
        <w:t>制技术，遵循严格的废气排放标准，加强运行管理，减少事故排放，尽可能把废气污染程度降到最低，使其对周围生态环境产生更小的影响。</w:t>
      </w:r>
    </w:p>
    <w:p w14:paraId="73F126E4">
      <w:pPr>
        <w:spacing w:after="0" w:line="364" w:lineRule="auto"/>
        <w:jc w:val="both"/>
        <w:sectPr>
          <w:pgSz w:w="11910" w:h="16840"/>
          <w:pgMar w:top="1460" w:right="1060" w:bottom="1380" w:left="1180" w:header="0" w:footer="1192" w:gutter="0"/>
          <w:cols w:space="720" w:num="1"/>
        </w:sectPr>
      </w:pPr>
    </w:p>
    <w:p w14:paraId="10079187">
      <w:pPr>
        <w:pStyle w:val="16"/>
        <w:numPr>
          <w:ilvl w:val="0"/>
          <w:numId w:val="22"/>
        </w:numPr>
        <w:tabs>
          <w:tab w:val="left" w:pos="889"/>
        </w:tabs>
        <w:spacing w:before="42" w:after="0" w:line="240" w:lineRule="auto"/>
        <w:ind w:left="888" w:right="0" w:hanging="268"/>
        <w:jc w:val="left"/>
        <w:rPr>
          <w:rFonts w:ascii="Times New Roman" w:eastAsia="Times New Roman"/>
          <w:b/>
          <w:sz w:val="36"/>
        </w:rPr>
      </w:pPr>
      <w:bookmarkStart w:id="31" w:name="_TOC_250024"/>
      <w:bookmarkEnd w:id="31"/>
      <w:r>
        <w:rPr>
          <w:b/>
          <w:sz w:val="36"/>
        </w:rPr>
        <w:t>环境保护措施及其可行性论证</w:t>
      </w:r>
    </w:p>
    <w:p w14:paraId="4A7BE1B4">
      <w:pPr>
        <w:pStyle w:val="10"/>
        <w:spacing w:before="163" w:line="364" w:lineRule="auto"/>
        <w:ind w:left="620" w:right="737" w:firstLine="480"/>
        <w:jc w:val="both"/>
      </w:pPr>
      <w:r>
        <w:rPr>
          <w:spacing w:val="-6"/>
        </w:rPr>
        <w:t>本项目施工期建设内容主要有：设备安装和调试，主要污染有施工人员生活</w:t>
      </w:r>
      <w:r>
        <w:rPr>
          <w:spacing w:val="-10"/>
        </w:rPr>
        <w:t>污水、车辆运输扬尘、施工噪声和施工人员生活垃圾等。只要落实洒水抑尘，合</w:t>
      </w:r>
      <w:r>
        <w:rPr>
          <w:spacing w:val="-13"/>
        </w:rPr>
        <w:t>理安排施工时间，施工人员生活污水、生活垃圾与员工生活污水、生活垃圾一并处理，施工期对环境影响不大，污防措施可行。</w:t>
      </w:r>
    </w:p>
    <w:p w14:paraId="63EC65F2">
      <w:pPr>
        <w:pStyle w:val="3"/>
        <w:numPr>
          <w:ilvl w:val="1"/>
          <w:numId w:val="26"/>
        </w:numPr>
        <w:tabs>
          <w:tab w:val="left" w:pos="1069"/>
        </w:tabs>
        <w:spacing w:before="43" w:after="0" w:line="240" w:lineRule="auto"/>
        <w:ind w:left="1068" w:right="0" w:hanging="448"/>
        <w:jc w:val="left"/>
      </w:pPr>
      <w:bookmarkStart w:id="32" w:name="_TOC_250023"/>
      <w:bookmarkEnd w:id="32"/>
      <w:r>
        <w:t>大气污染防治措施</w:t>
      </w:r>
    </w:p>
    <w:p w14:paraId="1F1BD888">
      <w:pPr>
        <w:pStyle w:val="10"/>
        <w:spacing w:before="199" w:line="364" w:lineRule="auto"/>
        <w:ind w:left="620" w:right="737" w:firstLine="480"/>
        <w:jc w:val="both"/>
      </w:pPr>
      <w:r>
        <w:rPr>
          <w:spacing w:val="-6"/>
        </w:rPr>
        <w:t>项目产生的主要废气为破碎、投料混料工序颗粒物，挤出造粒、挤出注塑工序颗粒物、非甲烷总烃、臭气浓度。主要废气污染防治措施见下表。</w:t>
      </w:r>
    </w:p>
    <w:p w14:paraId="2256EC7E">
      <w:pPr>
        <w:pStyle w:val="9"/>
        <w:spacing w:before="1"/>
        <w:ind w:left="3077"/>
      </w:pPr>
      <w:r>
        <w:t>表</w:t>
      </w:r>
      <w:r>
        <w:rPr>
          <w:rFonts w:ascii="Times New Roman" w:eastAsia="Times New Roman"/>
        </w:rPr>
        <w:t>5.1-1</w:t>
      </w:r>
      <w:r>
        <w:t>项目废气污染防治措施表</w:t>
      </w:r>
    </w:p>
    <w:p w14:paraId="67A2DF99">
      <w:pPr>
        <w:pStyle w:val="10"/>
        <w:spacing w:before="3"/>
        <w:rPr>
          <w:b/>
          <w:sz w:val="6"/>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00"/>
        <w:gridCol w:w="871"/>
        <w:gridCol w:w="1371"/>
        <w:gridCol w:w="650"/>
        <w:gridCol w:w="752"/>
        <w:gridCol w:w="817"/>
        <w:gridCol w:w="2162"/>
      </w:tblGrid>
      <w:tr w14:paraId="16258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96" w:type="dxa"/>
            <w:vMerge w:val="restart"/>
            <w:tcBorders>
              <w:left w:val="nil"/>
            </w:tcBorders>
          </w:tcPr>
          <w:p w14:paraId="18CAACFE">
            <w:pPr>
              <w:pStyle w:val="17"/>
              <w:spacing w:before="8"/>
              <w:jc w:val="left"/>
              <w:rPr>
                <w:b/>
                <w:sz w:val="16"/>
              </w:rPr>
            </w:pPr>
          </w:p>
          <w:p w14:paraId="4F98382C">
            <w:pPr>
              <w:pStyle w:val="17"/>
              <w:spacing w:line="278" w:lineRule="auto"/>
              <w:ind w:left="397" w:right="142" w:hanging="238"/>
              <w:jc w:val="left"/>
              <w:rPr>
                <w:sz w:val="21"/>
              </w:rPr>
            </w:pPr>
            <w:r>
              <w:rPr>
                <w:sz w:val="21"/>
              </w:rPr>
              <w:t>装置</w:t>
            </w:r>
            <w:r>
              <w:rPr>
                <w:rFonts w:ascii="Times New Roman" w:eastAsia="Times New Roman"/>
                <w:sz w:val="21"/>
              </w:rPr>
              <w:t>/</w:t>
            </w:r>
            <w:r>
              <w:rPr>
                <w:sz w:val="21"/>
              </w:rPr>
              <w:t>工序</w:t>
            </w:r>
          </w:p>
        </w:tc>
        <w:tc>
          <w:tcPr>
            <w:tcW w:w="900" w:type="dxa"/>
            <w:vMerge w:val="restart"/>
          </w:tcPr>
          <w:p w14:paraId="030A6160">
            <w:pPr>
              <w:pStyle w:val="17"/>
              <w:spacing w:before="8"/>
              <w:jc w:val="left"/>
              <w:rPr>
                <w:b/>
                <w:sz w:val="16"/>
              </w:rPr>
            </w:pPr>
          </w:p>
          <w:p w14:paraId="7E33D038">
            <w:pPr>
              <w:pStyle w:val="17"/>
              <w:spacing w:line="278" w:lineRule="auto"/>
              <w:ind w:left="238" w:right="123" w:hanging="104"/>
              <w:jc w:val="left"/>
              <w:rPr>
                <w:sz w:val="21"/>
              </w:rPr>
            </w:pPr>
            <w:r>
              <w:rPr>
                <w:sz w:val="21"/>
              </w:rPr>
              <w:t>污染源编号</w:t>
            </w:r>
          </w:p>
        </w:tc>
        <w:tc>
          <w:tcPr>
            <w:tcW w:w="871" w:type="dxa"/>
            <w:vMerge w:val="restart"/>
          </w:tcPr>
          <w:p w14:paraId="5C64454B">
            <w:pPr>
              <w:pStyle w:val="17"/>
              <w:spacing w:before="10"/>
              <w:jc w:val="left"/>
              <w:rPr>
                <w:b/>
                <w:sz w:val="28"/>
              </w:rPr>
            </w:pPr>
          </w:p>
          <w:p w14:paraId="60459FAA">
            <w:pPr>
              <w:pStyle w:val="17"/>
              <w:ind w:left="118"/>
              <w:jc w:val="left"/>
              <w:rPr>
                <w:sz w:val="21"/>
              </w:rPr>
            </w:pPr>
            <w:r>
              <w:rPr>
                <w:sz w:val="21"/>
              </w:rPr>
              <w:t>污染物</w:t>
            </w:r>
          </w:p>
        </w:tc>
        <w:tc>
          <w:tcPr>
            <w:tcW w:w="2773" w:type="dxa"/>
            <w:gridSpan w:val="3"/>
          </w:tcPr>
          <w:p w14:paraId="0CE1625C">
            <w:pPr>
              <w:pStyle w:val="17"/>
              <w:spacing w:before="52"/>
              <w:ind w:left="945" w:right="938"/>
              <w:rPr>
                <w:sz w:val="21"/>
              </w:rPr>
            </w:pPr>
            <w:r>
              <w:rPr>
                <w:sz w:val="21"/>
              </w:rPr>
              <w:t>治理措施</w:t>
            </w:r>
          </w:p>
        </w:tc>
        <w:tc>
          <w:tcPr>
            <w:tcW w:w="817" w:type="dxa"/>
            <w:vMerge w:val="restart"/>
          </w:tcPr>
          <w:p w14:paraId="295BE499">
            <w:pPr>
              <w:pStyle w:val="17"/>
              <w:spacing w:before="8"/>
              <w:jc w:val="left"/>
              <w:rPr>
                <w:b/>
                <w:sz w:val="16"/>
              </w:rPr>
            </w:pPr>
          </w:p>
          <w:p w14:paraId="1CDC088C">
            <w:pPr>
              <w:pStyle w:val="17"/>
              <w:spacing w:line="278" w:lineRule="auto"/>
              <w:ind w:left="197" w:right="190"/>
              <w:jc w:val="left"/>
              <w:rPr>
                <w:sz w:val="21"/>
              </w:rPr>
            </w:pPr>
            <w:r>
              <w:rPr>
                <w:w w:val="95"/>
                <w:sz w:val="21"/>
              </w:rPr>
              <w:t>排放方式</w:t>
            </w:r>
          </w:p>
        </w:tc>
        <w:tc>
          <w:tcPr>
            <w:tcW w:w="2162" w:type="dxa"/>
            <w:vMerge w:val="restart"/>
            <w:tcBorders>
              <w:right w:val="nil"/>
            </w:tcBorders>
          </w:tcPr>
          <w:p w14:paraId="68BE5A93">
            <w:pPr>
              <w:pStyle w:val="17"/>
              <w:spacing w:before="10"/>
              <w:jc w:val="left"/>
              <w:rPr>
                <w:b/>
                <w:sz w:val="28"/>
              </w:rPr>
            </w:pPr>
          </w:p>
          <w:p w14:paraId="10E0CB38">
            <w:pPr>
              <w:pStyle w:val="17"/>
              <w:ind w:left="661"/>
              <w:jc w:val="left"/>
              <w:rPr>
                <w:sz w:val="21"/>
              </w:rPr>
            </w:pPr>
            <w:r>
              <w:rPr>
                <w:sz w:val="21"/>
              </w:rPr>
              <w:t>执行标准</w:t>
            </w:r>
          </w:p>
        </w:tc>
      </w:tr>
      <w:tr w14:paraId="79942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Merge w:val="continue"/>
            <w:tcBorders>
              <w:top w:val="nil"/>
              <w:left w:val="nil"/>
            </w:tcBorders>
          </w:tcPr>
          <w:p w14:paraId="063FA5A6">
            <w:pPr>
              <w:rPr>
                <w:sz w:val="2"/>
                <w:szCs w:val="2"/>
              </w:rPr>
            </w:pPr>
          </w:p>
        </w:tc>
        <w:tc>
          <w:tcPr>
            <w:tcW w:w="900" w:type="dxa"/>
            <w:vMerge w:val="continue"/>
            <w:tcBorders>
              <w:top w:val="nil"/>
            </w:tcBorders>
          </w:tcPr>
          <w:p w14:paraId="33DE0290">
            <w:pPr>
              <w:rPr>
                <w:sz w:val="2"/>
                <w:szCs w:val="2"/>
              </w:rPr>
            </w:pPr>
          </w:p>
        </w:tc>
        <w:tc>
          <w:tcPr>
            <w:tcW w:w="871" w:type="dxa"/>
            <w:vMerge w:val="continue"/>
            <w:tcBorders>
              <w:top w:val="nil"/>
            </w:tcBorders>
          </w:tcPr>
          <w:p w14:paraId="579A7726">
            <w:pPr>
              <w:rPr>
                <w:sz w:val="2"/>
                <w:szCs w:val="2"/>
              </w:rPr>
            </w:pPr>
          </w:p>
        </w:tc>
        <w:tc>
          <w:tcPr>
            <w:tcW w:w="1371" w:type="dxa"/>
          </w:tcPr>
          <w:p w14:paraId="0B6A4DF3">
            <w:pPr>
              <w:pStyle w:val="17"/>
              <w:spacing w:before="177"/>
              <w:ind w:left="453" w:right="448"/>
              <w:rPr>
                <w:sz w:val="21"/>
              </w:rPr>
            </w:pPr>
            <w:r>
              <w:rPr>
                <w:sz w:val="21"/>
              </w:rPr>
              <w:t>工艺</w:t>
            </w:r>
          </w:p>
        </w:tc>
        <w:tc>
          <w:tcPr>
            <w:tcW w:w="650" w:type="dxa"/>
          </w:tcPr>
          <w:p w14:paraId="15A6D1F6">
            <w:pPr>
              <w:pStyle w:val="17"/>
              <w:spacing w:before="21"/>
              <w:ind w:left="113"/>
              <w:jc w:val="left"/>
              <w:rPr>
                <w:sz w:val="21"/>
              </w:rPr>
            </w:pPr>
            <w:r>
              <w:rPr>
                <w:w w:val="95"/>
                <w:sz w:val="21"/>
              </w:rPr>
              <w:t>收集</w:t>
            </w:r>
          </w:p>
          <w:p w14:paraId="598F33F6">
            <w:pPr>
              <w:pStyle w:val="17"/>
              <w:spacing w:before="43"/>
              <w:ind w:left="113"/>
              <w:jc w:val="left"/>
              <w:rPr>
                <w:sz w:val="21"/>
              </w:rPr>
            </w:pPr>
            <w:r>
              <w:rPr>
                <w:w w:val="95"/>
                <w:sz w:val="21"/>
              </w:rPr>
              <w:t>效率</w:t>
            </w:r>
          </w:p>
        </w:tc>
        <w:tc>
          <w:tcPr>
            <w:tcW w:w="752" w:type="dxa"/>
          </w:tcPr>
          <w:p w14:paraId="6441F071">
            <w:pPr>
              <w:pStyle w:val="17"/>
              <w:spacing w:before="21"/>
              <w:ind w:left="166"/>
              <w:jc w:val="left"/>
              <w:rPr>
                <w:sz w:val="21"/>
              </w:rPr>
            </w:pPr>
            <w:r>
              <w:rPr>
                <w:w w:val="95"/>
                <w:sz w:val="21"/>
              </w:rPr>
              <w:t>处理</w:t>
            </w:r>
          </w:p>
          <w:p w14:paraId="5F99B866">
            <w:pPr>
              <w:pStyle w:val="17"/>
              <w:spacing w:before="43"/>
              <w:ind w:left="166"/>
              <w:jc w:val="left"/>
              <w:rPr>
                <w:sz w:val="21"/>
              </w:rPr>
            </w:pPr>
            <w:r>
              <w:rPr>
                <w:w w:val="95"/>
                <w:sz w:val="21"/>
              </w:rPr>
              <w:t>效率</w:t>
            </w:r>
          </w:p>
        </w:tc>
        <w:tc>
          <w:tcPr>
            <w:tcW w:w="817" w:type="dxa"/>
            <w:vMerge w:val="continue"/>
            <w:tcBorders>
              <w:top w:val="nil"/>
            </w:tcBorders>
          </w:tcPr>
          <w:p w14:paraId="001265C7">
            <w:pPr>
              <w:rPr>
                <w:sz w:val="2"/>
                <w:szCs w:val="2"/>
              </w:rPr>
            </w:pPr>
          </w:p>
        </w:tc>
        <w:tc>
          <w:tcPr>
            <w:tcW w:w="2162" w:type="dxa"/>
            <w:vMerge w:val="continue"/>
            <w:tcBorders>
              <w:top w:val="nil"/>
              <w:right w:val="nil"/>
            </w:tcBorders>
          </w:tcPr>
          <w:p w14:paraId="10196E41">
            <w:pPr>
              <w:rPr>
                <w:sz w:val="2"/>
                <w:szCs w:val="2"/>
              </w:rPr>
            </w:pPr>
          </w:p>
        </w:tc>
      </w:tr>
      <w:tr w14:paraId="09498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996" w:type="dxa"/>
            <w:tcBorders>
              <w:left w:val="nil"/>
            </w:tcBorders>
          </w:tcPr>
          <w:p w14:paraId="36FC434B">
            <w:pPr>
              <w:pStyle w:val="17"/>
              <w:spacing w:before="12"/>
              <w:jc w:val="left"/>
              <w:rPr>
                <w:b/>
                <w:sz w:val="25"/>
              </w:rPr>
            </w:pPr>
          </w:p>
          <w:p w14:paraId="72472D92">
            <w:pPr>
              <w:pStyle w:val="17"/>
              <w:spacing w:line="278" w:lineRule="auto"/>
              <w:ind w:left="76" w:right="62"/>
              <w:rPr>
                <w:sz w:val="21"/>
              </w:rPr>
            </w:pPr>
            <w:r>
              <w:rPr>
                <w:w w:val="95"/>
                <w:sz w:val="21"/>
              </w:rPr>
              <w:t>破碎、投</w:t>
            </w:r>
            <w:r>
              <w:rPr>
                <w:sz w:val="21"/>
              </w:rPr>
              <w:t>料混料工序</w:t>
            </w:r>
          </w:p>
        </w:tc>
        <w:tc>
          <w:tcPr>
            <w:tcW w:w="900" w:type="dxa"/>
          </w:tcPr>
          <w:p w14:paraId="3967EFB3">
            <w:pPr>
              <w:pStyle w:val="17"/>
              <w:jc w:val="left"/>
              <w:rPr>
                <w:b/>
                <w:sz w:val="22"/>
              </w:rPr>
            </w:pPr>
          </w:p>
          <w:p w14:paraId="082FF2F2">
            <w:pPr>
              <w:pStyle w:val="17"/>
              <w:spacing w:before="5"/>
              <w:jc w:val="left"/>
              <w:rPr>
                <w:b/>
                <w:sz w:val="29"/>
              </w:rPr>
            </w:pPr>
          </w:p>
          <w:p w14:paraId="54F09A87">
            <w:pPr>
              <w:pStyle w:val="17"/>
              <w:ind w:left="140"/>
              <w:jc w:val="left"/>
              <w:rPr>
                <w:rFonts w:ascii="Times New Roman"/>
                <w:sz w:val="21"/>
              </w:rPr>
            </w:pPr>
            <w:r>
              <w:rPr>
                <w:rFonts w:ascii="Times New Roman"/>
                <w:sz w:val="21"/>
              </w:rPr>
              <w:t>DA001</w:t>
            </w:r>
          </w:p>
          <w:p w14:paraId="60973BEA">
            <w:pPr>
              <w:pStyle w:val="17"/>
              <w:spacing w:before="57"/>
              <w:ind w:left="135"/>
              <w:jc w:val="left"/>
              <w:rPr>
                <w:sz w:val="21"/>
              </w:rPr>
            </w:pPr>
            <w:r>
              <w:rPr>
                <w:w w:val="95"/>
                <w:sz w:val="21"/>
              </w:rPr>
              <w:t>排气筒</w:t>
            </w:r>
          </w:p>
        </w:tc>
        <w:tc>
          <w:tcPr>
            <w:tcW w:w="871" w:type="dxa"/>
          </w:tcPr>
          <w:p w14:paraId="2E23CF10">
            <w:pPr>
              <w:pStyle w:val="17"/>
              <w:jc w:val="left"/>
              <w:rPr>
                <w:b/>
                <w:sz w:val="20"/>
              </w:rPr>
            </w:pPr>
          </w:p>
          <w:p w14:paraId="6BE9325C">
            <w:pPr>
              <w:pStyle w:val="17"/>
              <w:jc w:val="left"/>
              <w:rPr>
                <w:b/>
                <w:sz w:val="20"/>
              </w:rPr>
            </w:pPr>
          </w:p>
          <w:p w14:paraId="0C29FE98">
            <w:pPr>
              <w:pStyle w:val="17"/>
              <w:spacing w:before="6"/>
              <w:jc w:val="left"/>
              <w:rPr>
                <w:b/>
                <w:sz w:val="22"/>
              </w:rPr>
            </w:pPr>
          </w:p>
          <w:p w14:paraId="7125182B">
            <w:pPr>
              <w:pStyle w:val="17"/>
              <w:ind w:left="118"/>
              <w:jc w:val="left"/>
              <w:rPr>
                <w:sz w:val="21"/>
              </w:rPr>
            </w:pPr>
            <w:r>
              <w:rPr>
                <w:sz w:val="21"/>
              </w:rPr>
              <w:t>颗粒物</w:t>
            </w:r>
          </w:p>
        </w:tc>
        <w:tc>
          <w:tcPr>
            <w:tcW w:w="1371" w:type="dxa"/>
          </w:tcPr>
          <w:p w14:paraId="2E7860B5">
            <w:pPr>
              <w:pStyle w:val="17"/>
              <w:jc w:val="left"/>
              <w:rPr>
                <w:b/>
                <w:sz w:val="20"/>
              </w:rPr>
            </w:pPr>
          </w:p>
          <w:p w14:paraId="5E081F56">
            <w:pPr>
              <w:pStyle w:val="17"/>
              <w:spacing w:before="1"/>
              <w:jc w:val="left"/>
              <w:rPr>
                <w:b/>
                <w:sz w:val="18"/>
              </w:rPr>
            </w:pPr>
          </w:p>
          <w:p w14:paraId="2F7EDE5E">
            <w:pPr>
              <w:pStyle w:val="17"/>
              <w:spacing w:before="1"/>
              <w:ind w:left="159"/>
              <w:jc w:val="left"/>
              <w:rPr>
                <w:sz w:val="21"/>
              </w:rPr>
            </w:pPr>
            <w:r>
              <w:rPr>
                <w:sz w:val="21"/>
              </w:rPr>
              <w:t>密闭收集罩</w:t>
            </w:r>
          </w:p>
          <w:p w14:paraId="27674DE7">
            <w:pPr>
              <w:pStyle w:val="17"/>
              <w:spacing w:before="43" w:line="278" w:lineRule="auto"/>
              <w:ind w:left="579" w:right="198" w:hanging="375"/>
              <w:jc w:val="left"/>
              <w:rPr>
                <w:sz w:val="21"/>
              </w:rPr>
            </w:pPr>
            <w:r>
              <w:rPr>
                <w:rFonts w:ascii="Times New Roman" w:eastAsia="Times New Roman"/>
                <w:w w:val="95"/>
                <w:sz w:val="21"/>
              </w:rPr>
              <w:t>+</w:t>
            </w:r>
            <w:r>
              <w:rPr>
                <w:w w:val="95"/>
                <w:sz w:val="21"/>
              </w:rPr>
              <w:t>布袋除尘</w:t>
            </w:r>
            <w:r>
              <w:rPr>
                <w:sz w:val="21"/>
              </w:rPr>
              <w:t>器</w:t>
            </w:r>
          </w:p>
        </w:tc>
        <w:tc>
          <w:tcPr>
            <w:tcW w:w="650" w:type="dxa"/>
          </w:tcPr>
          <w:p w14:paraId="34CF798A">
            <w:pPr>
              <w:pStyle w:val="17"/>
              <w:jc w:val="left"/>
              <w:rPr>
                <w:b/>
                <w:sz w:val="22"/>
              </w:rPr>
            </w:pPr>
          </w:p>
          <w:p w14:paraId="64569FBB">
            <w:pPr>
              <w:pStyle w:val="17"/>
              <w:jc w:val="left"/>
              <w:rPr>
                <w:b/>
                <w:sz w:val="22"/>
              </w:rPr>
            </w:pPr>
          </w:p>
          <w:p w14:paraId="32561D0D">
            <w:pPr>
              <w:pStyle w:val="17"/>
              <w:spacing w:before="7"/>
              <w:jc w:val="left"/>
              <w:rPr>
                <w:b/>
                <w:sz w:val="19"/>
              </w:rPr>
            </w:pPr>
          </w:p>
          <w:p w14:paraId="713DF23E">
            <w:pPr>
              <w:pStyle w:val="17"/>
              <w:ind w:left="112" w:right="102"/>
              <w:rPr>
                <w:rFonts w:ascii="Times New Roman"/>
                <w:sz w:val="21"/>
              </w:rPr>
            </w:pPr>
            <w:r>
              <w:rPr>
                <w:rFonts w:ascii="Times New Roman"/>
                <w:sz w:val="21"/>
              </w:rPr>
              <w:t>80%</w:t>
            </w:r>
          </w:p>
        </w:tc>
        <w:tc>
          <w:tcPr>
            <w:tcW w:w="752" w:type="dxa"/>
          </w:tcPr>
          <w:p w14:paraId="74519A13">
            <w:pPr>
              <w:pStyle w:val="17"/>
              <w:jc w:val="left"/>
              <w:rPr>
                <w:b/>
                <w:sz w:val="22"/>
              </w:rPr>
            </w:pPr>
          </w:p>
          <w:p w14:paraId="1B12EF96">
            <w:pPr>
              <w:pStyle w:val="17"/>
              <w:jc w:val="left"/>
              <w:rPr>
                <w:b/>
                <w:sz w:val="22"/>
              </w:rPr>
            </w:pPr>
          </w:p>
          <w:p w14:paraId="41F391CA">
            <w:pPr>
              <w:pStyle w:val="17"/>
              <w:spacing w:before="7"/>
              <w:jc w:val="left"/>
              <w:rPr>
                <w:b/>
                <w:sz w:val="19"/>
              </w:rPr>
            </w:pPr>
          </w:p>
          <w:p w14:paraId="0759F416">
            <w:pPr>
              <w:pStyle w:val="17"/>
              <w:ind w:left="162" w:right="152"/>
              <w:rPr>
                <w:rFonts w:ascii="Times New Roman"/>
                <w:sz w:val="21"/>
              </w:rPr>
            </w:pPr>
            <w:r>
              <w:rPr>
                <w:rFonts w:ascii="Times New Roman"/>
                <w:sz w:val="21"/>
              </w:rPr>
              <w:t>99%</w:t>
            </w:r>
          </w:p>
        </w:tc>
        <w:tc>
          <w:tcPr>
            <w:tcW w:w="817" w:type="dxa"/>
          </w:tcPr>
          <w:p w14:paraId="3CEBA3B7">
            <w:pPr>
              <w:pStyle w:val="17"/>
              <w:jc w:val="left"/>
              <w:rPr>
                <w:b/>
                <w:sz w:val="20"/>
              </w:rPr>
            </w:pPr>
          </w:p>
          <w:p w14:paraId="06ECC55F">
            <w:pPr>
              <w:pStyle w:val="17"/>
              <w:jc w:val="left"/>
              <w:rPr>
                <w:b/>
                <w:sz w:val="20"/>
              </w:rPr>
            </w:pPr>
          </w:p>
          <w:p w14:paraId="41CDADE6">
            <w:pPr>
              <w:pStyle w:val="17"/>
              <w:spacing w:before="132" w:line="278" w:lineRule="auto"/>
              <w:ind w:left="302" w:right="190" w:hanging="106"/>
              <w:jc w:val="left"/>
              <w:rPr>
                <w:sz w:val="21"/>
              </w:rPr>
            </w:pPr>
            <w:r>
              <w:rPr>
                <w:w w:val="95"/>
                <w:sz w:val="21"/>
              </w:rPr>
              <w:t>有组</w:t>
            </w:r>
            <w:r>
              <w:rPr>
                <w:sz w:val="21"/>
              </w:rPr>
              <w:t>织</w:t>
            </w:r>
          </w:p>
        </w:tc>
        <w:tc>
          <w:tcPr>
            <w:tcW w:w="2162" w:type="dxa"/>
            <w:tcBorders>
              <w:right w:val="nil"/>
            </w:tcBorders>
          </w:tcPr>
          <w:p w14:paraId="49AE6F2A">
            <w:pPr>
              <w:pStyle w:val="17"/>
              <w:spacing w:before="21" w:line="278" w:lineRule="auto"/>
              <w:ind w:left="198" w:right="132" w:hanging="63"/>
              <w:jc w:val="both"/>
              <w:rPr>
                <w:sz w:val="21"/>
              </w:rPr>
            </w:pPr>
            <w:r>
              <w:rPr>
                <w:w w:val="95"/>
                <w:sz w:val="21"/>
              </w:rPr>
              <w:t>《</w:t>
            </w:r>
            <w:r>
              <w:fldChar w:fldCharType="begin"/>
            </w:r>
            <w:r>
              <w:instrText xml:space="preserve"> HYPERLINK "https://www.mee.gov.cn/ywgz/fgbz/bz/bzwb/dqhjbh/dqgdwrywrwpfbz/201505/W020150506393371746579.pdf" \h </w:instrText>
            </w:r>
            <w:r>
              <w:fldChar w:fldCharType="separate"/>
            </w:r>
            <w:r>
              <w:rPr>
                <w:w w:val="95"/>
                <w:sz w:val="21"/>
              </w:rPr>
              <w:t>合成树脂工业污染</w:t>
            </w:r>
            <w:r>
              <w:rPr>
                <w:w w:val="95"/>
                <w:sz w:val="21"/>
              </w:rPr>
              <w:fldChar w:fldCharType="end"/>
            </w:r>
            <w:r>
              <w:fldChar w:fldCharType="begin"/>
            </w:r>
            <w:r>
              <w:instrText xml:space="preserve"> HYPERLINK "https://www.mee.gov.cn/ywgz/fgbz/bz/bzwb/dqhjbh/dqgdwrywrwpfbz/201505/W020150506393371746579.pdf" \h </w:instrText>
            </w:r>
            <w:r>
              <w:fldChar w:fldCharType="separate"/>
            </w:r>
            <w:r>
              <w:rPr>
                <w:sz w:val="21"/>
              </w:rPr>
              <w:t>物排放标准</w:t>
            </w:r>
            <w:r>
              <w:rPr>
                <w:sz w:val="21"/>
              </w:rPr>
              <w:fldChar w:fldCharType="end"/>
            </w:r>
            <w:r>
              <w:rPr>
                <w:sz w:val="21"/>
              </w:rPr>
              <w:t>》（</w:t>
            </w:r>
            <w:r>
              <w:rPr>
                <w:rFonts w:ascii="Times New Roman" w:eastAsia="Times New Roman"/>
                <w:sz w:val="21"/>
              </w:rPr>
              <w:t>GB 31572-2015</w:t>
            </w:r>
            <w:r>
              <w:rPr>
                <w:sz w:val="21"/>
              </w:rPr>
              <w:t>）及其</w:t>
            </w:r>
          </w:p>
          <w:p w14:paraId="1B23FEF3">
            <w:pPr>
              <w:pStyle w:val="17"/>
              <w:spacing w:line="278" w:lineRule="auto"/>
              <w:ind w:left="136" w:right="105" w:hanging="27"/>
              <w:jc w:val="both"/>
              <w:rPr>
                <w:sz w:val="21"/>
              </w:rPr>
            </w:pPr>
            <w:r>
              <w:rPr>
                <w:rFonts w:ascii="Times New Roman" w:eastAsia="Times New Roman"/>
                <w:sz w:val="21"/>
              </w:rPr>
              <w:t xml:space="preserve">2024 </w:t>
            </w:r>
            <w:r>
              <w:rPr>
                <w:spacing w:val="-9"/>
                <w:sz w:val="21"/>
              </w:rPr>
              <w:t xml:space="preserve">年修改单表 </w:t>
            </w:r>
            <w:r>
              <w:rPr>
                <w:rFonts w:ascii="Times New Roman" w:eastAsia="Times New Roman"/>
                <w:sz w:val="21"/>
              </w:rPr>
              <w:t xml:space="preserve">4 </w:t>
            </w:r>
            <w:r>
              <w:rPr>
                <w:sz w:val="21"/>
              </w:rPr>
              <w:t>大气污染物排放限值要</w:t>
            </w:r>
          </w:p>
          <w:p w14:paraId="410B1FAC">
            <w:pPr>
              <w:pStyle w:val="17"/>
              <w:spacing w:line="269" w:lineRule="exact"/>
              <w:ind w:left="4"/>
              <w:rPr>
                <w:sz w:val="21"/>
              </w:rPr>
            </w:pPr>
            <w:r>
              <w:rPr>
                <w:w w:val="99"/>
                <w:sz w:val="21"/>
              </w:rPr>
              <w:t>求</w:t>
            </w:r>
          </w:p>
        </w:tc>
      </w:tr>
      <w:tr w14:paraId="6911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6" w:type="dxa"/>
            <w:vMerge w:val="restart"/>
            <w:tcBorders>
              <w:left w:val="nil"/>
            </w:tcBorders>
          </w:tcPr>
          <w:p w14:paraId="0EE7AEE5">
            <w:pPr>
              <w:pStyle w:val="17"/>
              <w:jc w:val="left"/>
              <w:rPr>
                <w:b/>
                <w:sz w:val="20"/>
              </w:rPr>
            </w:pPr>
          </w:p>
          <w:p w14:paraId="565FB483">
            <w:pPr>
              <w:pStyle w:val="17"/>
              <w:jc w:val="left"/>
              <w:rPr>
                <w:b/>
                <w:sz w:val="20"/>
              </w:rPr>
            </w:pPr>
          </w:p>
          <w:p w14:paraId="4EBB3E43">
            <w:pPr>
              <w:pStyle w:val="17"/>
              <w:spacing w:before="10"/>
              <w:jc w:val="left"/>
              <w:rPr>
                <w:b/>
                <w:sz w:val="22"/>
              </w:rPr>
            </w:pPr>
          </w:p>
          <w:p w14:paraId="5BA3155B">
            <w:pPr>
              <w:pStyle w:val="17"/>
              <w:spacing w:before="1" w:line="278" w:lineRule="auto"/>
              <w:ind w:left="111" w:right="99" w:firstLine="4"/>
              <w:rPr>
                <w:sz w:val="21"/>
              </w:rPr>
            </w:pPr>
            <w:r>
              <w:rPr>
                <w:sz w:val="21"/>
              </w:rPr>
              <w:t>挤出造</w:t>
            </w:r>
            <w:r>
              <w:rPr>
                <w:spacing w:val="-16"/>
                <w:w w:val="95"/>
                <w:sz w:val="21"/>
              </w:rPr>
              <w:t>粒、挤出</w:t>
            </w:r>
            <w:r>
              <w:rPr>
                <w:spacing w:val="-16"/>
                <w:sz w:val="21"/>
              </w:rPr>
              <w:t>注塑工序</w:t>
            </w:r>
          </w:p>
        </w:tc>
        <w:tc>
          <w:tcPr>
            <w:tcW w:w="900" w:type="dxa"/>
            <w:vMerge w:val="restart"/>
          </w:tcPr>
          <w:p w14:paraId="73E0989C">
            <w:pPr>
              <w:pStyle w:val="17"/>
              <w:jc w:val="left"/>
              <w:rPr>
                <w:b/>
                <w:sz w:val="22"/>
              </w:rPr>
            </w:pPr>
          </w:p>
          <w:p w14:paraId="5CB727C9">
            <w:pPr>
              <w:pStyle w:val="17"/>
              <w:jc w:val="left"/>
              <w:rPr>
                <w:b/>
                <w:sz w:val="22"/>
              </w:rPr>
            </w:pPr>
          </w:p>
          <w:p w14:paraId="5B9F1428">
            <w:pPr>
              <w:pStyle w:val="17"/>
              <w:jc w:val="left"/>
              <w:rPr>
                <w:b/>
                <w:sz w:val="22"/>
              </w:rPr>
            </w:pPr>
          </w:p>
          <w:p w14:paraId="24B8FC7F">
            <w:pPr>
              <w:pStyle w:val="17"/>
              <w:spacing w:before="3"/>
              <w:jc w:val="left"/>
              <w:rPr>
                <w:b/>
                <w:sz w:val="22"/>
              </w:rPr>
            </w:pPr>
          </w:p>
          <w:p w14:paraId="04108EBA">
            <w:pPr>
              <w:pStyle w:val="17"/>
              <w:ind w:left="140"/>
              <w:jc w:val="left"/>
              <w:rPr>
                <w:rFonts w:ascii="Times New Roman"/>
                <w:sz w:val="21"/>
              </w:rPr>
            </w:pPr>
            <w:r>
              <w:rPr>
                <w:rFonts w:ascii="Times New Roman"/>
                <w:sz w:val="21"/>
              </w:rPr>
              <w:t>DA002</w:t>
            </w:r>
          </w:p>
          <w:p w14:paraId="6248253A">
            <w:pPr>
              <w:pStyle w:val="17"/>
              <w:spacing w:before="57"/>
              <w:ind w:left="135"/>
              <w:jc w:val="left"/>
              <w:rPr>
                <w:sz w:val="21"/>
              </w:rPr>
            </w:pPr>
            <w:r>
              <w:rPr>
                <w:w w:val="95"/>
                <w:sz w:val="21"/>
              </w:rPr>
              <w:t>排气筒</w:t>
            </w:r>
          </w:p>
        </w:tc>
        <w:tc>
          <w:tcPr>
            <w:tcW w:w="871" w:type="dxa"/>
          </w:tcPr>
          <w:p w14:paraId="01671E2A">
            <w:pPr>
              <w:pStyle w:val="17"/>
              <w:spacing w:before="176"/>
              <w:ind w:left="118"/>
              <w:jc w:val="left"/>
              <w:rPr>
                <w:sz w:val="21"/>
              </w:rPr>
            </w:pPr>
            <w:r>
              <w:rPr>
                <w:sz w:val="21"/>
              </w:rPr>
              <w:t>颗粒物</w:t>
            </w:r>
          </w:p>
        </w:tc>
        <w:tc>
          <w:tcPr>
            <w:tcW w:w="1371" w:type="dxa"/>
            <w:vMerge w:val="restart"/>
          </w:tcPr>
          <w:p w14:paraId="1047DAD3">
            <w:pPr>
              <w:pStyle w:val="17"/>
              <w:jc w:val="left"/>
              <w:rPr>
                <w:b/>
                <w:sz w:val="20"/>
              </w:rPr>
            </w:pPr>
          </w:p>
          <w:p w14:paraId="3A0F28A0">
            <w:pPr>
              <w:pStyle w:val="17"/>
              <w:jc w:val="left"/>
              <w:rPr>
                <w:b/>
                <w:sz w:val="20"/>
              </w:rPr>
            </w:pPr>
          </w:p>
          <w:p w14:paraId="14CED05E">
            <w:pPr>
              <w:pStyle w:val="17"/>
              <w:spacing w:before="136" w:line="278" w:lineRule="auto"/>
              <w:ind w:left="159" w:right="150"/>
              <w:jc w:val="both"/>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p>
        </w:tc>
        <w:tc>
          <w:tcPr>
            <w:tcW w:w="650" w:type="dxa"/>
          </w:tcPr>
          <w:p w14:paraId="377767EC">
            <w:pPr>
              <w:pStyle w:val="17"/>
              <w:spacing w:before="190"/>
              <w:ind w:left="112" w:right="102"/>
              <w:rPr>
                <w:rFonts w:ascii="Times New Roman"/>
                <w:sz w:val="21"/>
              </w:rPr>
            </w:pPr>
            <w:r>
              <w:rPr>
                <w:rFonts w:ascii="Times New Roman"/>
                <w:sz w:val="21"/>
              </w:rPr>
              <w:t>90%</w:t>
            </w:r>
          </w:p>
        </w:tc>
        <w:tc>
          <w:tcPr>
            <w:tcW w:w="752" w:type="dxa"/>
          </w:tcPr>
          <w:p w14:paraId="57A59CAE">
            <w:pPr>
              <w:pStyle w:val="17"/>
              <w:spacing w:before="190"/>
              <w:ind w:left="162" w:right="152"/>
              <w:rPr>
                <w:rFonts w:ascii="Times New Roman"/>
                <w:sz w:val="21"/>
              </w:rPr>
            </w:pPr>
            <w:r>
              <w:rPr>
                <w:rFonts w:ascii="Times New Roman"/>
                <w:sz w:val="21"/>
              </w:rPr>
              <w:t>99%</w:t>
            </w:r>
          </w:p>
        </w:tc>
        <w:tc>
          <w:tcPr>
            <w:tcW w:w="817" w:type="dxa"/>
          </w:tcPr>
          <w:p w14:paraId="0488A7F4">
            <w:pPr>
              <w:pStyle w:val="17"/>
              <w:spacing w:before="20"/>
              <w:ind w:left="176" w:right="171"/>
              <w:rPr>
                <w:sz w:val="21"/>
              </w:rPr>
            </w:pPr>
            <w:r>
              <w:rPr>
                <w:sz w:val="21"/>
              </w:rPr>
              <w:t>有组</w:t>
            </w:r>
          </w:p>
          <w:p w14:paraId="428E535C">
            <w:pPr>
              <w:pStyle w:val="17"/>
              <w:spacing w:before="43"/>
              <w:ind w:left="7"/>
              <w:rPr>
                <w:sz w:val="21"/>
              </w:rPr>
            </w:pPr>
            <w:r>
              <w:rPr>
                <w:w w:val="99"/>
                <w:sz w:val="21"/>
              </w:rPr>
              <w:t>织</w:t>
            </w:r>
          </w:p>
        </w:tc>
        <w:tc>
          <w:tcPr>
            <w:tcW w:w="2162" w:type="dxa"/>
            <w:vMerge w:val="restart"/>
            <w:tcBorders>
              <w:right w:val="nil"/>
            </w:tcBorders>
          </w:tcPr>
          <w:p w14:paraId="45177408">
            <w:pPr>
              <w:pStyle w:val="17"/>
              <w:spacing w:before="20" w:line="278" w:lineRule="auto"/>
              <w:ind w:left="198" w:right="132" w:hanging="63"/>
              <w:jc w:val="both"/>
              <w:rPr>
                <w:sz w:val="21"/>
              </w:rPr>
            </w:pPr>
            <w:r>
              <w:rPr>
                <w:w w:val="95"/>
                <w:sz w:val="21"/>
              </w:rPr>
              <w:t>《</w:t>
            </w:r>
            <w:r>
              <w:fldChar w:fldCharType="begin"/>
            </w:r>
            <w:r>
              <w:instrText xml:space="preserve"> HYPERLINK "https://www.mee.gov.cn/ywgz/fgbz/bz/bzwb/dqhjbh/dqgdwrywrwpfbz/201505/W020150506393371746579.pdf" \h </w:instrText>
            </w:r>
            <w:r>
              <w:fldChar w:fldCharType="separate"/>
            </w:r>
            <w:r>
              <w:rPr>
                <w:w w:val="95"/>
                <w:sz w:val="21"/>
              </w:rPr>
              <w:t>合成树脂工业污染</w:t>
            </w:r>
            <w:r>
              <w:rPr>
                <w:w w:val="95"/>
                <w:sz w:val="21"/>
              </w:rPr>
              <w:fldChar w:fldCharType="end"/>
            </w:r>
            <w:r>
              <w:fldChar w:fldCharType="begin"/>
            </w:r>
            <w:r>
              <w:instrText xml:space="preserve"> HYPERLINK "https://www.mee.gov.cn/ywgz/fgbz/bz/bzwb/dqhjbh/dqgdwrywrwpfbz/201505/W020150506393371746579.pdf" \h </w:instrText>
            </w:r>
            <w:r>
              <w:fldChar w:fldCharType="separate"/>
            </w:r>
            <w:r>
              <w:rPr>
                <w:sz w:val="21"/>
              </w:rPr>
              <w:t>物排放标准</w:t>
            </w:r>
            <w:r>
              <w:rPr>
                <w:sz w:val="21"/>
              </w:rPr>
              <w:fldChar w:fldCharType="end"/>
            </w:r>
            <w:r>
              <w:rPr>
                <w:sz w:val="21"/>
              </w:rPr>
              <w:t>》（</w:t>
            </w:r>
            <w:r>
              <w:rPr>
                <w:rFonts w:ascii="Times New Roman" w:eastAsia="Times New Roman"/>
                <w:sz w:val="21"/>
              </w:rPr>
              <w:t>GB 31572-2015</w:t>
            </w:r>
            <w:r>
              <w:rPr>
                <w:sz w:val="21"/>
              </w:rPr>
              <w:t>）及其</w:t>
            </w:r>
          </w:p>
          <w:p w14:paraId="4F7D9FD4">
            <w:pPr>
              <w:pStyle w:val="17"/>
              <w:spacing w:line="269" w:lineRule="exact"/>
              <w:ind w:left="136" w:hanging="27"/>
              <w:jc w:val="left"/>
              <w:rPr>
                <w:sz w:val="21"/>
              </w:rPr>
            </w:pPr>
            <w:r>
              <w:rPr>
                <w:rFonts w:ascii="Times New Roman" w:eastAsia="Times New Roman"/>
                <w:sz w:val="21"/>
              </w:rPr>
              <w:t xml:space="preserve">2024 </w:t>
            </w:r>
            <w:r>
              <w:rPr>
                <w:sz w:val="21"/>
              </w:rPr>
              <w:t xml:space="preserve">年修改单表 </w:t>
            </w:r>
            <w:r>
              <w:rPr>
                <w:rFonts w:ascii="Times New Roman" w:eastAsia="Times New Roman"/>
                <w:sz w:val="21"/>
              </w:rPr>
              <w:t xml:space="preserve">4 </w:t>
            </w:r>
            <w:r>
              <w:rPr>
                <w:sz w:val="21"/>
              </w:rPr>
              <w:t>大</w:t>
            </w:r>
          </w:p>
          <w:p w14:paraId="64E46DBB">
            <w:pPr>
              <w:pStyle w:val="17"/>
              <w:spacing w:before="2" w:line="310" w:lineRule="atLeast"/>
              <w:ind w:left="976" w:right="129" w:hanging="840"/>
              <w:jc w:val="left"/>
              <w:rPr>
                <w:sz w:val="21"/>
              </w:rPr>
            </w:pPr>
            <w:r>
              <w:rPr>
                <w:w w:val="95"/>
                <w:sz w:val="21"/>
              </w:rPr>
              <w:t>气污染物排放限值要</w:t>
            </w:r>
            <w:r>
              <w:rPr>
                <w:sz w:val="21"/>
              </w:rPr>
              <w:t>求</w:t>
            </w:r>
          </w:p>
        </w:tc>
      </w:tr>
      <w:tr w14:paraId="396EC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996" w:type="dxa"/>
            <w:vMerge w:val="continue"/>
            <w:tcBorders>
              <w:top w:val="nil"/>
              <w:left w:val="nil"/>
            </w:tcBorders>
          </w:tcPr>
          <w:p w14:paraId="7EF6AC8D">
            <w:pPr>
              <w:rPr>
                <w:sz w:val="2"/>
                <w:szCs w:val="2"/>
              </w:rPr>
            </w:pPr>
          </w:p>
        </w:tc>
        <w:tc>
          <w:tcPr>
            <w:tcW w:w="900" w:type="dxa"/>
            <w:vMerge w:val="continue"/>
            <w:tcBorders>
              <w:top w:val="nil"/>
            </w:tcBorders>
          </w:tcPr>
          <w:p w14:paraId="5A94AF54">
            <w:pPr>
              <w:rPr>
                <w:sz w:val="2"/>
                <w:szCs w:val="2"/>
              </w:rPr>
            </w:pPr>
          </w:p>
        </w:tc>
        <w:tc>
          <w:tcPr>
            <w:tcW w:w="871" w:type="dxa"/>
          </w:tcPr>
          <w:p w14:paraId="279152CE">
            <w:pPr>
              <w:pStyle w:val="17"/>
              <w:spacing w:before="6"/>
              <w:jc w:val="left"/>
              <w:rPr>
                <w:b/>
                <w:sz w:val="25"/>
              </w:rPr>
            </w:pPr>
          </w:p>
          <w:p w14:paraId="0BE28787">
            <w:pPr>
              <w:pStyle w:val="17"/>
              <w:spacing w:before="1" w:line="278" w:lineRule="auto"/>
              <w:ind w:left="224" w:right="111" w:hanging="106"/>
              <w:jc w:val="left"/>
              <w:rPr>
                <w:sz w:val="21"/>
              </w:rPr>
            </w:pPr>
            <w:r>
              <w:rPr>
                <w:sz w:val="21"/>
              </w:rPr>
              <w:t>非甲烷总烃</w:t>
            </w:r>
          </w:p>
        </w:tc>
        <w:tc>
          <w:tcPr>
            <w:tcW w:w="1371" w:type="dxa"/>
            <w:vMerge w:val="continue"/>
            <w:tcBorders>
              <w:top w:val="nil"/>
            </w:tcBorders>
          </w:tcPr>
          <w:p w14:paraId="47A9CBF7">
            <w:pPr>
              <w:rPr>
                <w:sz w:val="2"/>
                <w:szCs w:val="2"/>
              </w:rPr>
            </w:pPr>
          </w:p>
        </w:tc>
        <w:tc>
          <w:tcPr>
            <w:tcW w:w="650" w:type="dxa"/>
          </w:tcPr>
          <w:p w14:paraId="31A97A9F">
            <w:pPr>
              <w:pStyle w:val="17"/>
              <w:jc w:val="left"/>
              <w:rPr>
                <w:b/>
                <w:sz w:val="22"/>
              </w:rPr>
            </w:pPr>
          </w:p>
          <w:p w14:paraId="34A38D4F">
            <w:pPr>
              <w:pStyle w:val="17"/>
              <w:spacing w:before="10"/>
              <w:jc w:val="left"/>
              <w:rPr>
                <w:b/>
                <w:sz w:val="16"/>
              </w:rPr>
            </w:pPr>
          </w:p>
          <w:p w14:paraId="62CA0D72">
            <w:pPr>
              <w:pStyle w:val="17"/>
              <w:ind w:left="112" w:right="102"/>
              <w:rPr>
                <w:rFonts w:ascii="Times New Roman"/>
                <w:sz w:val="21"/>
              </w:rPr>
            </w:pPr>
            <w:r>
              <w:rPr>
                <w:rFonts w:ascii="Times New Roman"/>
                <w:sz w:val="21"/>
              </w:rPr>
              <w:t>90%</w:t>
            </w:r>
          </w:p>
        </w:tc>
        <w:tc>
          <w:tcPr>
            <w:tcW w:w="752" w:type="dxa"/>
          </w:tcPr>
          <w:p w14:paraId="36A637DC">
            <w:pPr>
              <w:pStyle w:val="17"/>
              <w:jc w:val="left"/>
              <w:rPr>
                <w:b/>
                <w:sz w:val="22"/>
              </w:rPr>
            </w:pPr>
          </w:p>
          <w:p w14:paraId="3F014A69">
            <w:pPr>
              <w:pStyle w:val="17"/>
              <w:spacing w:before="10"/>
              <w:jc w:val="left"/>
              <w:rPr>
                <w:b/>
                <w:sz w:val="16"/>
              </w:rPr>
            </w:pPr>
          </w:p>
          <w:p w14:paraId="522FF5F6">
            <w:pPr>
              <w:pStyle w:val="17"/>
              <w:ind w:left="162" w:right="152"/>
              <w:rPr>
                <w:rFonts w:ascii="Times New Roman"/>
                <w:sz w:val="21"/>
              </w:rPr>
            </w:pPr>
            <w:r>
              <w:rPr>
                <w:rFonts w:ascii="Times New Roman"/>
                <w:sz w:val="21"/>
              </w:rPr>
              <w:t>75%</w:t>
            </w:r>
          </w:p>
        </w:tc>
        <w:tc>
          <w:tcPr>
            <w:tcW w:w="817" w:type="dxa"/>
          </w:tcPr>
          <w:p w14:paraId="6A4F3A56">
            <w:pPr>
              <w:pStyle w:val="17"/>
              <w:spacing w:before="6"/>
              <w:jc w:val="left"/>
              <w:rPr>
                <w:b/>
                <w:sz w:val="25"/>
              </w:rPr>
            </w:pPr>
          </w:p>
          <w:p w14:paraId="3168A159">
            <w:pPr>
              <w:pStyle w:val="17"/>
              <w:spacing w:before="1" w:line="278" w:lineRule="auto"/>
              <w:ind w:left="302" w:right="190" w:hanging="106"/>
              <w:jc w:val="left"/>
              <w:rPr>
                <w:sz w:val="21"/>
              </w:rPr>
            </w:pPr>
            <w:r>
              <w:rPr>
                <w:w w:val="95"/>
                <w:sz w:val="21"/>
              </w:rPr>
              <w:t>有组</w:t>
            </w:r>
            <w:r>
              <w:rPr>
                <w:sz w:val="21"/>
              </w:rPr>
              <w:t>织</w:t>
            </w:r>
          </w:p>
        </w:tc>
        <w:tc>
          <w:tcPr>
            <w:tcW w:w="2162" w:type="dxa"/>
            <w:vMerge w:val="continue"/>
            <w:tcBorders>
              <w:top w:val="nil"/>
              <w:right w:val="nil"/>
            </w:tcBorders>
          </w:tcPr>
          <w:p w14:paraId="1336B9FA">
            <w:pPr>
              <w:rPr>
                <w:sz w:val="2"/>
                <w:szCs w:val="2"/>
              </w:rPr>
            </w:pPr>
          </w:p>
        </w:tc>
      </w:tr>
      <w:tr w14:paraId="08A46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96" w:type="dxa"/>
            <w:vMerge w:val="continue"/>
            <w:tcBorders>
              <w:top w:val="nil"/>
              <w:left w:val="nil"/>
            </w:tcBorders>
          </w:tcPr>
          <w:p w14:paraId="62B04FF3">
            <w:pPr>
              <w:rPr>
                <w:sz w:val="2"/>
                <w:szCs w:val="2"/>
              </w:rPr>
            </w:pPr>
          </w:p>
        </w:tc>
        <w:tc>
          <w:tcPr>
            <w:tcW w:w="900" w:type="dxa"/>
            <w:vMerge w:val="continue"/>
            <w:tcBorders>
              <w:top w:val="nil"/>
            </w:tcBorders>
          </w:tcPr>
          <w:p w14:paraId="0D12E138">
            <w:pPr>
              <w:rPr>
                <w:sz w:val="2"/>
                <w:szCs w:val="2"/>
              </w:rPr>
            </w:pPr>
          </w:p>
        </w:tc>
        <w:tc>
          <w:tcPr>
            <w:tcW w:w="871" w:type="dxa"/>
          </w:tcPr>
          <w:p w14:paraId="661B1FF2">
            <w:pPr>
              <w:pStyle w:val="17"/>
              <w:spacing w:before="176" w:line="278" w:lineRule="auto"/>
              <w:ind w:left="329" w:right="111" w:hanging="212"/>
              <w:jc w:val="left"/>
              <w:rPr>
                <w:sz w:val="21"/>
              </w:rPr>
            </w:pPr>
            <w:r>
              <w:rPr>
                <w:sz w:val="21"/>
              </w:rPr>
              <w:t>臭气浓度</w:t>
            </w:r>
          </w:p>
        </w:tc>
        <w:tc>
          <w:tcPr>
            <w:tcW w:w="1371" w:type="dxa"/>
            <w:vMerge w:val="continue"/>
            <w:tcBorders>
              <w:top w:val="nil"/>
            </w:tcBorders>
          </w:tcPr>
          <w:p w14:paraId="1493F2A9">
            <w:pPr>
              <w:rPr>
                <w:sz w:val="2"/>
                <w:szCs w:val="2"/>
              </w:rPr>
            </w:pPr>
          </w:p>
        </w:tc>
        <w:tc>
          <w:tcPr>
            <w:tcW w:w="650" w:type="dxa"/>
          </w:tcPr>
          <w:p w14:paraId="4E8D540C">
            <w:pPr>
              <w:pStyle w:val="17"/>
              <w:jc w:val="left"/>
              <w:rPr>
                <w:b/>
                <w:sz w:val="27"/>
              </w:rPr>
            </w:pPr>
          </w:p>
          <w:p w14:paraId="17C665CC">
            <w:pPr>
              <w:pStyle w:val="17"/>
              <w:ind w:left="112" w:right="102"/>
              <w:rPr>
                <w:rFonts w:ascii="Times New Roman"/>
                <w:sz w:val="21"/>
              </w:rPr>
            </w:pPr>
            <w:r>
              <w:rPr>
                <w:rFonts w:ascii="Times New Roman"/>
                <w:sz w:val="21"/>
              </w:rPr>
              <w:t>90%</w:t>
            </w:r>
          </w:p>
        </w:tc>
        <w:tc>
          <w:tcPr>
            <w:tcW w:w="752" w:type="dxa"/>
          </w:tcPr>
          <w:p w14:paraId="1B41A868">
            <w:pPr>
              <w:pStyle w:val="17"/>
              <w:jc w:val="left"/>
              <w:rPr>
                <w:b/>
                <w:sz w:val="27"/>
              </w:rPr>
            </w:pPr>
          </w:p>
          <w:p w14:paraId="79844665">
            <w:pPr>
              <w:pStyle w:val="17"/>
              <w:ind w:left="161" w:right="153"/>
              <w:rPr>
                <w:rFonts w:ascii="Times New Roman"/>
                <w:sz w:val="21"/>
              </w:rPr>
            </w:pPr>
            <w:r>
              <w:rPr>
                <w:rFonts w:ascii="Times New Roman"/>
                <w:sz w:val="21"/>
              </w:rPr>
              <w:t>75%</w:t>
            </w:r>
          </w:p>
        </w:tc>
        <w:tc>
          <w:tcPr>
            <w:tcW w:w="817" w:type="dxa"/>
          </w:tcPr>
          <w:p w14:paraId="270592ED">
            <w:pPr>
              <w:pStyle w:val="17"/>
              <w:spacing w:before="176" w:line="278" w:lineRule="auto"/>
              <w:ind w:left="302" w:right="190" w:hanging="106"/>
              <w:jc w:val="left"/>
              <w:rPr>
                <w:sz w:val="21"/>
              </w:rPr>
            </w:pPr>
            <w:r>
              <w:rPr>
                <w:w w:val="95"/>
                <w:sz w:val="21"/>
              </w:rPr>
              <w:t>有组</w:t>
            </w:r>
            <w:r>
              <w:rPr>
                <w:sz w:val="21"/>
              </w:rPr>
              <w:t>织</w:t>
            </w:r>
          </w:p>
        </w:tc>
        <w:tc>
          <w:tcPr>
            <w:tcW w:w="2162" w:type="dxa"/>
            <w:tcBorders>
              <w:right w:val="nil"/>
            </w:tcBorders>
          </w:tcPr>
          <w:p w14:paraId="0940FA76">
            <w:pPr>
              <w:pStyle w:val="17"/>
              <w:spacing w:before="20" w:line="278" w:lineRule="auto"/>
              <w:ind w:left="112" w:right="108" w:firstLine="2"/>
              <w:rPr>
                <w:sz w:val="21"/>
              </w:rPr>
            </w:pPr>
            <w:r>
              <w:rPr>
                <w:sz w:val="21"/>
              </w:rPr>
              <w:t>《恶臭污染物排放标</w:t>
            </w:r>
            <w:r>
              <w:rPr>
                <w:w w:val="95"/>
                <w:sz w:val="21"/>
              </w:rPr>
              <w:t>准》（</w:t>
            </w:r>
            <w:r>
              <w:rPr>
                <w:rFonts w:ascii="Times New Roman" w:eastAsia="Times New Roman"/>
                <w:w w:val="95"/>
                <w:sz w:val="21"/>
              </w:rPr>
              <w:t>GB14554-93</w:t>
            </w:r>
            <w:r>
              <w:rPr>
                <w:w w:val="95"/>
                <w:sz w:val="21"/>
              </w:rPr>
              <w:t>）</w:t>
            </w:r>
          </w:p>
          <w:p w14:paraId="1E9F33CA">
            <w:pPr>
              <w:pStyle w:val="17"/>
              <w:spacing w:line="269" w:lineRule="exact"/>
              <w:ind w:left="89" w:right="85"/>
              <w:rPr>
                <w:sz w:val="21"/>
              </w:rPr>
            </w:pPr>
            <w:r>
              <w:rPr>
                <w:sz w:val="21"/>
              </w:rPr>
              <w:t xml:space="preserve">表 </w:t>
            </w:r>
            <w:r>
              <w:rPr>
                <w:rFonts w:ascii="Times New Roman" w:eastAsia="Times New Roman"/>
                <w:sz w:val="21"/>
              </w:rPr>
              <w:t xml:space="preserve">2 </w:t>
            </w:r>
            <w:r>
              <w:rPr>
                <w:sz w:val="21"/>
              </w:rPr>
              <w:t>标准</w:t>
            </w:r>
          </w:p>
        </w:tc>
      </w:tr>
      <w:tr w14:paraId="689D4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96" w:type="dxa"/>
            <w:vMerge w:val="restart"/>
            <w:tcBorders>
              <w:left w:val="nil"/>
            </w:tcBorders>
          </w:tcPr>
          <w:p w14:paraId="30424526">
            <w:pPr>
              <w:pStyle w:val="17"/>
              <w:jc w:val="left"/>
              <w:rPr>
                <w:b/>
                <w:sz w:val="20"/>
              </w:rPr>
            </w:pPr>
          </w:p>
          <w:p w14:paraId="3CC59796">
            <w:pPr>
              <w:pStyle w:val="17"/>
              <w:jc w:val="left"/>
              <w:rPr>
                <w:b/>
                <w:sz w:val="20"/>
              </w:rPr>
            </w:pPr>
          </w:p>
          <w:p w14:paraId="2660CD57">
            <w:pPr>
              <w:pStyle w:val="17"/>
              <w:jc w:val="left"/>
              <w:rPr>
                <w:b/>
                <w:sz w:val="20"/>
              </w:rPr>
            </w:pPr>
          </w:p>
          <w:p w14:paraId="5430FD50">
            <w:pPr>
              <w:pStyle w:val="17"/>
              <w:jc w:val="left"/>
              <w:rPr>
                <w:b/>
                <w:sz w:val="20"/>
              </w:rPr>
            </w:pPr>
          </w:p>
          <w:p w14:paraId="139F52A5">
            <w:pPr>
              <w:pStyle w:val="17"/>
              <w:spacing w:before="6"/>
              <w:jc w:val="left"/>
              <w:rPr>
                <w:b/>
                <w:sz w:val="19"/>
              </w:rPr>
            </w:pPr>
          </w:p>
          <w:p w14:paraId="3F02BE77">
            <w:pPr>
              <w:pStyle w:val="17"/>
              <w:spacing w:line="278" w:lineRule="auto"/>
              <w:ind w:left="188" w:right="171"/>
              <w:rPr>
                <w:sz w:val="21"/>
              </w:rPr>
            </w:pPr>
            <w:r>
              <w:rPr>
                <w:w w:val="95"/>
                <w:sz w:val="21"/>
              </w:rPr>
              <w:t>生产车间无组</w:t>
            </w:r>
            <w:r>
              <w:rPr>
                <w:sz w:val="21"/>
              </w:rPr>
              <w:t>织</w:t>
            </w:r>
          </w:p>
        </w:tc>
        <w:tc>
          <w:tcPr>
            <w:tcW w:w="900" w:type="dxa"/>
            <w:vMerge w:val="restart"/>
          </w:tcPr>
          <w:p w14:paraId="5F9EF342">
            <w:pPr>
              <w:pStyle w:val="17"/>
              <w:jc w:val="left"/>
              <w:rPr>
                <w:b/>
                <w:sz w:val="20"/>
              </w:rPr>
            </w:pPr>
          </w:p>
          <w:p w14:paraId="7D25CA61">
            <w:pPr>
              <w:pStyle w:val="17"/>
              <w:jc w:val="left"/>
              <w:rPr>
                <w:b/>
                <w:sz w:val="20"/>
              </w:rPr>
            </w:pPr>
          </w:p>
          <w:p w14:paraId="4C93B267">
            <w:pPr>
              <w:pStyle w:val="17"/>
              <w:jc w:val="left"/>
              <w:rPr>
                <w:b/>
                <w:sz w:val="20"/>
              </w:rPr>
            </w:pPr>
          </w:p>
          <w:p w14:paraId="1E5D084D">
            <w:pPr>
              <w:pStyle w:val="17"/>
              <w:jc w:val="left"/>
              <w:rPr>
                <w:b/>
                <w:sz w:val="20"/>
              </w:rPr>
            </w:pPr>
          </w:p>
          <w:p w14:paraId="2491C488">
            <w:pPr>
              <w:pStyle w:val="17"/>
              <w:jc w:val="left"/>
              <w:rPr>
                <w:b/>
                <w:sz w:val="20"/>
              </w:rPr>
            </w:pPr>
          </w:p>
          <w:p w14:paraId="7A0F148B">
            <w:pPr>
              <w:pStyle w:val="17"/>
              <w:spacing w:before="149" w:line="278" w:lineRule="auto"/>
              <w:ind w:left="344" w:right="123" w:hanging="209"/>
              <w:jc w:val="left"/>
              <w:rPr>
                <w:sz w:val="21"/>
              </w:rPr>
            </w:pPr>
            <w:r>
              <w:rPr>
                <w:sz w:val="21"/>
              </w:rPr>
              <w:t>生产车间</w:t>
            </w:r>
          </w:p>
        </w:tc>
        <w:tc>
          <w:tcPr>
            <w:tcW w:w="871" w:type="dxa"/>
          </w:tcPr>
          <w:p w14:paraId="541CF9D3">
            <w:pPr>
              <w:pStyle w:val="17"/>
              <w:jc w:val="left"/>
              <w:rPr>
                <w:b/>
                <w:sz w:val="20"/>
              </w:rPr>
            </w:pPr>
          </w:p>
          <w:p w14:paraId="2DA3F01D">
            <w:pPr>
              <w:pStyle w:val="17"/>
              <w:spacing w:before="3"/>
              <w:jc w:val="left"/>
              <w:rPr>
                <w:b/>
                <w:sz w:val="18"/>
              </w:rPr>
            </w:pPr>
          </w:p>
          <w:p w14:paraId="7A6C42EC">
            <w:pPr>
              <w:pStyle w:val="17"/>
              <w:spacing w:line="278" w:lineRule="auto"/>
              <w:ind w:left="224" w:right="111" w:hanging="106"/>
              <w:jc w:val="left"/>
              <w:rPr>
                <w:sz w:val="21"/>
              </w:rPr>
            </w:pPr>
            <w:r>
              <w:rPr>
                <w:sz w:val="21"/>
              </w:rPr>
              <w:t>非甲烷总烃</w:t>
            </w:r>
          </w:p>
        </w:tc>
        <w:tc>
          <w:tcPr>
            <w:tcW w:w="1371" w:type="dxa"/>
            <w:vMerge w:val="restart"/>
          </w:tcPr>
          <w:p w14:paraId="26663EED">
            <w:pPr>
              <w:pStyle w:val="17"/>
              <w:jc w:val="left"/>
              <w:rPr>
                <w:b/>
                <w:sz w:val="20"/>
              </w:rPr>
            </w:pPr>
          </w:p>
          <w:p w14:paraId="457D1A3F">
            <w:pPr>
              <w:pStyle w:val="17"/>
              <w:jc w:val="left"/>
              <w:rPr>
                <w:b/>
                <w:sz w:val="20"/>
              </w:rPr>
            </w:pPr>
          </w:p>
          <w:p w14:paraId="291FDD13">
            <w:pPr>
              <w:pStyle w:val="17"/>
              <w:jc w:val="left"/>
              <w:rPr>
                <w:b/>
                <w:sz w:val="20"/>
              </w:rPr>
            </w:pPr>
          </w:p>
          <w:p w14:paraId="6CD0D2A3">
            <w:pPr>
              <w:pStyle w:val="17"/>
              <w:jc w:val="left"/>
              <w:rPr>
                <w:b/>
                <w:sz w:val="20"/>
              </w:rPr>
            </w:pPr>
          </w:p>
          <w:p w14:paraId="32832CA3">
            <w:pPr>
              <w:pStyle w:val="17"/>
              <w:jc w:val="left"/>
              <w:rPr>
                <w:b/>
                <w:sz w:val="20"/>
              </w:rPr>
            </w:pPr>
          </w:p>
          <w:p w14:paraId="3AB17EE0">
            <w:pPr>
              <w:pStyle w:val="17"/>
              <w:spacing w:before="149" w:line="278" w:lineRule="auto"/>
              <w:ind w:left="474" w:right="150" w:hanging="315"/>
              <w:jc w:val="left"/>
              <w:rPr>
                <w:sz w:val="21"/>
              </w:rPr>
            </w:pPr>
            <w:r>
              <w:rPr>
                <w:sz w:val="21"/>
              </w:rPr>
              <w:t>加强收集和管理</w:t>
            </w:r>
          </w:p>
        </w:tc>
        <w:tc>
          <w:tcPr>
            <w:tcW w:w="650" w:type="dxa"/>
          </w:tcPr>
          <w:p w14:paraId="0B31747F">
            <w:pPr>
              <w:pStyle w:val="17"/>
              <w:jc w:val="left"/>
              <w:rPr>
                <w:b/>
                <w:sz w:val="22"/>
              </w:rPr>
            </w:pPr>
          </w:p>
          <w:p w14:paraId="49EF3888">
            <w:pPr>
              <w:pStyle w:val="17"/>
              <w:spacing w:before="6"/>
              <w:jc w:val="left"/>
              <w:rPr>
                <w:b/>
                <w:sz w:val="29"/>
              </w:rPr>
            </w:pPr>
          </w:p>
          <w:p w14:paraId="4CA5EDBD">
            <w:pPr>
              <w:pStyle w:val="17"/>
              <w:ind w:left="10"/>
              <w:rPr>
                <w:rFonts w:ascii="Times New Roman"/>
                <w:sz w:val="21"/>
              </w:rPr>
            </w:pPr>
            <w:r>
              <w:rPr>
                <w:rFonts w:ascii="Times New Roman"/>
                <w:w w:val="99"/>
                <w:sz w:val="21"/>
              </w:rPr>
              <w:t>/</w:t>
            </w:r>
          </w:p>
        </w:tc>
        <w:tc>
          <w:tcPr>
            <w:tcW w:w="752" w:type="dxa"/>
          </w:tcPr>
          <w:p w14:paraId="4AB8A473">
            <w:pPr>
              <w:pStyle w:val="17"/>
              <w:jc w:val="left"/>
              <w:rPr>
                <w:b/>
                <w:sz w:val="22"/>
              </w:rPr>
            </w:pPr>
          </w:p>
          <w:p w14:paraId="7ACF758E">
            <w:pPr>
              <w:pStyle w:val="17"/>
              <w:spacing w:before="6"/>
              <w:jc w:val="left"/>
              <w:rPr>
                <w:b/>
                <w:sz w:val="29"/>
              </w:rPr>
            </w:pPr>
          </w:p>
          <w:p w14:paraId="0B8DA0DA">
            <w:pPr>
              <w:pStyle w:val="17"/>
              <w:ind w:left="9"/>
              <w:rPr>
                <w:rFonts w:ascii="Times New Roman"/>
                <w:sz w:val="21"/>
              </w:rPr>
            </w:pPr>
            <w:r>
              <w:rPr>
                <w:rFonts w:ascii="Times New Roman"/>
                <w:w w:val="99"/>
                <w:sz w:val="21"/>
              </w:rPr>
              <w:t>/</w:t>
            </w:r>
          </w:p>
        </w:tc>
        <w:tc>
          <w:tcPr>
            <w:tcW w:w="817" w:type="dxa"/>
            <w:vMerge w:val="restart"/>
          </w:tcPr>
          <w:p w14:paraId="5DEA84A0">
            <w:pPr>
              <w:pStyle w:val="17"/>
              <w:jc w:val="left"/>
              <w:rPr>
                <w:b/>
                <w:sz w:val="20"/>
              </w:rPr>
            </w:pPr>
          </w:p>
          <w:p w14:paraId="2F603F7C">
            <w:pPr>
              <w:pStyle w:val="17"/>
              <w:jc w:val="left"/>
              <w:rPr>
                <w:b/>
                <w:sz w:val="20"/>
              </w:rPr>
            </w:pPr>
          </w:p>
          <w:p w14:paraId="77F44BA0">
            <w:pPr>
              <w:pStyle w:val="17"/>
              <w:jc w:val="left"/>
              <w:rPr>
                <w:b/>
                <w:sz w:val="20"/>
              </w:rPr>
            </w:pPr>
          </w:p>
          <w:p w14:paraId="7F1F61DB">
            <w:pPr>
              <w:pStyle w:val="17"/>
              <w:jc w:val="left"/>
              <w:rPr>
                <w:b/>
                <w:sz w:val="20"/>
              </w:rPr>
            </w:pPr>
          </w:p>
          <w:p w14:paraId="63897FC5">
            <w:pPr>
              <w:pStyle w:val="17"/>
              <w:jc w:val="left"/>
              <w:rPr>
                <w:b/>
                <w:sz w:val="20"/>
              </w:rPr>
            </w:pPr>
          </w:p>
          <w:p w14:paraId="1A032D75">
            <w:pPr>
              <w:pStyle w:val="17"/>
              <w:spacing w:before="149" w:line="278" w:lineRule="auto"/>
              <w:ind w:left="302" w:right="190" w:hanging="106"/>
              <w:jc w:val="left"/>
              <w:rPr>
                <w:sz w:val="21"/>
              </w:rPr>
            </w:pPr>
            <w:r>
              <w:rPr>
                <w:w w:val="95"/>
                <w:sz w:val="21"/>
              </w:rPr>
              <w:t>无组</w:t>
            </w:r>
            <w:r>
              <w:rPr>
                <w:sz w:val="21"/>
              </w:rPr>
              <w:t>织</w:t>
            </w:r>
          </w:p>
        </w:tc>
        <w:tc>
          <w:tcPr>
            <w:tcW w:w="2162" w:type="dxa"/>
            <w:tcBorders>
              <w:right w:val="nil"/>
            </w:tcBorders>
          </w:tcPr>
          <w:p w14:paraId="4EF7F428">
            <w:pPr>
              <w:pStyle w:val="17"/>
              <w:spacing w:before="22" w:line="278" w:lineRule="auto"/>
              <w:ind w:left="107" w:right="103" w:firstLine="28"/>
              <w:jc w:val="left"/>
              <w:rPr>
                <w:rFonts w:ascii="Times New Roman" w:eastAsia="Times New Roman"/>
                <w:sz w:val="21"/>
              </w:rPr>
            </w:pPr>
            <w:r>
              <w:rPr>
                <w:sz w:val="21"/>
              </w:rPr>
              <w:t>《</w:t>
            </w:r>
            <w:r>
              <w:fldChar w:fldCharType="begin"/>
            </w:r>
            <w:r>
              <w:instrText xml:space="preserve"> HYPERLINK "https://www.mee.gov.cn/ywgz/fgbz/bz/bzwb/dqhjbh/dqgdwrywrwpfbz/201906/W020190606587693632696.pdf" \h </w:instrText>
            </w:r>
            <w:r>
              <w:fldChar w:fldCharType="separate"/>
            </w:r>
            <w:r>
              <w:rPr>
                <w:sz w:val="21"/>
              </w:rPr>
              <w:t>挥发性有机物无组</w:t>
            </w:r>
            <w:r>
              <w:rPr>
                <w:sz w:val="21"/>
              </w:rPr>
              <w:fldChar w:fldCharType="end"/>
            </w:r>
            <w:r>
              <w:fldChar w:fldCharType="begin"/>
            </w:r>
            <w:r>
              <w:instrText xml:space="preserve"> HYPERLINK "https://www.mee.gov.cn/ywgz/fgbz/bz/bzwb/dqhjbh/dqgdwrywrwpfbz/201906/W020190606587693632696.pdf" \h </w:instrText>
            </w:r>
            <w:r>
              <w:fldChar w:fldCharType="separate"/>
            </w:r>
            <w:r>
              <w:rPr>
                <w:w w:val="95"/>
                <w:sz w:val="21"/>
              </w:rPr>
              <w:t>织排放控制标准（</w:t>
            </w:r>
            <w:r>
              <w:rPr>
                <w:rFonts w:ascii="Times New Roman" w:eastAsia="Times New Roman"/>
                <w:w w:val="95"/>
                <w:sz w:val="21"/>
              </w:rPr>
              <w:t>GB</w:t>
            </w:r>
            <w:r>
              <w:rPr>
                <w:rFonts w:ascii="Times New Roman" w:eastAsia="Times New Roman"/>
                <w:w w:val="95"/>
                <w:sz w:val="21"/>
              </w:rPr>
              <w:fldChar w:fldCharType="end"/>
            </w:r>
          </w:p>
          <w:p w14:paraId="5A02AC34">
            <w:pPr>
              <w:pStyle w:val="17"/>
              <w:spacing w:line="269" w:lineRule="exact"/>
              <w:ind w:left="107"/>
              <w:jc w:val="left"/>
              <w:rPr>
                <w:sz w:val="21"/>
              </w:rPr>
            </w:pPr>
            <w:r>
              <w:fldChar w:fldCharType="begin"/>
            </w:r>
            <w:r>
              <w:instrText xml:space="preserve"> HYPERLINK "https://www.mee.gov.cn/ywgz/fgbz/bz/bzwb/dqhjbh/dqgdwrywrwpfbz/201906/W020190606587693632696.pdf" \h </w:instrText>
            </w:r>
            <w:r>
              <w:fldChar w:fldCharType="separate"/>
            </w:r>
            <w:r>
              <w:rPr>
                <w:rFonts w:ascii="Times New Roman" w:hAnsi="Times New Roman" w:eastAsia="Times New Roman"/>
                <w:w w:val="95"/>
                <w:sz w:val="21"/>
              </w:rPr>
              <w:t>37822</w:t>
            </w:r>
            <w:r>
              <w:rPr>
                <w:w w:val="95"/>
                <w:sz w:val="21"/>
              </w:rPr>
              <w:t>—</w:t>
            </w:r>
            <w:r>
              <w:rPr>
                <w:rFonts w:ascii="Times New Roman" w:hAnsi="Times New Roman" w:eastAsia="Times New Roman"/>
                <w:w w:val="95"/>
                <w:sz w:val="21"/>
              </w:rPr>
              <w:t>2019</w:t>
            </w:r>
            <w:r>
              <w:rPr>
                <w:w w:val="95"/>
                <w:sz w:val="21"/>
              </w:rPr>
              <w:t>）</w:t>
            </w:r>
            <w:r>
              <w:rPr>
                <w:w w:val="95"/>
                <w:sz w:val="21"/>
              </w:rPr>
              <w:fldChar w:fldCharType="end"/>
            </w:r>
            <w:r>
              <w:rPr>
                <w:w w:val="95"/>
                <w:sz w:val="21"/>
              </w:rPr>
              <w:t>》附录</w:t>
            </w:r>
          </w:p>
          <w:p w14:paraId="12F89854">
            <w:pPr>
              <w:pStyle w:val="17"/>
              <w:spacing w:before="2" w:line="310" w:lineRule="atLeast"/>
              <w:ind w:left="870" w:right="71" w:hanging="730"/>
              <w:jc w:val="left"/>
              <w:rPr>
                <w:sz w:val="21"/>
              </w:rPr>
            </w:pPr>
            <w:r>
              <w:rPr>
                <w:rFonts w:ascii="Times New Roman" w:eastAsia="Times New Roman"/>
                <w:sz w:val="21"/>
              </w:rPr>
              <w:t xml:space="preserve">A </w:t>
            </w:r>
            <w:r>
              <w:rPr>
                <w:sz w:val="21"/>
              </w:rPr>
              <w:t xml:space="preserve">中表 </w:t>
            </w:r>
            <w:r>
              <w:rPr>
                <w:rFonts w:ascii="Times New Roman" w:eastAsia="Times New Roman"/>
                <w:sz w:val="21"/>
              </w:rPr>
              <w:t xml:space="preserve">A.1 </w:t>
            </w:r>
            <w:r>
              <w:rPr>
                <w:sz w:val="21"/>
              </w:rPr>
              <w:t>排放限值要求</w:t>
            </w:r>
          </w:p>
        </w:tc>
      </w:tr>
      <w:tr w14:paraId="1FEB8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996" w:type="dxa"/>
            <w:vMerge w:val="continue"/>
            <w:tcBorders>
              <w:top w:val="nil"/>
              <w:left w:val="nil"/>
            </w:tcBorders>
          </w:tcPr>
          <w:p w14:paraId="0DE2B88C">
            <w:pPr>
              <w:rPr>
                <w:sz w:val="2"/>
                <w:szCs w:val="2"/>
              </w:rPr>
            </w:pPr>
          </w:p>
        </w:tc>
        <w:tc>
          <w:tcPr>
            <w:tcW w:w="900" w:type="dxa"/>
            <w:vMerge w:val="continue"/>
            <w:tcBorders>
              <w:top w:val="nil"/>
            </w:tcBorders>
          </w:tcPr>
          <w:p w14:paraId="6D47A861">
            <w:pPr>
              <w:rPr>
                <w:sz w:val="2"/>
                <w:szCs w:val="2"/>
              </w:rPr>
            </w:pPr>
          </w:p>
        </w:tc>
        <w:tc>
          <w:tcPr>
            <w:tcW w:w="871" w:type="dxa"/>
          </w:tcPr>
          <w:p w14:paraId="6C0ED256">
            <w:pPr>
              <w:pStyle w:val="17"/>
              <w:jc w:val="left"/>
              <w:rPr>
                <w:b/>
                <w:sz w:val="20"/>
              </w:rPr>
            </w:pPr>
          </w:p>
          <w:p w14:paraId="43416D13">
            <w:pPr>
              <w:pStyle w:val="17"/>
              <w:jc w:val="left"/>
              <w:rPr>
                <w:b/>
                <w:sz w:val="20"/>
              </w:rPr>
            </w:pPr>
          </w:p>
          <w:p w14:paraId="18FE82BF">
            <w:pPr>
              <w:pStyle w:val="17"/>
              <w:spacing w:before="7"/>
              <w:jc w:val="left"/>
              <w:rPr>
                <w:b/>
                <w:sz w:val="22"/>
              </w:rPr>
            </w:pPr>
          </w:p>
          <w:p w14:paraId="5DC6E4B7">
            <w:pPr>
              <w:pStyle w:val="17"/>
              <w:ind w:left="118"/>
              <w:jc w:val="left"/>
              <w:rPr>
                <w:sz w:val="21"/>
              </w:rPr>
            </w:pPr>
            <w:r>
              <w:rPr>
                <w:sz w:val="21"/>
              </w:rPr>
              <w:t>颗粒物</w:t>
            </w:r>
          </w:p>
        </w:tc>
        <w:tc>
          <w:tcPr>
            <w:tcW w:w="1371" w:type="dxa"/>
            <w:vMerge w:val="continue"/>
            <w:tcBorders>
              <w:top w:val="nil"/>
            </w:tcBorders>
          </w:tcPr>
          <w:p w14:paraId="61063829">
            <w:pPr>
              <w:rPr>
                <w:sz w:val="2"/>
                <w:szCs w:val="2"/>
              </w:rPr>
            </w:pPr>
          </w:p>
        </w:tc>
        <w:tc>
          <w:tcPr>
            <w:tcW w:w="650" w:type="dxa"/>
          </w:tcPr>
          <w:p w14:paraId="0D8B8347">
            <w:pPr>
              <w:pStyle w:val="17"/>
              <w:jc w:val="left"/>
              <w:rPr>
                <w:b/>
                <w:sz w:val="22"/>
              </w:rPr>
            </w:pPr>
          </w:p>
          <w:p w14:paraId="5B4E3A25">
            <w:pPr>
              <w:pStyle w:val="17"/>
              <w:jc w:val="left"/>
              <w:rPr>
                <w:b/>
                <w:sz w:val="22"/>
              </w:rPr>
            </w:pPr>
          </w:p>
          <w:p w14:paraId="31739847">
            <w:pPr>
              <w:pStyle w:val="17"/>
              <w:spacing w:before="8"/>
              <w:jc w:val="left"/>
              <w:rPr>
                <w:b/>
                <w:sz w:val="19"/>
              </w:rPr>
            </w:pPr>
          </w:p>
          <w:p w14:paraId="4DB81028">
            <w:pPr>
              <w:pStyle w:val="17"/>
              <w:ind w:left="10"/>
              <w:rPr>
                <w:rFonts w:ascii="Times New Roman"/>
                <w:sz w:val="21"/>
              </w:rPr>
            </w:pPr>
            <w:r>
              <w:rPr>
                <w:rFonts w:ascii="Times New Roman"/>
                <w:w w:val="99"/>
                <w:sz w:val="21"/>
              </w:rPr>
              <w:t>/</w:t>
            </w:r>
          </w:p>
        </w:tc>
        <w:tc>
          <w:tcPr>
            <w:tcW w:w="752" w:type="dxa"/>
          </w:tcPr>
          <w:p w14:paraId="61F03659">
            <w:pPr>
              <w:pStyle w:val="17"/>
              <w:jc w:val="left"/>
              <w:rPr>
                <w:b/>
                <w:sz w:val="22"/>
              </w:rPr>
            </w:pPr>
          </w:p>
          <w:p w14:paraId="15A7D6AD">
            <w:pPr>
              <w:pStyle w:val="17"/>
              <w:jc w:val="left"/>
              <w:rPr>
                <w:b/>
                <w:sz w:val="22"/>
              </w:rPr>
            </w:pPr>
          </w:p>
          <w:p w14:paraId="2C99A18A">
            <w:pPr>
              <w:pStyle w:val="17"/>
              <w:spacing w:before="8"/>
              <w:jc w:val="left"/>
              <w:rPr>
                <w:b/>
                <w:sz w:val="19"/>
              </w:rPr>
            </w:pPr>
          </w:p>
          <w:p w14:paraId="7185EEAB">
            <w:pPr>
              <w:pStyle w:val="17"/>
              <w:ind w:left="9"/>
              <w:rPr>
                <w:rFonts w:ascii="Times New Roman"/>
                <w:sz w:val="21"/>
              </w:rPr>
            </w:pPr>
            <w:r>
              <w:rPr>
                <w:rFonts w:ascii="Times New Roman"/>
                <w:w w:val="99"/>
                <w:sz w:val="21"/>
              </w:rPr>
              <w:t>/</w:t>
            </w:r>
          </w:p>
        </w:tc>
        <w:tc>
          <w:tcPr>
            <w:tcW w:w="817" w:type="dxa"/>
            <w:vMerge w:val="continue"/>
            <w:tcBorders>
              <w:top w:val="nil"/>
            </w:tcBorders>
          </w:tcPr>
          <w:p w14:paraId="76320441">
            <w:pPr>
              <w:rPr>
                <w:sz w:val="2"/>
                <w:szCs w:val="2"/>
              </w:rPr>
            </w:pPr>
          </w:p>
        </w:tc>
        <w:tc>
          <w:tcPr>
            <w:tcW w:w="2162" w:type="dxa"/>
            <w:tcBorders>
              <w:right w:val="nil"/>
            </w:tcBorders>
          </w:tcPr>
          <w:p w14:paraId="44236432">
            <w:pPr>
              <w:pStyle w:val="17"/>
              <w:spacing w:before="21" w:line="278" w:lineRule="auto"/>
              <w:ind w:left="198" w:right="132" w:hanging="63"/>
              <w:jc w:val="both"/>
              <w:rPr>
                <w:sz w:val="21"/>
              </w:rPr>
            </w:pPr>
            <w:r>
              <w:rPr>
                <w:w w:val="95"/>
                <w:sz w:val="21"/>
              </w:rPr>
              <w:t>《</w:t>
            </w:r>
            <w:r>
              <w:fldChar w:fldCharType="begin"/>
            </w:r>
            <w:r>
              <w:instrText xml:space="preserve"> HYPERLINK "https://www.mee.gov.cn/ywgz/fgbz/bz/bzwb/dqhjbh/dqgdwrywrwpfbz/201505/W020150506393371746579.pdf" \h </w:instrText>
            </w:r>
            <w:r>
              <w:fldChar w:fldCharType="separate"/>
            </w:r>
            <w:r>
              <w:rPr>
                <w:w w:val="95"/>
                <w:sz w:val="21"/>
              </w:rPr>
              <w:t>合成树脂工业污染</w:t>
            </w:r>
            <w:r>
              <w:rPr>
                <w:w w:val="95"/>
                <w:sz w:val="21"/>
              </w:rPr>
              <w:fldChar w:fldCharType="end"/>
            </w:r>
            <w:r>
              <w:fldChar w:fldCharType="begin"/>
            </w:r>
            <w:r>
              <w:instrText xml:space="preserve"> HYPERLINK "https://www.mee.gov.cn/ywgz/fgbz/bz/bzwb/dqhjbh/dqgdwrywrwpfbz/201505/W020150506393371746579.pdf" \h </w:instrText>
            </w:r>
            <w:r>
              <w:fldChar w:fldCharType="separate"/>
            </w:r>
            <w:r>
              <w:rPr>
                <w:sz w:val="21"/>
              </w:rPr>
              <w:t>物排放标准</w:t>
            </w:r>
            <w:r>
              <w:rPr>
                <w:sz w:val="21"/>
              </w:rPr>
              <w:fldChar w:fldCharType="end"/>
            </w:r>
            <w:r>
              <w:rPr>
                <w:sz w:val="21"/>
              </w:rPr>
              <w:t>》（</w:t>
            </w:r>
            <w:r>
              <w:rPr>
                <w:rFonts w:ascii="Times New Roman" w:eastAsia="Times New Roman"/>
                <w:sz w:val="21"/>
              </w:rPr>
              <w:t>GB 31572-2015</w:t>
            </w:r>
            <w:r>
              <w:rPr>
                <w:sz w:val="21"/>
              </w:rPr>
              <w:t>）及其</w:t>
            </w:r>
          </w:p>
          <w:p w14:paraId="7A07597F">
            <w:pPr>
              <w:pStyle w:val="17"/>
              <w:spacing w:line="278" w:lineRule="auto"/>
              <w:ind w:left="136" w:right="105" w:hanging="27"/>
              <w:jc w:val="both"/>
              <w:rPr>
                <w:sz w:val="21"/>
              </w:rPr>
            </w:pPr>
            <w:r>
              <w:rPr>
                <w:rFonts w:ascii="Times New Roman" w:eastAsia="Times New Roman"/>
                <w:sz w:val="21"/>
              </w:rPr>
              <w:t xml:space="preserve">2024 </w:t>
            </w:r>
            <w:r>
              <w:rPr>
                <w:spacing w:val="-9"/>
                <w:sz w:val="21"/>
              </w:rPr>
              <w:t xml:space="preserve">年修改单表 </w:t>
            </w:r>
            <w:r>
              <w:rPr>
                <w:rFonts w:ascii="Times New Roman" w:eastAsia="Times New Roman"/>
                <w:sz w:val="21"/>
              </w:rPr>
              <w:t xml:space="preserve">9 </w:t>
            </w:r>
            <w:r>
              <w:rPr>
                <w:sz w:val="21"/>
              </w:rPr>
              <w:t>企业边界大气污染物浓</w:t>
            </w:r>
          </w:p>
          <w:p w14:paraId="4B649A92">
            <w:pPr>
              <w:pStyle w:val="17"/>
              <w:spacing w:line="268" w:lineRule="exact"/>
              <w:ind w:left="89" w:right="85"/>
              <w:rPr>
                <w:sz w:val="21"/>
              </w:rPr>
            </w:pPr>
            <w:r>
              <w:rPr>
                <w:sz w:val="21"/>
              </w:rPr>
              <w:t>度限值要求</w:t>
            </w:r>
          </w:p>
        </w:tc>
      </w:tr>
    </w:tbl>
    <w:p w14:paraId="37F1E215">
      <w:pPr>
        <w:spacing w:after="0" w:line="268" w:lineRule="exact"/>
        <w:rPr>
          <w:sz w:val="21"/>
        </w:rPr>
        <w:sectPr>
          <w:footerReference r:id="rId34" w:type="default"/>
          <w:pgSz w:w="11910" w:h="16840"/>
          <w:pgMar w:top="1460" w:right="1060" w:bottom="1220" w:left="1180" w:header="0" w:footer="1024" w:gutter="0"/>
          <w:pgNumType w:start="156"/>
          <w:cols w:space="720" w:num="1"/>
        </w:sect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00"/>
        <w:gridCol w:w="871"/>
        <w:gridCol w:w="1371"/>
        <w:gridCol w:w="650"/>
        <w:gridCol w:w="752"/>
        <w:gridCol w:w="817"/>
        <w:gridCol w:w="2162"/>
      </w:tblGrid>
      <w:tr w14:paraId="27296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96" w:type="dxa"/>
            <w:tcBorders>
              <w:left w:val="nil"/>
            </w:tcBorders>
          </w:tcPr>
          <w:p w14:paraId="77F374D8">
            <w:pPr>
              <w:pStyle w:val="17"/>
              <w:jc w:val="left"/>
              <w:rPr>
                <w:rFonts w:ascii="Times New Roman"/>
                <w:sz w:val="22"/>
              </w:rPr>
            </w:pPr>
          </w:p>
        </w:tc>
        <w:tc>
          <w:tcPr>
            <w:tcW w:w="900" w:type="dxa"/>
          </w:tcPr>
          <w:p w14:paraId="08C2B800">
            <w:pPr>
              <w:pStyle w:val="17"/>
              <w:jc w:val="left"/>
              <w:rPr>
                <w:rFonts w:ascii="Times New Roman"/>
                <w:sz w:val="22"/>
              </w:rPr>
            </w:pPr>
          </w:p>
        </w:tc>
        <w:tc>
          <w:tcPr>
            <w:tcW w:w="871" w:type="dxa"/>
          </w:tcPr>
          <w:p w14:paraId="14BE9408">
            <w:pPr>
              <w:pStyle w:val="17"/>
              <w:jc w:val="left"/>
              <w:rPr>
                <w:b/>
                <w:sz w:val="26"/>
              </w:rPr>
            </w:pPr>
          </w:p>
          <w:p w14:paraId="5163C899">
            <w:pPr>
              <w:pStyle w:val="17"/>
              <w:spacing w:line="278" w:lineRule="auto"/>
              <w:ind w:left="329" w:right="111" w:hanging="212"/>
              <w:jc w:val="left"/>
              <w:rPr>
                <w:sz w:val="21"/>
              </w:rPr>
            </w:pPr>
            <w:r>
              <w:rPr>
                <w:sz w:val="21"/>
              </w:rPr>
              <w:t>臭气浓度</w:t>
            </w:r>
          </w:p>
        </w:tc>
        <w:tc>
          <w:tcPr>
            <w:tcW w:w="1371" w:type="dxa"/>
          </w:tcPr>
          <w:p w14:paraId="1EC7996B">
            <w:pPr>
              <w:pStyle w:val="17"/>
              <w:jc w:val="left"/>
              <w:rPr>
                <w:rFonts w:ascii="Times New Roman"/>
                <w:sz w:val="22"/>
              </w:rPr>
            </w:pPr>
          </w:p>
        </w:tc>
        <w:tc>
          <w:tcPr>
            <w:tcW w:w="650" w:type="dxa"/>
          </w:tcPr>
          <w:p w14:paraId="1A09301D">
            <w:pPr>
              <w:pStyle w:val="17"/>
              <w:jc w:val="left"/>
              <w:rPr>
                <w:b/>
                <w:sz w:val="22"/>
              </w:rPr>
            </w:pPr>
          </w:p>
          <w:p w14:paraId="5182C25E">
            <w:pPr>
              <w:pStyle w:val="17"/>
              <w:spacing w:before="3"/>
              <w:jc w:val="left"/>
              <w:rPr>
                <w:b/>
                <w:sz w:val="17"/>
              </w:rPr>
            </w:pPr>
          </w:p>
          <w:p w14:paraId="74CDC640">
            <w:pPr>
              <w:pStyle w:val="17"/>
              <w:ind w:left="10"/>
              <w:rPr>
                <w:rFonts w:ascii="Times New Roman"/>
                <w:sz w:val="21"/>
              </w:rPr>
            </w:pPr>
            <w:r>
              <w:rPr>
                <w:rFonts w:ascii="Times New Roman"/>
                <w:w w:val="99"/>
                <w:sz w:val="21"/>
              </w:rPr>
              <w:t>/</w:t>
            </w:r>
          </w:p>
        </w:tc>
        <w:tc>
          <w:tcPr>
            <w:tcW w:w="752" w:type="dxa"/>
          </w:tcPr>
          <w:p w14:paraId="46ECD3A6">
            <w:pPr>
              <w:pStyle w:val="17"/>
              <w:jc w:val="left"/>
              <w:rPr>
                <w:b/>
                <w:sz w:val="22"/>
              </w:rPr>
            </w:pPr>
          </w:p>
          <w:p w14:paraId="5CC8CE4A">
            <w:pPr>
              <w:pStyle w:val="17"/>
              <w:spacing w:before="3"/>
              <w:jc w:val="left"/>
              <w:rPr>
                <w:b/>
                <w:sz w:val="17"/>
              </w:rPr>
            </w:pPr>
          </w:p>
          <w:p w14:paraId="5EDDC73A">
            <w:pPr>
              <w:pStyle w:val="17"/>
              <w:ind w:left="9"/>
              <w:rPr>
                <w:rFonts w:ascii="Times New Roman"/>
                <w:sz w:val="21"/>
              </w:rPr>
            </w:pPr>
            <w:r>
              <w:rPr>
                <w:rFonts w:ascii="Times New Roman"/>
                <w:w w:val="99"/>
                <w:sz w:val="21"/>
              </w:rPr>
              <w:t>/</w:t>
            </w:r>
          </w:p>
        </w:tc>
        <w:tc>
          <w:tcPr>
            <w:tcW w:w="817" w:type="dxa"/>
          </w:tcPr>
          <w:p w14:paraId="62F8A05D">
            <w:pPr>
              <w:pStyle w:val="17"/>
              <w:jc w:val="left"/>
              <w:rPr>
                <w:rFonts w:ascii="Times New Roman"/>
                <w:sz w:val="22"/>
              </w:rPr>
            </w:pPr>
          </w:p>
        </w:tc>
        <w:tc>
          <w:tcPr>
            <w:tcW w:w="2162" w:type="dxa"/>
            <w:tcBorders>
              <w:right w:val="nil"/>
            </w:tcBorders>
          </w:tcPr>
          <w:p w14:paraId="4F8DD587">
            <w:pPr>
              <w:pStyle w:val="17"/>
              <w:spacing w:before="21" w:line="278" w:lineRule="auto"/>
              <w:ind w:left="112" w:right="108" w:firstLine="2"/>
              <w:rPr>
                <w:sz w:val="21"/>
              </w:rPr>
            </w:pPr>
            <w:r>
              <w:rPr>
                <w:sz w:val="21"/>
              </w:rPr>
              <w:t>《恶臭污染物排放标</w:t>
            </w:r>
            <w:r>
              <w:rPr>
                <w:w w:val="95"/>
                <w:sz w:val="21"/>
              </w:rPr>
              <w:t>准》（</w:t>
            </w:r>
            <w:r>
              <w:rPr>
                <w:rFonts w:ascii="Times New Roman" w:eastAsia="Times New Roman"/>
                <w:w w:val="95"/>
                <w:sz w:val="21"/>
              </w:rPr>
              <w:t>GB14554-93</w:t>
            </w:r>
            <w:r>
              <w:rPr>
                <w:w w:val="95"/>
                <w:sz w:val="21"/>
              </w:rPr>
              <w:t>）</w:t>
            </w:r>
          </w:p>
          <w:p w14:paraId="31F773BF">
            <w:pPr>
              <w:pStyle w:val="17"/>
              <w:spacing w:line="269" w:lineRule="exact"/>
              <w:ind w:left="89" w:right="85"/>
              <w:rPr>
                <w:sz w:val="21"/>
              </w:rPr>
            </w:pPr>
            <w:r>
              <w:rPr>
                <w:sz w:val="21"/>
              </w:rPr>
              <w:t xml:space="preserve">表 </w:t>
            </w:r>
            <w:r>
              <w:rPr>
                <w:rFonts w:ascii="Times New Roman" w:eastAsia="Times New Roman"/>
                <w:sz w:val="21"/>
              </w:rPr>
              <w:t xml:space="preserve">1 </w:t>
            </w:r>
            <w:r>
              <w:rPr>
                <w:sz w:val="21"/>
              </w:rPr>
              <w:t>新扩改建二级标</w:t>
            </w:r>
          </w:p>
          <w:p w14:paraId="014A7800">
            <w:pPr>
              <w:pStyle w:val="17"/>
              <w:spacing w:before="43"/>
              <w:ind w:left="86" w:right="85"/>
              <w:rPr>
                <w:sz w:val="21"/>
              </w:rPr>
            </w:pPr>
            <w:r>
              <w:rPr>
                <w:sz w:val="21"/>
              </w:rPr>
              <w:t>准要求</w:t>
            </w:r>
          </w:p>
        </w:tc>
      </w:tr>
    </w:tbl>
    <w:p w14:paraId="4E0559F4">
      <w:pPr>
        <w:pStyle w:val="16"/>
        <w:numPr>
          <w:ilvl w:val="2"/>
          <w:numId w:val="26"/>
        </w:numPr>
        <w:tabs>
          <w:tab w:val="left" w:pos="1249"/>
        </w:tabs>
        <w:spacing w:before="133" w:after="0" w:line="240" w:lineRule="auto"/>
        <w:ind w:left="1248" w:right="0" w:hanging="628"/>
        <w:jc w:val="left"/>
        <w:rPr>
          <w:b/>
          <w:sz w:val="28"/>
        </w:rPr>
      </w:pPr>
      <w:r>
        <w:rPr>
          <w:b/>
          <w:sz w:val="28"/>
        </w:rPr>
        <w:t>有组织废气污染防治措施</w:t>
      </w:r>
    </w:p>
    <w:p w14:paraId="37692C82">
      <w:pPr>
        <w:pStyle w:val="9"/>
        <w:spacing w:before="135"/>
        <w:ind w:left="1100"/>
      </w:pPr>
      <w:r>
        <w:rPr>
          <w:rFonts w:ascii="Times New Roman" w:eastAsia="Times New Roman"/>
        </w:rPr>
        <w:t>1</w:t>
      </w:r>
      <w:r>
        <w:t>、废气收集净化装置简介</w:t>
      </w:r>
    </w:p>
    <w:p w14:paraId="08F73532">
      <w:pPr>
        <w:pStyle w:val="10"/>
        <w:spacing w:before="158" w:after="4" w:line="362" w:lineRule="auto"/>
        <w:ind w:left="620" w:right="737" w:firstLine="480"/>
        <w:jc w:val="both"/>
      </w:pPr>
      <w:r>
        <w:rPr>
          <w:spacing w:val="-6"/>
        </w:rPr>
        <w:t>废气收集净化系统主要由集气罩、风管、风机、净化装置、排气筒组成。其组成示意图如下图所示。</w:t>
      </w:r>
    </w:p>
    <w:p w14:paraId="0B785876">
      <w:pPr>
        <w:pStyle w:val="10"/>
        <w:ind w:left="1015"/>
        <w:rPr>
          <w:sz w:val="20"/>
        </w:rPr>
      </w:pPr>
      <w:r>
        <w:rPr>
          <w:sz w:val="20"/>
        </w:rPr>
        <w:drawing>
          <wp:inline distT="0" distB="0" distL="0" distR="0">
            <wp:extent cx="4899025" cy="3111500"/>
            <wp:effectExtent l="0" t="0" r="0" b="0"/>
            <wp:docPr id="7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1.jpeg"/>
                    <pic:cNvPicPr>
                      <a:picLocks noChangeAspect="1"/>
                    </pic:cNvPicPr>
                  </pic:nvPicPr>
                  <pic:blipFill>
                    <a:blip r:embed="rId141" cstate="print"/>
                    <a:stretch>
                      <a:fillRect/>
                    </a:stretch>
                  </pic:blipFill>
                  <pic:spPr>
                    <a:xfrm>
                      <a:off x="0" y="0"/>
                      <a:ext cx="4899355" cy="3111817"/>
                    </a:xfrm>
                    <a:prstGeom prst="rect">
                      <a:avLst/>
                    </a:prstGeom>
                  </pic:spPr>
                </pic:pic>
              </a:graphicData>
            </a:graphic>
          </wp:inline>
        </w:drawing>
      </w:r>
    </w:p>
    <w:p w14:paraId="5D7A8797">
      <w:pPr>
        <w:tabs>
          <w:tab w:val="left" w:pos="3965"/>
        </w:tabs>
        <w:spacing w:before="159" w:line="362" w:lineRule="auto"/>
        <w:ind w:left="2926" w:right="993" w:hanging="1575"/>
        <w:jc w:val="left"/>
        <w:rPr>
          <w:b/>
          <w:sz w:val="24"/>
        </w:rPr>
      </w:pPr>
      <w:r>
        <w:rPr>
          <w:sz w:val="24"/>
        </w:rPr>
        <w:t>（</w:t>
      </w:r>
      <w:r>
        <w:rPr>
          <w:rFonts w:ascii="Times New Roman" w:eastAsia="Times New Roman"/>
          <w:sz w:val="24"/>
        </w:rPr>
        <w:t>1</w:t>
      </w:r>
      <w:r>
        <w:rPr>
          <w:sz w:val="24"/>
        </w:rPr>
        <w:t>、废气收集设施；</w:t>
      </w:r>
      <w:r>
        <w:rPr>
          <w:rFonts w:ascii="Times New Roman" w:eastAsia="Times New Roman"/>
          <w:sz w:val="24"/>
        </w:rPr>
        <w:t>2</w:t>
      </w:r>
      <w:r>
        <w:rPr>
          <w:sz w:val="24"/>
        </w:rPr>
        <w:t>、风管；</w:t>
      </w:r>
      <w:r>
        <w:rPr>
          <w:rFonts w:ascii="Times New Roman" w:eastAsia="Times New Roman"/>
          <w:sz w:val="24"/>
        </w:rPr>
        <w:t>3</w:t>
      </w:r>
      <w:r>
        <w:rPr>
          <w:sz w:val="24"/>
        </w:rPr>
        <w:t>、净化装置；</w:t>
      </w:r>
      <w:r>
        <w:rPr>
          <w:rFonts w:ascii="Times New Roman" w:eastAsia="Times New Roman"/>
          <w:sz w:val="24"/>
        </w:rPr>
        <w:t>4</w:t>
      </w:r>
      <w:r>
        <w:rPr>
          <w:sz w:val="24"/>
        </w:rPr>
        <w:t>、风机；</w:t>
      </w:r>
      <w:r>
        <w:rPr>
          <w:rFonts w:ascii="Times New Roman" w:eastAsia="Times New Roman"/>
          <w:sz w:val="24"/>
        </w:rPr>
        <w:t>5</w:t>
      </w:r>
      <w:r>
        <w:rPr>
          <w:sz w:val="24"/>
        </w:rPr>
        <w:t xml:space="preserve">、排气筒） </w:t>
      </w:r>
      <w:r>
        <w:rPr>
          <w:b/>
          <w:sz w:val="24"/>
        </w:rPr>
        <w:t>图</w:t>
      </w:r>
      <w:r>
        <w:rPr>
          <w:b/>
          <w:spacing w:val="-62"/>
          <w:sz w:val="24"/>
        </w:rPr>
        <w:t xml:space="preserve"> </w:t>
      </w:r>
      <w:r>
        <w:rPr>
          <w:rFonts w:ascii="Times New Roman" w:eastAsia="Times New Roman"/>
          <w:b/>
          <w:sz w:val="24"/>
        </w:rPr>
        <w:t>5.1-1</w:t>
      </w:r>
      <w:r>
        <w:rPr>
          <w:rFonts w:ascii="Times New Roman" w:eastAsia="Times New Roman"/>
          <w:b/>
          <w:sz w:val="24"/>
        </w:rPr>
        <w:tab/>
      </w:r>
      <w:r>
        <w:rPr>
          <w:b/>
          <w:sz w:val="24"/>
        </w:rPr>
        <w:t>项目废气收集净化系统示意图</w:t>
      </w:r>
    </w:p>
    <w:p w14:paraId="4F59F745">
      <w:pPr>
        <w:pStyle w:val="10"/>
        <w:spacing w:before="5" w:line="364" w:lineRule="auto"/>
        <w:ind w:left="620" w:right="737" w:firstLine="480"/>
        <w:jc w:val="both"/>
      </w:pPr>
      <w:r>
        <w:rPr>
          <w:rFonts w:ascii="Times New Roman" w:eastAsia="Times New Roman"/>
        </w:rPr>
        <w:t>a</w:t>
      </w:r>
      <w:r>
        <w:t>、废气收集设施：根据废气收集方式，废气收集设施可分为管道收集和集</w:t>
      </w:r>
      <w:r>
        <w:rPr>
          <w:spacing w:val="-9"/>
        </w:rPr>
        <w:t>气罩收集。集气罩收集方式主要适用于无组织排放的各类废气，按集气罩与污染</w:t>
      </w:r>
      <w:r>
        <w:rPr>
          <w:spacing w:val="-14"/>
        </w:rPr>
        <w:t>源的相对位置及适用范围，可将吸气式集气罩分为：密闭罩、排气柜、外部集气</w:t>
      </w:r>
      <w:r>
        <w:rPr>
          <w:spacing w:val="-11"/>
        </w:rPr>
        <w:t>罩、接受式集气罩等，根据本项目生产设备及无组织废气产生特点，本项目选用</w:t>
      </w:r>
      <w:r>
        <w:rPr>
          <w:spacing w:val="-15"/>
        </w:rPr>
        <w:t xml:space="preserve">局部密闭集气罩，废气收集效率在 </w:t>
      </w:r>
      <w:r>
        <w:rPr>
          <w:rFonts w:ascii="Times New Roman" w:eastAsia="Times New Roman"/>
        </w:rPr>
        <w:t>90%</w:t>
      </w:r>
      <w:r>
        <w:t>左右。</w:t>
      </w:r>
    </w:p>
    <w:p w14:paraId="667A922E">
      <w:pPr>
        <w:pStyle w:val="10"/>
        <w:spacing w:line="364" w:lineRule="auto"/>
        <w:ind w:left="620" w:right="737" w:firstLine="480"/>
        <w:jc w:val="both"/>
      </w:pPr>
      <w:r>
        <w:rPr>
          <w:rFonts w:ascii="Times New Roman" w:eastAsia="Times New Roman"/>
        </w:rPr>
        <w:t>b</w:t>
      </w:r>
      <w:r>
        <w:t>、风管：在净化系统中用以输送气流的管道称为风管，通过风管使系统的</w:t>
      </w:r>
      <w:r>
        <w:rPr>
          <w:spacing w:val="-6"/>
        </w:rPr>
        <w:t>设备和部件连成一个整体，项目风管选用密闭光滑的风管，尽量减少风阻和废气泄漏。</w:t>
      </w:r>
    </w:p>
    <w:p w14:paraId="25C8CFA9">
      <w:pPr>
        <w:pStyle w:val="10"/>
        <w:spacing w:line="364" w:lineRule="auto"/>
        <w:ind w:left="620" w:right="737" w:firstLine="480"/>
        <w:jc w:val="both"/>
      </w:pPr>
      <w:r>
        <w:rPr>
          <w:rFonts w:ascii="Times New Roman" w:eastAsia="Times New Roman"/>
        </w:rPr>
        <w:t>c</w:t>
      </w:r>
      <w:r>
        <w:t>、净化装置：为了防止大气污染，当排气中污染物含量超过排放标准时， 必须采用净化设备进行处理，达到排放标准后，才能排入大气。</w:t>
      </w:r>
    </w:p>
    <w:p w14:paraId="1D0577A5">
      <w:pPr>
        <w:spacing w:after="0" w:line="364" w:lineRule="auto"/>
        <w:jc w:val="both"/>
        <w:sectPr>
          <w:pgSz w:w="11910" w:h="16840"/>
          <w:pgMar w:top="1420" w:right="1060" w:bottom="1220" w:left="1180" w:header="0" w:footer="1024" w:gutter="0"/>
          <w:cols w:space="720" w:num="1"/>
        </w:sectPr>
      </w:pPr>
    </w:p>
    <w:p w14:paraId="0BD7E696">
      <w:pPr>
        <w:pStyle w:val="10"/>
        <w:spacing w:before="63" w:line="364" w:lineRule="auto"/>
        <w:ind w:left="620" w:right="617" w:firstLine="480"/>
      </w:pPr>
      <w:r>
        <w:rPr>
          <w:rFonts w:ascii="Times New Roman" w:eastAsia="Times New Roman"/>
        </w:rPr>
        <w:t>d</w:t>
      </w:r>
      <w:r>
        <w:rPr>
          <w:spacing w:val="-11"/>
        </w:rPr>
        <w:t>、风机：通风机是系统中气体流动的动力。为了防止通风机的磨损和腐蚀， 本项目把风机设在净化装备的后面。</w:t>
      </w:r>
    </w:p>
    <w:p w14:paraId="3C23922C">
      <w:pPr>
        <w:pStyle w:val="10"/>
        <w:spacing w:line="364" w:lineRule="auto"/>
        <w:ind w:left="620" w:right="737" w:firstLine="480"/>
      </w:pPr>
      <w:r>
        <w:rPr>
          <w:rFonts w:ascii="Times New Roman" w:eastAsia="Times New Roman"/>
        </w:rPr>
        <w:t>e</w:t>
      </w:r>
      <w:r>
        <w:t>、排气筒：排气筒是净化系统的排气装置。由于净化后的烟气中仍含有一定量的污染物，这些污染物在大气中扩散、稀释。</w:t>
      </w:r>
    </w:p>
    <w:p w14:paraId="6764C8C2">
      <w:pPr>
        <w:pStyle w:val="9"/>
        <w:spacing w:before="0" w:line="306" w:lineRule="exact"/>
        <w:ind w:left="1100"/>
      </w:pPr>
      <w:r>
        <w:rPr>
          <w:rFonts w:ascii="Times New Roman" w:eastAsia="Times New Roman"/>
        </w:rPr>
        <w:t>2</w:t>
      </w:r>
      <w:r>
        <w:t>、集气罩</w:t>
      </w:r>
    </w:p>
    <w:p w14:paraId="085DE4EB">
      <w:pPr>
        <w:pStyle w:val="10"/>
        <w:spacing w:before="7"/>
        <w:rPr>
          <w:b/>
          <w:sz w:val="18"/>
        </w:rPr>
      </w:pPr>
    </w:p>
    <w:p w14:paraId="561CDE6E">
      <w:pPr>
        <w:pStyle w:val="10"/>
        <w:spacing w:before="1" w:line="364" w:lineRule="auto"/>
        <w:ind w:left="620" w:right="624" w:firstLine="480"/>
      </w:pPr>
      <w:r>
        <w:rPr>
          <w:spacing w:val="-8"/>
        </w:rPr>
        <w:t>本项目采用密闭集气罩。其作用原理是，使污染物的扩散限制在一个很小的</w:t>
      </w:r>
      <w:r>
        <w:rPr>
          <w:spacing w:val="-12"/>
        </w:rPr>
        <w:t>密闭空间内，并通过从罩子排出一定量的空气，使罩内保持一定的负压，让罩外</w:t>
      </w:r>
      <w:r>
        <w:rPr>
          <w:spacing w:val="-16"/>
        </w:rPr>
        <w:t>的空气经罩上的缝隙流入罩内，以达到防治污染物外逸的目的。其优点是所需排</w:t>
      </w:r>
      <w:r>
        <w:rPr>
          <w:spacing w:val="-12"/>
        </w:rPr>
        <w:t>气量小，控制效果最好，且不受车间内横向气流的干扰。一般的粉尘发生源多采</w:t>
      </w:r>
      <w:r>
        <w:rPr>
          <w:spacing w:val="-2"/>
        </w:rPr>
        <w:t xml:space="preserve">用密闭罩。本项目破碎工序、混料投料工序设置密闭罩，废气收集效率按 </w:t>
      </w:r>
      <w:r>
        <w:rPr>
          <w:rFonts w:ascii="Times New Roman" w:eastAsia="Times New Roman"/>
        </w:rPr>
        <w:t xml:space="preserve">80% </w:t>
      </w:r>
      <w:r>
        <w:rPr>
          <w:spacing w:val="-9"/>
        </w:rPr>
        <w:t>计。本项目挤出造粒工序、挤出注塑工序，设置全密闭负压集气罩，将废气污染</w:t>
      </w:r>
      <w:r>
        <w:rPr>
          <w:spacing w:val="-11"/>
        </w:rPr>
        <w:t xml:space="preserve">物产生点进行密闭，生产设备及传动装置留在罩外，废气收集效率在 </w:t>
      </w:r>
      <w:r>
        <w:rPr>
          <w:rFonts w:ascii="Times New Roman" w:eastAsia="Times New Roman"/>
        </w:rPr>
        <w:t>90%</w:t>
      </w:r>
      <w:r>
        <w:t>左右。根据《挥发性有机物无组织排放控制标准》（</w:t>
      </w:r>
      <w:r>
        <w:rPr>
          <w:rFonts w:ascii="Times New Roman" w:eastAsia="Times New Roman"/>
        </w:rPr>
        <w:t>GB 37822-2019</w:t>
      </w:r>
      <w:r>
        <w:t>）要求：建设单位</w:t>
      </w:r>
      <w:r>
        <w:rPr>
          <w:spacing w:val="-18"/>
        </w:rPr>
        <w:t xml:space="preserve">应按 </w:t>
      </w:r>
      <w:r>
        <w:rPr>
          <w:rFonts w:ascii="Times New Roman" w:eastAsia="Times New Roman"/>
        </w:rPr>
        <w:t>GBT16758</w:t>
      </w:r>
      <w:r>
        <w:rPr>
          <w:spacing w:val="2"/>
        </w:rPr>
        <w:t>、</w:t>
      </w:r>
      <w:r>
        <w:rPr>
          <w:rFonts w:ascii="Times New Roman" w:eastAsia="Times New Roman"/>
        </w:rPr>
        <w:t xml:space="preserve">AQT4274-2016 </w:t>
      </w:r>
      <w:r>
        <w:rPr>
          <w:spacing w:val="-1"/>
        </w:rPr>
        <w:t xml:space="preserve">规定的方法控制排风罩开口面最远处的 </w:t>
      </w:r>
      <w:r>
        <w:rPr>
          <w:rFonts w:ascii="Times New Roman" w:eastAsia="Times New Roman"/>
        </w:rPr>
        <w:t xml:space="preserve">VOCs </w:t>
      </w:r>
      <w:r>
        <w:rPr>
          <w:spacing w:val="-5"/>
        </w:rPr>
        <w:t xml:space="preserve">无组织排放位置处风速不应低于 </w:t>
      </w:r>
      <w:r>
        <w:rPr>
          <w:rFonts w:ascii="Times New Roman" w:eastAsia="Times New Roman"/>
        </w:rPr>
        <w:t>0.3m/s</w:t>
      </w:r>
      <w:r>
        <w:t>，废气收集系统的输送管道应密闭。</w:t>
      </w:r>
    </w:p>
    <w:p w14:paraId="40C2C868">
      <w:pPr>
        <w:pStyle w:val="9"/>
        <w:spacing w:before="6"/>
        <w:ind w:left="1100"/>
      </w:pPr>
      <w:r>
        <w:rPr>
          <w:rFonts w:ascii="Times New Roman" w:eastAsia="Times New Roman"/>
        </w:rPr>
        <w:t>3</w:t>
      </w:r>
      <w:r>
        <w:t>、布袋除尘器</w:t>
      </w:r>
    </w:p>
    <w:p w14:paraId="26DCC242">
      <w:pPr>
        <w:pStyle w:val="10"/>
        <w:spacing w:before="160" w:line="364" w:lineRule="auto"/>
        <w:ind w:left="620" w:right="497" w:firstLine="480"/>
      </w:pPr>
      <w:r>
        <w:rPr>
          <w:spacing w:val="-6"/>
        </w:rPr>
        <w:t xml:space="preserve">布袋除尘器也称为过滤式除尘器，是一种干式高效除尘器，它是利用纤维编 </w:t>
      </w:r>
      <w:r>
        <w:rPr>
          <w:spacing w:val="-9"/>
        </w:rPr>
        <w:t>制物制作的袋式过滤元件来捕集含尘气体中固体颗粒物的除尘装置。其作用原理 是尘粒在绕过滤布纤维时因惯性力作用与纤维碰撞而被拦截。细微的尘粒</w:t>
      </w:r>
      <w:r>
        <w:rPr>
          <w:rFonts w:ascii="Times New Roman" w:eastAsia="Times New Roman"/>
          <w:spacing w:val="-9"/>
        </w:rPr>
        <w:t>(</w:t>
      </w:r>
      <w:r>
        <w:rPr>
          <w:spacing w:val="-9"/>
        </w:rPr>
        <w:t xml:space="preserve">粒径 </w:t>
      </w:r>
      <w:r>
        <w:rPr>
          <w:spacing w:val="-33"/>
        </w:rPr>
        <w:t xml:space="preserve">为 </w:t>
      </w:r>
      <w:r>
        <w:rPr>
          <w:rFonts w:ascii="Times New Roman" w:eastAsia="Times New Roman"/>
        </w:rPr>
        <w:t xml:space="preserve">1 </w:t>
      </w:r>
      <w:r>
        <w:t>微米或更小</w:t>
      </w:r>
      <w:r>
        <w:rPr>
          <w:rFonts w:ascii="Times New Roman" w:eastAsia="Times New Roman"/>
        </w:rPr>
        <w:t>)</w:t>
      </w:r>
      <w:r>
        <w:t>则受气体分子冲击</w:t>
      </w:r>
      <w:r>
        <w:rPr>
          <w:rFonts w:ascii="Times New Roman" w:eastAsia="Times New Roman"/>
        </w:rPr>
        <w:t>(</w:t>
      </w:r>
      <w:r>
        <w:t>布朗运动</w:t>
      </w:r>
      <w:r>
        <w:rPr>
          <w:rFonts w:ascii="Times New Roman" w:eastAsia="Times New Roman"/>
        </w:rPr>
        <w:t>)</w:t>
      </w:r>
      <w:r>
        <w:rPr>
          <w:spacing w:val="-10"/>
        </w:rPr>
        <w:t xml:space="preserve">不断改变着运动方向，由于纤维间 </w:t>
      </w:r>
      <w:r>
        <w:rPr>
          <w:spacing w:val="-15"/>
        </w:rPr>
        <w:t>的空隙小于气体分子布朗运动的自由路径，尘粒便与纤维碰撞接触而被分离出来。</w:t>
      </w:r>
      <w:r>
        <w:rPr>
          <w:spacing w:val="-18"/>
        </w:rPr>
        <w:t>含尘气体从袋式除尘器入口进入后，通过烟气分配装置均匀分配进入滤袋，当含 尘气体穿过滤袋时，粉尘即被吸附在滤料上，而被净化的气体则从滤袋内排除。</w:t>
      </w:r>
      <w:r>
        <w:rPr>
          <w:spacing w:val="-21"/>
        </w:rPr>
        <w:t xml:space="preserve">当吸附在滤料上的粉尘达到一定厚度时，电磁阀开启，喷吹空气从滤袋出口处自 </w:t>
      </w:r>
      <w:r>
        <w:rPr>
          <w:spacing w:val="-22"/>
        </w:rPr>
        <w:t>上而下与气体排除的相反方向进入滤袋，将吸附在滤袋外表面的粉尘清落至下面 的灰斗中。</w:t>
      </w:r>
    </w:p>
    <w:p w14:paraId="6D375F53">
      <w:pPr>
        <w:pStyle w:val="10"/>
        <w:spacing w:before="6" w:line="364" w:lineRule="auto"/>
        <w:ind w:left="620" w:right="737" w:firstLine="480"/>
        <w:jc w:val="both"/>
      </w:pPr>
      <w:r>
        <w:rPr>
          <w:spacing w:val="-6"/>
        </w:rPr>
        <w:t>袋式除尘器具有以下的特点：对细粉尘除尘效率高，可以用在净化要求很高</w:t>
      </w:r>
      <w:r>
        <w:rPr>
          <w:spacing w:val="-12"/>
        </w:rPr>
        <w:t>的场合；适应性强，可捕集各类性质的粉尘，且不因粉尘的比电阻等性质而影响除尘效率，适应的烟尘浓度范围广，而且当入口浓度或烟气量变化时，也不会影</w:t>
      </w:r>
      <w:r>
        <w:rPr>
          <w:spacing w:val="-15"/>
        </w:rPr>
        <w:t>响净化效率和运行阻力；规格多样、使用灵活。处理风量可由每小时几百到几百</w:t>
      </w:r>
    </w:p>
    <w:p w14:paraId="4B969ECD">
      <w:pPr>
        <w:spacing w:after="0" w:line="364" w:lineRule="auto"/>
        <w:jc w:val="both"/>
        <w:sectPr>
          <w:pgSz w:w="11910" w:h="16840"/>
          <w:pgMar w:top="1360" w:right="1060" w:bottom="1220" w:left="1180" w:header="0" w:footer="1024" w:gutter="0"/>
          <w:cols w:space="720" w:num="1"/>
        </w:sectPr>
      </w:pPr>
    </w:p>
    <w:p w14:paraId="52783368">
      <w:pPr>
        <w:pStyle w:val="10"/>
        <w:spacing w:before="42" w:line="364" w:lineRule="auto"/>
        <w:ind w:left="620" w:right="617"/>
      </w:pPr>
      <w:r>
        <w:rPr>
          <w:spacing w:val="-17"/>
        </w:rPr>
        <w:t xml:space="preserve">万立方米；便于回收物料，没有二次污染；受滤料的耐温，耐腐蚀等性能的限制， </w:t>
      </w:r>
      <w:r>
        <w:rPr>
          <w:spacing w:val="-4"/>
        </w:rPr>
        <w:t>使用温度不能过高</w:t>
      </w:r>
      <w:r>
        <w:rPr>
          <w:rFonts w:ascii="Times New Roman" w:hAnsi="Times New Roman" w:eastAsia="Times New Roman"/>
        </w:rPr>
        <w:t>(250℃</w:t>
      </w:r>
      <w:r>
        <w:rPr>
          <w:spacing w:val="0"/>
        </w:rPr>
        <w:t>以下</w:t>
      </w:r>
      <w:r>
        <w:rPr>
          <w:rFonts w:ascii="Times New Roman" w:hAnsi="Times New Roman" w:eastAsia="Times New Roman"/>
        </w:rPr>
        <w:t>)</w:t>
      </w:r>
      <w:r>
        <w:t>，有些腐蚀性气体也不能选用；在捕集粘性强及吸湿性强的粉尘或处理露点很高的烟气时，容易堵塞滤袋，影响正常工作。</w:t>
      </w:r>
    </w:p>
    <w:p w14:paraId="2A895366">
      <w:pPr>
        <w:pStyle w:val="9"/>
        <w:ind w:left="1100"/>
      </w:pPr>
      <w:r>
        <w:rPr>
          <w:rFonts w:ascii="Times New Roman" w:eastAsia="Times New Roman"/>
        </w:rPr>
        <w:t>4</w:t>
      </w:r>
      <w:r>
        <w:t>、活性炭吸附装置</w:t>
      </w:r>
    </w:p>
    <w:p w14:paraId="47E1A979">
      <w:pPr>
        <w:pStyle w:val="10"/>
        <w:spacing w:before="160" w:line="364" w:lineRule="auto"/>
        <w:ind w:left="620" w:right="645" w:firstLine="480"/>
      </w:pPr>
      <w:r>
        <w:t>活性炭是一种黑色多孔的固体炭质。早期由木材、硬果壳或兽骨等经炭化、</w:t>
      </w:r>
      <w:r>
        <w:rPr>
          <w:spacing w:val="-9"/>
        </w:rPr>
        <w:t xml:space="preserve">活化制得，后改用煤通过粉碎、成型或用均匀的煤粒经炭化、活化生产。主要成分为碳，并含少量氧、氢、硫、氮、氯等元素。普通活性炭的比表面积在 </w:t>
      </w:r>
      <w:r>
        <w:rPr>
          <w:rFonts w:ascii="Times New Roman" w:eastAsia="Times New Roman"/>
        </w:rPr>
        <w:t>500</w:t>
      </w:r>
      <w:r>
        <w:t>～</w:t>
      </w:r>
    </w:p>
    <w:p w14:paraId="053F9474">
      <w:pPr>
        <w:pStyle w:val="10"/>
        <w:spacing w:before="2" w:line="364" w:lineRule="auto"/>
        <w:ind w:left="620" w:right="617"/>
      </w:pPr>
      <w:r>
        <w:rPr>
          <w:rFonts w:ascii="Times New Roman" w:eastAsia="Times New Roman"/>
        </w:rPr>
        <w:t>1700m</w:t>
      </w:r>
      <w:r>
        <w:rPr>
          <w:rFonts w:ascii="Times New Roman" w:eastAsia="Times New Roman"/>
          <w:position w:val="8"/>
          <w:sz w:val="15"/>
        </w:rPr>
        <w:t>2</w:t>
      </w:r>
      <w:r>
        <w:rPr>
          <w:rFonts w:ascii="Times New Roman" w:eastAsia="Times New Roman"/>
        </w:rPr>
        <w:t xml:space="preserve">/g </w:t>
      </w:r>
      <w:r>
        <w:t>间，具有很强的吸附性能，吸附速度快，吸附容量高，易于再生，经</w:t>
      </w:r>
      <w:r>
        <w:rPr>
          <w:spacing w:val="-9"/>
        </w:rPr>
        <w:t>久耐用，为用途极广的一种工业吸附剂。活性炭吸附装置可处理苯类、酮类、醇</w:t>
      </w:r>
      <w:r>
        <w:rPr>
          <w:spacing w:val="-16"/>
        </w:rPr>
        <w:t>类、烷类及其混合物类有机废气，主要用于电子原件生产、电池生产、酸洗作业、</w:t>
      </w:r>
      <w:r>
        <w:rPr>
          <w:spacing w:val="-15"/>
        </w:rPr>
        <w:t>实验室排气、冶金、化工、医药、涂装、食品、酿造等废气治理，尤为适合低浓度大风量或高浓度间歇排放废气的作业环境。</w:t>
      </w:r>
    </w:p>
    <w:p w14:paraId="5B7FDBBE">
      <w:pPr>
        <w:pStyle w:val="10"/>
        <w:spacing w:before="3" w:line="364" w:lineRule="auto"/>
        <w:ind w:left="620" w:right="617" w:firstLine="480"/>
      </w:pPr>
      <w:r>
        <w:rPr>
          <w:spacing w:val="-4"/>
        </w:rPr>
        <w:t xml:space="preserve">根据《温州市生态环境局关于加强 </w:t>
      </w:r>
      <w:r>
        <w:rPr>
          <w:rFonts w:ascii="Times New Roman" w:hAnsi="Times New Roman" w:eastAsia="Times New Roman"/>
        </w:rPr>
        <w:t xml:space="preserve">2022 </w:t>
      </w:r>
      <w:r>
        <w:t>年度挥发性有机物活性炭吸附处理</w:t>
      </w:r>
      <w:r>
        <w:rPr>
          <w:spacing w:val="-7"/>
        </w:rPr>
        <w:t>设施运行管理工作的通知》</w:t>
      </w:r>
      <w:r>
        <w:rPr>
          <w:spacing w:val="-3"/>
        </w:rPr>
        <w:t>（</w:t>
      </w:r>
      <w:r>
        <w:t>温环发</w:t>
      </w:r>
      <w:r>
        <w:rPr>
          <w:rFonts w:ascii="Times New Roman" w:hAnsi="Times New Roman" w:eastAsia="Times New Roman"/>
        </w:rPr>
        <w:t xml:space="preserve">[2022]13 </w:t>
      </w:r>
      <w:r>
        <w:t>号</w:t>
      </w:r>
      <w:r>
        <w:rPr>
          <w:spacing w:val="-39"/>
        </w:rPr>
        <w:t>）</w:t>
      </w:r>
      <w:r>
        <w:rPr>
          <w:spacing w:val="-9"/>
        </w:rPr>
        <w:t xml:space="preserve">，“采用活性炭吸附处理技术， </w:t>
      </w:r>
      <w:r>
        <w:rPr>
          <w:spacing w:val="-22"/>
        </w:rPr>
        <w:t xml:space="preserve">原则上 </w:t>
      </w:r>
      <w:r>
        <w:rPr>
          <w:rFonts w:ascii="Times New Roman" w:hAnsi="Times New Roman" w:eastAsia="Times New Roman"/>
        </w:rPr>
        <w:t xml:space="preserve">VOCs </w:t>
      </w:r>
      <w:r>
        <w:rPr>
          <w:spacing w:val="-11"/>
        </w:rPr>
        <w:t xml:space="preserve">浓度不超过 </w:t>
      </w:r>
      <w:r>
        <w:rPr>
          <w:rFonts w:ascii="Times New Roman" w:hAnsi="Times New Roman" w:eastAsia="Times New Roman"/>
        </w:rPr>
        <w:t>300mg/m</w:t>
      </w:r>
      <w:r>
        <w:rPr>
          <w:rFonts w:ascii="Times New Roman" w:hAnsi="Times New Roman" w:eastAsia="Times New Roman"/>
          <w:position w:val="8"/>
          <w:sz w:val="15"/>
        </w:rPr>
        <w:t>3</w:t>
      </w:r>
      <w:r>
        <w:t>，废气中涉及颗粒物、油烟（油雾）、水分</w:t>
      </w:r>
      <w:r>
        <w:rPr>
          <w:spacing w:val="-7"/>
        </w:rPr>
        <w:t>等影响吸附过程物质的，应采取相应的预处理措施，入口废气颗粒物浓度宜低于</w:t>
      </w:r>
    </w:p>
    <w:p w14:paraId="75D23342">
      <w:pPr>
        <w:pStyle w:val="10"/>
        <w:spacing w:before="2" w:line="364" w:lineRule="auto"/>
        <w:ind w:left="620" w:right="737"/>
      </w:pPr>
      <w:r>
        <w:rPr>
          <w:rFonts w:ascii="Times New Roman" w:hAnsi="Times New Roman" w:eastAsia="Times New Roman"/>
        </w:rPr>
        <w:t>1mg/m</w:t>
      </w:r>
      <w:r>
        <w:rPr>
          <w:rFonts w:ascii="Times New Roman" w:hAnsi="Times New Roman" w:eastAsia="Times New Roman"/>
          <w:position w:val="8"/>
          <w:sz w:val="15"/>
        </w:rPr>
        <w:t>3</w:t>
      </w:r>
      <w:r>
        <w:rPr>
          <w:spacing w:val="-10"/>
        </w:rPr>
        <w:t xml:space="preserve">，温度宜低于 </w:t>
      </w:r>
      <w:r>
        <w:rPr>
          <w:rFonts w:ascii="Times New Roman" w:hAnsi="Times New Roman" w:eastAsia="Times New Roman"/>
          <w:spacing w:val="-3"/>
        </w:rPr>
        <w:t>40</w:t>
      </w:r>
      <w:r>
        <w:rPr>
          <w:spacing w:val="-4"/>
        </w:rPr>
        <w:t>℃，相对湿度</w:t>
      </w:r>
      <w:r>
        <w:rPr>
          <w:spacing w:val="-3"/>
        </w:rPr>
        <w:t>（</w:t>
      </w:r>
      <w:r>
        <w:rPr>
          <w:rFonts w:ascii="Times New Roman" w:hAnsi="Times New Roman" w:eastAsia="Times New Roman"/>
          <w:spacing w:val="-3"/>
        </w:rPr>
        <w:t>RH</w:t>
      </w:r>
      <w:r>
        <w:rPr>
          <w:spacing w:val="-3"/>
        </w:rPr>
        <w:t>）</w:t>
      </w:r>
      <w:r>
        <w:rPr>
          <w:spacing w:val="-16"/>
        </w:rPr>
        <w:t xml:space="preserve">宜低于 </w:t>
      </w:r>
      <w:r>
        <w:rPr>
          <w:rFonts w:ascii="Times New Roman" w:hAnsi="Times New Roman" w:eastAsia="Times New Roman"/>
        </w:rPr>
        <w:t>80%</w:t>
      </w:r>
      <w:r>
        <w:rPr>
          <w:spacing w:val="-6"/>
        </w:rPr>
        <w:t>。”“企业购置活性炭</w:t>
      </w:r>
      <w:r>
        <w:rPr>
          <w:spacing w:val="-15"/>
        </w:rPr>
        <w:t xml:space="preserve">必须提供活性炭质保单，确保符合质量标准。用于 </w:t>
      </w:r>
      <w:r>
        <w:rPr>
          <w:rFonts w:ascii="Times New Roman" w:hAnsi="Times New Roman" w:eastAsia="Times New Roman"/>
        </w:rPr>
        <w:t xml:space="preserve">VOCs </w:t>
      </w:r>
      <w:r>
        <w:t>处理的活性炭采用煤质</w:t>
      </w:r>
      <w:r>
        <w:rPr>
          <w:spacing w:val="-7"/>
        </w:rPr>
        <w:t>活性炭或木质活性炭，活性炭的结构宜采用颗粒活性炭，企业可优先使用符合技</w:t>
      </w:r>
      <w:r>
        <w:rPr>
          <w:spacing w:val="-13"/>
        </w:rPr>
        <w:t>术标准的可再生活性炭。活性炭技术指标宜符合《工业有机废气净化用活性炭技术指标及试验方法》</w:t>
      </w:r>
      <w:r>
        <w:rPr>
          <w:spacing w:val="-3"/>
        </w:rPr>
        <w:t>（</w:t>
      </w:r>
      <w:r>
        <w:rPr>
          <w:rFonts w:ascii="Times New Roman" w:hAnsi="Times New Roman" w:eastAsia="Times New Roman"/>
          <w:spacing w:val="-3"/>
        </w:rPr>
        <w:t>LY/T3284</w:t>
      </w:r>
      <w:r>
        <w:rPr>
          <w:spacing w:val="-3"/>
        </w:rPr>
        <w:t>）</w:t>
      </w:r>
      <w:r>
        <w:t>规定的优级品颗粒活性炭技术要求，碘吸附</w:t>
      </w:r>
      <w:r>
        <w:rPr>
          <w:spacing w:val="-13"/>
        </w:rPr>
        <w:t xml:space="preserve">值不低于 </w:t>
      </w:r>
      <w:r>
        <w:rPr>
          <w:rFonts w:ascii="Times New Roman" w:hAnsi="Times New Roman" w:eastAsia="Times New Roman"/>
        </w:rPr>
        <w:t xml:space="preserve">800mg/g </w:t>
      </w:r>
      <w:r>
        <w:rPr>
          <w:spacing w:val="-6"/>
        </w:rPr>
        <w:t xml:space="preserve">或四氯化碳吸附率不低于 </w:t>
      </w:r>
      <w:r>
        <w:rPr>
          <w:rFonts w:ascii="Times New Roman" w:hAnsi="Times New Roman" w:eastAsia="Times New Roman"/>
        </w:rPr>
        <w:t>60%</w:t>
      </w:r>
      <w:r>
        <w:t>”。本项目采用碘值不低于</w:t>
      </w:r>
      <w:r>
        <w:rPr>
          <w:rFonts w:ascii="Times New Roman" w:hAnsi="Times New Roman" w:eastAsia="Times New Roman"/>
        </w:rPr>
        <w:t>800mg</w:t>
      </w:r>
      <w:r>
        <w:rPr>
          <w:rFonts w:ascii="Times New Roman" w:hAnsi="Times New Roman" w:eastAsia="Times New Roman"/>
          <w:spacing w:val="-3"/>
        </w:rPr>
        <w:t xml:space="preserve"> </w:t>
      </w:r>
      <w:r>
        <w:rPr>
          <w:spacing w:val="-12"/>
        </w:rPr>
        <w:t xml:space="preserve">的颗粒状活性炭，每 </w:t>
      </w:r>
      <w:r>
        <w:rPr>
          <w:rFonts w:ascii="Times New Roman" w:hAnsi="Times New Roman" w:eastAsia="Times New Roman"/>
        </w:rPr>
        <w:t xml:space="preserve">10d </w:t>
      </w:r>
      <w:r>
        <w:rPr>
          <w:spacing w:val="-20"/>
        </w:rPr>
        <w:t xml:space="preserve">更换 </w:t>
      </w:r>
      <w:r>
        <w:rPr>
          <w:rFonts w:ascii="Times New Roman" w:hAnsi="Times New Roman" w:eastAsia="Times New Roman"/>
        </w:rPr>
        <w:t xml:space="preserve">1 </w:t>
      </w:r>
      <w:r>
        <w:rPr>
          <w:spacing w:val="-8"/>
        </w:rPr>
        <w:t>次，废气在进入二级活性炭吸附装置处理前，先经布袋除尘器和过滤棉去除废气中的颗粒物。</w:t>
      </w:r>
    </w:p>
    <w:p w14:paraId="28DC5233">
      <w:pPr>
        <w:pStyle w:val="10"/>
        <w:spacing w:before="5" w:line="364" w:lineRule="auto"/>
        <w:ind w:left="620" w:right="737" w:firstLine="480"/>
        <w:jc w:val="both"/>
      </w:pPr>
      <w:r>
        <w:rPr>
          <w:spacing w:val="-10"/>
        </w:rPr>
        <w:t>本项目破碎、投料混料工序产生的颗粒物，经密闭集气罩分别收集后经布袋</w:t>
      </w:r>
      <w:r>
        <w:rPr>
          <w:spacing w:val="-12"/>
        </w:rPr>
        <w:t>除尘器处理；本项目挤出造粒、挤出注塑工序产生的颗粒物和挥发性有机物、臭气浓度经密闭负压集气罩分别收集后先经布袋除尘器</w:t>
      </w:r>
      <w:r>
        <w:rPr>
          <w:rFonts w:ascii="Times New Roman" w:eastAsia="Times New Roman"/>
          <w:spacing w:val="-12"/>
        </w:rPr>
        <w:t>+</w:t>
      </w:r>
      <w:r>
        <w:rPr>
          <w:spacing w:val="-12"/>
        </w:rPr>
        <w:t>过滤棉处理，以免影响后</w:t>
      </w:r>
      <w:r>
        <w:rPr>
          <w:spacing w:val="-16"/>
        </w:rPr>
        <w:t>续二级活性炭吸附对有机废气和臭气浓度的处理效果。根据《排污许可证申请与</w:t>
      </w:r>
      <w:r>
        <w:rPr>
          <w:spacing w:val="-13"/>
        </w:rPr>
        <w:t>核发技术规范 胶和塑料制品工业》</w:t>
      </w:r>
      <w:r>
        <w:rPr>
          <w:spacing w:val="-3"/>
        </w:rPr>
        <w:t>（</w:t>
      </w:r>
      <w:r>
        <w:rPr>
          <w:rFonts w:ascii="Times New Roman" w:eastAsia="Times New Roman"/>
          <w:spacing w:val="-3"/>
        </w:rPr>
        <w:t>HJ1122-2020</w:t>
      </w:r>
      <w:r>
        <w:rPr>
          <w:spacing w:val="-3"/>
        </w:rPr>
        <w:t>）</w:t>
      </w:r>
      <w:r>
        <w:rPr>
          <w:spacing w:val="-30"/>
        </w:rPr>
        <w:t xml:space="preserve">表 </w:t>
      </w:r>
      <w:r>
        <w:rPr>
          <w:rFonts w:ascii="Times New Roman" w:eastAsia="Times New Roman"/>
        </w:rPr>
        <w:t xml:space="preserve">A.2 </w:t>
      </w:r>
      <w:r>
        <w:t>塑料制品工业排污单</w:t>
      </w:r>
    </w:p>
    <w:p w14:paraId="5736EAA4">
      <w:pPr>
        <w:spacing w:after="0" w:line="364" w:lineRule="auto"/>
        <w:jc w:val="both"/>
        <w:sectPr>
          <w:pgSz w:w="11910" w:h="16840"/>
          <w:pgMar w:top="1460" w:right="1060" w:bottom="1220" w:left="1180" w:header="0" w:footer="1024" w:gutter="0"/>
          <w:cols w:space="720" w:num="1"/>
        </w:sectPr>
      </w:pPr>
    </w:p>
    <w:p w14:paraId="66CD20E9">
      <w:pPr>
        <w:pStyle w:val="10"/>
        <w:spacing w:before="42" w:line="364" w:lineRule="auto"/>
        <w:ind w:left="620" w:right="737"/>
        <w:jc w:val="both"/>
      </w:pPr>
      <w:r>
        <w:rPr>
          <w:spacing w:val="-7"/>
        </w:rPr>
        <w:t>位废气污染防治可行技术参考表，非甲烷总烃和臭气浓度采用吸附处理属于可行</w:t>
      </w:r>
      <w:r>
        <w:rPr>
          <w:spacing w:val="-10"/>
        </w:rPr>
        <w:t>技术，颗粒物采用袋式除尘处理属于可行技术，因此本项目有组织废气污染防治措施具有可行性。</w:t>
      </w:r>
    </w:p>
    <w:p w14:paraId="72D1122B">
      <w:pPr>
        <w:pStyle w:val="9"/>
        <w:spacing w:before="0" w:line="233" w:lineRule="exact"/>
        <w:ind w:left="2626"/>
      </w:pPr>
      <w:r>
        <w:rPr>
          <w:spacing w:val="-31"/>
        </w:rPr>
        <w:t xml:space="preserve">表 </w:t>
      </w:r>
      <w:r>
        <w:rPr>
          <w:rFonts w:ascii="Times New Roman" w:eastAsia="Times New Roman"/>
        </w:rPr>
        <w:t>5.1-2</w:t>
      </w:r>
      <w:r>
        <w:rPr>
          <w:rFonts w:ascii="Times New Roman" w:eastAsia="Times New Roman"/>
          <w:spacing w:val="58"/>
        </w:rPr>
        <w:t xml:space="preserve"> </w:t>
      </w:r>
      <w:r>
        <w:t>项目废气处理措施可行性一览表</w:t>
      </w:r>
    </w:p>
    <w:tbl>
      <w:tblPr>
        <w:tblStyle w:val="13"/>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76"/>
        <w:gridCol w:w="1015"/>
        <w:gridCol w:w="933"/>
        <w:gridCol w:w="1417"/>
        <w:gridCol w:w="2317"/>
        <w:gridCol w:w="861"/>
      </w:tblGrid>
      <w:tr w14:paraId="730FE7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0" w:hRule="atLeast"/>
        </w:trPr>
        <w:tc>
          <w:tcPr>
            <w:tcW w:w="1976" w:type="dxa"/>
            <w:tcBorders>
              <w:left w:val="nil"/>
              <w:bottom w:val="single" w:color="000000" w:sz="4" w:space="0"/>
              <w:right w:val="single" w:color="000000" w:sz="4" w:space="0"/>
            </w:tcBorders>
          </w:tcPr>
          <w:p w14:paraId="5BD35902">
            <w:pPr>
              <w:pStyle w:val="17"/>
              <w:jc w:val="left"/>
              <w:rPr>
                <w:b/>
                <w:sz w:val="20"/>
              </w:rPr>
            </w:pPr>
          </w:p>
          <w:p w14:paraId="08D4E72E">
            <w:pPr>
              <w:pStyle w:val="17"/>
              <w:jc w:val="left"/>
              <w:rPr>
                <w:b/>
                <w:sz w:val="20"/>
              </w:rPr>
            </w:pPr>
          </w:p>
          <w:p w14:paraId="66D4280F">
            <w:pPr>
              <w:pStyle w:val="17"/>
              <w:spacing w:before="132"/>
              <w:ind w:left="583"/>
              <w:jc w:val="left"/>
              <w:rPr>
                <w:sz w:val="21"/>
              </w:rPr>
            </w:pPr>
            <w:r>
              <w:rPr>
                <w:sz w:val="21"/>
              </w:rPr>
              <w:t>产污环节</w:t>
            </w:r>
          </w:p>
        </w:tc>
        <w:tc>
          <w:tcPr>
            <w:tcW w:w="1015" w:type="dxa"/>
            <w:tcBorders>
              <w:left w:val="single" w:color="000000" w:sz="4" w:space="0"/>
              <w:bottom w:val="single" w:color="000000" w:sz="4" w:space="0"/>
              <w:right w:val="single" w:color="000000" w:sz="4" w:space="0"/>
            </w:tcBorders>
          </w:tcPr>
          <w:p w14:paraId="293086BE">
            <w:pPr>
              <w:pStyle w:val="17"/>
              <w:jc w:val="left"/>
              <w:rPr>
                <w:b/>
                <w:sz w:val="20"/>
              </w:rPr>
            </w:pPr>
          </w:p>
          <w:p w14:paraId="453820E5">
            <w:pPr>
              <w:pStyle w:val="17"/>
              <w:spacing w:before="1"/>
              <w:jc w:val="left"/>
              <w:rPr>
                <w:b/>
                <w:sz w:val="18"/>
              </w:rPr>
            </w:pPr>
          </w:p>
          <w:p w14:paraId="10C6F46F">
            <w:pPr>
              <w:pStyle w:val="17"/>
              <w:spacing w:before="1" w:line="278" w:lineRule="auto"/>
              <w:ind w:left="306" w:right="173" w:hanging="106"/>
              <w:jc w:val="left"/>
              <w:rPr>
                <w:sz w:val="21"/>
              </w:rPr>
            </w:pPr>
            <w:r>
              <w:rPr>
                <w:sz w:val="21"/>
              </w:rPr>
              <w:t>污染物种类</w:t>
            </w:r>
          </w:p>
        </w:tc>
        <w:tc>
          <w:tcPr>
            <w:tcW w:w="933" w:type="dxa"/>
            <w:tcBorders>
              <w:left w:val="single" w:color="000000" w:sz="4" w:space="0"/>
              <w:bottom w:val="single" w:color="000000" w:sz="4" w:space="0"/>
              <w:right w:val="single" w:color="000000" w:sz="4" w:space="0"/>
            </w:tcBorders>
          </w:tcPr>
          <w:p w14:paraId="41A5C963">
            <w:pPr>
              <w:pStyle w:val="17"/>
              <w:jc w:val="left"/>
              <w:rPr>
                <w:b/>
                <w:sz w:val="20"/>
              </w:rPr>
            </w:pPr>
          </w:p>
          <w:p w14:paraId="7958C2FA">
            <w:pPr>
              <w:pStyle w:val="17"/>
              <w:spacing w:before="1"/>
              <w:jc w:val="left"/>
              <w:rPr>
                <w:b/>
                <w:sz w:val="18"/>
              </w:rPr>
            </w:pPr>
          </w:p>
          <w:p w14:paraId="4A4984EF">
            <w:pPr>
              <w:pStyle w:val="17"/>
              <w:spacing w:before="1" w:line="278" w:lineRule="auto"/>
              <w:ind w:left="160" w:right="132"/>
              <w:jc w:val="left"/>
              <w:rPr>
                <w:sz w:val="21"/>
              </w:rPr>
            </w:pPr>
            <w:r>
              <w:rPr>
                <w:w w:val="95"/>
                <w:sz w:val="21"/>
              </w:rPr>
              <w:t>过程控制技术</w:t>
            </w:r>
          </w:p>
        </w:tc>
        <w:tc>
          <w:tcPr>
            <w:tcW w:w="1417" w:type="dxa"/>
            <w:tcBorders>
              <w:left w:val="single" w:color="000000" w:sz="4" w:space="0"/>
              <w:bottom w:val="single" w:color="000000" w:sz="4" w:space="0"/>
              <w:right w:val="single" w:color="000000" w:sz="4" w:space="0"/>
            </w:tcBorders>
          </w:tcPr>
          <w:p w14:paraId="34D7D554">
            <w:pPr>
              <w:pStyle w:val="17"/>
              <w:jc w:val="left"/>
              <w:rPr>
                <w:b/>
                <w:sz w:val="20"/>
              </w:rPr>
            </w:pPr>
          </w:p>
          <w:p w14:paraId="79238BFD">
            <w:pPr>
              <w:pStyle w:val="17"/>
              <w:spacing w:before="1"/>
              <w:jc w:val="left"/>
              <w:rPr>
                <w:b/>
                <w:sz w:val="18"/>
              </w:rPr>
            </w:pPr>
          </w:p>
          <w:p w14:paraId="7DCDB97A">
            <w:pPr>
              <w:pStyle w:val="17"/>
              <w:spacing w:before="1" w:line="278" w:lineRule="auto"/>
              <w:ind w:left="611" w:right="164" w:hanging="420"/>
              <w:jc w:val="left"/>
              <w:rPr>
                <w:sz w:val="21"/>
              </w:rPr>
            </w:pPr>
            <w:r>
              <w:rPr>
                <w:sz w:val="21"/>
              </w:rPr>
              <w:t>污染治理设施</w:t>
            </w:r>
          </w:p>
        </w:tc>
        <w:tc>
          <w:tcPr>
            <w:tcW w:w="2317" w:type="dxa"/>
            <w:tcBorders>
              <w:left w:val="single" w:color="000000" w:sz="4" w:space="0"/>
              <w:bottom w:val="single" w:color="000000" w:sz="4" w:space="0"/>
              <w:right w:val="single" w:color="000000" w:sz="4" w:space="0"/>
            </w:tcBorders>
          </w:tcPr>
          <w:p w14:paraId="5421C338">
            <w:pPr>
              <w:pStyle w:val="17"/>
              <w:spacing w:before="20" w:line="278" w:lineRule="auto"/>
              <w:ind w:left="116" w:right="90"/>
              <w:rPr>
                <w:sz w:val="21"/>
              </w:rPr>
            </w:pPr>
            <w:r>
              <w:rPr>
                <w:w w:val="95"/>
                <w:sz w:val="21"/>
              </w:rPr>
              <w:t>《排污许可证申请与核</w:t>
            </w:r>
            <w:r>
              <w:rPr>
                <w:sz w:val="21"/>
              </w:rPr>
              <w:t>发技术规范 橡胶和塑料制品工业》</w:t>
            </w:r>
          </w:p>
          <w:p w14:paraId="738AABBF">
            <w:pPr>
              <w:pStyle w:val="17"/>
              <w:spacing w:line="269" w:lineRule="exact"/>
              <w:ind w:left="66" w:right="41"/>
              <w:rPr>
                <w:sz w:val="21"/>
              </w:rPr>
            </w:pPr>
            <w:r>
              <w:rPr>
                <w:spacing w:val="1"/>
                <w:w w:val="99"/>
                <w:sz w:val="21"/>
              </w:rPr>
              <w:t>（</w:t>
            </w:r>
            <w:r>
              <w:rPr>
                <w:rFonts w:ascii="Times New Roman" w:eastAsia="Times New Roman"/>
                <w:w w:val="99"/>
                <w:sz w:val="21"/>
              </w:rPr>
              <w:t>HJ</w:t>
            </w:r>
            <w:r>
              <w:rPr>
                <w:rFonts w:ascii="Times New Roman" w:eastAsia="Times New Roman"/>
                <w:spacing w:val="-4"/>
                <w:w w:val="99"/>
                <w:sz w:val="21"/>
              </w:rPr>
              <w:t>1</w:t>
            </w:r>
            <w:r>
              <w:rPr>
                <w:rFonts w:ascii="Times New Roman" w:eastAsia="Times New Roman"/>
                <w:spacing w:val="-2"/>
                <w:w w:val="99"/>
                <w:sz w:val="21"/>
              </w:rPr>
              <w:t>1</w:t>
            </w:r>
            <w:r>
              <w:rPr>
                <w:rFonts w:ascii="Times New Roman" w:eastAsia="Times New Roman"/>
                <w:spacing w:val="0"/>
                <w:w w:val="99"/>
                <w:sz w:val="21"/>
              </w:rPr>
              <w:t>2</w:t>
            </w:r>
            <w:r>
              <w:rPr>
                <w:rFonts w:ascii="Times New Roman" w:eastAsia="Times New Roman"/>
                <w:spacing w:val="-2"/>
                <w:w w:val="99"/>
                <w:sz w:val="21"/>
              </w:rPr>
              <w:t>2</w:t>
            </w:r>
            <w:r>
              <w:rPr>
                <w:rFonts w:ascii="Times New Roman" w:eastAsia="Times New Roman"/>
                <w:spacing w:val="-1"/>
                <w:w w:val="99"/>
                <w:sz w:val="21"/>
              </w:rPr>
              <w:t>-</w:t>
            </w:r>
            <w:r>
              <w:rPr>
                <w:rFonts w:ascii="Times New Roman" w:eastAsia="Times New Roman"/>
                <w:spacing w:val="0"/>
                <w:w w:val="99"/>
                <w:sz w:val="21"/>
              </w:rPr>
              <w:t>202</w:t>
            </w:r>
            <w:r>
              <w:rPr>
                <w:rFonts w:ascii="Times New Roman" w:eastAsia="Times New Roman"/>
                <w:spacing w:val="-2"/>
                <w:w w:val="99"/>
                <w:sz w:val="21"/>
              </w:rPr>
              <w:t>0</w:t>
            </w:r>
            <w:r>
              <w:rPr>
                <w:spacing w:val="-85"/>
                <w:w w:val="99"/>
                <w:sz w:val="21"/>
              </w:rPr>
              <w:t>）</w:t>
            </w:r>
            <w:r>
              <w:rPr>
                <w:w w:val="99"/>
                <w:sz w:val="21"/>
              </w:rPr>
              <w:t>中废气</w:t>
            </w:r>
          </w:p>
          <w:p w14:paraId="6B305F02">
            <w:pPr>
              <w:pStyle w:val="17"/>
              <w:spacing w:before="43"/>
              <w:ind w:left="115" w:right="90"/>
              <w:rPr>
                <w:sz w:val="21"/>
              </w:rPr>
            </w:pPr>
            <w:r>
              <w:rPr>
                <w:sz w:val="21"/>
              </w:rPr>
              <w:t>污染防治可行技术</w:t>
            </w:r>
          </w:p>
        </w:tc>
        <w:tc>
          <w:tcPr>
            <w:tcW w:w="861" w:type="dxa"/>
            <w:tcBorders>
              <w:left w:val="single" w:color="000000" w:sz="4" w:space="0"/>
              <w:bottom w:val="single" w:color="000000" w:sz="4" w:space="0"/>
              <w:right w:val="nil"/>
            </w:tcBorders>
          </w:tcPr>
          <w:p w14:paraId="02F20F86">
            <w:pPr>
              <w:pStyle w:val="17"/>
              <w:spacing w:before="12"/>
              <w:jc w:val="left"/>
              <w:rPr>
                <w:b/>
                <w:sz w:val="25"/>
              </w:rPr>
            </w:pPr>
          </w:p>
          <w:p w14:paraId="05DE9817">
            <w:pPr>
              <w:pStyle w:val="17"/>
              <w:spacing w:line="278" w:lineRule="auto"/>
              <w:ind w:left="125" w:right="100"/>
              <w:jc w:val="both"/>
              <w:rPr>
                <w:sz w:val="21"/>
              </w:rPr>
            </w:pPr>
            <w:r>
              <w:rPr>
                <w:w w:val="95"/>
                <w:sz w:val="21"/>
              </w:rPr>
              <w:t>是否属于可行</w:t>
            </w:r>
            <w:r>
              <w:rPr>
                <w:sz w:val="21"/>
              </w:rPr>
              <w:t>技术</w:t>
            </w:r>
          </w:p>
        </w:tc>
      </w:tr>
      <w:tr w14:paraId="00D20C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trPr>
        <w:tc>
          <w:tcPr>
            <w:tcW w:w="1976" w:type="dxa"/>
            <w:vMerge w:val="restart"/>
            <w:tcBorders>
              <w:top w:val="single" w:color="000000" w:sz="4" w:space="0"/>
              <w:left w:val="nil"/>
              <w:right w:val="single" w:color="000000" w:sz="4" w:space="0"/>
            </w:tcBorders>
          </w:tcPr>
          <w:p w14:paraId="32A9718D">
            <w:pPr>
              <w:pStyle w:val="17"/>
              <w:spacing w:before="20" w:line="278" w:lineRule="auto"/>
              <w:ind w:left="163" w:right="128"/>
              <w:jc w:val="both"/>
              <w:rPr>
                <w:sz w:val="21"/>
              </w:rPr>
            </w:pPr>
            <w:r>
              <w:rPr>
                <w:w w:val="95"/>
                <w:sz w:val="21"/>
              </w:rPr>
              <w:t xml:space="preserve">塑料薄膜制造，塑料板、管、型材制造，塑料丝、绳及编制品制造，泡沫塑料制造，塑料包装箱及容器制造， </w:t>
            </w:r>
            <w:r>
              <w:rPr>
                <w:sz w:val="21"/>
              </w:rPr>
              <w:t>日用塑料制品制</w:t>
            </w:r>
          </w:p>
          <w:p w14:paraId="542B9877">
            <w:pPr>
              <w:pStyle w:val="17"/>
              <w:spacing w:line="278" w:lineRule="auto"/>
              <w:ind w:left="122" w:right="-29"/>
              <w:rPr>
                <w:sz w:val="21"/>
              </w:rPr>
            </w:pPr>
            <w:r>
              <w:rPr>
                <w:spacing w:val="-5"/>
                <w:w w:val="95"/>
                <w:sz w:val="21"/>
              </w:rPr>
              <w:t xml:space="preserve">造，人造草坪制造， </w:t>
            </w:r>
            <w:r>
              <w:rPr>
                <w:spacing w:val="-5"/>
                <w:sz w:val="21"/>
              </w:rPr>
              <w:t>塑料零件及其他塑</w:t>
            </w:r>
          </w:p>
          <w:p w14:paraId="58D8852B">
            <w:pPr>
              <w:pStyle w:val="17"/>
              <w:spacing w:line="269" w:lineRule="exact"/>
              <w:ind w:left="122" w:right="92"/>
              <w:rPr>
                <w:sz w:val="21"/>
              </w:rPr>
            </w:pPr>
            <w:r>
              <w:rPr>
                <w:sz w:val="21"/>
              </w:rPr>
              <w:t>料制品制造废气</w:t>
            </w:r>
          </w:p>
        </w:tc>
        <w:tc>
          <w:tcPr>
            <w:tcW w:w="1015" w:type="dxa"/>
            <w:tcBorders>
              <w:top w:val="single" w:color="000000" w:sz="4" w:space="0"/>
              <w:left w:val="single" w:color="000000" w:sz="4" w:space="0"/>
              <w:bottom w:val="single" w:color="000000" w:sz="4" w:space="0"/>
              <w:right w:val="single" w:color="000000" w:sz="4" w:space="0"/>
            </w:tcBorders>
          </w:tcPr>
          <w:p w14:paraId="5106A012">
            <w:pPr>
              <w:pStyle w:val="17"/>
              <w:spacing w:before="176"/>
              <w:ind w:left="200"/>
              <w:jc w:val="left"/>
              <w:rPr>
                <w:sz w:val="21"/>
              </w:rPr>
            </w:pPr>
            <w:r>
              <w:rPr>
                <w:sz w:val="21"/>
              </w:rPr>
              <w:t>颗粒物</w:t>
            </w:r>
          </w:p>
        </w:tc>
        <w:tc>
          <w:tcPr>
            <w:tcW w:w="933" w:type="dxa"/>
            <w:vMerge w:val="restart"/>
            <w:tcBorders>
              <w:top w:val="single" w:color="000000" w:sz="4" w:space="0"/>
              <w:left w:val="single" w:color="000000" w:sz="4" w:space="0"/>
              <w:right w:val="single" w:color="000000" w:sz="4" w:space="0"/>
            </w:tcBorders>
          </w:tcPr>
          <w:p w14:paraId="19B279F9">
            <w:pPr>
              <w:pStyle w:val="17"/>
              <w:jc w:val="left"/>
              <w:rPr>
                <w:b/>
                <w:sz w:val="20"/>
              </w:rPr>
            </w:pPr>
          </w:p>
          <w:p w14:paraId="5CF9CA64">
            <w:pPr>
              <w:pStyle w:val="17"/>
              <w:jc w:val="left"/>
              <w:rPr>
                <w:b/>
                <w:sz w:val="20"/>
              </w:rPr>
            </w:pPr>
          </w:p>
          <w:p w14:paraId="5A69AD3E">
            <w:pPr>
              <w:pStyle w:val="17"/>
              <w:spacing w:before="131" w:line="278" w:lineRule="auto"/>
              <w:ind w:left="160" w:right="132"/>
              <w:rPr>
                <w:sz w:val="21"/>
              </w:rPr>
            </w:pPr>
            <w:r>
              <w:rPr>
                <w:w w:val="95"/>
                <w:sz w:val="21"/>
              </w:rPr>
              <w:t>溶剂替代密闭过程密闭场所局部收</w:t>
            </w:r>
            <w:r>
              <w:rPr>
                <w:sz w:val="21"/>
              </w:rPr>
              <w:t>集</w:t>
            </w:r>
          </w:p>
        </w:tc>
        <w:tc>
          <w:tcPr>
            <w:tcW w:w="1417" w:type="dxa"/>
            <w:vMerge w:val="restart"/>
            <w:tcBorders>
              <w:top w:val="single" w:color="000000" w:sz="4" w:space="0"/>
              <w:left w:val="single" w:color="000000" w:sz="4" w:space="0"/>
              <w:right w:val="single" w:color="000000" w:sz="4" w:space="0"/>
            </w:tcBorders>
          </w:tcPr>
          <w:p w14:paraId="69430C6E">
            <w:pPr>
              <w:pStyle w:val="17"/>
              <w:spacing w:before="11"/>
              <w:jc w:val="left"/>
              <w:rPr>
                <w:b/>
                <w:sz w:val="25"/>
              </w:rPr>
            </w:pPr>
          </w:p>
          <w:p w14:paraId="4DCED024">
            <w:pPr>
              <w:pStyle w:val="17"/>
              <w:spacing w:line="278" w:lineRule="auto"/>
              <w:ind w:left="117" w:right="87"/>
              <w:rPr>
                <w:sz w:val="21"/>
              </w:rPr>
            </w:pPr>
            <w:r>
              <w:rPr>
                <w:w w:val="95"/>
                <w:sz w:val="21"/>
              </w:rPr>
              <w:t>破碎、投料粉尘：布袋除尘</w:t>
            </w:r>
            <w:r>
              <w:rPr>
                <w:sz w:val="21"/>
              </w:rPr>
              <w:t>器；</w:t>
            </w:r>
          </w:p>
          <w:p w14:paraId="0A3F84A7">
            <w:pPr>
              <w:pStyle w:val="17"/>
              <w:spacing w:line="278" w:lineRule="auto"/>
              <w:ind w:left="117" w:right="29" w:hanging="58"/>
              <w:rPr>
                <w:sz w:val="21"/>
              </w:rPr>
            </w:pPr>
            <w:r>
              <w:rPr>
                <w:sz w:val="21"/>
              </w:rPr>
              <w:t>挤出造粒、挤</w:t>
            </w:r>
            <w:r>
              <w:rPr>
                <w:w w:val="95"/>
                <w:sz w:val="21"/>
              </w:rPr>
              <w:t xml:space="preserve">出注塑废气： </w:t>
            </w:r>
            <w:r>
              <w:rPr>
                <w:sz w:val="21"/>
              </w:rPr>
              <w:t>布袋除尘器</w:t>
            </w:r>
            <w:r>
              <w:rPr>
                <w:rFonts w:ascii="Times New Roman" w:eastAsia="Times New Roman"/>
                <w:sz w:val="21"/>
              </w:rPr>
              <w:t xml:space="preserve">+ </w:t>
            </w:r>
            <w:r>
              <w:rPr>
                <w:sz w:val="21"/>
              </w:rPr>
              <w:t>过滤棉</w:t>
            </w:r>
            <w:r>
              <w:rPr>
                <w:rFonts w:ascii="Times New Roman" w:eastAsia="Times New Roman"/>
                <w:sz w:val="21"/>
              </w:rPr>
              <w:t>+</w:t>
            </w:r>
            <w:r>
              <w:rPr>
                <w:sz w:val="21"/>
              </w:rPr>
              <w:t>二级活性炭吸附</w:t>
            </w:r>
          </w:p>
        </w:tc>
        <w:tc>
          <w:tcPr>
            <w:tcW w:w="2317" w:type="dxa"/>
            <w:tcBorders>
              <w:top w:val="single" w:color="000000" w:sz="4" w:space="0"/>
              <w:left w:val="single" w:color="000000" w:sz="4" w:space="0"/>
              <w:bottom w:val="single" w:color="000000" w:sz="4" w:space="0"/>
              <w:right w:val="single" w:color="000000" w:sz="4" w:space="0"/>
            </w:tcBorders>
          </w:tcPr>
          <w:p w14:paraId="25ABF044">
            <w:pPr>
              <w:pStyle w:val="17"/>
              <w:spacing w:before="20"/>
              <w:ind w:left="66" w:right="41"/>
              <w:rPr>
                <w:sz w:val="21"/>
              </w:rPr>
            </w:pPr>
            <w:r>
              <w:rPr>
                <w:sz w:val="21"/>
              </w:rPr>
              <w:t>袋式除尘；滤筒</w:t>
            </w:r>
            <w:r>
              <w:rPr>
                <w:rFonts w:ascii="Times New Roman" w:eastAsia="Times New Roman"/>
                <w:sz w:val="21"/>
              </w:rPr>
              <w:t>/</w:t>
            </w:r>
            <w:r>
              <w:rPr>
                <w:sz w:val="21"/>
              </w:rPr>
              <w:t>滤芯除</w:t>
            </w:r>
          </w:p>
          <w:p w14:paraId="760B52AA">
            <w:pPr>
              <w:pStyle w:val="17"/>
              <w:spacing w:before="43" w:line="262" w:lineRule="exact"/>
              <w:ind w:left="26"/>
              <w:rPr>
                <w:sz w:val="21"/>
              </w:rPr>
            </w:pPr>
            <w:r>
              <w:rPr>
                <w:w w:val="99"/>
                <w:sz w:val="21"/>
              </w:rPr>
              <w:t>尘</w:t>
            </w:r>
          </w:p>
        </w:tc>
        <w:tc>
          <w:tcPr>
            <w:tcW w:w="861" w:type="dxa"/>
            <w:tcBorders>
              <w:top w:val="single" w:color="000000" w:sz="4" w:space="0"/>
              <w:left w:val="single" w:color="000000" w:sz="4" w:space="0"/>
              <w:bottom w:val="single" w:color="000000" w:sz="4" w:space="0"/>
              <w:right w:val="nil"/>
            </w:tcBorders>
          </w:tcPr>
          <w:p w14:paraId="713983E6">
            <w:pPr>
              <w:pStyle w:val="17"/>
              <w:spacing w:before="176"/>
              <w:ind w:left="20"/>
              <w:rPr>
                <w:sz w:val="21"/>
              </w:rPr>
            </w:pPr>
            <w:r>
              <w:rPr>
                <w:w w:val="99"/>
                <w:sz w:val="21"/>
              </w:rPr>
              <w:t>是</w:t>
            </w:r>
          </w:p>
        </w:tc>
      </w:tr>
      <w:tr w14:paraId="3A7A0F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3" w:hRule="atLeast"/>
        </w:trPr>
        <w:tc>
          <w:tcPr>
            <w:tcW w:w="1976" w:type="dxa"/>
            <w:vMerge w:val="continue"/>
            <w:tcBorders>
              <w:top w:val="nil"/>
              <w:left w:val="nil"/>
              <w:right w:val="single" w:color="000000" w:sz="4" w:space="0"/>
            </w:tcBorders>
          </w:tcPr>
          <w:p w14:paraId="514DB51B">
            <w:pPr>
              <w:rPr>
                <w:sz w:val="2"/>
                <w:szCs w:val="2"/>
              </w:rPr>
            </w:pPr>
          </w:p>
        </w:tc>
        <w:tc>
          <w:tcPr>
            <w:tcW w:w="1015" w:type="dxa"/>
            <w:tcBorders>
              <w:top w:val="single" w:color="000000" w:sz="4" w:space="0"/>
              <w:left w:val="single" w:color="000000" w:sz="4" w:space="0"/>
              <w:bottom w:val="single" w:color="000000" w:sz="4" w:space="0"/>
              <w:right w:val="single" w:color="000000" w:sz="4" w:space="0"/>
            </w:tcBorders>
          </w:tcPr>
          <w:p w14:paraId="609A702F">
            <w:pPr>
              <w:pStyle w:val="17"/>
              <w:spacing w:before="12"/>
              <w:ind w:left="180" w:right="155"/>
              <w:rPr>
                <w:sz w:val="21"/>
              </w:rPr>
            </w:pPr>
            <w:r>
              <w:rPr>
                <w:sz w:val="21"/>
              </w:rPr>
              <w:t>非甲烷</w:t>
            </w:r>
          </w:p>
          <w:p w14:paraId="5AFA93F3">
            <w:pPr>
              <w:pStyle w:val="17"/>
              <w:spacing w:before="43" w:line="260" w:lineRule="exact"/>
              <w:ind w:left="180" w:right="155"/>
              <w:rPr>
                <w:sz w:val="21"/>
              </w:rPr>
            </w:pPr>
            <w:r>
              <w:rPr>
                <w:sz w:val="21"/>
              </w:rPr>
              <w:t>总烃</w:t>
            </w:r>
          </w:p>
        </w:tc>
        <w:tc>
          <w:tcPr>
            <w:tcW w:w="933" w:type="dxa"/>
            <w:vMerge w:val="continue"/>
            <w:tcBorders>
              <w:top w:val="nil"/>
              <w:left w:val="single" w:color="000000" w:sz="4" w:space="0"/>
              <w:right w:val="single" w:color="000000" w:sz="4" w:space="0"/>
            </w:tcBorders>
          </w:tcPr>
          <w:p w14:paraId="54511FBA">
            <w:pPr>
              <w:rPr>
                <w:sz w:val="2"/>
                <w:szCs w:val="2"/>
              </w:rPr>
            </w:pPr>
          </w:p>
        </w:tc>
        <w:tc>
          <w:tcPr>
            <w:tcW w:w="1417" w:type="dxa"/>
            <w:vMerge w:val="continue"/>
            <w:tcBorders>
              <w:top w:val="nil"/>
              <w:left w:val="single" w:color="000000" w:sz="4" w:space="0"/>
              <w:right w:val="single" w:color="000000" w:sz="4" w:space="0"/>
            </w:tcBorders>
          </w:tcPr>
          <w:p w14:paraId="0E418A4B">
            <w:pPr>
              <w:rPr>
                <w:sz w:val="2"/>
                <w:szCs w:val="2"/>
              </w:rPr>
            </w:pPr>
          </w:p>
        </w:tc>
        <w:tc>
          <w:tcPr>
            <w:tcW w:w="2317" w:type="dxa"/>
            <w:tcBorders>
              <w:top w:val="single" w:color="000000" w:sz="4" w:space="0"/>
              <w:left w:val="single" w:color="000000" w:sz="4" w:space="0"/>
              <w:bottom w:val="single" w:color="000000" w:sz="4" w:space="0"/>
              <w:right w:val="single" w:color="000000" w:sz="4" w:space="0"/>
            </w:tcBorders>
          </w:tcPr>
          <w:p w14:paraId="5C1CAC86">
            <w:pPr>
              <w:pStyle w:val="17"/>
              <w:spacing w:before="12"/>
              <w:ind w:left="64" w:right="41"/>
              <w:rPr>
                <w:sz w:val="21"/>
              </w:rPr>
            </w:pPr>
            <w:r>
              <w:rPr>
                <w:sz w:val="21"/>
              </w:rPr>
              <w:t>喷淋；吸附；吸附浓缩</w:t>
            </w:r>
          </w:p>
          <w:p w14:paraId="41620F5A">
            <w:pPr>
              <w:pStyle w:val="17"/>
              <w:spacing w:before="43" w:line="260" w:lineRule="exact"/>
              <w:ind w:left="115" w:right="90"/>
              <w:rPr>
                <w:sz w:val="21"/>
              </w:rPr>
            </w:pPr>
            <w:r>
              <w:rPr>
                <w:rFonts w:ascii="Times New Roman" w:eastAsia="Times New Roman"/>
                <w:sz w:val="21"/>
              </w:rPr>
              <w:t>+</w:t>
            </w:r>
            <w:r>
              <w:rPr>
                <w:sz w:val="21"/>
              </w:rPr>
              <w:t>热力燃烧</w:t>
            </w:r>
            <w:r>
              <w:rPr>
                <w:rFonts w:ascii="Times New Roman" w:eastAsia="Times New Roman"/>
                <w:sz w:val="21"/>
              </w:rPr>
              <w:t>/</w:t>
            </w:r>
            <w:r>
              <w:rPr>
                <w:sz w:val="21"/>
              </w:rPr>
              <w:t>催化燃烧</w:t>
            </w:r>
          </w:p>
        </w:tc>
        <w:tc>
          <w:tcPr>
            <w:tcW w:w="861" w:type="dxa"/>
            <w:tcBorders>
              <w:top w:val="single" w:color="000000" w:sz="4" w:space="0"/>
              <w:left w:val="single" w:color="000000" w:sz="4" w:space="0"/>
              <w:bottom w:val="single" w:color="000000" w:sz="4" w:space="0"/>
              <w:right w:val="nil"/>
            </w:tcBorders>
          </w:tcPr>
          <w:p w14:paraId="7ED0B129">
            <w:pPr>
              <w:pStyle w:val="17"/>
              <w:spacing w:before="168"/>
              <w:ind w:left="20"/>
              <w:rPr>
                <w:sz w:val="21"/>
              </w:rPr>
            </w:pPr>
            <w:r>
              <w:rPr>
                <w:w w:val="99"/>
                <w:sz w:val="21"/>
              </w:rPr>
              <w:t>是</w:t>
            </w:r>
          </w:p>
        </w:tc>
      </w:tr>
      <w:tr w14:paraId="193ACA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41" w:hRule="atLeast"/>
        </w:trPr>
        <w:tc>
          <w:tcPr>
            <w:tcW w:w="1976" w:type="dxa"/>
            <w:vMerge w:val="continue"/>
            <w:tcBorders>
              <w:top w:val="nil"/>
              <w:left w:val="nil"/>
              <w:right w:val="single" w:color="000000" w:sz="4" w:space="0"/>
            </w:tcBorders>
          </w:tcPr>
          <w:p w14:paraId="448A9BA3">
            <w:pPr>
              <w:rPr>
                <w:sz w:val="2"/>
                <w:szCs w:val="2"/>
              </w:rPr>
            </w:pPr>
          </w:p>
        </w:tc>
        <w:tc>
          <w:tcPr>
            <w:tcW w:w="1015" w:type="dxa"/>
            <w:tcBorders>
              <w:top w:val="single" w:color="000000" w:sz="4" w:space="0"/>
              <w:left w:val="single" w:color="000000" w:sz="4" w:space="0"/>
              <w:right w:val="single" w:color="000000" w:sz="4" w:space="0"/>
            </w:tcBorders>
          </w:tcPr>
          <w:p w14:paraId="4283ED4E">
            <w:pPr>
              <w:pStyle w:val="17"/>
              <w:spacing w:before="6"/>
              <w:jc w:val="left"/>
              <w:rPr>
                <w:b/>
                <w:sz w:val="24"/>
              </w:rPr>
            </w:pPr>
          </w:p>
          <w:p w14:paraId="798F9D08">
            <w:pPr>
              <w:pStyle w:val="17"/>
              <w:spacing w:line="278" w:lineRule="auto"/>
              <w:ind w:left="116" w:right="89" w:hanging="1"/>
              <w:rPr>
                <w:sz w:val="21"/>
              </w:rPr>
            </w:pPr>
            <w:r>
              <w:rPr>
                <w:sz w:val="21"/>
              </w:rPr>
              <w:t>臭气浓</w:t>
            </w:r>
            <w:r>
              <w:rPr>
                <w:spacing w:val="-11"/>
                <w:w w:val="95"/>
                <w:sz w:val="21"/>
              </w:rPr>
              <w:t>度、恶臭</w:t>
            </w:r>
            <w:r>
              <w:rPr>
                <w:spacing w:val="-11"/>
                <w:sz w:val="21"/>
              </w:rPr>
              <w:t>特征物质</w:t>
            </w:r>
          </w:p>
        </w:tc>
        <w:tc>
          <w:tcPr>
            <w:tcW w:w="933" w:type="dxa"/>
            <w:vMerge w:val="continue"/>
            <w:tcBorders>
              <w:top w:val="nil"/>
              <w:left w:val="single" w:color="000000" w:sz="4" w:space="0"/>
              <w:right w:val="single" w:color="000000" w:sz="4" w:space="0"/>
            </w:tcBorders>
          </w:tcPr>
          <w:p w14:paraId="6195FD9A">
            <w:pPr>
              <w:rPr>
                <w:sz w:val="2"/>
                <w:szCs w:val="2"/>
              </w:rPr>
            </w:pPr>
          </w:p>
        </w:tc>
        <w:tc>
          <w:tcPr>
            <w:tcW w:w="1417" w:type="dxa"/>
            <w:vMerge w:val="continue"/>
            <w:tcBorders>
              <w:top w:val="nil"/>
              <w:left w:val="single" w:color="000000" w:sz="4" w:space="0"/>
              <w:right w:val="single" w:color="000000" w:sz="4" w:space="0"/>
            </w:tcBorders>
          </w:tcPr>
          <w:p w14:paraId="5C4149F3">
            <w:pPr>
              <w:rPr>
                <w:sz w:val="2"/>
                <w:szCs w:val="2"/>
              </w:rPr>
            </w:pPr>
          </w:p>
        </w:tc>
        <w:tc>
          <w:tcPr>
            <w:tcW w:w="2317" w:type="dxa"/>
            <w:tcBorders>
              <w:top w:val="single" w:color="000000" w:sz="4" w:space="0"/>
              <w:left w:val="single" w:color="000000" w:sz="4" w:space="0"/>
              <w:right w:val="single" w:color="000000" w:sz="4" w:space="0"/>
            </w:tcBorders>
          </w:tcPr>
          <w:p w14:paraId="67086E5A">
            <w:pPr>
              <w:pStyle w:val="17"/>
              <w:spacing w:before="6"/>
              <w:jc w:val="left"/>
              <w:rPr>
                <w:b/>
                <w:sz w:val="24"/>
              </w:rPr>
            </w:pPr>
          </w:p>
          <w:p w14:paraId="6B6EA56E">
            <w:pPr>
              <w:pStyle w:val="17"/>
              <w:spacing w:line="278" w:lineRule="auto"/>
              <w:ind w:left="116" w:right="88" w:hanging="3"/>
              <w:rPr>
                <w:sz w:val="21"/>
              </w:rPr>
            </w:pPr>
            <w:r>
              <w:rPr>
                <w:w w:val="95"/>
                <w:sz w:val="21"/>
              </w:rPr>
              <w:t>喷淋、吸附、低温等离</w:t>
            </w:r>
            <w:r>
              <w:rPr>
                <w:sz w:val="21"/>
              </w:rPr>
              <w:t>子体、</w:t>
            </w:r>
            <w:r>
              <w:rPr>
                <w:rFonts w:ascii="Times New Roman" w:eastAsia="Times New Roman"/>
                <w:sz w:val="21"/>
              </w:rPr>
              <w:t xml:space="preserve">UV </w:t>
            </w:r>
            <w:r>
              <w:rPr>
                <w:sz w:val="21"/>
              </w:rPr>
              <w:t>光氧化</w:t>
            </w:r>
            <w:r>
              <w:rPr>
                <w:rFonts w:ascii="Times New Roman" w:eastAsia="Times New Roman"/>
                <w:sz w:val="21"/>
              </w:rPr>
              <w:t>/</w:t>
            </w:r>
            <w:r>
              <w:rPr>
                <w:sz w:val="21"/>
              </w:rPr>
              <w:t>光催</w:t>
            </w:r>
            <w:r>
              <w:rPr>
                <w:w w:val="95"/>
                <w:sz w:val="21"/>
              </w:rPr>
              <w:t>化、生物法两种及以上</w:t>
            </w:r>
            <w:r>
              <w:rPr>
                <w:sz w:val="21"/>
              </w:rPr>
              <w:t>组合技术</w:t>
            </w:r>
          </w:p>
        </w:tc>
        <w:tc>
          <w:tcPr>
            <w:tcW w:w="861" w:type="dxa"/>
            <w:tcBorders>
              <w:top w:val="single" w:color="000000" w:sz="4" w:space="0"/>
              <w:left w:val="single" w:color="000000" w:sz="4" w:space="0"/>
              <w:right w:val="nil"/>
            </w:tcBorders>
          </w:tcPr>
          <w:p w14:paraId="5497A3F7">
            <w:pPr>
              <w:pStyle w:val="17"/>
              <w:jc w:val="left"/>
              <w:rPr>
                <w:b/>
                <w:sz w:val="20"/>
              </w:rPr>
            </w:pPr>
          </w:p>
          <w:p w14:paraId="5FBEC610">
            <w:pPr>
              <w:pStyle w:val="17"/>
              <w:jc w:val="left"/>
              <w:rPr>
                <w:b/>
                <w:sz w:val="20"/>
              </w:rPr>
            </w:pPr>
          </w:p>
          <w:p w14:paraId="1887F264">
            <w:pPr>
              <w:pStyle w:val="17"/>
              <w:jc w:val="left"/>
              <w:rPr>
                <w:b/>
                <w:sz w:val="21"/>
              </w:rPr>
            </w:pPr>
          </w:p>
          <w:p w14:paraId="7B52457A">
            <w:pPr>
              <w:pStyle w:val="17"/>
              <w:ind w:left="20"/>
              <w:rPr>
                <w:sz w:val="21"/>
              </w:rPr>
            </w:pPr>
            <w:r>
              <w:rPr>
                <w:w w:val="99"/>
                <w:sz w:val="21"/>
              </w:rPr>
              <w:t>是</w:t>
            </w:r>
          </w:p>
        </w:tc>
      </w:tr>
    </w:tbl>
    <w:p w14:paraId="4E1478CC">
      <w:pPr>
        <w:pStyle w:val="10"/>
        <w:spacing w:before="81"/>
        <w:ind w:left="1100"/>
      </w:pPr>
      <w:r>
        <w:t>另外建设单位还应采取以下措施：</w:t>
      </w:r>
    </w:p>
    <w:p w14:paraId="3697F1E9">
      <w:pPr>
        <w:pStyle w:val="10"/>
        <w:spacing w:before="160" w:line="364" w:lineRule="auto"/>
        <w:ind w:left="620" w:right="737" w:firstLine="480"/>
        <w:jc w:val="both"/>
      </w:pPr>
      <w:r>
        <w:rPr>
          <w:spacing w:val="-7"/>
        </w:rPr>
        <w:t>①企业应考虑生产工艺、操作方式、废气性质、处理方法等因素，对工艺废</w:t>
      </w:r>
      <w:r>
        <w:rPr>
          <w:spacing w:val="-13"/>
        </w:rPr>
        <w:t>气进行分类收集、分类处理或预处理，严禁经污染控制设施处理后的废气与其他</w:t>
      </w:r>
      <w:r>
        <w:rPr>
          <w:spacing w:val="-17"/>
        </w:rPr>
        <w:t>未经处理的废气混合后直接排放，严禁经污染控制设施处理后的废气与空气混合后稀释排放。</w:t>
      </w:r>
    </w:p>
    <w:p w14:paraId="0EBF24BF">
      <w:pPr>
        <w:pStyle w:val="10"/>
        <w:spacing w:before="3" w:line="364" w:lineRule="auto"/>
        <w:ind w:left="620" w:right="737" w:firstLine="480"/>
        <w:jc w:val="both"/>
      </w:pPr>
      <w:r>
        <w:t>② 环保设施应先于其对应的生产设施运转，后于对应设施关闭，保证在生</w:t>
      </w:r>
      <w:r>
        <w:rPr>
          <w:spacing w:val="-5"/>
        </w:rPr>
        <w:t>产设施运行波动情况下仍能正常运转，实现达标排放。产生大气污染物的生产工</w:t>
      </w:r>
      <w:r>
        <w:rPr>
          <w:spacing w:val="-9"/>
        </w:rPr>
        <w:t>艺和装置需设立局部或整体气体收集系统和净化处理装置，集气方向应与污染气流运动方向一致。</w:t>
      </w:r>
    </w:p>
    <w:p w14:paraId="7A9B2048">
      <w:pPr>
        <w:pStyle w:val="10"/>
        <w:spacing w:before="2" w:line="364" w:lineRule="auto"/>
        <w:ind w:left="620" w:right="621" w:firstLine="480"/>
      </w:pPr>
      <w:r>
        <w:rPr>
          <w:spacing w:val="-10"/>
        </w:rPr>
        <w:t>③废气收集系统的输送管道应密闭，在负压下运行。废气收集系统排风罩</w:t>
      </w:r>
      <w:r>
        <w:rPr>
          <w:rFonts w:ascii="Times New Roman" w:hAnsi="Times New Roman" w:eastAsia="Times New Roman"/>
        </w:rPr>
        <w:t>(</w:t>
      </w:r>
      <w:r>
        <w:t>集气罩</w:t>
      </w:r>
      <w:r>
        <w:rPr>
          <w:rFonts w:ascii="Times New Roman" w:hAnsi="Times New Roman" w:eastAsia="Times New Roman"/>
        </w:rPr>
        <w:t>)</w:t>
      </w:r>
      <w:r>
        <w:rPr>
          <w:spacing w:val="-1"/>
        </w:rPr>
        <w:t xml:space="preserve">的设置应符合 </w:t>
      </w:r>
      <w:r>
        <w:rPr>
          <w:rFonts w:ascii="Times New Roman" w:hAnsi="Times New Roman" w:eastAsia="Times New Roman"/>
        </w:rPr>
        <w:t>GB/T 16758</w:t>
      </w:r>
      <w:r>
        <w:rPr>
          <w:rFonts w:ascii="Times New Roman" w:hAnsi="Times New Roman" w:eastAsia="Times New Roman"/>
          <w:spacing w:val="56"/>
        </w:rPr>
        <w:t xml:space="preserve"> </w:t>
      </w:r>
      <w:r>
        <w:rPr>
          <w:spacing w:val="-8"/>
        </w:rPr>
        <w:t>的规定。采用外部排风罩的，应按</w:t>
      </w:r>
      <w:r>
        <w:rPr>
          <w:rFonts w:ascii="Times New Roman" w:hAnsi="Times New Roman" w:eastAsia="Times New Roman"/>
        </w:rPr>
        <w:t>GB/T 16758</w:t>
      </w:r>
      <w:r>
        <w:t>、</w:t>
      </w:r>
      <w:r>
        <w:rPr>
          <w:rFonts w:ascii="Times New Roman" w:hAnsi="Times New Roman" w:eastAsia="Times New Roman"/>
        </w:rPr>
        <w:t>AO/T 274</w:t>
      </w:r>
      <w:r>
        <w:t>规定的方法测量控制风速。</w:t>
      </w:r>
    </w:p>
    <w:p w14:paraId="688B875E">
      <w:pPr>
        <w:pStyle w:val="10"/>
        <w:spacing w:before="2" w:line="364" w:lineRule="auto"/>
        <w:ind w:left="620" w:right="645" w:firstLine="480"/>
      </w:pPr>
      <w:r>
        <w:t>④ 废气收集处理系统应与生产工艺设备同步运行。废气收集处理系统发生故障或检修时，对应的生产工艺设备应停止运行，待检修完毕后同步投入使用； 生产工艺设备不能停止运行或不能及时停止运行的，应设置废气应急处理设施或采取其他替代措施。</w:t>
      </w:r>
    </w:p>
    <w:p w14:paraId="5AE78383">
      <w:pPr>
        <w:spacing w:after="0" w:line="364" w:lineRule="auto"/>
        <w:sectPr>
          <w:footerReference r:id="rId35" w:type="default"/>
          <w:pgSz w:w="11910" w:h="16840"/>
          <w:pgMar w:top="1460" w:right="1060" w:bottom="1220" w:left="1180" w:header="0" w:footer="1024" w:gutter="0"/>
          <w:pgNumType w:start="160"/>
          <w:cols w:space="720" w:num="1"/>
        </w:sectPr>
      </w:pPr>
    </w:p>
    <w:p w14:paraId="1E250542">
      <w:pPr>
        <w:pStyle w:val="10"/>
        <w:spacing w:before="42" w:line="364" w:lineRule="auto"/>
        <w:ind w:left="620" w:right="737" w:firstLine="480"/>
        <w:jc w:val="both"/>
      </w:pPr>
      <w:r>
        <w:rPr>
          <w:spacing w:val="-6"/>
        </w:rPr>
        <w:t>⑤所有治理设施应制定操作规程，明确各项运行参数，实际运行参数应与操作规程致。使用吸附技术治理挥发性有机物时，应记录吸附剂的使用</w:t>
      </w:r>
      <w:r>
        <w:rPr>
          <w:rFonts w:ascii="Times New Roman" w:hAnsi="Times New Roman" w:eastAsia="Times New Roman"/>
          <w:spacing w:val="-6"/>
        </w:rPr>
        <w:t>/</w:t>
      </w:r>
      <w:r>
        <w:rPr>
          <w:spacing w:val="-6"/>
        </w:rPr>
        <w:t>更换量、更换</w:t>
      </w:r>
      <w:r>
        <w:rPr>
          <w:rFonts w:ascii="Times New Roman" w:hAnsi="Times New Roman" w:eastAsia="Times New Roman"/>
          <w:spacing w:val="-6"/>
        </w:rPr>
        <w:t>/</w:t>
      </w:r>
      <w:r>
        <w:rPr>
          <w:spacing w:val="-6"/>
        </w:rPr>
        <w:t>再生周期，操作温度应满足设计参数的要求，更换的吸附材料按危险废物处置。</w:t>
      </w:r>
    </w:p>
    <w:p w14:paraId="1AC48FE4">
      <w:pPr>
        <w:pStyle w:val="16"/>
        <w:numPr>
          <w:ilvl w:val="2"/>
          <w:numId w:val="26"/>
        </w:numPr>
        <w:tabs>
          <w:tab w:val="left" w:pos="1249"/>
        </w:tabs>
        <w:spacing w:before="56" w:after="0" w:line="240" w:lineRule="auto"/>
        <w:ind w:left="1248" w:right="0" w:hanging="628"/>
        <w:jc w:val="left"/>
        <w:rPr>
          <w:b/>
          <w:sz w:val="28"/>
        </w:rPr>
      </w:pPr>
      <w:r>
        <w:rPr>
          <w:b/>
          <w:sz w:val="28"/>
        </w:rPr>
        <w:t>无组织废气污染防治措施</w:t>
      </w:r>
    </w:p>
    <w:p w14:paraId="464AC136">
      <w:pPr>
        <w:pStyle w:val="10"/>
        <w:spacing w:before="132" w:line="364" w:lineRule="auto"/>
        <w:ind w:left="620" w:right="737" w:firstLine="480"/>
        <w:jc w:val="both"/>
      </w:pPr>
      <w:r>
        <w:rPr>
          <w:spacing w:val="-5"/>
        </w:rPr>
        <w:t>无组织排放贯穿于项目生产始终，包括物料破碎、投料混料、挤出造粒、挤</w:t>
      </w:r>
      <w:r>
        <w:rPr>
          <w:spacing w:val="-12"/>
        </w:rPr>
        <w:t>出注塑等过程，正常生产情况下，近距离厂界周围浓度主要由无组织排放源强控</w:t>
      </w:r>
      <w:r>
        <w:rPr>
          <w:spacing w:val="-10"/>
        </w:rPr>
        <w:t>制。为控制无组织废气的排放量，必须以清洁生产为指导思想，对生产全过程进</w:t>
      </w:r>
      <w:r>
        <w:rPr>
          <w:spacing w:val="-11"/>
        </w:rPr>
        <w:t>行分析，本项目调查废气无组织排放的各个环节，并针对各主要排放环节提出相应改进措施，以减少废气无组织排放量。</w:t>
      </w:r>
    </w:p>
    <w:p w14:paraId="690EAD92">
      <w:pPr>
        <w:pStyle w:val="10"/>
        <w:spacing w:line="362" w:lineRule="auto"/>
        <w:ind w:left="620" w:right="673" w:firstLine="480"/>
      </w:pPr>
      <w:r>
        <w:rPr>
          <w:rFonts w:ascii="Times New Roman" w:eastAsia="Times New Roman"/>
        </w:rPr>
        <w:t>1</w:t>
      </w:r>
      <w:r>
        <w:t xml:space="preserve">、本项目使用废 </w:t>
      </w:r>
      <w:r>
        <w:rPr>
          <w:rFonts w:ascii="Times New Roman" w:eastAsia="Times New Roman"/>
        </w:rPr>
        <w:t xml:space="preserve">PE </w:t>
      </w:r>
      <w:r>
        <w:t>塑料采用吨袋装，</w:t>
      </w:r>
      <w:r>
        <w:rPr>
          <w:rFonts w:ascii="Times New Roman" w:eastAsia="Times New Roman"/>
        </w:rPr>
        <w:t xml:space="preserve">PE </w:t>
      </w:r>
      <w:r>
        <w:t>塑料颗粒、色母粒等颗粒状原料采用袋装，钙粉、稳定剂、</w:t>
      </w:r>
      <w:r>
        <w:rPr>
          <w:rFonts w:ascii="Times New Roman" w:eastAsia="Times New Roman"/>
        </w:rPr>
        <w:t xml:space="preserve">PE </w:t>
      </w:r>
      <w:r>
        <w:t>蜡、调节剂等粉状原料采用包装袋进行储存。</w:t>
      </w:r>
    </w:p>
    <w:p w14:paraId="0924919A">
      <w:pPr>
        <w:pStyle w:val="10"/>
        <w:spacing w:before="4" w:line="364" w:lineRule="auto"/>
        <w:ind w:left="620" w:right="740" w:firstLine="480"/>
      </w:pPr>
      <w:r>
        <w:rPr>
          <w:rFonts w:ascii="Times New Roman" w:eastAsia="Times New Roman"/>
        </w:rPr>
        <w:t>2</w:t>
      </w:r>
      <w:r>
        <w:t>、本项目原辅料均储存在室内，不露天堆放，且在非取用状态时加盖、封口、保持密闭。</w:t>
      </w:r>
    </w:p>
    <w:p w14:paraId="118E5937">
      <w:pPr>
        <w:pStyle w:val="10"/>
        <w:spacing w:line="364" w:lineRule="auto"/>
        <w:ind w:left="620" w:right="617" w:firstLine="480"/>
      </w:pPr>
      <w:r>
        <w:rPr>
          <w:rFonts w:ascii="Times New Roman" w:eastAsia="Times New Roman"/>
        </w:rPr>
        <w:t>3</w:t>
      </w:r>
      <w:r>
        <w:rPr>
          <w:spacing w:val="-5"/>
        </w:rPr>
        <w:t>、本项目在配料等设备的投料口设置为负压吸料口，</w:t>
      </w:r>
      <w:r>
        <w:rPr>
          <w:rFonts w:ascii="Times New Roman" w:eastAsia="Times New Roman"/>
          <w:spacing w:val="-4"/>
        </w:rPr>
        <w:t xml:space="preserve">VOCs </w:t>
      </w:r>
      <w:r>
        <w:t>物料挤出造粒、</w:t>
      </w:r>
      <w:r>
        <w:rPr>
          <w:spacing w:val="-6"/>
        </w:rPr>
        <w:t>挤出注塑等工序均在封闭设备进行，出口无法密闭处采用密闭集气罩或密闭负压</w:t>
      </w:r>
      <w:r>
        <w:rPr>
          <w:spacing w:val="-12"/>
        </w:rPr>
        <w:t>集气罩进行密闭收集，后进入废气处理系统进行处理。所有废气收集系统应采用</w:t>
      </w:r>
      <w:r>
        <w:rPr>
          <w:spacing w:val="-16"/>
        </w:rPr>
        <w:t>技术经济合理的密闭方式，具有耐腐、气密性好的特性，同时考虑具备阻燃和抗静电等性能，并结合其他专业设备的运行、维护需要。</w:t>
      </w:r>
    </w:p>
    <w:p w14:paraId="472CAB7E">
      <w:pPr>
        <w:pStyle w:val="10"/>
        <w:spacing w:line="364" w:lineRule="auto"/>
        <w:ind w:left="620" w:right="617" w:firstLine="480"/>
      </w:pPr>
      <w:r>
        <w:rPr>
          <w:rFonts w:ascii="Times New Roman" w:eastAsia="Times New Roman"/>
        </w:rPr>
        <w:t>4</w:t>
      </w:r>
      <w:r>
        <w:rPr>
          <w:spacing w:val="-3"/>
        </w:rPr>
        <w:t>、载有挥发性有机物物料的设备及其管道在开停工</w:t>
      </w:r>
      <w:r>
        <w:rPr>
          <w:rFonts w:ascii="Times New Roman" w:eastAsia="Times New Roman"/>
        </w:rPr>
        <w:t>(</w:t>
      </w:r>
      <w:r>
        <w:t>车</w:t>
      </w:r>
      <w:r>
        <w:rPr>
          <w:rFonts w:ascii="Times New Roman" w:eastAsia="Times New Roman"/>
        </w:rPr>
        <w:t>)</w:t>
      </w:r>
      <w:r>
        <w:rPr>
          <w:spacing w:val="-2"/>
        </w:rPr>
        <w:t xml:space="preserve">、检维修和清洗时， </w:t>
      </w:r>
      <w:r>
        <w:rPr>
          <w:spacing w:val="-8"/>
        </w:rPr>
        <w:t>应在退料阶段将残存物料退净，并用密闭容器盛装，退料过程废气应排至挥发性</w:t>
      </w:r>
      <w:r>
        <w:rPr>
          <w:spacing w:val="-14"/>
        </w:rPr>
        <w:t>有机物废气收集处理系统；清洗及吹扫过程排气应排至挥发性有机物废气收集处理系统。</w:t>
      </w:r>
    </w:p>
    <w:p w14:paraId="63AAD5C4">
      <w:pPr>
        <w:pStyle w:val="10"/>
        <w:spacing w:line="362" w:lineRule="auto"/>
        <w:ind w:left="620" w:right="740" w:firstLine="480"/>
      </w:pPr>
      <w:r>
        <w:rPr>
          <w:rFonts w:ascii="Times New Roman" w:eastAsia="Times New Roman"/>
        </w:rPr>
        <w:t>5</w:t>
      </w:r>
      <w:r>
        <w:t>、加强对操作人员的管理，提高废气的收集效率，保持废气处理设施正常运转。</w:t>
      </w:r>
    </w:p>
    <w:p w14:paraId="149B5484">
      <w:pPr>
        <w:pStyle w:val="10"/>
        <w:ind w:left="1100"/>
      </w:pPr>
      <w:r>
        <w:t>根据《排污许可证申请与核发技术规范 胶和塑料制品工业》（</w:t>
      </w:r>
      <w:r>
        <w:rPr>
          <w:rFonts w:ascii="Times New Roman" w:eastAsia="Times New Roman"/>
        </w:rPr>
        <w:t>HJ1122-2020</w:t>
      </w:r>
      <w:r>
        <w:t>）</w:t>
      </w:r>
    </w:p>
    <w:p w14:paraId="2E554230">
      <w:pPr>
        <w:pStyle w:val="10"/>
        <w:spacing w:before="157" w:line="364" w:lineRule="auto"/>
        <w:ind w:left="620" w:right="683"/>
      </w:pPr>
      <w:r>
        <w:t>“</w:t>
      </w:r>
      <w:r>
        <w:rPr>
          <w:rFonts w:ascii="Times New Roman" w:hAnsi="Times New Roman" w:eastAsia="Times New Roman"/>
        </w:rPr>
        <w:t xml:space="preserve">5.3.3.2.2 </w:t>
      </w:r>
      <w:r>
        <w:t>无组织排放”章节要求，本项目在采取上述无组织排放控制要求可有效地减少原料和产品在生产过程中的无组织气体的排放。</w:t>
      </w:r>
    </w:p>
    <w:p w14:paraId="185FF3B8">
      <w:pPr>
        <w:pStyle w:val="16"/>
        <w:numPr>
          <w:ilvl w:val="2"/>
          <w:numId w:val="26"/>
        </w:numPr>
        <w:tabs>
          <w:tab w:val="left" w:pos="1249"/>
        </w:tabs>
        <w:spacing w:before="132" w:after="0" w:line="240" w:lineRule="auto"/>
        <w:ind w:left="1248" w:right="0" w:hanging="628"/>
        <w:jc w:val="left"/>
        <w:rPr>
          <w:b/>
          <w:sz w:val="28"/>
        </w:rPr>
      </w:pPr>
      <w:r>
        <w:rPr>
          <w:b/>
          <w:sz w:val="28"/>
        </w:rPr>
        <w:t>废气达标排放可行性分析</w:t>
      </w:r>
    </w:p>
    <w:p w14:paraId="0883B1DB">
      <w:pPr>
        <w:spacing w:after="0" w:line="240" w:lineRule="auto"/>
        <w:jc w:val="left"/>
        <w:rPr>
          <w:sz w:val="28"/>
        </w:rPr>
        <w:sectPr>
          <w:pgSz w:w="11910" w:h="16840"/>
          <w:pgMar w:top="1460" w:right="1060" w:bottom="1220" w:left="1180" w:header="0" w:footer="1024" w:gutter="0"/>
          <w:cols w:space="720" w:num="1"/>
        </w:sectPr>
      </w:pPr>
    </w:p>
    <w:p w14:paraId="6B355FC3">
      <w:pPr>
        <w:pStyle w:val="10"/>
        <w:spacing w:before="63"/>
        <w:ind w:left="1100"/>
      </w:pPr>
      <w:r>
        <w:rPr>
          <w:rFonts w:ascii="Times New Roman" w:eastAsia="Times New Roman"/>
        </w:rPr>
        <w:t>1</w:t>
      </w:r>
      <w:r>
        <w:t>、颗粒物</w:t>
      </w:r>
    </w:p>
    <w:p w14:paraId="5C0284B2">
      <w:pPr>
        <w:pStyle w:val="10"/>
        <w:spacing w:before="160" w:line="364" w:lineRule="auto"/>
        <w:ind w:left="620" w:right="737" w:firstLine="480"/>
        <w:jc w:val="both"/>
      </w:pPr>
      <w:r>
        <w:t>本项目破碎粉尘、投料混料粉尘采用“密闭集气罩</w:t>
      </w:r>
      <w:r>
        <w:rPr>
          <w:rFonts w:ascii="Times New Roman" w:hAnsi="Times New Roman" w:eastAsia="Times New Roman"/>
        </w:rPr>
        <w:t>+</w:t>
      </w:r>
      <w:r>
        <w:t>布袋除尘器”处理，</w:t>
      </w:r>
      <w:r>
        <w:rPr>
          <w:rFonts w:ascii="Times New Roman" w:hAnsi="Times New Roman" w:eastAsia="Times New Roman"/>
        </w:rPr>
        <w:t xml:space="preserve">+ </w:t>
      </w:r>
      <w:r>
        <w:t>本项目挤出造粒、挤出注塑废气中的颗粒物采用“密闭集气罩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rPr>
          <w:spacing w:val="-1"/>
        </w:rPr>
        <w:t>二级活性炭吸附”净化工艺处理，根据《排放源统计调查产排污核算方法</w:t>
      </w:r>
      <w:r>
        <w:t>和系数手册》</w:t>
      </w:r>
      <w:r>
        <w:rPr>
          <w:spacing w:val="2"/>
        </w:rPr>
        <w:t xml:space="preserve">（公告 </w:t>
      </w:r>
      <w:r>
        <w:rPr>
          <w:rFonts w:ascii="Times New Roman" w:hAnsi="Times New Roman" w:eastAsia="Times New Roman"/>
        </w:rPr>
        <w:t xml:space="preserve">2021 </w:t>
      </w:r>
      <w:r>
        <w:rPr>
          <w:spacing w:val="5"/>
        </w:rPr>
        <w:t xml:space="preserve">年第 </w:t>
      </w:r>
      <w:r>
        <w:rPr>
          <w:rFonts w:ascii="Times New Roman" w:hAnsi="Times New Roman" w:eastAsia="Times New Roman"/>
        </w:rPr>
        <w:t xml:space="preserve">24 </w:t>
      </w:r>
      <w:r>
        <w:t>号）中塑料制品行业系数手册</w:t>
      </w:r>
      <w:r>
        <w:rPr>
          <w:rFonts w:ascii="Times New Roman" w:hAnsi="Times New Roman" w:eastAsia="Times New Roman"/>
        </w:rPr>
        <w:t xml:space="preserve">——2922 </w:t>
      </w:r>
      <w:r>
        <w:t>塑</w:t>
      </w:r>
      <w:r>
        <w:rPr>
          <w:spacing w:val="-12"/>
        </w:rPr>
        <w:t xml:space="preserve">料板、管、型材制造行业系数表可知，采用布袋除尘器去除效率为 </w:t>
      </w:r>
      <w:r>
        <w:rPr>
          <w:rFonts w:ascii="Times New Roman" w:hAnsi="Times New Roman" w:eastAsia="Times New Roman"/>
          <w:spacing w:val="-7"/>
        </w:rPr>
        <w:t>99%</w:t>
      </w:r>
      <w:r>
        <w:rPr>
          <w:spacing w:val="-3"/>
        </w:rPr>
        <w:t>，经处理</w:t>
      </w:r>
      <w:r>
        <w:rPr>
          <w:spacing w:val="22"/>
        </w:rPr>
        <w:t>后颗粒物排放浓度和速率均达到《</w:t>
      </w:r>
      <w:r>
        <w:fldChar w:fldCharType="begin"/>
      </w:r>
      <w:r>
        <w:instrText xml:space="preserve"> HYPERLINK "https://www.mee.gov.cn/ywgz/fgbz/bz/bzwb/dqhjbh/dqgdwrywrwpfbz/201505/W020150506393371746579.pdf" \h </w:instrText>
      </w:r>
      <w:r>
        <w:fldChar w:fldCharType="separate"/>
      </w:r>
      <w:r>
        <w:rPr>
          <w:spacing w:val="22"/>
        </w:rPr>
        <w:t>合成树脂工业污染物排放标准</w:t>
      </w:r>
      <w:r>
        <w:rPr>
          <w:spacing w:val="22"/>
        </w:rPr>
        <w:fldChar w:fldCharType="end"/>
      </w:r>
      <w:r>
        <w:rPr>
          <w:spacing w:val="25"/>
        </w:rPr>
        <w:t>》</w:t>
      </w:r>
      <w:r>
        <w:t>（</w:t>
      </w:r>
      <w:r>
        <w:rPr>
          <w:spacing w:val="-78"/>
        </w:rPr>
        <w:t xml:space="preserve"> </w:t>
      </w:r>
      <w:r>
        <w:rPr>
          <w:rFonts w:ascii="Times New Roman" w:hAnsi="Times New Roman" w:eastAsia="Times New Roman"/>
        </w:rPr>
        <w:t>GB 31572-2015</w:t>
      </w:r>
      <w:r>
        <w:t>）</w:t>
      </w:r>
      <w:r>
        <w:rPr>
          <w:spacing w:val="-16"/>
        </w:rPr>
        <w:t xml:space="preserve">及其 </w:t>
      </w:r>
      <w:r>
        <w:rPr>
          <w:rFonts w:ascii="Times New Roman" w:hAnsi="Times New Roman" w:eastAsia="Times New Roman"/>
        </w:rPr>
        <w:t xml:space="preserve">2024 </w:t>
      </w:r>
      <w:r>
        <w:rPr>
          <w:spacing w:val="-8"/>
        </w:rPr>
        <w:t xml:space="preserve">年修改单表 </w:t>
      </w:r>
      <w:r>
        <w:rPr>
          <w:rFonts w:ascii="Times New Roman" w:hAnsi="Times New Roman" w:eastAsia="Times New Roman"/>
        </w:rPr>
        <w:t xml:space="preserve">4 </w:t>
      </w:r>
      <w:r>
        <w:t>大气污染物排放限值要求，处理效果具有可行性。</w:t>
      </w:r>
    </w:p>
    <w:p w14:paraId="64C8C1BD">
      <w:pPr>
        <w:pStyle w:val="10"/>
        <w:spacing w:line="303" w:lineRule="exact"/>
        <w:ind w:left="1100"/>
      </w:pPr>
      <w:r>
        <w:rPr>
          <w:rFonts w:ascii="Times New Roman" w:eastAsia="Times New Roman"/>
        </w:rPr>
        <w:t>2</w:t>
      </w:r>
      <w:r>
        <w:t>、挥发性有机物</w:t>
      </w:r>
    </w:p>
    <w:p w14:paraId="68E8D89A">
      <w:pPr>
        <w:pStyle w:val="10"/>
        <w:spacing w:before="158" w:line="364" w:lineRule="auto"/>
        <w:ind w:left="620" w:right="737" w:firstLine="480"/>
      </w:pPr>
      <w:r>
        <w:t>本项目挤出造粒、挤出注塑废气中挥发性有机物采用“密闭负压集气罩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rPr>
          <w:spacing w:val="-3"/>
        </w:rPr>
        <w:t>二级活性炭吸附”工艺处理，根据《关于印发</w:t>
      </w:r>
      <w:r>
        <w:rPr>
          <w:rFonts w:ascii="Times New Roman" w:hAnsi="Times New Roman" w:eastAsia="Times New Roman"/>
        </w:rPr>
        <w:t>&lt;</w:t>
      </w:r>
      <w:r>
        <w:t>主要污染物总量减排核算技术指南（</w:t>
      </w:r>
      <w:r>
        <w:rPr>
          <w:rFonts w:ascii="Times New Roman" w:hAnsi="Times New Roman" w:eastAsia="Times New Roman"/>
        </w:rPr>
        <w:t xml:space="preserve">2022 </w:t>
      </w:r>
      <w:r>
        <w:t>年修订）</w:t>
      </w:r>
      <w:r>
        <w:rPr>
          <w:rFonts w:ascii="Times New Roman" w:hAnsi="Times New Roman" w:eastAsia="Times New Roman"/>
        </w:rPr>
        <w:t>&gt;</w:t>
      </w:r>
      <w:r>
        <w:t>的通知》（环办综合函〔</w:t>
      </w:r>
      <w:r>
        <w:rPr>
          <w:rFonts w:ascii="Times New Roman" w:hAnsi="Times New Roman" w:eastAsia="Times New Roman"/>
        </w:rPr>
        <w:t>2022</w:t>
      </w:r>
      <w:r>
        <w:t>〕</w:t>
      </w:r>
      <w:r>
        <w:rPr>
          <w:rFonts w:ascii="Times New Roman" w:hAnsi="Times New Roman" w:eastAsia="Times New Roman"/>
        </w:rPr>
        <w:t xml:space="preserve">350 </w:t>
      </w:r>
      <w:r>
        <w:t xml:space="preserve">号） </w:t>
      </w:r>
      <w:r>
        <w:rPr>
          <w:spacing w:val="-31"/>
        </w:rPr>
        <w:t xml:space="preserve">表 </w:t>
      </w:r>
      <w:r>
        <w:rPr>
          <w:rFonts w:ascii="Times New Roman" w:hAnsi="Times New Roman" w:eastAsia="Times New Roman"/>
        </w:rPr>
        <w:t xml:space="preserve">2.3VOCs </w:t>
      </w:r>
      <w:r>
        <w:t>废气收集率和治理设施去除率通用系数，本项目活性炭及时更换的</w:t>
      </w:r>
      <w:r>
        <w:rPr>
          <w:spacing w:val="-10"/>
        </w:rPr>
        <w:t>情况下，从环境最不利角度考虑，本次单级活性炭吸附效率参照一次性活性炭吸</w:t>
      </w:r>
      <w:r>
        <w:rPr>
          <w:spacing w:val="-14"/>
        </w:rPr>
        <w:t xml:space="preserve">附集中再生并活化的处理效率取 </w:t>
      </w:r>
      <w:r>
        <w:rPr>
          <w:rFonts w:ascii="Times New Roman" w:hAnsi="Times New Roman" w:eastAsia="Times New Roman"/>
        </w:rPr>
        <w:t>50%</w:t>
      </w:r>
      <w:r>
        <w:rPr>
          <w:spacing w:val="-5"/>
        </w:rPr>
        <w:t xml:space="preserve">，则二级活性炭吸附效率取 </w:t>
      </w:r>
      <w:r>
        <w:rPr>
          <w:rFonts w:ascii="Times New Roman" w:hAnsi="Times New Roman" w:eastAsia="Times New Roman"/>
        </w:rPr>
        <w:t>75%</w:t>
      </w:r>
      <w:r>
        <w:t>，经处理</w:t>
      </w:r>
      <w:r>
        <w:fldChar w:fldCharType="begin"/>
      </w:r>
      <w:r>
        <w:instrText xml:space="preserve"> HYPERLINK "https://www.mee.gov.cn/ywgz/fgbz/bz/bzwb/dqhjbh/dqgdwrywrwpfbz/201505/W020150506393371746579.pdf" \h </w:instrText>
      </w:r>
      <w:r>
        <w:fldChar w:fldCharType="separate"/>
      </w:r>
      <w:r>
        <w:t>后挥发性有机物排放浓度和速率能达到《合成树脂工业污染物排放标准</w:t>
      </w:r>
      <w:r>
        <w:fldChar w:fldCharType="end"/>
      </w:r>
      <w:r>
        <w:t>》（</w:t>
      </w:r>
      <w:r>
        <w:rPr>
          <w:rFonts w:ascii="Times New Roman" w:hAnsi="Times New Roman" w:eastAsia="Times New Roman"/>
        </w:rPr>
        <w:t>GB 31572-2015</w:t>
      </w:r>
      <w:r>
        <w:t>）</w:t>
      </w:r>
      <w:r>
        <w:rPr>
          <w:spacing w:val="-21"/>
        </w:rPr>
        <w:t xml:space="preserve">及其 </w:t>
      </w:r>
      <w:r>
        <w:rPr>
          <w:rFonts w:ascii="Times New Roman" w:hAnsi="Times New Roman" w:eastAsia="Times New Roman"/>
        </w:rPr>
        <w:t xml:space="preserve">2024 </w:t>
      </w:r>
      <w:r>
        <w:rPr>
          <w:spacing w:val="-11"/>
        </w:rPr>
        <w:t xml:space="preserve">年修改单表 </w:t>
      </w:r>
      <w:r>
        <w:rPr>
          <w:rFonts w:ascii="Times New Roman" w:hAnsi="Times New Roman" w:eastAsia="Times New Roman"/>
        </w:rPr>
        <w:t xml:space="preserve">4 </w:t>
      </w:r>
      <w:r>
        <w:t>大气污染物排放限值要求，处理效果具有可行性。</w:t>
      </w:r>
    </w:p>
    <w:p w14:paraId="48F6F59F">
      <w:pPr>
        <w:pStyle w:val="10"/>
        <w:spacing w:line="303" w:lineRule="exact"/>
        <w:ind w:left="1100"/>
      </w:pPr>
      <w:r>
        <w:rPr>
          <w:rFonts w:ascii="Times New Roman" w:eastAsia="Times New Roman"/>
        </w:rPr>
        <w:t>3</w:t>
      </w:r>
      <w:r>
        <w:t>、臭气浓度</w:t>
      </w:r>
    </w:p>
    <w:p w14:paraId="7ABF976A">
      <w:pPr>
        <w:pStyle w:val="10"/>
        <w:spacing w:before="161" w:line="364" w:lineRule="auto"/>
        <w:ind w:left="620" w:right="617" w:firstLine="480"/>
      </w:pPr>
      <w:r>
        <w:rPr>
          <w:spacing w:val="-3"/>
        </w:rPr>
        <w:t>本项目挥发性有机物采用“密闭负压集气罩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w:t>
      </w:r>
      <w:r>
        <w:t>二级活性</w:t>
      </w:r>
      <w:r>
        <w:rPr>
          <w:spacing w:val="-15"/>
        </w:rPr>
        <w:t xml:space="preserve">炭吸附”工艺处理，二级活性炭吸附均对本项目臭气浓度有处理效果，参考上文， </w:t>
      </w:r>
      <w:r>
        <w:rPr>
          <w:spacing w:val="-4"/>
        </w:rPr>
        <w:t xml:space="preserve">臭气浓度的综合处理效率可达 </w:t>
      </w:r>
      <w:r>
        <w:rPr>
          <w:rFonts w:ascii="Times New Roman" w:hAnsi="Times New Roman" w:eastAsia="Times New Roman"/>
        </w:rPr>
        <w:t>75%</w:t>
      </w:r>
      <w:r>
        <w:t>，经处理后臭气浓度有组织排放浓度能满足</w:t>
      </w:r>
    </w:p>
    <w:p w14:paraId="01BBE351">
      <w:pPr>
        <w:pStyle w:val="10"/>
        <w:spacing w:line="362" w:lineRule="auto"/>
        <w:ind w:left="1100" w:right="2923" w:hanging="480"/>
      </w:pPr>
      <w:r>
        <w:t>《恶臭污染物排放标准》（</w:t>
      </w:r>
      <w:r>
        <w:rPr>
          <w:rFonts w:ascii="Times New Roman" w:eastAsia="Times New Roman"/>
        </w:rPr>
        <w:t>GB14554-93</w:t>
      </w:r>
      <w:r>
        <w:t xml:space="preserve">）表 </w:t>
      </w:r>
      <w:r>
        <w:rPr>
          <w:rFonts w:ascii="Times New Roman" w:eastAsia="Times New Roman"/>
        </w:rPr>
        <w:t xml:space="preserve">2 </w:t>
      </w:r>
      <w:r>
        <w:t>标准要求。本项目正常工况下废气污染物达标情况如下：</w:t>
      </w:r>
    </w:p>
    <w:p w14:paraId="428D30DE">
      <w:pPr>
        <w:pStyle w:val="9"/>
        <w:spacing w:before="4" w:after="2"/>
        <w:ind w:left="2263"/>
      </w:pPr>
      <w:r>
        <w:rPr>
          <w:spacing w:val="-31"/>
        </w:rPr>
        <w:t xml:space="preserve">表 </w:t>
      </w:r>
      <w:r>
        <w:rPr>
          <w:rFonts w:ascii="Times New Roman" w:eastAsia="Times New Roman"/>
        </w:rPr>
        <w:t>5.1-3</w:t>
      </w:r>
      <w:r>
        <w:rPr>
          <w:rFonts w:ascii="Times New Roman" w:eastAsia="Times New Roman"/>
          <w:spacing w:val="58"/>
        </w:rPr>
        <w:t xml:space="preserve"> </w:t>
      </w:r>
      <w:r>
        <w:t>正常工况下排气筒排放污染物达标情况</w:t>
      </w:r>
    </w:p>
    <w:tbl>
      <w:tblPr>
        <w:tblStyle w:val="13"/>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61F71E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954" w:type="dxa"/>
            <w:tcBorders>
              <w:left w:val="nil"/>
              <w:bottom w:val="single" w:color="000000" w:sz="4" w:space="0"/>
              <w:right w:val="single" w:color="000000" w:sz="4" w:space="0"/>
            </w:tcBorders>
          </w:tcPr>
          <w:p w14:paraId="10EB328B">
            <w:pPr>
              <w:pStyle w:val="17"/>
              <w:spacing w:before="176" w:line="278" w:lineRule="auto"/>
              <w:ind w:left="280" w:right="142" w:hanging="106"/>
              <w:jc w:val="left"/>
              <w:rPr>
                <w:sz w:val="21"/>
              </w:rPr>
            </w:pPr>
            <w:r>
              <w:rPr>
                <w:sz w:val="21"/>
              </w:rPr>
              <w:t>排气筒编号</w:t>
            </w:r>
          </w:p>
        </w:tc>
        <w:tc>
          <w:tcPr>
            <w:tcW w:w="1043" w:type="dxa"/>
            <w:tcBorders>
              <w:left w:val="single" w:color="000000" w:sz="4" w:space="0"/>
              <w:bottom w:val="single" w:color="000000" w:sz="4" w:space="0"/>
              <w:right w:val="single" w:color="000000" w:sz="4" w:space="0"/>
            </w:tcBorders>
          </w:tcPr>
          <w:p w14:paraId="62BDBCAC">
            <w:pPr>
              <w:pStyle w:val="17"/>
              <w:spacing w:before="11"/>
              <w:jc w:val="left"/>
              <w:rPr>
                <w:b/>
                <w:sz w:val="25"/>
              </w:rPr>
            </w:pPr>
          </w:p>
          <w:p w14:paraId="05A5AFA0">
            <w:pPr>
              <w:pStyle w:val="17"/>
              <w:ind w:right="187"/>
              <w:jc w:val="right"/>
              <w:rPr>
                <w:sz w:val="21"/>
              </w:rPr>
            </w:pPr>
            <w:r>
              <w:rPr>
                <w:w w:val="95"/>
                <w:sz w:val="21"/>
              </w:rPr>
              <w:t>污染物</w:t>
            </w:r>
          </w:p>
        </w:tc>
        <w:tc>
          <w:tcPr>
            <w:tcW w:w="980" w:type="dxa"/>
            <w:tcBorders>
              <w:left w:val="single" w:color="000000" w:sz="4" w:space="0"/>
              <w:bottom w:val="single" w:color="000000" w:sz="4" w:space="0"/>
              <w:right w:val="single" w:color="000000" w:sz="4" w:space="0"/>
            </w:tcBorders>
          </w:tcPr>
          <w:p w14:paraId="302D8371">
            <w:pPr>
              <w:pStyle w:val="17"/>
              <w:spacing w:before="20" w:line="278" w:lineRule="auto"/>
              <w:ind w:left="184" w:right="154"/>
              <w:jc w:val="left"/>
              <w:rPr>
                <w:sz w:val="21"/>
              </w:rPr>
            </w:pPr>
            <w:r>
              <w:rPr>
                <w:sz w:val="21"/>
              </w:rPr>
              <w:t>实际排</w:t>
            </w:r>
            <w:r>
              <w:rPr>
                <w:w w:val="95"/>
                <w:sz w:val="21"/>
              </w:rPr>
              <w:t>放浓度</w:t>
            </w:r>
          </w:p>
          <w:p w14:paraId="06A2B37D">
            <w:pPr>
              <w:pStyle w:val="17"/>
              <w:spacing w:before="13"/>
              <w:ind w:left="220"/>
              <w:jc w:val="left"/>
              <w:rPr>
                <w:rFonts w:ascii="Times New Roman"/>
                <w:sz w:val="13"/>
              </w:rPr>
            </w:pPr>
            <w:r>
              <w:rPr>
                <w:rFonts w:ascii="Times New Roman"/>
                <w:sz w:val="21"/>
              </w:rPr>
              <w:t>mg/m</w:t>
            </w:r>
            <w:r>
              <w:rPr>
                <w:rFonts w:ascii="Times New Roman"/>
                <w:position w:val="7"/>
                <w:sz w:val="13"/>
              </w:rPr>
              <w:t>3</w:t>
            </w:r>
          </w:p>
        </w:tc>
        <w:tc>
          <w:tcPr>
            <w:tcW w:w="907" w:type="dxa"/>
            <w:tcBorders>
              <w:left w:val="single" w:color="000000" w:sz="4" w:space="0"/>
              <w:bottom w:val="single" w:color="000000" w:sz="4" w:space="0"/>
              <w:right w:val="single" w:color="000000" w:sz="4" w:space="0"/>
            </w:tcBorders>
          </w:tcPr>
          <w:p w14:paraId="527D0102">
            <w:pPr>
              <w:pStyle w:val="17"/>
              <w:spacing w:before="176" w:line="278" w:lineRule="auto"/>
              <w:ind w:left="145" w:right="50" w:firstLine="2"/>
              <w:jc w:val="left"/>
              <w:rPr>
                <w:rFonts w:ascii="Times New Roman" w:eastAsia="Times New Roman"/>
                <w:sz w:val="21"/>
              </w:rPr>
            </w:pPr>
            <w:r>
              <w:rPr>
                <w:sz w:val="21"/>
              </w:rPr>
              <w:t xml:space="preserve">排放速率 </w:t>
            </w:r>
            <w:r>
              <w:rPr>
                <w:rFonts w:ascii="Times New Roman" w:eastAsia="Times New Roman"/>
                <w:sz w:val="21"/>
              </w:rPr>
              <w:t>kg/h</w:t>
            </w:r>
          </w:p>
        </w:tc>
        <w:tc>
          <w:tcPr>
            <w:tcW w:w="1984" w:type="dxa"/>
            <w:tcBorders>
              <w:left w:val="single" w:color="000000" w:sz="4" w:space="0"/>
              <w:bottom w:val="single" w:color="000000" w:sz="4" w:space="0"/>
              <w:right w:val="single" w:color="000000" w:sz="4" w:space="0"/>
            </w:tcBorders>
          </w:tcPr>
          <w:p w14:paraId="36F6CE68">
            <w:pPr>
              <w:pStyle w:val="17"/>
              <w:spacing w:before="11"/>
              <w:jc w:val="left"/>
              <w:rPr>
                <w:b/>
                <w:sz w:val="25"/>
              </w:rPr>
            </w:pPr>
          </w:p>
          <w:p w14:paraId="6382449A">
            <w:pPr>
              <w:pStyle w:val="17"/>
              <w:ind w:left="582"/>
              <w:jc w:val="left"/>
              <w:rPr>
                <w:sz w:val="21"/>
              </w:rPr>
            </w:pPr>
            <w:r>
              <w:rPr>
                <w:sz w:val="21"/>
              </w:rPr>
              <w:t>执行标准</w:t>
            </w:r>
          </w:p>
        </w:tc>
        <w:tc>
          <w:tcPr>
            <w:tcW w:w="1149" w:type="dxa"/>
            <w:tcBorders>
              <w:left w:val="single" w:color="000000" w:sz="4" w:space="0"/>
              <w:bottom w:val="single" w:color="000000" w:sz="4" w:space="0"/>
              <w:right w:val="single" w:color="000000" w:sz="4" w:space="0"/>
            </w:tcBorders>
          </w:tcPr>
          <w:p w14:paraId="5E38BF04">
            <w:pPr>
              <w:pStyle w:val="17"/>
              <w:spacing w:before="176"/>
              <w:ind w:left="141" w:right="114"/>
              <w:rPr>
                <w:sz w:val="21"/>
              </w:rPr>
            </w:pPr>
            <w:r>
              <w:rPr>
                <w:sz w:val="21"/>
              </w:rPr>
              <w:t>浓度限值</w:t>
            </w:r>
          </w:p>
          <w:p w14:paraId="5BDAD6F5">
            <w:pPr>
              <w:pStyle w:val="17"/>
              <w:spacing w:before="57"/>
              <w:ind w:left="141" w:right="113"/>
              <w:rPr>
                <w:rFonts w:ascii="Times New Roman"/>
                <w:sz w:val="13"/>
              </w:rPr>
            </w:pPr>
            <w:r>
              <w:rPr>
                <w:rFonts w:ascii="Times New Roman"/>
                <w:sz w:val="21"/>
              </w:rPr>
              <w:t>mg/m</w:t>
            </w:r>
            <w:r>
              <w:rPr>
                <w:rFonts w:ascii="Times New Roman"/>
                <w:position w:val="7"/>
                <w:sz w:val="13"/>
              </w:rPr>
              <w:t>3</w:t>
            </w:r>
          </w:p>
        </w:tc>
        <w:tc>
          <w:tcPr>
            <w:tcW w:w="774" w:type="dxa"/>
            <w:tcBorders>
              <w:left w:val="single" w:color="000000" w:sz="4" w:space="0"/>
              <w:bottom w:val="single" w:color="000000" w:sz="4" w:space="0"/>
              <w:right w:val="single" w:color="000000" w:sz="4" w:space="0"/>
            </w:tcBorders>
          </w:tcPr>
          <w:p w14:paraId="496EF3C7">
            <w:pPr>
              <w:pStyle w:val="17"/>
              <w:spacing w:before="20" w:line="278" w:lineRule="auto"/>
              <w:ind w:left="185" w:right="156"/>
              <w:jc w:val="left"/>
              <w:rPr>
                <w:sz w:val="21"/>
              </w:rPr>
            </w:pPr>
            <w:r>
              <w:rPr>
                <w:sz w:val="21"/>
              </w:rPr>
              <w:t>速率限值</w:t>
            </w:r>
          </w:p>
          <w:p w14:paraId="7710A201">
            <w:pPr>
              <w:pStyle w:val="17"/>
              <w:spacing w:before="13"/>
              <w:ind w:left="209"/>
              <w:jc w:val="left"/>
              <w:rPr>
                <w:rFonts w:ascii="Times New Roman"/>
                <w:sz w:val="21"/>
              </w:rPr>
            </w:pPr>
            <w:r>
              <w:rPr>
                <w:rFonts w:ascii="Times New Roman"/>
                <w:sz w:val="21"/>
              </w:rPr>
              <w:t>kg/h</w:t>
            </w:r>
          </w:p>
        </w:tc>
        <w:tc>
          <w:tcPr>
            <w:tcW w:w="726" w:type="dxa"/>
            <w:tcBorders>
              <w:left w:val="single" w:color="000000" w:sz="4" w:space="0"/>
              <w:bottom w:val="single" w:color="000000" w:sz="4" w:space="0"/>
              <w:right w:val="nil"/>
            </w:tcBorders>
          </w:tcPr>
          <w:p w14:paraId="6221E3D4">
            <w:pPr>
              <w:pStyle w:val="17"/>
              <w:spacing w:before="176" w:line="278" w:lineRule="auto"/>
              <w:ind w:left="162" w:right="138"/>
              <w:jc w:val="left"/>
              <w:rPr>
                <w:sz w:val="21"/>
              </w:rPr>
            </w:pPr>
            <w:r>
              <w:rPr>
                <w:w w:val="95"/>
                <w:sz w:val="21"/>
              </w:rPr>
              <w:t>达标情况</w:t>
            </w:r>
          </w:p>
        </w:tc>
      </w:tr>
      <w:tr w14:paraId="37FDB0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54" w:type="dxa"/>
            <w:tcBorders>
              <w:top w:val="single" w:color="000000" w:sz="4" w:space="0"/>
              <w:left w:val="nil"/>
              <w:right w:val="single" w:color="000000" w:sz="4" w:space="0"/>
            </w:tcBorders>
          </w:tcPr>
          <w:p w14:paraId="52161931">
            <w:pPr>
              <w:pStyle w:val="17"/>
              <w:spacing w:before="12"/>
              <w:jc w:val="left"/>
              <w:rPr>
                <w:b/>
                <w:sz w:val="26"/>
              </w:rPr>
            </w:pPr>
          </w:p>
          <w:p w14:paraId="7A08AAF9">
            <w:pPr>
              <w:pStyle w:val="17"/>
              <w:ind w:left="182"/>
              <w:jc w:val="left"/>
              <w:rPr>
                <w:rFonts w:ascii="Times New Roman"/>
                <w:sz w:val="21"/>
              </w:rPr>
            </w:pPr>
            <w:r>
              <w:rPr>
                <w:rFonts w:ascii="Times New Roman"/>
                <w:sz w:val="21"/>
              </w:rPr>
              <w:t>DA001</w:t>
            </w:r>
          </w:p>
        </w:tc>
        <w:tc>
          <w:tcPr>
            <w:tcW w:w="1043" w:type="dxa"/>
            <w:tcBorders>
              <w:top w:val="single" w:color="000000" w:sz="4" w:space="0"/>
              <w:left w:val="single" w:color="000000" w:sz="4" w:space="0"/>
              <w:right w:val="single" w:color="000000" w:sz="4" w:space="0"/>
            </w:tcBorders>
          </w:tcPr>
          <w:p w14:paraId="461E5991">
            <w:pPr>
              <w:pStyle w:val="17"/>
              <w:spacing w:before="10"/>
              <w:jc w:val="left"/>
              <w:rPr>
                <w:b/>
                <w:sz w:val="25"/>
              </w:rPr>
            </w:pPr>
          </w:p>
          <w:p w14:paraId="47838EAF">
            <w:pPr>
              <w:pStyle w:val="17"/>
              <w:spacing w:before="1"/>
              <w:ind w:right="187"/>
              <w:jc w:val="right"/>
              <w:rPr>
                <w:sz w:val="21"/>
              </w:rPr>
            </w:pPr>
            <w:r>
              <w:rPr>
                <w:w w:val="95"/>
                <w:sz w:val="21"/>
              </w:rPr>
              <w:t>颗粒物</w:t>
            </w:r>
          </w:p>
        </w:tc>
        <w:tc>
          <w:tcPr>
            <w:tcW w:w="980" w:type="dxa"/>
            <w:tcBorders>
              <w:top w:val="single" w:color="000000" w:sz="4" w:space="0"/>
              <w:left w:val="single" w:color="000000" w:sz="4" w:space="0"/>
              <w:right w:val="single" w:color="000000" w:sz="4" w:space="0"/>
            </w:tcBorders>
          </w:tcPr>
          <w:p w14:paraId="533526F3">
            <w:pPr>
              <w:pStyle w:val="17"/>
              <w:spacing w:before="12"/>
              <w:jc w:val="left"/>
              <w:rPr>
                <w:b/>
                <w:sz w:val="26"/>
              </w:rPr>
            </w:pPr>
          </w:p>
          <w:p w14:paraId="43B5BC25">
            <w:pPr>
              <w:pStyle w:val="17"/>
              <w:ind w:left="241" w:right="215"/>
              <w:rPr>
                <w:rFonts w:ascii="Times New Roman"/>
                <w:sz w:val="21"/>
              </w:rPr>
            </w:pPr>
            <w:r>
              <w:rPr>
                <w:rFonts w:ascii="Times New Roman"/>
                <w:sz w:val="21"/>
              </w:rPr>
              <w:t>0.3</w:t>
            </w:r>
          </w:p>
        </w:tc>
        <w:tc>
          <w:tcPr>
            <w:tcW w:w="907" w:type="dxa"/>
            <w:tcBorders>
              <w:top w:val="single" w:color="000000" w:sz="4" w:space="0"/>
              <w:left w:val="single" w:color="000000" w:sz="4" w:space="0"/>
              <w:right w:val="single" w:color="000000" w:sz="4" w:space="0"/>
            </w:tcBorders>
          </w:tcPr>
          <w:p w14:paraId="640A43FB">
            <w:pPr>
              <w:pStyle w:val="17"/>
              <w:spacing w:before="12"/>
              <w:jc w:val="left"/>
              <w:rPr>
                <w:b/>
                <w:sz w:val="26"/>
              </w:rPr>
            </w:pPr>
          </w:p>
          <w:p w14:paraId="0BB673DA">
            <w:pPr>
              <w:pStyle w:val="17"/>
              <w:ind w:left="226"/>
              <w:jc w:val="left"/>
              <w:rPr>
                <w:rFonts w:ascii="Times New Roman"/>
                <w:sz w:val="21"/>
              </w:rPr>
            </w:pPr>
            <w:r>
              <w:rPr>
                <w:rFonts w:ascii="Times New Roman"/>
                <w:sz w:val="21"/>
              </w:rPr>
              <w:t>0.003</w:t>
            </w:r>
          </w:p>
        </w:tc>
        <w:tc>
          <w:tcPr>
            <w:tcW w:w="1984" w:type="dxa"/>
            <w:tcBorders>
              <w:top w:val="single" w:color="000000" w:sz="4" w:space="0"/>
              <w:left w:val="single" w:color="000000" w:sz="4" w:space="0"/>
              <w:right w:val="single" w:color="000000" w:sz="4" w:space="0"/>
            </w:tcBorders>
          </w:tcPr>
          <w:p w14:paraId="7670A5CF">
            <w:pPr>
              <w:pStyle w:val="17"/>
              <w:spacing w:before="19" w:line="278" w:lineRule="auto"/>
              <w:ind w:left="116" w:right="88" w:firstLine="45"/>
              <w:jc w:val="left"/>
              <w:rPr>
                <w:rFonts w:ascii="Times New Roman" w:eastAsia="Times New Roman"/>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GB</w:t>
            </w:r>
          </w:p>
          <w:p w14:paraId="0A712B8E">
            <w:pPr>
              <w:pStyle w:val="17"/>
              <w:spacing w:line="269" w:lineRule="exact"/>
              <w:ind w:left="178"/>
              <w:jc w:val="left"/>
              <w:rPr>
                <w:sz w:val="21"/>
              </w:rPr>
            </w:pPr>
            <w:r>
              <w:rPr>
                <w:rFonts w:ascii="Times New Roman" w:eastAsia="Times New Roman"/>
                <w:sz w:val="21"/>
              </w:rPr>
              <w:t>31572-2015</w:t>
            </w:r>
            <w:r>
              <w:rPr>
                <w:sz w:val="21"/>
              </w:rPr>
              <w:t>）及其</w:t>
            </w:r>
          </w:p>
        </w:tc>
        <w:tc>
          <w:tcPr>
            <w:tcW w:w="1149" w:type="dxa"/>
            <w:tcBorders>
              <w:top w:val="single" w:color="000000" w:sz="4" w:space="0"/>
              <w:left w:val="single" w:color="000000" w:sz="4" w:space="0"/>
              <w:right w:val="single" w:color="000000" w:sz="4" w:space="0"/>
            </w:tcBorders>
          </w:tcPr>
          <w:p w14:paraId="30DD134F">
            <w:pPr>
              <w:pStyle w:val="17"/>
              <w:spacing w:before="12"/>
              <w:jc w:val="left"/>
              <w:rPr>
                <w:b/>
                <w:sz w:val="26"/>
              </w:rPr>
            </w:pPr>
          </w:p>
          <w:p w14:paraId="65F60AC7">
            <w:pPr>
              <w:pStyle w:val="17"/>
              <w:ind w:left="141" w:right="116"/>
              <w:rPr>
                <w:rFonts w:ascii="Times New Roman"/>
                <w:sz w:val="21"/>
              </w:rPr>
            </w:pPr>
            <w:r>
              <w:rPr>
                <w:rFonts w:ascii="Times New Roman"/>
                <w:sz w:val="21"/>
              </w:rPr>
              <w:t>30</w:t>
            </w:r>
          </w:p>
        </w:tc>
        <w:tc>
          <w:tcPr>
            <w:tcW w:w="774" w:type="dxa"/>
            <w:tcBorders>
              <w:top w:val="single" w:color="000000" w:sz="4" w:space="0"/>
              <w:left w:val="single" w:color="000000" w:sz="4" w:space="0"/>
              <w:right w:val="single" w:color="000000" w:sz="4" w:space="0"/>
            </w:tcBorders>
          </w:tcPr>
          <w:p w14:paraId="4BC2CDE0">
            <w:pPr>
              <w:pStyle w:val="17"/>
              <w:spacing w:before="12"/>
              <w:jc w:val="left"/>
              <w:rPr>
                <w:b/>
                <w:sz w:val="26"/>
              </w:rPr>
            </w:pPr>
          </w:p>
          <w:p w14:paraId="151BA75A">
            <w:pPr>
              <w:pStyle w:val="17"/>
              <w:ind w:left="29"/>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01A1FEBD">
            <w:pPr>
              <w:pStyle w:val="17"/>
              <w:spacing w:before="10"/>
              <w:jc w:val="left"/>
              <w:rPr>
                <w:b/>
                <w:sz w:val="25"/>
              </w:rPr>
            </w:pPr>
          </w:p>
          <w:p w14:paraId="2C0788C3">
            <w:pPr>
              <w:pStyle w:val="17"/>
              <w:spacing w:before="1"/>
              <w:ind w:left="162"/>
              <w:jc w:val="left"/>
              <w:rPr>
                <w:sz w:val="21"/>
              </w:rPr>
            </w:pPr>
            <w:r>
              <w:rPr>
                <w:sz w:val="21"/>
              </w:rPr>
              <w:t>达标</w:t>
            </w:r>
          </w:p>
        </w:tc>
      </w:tr>
    </w:tbl>
    <w:p w14:paraId="351CC81A">
      <w:pPr>
        <w:spacing w:after="0"/>
        <w:jc w:val="left"/>
        <w:rPr>
          <w:sz w:val="21"/>
        </w:rPr>
        <w:sectPr>
          <w:pgSz w:w="11910" w:h="16840"/>
          <w:pgMar w:top="1360" w:right="1060" w:bottom="1220" w:left="1180" w:header="0" w:footer="1024" w:gutter="0"/>
          <w:cols w:space="720" w:num="1"/>
        </w:sectPr>
      </w:pPr>
    </w:p>
    <w:tbl>
      <w:tblPr>
        <w:tblStyle w:val="13"/>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381F1F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6" w:hRule="atLeast"/>
        </w:trPr>
        <w:tc>
          <w:tcPr>
            <w:tcW w:w="954" w:type="dxa"/>
            <w:tcBorders>
              <w:left w:val="nil"/>
              <w:bottom w:val="single" w:color="000000" w:sz="4" w:space="0"/>
              <w:right w:val="single" w:color="000000" w:sz="4" w:space="0"/>
            </w:tcBorders>
          </w:tcPr>
          <w:p w14:paraId="116FC08B">
            <w:pPr>
              <w:pStyle w:val="17"/>
              <w:jc w:val="left"/>
              <w:rPr>
                <w:rFonts w:ascii="Times New Roman"/>
                <w:sz w:val="22"/>
              </w:rPr>
            </w:pPr>
          </w:p>
        </w:tc>
        <w:tc>
          <w:tcPr>
            <w:tcW w:w="1043" w:type="dxa"/>
            <w:tcBorders>
              <w:left w:val="single" w:color="000000" w:sz="4" w:space="0"/>
              <w:bottom w:val="single" w:color="000000" w:sz="4" w:space="0"/>
              <w:right w:val="single" w:color="000000" w:sz="4" w:space="0"/>
            </w:tcBorders>
          </w:tcPr>
          <w:p w14:paraId="76AE4564">
            <w:pPr>
              <w:pStyle w:val="17"/>
              <w:jc w:val="left"/>
              <w:rPr>
                <w:rFonts w:ascii="Times New Roman"/>
                <w:sz w:val="22"/>
              </w:rPr>
            </w:pPr>
          </w:p>
        </w:tc>
        <w:tc>
          <w:tcPr>
            <w:tcW w:w="980" w:type="dxa"/>
            <w:tcBorders>
              <w:left w:val="single" w:color="000000" w:sz="4" w:space="0"/>
              <w:bottom w:val="single" w:color="000000" w:sz="4" w:space="0"/>
              <w:right w:val="single" w:color="000000" w:sz="4" w:space="0"/>
            </w:tcBorders>
          </w:tcPr>
          <w:p w14:paraId="60A9E7F3">
            <w:pPr>
              <w:pStyle w:val="17"/>
              <w:jc w:val="left"/>
              <w:rPr>
                <w:rFonts w:ascii="Times New Roman"/>
                <w:sz w:val="22"/>
              </w:rPr>
            </w:pPr>
          </w:p>
        </w:tc>
        <w:tc>
          <w:tcPr>
            <w:tcW w:w="907" w:type="dxa"/>
            <w:tcBorders>
              <w:left w:val="single" w:color="000000" w:sz="4" w:space="0"/>
              <w:bottom w:val="single" w:color="000000" w:sz="4" w:space="0"/>
              <w:right w:val="single" w:color="000000" w:sz="4" w:space="0"/>
            </w:tcBorders>
          </w:tcPr>
          <w:p w14:paraId="71B0143E">
            <w:pPr>
              <w:pStyle w:val="17"/>
              <w:jc w:val="left"/>
              <w:rPr>
                <w:rFonts w:ascii="Times New Roman"/>
                <w:sz w:val="22"/>
              </w:rPr>
            </w:pPr>
          </w:p>
        </w:tc>
        <w:tc>
          <w:tcPr>
            <w:tcW w:w="1984" w:type="dxa"/>
            <w:tcBorders>
              <w:left w:val="single" w:color="000000" w:sz="4" w:space="0"/>
              <w:bottom w:val="single" w:color="000000" w:sz="4" w:space="0"/>
              <w:right w:val="single" w:color="000000" w:sz="4" w:space="0"/>
            </w:tcBorders>
          </w:tcPr>
          <w:p w14:paraId="40F460EB">
            <w:pPr>
              <w:pStyle w:val="17"/>
              <w:spacing w:before="1"/>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6F8E0528">
            <w:pPr>
              <w:pStyle w:val="17"/>
              <w:spacing w:before="2" w:line="310" w:lineRule="atLeast"/>
              <w:ind w:left="685" w:right="132" w:hanging="524"/>
              <w:jc w:val="left"/>
              <w:rPr>
                <w:sz w:val="21"/>
              </w:rPr>
            </w:pPr>
            <w:r>
              <w:rPr>
                <w:w w:val="95"/>
                <w:sz w:val="21"/>
              </w:rPr>
              <w:t>大气污染物排放限</w:t>
            </w:r>
            <w:r>
              <w:rPr>
                <w:sz w:val="21"/>
              </w:rPr>
              <w:t>值要求</w:t>
            </w:r>
          </w:p>
        </w:tc>
        <w:tc>
          <w:tcPr>
            <w:tcW w:w="1149" w:type="dxa"/>
            <w:tcBorders>
              <w:left w:val="single" w:color="000000" w:sz="4" w:space="0"/>
              <w:bottom w:val="single" w:color="000000" w:sz="4" w:space="0"/>
              <w:right w:val="single" w:color="000000" w:sz="4" w:space="0"/>
            </w:tcBorders>
          </w:tcPr>
          <w:p w14:paraId="4EB3A71A">
            <w:pPr>
              <w:pStyle w:val="17"/>
              <w:jc w:val="left"/>
              <w:rPr>
                <w:rFonts w:ascii="Times New Roman"/>
                <w:sz w:val="22"/>
              </w:rPr>
            </w:pPr>
          </w:p>
        </w:tc>
        <w:tc>
          <w:tcPr>
            <w:tcW w:w="774" w:type="dxa"/>
            <w:tcBorders>
              <w:left w:val="single" w:color="000000" w:sz="4" w:space="0"/>
              <w:bottom w:val="single" w:color="000000" w:sz="4" w:space="0"/>
              <w:right w:val="single" w:color="000000" w:sz="4" w:space="0"/>
            </w:tcBorders>
          </w:tcPr>
          <w:p w14:paraId="49F388CB">
            <w:pPr>
              <w:pStyle w:val="17"/>
              <w:jc w:val="left"/>
              <w:rPr>
                <w:rFonts w:ascii="Times New Roman"/>
                <w:sz w:val="22"/>
              </w:rPr>
            </w:pPr>
          </w:p>
        </w:tc>
        <w:tc>
          <w:tcPr>
            <w:tcW w:w="726" w:type="dxa"/>
            <w:tcBorders>
              <w:left w:val="single" w:color="000000" w:sz="4" w:space="0"/>
              <w:bottom w:val="single" w:color="000000" w:sz="4" w:space="0"/>
              <w:right w:val="nil"/>
            </w:tcBorders>
          </w:tcPr>
          <w:p w14:paraId="311FB165">
            <w:pPr>
              <w:pStyle w:val="17"/>
              <w:jc w:val="left"/>
              <w:rPr>
                <w:rFonts w:ascii="Times New Roman"/>
                <w:sz w:val="22"/>
              </w:rPr>
            </w:pPr>
          </w:p>
        </w:tc>
      </w:tr>
      <w:tr w14:paraId="5922F4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954" w:type="dxa"/>
            <w:tcBorders>
              <w:top w:val="single" w:color="000000" w:sz="4" w:space="0"/>
              <w:left w:val="nil"/>
              <w:bottom w:val="nil"/>
              <w:right w:val="single" w:color="000000" w:sz="4" w:space="0"/>
            </w:tcBorders>
          </w:tcPr>
          <w:p w14:paraId="23ADC106">
            <w:pPr>
              <w:pStyle w:val="17"/>
              <w:jc w:val="left"/>
              <w:rPr>
                <w:rFonts w:ascii="Times New Roman"/>
                <w:sz w:val="22"/>
              </w:rPr>
            </w:pPr>
          </w:p>
        </w:tc>
        <w:tc>
          <w:tcPr>
            <w:tcW w:w="1043" w:type="dxa"/>
            <w:tcBorders>
              <w:top w:val="single" w:color="000000" w:sz="4" w:space="0"/>
              <w:left w:val="single" w:color="000000" w:sz="4" w:space="0"/>
              <w:bottom w:val="single" w:color="000000" w:sz="4" w:space="0"/>
              <w:right w:val="single" w:color="000000" w:sz="4" w:space="0"/>
            </w:tcBorders>
          </w:tcPr>
          <w:p w14:paraId="1014187F">
            <w:pPr>
              <w:pStyle w:val="17"/>
              <w:spacing w:before="20"/>
              <w:ind w:left="214"/>
              <w:jc w:val="left"/>
              <w:rPr>
                <w:sz w:val="21"/>
              </w:rPr>
            </w:pPr>
            <w:r>
              <w:rPr>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4F7CE05D">
            <w:pPr>
              <w:pStyle w:val="17"/>
              <w:spacing w:before="34"/>
              <w:ind w:right="285"/>
              <w:jc w:val="right"/>
              <w:rPr>
                <w:rFonts w:ascii="Times New Roman"/>
                <w:sz w:val="21"/>
              </w:rPr>
            </w:pPr>
            <w:r>
              <w:rPr>
                <w:rFonts w:ascii="Times New Roman"/>
                <w:sz w:val="21"/>
              </w:rPr>
              <w:t>0.85</w:t>
            </w:r>
          </w:p>
        </w:tc>
        <w:tc>
          <w:tcPr>
            <w:tcW w:w="907" w:type="dxa"/>
            <w:tcBorders>
              <w:top w:val="single" w:color="000000" w:sz="4" w:space="0"/>
              <w:left w:val="single" w:color="000000" w:sz="4" w:space="0"/>
              <w:bottom w:val="single" w:color="000000" w:sz="4" w:space="0"/>
              <w:right w:val="single" w:color="000000" w:sz="4" w:space="0"/>
            </w:tcBorders>
          </w:tcPr>
          <w:p w14:paraId="21FCBF7F">
            <w:pPr>
              <w:pStyle w:val="17"/>
              <w:spacing w:before="34"/>
              <w:ind w:left="206" w:right="178"/>
              <w:rPr>
                <w:rFonts w:ascii="Times New Roman"/>
                <w:sz w:val="21"/>
              </w:rPr>
            </w:pPr>
            <w:r>
              <w:rPr>
                <w:rFonts w:ascii="Times New Roman"/>
                <w:sz w:val="21"/>
              </w:rPr>
              <w:t>0.017</w:t>
            </w:r>
          </w:p>
        </w:tc>
        <w:tc>
          <w:tcPr>
            <w:tcW w:w="1984" w:type="dxa"/>
            <w:tcBorders>
              <w:top w:val="single" w:color="000000" w:sz="4" w:space="0"/>
              <w:left w:val="single" w:color="000000" w:sz="4" w:space="0"/>
              <w:bottom w:val="nil"/>
              <w:right w:val="single" w:color="000000" w:sz="4" w:space="0"/>
            </w:tcBorders>
          </w:tcPr>
          <w:p w14:paraId="24509D9C">
            <w:pPr>
              <w:pStyle w:val="17"/>
              <w:spacing w:before="20"/>
              <w:ind w:left="162"/>
              <w:jc w:val="left"/>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p>
        </w:tc>
        <w:tc>
          <w:tcPr>
            <w:tcW w:w="1149" w:type="dxa"/>
            <w:tcBorders>
              <w:top w:val="single" w:color="000000" w:sz="4" w:space="0"/>
              <w:left w:val="single" w:color="000000" w:sz="4" w:space="0"/>
              <w:bottom w:val="single" w:color="000000" w:sz="4" w:space="0"/>
              <w:right w:val="single" w:color="000000" w:sz="4" w:space="0"/>
            </w:tcBorders>
          </w:tcPr>
          <w:p w14:paraId="5A192CC7">
            <w:pPr>
              <w:pStyle w:val="17"/>
              <w:spacing w:before="34"/>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3D740B39">
            <w:pPr>
              <w:pStyle w:val="17"/>
              <w:spacing w:before="34"/>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3C09D97C">
            <w:pPr>
              <w:pStyle w:val="17"/>
              <w:spacing w:before="20"/>
              <w:ind w:left="162"/>
              <w:jc w:val="left"/>
              <w:rPr>
                <w:sz w:val="21"/>
              </w:rPr>
            </w:pPr>
            <w:r>
              <w:rPr>
                <w:sz w:val="21"/>
              </w:rPr>
              <w:t>达标</w:t>
            </w:r>
          </w:p>
        </w:tc>
      </w:tr>
      <w:tr w14:paraId="19953D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954" w:type="dxa"/>
            <w:tcBorders>
              <w:top w:val="nil"/>
              <w:left w:val="nil"/>
              <w:bottom w:val="nil"/>
              <w:right w:val="single" w:color="000000" w:sz="4" w:space="0"/>
            </w:tcBorders>
          </w:tcPr>
          <w:p w14:paraId="4EA88D8F">
            <w:pPr>
              <w:pStyle w:val="17"/>
              <w:jc w:val="left"/>
              <w:rPr>
                <w:rFonts w:ascii="Times New Roman"/>
                <w:sz w:val="22"/>
              </w:rPr>
            </w:pPr>
          </w:p>
        </w:tc>
        <w:tc>
          <w:tcPr>
            <w:tcW w:w="1043" w:type="dxa"/>
            <w:tcBorders>
              <w:top w:val="single" w:color="000000" w:sz="4" w:space="0"/>
              <w:left w:val="single" w:color="000000" w:sz="4" w:space="0"/>
              <w:bottom w:val="nil"/>
              <w:right w:val="single" w:color="000000" w:sz="4" w:space="0"/>
            </w:tcBorders>
          </w:tcPr>
          <w:p w14:paraId="21D1E28A">
            <w:pPr>
              <w:pStyle w:val="17"/>
              <w:jc w:val="left"/>
              <w:rPr>
                <w:rFonts w:ascii="Times New Roman"/>
                <w:sz w:val="22"/>
              </w:rPr>
            </w:pPr>
          </w:p>
        </w:tc>
        <w:tc>
          <w:tcPr>
            <w:tcW w:w="980" w:type="dxa"/>
            <w:tcBorders>
              <w:top w:val="single" w:color="000000" w:sz="4" w:space="0"/>
              <w:left w:val="single" w:color="000000" w:sz="4" w:space="0"/>
              <w:bottom w:val="nil"/>
              <w:right w:val="single" w:color="000000" w:sz="4" w:space="0"/>
            </w:tcBorders>
          </w:tcPr>
          <w:p w14:paraId="7E3A66E1">
            <w:pPr>
              <w:pStyle w:val="17"/>
              <w:jc w:val="left"/>
              <w:rPr>
                <w:rFonts w:ascii="Times New Roman"/>
                <w:sz w:val="22"/>
              </w:rPr>
            </w:pPr>
          </w:p>
        </w:tc>
        <w:tc>
          <w:tcPr>
            <w:tcW w:w="907" w:type="dxa"/>
            <w:tcBorders>
              <w:top w:val="single" w:color="000000" w:sz="4" w:space="0"/>
              <w:left w:val="single" w:color="000000" w:sz="4" w:space="0"/>
              <w:bottom w:val="nil"/>
              <w:right w:val="single" w:color="000000" w:sz="4" w:space="0"/>
            </w:tcBorders>
          </w:tcPr>
          <w:p w14:paraId="5D78C634">
            <w:pPr>
              <w:pStyle w:val="17"/>
              <w:jc w:val="left"/>
              <w:rPr>
                <w:rFonts w:ascii="Times New Roman"/>
                <w:sz w:val="22"/>
              </w:rPr>
            </w:pPr>
          </w:p>
        </w:tc>
        <w:tc>
          <w:tcPr>
            <w:tcW w:w="1984" w:type="dxa"/>
            <w:tcBorders>
              <w:top w:val="nil"/>
              <w:left w:val="single" w:color="000000" w:sz="4" w:space="0"/>
              <w:bottom w:val="nil"/>
              <w:right w:val="single" w:color="000000" w:sz="4" w:space="0"/>
            </w:tcBorders>
          </w:tcPr>
          <w:p w14:paraId="23BFF8CF">
            <w:pPr>
              <w:pStyle w:val="17"/>
              <w:spacing w:before="11"/>
              <w:ind w:left="116"/>
              <w:jc w:val="left"/>
              <w:rPr>
                <w:rFonts w:ascii="Times New Roman" w:eastAsia="Times New Roman"/>
                <w:sz w:val="21"/>
              </w:rPr>
            </w:pPr>
            <w:r>
              <w:fldChar w:fldCharType="begin"/>
            </w:r>
            <w:r>
              <w:instrText xml:space="preserve"> HYPERLINK "https://www.mee.gov.cn/ywgz/fgbz/bz/bzwb/dqhjbh/dqgdwrywrwpfbz/201505/W020150506393371746579.pdf" \h </w:instrText>
            </w:r>
            <w:r>
              <w:fldChar w:fldCharType="separate"/>
            </w:r>
            <w:r>
              <w:rPr>
                <w:sz w:val="21"/>
              </w:rPr>
              <w:t>染物排放标准</w:t>
            </w:r>
            <w:r>
              <w:rPr>
                <w:sz w:val="21"/>
              </w:rPr>
              <w:fldChar w:fldCharType="end"/>
            </w:r>
            <w:r>
              <w:rPr>
                <w:spacing w:val="-202"/>
                <w:sz w:val="21"/>
              </w:rPr>
              <w:t>》</w:t>
            </w:r>
            <w:r>
              <w:rPr>
                <w:sz w:val="21"/>
              </w:rPr>
              <w:t>（</w:t>
            </w:r>
            <w:r>
              <w:rPr>
                <w:rFonts w:ascii="Times New Roman" w:eastAsia="Times New Roman"/>
                <w:sz w:val="21"/>
              </w:rPr>
              <w:t>GB</w:t>
            </w:r>
          </w:p>
        </w:tc>
        <w:tc>
          <w:tcPr>
            <w:tcW w:w="1149" w:type="dxa"/>
            <w:tcBorders>
              <w:top w:val="single" w:color="000000" w:sz="4" w:space="0"/>
              <w:left w:val="single" w:color="000000" w:sz="4" w:space="0"/>
              <w:bottom w:val="nil"/>
              <w:right w:val="single" w:color="000000" w:sz="4" w:space="0"/>
            </w:tcBorders>
          </w:tcPr>
          <w:p w14:paraId="21AF5109">
            <w:pPr>
              <w:pStyle w:val="17"/>
              <w:jc w:val="left"/>
              <w:rPr>
                <w:rFonts w:ascii="Times New Roman"/>
                <w:sz w:val="22"/>
              </w:rPr>
            </w:pPr>
          </w:p>
        </w:tc>
        <w:tc>
          <w:tcPr>
            <w:tcW w:w="774" w:type="dxa"/>
            <w:tcBorders>
              <w:top w:val="single" w:color="000000" w:sz="4" w:space="0"/>
              <w:left w:val="single" w:color="000000" w:sz="4" w:space="0"/>
              <w:bottom w:val="nil"/>
              <w:right w:val="single" w:color="000000" w:sz="4" w:space="0"/>
            </w:tcBorders>
          </w:tcPr>
          <w:p w14:paraId="3A46BE5A">
            <w:pPr>
              <w:pStyle w:val="17"/>
              <w:jc w:val="left"/>
              <w:rPr>
                <w:rFonts w:ascii="Times New Roman"/>
                <w:sz w:val="22"/>
              </w:rPr>
            </w:pPr>
          </w:p>
        </w:tc>
        <w:tc>
          <w:tcPr>
            <w:tcW w:w="726" w:type="dxa"/>
            <w:tcBorders>
              <w:top w:val="single" w:color="000000" w:sz="4" w:space="0"/>
              <w:left w:val="single" w:color="000000" w:sz="4" w:space="0"/>
              <w:bottom w:val="nil"/>
              <w:right w:val="nil"/>
            </w:tcBorders>
          </w:tcPr>
          <w:p w14:paraId="6605189A">
            <w:pPr>
              <w:pStyle w:val="17"/>
              <w:jc w:val="left"/>
              <w:rPr>
                <w:rFonts w:ascii="Times New Roman"/>
                <w:sz w:val="22"/>
              </w:rPr>
            </w:pPr>
          </w:p>
        </w:tc>
      </w:tr>
      <w:tr w14:paraId="518B9E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3" w:hRule="atLeast"/>
        </w:trPr>
        <w:tc>
          <w:tcPr>
            <w:tcW w:w="954" w:type="dxa"/>
            <w:tcBorders>
              <w:top w:val="nil"/>
              <w:left w:val="nil"/>
              <w:bottom w:val="nil"/>
              <w:right w:val="single" w:color="000000" w:sz="4" w:space="0"/>
            </w:tcBorders>
          </w:tcPr>
          <w:p w14:paraId="1D880B5F">
            <w:pPr>
              <w:pStyle w:val="17"/>
              <w:jc w:val="left"/>
              <w:rPr>
                <w:b/>
                <w:sz w:val="22"/>
              </w:rPr>
            </w:pPr>
          </w:p>
          <w:p w14:paraId="5D24FA12">
            <w:pPr>
              <w:pStyle w:val="17"/>
              <w:jc w:val="left"/>
              <w:rPr>
                <w:b/>
                <w:sz w:val="22"/>
              </w:rPr>
            </w:pPr>
          </w:p>
          <w:p w14:paraId="13E567F1">
            <w:pPr>
              <w:pStyle w:val="17"/>
              <w:spacing w:before="8"/>
              <w:jc w:val="left"/>
              <w:rPr>
                <w:b/>
                <w:sz w:val="19"/>
              </w:rPr>
            </w:pPr>
          </w:p>
          <w:p w14:paraId="3CA406C7">
            <w:pPr>
              <w:pStyle w:val="17"/>
              <w:ind w:left="182"/>
              <w:jc w:val="left"/>
              <w:rPr>
                <w:rFonts w:ascii="Times New Roman"/>
                <w:sz w:val="21"/>
              </w:rPr>
            </w:pPr>
            <w:r>
              <w:rPr>
                <w:rFonts w:ascii="Times New Roman"/>
                <w:sz w:val="21"/>
              </w:rPr>
              <w:t>DA002</w:t>
            </w:r>
          </w:p>
        </w:tc>
        <w:tc>
          <w:tcPr>
            <w:tcW w:w="1043" w:type="dxa"/>
            <w:tcBorders>
              <w:top w:val="nil"/>
              <w:left w:val="single" w:color="000000" w:sz="4" w:space="0"/>
              <w:bottom w:val="single" w:color="000000" w:sz="4" w:space="0"/>
              <w:right w:val="single" w:color="000000" w:sz="4" w:space="0"/>
            </w:tcBorders>
          </w:tcPr>
          <w:p w14:paraId="15B7E337">
            <w:pPr>
              <w:pStyle w:val="17"/>
              <w:spacing w:before="177" w:line="278" w:lineRule="auto"/>
              <w:ind w:left="320" w:right="187" w:hanging="106"/>
              <w:jc w:val="left"/>
              <w:rPr>
                <w:sz w:val="21"/>
              </w:rPr>
            </w:pPr>
            <w:r>
              <w:rPr>
                <w:sz w:val="21"/>
              </w:rPr>
              <w:t>非甲烷总烃</w:t>
            </w:r>
          </w:p>
        </w:tc>
        <w:tc>
          <w:tcPr>
            <w:tcW w:w="980" w:type="dxa"/>
            <w:tcBorders>
              <w:top w:val="nil"/>
              <w:left w:val="single" w:color="000000" w:sz="4" w:space="0"/>
              <w:bottom w:val="single" w:color="000000" w:sz="4" w:space="0"/>
              <w:right w:val="single" w:color="000000" w:sz="4" w:space="0"/>
            </w:tcBorders>
          </w:tcPr>
          <w:p w14:paraId="2E85EC45">
            <w:pPr>
              <w:pStyle w:val="17"/>
              <w:spacing w:before="1"/>
              <w:jc w:val="left"/>
              <w:rPr>
                <w:b/>
                <w:sz w:val="27"/>
              </w:rPr>
            </w:pPr>
          </w:p>
          <w:p w14:paraId="00972371">
            <w:pPr>
              <w:pStyle w:val="17"/>
              <w:ind w:right="285"/>
              <w:jc w:val="right"/>
              <w:rPr>
                <w:rFonts w:ascii="Times New Roman"/>
                <w:sz w:val="21"/>
              </w:rPr>
            </w:pPr>
            <w:r>
              <w:rPr>
                <w:rFonts w:ascii="Times New Roman"/>
                <w:w w:val="95"/>
                <w:sz w:val="21"/>
              </w:rPr>
              <w:t>39.1</w:t>
            </w:r>
          </w:p>
        </w:tc>
        <w:tc>
          <w:tcPr>
            <w:tcW w:w="907" w:type="dxa"/>
            <w:tcBorders>
              <w:top w:val="nil"/>
              <w:left w:val="single" w:color="000000" w:sz="4" w:space="0"/>
              <w:bottom w:val="single" w:color="000000" w:sz="4" w:space="0"/>
              <w:right w:val="single" w:color="000000" w:sz="4" w:space="0"/>
            </w:tcBorders>
          </w:tcPr>
          <w:p w14:paraId="6448BB4A">
            <w:pPr>
              <w:pStyle w:val="17"/>
              <w:spacing w:before="1"/>
              <w:jc w:val="left"/>
              <w:rPr>
                <w:b/>
                <w:sz w:val="27"/>
              </w:rPr>
            </w:pPr>
          </w:p>
          <w:p w14:paraId="1FF97AF6">
            <w:pPr>
              <w:pStyle w:val="17"/>
              <w:ind w:left="206" w:right="178"/>
              <w:rPr>
                <w:rFonts w:ascii="Times New Roman"/>
                <w:sz w:val="21"/>
              </w:rPr>
            </w:pPr>
            <w:r>
              <w:rPr>
                <w:rFonts w:ascii="Times New Roman"/>
                <w:sz w:val="21"/>
              </w:rPr>
              <w:t>0.782</w:t>
            </w:r>
          </w:p>
        </w:tc>
        <w:tc>
          <w:tcPr>
            <w:tcW w:w="1984" w:type="dxa"/>
            <w:tcBorders>
              <w:top w:val="nil"/>
              <w:left w:val="single" w:color="000000" w:sz="4" w:space="0"/>
              <w:bottom w:val="single" w:color="000000" w:sz="4" w:space="0"/>
              <w:right w:val="single" w:color="000000" w:sz="4" w:space="0"/>
            </w:tcBorders>
          </w:tcPr>
          <w:p w14:paraId="1C164752">
            <w:pPr>
              <w:pStyle w:val="17"/>
              <w:spacing w:before="16"/>
              <w:ind w:left="178"/>
              <w:jc w:val="left"/>
              <w:rPr>
                <w:sz w:val="21"/>
              </w:rPr>
            </w:pPr>
            <w:r>
              <w:rPr>
                <w:rFonts w:ascii="Times New Roman" w:eastAsia="Times New Roman"/>
                <w:sz w:val="21"/>
              </w:rPr>
              <w:t>31572-2015</w:t>
            </w:r>
            <w:r>
              <w:rPr>
                <w:sz w:val="21"/>
              </w:rPr>
              <w:t>）及其</w:t>
            </w:r>
          </w:p>
          <w:p w14:paraId="5FE27E53">
            <w:pPr>
              <w:pStyle w:val="17"/>
              <w:spacing w:before="2" w:line="310" w:lineRule="atLeast"/>
              <w:ind w:left="129" w:right="97"/>
              <w:rPr>
                <w:sz w:val="21"/>
              </w:rPr>
            </w:pPr>
            <w:r>
              <w:rPr>
                <w:rFonts w:ascii="Times New Roman" w:eastAsia="Times New Roman"/>
                <w:sz w:val="21"/>
              </w:rPr>
              <w:t xml:space="preserve">2024 </w:t>
            </w:r>
            <w:r>
              <w:rPr>
                <w:sz w:val="21"/>
              </w:rPr>
              <w:t xml:space="preserve">年修改单表 </w:t>
            </w:r>
            <w:r>
              <w:rPr>
                <w:rFonts w:ascii="Times New Roman" w:eastAsia="Times New Roman"/>
                <w:sz w:val="21"/>
              </w:rPr>
              <w:t xml:space="preserve">4 </w:t>
            </w:r>
            <w:r>
              <w:rPr>
                <w:w w:val="95"/>
                <w:sz w:val="21"/>
              </w:rPr>
              <w:t>大气污染物排放限</w:t>
            </w:r>
            <w:r>
              <w:rPr>
                <w:sz w:val="21"/>
              </w:rPr>
              <w:t>值要求</w:t>
            </w:r>
          </w:p>
        </w:tc>
        <w:tc>
          <w:tcPr>
            <w:tcW w:w="1149" w:type="dxa"/>
            <w:tcBorders>
              <w:top w:val="nil"/>
              <w:left w:val="single" w:color="000000" w:sz="4" w:space="0"/>
              <w:bottom w:val="single" w:color="000000" w:sz="4" w:space="0"/>
              <w:right w:val="single" w:color="000000" w:sz="4" w:space="0"/>
            </w:tcBorders>
          </w:tcPr>
          <w:p w14:paraId="7E9CDE14">
            <w:pPr>
              <w:pStyle w:val="17"/>
              <w:spacing w:before="1"/>
              <w:jc w:val="left"/>
              <w:rPr>
                <w:b/>
                <w:sz w:val="27"/>
              </w:rPr>
            </w:pPr>
          </w:p>
          <w:p w14:paraId="402D5FC9">
            <w:pPr>
              <w:pStyle w:val="17"/>
              <w:ind w:left="141" w:right="113"/>
              <w:rPr>
                <w:rFonts w:ascii="Times New Roman"/>
                <w:sz w:val="21"/>
              </w:rPr>
            </w:pPr>
            <w:r>
              <w:rPr>
                <w:rFonts w:ascii="Times New Roman"/>
                <w:sz w:val="21"/>
              </w:rPr>
              <w:t>100</w:t>
            </w:r>
          </w:p>
        </w:tc>
        <w:tc>
          <w:tcPr>
            <w:tcW w:w="774" w:type="dxa"/>
            <w:tcBorders>
              <w:top w:val="nil"/>
              <w:left w:val="single" w:color="000000" w:sz="4" w:space="0"/>
              <w:bottom w:val="single" w:color="000000" w:sz="4" w:space="0"/>
              <w:right w:val="single" w:color="000000" w:sz="4" w:space="0"/>
            </w:tcBorders>
          </w:tcPr>
          <w:p w14:paraId="0E107B33">
            <w:pPr>
              <w:pStyle w:val="17"/>
              <w:spacing w:before="1"/>
              <w:jc w:val="left"/>
              <w:rPr>
                <w:b/>
                <w:sz w:val="27"/>
              </w:rPr>
            </w:pPr>
          </w:p>
          <w:p w14:paraId="5AE4B9F3">
            <w:pPr>
              <w:pStyle w:val="17"/>
              <w:ind w:left="367"/>
              <w:jc w:val="left"/>
              <w:rPr>
                <w:rFonts w:ascii="Times New Roman"/>
                <w:sz w:val="21"/>
              </w:rPr>
            </w:pPr>
            <w:r>
              <w:rPr>
                <w:rFonts w:ascii="Times New Roman"/>
                <w:w w:val="99"/>
                <w:sz w:val="21"/>
              </w:rPr>
              <w:t>/</w:t>
            </w:r>
          </w:p>
        </w:tc>
        <w:tc>
          <w:tcPr>
            <w:tcW w:w="726" w:type="dxa"/>
            <w:tcBorders>
              <w:top w:val="nil"/>
              <w:left w:val="single" w:color="000000" w:sz="4" w:space="0"/>
              <w:bottom w:val="single" w:color="000000" w:sz="4" w:space="0"/>
              <w:right w:val="nil"/>
            </w:tcBorders>
          </w:tcPr>
          <w:p w14:paraId="28862149">
            <w:pPr>
              <w:pStyle w:val="17"/>
              <w:jc w:val="left"/>
              <w:rPr>
                <w:b/>
                <w:sz w:val="26"/>
              </w:rPr>
            </w:pPr>
          </w:p>
          <w:p w14:paraId="5727B921">
            <w:pPr>
              <w:pStyle w:val="17"/>
              <w:ind w:left="162"/>
              <w:jc w:val="left"/>
              <w:rPr>
                <w:sz w:val="21"/>
              </w:rPr>
            </w:pPr>
            <w:r>
              <w:rPr>
                <w:sz w:val="21"/>
              </w:rPr>
              <w:t>达标</w:t>
            </w:r>
          </w:p>
        </w:tc>
      </w:tr>
      <w:tr w14:paraId="72B63C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954" w:type="dxa"/>
            <w:tcBorders>
              <w:top w:val="nil"/>
              <w:left w:val="nil"/>
              <w:right w:val="single" w:color="000000" w:sz="4" w:space="0"/>
            </w:tcBorders>
          </w:tcPr>
          <w:p w14:paraId="3135C1B8">
            <w:pPr>
              <w:pStyle w:val="17"/>
              <w:jc w:val="left"/>
              <w:rPr>
                <w:rFonts w:ascii="Times New Roman"/>
                <w:sz w:val="22"/>
              </w:rPr>
            </w:pPr>
          </w:p>
        </w:tc>
        <w:tc>
          <w:tcPr>
            <w:tcW w:w="1043" w:type="dxa"/>
            <w:tcBorders>
              <w:top w:val="single" w:color="000000" w:sz="4" w:space="0"/>
              <w:left w:val="single" w:color="000000" w:sz="4" w:space="0"/>
              <w:right w:val="single" w:color="000000" w:sz="4" w:space="0"/>
            </w:tcBorders>
          </w:tcPr>
          <w:p w14:paraId="2834AEF9">
            <w:pPr>
              <w:pStyle w:val="17"/>
              <w:spacing w:before="12"/>
              <w:jc w:val="left"/>
              <w:rPr>
                <w:b/>
                <w:sz w:val="25"/>
              </w:rPr>
            </w:pPr>
          </w:p>
          <w:p w14:paraId="320F4B2F">
            <w:pPr>
              <w:pStyle w:val="17"/>
              <w:spacing w:line="278" w:lineRule="auto"/>
              <w:ind w:left="425" w:right="187" w:hanging="212"/>
              <w:jc w:val="left"/>
              <w:rPr>
                <w:sz w:val="21"/>
              </w:rPr>
            </w:pPr>
            <w:r>
              <w:rPr>
                <w:sz w:val="21"/>
              </w:rPr>
              <w:t>臭气浓度</w:t>
            </w:r>
          </w:p>
        </w:tc>
        <w:tc>
          <w:tcPr>
            <w:tcW w:w="980" w:type="dxa"/>
            <w:tcBorders>
              <w:top w:val="single" w:color="000000" w:sz="4" w:space="0"/>
              <w:left w:val="single" w:color="000000" w:sz="4" w:space="0"/>
              <w:right w:val="single" w:color="000000" w:sz="4" w:space="0"/>
            </w:tcBorders>
          </w:tcPr>
          <w:p w14:paraId="2B4DA48A">
            <w:pPr>
              <w:pStyle w:val="17"/>
              <w:spacing w:before="176"/>
              <w:ind w:left="184"/>
              <w:jc w:val="left"/>
              <w:rPr>
                <w:rFonts w:ascii="Times New Roman" w:eastAsia="Times New Roman"/>
                <w:sz w:val="21"/>
              </w:rPr>
            </w:pPr>
            <w:r>
              <w:rPr>
                <w:sz w:val="21"/>
              </w:rPr>
              <w:t>＜</w:t>
            </w:r>
            <w:r>
              <w:rPr>
                <w:rFonts w:ascii="Times New Roman" w:eastAsia="Times New Roman"/>
                <w:sz w:val="21"/>
              </w:rPr>
              <w:t>2000</w:t>
            </w:r>
          </w:p>
          <w:p w14:paraId="638E2A32">
            <w:pPr>
              <w:pStyle w:val="17"/>
              <w:spacing w:before="43" w:line="278" w:lineRule="auto"/>
              <w:ind w:left="290" w:right="154" w:hanging="106"/>
              <w:jc w:val="left"/>
              <w:rPr>
                <w:sz w:val="21"/>
              </w:rPr>
            </w:pPr>
            <w:r>
              <w:rPr>
                <w:sz w:val="21"/>
              </w:rPr>
              <w:t>（无量纲）</w:t>
            </w:r>
          </w:p>
        </w:tc>
        <w:tc>
          <w:tcPr>
            <w:tcW w:w="907" w:type="dxa"/>
            <w:tcBorders>
              <w:top w:val="single" w:color="000000" w:sz="4" w:space="0"/>
              <w:left w:val="single" w:color="000000" w:sz="4" w:space="0"/>
              <w:right w:val="single" w:color="000000" w:sz="4" w:space="0"/>
            </w:tcBorders>
          </w:tcPr>
          <w:p w14:paraId="5EBC5894">
            <w:pPr>
              <w:pStyle w:val="17"/>
              <w:jc w:val="left"/>
              <w:rPr>
                <w:b/>
                <w:sz w:val="22"/>
              </w:rPr>
            </w:pPr>
          </w:p>
          <w:p w14:paraId="2D0F90DE">
            <w:pPr>
              <w:pStyle w:val="17"/>
              <w:spacing w:before="2"/>
              <w:jc w:val="left"/>
              <w:rPr>
                <w:b/>
                <w:sz w:val="17"/>
              </w:rPr>
            </w:pPr>
          </w:p>
          <w:p w14:paraId="4D5D3800">
            <w:pPr>
              <w:pStyle w:val="17"/>
              <w:ind w:left="27"/>
              <w:rPr>
                <w:rFonts w:ascii="Times New Roman"/>
                <w:sz w:val="21"/>
              </w:rPr>
            </w:pPr>
            <w:r>
              <w:rPr>
                <w:rFonts w:ascii="Times New Roman"/>
                <w:w w:val="99"/>
                <w:sz w:val="21"/>
              </w:rPr>
              <w:t>/</w:t>
            </w:r>
          </w:p>
        </w:tc>
        <w:tc>
          <w:tcPr>
            <w:tcW w:w="1984" w:type="dxa"/>
            <w:tcBorders>
              <w:top w:val="single" w:color="000000" w:sz="4" w:space="0"/>
              <w:left w:val="single" w:color="000000" w:sz="4" w:space="0"/>
              <w:right w:val="single" w:color="000000" w:sz="4" w:space="0"/>
            </w:tcBorders>
          </w:tcPr>
          <w:p w14:paraId="2C10904F">
            <w:pPr>
              <w:pStyle w:val="17"/>
              <w:spacing w:before="20" w:line="278" w:lineRule="auto"/>
              <w:ind w:left="162" w:right="132"/>
              <w:rPr>
                <w:sz w:val="21"/>
              </w:rPr>
            </w:pPr>
            <w:r>
              <w:rPr>
                <w:w w:val="95"/>
                <w:sz w:val="21"/>
              </w:rPr>
              <w:t>《恶臭污染物排放</w:t>
            </w:r>
            <w:r>
              <w:rPr>
                <w:sz w:val="21"/>
              </w:rPr>
              <w:t>标准》</w:t>
            </w:r>
          </w:p>
          <w:p w14:paraId="7F8E563A">
            <w:pPr>
              <w:pStyle w:val="17"/>
              <w:spacing w:line="269" w:lineRule="exact"/>
              <w:ind w:left="84" w:right="97"/>
              <w:rPr>
                <w:sz w:val="21"/>
              </w:rPr>
            </w:pPr>
            <w:r>
              <w:rPr>
                <w:sz w:val="21"/>
              </w:rPr>
              <w:t>（</w:t>
            </w:r>
            <w:r>
              <w:rPr>
                <w:rFonts w:ascii="Times New Roman" w:eastAsia="Times New Roman"/>
                <w:sz w:val="21"/>
              </w:rPr>
              <w:t>GB14554-93</w:t>
            </w:r>
            <w:r>
              <w:rPr>
                <w:sz w:val="21"/>
              </w:rPr>
              <w:t>）表</w:t>
            </w:r>
          </w:p>
          <w:p w14:paraId="684FFD77">
            <w:pPr>
              <w:pStyle w:val="17"/>
              <w:spacing w:before="43"/>
              <w:ind w:left="122" w:right="97"/>
              <w:rPr>
                <w:sz w:val="21"/>
              </w:rPr>
            </w:pPr>
            <w:r>
              <w:rPr>
                <w:rFonts w:ascii="Times New Roman" w:eastAsia="Times New Roman"/>
                <w:sz w:val="21"/>
              </w:rPr>
              <w:t xml:space="preserve">2 </w:t>
            </w:r>
            <w:r>
              <w:rPr>
                <w:sz w:val="21"/>
              </w:rPr>
              <w:t>标准要求</w:t>
            </w:r>
          </w:p>
        </w:tc>
        <w:tc>
          <w:tcPr>
            <w:tcW w:w="1149" w:type="dxa"/>
            <w:tcBorders>
              <w:top w:val="single" w:color="000000" w:sz="4" w:space="0"/>
              <w:left w:val="single" w:color="000000" w:sz="4" w:space="0"/>
              <w:right w:val="single" w:color="000000" w:sz="4" w:space="0"/>
            </w:tcBorders>
          </w:tcPr>
          <w:p w14:paraId="47A29416">
            <w:pPr>
              <w:pStyle w:val="17"/>
              <w:spacing w:before="12"/>
              <w:jc w:val="left"/>
              <w:rPr>
                <w:b/>
                <w:sz w:val="25"/>
              </w:rPr>
            </w:pPr>
          </w:p>
          <w:p w14:paraId="0013667E">
            <w:pPr>
              <w:pStyle w:val="17"/>
              <w:spacing w:line="278" w:lineRule="auto"/>
              <w:ind w:left="268" w:right="136" w:hanging="106"/>
              <w:jc w:val="left"/>
              <w:rPr>
                <w:sz w:val="21"/>
              </w:rPr>
            </w:pPr>
            <w:r>
              <w:rPr>
                <w:rFonts w:ascii="Times New Roman" w:eastAsia="Times New Roman"/>
                <w:w w:val="95"/>
                <w:sz w:val="21"/>
              </w:rPr>
              <w:t>2000</w:t>
            </w:r>
            <w:r>
              <w:rPr>
                <w:w w:val="95"/>
                <w:sz w:val="21"/>
              </w:rPr>
              <w:t>（无</w:t>
            </w:r>
            <w:r>
              <w:rPr>
                <w:sz w:val="21"/>
              </w:rPr>
              <w:t>量纲）</w:t>
            </w:r>
          </w:p>
        </w:tc>
        <w:tc>
          <w:tcPr>
            <w:tcW w:w="774" w:type="dxa"/>
            <w:tcBorders>
              <w:top w:val="single" w:color="000000" w:sz="4" w:space="0"/>
              <w:left w:val="single" w:color="000000" w:sz="4" w:space="0"/>
              <w:right w:val="single" w:color="000000" w:sz="4" w:space="0"/>
            </w:tcBorders>
          </w:tcPr>
          <w:p w14:paraId="5A705B04">
            <w:pPr>
              <w:pStyle w:val="17"/>
              <w:jc w:val="left"/>
              <w:rPr>
                <w:b/>
                <w:sz w:val="22"/>
              </w:rPr>
            </w:pPr>
          </w:p>
          <w:p w14:paraId="2C1D06A9">
            <w:pPr>
              <w:pStyle w:val="17"/>
              <w:spacing w:before="2"/>
              <w:jc w:val="left"/>
              <w:rPr>
                <w:b/>
                <w:sz w:val="17"/>
              </w:rPr>
            </w:pPr>
          </w:p>
          <w:p w14:paraId="320B887D">
            <w:pPr>
              <w:pStyle w:val="17"/>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318FBC76">
            <w:pPr>
              <w:pStyle w:val="17"/>
              <w:jc w:val="left"/>
              <w:rPr>
                <w:b/>
                <w:sz w:val="20"/>
              </w:rPr>
            </w:pPr>
          </w:p>
          <w:p w14:paraId="42A09177">
            <w:pPr>
              <w:pStyle w:val="17"/>
              <w:spacing w:before="1"/>
              <w:jc w:val="left"/>
              <w:rPr>
                <w:b/>
                <w:sz w:val="18"/>
              </w:rPr>
            </w:pPr>
          </w:p>
          <w:p w14:paraId="7E8EF3A0">
            <w:pPr>
              <w:pStyle w:val="17"/>
              <w:ind w:left="162"/>
              <w:jc w:val="left"/>
              <w:rPr>
                <w:sz w:val="21"/>
              </w:rPr>
            </w:pPr>
            <w:r>
              <w:rPr>
                <w:sz w:val="21"/>
              </w:rPr>
              <w:t>达标</w:t>
            </w:r>
          </w:p>
        </w:tc>
      </w:tr>
    </w:tbl>
    <w:p w14:paraId="35BCDBE8">
      <w:pPr>
        <w:pStyle w:val="10"/>
        <w:spacing w:before="2" w:line="364" w:lineRule="auto"/>
        <w:ind w:left="620" w:right="737" w:firstLine="480"/>
        <w:jc w:val="both"/>
      </w:pPr>
      <w:r>
        <w:rPr>
          <w:spacing w:val="-9"/>
        </w:rPr>
        <w:t>综上所述，正常工况下，本项目破碎粉尘、投料混料粉尘废气采取“密闭集气罩</w:t>
      </w:r>
      <w:r>
        <w:rPr>
          <w:rFonts w:ascii="Times New Roman" w:hAnsi="Times New Roman" w:eastAsia="Times New Roman"/>
          <w:spacing w:val="-9"/>
        </w:rPr>
        <w:t>+</w:t>
      </w:r>
      <w:r>
        <w:rPr>
          <w:spacing w:val="-9"/>
        </w:rPr>
        <w:t>布袋除尘器</w:t>
      </w:r>
      <w:r>
        <w:rPr>
          <w:rFonts w:ascii="Times New Roman" w:hAnsi="Times New Roman" w:eastAsia="Times New Roman"/>
          <w:spacing w:val="-9"/>
        </w:rPr>
        <w:t xml:space="preserve">+15m </w:t>
      </w:r>
      <w:r>
        <w:rPr>
          <w:spacing w:val="-8"/>
        </w:rPr>
        <w:t xml:space="preserve">高排气筒 </w:t>
      </w:r>
      <w:r>
        <w:rPr>
          <w:rFonts w:ascii="Times New Roman" w:hAnsi="Times New Roman" w:eastAsia="Times New Roman"/>
        </w:rPr>
        <w:t>DA001</w:t>
      </w:r>
      <w:r>
        <w:t>”处理后，颗粒物满足</w:t>
      </w:r>
      <w:r>
        <w:fldChar w:fldCharType="begin"/>
      </w:r>
      <w:r>
        <w:instrText xml:space="preserve"> HYPERLINK "https://www.mee.gov.cn/ywgz/fgbz/bz/bzwb/dqhjbh/dqgdwrywrwpfbz/201505/W020150506393371746579.pdf" \h </w:instrText>
      </w:r>
      <w:r>
        <w:fldChar w:fldCharType="separate"/>
      </w:r>
      <w:r>
        <w:t>《合成树脂工业</w:t>
      </w:r>
      <w:r>
        <w:fldChar w:fldCharType="end"/>
      </w:r>
      <w:r>
        <w:fldChar w:fldCharType="begin"/>
      </w:r>
      <w:r>
        <w:instrText xml:space="preserve"> HYPERLINK "https://www.mee.gov.cn/ywgz/fgbz/bz/bzwb/dqhjbh/dqgdwrywrwpfbz/201505/W020150506393371746579.pdf" \h </w:instrText>
      </w:r>
      <w:r>
        <w:fldChar w:fldCharType="separate"/>
      </w:r>
      <w:r>
        <w:t>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0"/>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w:t>
      </w:r>
      <w:r>
        <w:rPr>
          <w:spacing w:val="-4"/>
        </w:rPr>
        <w:t>值要求；挤出造粒、挤出注塑废气采用“密闭负压集气罩</w:t>
      </w:r>
      <w:r>
        <w:rPr>
          <w:rFonts w:ascii="Times New Roman" w:hAnsi="Times New Roman" w:eastAsia="Times New Roman"/>
        </w:rPr>
        <w:t>+</w:t>
      </w:r>
      <w:r>
        <w:t>布袋除尘器</w:t>
      </w:r>
      <w:r>
        <w:rPr>
          <w:rFonts w:ascii="Times New Roman" w:hAnsi="Times New Roman" w:eastAsia="Times New Roman"/>
        </w:rPr>
        <w:t>+</w:t>
      </w:r>
      <w:r>
        <w:t>过滤棉</w:t>
      </w:r>
      <w:r>
        <w:rPr>
          <w:rFonts w:ascii="Times New Roman" w:hAnsi="Times New Roman" w:eastAsia="Times New Roman"/>
        </w:rPr>
        <w:t xml:space="preserve">+ </w:t>
      </w:r>
      <w:r>
        <w:t>二级活性炭吸附</w:t>
      </w:r>
      <w:r>
        <w:rPr>
          <w:rFonts w:ascii="Times New Roman" w:hAnsi="Times New Roman" w:eastAsia="Times New Roman"/>
        </w:rPr>
        <w:t xml:space="preserve">+15m </w:t>
      </w:r>
      <w:r>
        <w:rPr>
          <w:spacing w:val="-12"/>
        </w:rPr>
        <w:t xml:space="preserve">高排气筒 </w:t>
      </w:r>
      <w:r>
        <w:rPr>
          <w:rFonts w:ascii="Times New Roman" w:hAnsi="Times New Roman" w:eastAsia="Times New Roman"/>
          <w:spacing w:val="-3"/>
        </w:rPr>
        <w:t>DA002</w:t>
      </w:r>
      <w:r>
        <w:rPr>
          <w:spacing w:val="-6"/>
        </w:rPr>
        <w:t>”处理后，颗粒物、非甲烷总烃满足《</w:t>
      </w:r>
      <w:r>
        <w:fldChar w:fldCharType="begin"/>
      </w:r>
      <w:r>
        <w:instrText xml:space="preserve"> HYPERLINK "https://www.mee.gov.cn/ywgz/fgbz/bz/bzwb/dqhjbh/dqgdwrywrwpfbz/201505/W020150506393371746579.pdf" \h </w:instrText>
      </w:r>
      <w:r>
        <w:fldChar w:fldCharType="separate"/>
      </w:r>
      <w:r>
        <w:t>合</w:t>
      </w:r>
      <w:r>
        <w:fldChar w:fldCharType="end"/>
      </w:r>
      <w:r>
        <w:fldChar w:fldCharType="begin"/>
      </w:r>
      <w:r>
        <w:instrText xml:space="preserve"> HYPERLINK "https://www.mee.gov.cn/ywgz/fgbz/bz/bzwb/dqhjbh/dqgdwrywrwpfbz/201505/W020150506393371746579.pdf" \h </w:instrText>
      </w:r>
      <w:r>
        <w:fldChar w:fldCharType="separate"/>
      </w:r>
      <w:r>
        <w:t>成树脂工业污染物排放标准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w:t>
      </w:r>
    </w:p>
    <w:p w14:paraId="430F9C4C">
      <w:pPr>
        <w:pStyle w:val="10"/>
        <w:spacing w:line="304" w:lineRule="exact"/>
        <w:ind w:left="620"/>
        <w:rPr>
          <w:rFonts w:ascii="Times New Roman" w:eastAsia="Times New Roman"/>
        </w:rPr>
      </w:pPr>
      <w:r>
        <w:t>染物排放限值要求，臭气浓度满足《恶臭污染物排放标准》（</w:t>
      </w:r>
      <w:r>
        <w:rPr>
          <w:rFonts w:ascii="Times New Roman" w:eastAsia="Times New Roman"/>
        </w:rPr>
        <w:t>GB14554-93</w:t>
      </w:r>
      <w:r>
        <w:t xml:space="preserve">）表 </w:t>
      </w:r>
      <w:r>
        <w:rPr>
          <w:rFonts w:ascii="Times New Roman" w:eastAsia="Times New Roman"/>
        </w:rPr>
        <w:t>2</w:t>
      </w:r>
    </w:p>
    <w:p w14:paraId="209EF1FF">
      <w:pPr>
        <w:pStyle w:val="10"/>
        <w:spacing w:before="160"/>
        <w:ind w:left="620"/>
      </w:pPr>
      <w:r>
        <w:t>标准要求，能够满足达标排放的要求。</w:t>
      </w:r>
    </w:p>
    <w:p w14:paraId="7C7DDBB1">
      <w:pPr>
        <w:pStyle w:val="10"/>
        <w:spacing w:before="9"/>
        <w:rPr>
          <w:sz w:val="18"/>
        </w:rPr>
      </w:pPr>
    </w:p>
    <w:p w14:paraId="611E3B58">
      <w:pPr>
        <w:pStyle w:val="10"/>
        <w:ind w:left="1100"/>
      </w:pPr>
      <w:r>
        <w:t>本项目非正常工况下废气污染物达标情况如下：</w:t>
      </w:r>
    </w:p>
    <w:p w14:paraId="49A44558">
      <w:pPr>
        <w:pStyle w:val="9"/>
        <w:spacing w:before="82"/>
        <w:ind w:left="1100" w:right="1220"/>
        <w:jc w:val="center"/>
      </w:pPr>
      <w:r>
        <w:rPr>
          <w:spacing w:val="-31"/>
        </w:rPr>
        <w:t xml:space="preserve">表 </w:t>
      </w:r>
      <w:r>
        <w:rPr>
          <w:rFonts w:ascii="Times New Roman" w:eastAsia="Times New Roman"/>
        </w:rPr>
        <w:t>5.1-4</w:t>
      </w:r>
      <w:r>
        <w:rPr>
          <w:rFonts w:ascii="Times New Roman" w:eastAsia="Times New Roman"/>
          <w:spacing w:val="58"/>
        </w:rPr>
        <w:t xml:space="preserve"> </w:t>
      </w:r>
      <w:r>
        <w:t>非正常工况下排气筒排放污染物达标情况</w:t>
      </w:r>
    </w:p>
    <w:tbl>
      <w:tblPr>
        <w:tblStyle w:val="13"/>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04D995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954" w:type="dxa"/>
            <w:tcBorders>
              <w:left w:val="nil"/>
              <w:bottom w:val="single" w:color="000000" w:sz="4" w:space="0"/>
              <w:right w:val="single" w:color="000000" w:sz="4" w:space="0"/>
            </w:tcBorders>
          </w:tcPr>
          <w:p w14:paraId="0FDFB520">
            <w:pPr>
              <w:pStyle w:val="17"/>
              <w:spacing w:before="178" w:line="278" w:lineRule="auto"/>
              <w:ind w:left="280" w:right="142" w:hanging="106"/>
              <w:jc w:val="left"/>
              <w:rPr>
                <w:sz w:val="21"/>
              </w:rPr>
            </w:pPr>
            <w:r>
              <w:rPr>
                <w:sz w:val="21"/>
              </w:rPr>
              <w:t>排气筒编号</w:t>
            </w:r>
          </w:p>
        </w:tc>
        <w:tc>
          <w:tcPr>
            <w:tcW w:w="1043" w:type="dxa"/>
            <w:tcBorders>
              <w:left w:val="single" w:color="000000" w:sz="4" w:space="0"/>
              <w:bottom w:val="single" w:color="000000" w:sz="4" w:space="0"/>
              <w:right w:val="single" w:color="000000" w:sz="4" w:space="0"/>
            </w:tcBorders>
          </w:tcPr>
          <w:p w14:paraId="22280755">
            <w:pPr>
              <w:pStyle w:val="17"/>
              <w:spacing w:before="1"/>
              <w:jc w:val="left"/>
              <w:rPr>
                <w:b/>
                <w:sz w:val="26"/>
              </w:rPr>
            </w:pPr>
          </w:p>
          <w:p w14:paraId="3FCC1A35">
            <w:pPr>
              <w:pStyle w:val="17"/>
              <w:ind w:right="187"/>
              <w:jc w:val="right"/>
              <w:rPr>
                <w:sz w:val="21"/>
              </w:rPr>
            </w:pPr>
            <w:r>
              <w:rPr>
                <w:w w:val="95"/>
                <w:sz w:val="21"/>
              </w:rPr>
              <w:t>污染物</w:t>
            </w:r>
          </w:p>
        </w:tc>
        <w:tc>
          <w:tcPr>
            <w:tcW w:w="980" w:type="dxa"/>
            <w:tcBorders>
              <w:left w:val="single" w:color="000000" w:sz="4" w:space="0"/>
              <w:bottom w:val="single" w:color="000000" w:sz="4" w:space="0"/>
              <w:right w:val="single" w:color="000000" w:sz="4" w:space="0"/>
            </w:tcBorders>
          </w:tcPr>
          <w:p w14:paraId="25D01CBE">
            <w:pPr>
              <w:pStyle w:val="17"/>
              <w:spacing w:before="22" w:line="278" w:lineRule="auto"/>
              <w:ind w:left="184" w:right="154"/>
              <w:jc w:val="left"/>
              <w:rPr>
                <w:sz w:val="21"/>
              </w:rPr>
            </w:pPr>
            <w:r>
              <w:rPr>
                <w:sz w:val="21"/>
              </w:rPr>
              <w:t>实际排</w:t>
            </w:r>
            <w:r>
              <w:rPr>
                <w:w w:val="95"/>
                <w:sz w:val="21"/>
              </w:rPr>
              <w:t>放浓度</w:t>
            </w:r>
          </w:p>
          <w:p w14:paraId="570FA390">
            <w:pPr>
              <w:pStyle w:val="17"/>
              <w:spacing w:before="14"/>
              <w:ind w:left="220"/>
              <w:jc w:val="left"/>
              <w:rPr>
                <w:rFonts w:ascii="Times New Roman"/>
                <w:sz w:val="13"/>
              </w:rPr>
            </w:pPr>
            <w:r>
              <w:rPr>
                <w:rFonts w:ascii="Times New Roman"/>
                <w:sz w:val="21"/>
              </w:rPr>
              <w:t>mg/m</w:t>
            </w:r>
            <w:r>
              <w:rPr>
                <w:rFonts w:ascii="Times New Roman"/>
                <w:position w:val="7"/>
                <w:sz w:val="13"/>
              </w:rPr>
              <w:t>3</w:t>
            </w:r>
          </w:p>
        </w:tc>
        <w:tc>
          <w:tcPr>
            <w:tcW w:w="907" w:type="dxa"/>
            <w:tcBorders>
              <w:left w:val="single" w:color="000000" w:sz="4" w:space="0"/>
              <w:bottom w:val="single" w:color="000000" w:sz="4" w:space="0"/>
              <w:right w:val="single" w:color="000000" w:sz="4" w:space="0"/>
            </w:tcBorders>
          </w:tcPr>
          <w:p w14:paraId="4407874E">
            <w:pPr>
              <w:pStyle w:val="17"/>
              <w:spacing w:before="178" w:line="278" w:lineRule="auto"/>
              <w:ind w:left="145" w:right="50" w:firstLine="2"/>
              <w:jc w:val="left"/>
              <w:rPr>
                <w:rFonts w:ascii="Times New Roman" w:eastAsia="Times New Roman"/>
                <w:sz w:val="21"/>
              </w:rPr>
            </w:pPr>
            <w:r>
              <w:rPr>
                <w:sz w:val="21"/>
              </w:rPr>
              <w:t xml:space="preserve">排放速率 </w:t>
            </w:r>
            <w:r>
              <w:rPr>
                <w:rFonts w:ascii="Times New Roman" w:eastAsia="Times New Roman"/>
                <w:sz w:val="21"/>
              </w:rPr>
              <w:t>kg/h</w:t>
            </w:r>
          </w:p>
        </w:tc>
        <w:tc>
          <w:tcPr>
            <w:tcW w:w="1984" w:type="dxa"/>
            <w:tcBorders>
              <w:left w:val="single" w:color="000000" w:sz="4" w:space="0"/>
              <w:bottom w:val="single" w:color="000000" w:sz="4" w:space="0"/>
              <w:right w:val="single" w:color="000000" w:sz="4" w:space="0"/>
            </w:tcBorders>
          </w:tcPr>
          <w:p w14:paraId="0E5709A1">
            <w:pPr>
              <w:pStyle w:val="17"/>
              <w:spacing w:before="1"/>
              <w:jc w:val="left"/>
              <w:rPr>
                <w:b/>
                <w:sz w:val="26"/>
              </w:rPr>
            </w:pPr>
          </w:p>
          <w:p w14:paraId="2FB37CB1">
            <w:pPr>
              <w:pStyle w:val="17"/>
              <w:ind w:left="125" w:right="97"/>
              <w:rPr>
                <w:sz w:val="21"/>
              </w:rPr>
            </w:pPr>
            <w:r>
              <w:rPr>
                <w:sz w:val="21"/>
              </w:rPr>
              <w:t>执行标准</w:t>
            </w:r>
          </w:p>
        </w:tc>
        <w:tc>
          <w:tcPr>
            <w:tcW w:w="1149" w:type="dxa"/>
            <w:tcBorders>
              <w:left w:val="single" w:color="000000" w:sz="4" w:space="0"/>
              <w:bottom w:val="single" w:color="000000" w:sz="4" w:space="0"/>
              <w:right w:val="single" w:color="000000" w:sz="4" w:space="0"/>
            </w:tcBorders>
          </w:tcPr>
          <w:p w14:paraId="6EF79F68">
            <w:pPr>
              <w:pStyle w:val="17"/>
              <w:spacing w:before="178"/>
              <w:ind w:left="141" w:right="114"/>
              <w:rPr>
                <w:sz w:val="21"/>
              </w:rPr>
            </w:pPr>
            <w:r>
              <w:rPr>
                <w:sz w:val="21"/>
              </w:rPr>
              <w:t>浓度限值</w:t>
            </w:r>
          </w:p>
          <w:p w14:paraId="01813431">
            <w:pPr>
              <w:pStyle w:val="17"/>
              <w:spacing w:before="57"/>
              <w:ind w:left="141" w:right="113"/>
              <w:rPr>
                <w:rFonts w:ascii="Times New Roman"/>
                <w:sz w:val="13"/>
              </w:rPr>
            </w:pPr>
            <w:r>
              <w:rPr>
                <w:rFonts w:ascii="Times New Roman"/>
                <w:sz w:val="21"/>
              </w:rPr>
              <w:t>mg/m</w:t>
            </w:r>
            <w:r>
              <w:rPr>
                <w:rFonts w:ascii="Times New Roman"/>
                <w:position w:val="7"/>
                <w:sz w:val="13"/>
              </w:rPr>
              <w:t>3</w:t>
            </w:r>
          </w:p>
        </w:tc>
        <w:tc>
          <w:tcPr>
            <w:tcW w:w="774" w:type="dxa"/>
            <w:tcBorders>
              <w:left w:val="single" w:color="000000" w:sz="4" w:space="0"/>
              <w:bottom w:val="single" w:color="000000" w:sz="4" w:space="0"/>
              <w:right w:val="single" w:color="000000" w:sz="4" w:space="0"/>
            </w:tcBorders>
          </w:tcPr>
          <w:p w14:paraId="405D7C67">
            <w:pPr>
              <w:pStyle w:val="17"/>
              <w:spacing w:before="22" w:line="278" w:lineRule="auto"/>
              <w:ind w:left="185" w:right="156"/>
              <w:jc w:val="left"/>
              <w:rPr>
                <w:sz w:val="21"/>
              </w:rPr>
            </w:pPr>
            <w:r>
              <w:rPr>
                <w:sz w:val="21"/>
              </w:rPr>
              <w:t>速率限值</w:t>
            </w:r>
          </w:p>
          <w:p w14:paraId="57ECA3AD">
            <w:pPr>
              <w:pStyle w:val="17"/>
              <w:spacing w:before="14"/>
              <w:ind w:left="209"/>
              <w:jc w:val="left"/>
              <w:rPr>
                <w:rFonts w:ascii="Times New Roman"/>
                <w:sz w:val="21"/>
              </w:rPr>
            </w:pPr>
            <w:r>
              <w:rPr>
                <w:rFonts w:ascii="Times New Roman"/>
                <w:sz w:val="21"/>
              </w:rPr>
              <w:t>kg/h</w:t>
            </w:r>
          </w:p>
        </w:tc>
        <w:tc>
          <w:tcPr>
            <w:tcW w:w="726" w:type="dxa"/>
            <w:tcBorders>
              <w:left w:val="single" w:color="000000" w:sz="4" w:space="0"/>
              <w:bottom w:val="single" w:color="000000" w:sz="4" w:space="0"/>
              <w:right w:val="nil"/>
            </w:tcBorders>
          </w:tcPr>
          <w:p w14:paraId="1419BF8D">
            <w:pPr>
              <w:pStyle w:val="17"/>
              <w:spacing w:before="178" w:line="278" w:lineRule="auto"/>
              <w:ind w:left="162" w:right="138"/>
              <w:jc w:val="left"/>
              <w:rPr>
                <w:sz w:val="21"/>
              </w:rPr>
            </w:pPr>
            <w:r>
              <w:rPr>
                <w:w w:val="95"/>
                <w:sz w:val="21"/>
              </w:rPr>
              <w:t>达标情况</w:t>
            </w:r>
          </w:p>
        </w:tc>
      </w:tr>
      <w:tr w14:paraId="23C049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2" w:hRule="atLeast"/>
        </w:trPr>
        <w:tc>
          <w:tcPr>
            <w:tcW w:w="954" w:type="dxa"/>
            <w:tcBorders>
              <w:top w:val="single" w:color="000000" w:sz="4" w:space="0"/>
              <w:left w:val="nil"/>
              <w:bottom w:val="single" w:color="000000" w:sz="4" w:space="0"/>
              <w:right w:val="single" w:color="000000" w:sz="4" w:space="0"/>
            </w:tcBorders>
          </w:tcPr>
          <w:p w14:paraId="10BD4D43">
            <w:pPr>
              <w:pStyle w:val="17"/>
              <w:jc w:val="left"/>
              <w:rPr>
                <w:b/>
                <w:sz w:val="22"/>
              </w:rPr>
            </w:pPr>
          </w:p>
          <w:p w14:paraId="79E2F3E9">
            <w:pPr>
              <w:pStyle w:val="17"/>
              <w:jc w:val="left"/>
              <w:rPr>
                <w:b/>
                <w:sz w:val="22"/>
              </w:rPr>
            </w:pPr>
          </w:p>
          <w:p w14:paraId="139A3F1A">
            <w:pPr>
              <w:pStyle w:val="17"/>
              <w:spacing w:before="8"/>
              <w:jc w:val="left"/>
              <w:rPr>
                <w:b/>
                <w:sz w:val="19"/>
              </w:rPr>
            </w:pPr>
          </w:p>
          <w:p w14:paraId="01B0F4C2">
            <w:pPr>
              <w:pStyle w:val="17"/>
              <w:ind w:left="182"/>
              <w:jc w:val="left"/>
              <w:rPr>
                <w:rFonts w:ascii="Times New Roman"/>
                <w:sz w:val="21"/>
              </w:rPr>
            </w:pPr>
            <w:r>
              <w:rPr>
                <w:rFonts w:ascii="Times New Roman"/>
                <w:sz w:val="21"/>
              </w:rPr>
              <w:t>DA001</w:t>
            </w:r>
          </w:p>
        </w:tc>
        <w:tc>
          <w:tcPr>
            <w:tcW w:w="1043" w:type="dxa"/>
            <w:tcBorders>
              <w:top w:val="single" w:color="000000" w:sz="4" w:space="0"/>
              <w:left w:val="single" w:color="000000" w:sz="4" w:space="0"/>
              <w:bottom w:val="single" w:color="000000" w:sz="4" w:space="0"/>
              <w:right w:val="single" w:color="000000" w:sz="4" w:space="0"/>
            </w:tcBorders>
          </w:tcPr>
          <w:p w14:paraId="17055BA3">
            <w:pPr>
              <w:pStyle w:val="17"/>
              <w:jc w:val="left"/>
              <w:rPr>
                <w:b/>
                <w:sz w:val="20"/>
              </w:rPr>
            </w:pPr>
          </w:p>
          <w:p w14:paraId="773902D6">
            <w:pPr>
              <w:pStyle w:val="17"/>
              <w:jc w:val="left"/>
              <w:rPr>
                <w:b/>
                <w:sz w:val="20"/>
              </w:rPr>
            </w:pPr>
          </w:p>
          <w:p w14:paraId="54A0E556">
            <w:pPr>
              <w:pStyle w:val="17"/>
              <w:spacing w:before="7"/>
              <w:jc w:val="left"/>
              <w:rPr>
                <w:b/>
                <w:sz w:val="22"/>
              </w:rPr>
            </w:pPr>
          </w:p>
          <w:p w14:paraId="75612AFF">
            <w:pPr>
              <w:pStyle w:val="17"/>
              <w:ind w:right="187"/>
              <w:jc w:val="right"/>
              <w:rPr>
                <w:sz w:val="21"/>
              </w:rPr>
            </w:pPr>
            <w:r>
              <w:rPr>
                <w:w w:val="95"/>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1500D017">
            <w:pPr>
              <w:pStyle w:val="17"/>
              <w:jc w:val="left"/>
              <w:rPr>
                <w:b/>
                <w:sz w:val="22"/>
              </w:rPr>
            </w:pPr>
          </w:p>
          <w:p w14:paraId="70CCD00A">
            <w:pPr>
              <w:pStyle w:val="17"/>
              <w:jc w:val="left"/>
              <w:rPr>
                <w:b/>
                <w:sz w:val="22"/>
              </w:rPr>
            </w:pPr>
          </w:p>
          <w:p w14:paraId="45DBF79D">
            <w:pPr>
              <w:pStyle w:val="17"/>
              <w:spacing w:before="8"/>
              <w:jc w:val="left"/>
              <w:rPr>
                <w:b/>
                <w:sz w:val="19"/>
              </w:rPr>
            </w:pPr>
          </w:p>
          <w:p w14:paraId="1CCDB885">
            <w:pPr>
              <w:pStyle w:val="17"/>
              <w:ind w:left="241" w:right="213"/>
              <w:rPr>
                <w:rFonts w:ascii="Times New Roman"/>
                <w:sz w:val="21"/>
              </w:rPr>
            </w:pPr>
            <w:r>
              <w:rPr>
                <w:rFonts w:ascii="Times New Roman"/>
                <w:sz w:val="21"/>
              </w:rPr>
              <w:t>27.8</w:t>
            </w:r>
          </w:p>
        </w:tc>
        <w:tc>
          <w:tcPr>
            <w:tcW w:w="907" w:type="dxa"/>
            <w:tcBorders>
              <w:top w:val="single" w:color="000000" w:sz="4" w:space="0"/>
              <w:left w:val="single" w:color="000000" w:sz="4" w:space="0"/>
              <w:bottom w:val="single" w:color="000000" w:sz="4" w:space="0"/>
              <w:right w:val="single" w:color="000000" w:sz="4" w:space="0"/>
            </w:tcBorders>
          </w:tcPr>
          <w:p w14:paraId="528F4DCB">
            <w:pPr>
              <w:pStyle w:val="17"/>
              <w:jc w:val="left"/>
              <w:rPr>
                <w:b/>
                <w:sz w:val="22"/>
              </w:rPr>
            </w:pPr>
          </w:p>
          <w:p w14:paraId="720FF3D6">
            <w:pPr>
              <w:pStyle w:val="17"/>
              <w:jc w:val="left"/>
              <w:rPr>
                <w:b/>
                <w:sz w:val="22"/>
              </w:rPr>
            </w:pPr>
          </w:p>
          <w:p w14:paraId="7A3929BC">
            <w:pPr>
              <w:pStyle w:val="17"/>
              <w:spacing w:before="8"/>
              <w:jc w:val="left"/>
              <w:rPr>
                <w:b/>
                <w:sz w:val="19"/>
              </w:rPr>
            </w:pPr>
          </w:p>
          <w:p w14:paraId="15DFFAA6">
            <w:pPr>
              <w:pStyle w:val="17"/>
              <w:ind w:left="206" w:right="178"/>
              <w:rPr>
                <w:rFonts w:ascii="Times New Roman"/>
                <w:sz w:val="21"/>
              </w:rPr>
            </w:pPr>
            <w:r>
              <w:rPr>
                <w:rFonts w:ascii="Times New Roman"/>
                <w:sz w:val="21"/>
              </w:rPr>
              <w:t>0.278</w:t>
            </w:r>
          </w:p>
        </w:tc>
        <w:tc>
          <w:tcPr>
            <w:tcW w:w="1984" w:type="dxa"/>
            <w:tcBorders>
              <w:top w:val="single" w:color="000000" w:sz="4" w:space="0"/>
              <w:left w:val="single" w:color="000000" w:sz="4" w:space="0"/>
              <w:bottom w:val="single" w:color="000000" w:sz="4" w:space="0"/>
              <w:right w:val="single" w:color="000000" w:sz="4" w:space="0"/>
            </w:tcBorders>
          </w:tcPr>
          <w:p w14:paraId="60564E64">
            <w:pPr>
              <w:pStyle w:val="17"/>
              <w:spacing w:before="21" w:line="278" w:lineRule="auto"/>
              <w:ind w:left="116" w:right="88" w:firstLine="45"/>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 xml:space="preserve">GB </w:t>
            </w:r>
            <w:r>
              <w:rPr>
                <w:rFonts w:ascii="Times New Roman" w:eastAsia="Times New Roman"/>
                <w:sz w:val="21"/>
              </w:rPr>
              <w:t>31572-2015</w:t>
            </w:r>
            <w:r>
              <w:rPr>
                <w:sz w:val="21"/>
              </w:rPr>
              <w:t>）及其</w:t>
            </w:r>
          </w:p>
          <w:p w14:paraId="73856DFB">
            <w:pPr>
              <w:pStyle w:val="17"/>
              <w:spacing w:line="269" w:lineRule="exact"/>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5C166731">
            <w:pPr>
              <w:pStyle w:val="17"/>
              <w:spacing w:before="2" w:line="310" w:lineRule="atLeast"/>
              <w:ind w:left="685" w:right="132" w:hanging="524"/>
              <w:jc w:val="left"/>
              <w:rPr>
                <w:sz w:val="21"/>
              </w:rPr>
            </w:pPr>
            <w:r>
              <w:rPr>
                <w:w w:val="95"/>
                <w:sz w:val="21"/>
              </w:rPr>
              <w:t>大气污染物排放限</w:t>
            </w:r>
            <w:r>
              <w:rPr>
                <w:sz w:val="21"/>
              </w:rPr>
              <w:t>值要求</w:t>
            </w:r>
          </w:p>
        </w:tc>
        <w:tc>
          <w:tcPr>
            <w:tcW w:w="1149" w:type="dxa"/>
            <w:tcBorders>
              <w:top w:val="single" w:color="000000" w:sz="4" w:space="0"/>
              <w:left w:val="single" w:color="000000" w:sz="4" w:space="0"/>
              <w:bottom w:val="single" w:color="000000" w:sz="4" w:space="0"/>
              <w:right w:val="single" w:color="000000" w:sz="4" w:space="0"/>
            </w:tcBorders>
          </w:tcPr>
          <w:p w14:paraId="5E2DA20D">
            <w:pPr>
              <w:pStyle w:val="17"/>
              <w:jc w:val="left"/>
              <w:rPr>
                <w:b/>
                <w:sz w:val="22"/>
              </w:rPr>
            </w:pPr>
          </w:p>
          <w:p w14:paraId="20FB55BD">
            <w:pPr>
              <w:pStyle w:val="17"/>
              <w:jc w:val="left"/>
              <w:rPr>
                <w:b/>
                <w:sz w:val="22"/>
              </w:rPr>
            </w:pPr>
          </w:p>
          <w:p w14:paraId="68A8951D">
            <w:pPr>
              <w:pStyle w:val="17"/>
              <w:spacing w:before="8"/>
              <w:jc w:val="left"/>
              <w:rPr>
                <w:b/>
                <w:sz w:val="19"/>
              </w:rPr>
            </w:pPr>
          </w:p>
          <w:p w14:paraId="380A5819">
            <w:pPr>
              <w:pStyle w:val="17"/>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12AC36CC">
            <w:pPr>
              <w:pStyle w:val="17"/>
              <w:jc w:val="left"/>
              <w:rPr>
                <w:b/>
                <w:sz w:val="22"/>
              </w:rPr>
            </w:pPr>
          </w:p>
          <w:p w14:paraId="72788610">
            <w:pPr>
              <w:pStyle w:val="17"/>
              <w:jc w:val="left"/>
              <w:rPr>
                <w:b/>
                <w:sz w:val="22"/>
              </w:rPr>
            </w:pPr>
          </w:p>
          <w:p w14:paraId="128033AD">
            <w:pPr>
              <w:pStyle w:val="17"/>
              <w:spacing w:before="8"/>
              <w:jc w:val="left"/>
              <w:rPr>
                <w:b/>
                <w:sz w:val="19"/>
              </w:rPr>
            </w:pPr>
          </w:p>
          <w:p w14:paraId="26B2253C">
            <w:pPr>
              <w:pStyle w:val="17"/>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1536E8D0">
            <w:pPr>
              <w:pStyle w:val="17"/>
              <w:jc w:val="left"/>
              <w:rPr>
                <w:b/>
                <w:sz w:val="20"/>
              </w:rPr>
            </w:pPr>
          </w:p>
          <w:p w14:paraId="0863C026">
            <w:pPr>
              <w:pStyle w:val="17"/>
              <w:jc w:val="left"/>
              <w:rPr>
                <w:b/>
                <w:sz w:val="20"/>
              </w:rPr>
            </w:pPr>
          </w:p>
          <w:p w14:paraId="2C4EB7DA">
            <w:pPr>
              <w:pStyle w:val="17"/>
              <w:spacing w:before="7"/>
              <w:jc w:val="left"/>
              <w:rPr>
                <w:b/>
                <w:sz w:val="22"/>
              </w:rPr>
            </w:pPr>
          </w:p>
          <w:p w14:paraId="5C918269">
            <w:pPr>
              <w:pStyle w:val="17"/>
              <w:ind w:left="141" w:right="120"/>
              <w:rPr>
                <w:sz w:val="21"/>
              </w:rPr>
            </w:pPr>
            <w:r>
              <w:rPr>
                <w:sz w:val="21"/>
              </w:rPr>
              <w:t>达标</w:t>
            </w:r>
          </w:p>
        </w:tc>
      </w:tr>
      <w:tr w14:paraId="0423DB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954" w:type="dxa"/>
            <w:vMerge w:val="restart"/>
            <w:tcBorders>
              <w:top w:val="single" w:color="000000" w:sz="4" w:space="0"/>
              <w:left w:val="nil"/>
              <w:right w:val="single" w:color="000000" w:sz="4" w:space="0"/>
            </w:tcBorders>
          </w:tcPr>
          <w:p w14:paraId="73559D5D">
            <w:pPr>
              <w:pStyle w:val="17"/>
              <w:jc w:val="left"/>
              <w:rPr>
                <w:b/>
                <w:sz w:val="22"/>
              </w:rPr>
            </w:pPr>
          </w:p>
          <w:p w14:paraId="23401CE8">
            <w:pPr>
              <w:pStyle w:val="17"/>
              <w:jc w:val="left"/>
              <w:rPr>
                <w:b/>
                <w:sz w:val="22"/>
              </w:rPr>
            </w:pPr>
          </w:p>
          <w:p w14:paraId="4215DAA9">
            <w:pPr>
              <w:pStyle w:val="17"/>
              <w:spacing w:before="2"/>
              <w:jc w:val="left"/>
              <w:rPr>
                <w:b/>
                <w:sz w:val="32"/>
              </w:rPr>
            </w:pPr>
          </w:p>
          <w:p w14:paraId="506B2B2F">
            <w:pPr>
              <w:pStyle w:val="17"/>
              <w:ind w:left="182"/>
              <w:jc w:val="left"/>
              <w:rPr>
                <w:rFonts w:ascii="Times New Roman"/>
                <w:sz w:val="21"/>
              </w:rPr>
            </w:pPr>
            <w:r>
              <w:rPr>
                <w:rFonts w:ascii="Times New Roman"/>
                <w:sz w:val="21"/>
              </w:rPr>
              <w:t>DA002</w:t>
            </w:r>
          </w:p>
        </w:tc>
        <w:tc>
          <w:tcPr>
            <w:tcW w:w="1043" w:type="dxa"/>
            <w:tcBorders>
              <w:top w:val="single" w:color="000000" w:sz="4" w:space="0"/>
              <w:left w:val="single" w:color="000000" w:sz="4" w:space="0"/>
              <w:bottom w:val="single" w:color="000000" w:sz="4" w:space="0"/>
              <w:right w:val="single" w:color="000000" w:sz="4" w:space="0"/>
            </w:tcBorders>
          </w:tcPr>
          <w:p w14:paraId="52E89E04">
            <w:pPr>
              <w:pStyle w:val="17"/>
              <w:spacing w:before="21" w:line="261" w:lineRule="exact"/>
              <w:ind w:right="187"/>
              <w:jc w:val="right"/>
              <w:rPr>
                <w:sz w:val="21"/>
              </w:rPr>
            </w:pPr>
            <w:r>
              <w:rPr>
                <w:w w:val="95"/>
                <w:sz w:val="21"/>
              </w:rPr>
              <w:t>颗粒物</w:t>
            </w:r>
          </w:p>
        </w:tc>
        <w:tc>
          <w:tcPr>
            <w:tcW w:w="980" w:type="dxa"/>
            <w:tcBorders>
              <w:top w:val="single" w:color="000000" w:sz="4" w:space="0"/>
              <w:left w:val="single" w:color="000000" w:sz="4" w:space="0"/>
              <w:bottom w:val="single" w:color="000000" w:sz="4" w:space="0"/>
              <w:right w:val="single" w:color="000000" w:sz="4" w:space="0"/>
            </w:tcBorders>
          </w:tcPr>
          <w:p w14:paraId="055B5A40">
            <w:pPr>
              <w:pStyle w:val="17"/>
              <w:spacing w:before="35"/>
              <w:ind w:left="241" w:right="213"/>
              <w:rPr>
                <w:rFonts w:ascii="Times New Roman"/>
                <w:sz w:val="21"/>
              </w:rPr>
            </w:pPr>
            <w:r>
              <w:rPr>
                <w:rFonts w:ascii="Times New Roman"/>
                <w:sz w:val="21"/>
              </w:rPr>
              <w:t>28.1</w:t>
            </w:r>
          </w:p>
        </w:tc>
        <w:tc>
          <w:tcPr>
            <w:tcW w:w="907" w:type="dxa"/>
            <w:tcBorders>
              <w:top w:val="single" w:color="000000" w:sz="4" w:space="0"/>
              <w:left w:val="single" w:color="000000" w:sz="4" w:space="0"/>
              <w:bottom w:val="single" w:color="000000" w:sz="4" w:space="0"/>
              <w:right w:val="single" w:color="000000" w:sz="4" w:space="0"/>
            </w:tcBorders>
          </w:tcPr>
          <w:p w14:paraId="4B03F74A">
            <w:pPr>
              <w:pStyle w:val="17"/>
              <w:spacing w:before="35"/>
              <w:ind w:left="206" w:right="178"/>
              <w:rPr>
                <w:rFonts w:ascii="Times New Roman"/>
                <w:sz w:val="21"/>
              </w:rPr>
            </w:pPr>
            <w:r>
              <w:rPr>
                <w:rFonts w:ascii="Times New Roman"/>
                <w:sz w:val="21"/>
              </w:rPr>
              <w:t>0.422</w:t>
            </w:r>
          </w:p>
        </w:tc>
        <w:tc>
          <w:tcPr>
            <w:tcW w:w="1984" w:type="dxa"/>
            <w:vMerge w:val="restart"/>
            <w:tcBorders>
              <w:top w:val="single" w:color="000000" w:sz="4" w:space="0"/>
              <w:left w:val="single" w:color="000000" w:sz="4" w:space="0"/>
              <w:bottom w:val="single" w:color="000000" w:sz="4" w:space="0"/>
              <w:right w:val="single" w:color="000000" w:sz="4" w:space="0"/>
            </w:tcBorders>
          </w:tcPr>
          <w:p w14:paraId="042716D0">
            <w:pPr>
              <w:pStyle w:val="17"/>
              <w:spacing w:before="21" w:line="278" w:lineRule="auto"/>
              <w:ind w:left="116" w:right="88" w:firstLine="45"/>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w:t>
            </w:r>
            <w:r>
              <w:rPr>
                <w:sz w:val="21"/>
              </w:rPr>
              <w:fldChar w:fldCharType="end"/>
            </w:r>
            <w:r>
              <w:fldChar w:fldCharType="begin"/>
            </w:r>
            <w:r>
              <w:instrText xml:space="preserve"> HYPERLINK "https://www.mee.gov.cn/ywgz/fgbz/bz/bzwb/dqhjbh/dqgdwrywrwpfbz/201505/W020150506393371746579.pdf" \h </w:instrText>
            </w:r>
            <w:r>
              <w:fldChar w:fldCharType="separate"/>
            </w:r>
            <w:r>
              <w:rPr>
                <w:w w:val="95"/>
                <w:sz w:val="21"/>
              </w:rPr>
              <w:t>染物排放标准</w:t>
            </w:r>
            <w:r>
              <w:rPr>
                <w:w w:val="95"/>
                <w:sz w:val="21"/>
              </w:rPr>
              <w:fldChar w:fldCharType="end"/>
            </w:r>
            <w:r>
              <w:rPr>
                <w:spacing w:val="-202"/>
                <w:w w:val="95"/>
                <w:sz w:val="21"/>
              </w:rPr>
              <w:t>》</w:t>
            </w:r>
            <w:r>
              <w:rPr>
                <w:w w:val="95"/>
                <w:sz w:val="21"/>
              </w:rPr>
              <w:t>（</w:t>
            </w:r>
            <w:r>
              <w:rPr>
                <w:rFonts w:ascii="Times New Roman" w:eastAsia="Times New Roman"/>
                <w:w w:val="95"/>
                <w:sz w:val="21"/>
              </w:rPr>
              <w:t xml:space="preserve">GB </w:t>
            </w:r>
            <w:r>
              <w:rPr>
                <w:rFonts w:ascii="Times New Roman" w:eastAsia="Times New Roman"/>
                <w:sz w:val="21"/>
              </w:rPr>
              <w:t>31572-2015</w:t>
            </w:r>
            <w:r>
              <w:rPr>
                <w:sz w:val="21"/>
              </w:rPr>
              <w:t>）及其</w:t>
            </w:r>
          </w:p>
          <w:p w14:paraId="72710C9E">
            <w:pPr>
              <w:pStyle w:val="17"/>
              <w:spacing w:line="269" w:lineRule="exact"/>
              <w:ind w:left="162"/>
              <w:jc w:val="left"/>
              <w:rPr>
                <w:rFonts w:ascii="Times New Roman" w:eastAsia="Times New Roman"/>
                <w:sz w:val="21"/>
              </w:rPr>
            </w:pPr>
            <w:r>
              <w:rPr>
                <w:rFonts w:ascii="Times New Roman" w:eastAsia="Times New Roman"/>
                <w:sz w:val="21"/>
              </w:rPr>
              <w:t xml:space="preserve">2024 </w:t>
            </w:r>
            <w:r>
              <w:rPr>
                <w:sz w:val="21"/>
              </w:rPr>
              <w:t xml:space="preserve">年修改单表 </w:t>
            </w:r>
            <w:r>
              <w:rPr>
                <w:rFonts w:ascii="Times New Roman" w:eastAsia="Times New Roman"/>
                <w:sz w:val="21"/>
              </w:rPr>
              <w:t>4</w:t>
            </w:r>
          </w:p>
          <w:p w14:paraId="0598954D">
            <w:pPr>
              <w:pStyle w:val="17"/>
              <w:spacing w:before="2" w:line="310" w:lineRule="atLeast"/>
              <w:ind w:left="685" w:right="132" w:hanging="524"/>
              <w:jc w:val="left"/>
              <w:rPr>
                <w:sz w:val="21"/>
              </w:rPr>
            </w:pPr>
            <w:r>
              <w:rPr>
                <w:w w:val="95"/>
                <w:sz w:val="21"/>
              </w:rPr>
              <w:t>大气污染物排放限</w:t>
            </w:r>
            <w:r>
              <w:rPr>
                <w:sz w:val="21"/>
              </w:rPr>
              <w:t>值要求</w:t>
            </w:r>
          </w:p>
        </w:tc>
        <w:tc>
          <w:tcPr>
            <w:tcW w:w="1149" w:type="dxa"/>
            <w:tcBorders>
              <w:top w:val="single" w:color="000000" w:sz="4" w:space="0"/>
              <w:left w:val="single" w:color="000000" w:sz="4" w:space="0"/>
              <w:bottom w:val="single" w:color="000000" w:sz="4" w:space="0"/>
              <w:right w:val="single" w:color="000000" w:sz="4" w:space="0"/>
            </w:tcBorders>
          </w:tcPr>
          <w:p w14:paraId="6792D2D3">
            <w:pPr>
              <w:pStyle w:val="17"/>
              <w:spacing w:before="35"/>
              <w:ind w:left="141" w:right="116"/>
              <w:rPr>
                <w:rFonts w:ascii="Times New Roman"/>
                <w:sz w:val="21"/>
              </w:rPr>
            </w:pPr>
            <w:r>
              <w:rPr>
                <w:rFonts w:ascii="Times New Roman"/>
                <w:sz w:val="21"/>
              </w:rPr>
              <w:t>30</w:t>
            </w:r>
          </w:p>
        </w:tc>
        <w:tc>
          <w:tcPr>
            <w:tcW w:w="774" w:type="dxa"/>
            <w:tcBorders>
              <w:top w:val="single" w:color="000000" w:sz="4" w:space="0"/>
              <w:left w:val="single" w:color="000000" w:sz="4" w:space="0"/>
              <w:bottom w:val="single" w:color="000000" w:sz="4" w:space="0"/>
              <w:right w:val="single" w:color="000000" w:sz="4" w:space="0"/>
            </w:tcBorders>
          </w:tcPr>
          <w:p w14:paraId="44785AB1">
            <w:pPr>
              <w:pStyle w:val="17"/>
              <w:spacing w:before="35"/>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5C24B4C6">
            <w:pPr>
              <w:pStyle w:val="17"/>
              <w:spacing w:before="21" w:line="261" w:lineRule="exact"/>
              <w:ind w:left="141" w:right="120"/>
              <w:rPr>
                <w:sz w:val="21"/>
              </w:rPr>
            </w:pPr>
            <w:r>
              <w:rPr>
                <w:sz w:val="21"/>
              </w:rPr>
              <w:t>达标</w:t>
            </w:r>
          </w:p>
        </w:tc>
      </w:tr>
      <w:tr w14:paraId="35CD34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30" w:hRule="atLeast"/>
        </w:trPr>
        <w:tc>
          <w:tcPr>
            <w:tcW w:w="954" w:type="dxa"/>
            <w:vMerge w:val="continue"/>
            <w:tcBorders>
              <w:top w:val="nil"/>
              <w:left w:val="nil"/>
              <w:right w:val="single" w:color="000000" w:sz="4" w:space="0"/>
            </w:tcBorders>
          </w:tcPr>
          <w:p w14:paraId="64765A47">
            <w:pPr>
              <w:rPr>
                <w:sz w:val="2"/>
                <w:szCs w:val="2"/>
              </w:rPr>
            </w:pPr>
          </w:p>
        </w:tc>
        <w:tc>
          <w:tcPr>
            <w:tcW w:w="1043" w:type="dxa"/>
            <w:tcBorders>
              <w:top w:val="single" w:color="000000" w:sz="4" w:space="0"/>
              <w:left w:val="single" w:color="000000" w:sz="4" w:space="0"/>
              <w:bottom w:val="single" w:color="000000" w:sz="4" w:space="0"/>
              <w:right w:val="single" w:color="000000" w:sz="4" w:space="0"/>
            </w:tcBorders>
          </w:tcPr>
          <w:p w14:paraId="63D5E6EB">
            <w:pPr>
              <w:pStyle w:val="17"/>
              <w:jc w:val="left"/>
              <w:rPr>
                <w:b/>
                <w:sz w:val="20"/>
              </w:rPr>
            </w:pPr>
          </w:p>
          <w:p w14:paraId="6265F194">
            <w:pPr>
              <w:pStyle w:val="17"/>
              <w:jc w:val="left"/>
              <w:rPr>
                <w:b/>
                <w:sz w:val="17"/>
              </w:rPr>
            </w:pPr>
          </w:p>
          <w:p w14:paraId="16E618B5">
            <w:pPr>
              <w:pStyle w:val="17"/>
              <w:spacing w:line="278" w:lineRule="auto"/>
              <w:ind w:left="320" w:right="187" w:hanging="106"/>
              <w:jc w:val="left"/>
              <w:rPr>
                <w:sz w:val="21"/>
              </w:rPr>
            </w:pPr>
            <w:r>
              <w:rPr>
                <w:sz w:val="21"/>
              </w:rPr>
              <w:t>非甲烷总烃</w:t>
            </w:r>
          </w:p>
        </w:tc>
        <w:tc>
          <w:tcPr>
            <w:tcW w:w="980" w:type="dxa"/>
            <w:tcBorders>
              <w:top w:val="single" w:color="000000" w:sz="4" w:space="0"/>
              <w:left w:val="single" w:color="000000" w:sz="4" w:space="0"/>
              <w:bottom w:val="single" w:color="000000" w:sz="4" w:space="0"/>
              <w:right w:val="single" w:color="000000" w:sz="4" w:space="0"/>
            </w:tcBorders>
          </w:tcPr>
          <w:p w14:paraId="76651F87">
            <w:pPr>
              <w:pStyle w:val="17"/>
              <w:jc w:val="left"/>
              <w:rPr>
                <w:b/>
                <w:sz w:val="22"/>
              </w:rPr>
            </w:pPr>
          </w:p>
          <w:p w14:paraId="61656F73">
            <w:pPr>
              <w:pStyle w:val="17"/>
              <w:spacing w:before="3"/>
              <w:jc w:val="left"/>
              <w:rPr>
                <w:b/>
                <w:sz w:val="28"/>
              </w:rPr>
            </w:pPr>
          </w:p>
          <w:p w14:paraId="634D4E36">
            <w:pPr>
              <w:pStyle w:val="17"/>
              <w:ind w:left="241" w:right="215"/>
              <w:rPr>
                <w:rFonts w:ascii="Times New Roman"/>
                <w:sz w:val="21"/>
              </w:rPr>
            </w:pPr>
            <w:r>
              <w:rPr>
                <w:rFonts w:ascii="Times New Roman"/>
                <w:sz w:val="21"/>
              </w:rPr>
              <w:t>209.4</w:t>
            </w:r>
          </w:p>
        </w:tc>
        <w:tc>
          <w:tcPr>
            <w:tcW w:w="907" w:type="dxa"/>
            <w:tcBorders>
              <w:top w:val="single" w:color="000000" w:sz="4" w:space="0"/>
              <w:left w:val="single" w:color="000000" w:sz="4" w:space="0"/>
              <w:bottom w:val="single" w:color="000000" w:sz="4" w:space="0"/>
              <w:right w:val="single" w:color="000000" w:sz="4" w:space="0"/>
            </w:tcBorders>
          </w:tcPr>
          <w:p w14:paraId="476890FC">
            <w:pPr>
              <w:pStyle w:val="17"/>
              <w:jc w:val="left"/>
              <w:rPr>
                <w:b/>
                <w:sz w:val="22"/>
              </w:rPr>
            </w:pPr>
          </w:p>
          <w:p w14:paraId="6FE590D1">
            <w:pPr>
              <w:pStyle w:val="17"/>
              <w:spacing w:before="3"/>
              <w:jc w:val="left"/>
              <w:rPr>
                <w:b/>
                <w:sz w:val="28"/>
              </w:rPr>
            </w:pPr>
          </w:p>
          <w:p w14:paraId="0AC8D1D9">
            <w:pPr>
              <w:pStyle w:val="17"/>
              <w:ind w:left="206" w:right="178"/>
              <w:rPr>
                <w:rFonts w:ascii="Times New Roman"/>
                <w:sz w:val="21"/>
              </w:rPr>
            </w:pPr>
            <w:r>
              <w:rPr>
                <w:rFonts w:ascii="Times New Roman"/>
                <w:sz w:val="21"/>
              </w:rPr>
              <w:t>3.141</w:t>
            </w:r>
          </w:p>
        </w:tc>
        <w:tc>
          <w:tcPr>
            <w:tcW w:w="1984" w:type="dxa"/>
            <w:vMerge w:val="continue"/>
            <w:tcBorders>
              <w:top w:val="nil"/>
              <w:left w:val="single" w:color="000000" w:sz="4" w:space="0"/>
              <w:bottom w:val="single" w:color="000000" w:sz="4" w:space="0"/>
              <w:right w:val="single" w:color="000000" w:sz="4" w:space="0"/>
            </w:tcBorders>
          </w:tcPr>
          <w:p w14:paraId="76E51F31">
            <w:pPr>
              <w:rPr>
                <w:sz w:val="2"/>
                <w:szCs w:val="2"/>
              </w:rPr>
            </w:pPr>
          </w:p>
        </w:tc>
        <w:tc>
          <w:tcPr>
            <w:tcW w:w="1149" w:type="dxa"/>
            <w:tcBorders>
              <w:top w:val="single" w:color="000000" w:sz="4" w:space="0"/>
              <w:left w:val="single" w:color="000000" w:sz="4" w:space="0"/>
              <w:bottom w:val="single" w:color="000000" w:sz="4" w:space="0"/>
              <w:right w:val="single" w:color="000000" w:sz="4" w:space="0"/>
            </w:tcBorders>
          </w:tcPr>
          <w:p w14:paraId="3E9481C6">
            <w:pPr>
              <w:pStyle w:val="17"/>
              <w:jc w:val="left"/>
              <w:rPr>
                <w:b/>
                <w:sz w:val="22"/>
              </w:rPr>
            </w:pPr>
          </w:p>
          <w:p w14:paraId="38A7194C">
            <w:pPr>
              <w:pStyle w:val="17"/>
              <w:spacing w:before="3"/>
              <w:jc w:val="left"/>
              <w:rPr>
                <w:b/>
                <w:sz w:val="28"/>
              </w:rPr>
            </w:pPr>
          </w:p>
          <w:p w14:paraId="11A2CBFE">
            <w:pPr>
              <w:pStyle w:val="17"/>
              <w:ind w:left="141" w:right="113"/>
              <w:rPr>
                <w:rFonts w:ascii="Times New Roman"/>
                <w:sz w:val="21"/>
              </w:rPr>
            </w:pPr>
            <w:r>
              <w:rPr>
                <w:rFonts w:ascii="Times New Roman"/>
                <w:sz w:val="21"/>
              </w:rPr>
              <w:t>100</w:t>
            </w:r>
          </w:p>
        </w:tc>
        <w:tc>
          <w:tcPr>
            <w:tcW w:w="774" w:type="dxa"/>
            <w:tcBorders>
              <w:top w:val="single" w:color="000000" w:sz="4" w:space="0"/>
              <w:left w:val="single" w:color="000000" w:sz="4" w:space="0"/>
              <w:bottom w:val="single" w:color="000000" w:sz="4" w:space="0"/>
              <w:right w:val="single" w:color="000000" w:sz="4" w:space="0"/>
            </w:tcBorders>
          </w:tcPr>
          <w:p w14:paraId="206F6815">
            <w:pPr>
              <w:pStyle w:val="17"/>
              <w:jc w:val="left"/>
              <w:rPr>
                <w:b/>
                <w:sz w:val="22"/>
              </w:rPr>
            </w:pPr>
          </w:p>
          <w:p w14:paraId="57020415">
            <w:pPr>
              <w:pStyle w:val="17"/>
              <w:spacing w:before="3"/>
              <w:jc w:val="left"/>
              <w:rPr>
                <w:b/>
                <w:sz w:val="28"/>
              </w:rPr>
            </w:pPr>
          </w:p>
          <w:p w14:paraId="193FC0BE">
            <w:pPr>
              <w:pStyle w:val="17"/>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bottom w:val="single" w:color="000000" w:sz="4" w:space="0"/>
              <w:right w:val="nil"/>
            </w:tcBorders>
          </w:tcPr>
          <w:p w14:paraId="59110365">
            <w:pPr>
              <w:pStyle w:val="17"/>
              <w:jc w:val="left"/>
              <w:rPr>
                <w:b/>
                <w:sz w:val="20"/>
              </w:rPr>
            </w:pPr>
          </w:p>
          <w:p w14:paraId="3B4737B2">
            <w:pPr>
              <w:pStyle w:val="17"/>
              <w:spacing w:before="2"/>
              <w:jc w:val="left"/>
              <w:rPr>
                <w:b/>
                <w:sz w:val="29"/>
              </w:rPr>
            </w:pPr>
          </w:p>
          <w:p w14:paraId="1712762F">
            <w:pPr>
              <w:pStyle w:val="17"/>
              <w:ind w:left="141" w:right="120"/>
              <w:rPr>
                <w:sz w:val="21"/>
              </w:rPr>
            </w:pPr>
            <w:r>
              <w:rPr>
                <w:sz w:val="21"/>
              </w:rPr>
              <w:t>超标</w:t>
            </w:r>
          </w:p>
        </w:tc>
      </w:tr>
      <w:tr w14:paraId="13C0EB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954" w:type="dxa"/>
            <w:vMerge w:val="continue"/>
            <w:tcBorders>
              <w:top w:val="nil"/>
              <w:left w:val="nil"/>
              <w:right w:val="single" w:color="000000" w:sz="4" w:space="0"/>
            </w:tcBorders>
          </w:tcPr>
          <w:p w14:paraId="6DAEF5C3">
            <w:pPr>
              <w:rPr>
                <w:sz w:val="2"/>
                <w:szCs w:val="2"/>
              </w:rPr>
            </w:pPr>
          </w:p>
        </w:tc>
        <w:tc>
          <w:tcPr>
            <w:tcW w:w="1043" w:type="dxa"/>
            <w:tcBorders>
              <w:top w:val="single" w:color="000000" w:sz="4" w:space="0"/>
              <w:left w:val="single" w:color="000000" w:sz="4" w:space="0"/>
              <w:right w:val="single" w:color="000000" w:sz="4" w:space="0"/>
            </w:tcBorders>
          </w:tcPr>
          <w:p w14:paraId="0FC55587">
            <w:pPr>
              <w:pStyle w:val="17"/>
              <w:spacing w:before="11"/>
              <w:ind w:right="187"/>
              <w:jc w:val="right"/>
              <w:rPr>
                <w:sz w:val="21"/>
              </w:rPr>
            </w:pPr>
            <w:r>
              <w:rPr>
                <w:w w:val="95"/>
                <w:sz w:val="21"/>
              </w:rPr>
              <w:t>臭气浓</w:t>
            </w:r>
          </w:p>
        </w:tc>
        <w:tc>
          <w:tcPr>
            <w:tcW w:w="980" w:type="dxa"/>
            <w:tcBorders>
              <w:top w:val="single" w:color="000000" w:sz="4" w:space="0"/>
              <w:left w:val="single" w:color="000000" w:sz="4" w:space="0"/>
              <w:right w:val="single" w:color="000000" w:sz="4" w:space="0"/>
            </w:tcBorders>
          </w:tcPr>
          <w:p w14:paraId="3981EE7B">
            <w:pPr>
              <w:pStyle w:val="17"/>
              <w:spacing w:before="25"/>
              <w:ind w:left="28"/>
              <w:rPr>
                <w:rFonts w:ascii="Times New Roman"/>
                <w:sz w:val="21"/>
              </w:rPr>
            </w:pPr>
            <w:r>
              <w:rPr>
                <w:rFonts w:ascii="Times New Roman"/>
                <w:w w:val="99"/>
                <w:sz w:val="21"/>
              </w:rPr>
              <w:t>/</w:t>
            </w:r>
          </w:p>
        </w:tc>
        <w:tc>
          <w:tcPr>
            <w:tcW w:w="907" w:type="dxa"/>
            <w:tcBorders>
              <w:top w:val="single" w:color="000000" w:sz="4" w:space="0"/>
              <w:left w:val="single" w:color="000000" w:sz="4" w:space="0"/>
              <w:right w:val="single" w:color="000000" w:sz="4" w:space="0"/>
            </w:tcBorders>
          </w:tcPr>
          <w:p w14:paraId="2B23DE51">
            <w:pPr>
              <w:pStyle w:val="17"/>
              <w:spacing w:before="25"/>
              <w:ind w:left="27"/>
              <w:rPr>
                <w:rFonts w:ascii="Times New Roman"/>
                <w:sz w:val="21"/>
              </w:rPr>
            </w:pPr>
            <w:r>
              <w:rPr>
                <w:rFonts w:ascii="Times New Roman"/>
                <w:w w:val="99"/>
                <w:sz w:val="21"/>
              </w:rPr>
              <w:t>/</w:t>
            </w:r>
          </w:p>
        </w:tc>
        <w:tc>
          <w:tcPr>
            <w:tcW w:w="1984" w:type="dxa"/>
            <w:tcBorders>
              <w:top w:val="single" w:color="000000" w:sz="4" w:space="0"/>
              <w:left w:val="single" w:color="000000" w:sz="4" w:space="0"/>
              <w:right w:val="single" w:color="000000" w:sz="4" w:space="0"/>
            </w:tcBorders>
          </w:tcPr>
          <w:p w14:paraId="5A5ED732">
            <w:pPr>
              <w:pStyle w:val="17"/>
              <w:spacing w:before="11"/>
              <w:ind w:left="125" w:right="97"/>
              <w:rPr>
                <w:sz w:val="21"/>
              </w:rPr>
            </w:pPr>
            <w:r>
              <w:rPr>
                <w:sz w:val="21"/>
              </w:rPr>
              <w:t>《恶臭污染物排放</w:t>
            </w:r>
          </w:p>
        </w:tc>
        <w:tc>
          <w:tcPr>
            <w:tcW w:w="1149" w:type="dxa"/>
            <w:tcBorders>
              <w:top w:val="single" w:color="000000" w:sz="4" w:space="0"/>
              <w:left w:val="single" w:color="000000" w:sz="4" w:space="0"/>
              <w:right w:val="single" w:color="000000" w:sz="4" w:space="0"/>
            </w:tcBorders>
          </w:tcPr>
          <w:p w14:paraId="7D710C20">
            <w:pPr>
              <w:pStyle w:val="17"/>
              <w:spacing w:before="11"/>
              <w:ind w:left="140" w:right="116"/>
              <w:rPr>
                <w:sz w:val="21"/>
              </w:rPr>
            </w:pPr>
            <w:r>
              <w:rPr>
                <w:rFonts w:ascii="Times New Roman" w:eastAsia="Times New Roman"/>
                <w:sz w:val="21"/>
              </w:rPr>
              <w:t>2000</w:t>
            </w:r>
            <w:r>
              <w:rPr>
                <w:sz w:val="21"/>
              </w:rPr>
              <w:t>（无</w:t>
            </w:r>
          </w:p>
        </w:tc>
        <w:tc>
          <w:tcPr>
            <w:tcW w:w="774" w:type="dxa"/>
            <w:tcBorders>
              <w:top w:val="single" w:color="000000" w:sz="4" w:space="0"/>
              <w:left w:val="single" w:color="000000" w:sz="4" w:space="0"/>
              <w:right w:val="single" w:color="000000" w:sz="4" w:space="0"/>
            </w:tcBorders>
          </w:tcPr>
          <w:p w14:paraId="5A3F8215">
            <w:pPr>
              <w:pStyle w:val="17"/>
              <w:spacing w:before="25"/>
              <w:ind w:left="367"/>
              <w:jc w:val="left"/>
              <w:rPr>
                <w:rFonts w:ascii="Times New Roman"/>
                <w:sz w:val="21"/>
              </w:rPr>
            </w:pPr>
            <w:r>
              <w:rPr>
                <w:rFonts w:ascii="Times New Roman"/>
                <w:w w:val="99"/>
                <w:sz w:val="21"/>
              </w:rPr>
              <w:t>/</w:t>
            </w:r>
          </w:p>
        </w:tc>
        <w:tc>
          <w:tcPr>
            <w:tcW w:w="726" w:type="dxa"/>
            <w:tcBorders>
              <w:top w:val="single" w:color="000000" w:sz="4" w:space="0"/>
              <w:left w:val="single" w:color="000000" w:sz="4" w:space="0"/>
              <w:right w:val="nil"/>
            </w:tcBorders>
          </w:tcPr>
          <w:p w14:paraId="2A3DD9A3">
            <w:pPr>
              <w:pStyle w:val="17"/>
              <w:spacing w:before="25"/>
              <w:ind w:left="21"/>
              <w:rPr>
                <w:rFonts w:ascii="Times New Roman"/>
                <w:sz w:val="21"/>
              </w:rPr>
            </w:pPr>
            <w:r>
              <w:rPr>
                <w:rFonts w:ascii="Times New Roman"/>
                <w:w w:val="99"/>
                <w:sz w:val="21"/>
              </w:rPr>
              <w:t>/</w:t>
            </w:r>
          </w:p>
        </w:tc>
      </w:tr>
    </w:tbl>
    <w:p w14:paraId="6719C7B0">
      <w:pPr>
        <w:spacing w:after="0"/>
        <w:rPr>
          <w:rFonts w:ascii="Times New Roman"/>
          <w:sz w:val="21"/>
        </w:rPr>
        <w:sectPr>
          <w:pgSz w:w="11910" w:h="16840"/>
          <w:pgMar w:top="1420" w:right="1060" w:bottom="1220" w:left="1180" w:header="0" w:footer="1024" w:gutter="0"/>
          <w:cols w:space="720" w:num="1"/>
        </w:sectPr>
      </w:pPr>
    </w:p>
    <w:tbl>
      <w:tblPr>
        <w:tblStyle w:val="13"/>
        <w:tblW w:w="0" w:type="auto"/>
        <w:tblInd w:w="4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4"/>
        <w:gridCol w:w="1043"/>
        <w:gridCol w:w="980"/>
        <w:gridCol w:w="907"/>
        <w:gridCol w:w="1984"/>
        <w:gridCol w:w="1149"/>
        <w:gridCol w:w="774"/>
        <w:gridCol w:w="726"/>
      </w:tblGrid>
      <w:tr w14:paraId="4CE3CD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5" w:hRule="atLeast"/>
        </w:trPr>
        <w:tc>
          <w:tcPr>
            <w:tcW w:w="954" w:type="dxa"/>
            <w:tcBorders>
              <w:left w:val="nil"/>
              <w:right w:val="single" w:color="000000" w:sz="4" w:space="0"/>
            </w:tcBorders>
          </w:tcPr>
          <w:p w14:paraId="2F6B6626">
            <w:pPr>
              <w:pStyle w:val="17"/>
              <w:jc w:val="left"/>
              <w:rPr>
                <w:rFonts w:ascii="Times New Roman"/>
                <w:sz w:val="22"/>
              </w:rPr>
            </w:pPr>
          </w:p>
        </w:tc>
        <w:tc>
          <w:tcPr>
            <w:tcW w:w="1043" w:type="dxa"/>
            <w:tcBorders>
              <w:left w:val="single" w:color="000000" w:sz="4" w:space="0"/>
              <w:right w:val="single" w:color="000000" w:sz="4" w:space="0"/>
            </w:tcBorders>
          </w:tcPr>
          <w:p w14:paraId="627CC4CB">
            <w:pPr>
              <w:pStyle w:val="17"/>
              <w:spacing w:before="1"/>
              <w:ind w:left="27"/>
              <w:rPr>
                <w:sz w:val="21"/>
              </w:rPr>
            </w:pPr>
            <w:r>
              <w:rPr>
                <w:w w:val="99"/>
                <w:sz w:val="21"/>
              </w:rPr>
              <w:t>度</w:t>
            </w:r>
          </w:p>
        </w:tc>
        <w:tc>
          <w:tcPr>
            <w:tcW w:w="980" w:type="dxa"/>
            <w:tcBorders>
              <w:left w:val="single" w:color="000000" w:sz="4" w:space="0"/>
              <w:right w:val="single" w:color="000000" w:sz="4" w:space="0"/>
            </w:tcBorders>
          </w:tcPr>
          <w:p w14:paraId="271501E3">
            <w:pPr>
              <w:pStyle w:val="17"/>
              <w:jc w:val="left"/>
              <w:rPr>
                <w:rFonts w:ascii="Times New Roman"/>
                <w:sz w:val="22"/>
              </w:rPr>
            </w:pPr>
          </w:p>
        </w:tc>
        <w:tc>
          <w:tcPr>
            <w:tcW w:w="907" w:type="dxa"/>
            <w:tcBorders>
              <w:left w:val="single" w:color="000000" w:sz="4" w:space="0"/>
              <w:right w:val="single" w:color="000000" w:sz="4" w:space="0"/>
            </w:tcBorders>
          </w:tcPr>
          <w:p w14:paraId="0B7E161C">
            <w:pPr>
              <w:pStyle w:val="17"/>
              <w:jc w:val="left"/>
              <w:rPr>
                <w:rFonts w:ascii="Times New Roman"/>
                <w:sz w:val="22"/>
              </w:rPr>
            </w:pPr>
          </w:p>
        </w:tc>
        <w:tc>
          <w:tcPr>
            <w:tcW w:w="1984" w:type="dxa"/>
            <w:tcBorders>
              <w:left w:val="single" w:color="000000" w:sz="4" w:space="0"/>
              <w:right w:val="single" w:color="000000" w:sz="4" w:space="0"/>
            </w:tcBorders>
          </w:tcPr>
          <w:p w14:paraId="5F193C5E">
            <w:pPr>
              <w:pStyle w:val="17"/>
              <w:spacing w:before="1"/>
              <w:ind w:left="122" w:right="97"/>
              <w:rPr>
                <w:sz w:val="21"/>
              </w:rPr>
            </w:pPr>
            <w:r>
              <w:rPr>
                <w:sz w:val="21"/>
              </w:rPr>
              <w:t>标准》</w:t>
            </w:r>
          </w:p>
          <w:p w14:paraId="024ACFD3">
            <w:pPr>
              <w:pStyle w:val="17"/>
              <w:spacing w:before="43"/>
              <w:ind w:left="84" w:right="97"/>
              <w:rPr>
                <w:sz w:val="21"/>
              </w:rPr>
            </w:pPr>
            <w:r>
              <w:rPr>
                <w:sz w:val="21"/>
              </w:rPr>
              <w:t>（</w:t>
            </w:r>
            <w:r>
              <w:rPr>
                <w:rFonts w:ascii="Times New Roman" w:eastAsia="Times New Roman"/>
                <w:sz w:val="21"/>
              </w:rPr>
              <w:t>GB14554-93</w:t>
            </w:r>
            <w:r>
              <w:rPr>
                <w:sz w:val="21"/>
              </w:rPr>
              <w:t>）表</w:t>
            </w:r>
          </w:p>
          <w:p w14:paraId="4A950BA3">
            <w:pPr>
              <w:pStyle w:val="17"/>
              <w:spacing w:before="43"/>
              <w:ind w:left="122" w:right="97"/>
              <w:rPr>
                <w:sz w:val="21"/>
              </w:rPr>
            </w:pPr>
            <w:r>
              <w:rPr>
                <w:rFonts w:ascii="Times New Roman" w:eastAsia="Times New Roman"/>
                <w:sz w:val="21"/>
              </w:rPr>
              <w:t xml:space="preserve">2 </w:t>
            </w:r>
            <w:r>
              <w:rPr>
                <w:sz w:val="21"/>
              </w:rPr>
              <w:t>标准要求</w:t>
            </w:r>
          </w:p>
        </w:tc>
        <w:tc>
          <w:tcPr>
            <w:tcW w:w="1149" w:type="dxa"/>
            <w:tcBorders>
              <w:left w:val="single" w:color="000000" w:sz="4" w:space="0"/>
              <w:right w:val="single" w:color="000000" w:sz="4" w:space="0"/>
            </w:tcBorders>
          </w:tcPr>
          <w:p w14:paraId="4471245D">
            <w:pPr>
              <w:pStyle w:val="17"/>
              <w:spacing w:before="1"/>
              <w:ind w:left="268"/>
              <w:jc w:val="left"/>
              <w:rPr>
                <w:sz w:val="21"/>
              </w:rPr>
            </w:pPr>
            <w:r>
              <w:rPr>
                <w:sz w:val="21"/>
              </w:rPr>
              <w:t>量纲）</w:t>
            </w:r>
          </w:p>
        </w:tc>
        <w:tc>
          <w:tcPr>
            <w:tcW w:w="774" w:type="dxa"/>
            <w:tcBorders>
              <w:left w:val="single" w:color="000000" w:sz="4" w:space="0"/>
              <w:right w:val="single" w:color="000000" w:sz="4" w:space="0"/>
            </w:tcBorders>
          </w:tcPr>
          <w:p w14:paraId="08550E9B">
            <w:pPr>
              <w:pStyle w:val="17"/>
              <w:jc w:val="left"/>
              <w:rPr>
                <w:rFonts w:ascii="Times New Roman"/>
                <w:sz w:val="22"/>
              </w:rPr>
            </w:pPr>
          </w:p>
        </w:tc>
        <w:tc>
          <w:tcPr>
            <w:tcW w:w="726" w:type="dxa"/>
            <w:tcBorders>
              <w:left w:val="single" w:color="000000" w:sz="4" w:space="0"/>
              <w:right w:val="nil"/>
            </w:tcBorders>
          </w:tcPr>
          <w:p w14:paraId="2C7F5D62">
            <w:pPr>
              <w:pStyle w:val="17"/>
              <w:jc w:val="left"/>
              <w:rPr>
                <w:rFonts w:ascii="Times New Roman"/>
                <w:sz w:val="22"/>
              </w:rPr>
            </w:pPr>
          </w:p>
        </w:tc>
      </w:tr>
    </w:tbl>
    <w:p w14:paraId="2508D72C">
      <w:pPr>
        <w:pStyle w:val="10"/>
        <w:spacing w:before="5"/>
        <w:rPr>
          <w:b/>
          <w:sz w:val="19"/>
        </w:rPr>
      </w:pPr>
    </w:p>
    <w:p w14:paraId="4EA80226">
      <w:pPr>
        <w:pStyle w:val="10"/>
        <w:spacing w:before="66" w:line="364" w:lineRule="auto"/>
        <w:ind w:left="620" w:right="737" w:firstLine="480"/>
        <w:jc w:val="both"/>
      </w:pPr>
      <w:r>
        <w:rPr>
          <w:spacing w:val="-9"/>
        </w:rPr>
        <w:t>综上所述，非正常工况下，本项目破碎粉尘、投料混料粉尘废气采取“密闭集气罩</w:t>
      </w:r>
      <w:r>
        <w:rPr>
          <w:rFonts w:ascii="Times New Roman" w:hAnsi="Times New Roman" w:eastAsia="Times New Roman"/>
          <w:spacing w:val="-9"/>
        </w:rPr>
        <w:t>+</w:t>
      </w:r>
      <w:r>
        <w:rPr>
          <w:spacing w:val="-9"/>
        </w:rPr>
        <w:t>布袋除尘器</w:t>
      </w:r>
      <w:r>
        <w:rPr>
          <w:rFonts w:ascii="Times New Roman" w:hAnsi="Times New Roman" w:eastAsia="Times New Roman"/>
          <w:spacing w:val="-9"/>
        </w:rPr>
        <w:t xml:space="preserve">+15m </w:t>
      </w:r>
      <w:r>
        <w:rPr>
          <w:spacing w:val="-8"/>
        </w:rPr>
        <w:t xml:space="preserve">高排气筒 </w:t>
      </w:r>
      <w:r>
        <w:rPr>
          <w:rFonts w:ascii="Times New Roman" w:hAnsi="Times New Roman" w:eastAsia="Times New Roman"/>
        </w:rPr>
        <w:t>DA001</w:t>
      </w:r>
      <w:r>
        <w:t>”处理后，颗粒物仍能满足《</w:t>
      </w:r>
      <w:r>
        <w:fldChar w:fldCharType="begin"/>
      </w:r>
      <w:r>
        <w:instrText xml:space="preserve"> HYPERLINK "https://www.mee.gov.cn/ywgz/fgbz/bz/bzwb/dqhjbh/dqgdwrywrwpfbz/201505/W020150506393371746579.pdf" \h </w:instrText>
      </w:r>
      <w:r>
        <w:fldChar w:fldCharType="separate"/>
      </w:r>
      <w:r>
        <w:t>合成树</w:t>
      </w:r>
      <w:r>
        <w:fldChar w:fldCharType="end"/>
      </w:r>
      <w:r>
        <w:fldChar w:fldCharType="begin"/>
      </w:r>
      <w:r>
        <w:instrText xml:space="preserve"> HYPERLINK "https://www.mee.gov.cn/ywgz/fgbz/bz/bzwb/dqhjbh/dqgdwrywrwpfbz/201505/W020150506393371746579.pdf" \h </w:instrText>
      </w:r>
      <w:r>
        <w:fldChar w:fldCharType="separate"/>
      </w:r>
      <w:r>
        <w:t>脂工业污染物排放标准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大气污染物排放限值要求；挤出造粒、挤出注塑废气采用“密闭负压集气罩</w:t>
      </w:r>
      <w:r>
        <w:rPr>
          <w:rFonts w:ascii="Times New Roman" w:hAnsi="Times New Roman" w:eastAsia="Times New Roman"/>
        </w:rPr>
        <w:t>+</w:t>
      </w:r>
      <w:r>
        <w:t>布袋除尘器</w:t>
      </w:r>
      <w:r>
        <w:rPr>
          <w:rFonts w:ascii="Times New Roman" w:hAnsi="Times New Roman" w:eastAsia="Times New Roman"/>
        </w:rPr>
        <w:t xml:space="preserve">+ </w:t>
      </w:r>
      <w:r>
        <w:t>过滤棉</w:t>
      </w:r>
      <w:r>
        <w:rPr>
          <w:rFonts w:ascii="Times New Roman" w:hAnsi="Times New Roman" w:eastAsia="Times New Roman"/>
        </w:rPr>
        <w:t>+</w:t>
      </w:r>
      <w:r>
        <w:t>二级活性炭吸附</w:t>
      </w:r>
      <w:r>
        <w:rPr>
          <w:rFonts w:ascii="Times New Roman" w:hAnsi="Times New Roman" w:eastAsia="Times New Roman"/>
        </w:rPr>
        <w:t xml:space="preserve">+15m </w:t>
      </w:r>
      <w:r>
        <w:rPr>
          <w:spacing w:val="-9"/>
        </w:rPr>
        <w:t xml:space="preserve">高排气筒 </w:t>
      </w:r>
      <w:r>
        <w:rPr>
          <w:rFonts w:ascii="Times New Roman" w:hAnsi="Times New Roman" w:eastAsia="Times New Roman"/>
        </w:rPr>
        <w:t>DA002</w:t>
      </w:r>
      <w:r>
        <w:t>”处理后，颗粒物仍能满足《</w:t>
      </w:r>
      <w:r>
        <w:fldChar w:fldCharType="begin"/>
      </w:r>
      <w:r>
        <w:instrText xml:space="preserve"> HYPERLINK "https://www.mee.gov.cn/ywgz/fgbz/bz/bzwb/dqhjbh/dqgdwrywrwpfbz/201505/W020150506393371746579.pdf" \h </w:instrText>
      </w:r>
      <w:r>
        <w:fldChar w:fldCharType="separate"/>
      </w:r>
      <w:r>
        <w:t>合</w:t>
      </w:r>
      <w:r>
        <w:fldChar w:fldCharType="end"/>
      </w:r>
      <w:r>
        <w:fldChar w:fldCharType="begin"/>
      </w:r>
      <w:r>
        <w:instrText xml:space="preserve"> HYPERLINK "https://www.mee.gov.cn/ywgz/fgbz/bz/bzwb/dqhjbh/dqgdwrywrwpfbz/201505/W020150506393371746579.pdf" \h </w:instrText>
      </w:r>
      <w:r>
        <w:fldChar w:fldCharType="separate"/>
      </w:r>
      <w:r>
        <w:t>成树脂工业污染物排放标准</w:t>
      </w:r>
      <w:r>
        <w:fldChar w:fldCharType="end"/>
      </w:r>
      <w:r>
        <w:rPr>
          <w:spacing w:val="-60"/>
        </w:rPr>
        <w:t>》</w:t>
      </w:r>
      <w:r>
        <w:t>（</w:t>
      </w:r>
      <w:r>
        <w:rPr>
          <w:rFonts w:ascii="Times New Roman" w:hAnsi="Times New Roman" w:eastAsia="Times New Roman"/>
        </w:rPr>
        <w:t xml:space="preserve">GB </w:t>
      </w:r>
      <w:r>
        <w:rPr>
          <w:rFonts w:ascii="Times New Roman" w:hAnsi="Times New Roman" w:eastAsia="Times New Roman"/>
          <w:spacing w:val="-3"/>
        </w:rPr>
        <w:t>31572-2015</w:t>
      </w:r>
      <w:r>
        <w:rPr>
          <w:spacing w:val="-3"/>
        </w:rPr>
        <w:t>）</w:t>
      </w:r>
      <w:r>
        <w:rPr>
          <w:spacing w:val="-21"/>
        </w:rPr>
        <w:t xml:space="preserve">及其 </w:t>
      </w:r>
      <w:r>
        <w:rPr>
          <w:rFonts w:ascii="Times New Roman" w:hAnsi="Times New Roman" w:eastAsia="Times New Roman"/>
        </w:rPr>
        <w:t xml:space="preserve">2024 </w:t>
      </w:r>
      <w:r>
        <w:rPr>
          <w:spacing w:val="-10"/>
        </w:rPr>
        <w:t xml:space="preserve">年修改单表 </w:t>
      </w:r>
      <w:r>
        <w:rPr>
          <w:rFonts w:ascii="Times New Roman" w:hAnsi="Times New Roman" w:eastAsia="Times New Roman"/>
        </w:rPr>
        <w:t xml:space="preserve">4 </w:t>
      </w:r>
      <w:r>
        <w:t>大气污</w:t>
      </w:r>
      <w:r>
        <w:rPr>
          <w:spacing w:val="-9"/>
        </w:rPr>
        <w:t>染物排放限值要求，非甲烷总烃不能满足《</w:t>
      </w:r>
      <w:r>
        <w:fldChar w:fldCharType="begin"/>
      </w:r>
      <w:r>
        <w:instrText xml:space="preserve"> HYPERLINK "https://www.mee.gov.cn/ywgz/fgbz/bz/bzwb/dqhjbh/dqgdwrywrwpfbz/201505/W020150506393371746579.pdf" \h </w:instrText>
      </w:r>
      <w:r>
        <w:fldChar w:fldCharType="separate"/>
      </w:r>
      <w:r>
        <w:t>合成树脂工业污染物排放标准</w:t>
      </w:r>
      <w:r>
        <w:fldChar w:fldCharType="end"/>
      </w:r>
      <w:r>
        <w:rPr>
          <w:spacing w:val="-94"/>
        </w:rPr>
        <w:t>》</w:t>
      </w:r>
      <w:r>
        <w:t>（</w:t>
      </w:r>
      <w:r>
        <w:rPr>
          <w:rFonts w:ascii="Times New Roman" w:hAnsi="Times New Roman" w:eastAsia="Times New Roman"/>
        </w:rPr>
        <w:t>GB 31572-2015</w:t>
      </w:r>
      <w:r>
        <w:t>）</w:t>
      </w:r>
      <w:r>
        <w:rPr>
          <w:spacing w:val="-21"/>
        </w:rPr>
        <w:t xml:space="preserve">及其 </w:t>
      </w:r>
      <w:r>
        <w:rPr>
          <w:rFonts w:ascii="Times New Roman" w:hAnsi="Times New Roman" w:eastAsia="Times New Roman"/>
        </w:rPr>
        <w:t xml:space="preserve">2024 </w:t>
      </w:r>
      <w:r>
        <w:rPr>
          <w:spacing w:val="-11"/>
        </w:rPr>
        <w:t xml:space="preserve">年修改单表 </w:t>
      </w:r>
      <w:r>
        <w:rPr>
          <w:rFonts w:ascii="Times New Roman" w:hAnsi="Times New Roman" w:eastAsia="Times New Roman"/>
        </w:rPr>
        <w:t xml:space="preserve">4 </w:t>
      </w:r>
      <w:r>
        <w:t>大气污染物排放限值要求。</w:t>
      </w:r>
    </w:p>
    <w:p w14:paraId="5715C146">
      <w:pPr>
        <w:pStyle w:val="10"/>
        <w:spacing w:line="364" w:lineRule="auto"/>
        <w:ind w:left="620" w:right="737" w:firstLine="480"/>
        <w:jc w:val="both"/>
      </w:pPr>
      <w:r>
        <w:rPr>
          <w:spacing w:val="-6"/>
        </w:rPr>
        <w:t>为防止生产废气非正常工况排放，企业必须加强废气处理设施的管理，定期</w:t>
      </w:r>
      <w:r>
        <w:rPr>
          <w:spacing w:val="-10"/>
        </w:rPr>
        <w:t>检修，确保废气处理设施正常运行，在废气处理设备停止运行或出现故障时，产</w:t>
      </w:r>
      <w:r>
        <w:rPr>
          <w:spacing w:val="-15"/>
        </w:rPr>
        <w:t>生废气的各工序也必须相应停止生产。为杜绝废气非正常排放，应采取以下措施确保废气达标排放：</w:t>
      </w:r>
    </w:p>
    <w:p w14:paraId="4A887594">
      <w:pPr>
        <w:pStyle w:val="10"/>
        <w:spacing w:before="72" w:line="364" w:lineRule="auto"/>
        <w:ind w:left="620" w:right="617" w:firstLine="480"/>
      </w:pPr>
      <w:r>
        <w:rPr>
          <w:spacing w:val="-10"/>
        </w:rPr>
        <w:t>①安排专人负责环保设备的日常维护和管理，每个固定时间检查、汇报情况， 及时发现废气处理设备的隐患，确保废气处理系统正常运行。</w:t>
      </w:r>
    </w:p>
    <w:p w14:paraId="3430D716">
      <w:pPr>
        <w:pStyle w:val="10"/>
        <w:spacing w:before="1"/>
        <w:ind w:left="1100"/>
      </w:pPr>
      <w:r>
        <w:t>②定期更换布袋、过滤棉及活性炭等；</w:t>
      </w:r>
    </w:p>
    <w:p w14:paraId="35D5682E">
      <w:pPr>
        <w:pStyle w:val="10"/>
        <w:spacing w:before="161" w:line="364" w:lineRule="auto"/>
        <w:ind w:left="620" w:right="737" w:firstLine="480"/>
        <w:jc w:val="both"/>
      </w:pPr>
      <w:r>
        <w:rPr>
          <w:spacing w:val="-6"/>
        </w:rPr>
        <w:t>③建立健全的环保管理机构，对环保管理人员和技术人员进行岗位培训，委托具有专业资质的环境检测单位对项目排放的各类污染物进行定期检测；</w:t>
      </w:r>
    </w:p>
    <w:p w14:paraId="7183A0B2">
      <w:pPr>
        <w:pStyle w:val="10"/>
        <w:spacing w:before="1" w:line="364" w:lineRule="auto"/>
        <w:ind w:left="620" w:right="737" w:firstLine="480"/>
        <w:jc w:val="both"/>
      </w:pPr>
      <w:r>
        <w:rPr>
          <w:spacing w:val="-10"/>
        </w:rPr>
        <w:t>④应定期维护、检修废气净化装置，以保持废气处理装置的净化能力和净化容量。</w:t>
      </w:r>
    </w:p>
    <w:p w14:paraId="39B0164F">
      <w:pPr>
        <w:pStyle w:val="10"/>
        <w:spacing w:before="1" w:line="364" w:lineRule="auto"/>
        <w:ind w:left="620" w:right="737" w:firstLine="480"/>
        <w:jc w:val="both"/>
      </w:pPr>
      <w:r>
        <w:rPr>
          <w:spacing w:val="-10"/>
        </w:rPr>
        <w:t>⑤生产加工前，废气处理设施开启，关闭生产装置一段时间后再关闭废气处理设施，不存在异味突然排放的情况。</w:t>
      </w:r>
    </w:p>
    <w:p w14:paraId="05E36309">
      <w:pPr>
        <w:pStyle w:val="16"/>
        <w:numPr>
          <w:ilvl w:val="2"/>
          <w:numId w:val="26"/>
        </w:numPr>
        <w:tabs>
          <w:tab w:val="left" w:pos="1249"/>
        </w:tabs>
        <w:spacing w:before="53" w:after="0" w:line="240" w:lineRule="auto"/>
        <w:ind w:left="1248" w:right="0" w:hanging="628"/>
        <w:jc w:val="left"/>
        <w:rPr>
          <w:b/>
          <w:sz w:val="28"/>
        </w:rPr>
      </w:pPr>
      <w:r>
        <w:rPr>
          <w:b/>
          <w:sz w:val="28"/>
        </w:rPr>
        <w:t>排气筒高度设置合理性分析</w:t>
      </w:r>
    </w:p>
    <w:p w14:paraId="78B6D200">
      <w:pPr>
        <w:pStyle w:val="10"/>
        <w:spacing w:before="214" w:line="364" w:lineRule="auto"/>
        <w:ind w:left="620" w:right="737" w:firstLine="480"/>
        <w:jc w:val="both"/>
      </w:pPr>
      <w:r>
        <w:rPr>
          <w:spacing w:val="-11"/>
        </w:rPr>
        <w:t>根据</w:t>
      </w:r>
      <w:r>
        <w:fldChar w:fldCharType="begin"/>
      </w:r>
      <w:r>
        <w:instrText xml:space="preserve"> HYPERLINK "https://www.mee.gov.cn/ywgz/fgbz/bz/bzwb/dqhjbh/dqgdwrywrwpfbz/201505/W020150506393371746579.pdf" \h </w:instrText>
      </w:r>
      <w:r>
        <w:fldChar w:fldCharType="separate"/>
      </w:r>
      <w:r>
        <w:t>《合成树脂工业污染物排放标准</w:t>
      </w:r>
      <w:r>
        <w:fldChar w:fldCharType="end"/>
      </w:r>
      <w:r>
        <w:rPr>
          <w:spacing w:val="-44"/>
        </w:rPr>
        <w:t>》</w:t>
      </w:r>
      <w:r>
        <w:t>（</w:t>
      </w:r>
      <w:r>
        <w:rPr>
          <w:rFonts w:ascii="Times New Roman" w:hAnsi="Times New Roman" w:eastAsia="Times New Roman"/>
        </w:rPr>
        <w:t>GB</w:t>
      </w:r>
      <w:r>
        <w:rPr>
          <w:rFonts w:ascii="Times New Roman" w:hAnsi="Times New Roman" w:eastAsia="Times New Roman"/>
          <w:spacing w:val="-8"/>
        </w:rPr>
        <w:t xml:space="preserve"> </w:t>
      </w:r>
      <w:r>
        <w:rPr>
          <w:rFonts w:ascii="Times New Roman" w:hAnsi="Times New Roman" w:eastAsia="Times New Roman"/>
        </w:rPr>
        <w:t>31572-2015</w:t>
      </w:r>
      <w:r>
        <w:t>）</w:t>
      </w:r>
      <w:r>
        <w:rPr>
          <w:spacing w:val="-23"/>
        </w:rPr>
        <w:t xml:space="preserve">及其 </w:t>
      </w:r>
      <w:r>
        <w:rPr>
          <w:rFonts w:ascii="Times New Roman" w:hAnsi="Times New Roman" w:eastAsia="Times New Roman"/>
        </w:rPr>
        <w:t>2024</w:t>
      </w:r>
      <w:r>
        <w:rPr>
          <w:rFonts w:ascii="Times New Roman" w:hAnsi="Times New Roman" w:eastAsia="Times New Roman"/>
          <w:spacing w:val="-9"/>
        </w:rPr>
        <w:t xml:space="preserve"> </w:t>
      </w:r>
      <w:r>
        <w:t>年修改</w:t>
      </w:r>
      <w:r>
        <w:rPr>
          <w:spacing w:val="-18"/>
        </w:rPr>
        <w:t xml:space="preserve">单中 </w:t>
      </w:r>
      <w:r>
        <w:rPr>
          <w:rFonts w:ascii="Times New Roman" w:hAnsi="Times New Roman" w:eastAsia="Times New Roman"/>
        </w:rPr>
        <w:t>5.4.2</w:t>
      </w:r>
      <w:r>
        <w:rPr>
          <w:rFonts w:ascii="Times New Roman" w:hAnsi="Times New Roman" w:eastAsia="Times New Roman"/>
          <w:spacing w:val="10"/>
        </w:rPr>
        <w:t xml:space="preserve"> </w:t>
      </w:r>
      <w:r>
        <w:t>条规定，“合成树脂企业产生大气污染物的生产工艺和装置需设立局</w:t>
      </w:r>
      <w:r>
        <w:rPr>
          <w:spacing w:val="-5"/>
        </w:rPr>
        <w:t>部或整体气体收集系统和净化处理装置，达标排放。排气筒高度应按环境影响评</w:t>
      </w:r>
      <w:r>
        <w:rPr>
          <w:spacing w:val="-10"/>
        </w:rPr>
        <w:t xml:space="preserve">价要求确定，且至少不低于 </w:t>
      </w:r>
      <w:r>
        <w:rPr>
          <w:rFonts w:ascii="Times New Roman" w:hAnsi="Times New Roman" w:eastAsia="Times New Roman"/>
        </w:rPr>
        <w:t>15m</w:t>
      </w:r>
      <w:r>
        <w:t>。”</w:t>
      </w:r>
    </w:p>
    <w:p w14:paraId="548B4C3B">
      <w:pPr>
        <w:spacing w:after="0" w:line="364" w:lineRule="auto"/>
        <w:jc w:val="both"/>
        <w:sectPr>
          <w:pgSz w:w="11910" w:h="16840"/>
          <w:pgMar w:top="1420" w:right="1060" w:bottom="1220" w:left="1180" w:header="0" w:footer="1024" w:gutter="0"/>
          <w:cols w:space="720" w:num="1"/>
        </w:sectPr>
      </w:pPr>
    </w:p>
    <w:p w14:paraId="4D9D0F24">
      <w:pPr>
        <w:pStyle w:val="10"/>
        <w:spacing w:before="62" w:line="364" w:lineRule="auto"/>
        <w:ind w:left="620" w:right="737" w:firstLine="480"/>
        <w:jc w:val="both"/>
      </w:pPr>
      <w:r>
        <w:rPr>
          <w:spacing w:val="-3"/>
        </w:rPr>
        <w:t>根据《恶臭污染物排放标准》</w:t>
      </w:r>
      <w:r>
        <w:t>（</w:t>
      </w:r>
      <w:r>
        <w:rPr>
          <w:rFonts w:ascii="Times New Roman" w:hAnsi="Times New Roman" w:eastAsia="Times New Roman"/>
        </w:rPr>
        <w:t>GB14554-93</w:t>
      </w:r>
      <w:r>
        <w:t>）</w:t>
      </w:r>
      <w:r>
        <w:rPr>
          <w:spacing w:val="-32"/>
        </w:rPr>
        <w:t xml:space="preserve">中 </w:t>
      </w:r>
      <w:r>
        <w:rPr>
          <w:rFonts w:ascii="Times New Roman" w:hAnsi="Times New Roman" w:eastAsia="Times New Roman"/>
        </w:rPr>
        <w:t xml:space="preserve">6.1.1 </w:t>
      </w:r>
      <w:r>
        <w:rPr>
          <w:spacing w:val="-3"/>
        </w:rPr>
        <w:t>条规定，“排气筒的</w:t>
      </w:r>
      <w:r>
        <w:rPr>
          <w:spacing w:val="-10"/>
        </w:rPr>
        <w:t xml:space="preserve">最低高度不得低于 </w:t>
      </w:r>
      <w:r>
        <w:rPr>
          <w:rFonts w:ascii="Times New Roman" w:hAnsi="Times New Roman" w:eastAsia="Times New Roman"/>
        </w:rPr>
        <w:t>15m</w:t>
      </w:r>
      <w:r>
        <w:t>。”</w:t>
      </w:r>
    </w:p>
    <w:p w14:paraId="0BA07E02">
      <w:pPr>
        <w:pStyle w:val="10"/>
        <w:spacing w:before="1" w:line="364" w:lineRule="auto"/>
        <w:ind w:left="620" w:right="737" w:firstLine="480"/>
        <w:jc w:val="both"/>
      </w:pPr>
      <w:r>
        <w:rPr>
          <w:spacing w:val="-7"/>
        </w:rPr>
        <w:t xml:space="preserve">本项目排气筒 </w:t>
      </w:r>
      <w:r>
        <w:rPr>
          <w:rFonts w:ascii="Times New Roman" w:eastAsia="Times New Roman"/>
        </w:rPr>
        <w:t>DA001</w:t>
      </w:r>
      <w:r>
        <w:t>、</w:t>
      </w:r>
      <w:r>
        <w:rPr>
          <w:rFonts w:ascii="Times New Roman" w:eastAsia="Times New Roman"/>
        </w:rPr>
        <w:t xml:space="preserve">DA002 </w:t>
      </w:r>
      <w:r>
        <w:rPr>
          <w:spacing w:val="-7"/>
        </w:rPr>
        <w:t xml:space="preserve">高度分别为 </w:t>
      </w:r>
      <w:r>
        <w:rPr>
          <w:rFonts w:ascii="Times New Roman" w:eastAsia="Times New Roman"/>
        </w:rPr>
        <w:t>15m</w:t>
      </w:r>
      <w:r>
        <w:rPr>
          <w:spacing w:val="2"/>
        </w:rPr>
        <w:t>、</w:t>
      </w:r>
      <w:r>
        <w:rPr>
          <w:rFonts w:ascii="Times New Roman" w:eastAsia="Times New Roman"/>
        </w:rPr>
        <w:t>15m</w:t>
      </w:r>
      <w:r>
        <w:t>，满足《</w:t>
      </w:r>
      <w:r>
        <w:fldChar w:fldCharType="begin"/>
      </w:r>
      <w:r>
        <w:instrText xml:space="preserve"> HYPERLINK "https://www.mee.gov.cn/ywgz/fgbz/bz/bzwb/dqhjbh/dqgdwrywrwpfbz/201505/W020150506393371746579.pdf" \h </w:instrText>
      </w:r>
      <w:r>
        <w:fldChar w:fldCharType="separate"/>
      </w:r>
      <w:r>
        <w:t>合成树脂工</w:t>
      </w:r>
      <w:r>
        <w:fldChar w:fldCharType="end"/>
      </w:r>
      <w:r>
        <w:fldChar w:fldCharType="begin"/>
      </w:r>
      <w:r>
        <w:instrText xml:space="preserve"> HYPERLINK "https://www.mee.gov.cn/ywgz/fgbz/bz/bzwb/dqhjbh/dqgdwrywrwpfbz/201505/W020150506393371746579.pdf" \h </w:instrText>
      </w:r>
      <w:r>
        <w:fldChar w:fldCharType="separate"/>
      </w:r>
      <w:r>
        <w:t>业污染物排放标准</w:t>
      </w:r>
      <w:r>
        <w:fldChar w:fldCharType="end"/>
      </w:r>
      <w:r>
        <w:rPr>
          <w:spacing w:val="-44"/>
        </w:rPr>
        <w:t>》</w:t>
      </w:r>
      <w:r>
        <w:t>（</w:t>
      </w:r>
      <w:r>
        <w:rPr>
          <w:rFonts w:ascii="Times New Roman" w:eastAsia="Times New Roman"/>
        </w:rPr>
        <w:t>GB 31572-2015</w:t>
      </w:r>
      <w:r>
        <w:t>）</w:t>
      </w:r>
      <w:r>
        <w:rPr>
          <w:spacing w:val="-23"/>
        </w:rPr>
        <w:t xml:space="preserve">及其 </w:t>
      </w:r>
      <w:r>
        <w:rPr>
          <w:rFonts w:ascii="Times New Roman" w:eastAsia="Times New Roman"/>
        </w:rPr>
        <w:t xml:space="preserve">2024 </w:t>
      </w:r>
      <w:r>
        <w:rPr>
          <w:spacing w:val="-5"/>
        </w:rPr>
        <w:t>年修改单和《恶臭污染物排放标准》（</w:t>
      </w:r>
      <w:r>
        <w:rPr>
          <w:rFonts w:ascii="Times New Roman" w:eastAsia="Times New Roman"/>
          <w:spacing w:val="-5"/>
        </w:rPr>
        <w:t>GB14554-93</w:t>
      </w:r>
      <w:r>
        <w:rPr>
          <w:spacing w:val="-5"/>
        </w:rPr>
        <w:t>）</w:t>
      </w:r>
      <w:r>
        <w:rPr>
          <w:spacing w:val="-15"/>
        </w:rPr>
        <w:t xml:space="preserve">中不得低于 </w:t>
      </w:r>
      <w:r>
        <w:rPr>
          <w:rFonts w:ascii="Times New Roman" w:eastAsia="Times New Roman"/>
        </w:rPr>
        <w:t xml:space="preserve">15m </w:t>
      </w:r>
      <w:r>
        <w:t>的要求。</w:t>
      </w:r>
    </w:p>
    <w:p w14:paraId="626B9755">
      <w:pPr>
        <w:pStyle w:val="10"/>
        <w:spacing w:before="2" w:line="364" w:lineRule="auto"/>
        <w:ind w:left="620" w:right="617" w:firstLine="480"/>
      </w:pPr>
      <w:r>
        <w:t>根据《大气污染治理工程技术导则》（</w:t>
      </w:r>
      <w:r>
        <w:rPr>
          <w:rFonts w:ascii="Times New Roman" w:eastAsia="Times New Roman"/>
        </w:rPr>
        <w:t>HJ</w:t>
      </w:r>
      <w:r>
        <w:rPr>
          <w:rFonts w:ascii="Times New Roman" w:eastAsia="Times New Roman"/>
          <w:spacing w:val="5"/>
        </w:rPr>
        <w:t xml:space="preserve"> </w:t>
      </w:r>
      <w:r>
        <w:rPr>
          <w:rFonts w:ascii="Times New Roman" w:eastAsia="Times New Roman"/>
        </w:rPr>
        <w:t>2000-2010</w:t>
      </w:r>
      <w:r>
        <w:t>）</w:t>
      </w:r>
      <w:r>
        <w:rPr>
          <w:rFonts w:ascii="Times New Roman" w:eastAsia="Times New Roman"/>
        </w:rPr>
        <w:t>5.3.5</w:t>
      </w:r>
      <w:r>
        <w:rPr>
          <w:rFonts w:ascii="Times New Roman" w:eastAsia="Times New Roman"/>
          <w:spacing w:val="5"/>
        </w:rPr>
        <w:t xml:space="preserve"> </w:t>
      </w:r>
      <w:r>
        <w:t>条规定， 排气</w:t>
      </w:r>
      <w:r>
        <w:rPr>
          <w:spacing w:val="-3"/>
        </w:rPr>
        <w:t xml:space="preserve">筒的出口直径应根据出口流速确定，流速宜取 </w:t>
      </w:r>
      <w:r>
        <w:rPr>
          <w:rFonts w:ascii="Times New Roman" w:eastAsia="Times New Roman"/>
        </w:rPr>
        <w:t>15</w:t>
      </w:r>
      <w:r>
        <w:rPr>
          <w:rFonts w:ascii="Times New Roman" w:eastAsia="Times New Roman"/>
          <w:spacing w:val="12"/>
        </w:rPr>
        <w:t xml:space="preserve"> </w:t>
      </w:r>
      <w:r>
        <w:rPr>
          <w:rFonts w:ascii="Times New Roman" w:eastAsia="Times New Roman"/>
        </w:rPr>
        <w:t>m/s</w:t>
      </w:r>
      <w:r>
        <w:rPr>
          <w:rFonts w:ascii="Times New Roman" w:eastAsia="Times New Roman"/>
          <w:spacing w:val="7"/>
        </w:rPr>
        <w:t xml:space="preserve"> </w:t>
      </w:r>
      <w:r>
        <w:t>左右。当采用钢管烟囱且</w:t>
      </w:r>
      <w:r>
        <w:rPr>
          <w:spacing w:val="-8"/>
        </w:rPr>
        <w:t xml:space="preserve">高度较高时或烟气量较大时，可适当提高出口流速至 </w:t>
      </w:r>
      <w:r>
        <w:rPr>
          <w:rFonts w:ascii="Times New Roman" w:eastAsia="Times New Roman"/>
        </w:rPr>
        <w:t>20</w:t>
      </w:r>
      <w:r>
        <w:t>～</w:t>
      </w:r>
      <w:r>
        <w:rPr>
          <w:rFonts w:ascii="Times New Roman" w:eastAsia="Times New Roman"/>
        </w:rPr>
        <w:t>25</w:t>
      </w:r>
      <w:r>
        <w:rPr>
          <w:rFonts w:ascii="Times New Roman" w:eastAsia="Times New Roman"/>
          <w:spacing w:val="-1"/>
        </w:rPr>
        <w:t xml:space="preserve"> </w:t>
      </w:r>
      <w:r>
        <w:rPr>
          <w:rFonts w:ascii="Times New Roman" w:eastAsia="Times New Roman"/>
        </w:rPr>
        <w:t>m/s</w:t>
      </w:r>
      <w:r>
        <w:rPr>
          <w:spacing w:val="-32"/>
        </w:rPr>
        <w:t xml:space="preserve">。本项目 </w:t>
      </w:r>
      <w:r>
        <w:rPr>
          <w:rFonts w:ascii="Times New Roman" w:eastAsia="Times New Roman"/>
        </w:rPr>
        <w:t xml:space="preserve">DA001 </w:t>
      </w:r>
      <w:r>
        <w:rPr>
          <w:spacing w:val="-9"/>
        </w:rPr>
        <w:t xml:space="preserve">设计风量为 </w:t>
      </w:r>
      <w:r>
        <w:rPr>
          <w:rFonts w:ascii="Times New Roman" w:eastAsia="Times New Roman"/>
        </w:rPr>
        <w:t>10000m</w:t>
      </w:r>
      <w:r>
        <w:rPr>
          <w:rFonts w:ascii="Times New Roman" w:eastAsia="Times New Roman"/>
          <w:position w:val="8"/>
          <w:sz w:val="15"/>
        </w:rPr>
        <w:t>3</w:t>
      </w:r>
      <w:r>
        <w:rPr>
          <w:rFonts w:ascii="Times New Roman" w:eastAsia="Times New Roman"/>
        </w:rPr>
        <w:t>/h</w:t>
      </w:r>
      <w:r>
        <w:rPr>
          <w:spacing w:val="-7"/>
        </w:rPr>
        <w:t xml:space="preserve">，本项目排气筒 </w:t>
      </w:r>
      <w:r>
        <w:rPr>
          <w:rFonts w:ascii="Times New Roman" w:eastAsia="Times New Roman"/>
        </w:rPr>
        <w:t>DA001</w:t>
      </w:r>
      <w:r>
        <w:rPr>
          <w:rFonts w:ascii="Times New Roman" w:eastAsia="Times New Roman"/>
          <w:spacing w:val="10"/>
        </w:rPr>
        <w:t xml:space="preserve"> </w:t>
      </w:r>
      <w:r>
        <w:rPr>
          <w:spacing w:val="-13"/>
        </w:rPr>
        <w:t xml:space="preserve">内径为 </w:t>
      </w:r>
      <w:r>
        <w:rPr>
          <w:rFonts w:ascii="Times New Roman" w:eastAsia="Times New Roman"/>
        </w:rPr>
        <w:t>0.5m</w:t>
      </w:r>
      <w:r>
        <w:t>，经核算本项目排气</w:t>
      </w:r>
      <w:r>
        <w:rPr>
          <w:spacing w:val="-30"/>
        </w:rPr>
        <w:t xml:space="preserve">筒 </w:t>
      </w:r>
      <w:r>
        <w:rPr>
          <w:rFonts w:ascii="Times New Roman" w:eastAsia="Times New Roman"/>
        </w:rPr>
        <w:t>DA001</w:t>
      </w:r>
      <w:r>
        <w:rPr>
          <w:rFonts w:ascii="Times New Roman" w:eastAsia="Times New Roman"/>
          <w:spacing w:val="1"/>
        </w:rPr>
        <w:t xml:space="preserve"> </w:t>
      </w:r>
      <w:r>
        <w:rPr>
          <w:spacing w:val="-9"/>
        </w:rPr>
        <w:t xml:space="preserve">出口处流速为 </w:t>
      </w:r>
      <w:r>
        <w:rPr>
          <w:rFonts w:ascii="Times New Roman" w:eastAsia="Times New Roman"/>
        </w:rPr>
        <w:t>14.15m/s</w:t>
      </w:r>
      <w:r>
        <w:rPr>
          <w:spacing w:val="-16"/>
        </w:rPr>
        <w:t xml:space="preserve">，接近 </w:t>
      </w:r>
      <w:r>
        <w:rPr>
          <w:rFonts w:ascii="Times New Roman" w:eastAsia="Times New Roman"/>
        </w:rPr>
        <w:t>15m/s</w:t>
      </w:r>
      <w:r>
        <w:rPr>
          <w:spacing w:val="-7"/>
        </w:rPr>
        <w:t xml:space="preserve">，故本项目排气筒 </w:t>
      </w:r>
      <w:r>
        <w:rPr>
          <w:rFonts w:ascii="Times New Roman" w:eastAsia="Times New Roman"/>
        </w:rPr>
        <w:t>DA001</w:t>
      </w:r>
      <w:r>
        <w:rPr>
          <w:rFonts w:ascii="Times New Roman" w:eastAsia="Times New Roman"/>
          <w:spacing w:val="1"/>
        </w:rPr>
        <w:t xml:space="preserve"> </w:t>
      </w:r>
      <w:r>
        <w:t>内径设</w:t>
      </w:r>
      <w:r>
        <w:rPr>
          <w:spacing w:val="-23"/>
        </w:rPr>
        <w:t xml:space="preserve">置为 </w:t>
      </w:r>
      <w:r>
        <w:rPr>
          <w:rFonts w:ascii="Times New Roman" w:eastAsia="Times New Roman"/>
        </w:rPr>
        <w:t>0.5m</w:t>
      </w:r>
      <w:r>
        <w:rPr>
          <w:rFonts w:ascii="Times New Roman" w:eastAsia="Times New Roman"/>
          <w:spacing w:val="-10"/>
        </w:rPr>
        <w:t xml:space="preserve"> </w:t>
      </w:r>
      <w:r>
        <w:rPr>
          <w:spacing w:val="-22"/>
        </w:rPr>
        <w:t xml:space="preserve">较为合理。本项目 </w:t>
      </w:r>
      <w:r>
        <w:rPr>
          <w:rFonts w:ascii="Times New Roman" w:eastAsia="Times New Roman"/>
          <w:spacing w:val="-1"/>
        </w:rPr>
        <w:t>DA</w:t>
      </w:r>
      <w:r>
        <w:rPr>
          <w:rFonts w:ascii="Times New Roman" w:eastAsia="Times New Roman"/>
        </w:rPr>
        <w:t>002</w:t>
      </w:r>
      <w:r>
        <w:rPr>
          <w:rFonts w:ascii="Times New Roman" w:eastAsia="Times New Roman"/>
          <w:spacing w:val="-5"/>
        </w:rPr>
        <w:t xml:space="preserve"> </w:t>
      </w:r>
      <w:r>
        <w:rPr>
          <w:spacing w:val="-12"/>
        </w:rPr>
        <w:t xml:space="preserve">设计风量为 </w:t>
      </w:r>
      <w:r>
        <w:rPr>
          <w:rFonts w:ascii="Times New Roman" w:eastAsia="Times New Roman"/>
        </w:rPr>
        <w:t>15000m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h</w:t>
      </w:r>
      <w:r>
        <w:rPr>
          <w:spacing w:val="-25"/>
        </w:rPr>
        <w:t xml:space="preserve">，本项目排气筒 </w:t>
      </w:r>
      <w:r>
        <w:rPr>
          <w:rFonts w:ascii="Times New Roman" w:eastAsia="Times New Roman"/>
          <w:spacing w:val="-1"/>
        </w:rPr>
        <w:t>DA</w:t>
      </w:r>
      <w:r>
        <w:rPr>
          <w:rFonts w:ascii="Times New Roman" w:eastAsia="Times New Roman"/>
        </w:rPr>
        <w:t>0</w:t>
      </w:r>
      <w:r>
        <w:rPr>
          <w:rFonts w:ascii="Times New Roman" w:eastAsia="Times New Roman"/>
          <w:spacing w:val="1"/>
        </w:rPr>
        <w:t>0</w:t>
      </w:r>
      <w:r>
        <w:rPr>
          <w:rFonts w:ascii="Times New Roman" w:eastAsia="Times New Roman"/>
        </w:rPr>
        <w:t>1</w:t>
      </w:r>
      <w:r>
        <w:rPr>
          <w:spacing w:val="-15"/>
        </w:rPr>
        <w:t xml:space="preserve">内径为 </w:t>
      </w:r>
      <w:r>
        <w:rPr>
          <w:rFonts w:ascii="Times New Roman" w:eastAsia="Times New Roman"/>
          <w:spacing w:val="-7"/>
        </w:rPr>
        <w:t>0.6m</w:t>
      </w:r>
      <w:r>
        <w:rPr>
          <w:spacing w:val="-9"/>
        </w:rPr>
        <w:t xml:space="preserve">，经核算本项目排气筒 </w:t>
      </w:r>
      <w:r>
        <w:rPr>
          <w:rFonts w:ascii="Times New Roman" w:eastAsia="Times New Roman"/>
        </w:rPr>
        <w:t>DA002</w:t>
      </w:r>
      <w:r>
        <w:rPr>
          <w:rFonts w:ascii="Times New Roman" w:eastAsia="Times New Roman"/>
          <w:spacing w:val="0"/>
        </w:rPr>
        <w:t xml:space="preserve"> </w:t>
      </w:r>
      <w:r>
        <w:rPr>
          <w:spacing w:val="-9"/>
        </w:rPr>
        <w:t xml:space="preserve">出口处流速为 </w:t>
      </w:r>
      <w:r>
        <w:rPr>
          <w:rFonts w:ascii="Times New Roman" w:eastAsia="Times New Roman"/>
          <w:spacing w:val="-4"/>
        </w:rPr>
        <w:t>14.74m/s</w:t>
      </w:r>
      <w:r>
        <w:rPr>
          <w:spacing w:val="-17"/>
        </w:rPr>
        <w:t xml:space="preserve">，接近 </w:t>
      </w:r>
      <w:r>
        <w:rPr>
          <w:rFonts w:ascii="Times New Roman" w:eastAsia="Times New Roman"/>
        </w:rPr>
        <w:t>15m/s</w:t>
      </w:r>
      <w:r>
        <w:t xml:space="preserve">， </w:t>
      </w:r>
      <w:r>
        <w:rPr>
          <w:spacing w:val="-8"/>
        </w:rPr>
        <w:t xml:space="preserve">故本项目排气筒 </w:t>
      </w:r>
      <w:r>
        <w:rPr>
          <w:rFonts w:ascii="Times New Roman" w:eastAsia="Times New Roman"/>
        </w:rPr>
        <w:t>DA002</w:t>
      </w:r>
      <w:r>
        <w:rPr>
          <w:rFonts w:ascii="Times New Roman" w:eastAsia="Times New Roman"/>
          <w:spacing w:val="-1"/>
        </w:rPr>
        <w:t xml:space="preserve"> </w:t>
      </w:r>
      <w:r>
        <w:rPr>
          <w:spacing w:val="-11"/>
        </w:rPr>
        <w:t xml:space="preserve">内径设置为 </w:t>
      </w:r>
      <w:r>
        <w:rPr>
          <w:rFonts w:ascii="Times New Roman" w:eastAsia="Times New Roman"/>
        </w:rPr>
        <w:t>0.6m</w:t>
      </w:r>
      <w:r>
        <w:rPr>
          <w:rFonts w:ascii="Times New Roman" w:eastAsia="Times New Roman"/>
          <w:spacing w:val="-1"/>
        </w:rPr>
        <w:t xml:space="preserve"> </w:t>
      </w:r>
      <w:r>
        <w:t>较为合理。</w:t>
      </w:r>
    </w:p>
    <w:p w14:paraId="369D041F">
      <w:pPr>
        <w:pStyle w:val="3"/>
        <w:spacing w:before="46"/>
        <w:ind w:left="620" w:firstLine="0"/>
      </w:pPr>
      <w:bookmarkStart w:id="33" w:name="_TOC_250022"/>
      <w:r>
        <w:rPr>
          <w:rFonts w:ascii="Times New Roman" w:eastAsia="Times New Roman"/>
        </w:rPr>
        <w:t xml:space="preserve">5.2 </w:t>
      </w:r>
      <w:bookmarkEnd w:id="33"/>
      <w:r>
        <w:t>废水污染防治措施</w:t>
      </w:r>
    </w:p>
    <w:p w14:paraId="76BC2084">
      <w:pPr>
        <w:pStyle w:val="10"/>
        <w:spacing w:before="198" w:line="364" w:lineRule="auto"/>
        <w:ind w:left="620" w:right="737" w:firstLine="480"/>
        <w:jc w:val="both"/>
      </w:pPr>
      <w:r>
        <w:rPr>
          <w:spacing w:val="-5"/>
        </w:rPr>
        <w:t>本项目循环冷却水经循环冷却池沉淀后循环使用，不外排；本项目车间地面</w:t>
      </w:r>
      <w:r>
        <w:rPr>
          <w:spacing w:val="-11"/>
        </w:rPr>
        <w:t>采用人工清扫方式，不进行地面冲洗，无地面清洗废水产生；本项目废水主要为生活污水。</w:t>
      </w:r>
    </w:p>
    <w:p w14:paraId="3F39EB15">
      <w:pPr>
        <w:pStyle w:val="10"/>
        <w:spacing w:before="2"/>
        <w:ind w:left="1100"/>
      </w:pPr>
      <w:r>
        <w:t>（</w:t>
      </w:r>
      <w:r>
        <w:rPr>
          <w:rFonts w:ascii="Times New Roman" w:eastAsia="Times New Roman"/>
        </w:rPr>
        <w:t>1</w:t>
      </w:r>
      <w:r>
        <w:t>）循环冷却水循环使用可行性</w:t>
      </w:r>
    </w:p>
    <w:p w14:paraId="79E8520E">
      <w:pPr>
        <w:pStyle w:val="10"/>
        <w:spacing w:before="161" w:line="364" w:lineRule="auto"/>
        <w:ind w:left="620" w:right="737" w:firstLine="480"/>
        <w:jc w:val="both"/>
      </w:pPr>
      <w:r>
        <w:rPr>
          <w:spacing w:val="-5"/>
        </w:rPr>
        <w:t>本项目循环冷却水采用间接冷却的方式，不与物料直接接触，水质较好，根</w:t>
      </w:r>
      <w:r>
        <w:rPr>
          <w:spacing w:val="-12"/>
        </w:rPr>
        <w:t xml:space="preserve">据前文水平衡，循环冷却水量为 </w:t>
      </w:r>
      <w:r>
        <w:rPr>
          <w:rFonts w:ascii="Times New Roman" w:eastAsia="Times New Roman"/>
          <w:spacing w:val="-6"/>
        </w:rPr>
        <w:t>3m</w:t>
      </w:r>
      <w:r>
        <w:rPr>
          <w:rFonts w:ascii="Times New Roman" w:eastAsia="Times New Roman"/>
          <w:spacing w:val="-6"/>
          <w:position w:val="8"/>
          <w:sz w:val="15"/>
        </w:rPr>
        <w:t>3</w:t>
      </w:r>
      <w:r>
        <w:rPr>
          <w:rFonts w:ascii="Times New Roman" w:eastAsia="Times New Roman"/>
          <w:spacing w:val="-6"/>
        </w:rPr>
        <w:t>/h</w:t>
      </w:r>
      <w:r>
        <w:rPr>
          <w:spacing w:val="-8"/>
        </w:rPr>
        <w:t xml:space="preserve">，循环冷却池容积为 </w:t>
      </w:r>
      <w:r>
        <w:rPr>
          <w:rFonts w:ascii="Times New Roman" w:eastAsia="Times New Roman"/>
          <w:spacing w:val="-7"/>
        </w:rPr>
        <w:t>10m</w:t>
      </w:r>
      <w:r>
        <w:rPr>
          <w:rFonts w:ascii="Times New Roman" w:eastAsia="Times New Roman"/>
          <w:spacing w:val="-7"/>
          <w:position w:val="8"/>
          <w:sz w:val="15"/>
        </w:rPr>
        <w:t>3</w:t>
      </w:r>
      <w:r>
        <w:rPr>
          <w:spacing w:val="-3"/>
        </w:rPr>
        <w:t>，循环冷却池容</w:t>
      </w:r>
      <w:r>
        <w:rPr>
          <w:spacing w:val="-5"/>
        </w:rPr>
        <w:t xml:space="preserve">积可以满足循环冷却水 </w:t>
      </w:r>
      <w:r>
        <w:rPr>
          <w:rFonts w:ascii="Times New Roman" w:eastAsia="Times New Roman"/>
        </w:rPr>
        <w:t xml:space="preserve">2.5h </w:t>
      </w:r>
      <w:r>
        <w:t>的水力停留时间，故循环冷却水经经循环冷却池沉淀后循环使用，不外排可行。</w:t>
      </w:r>
    </w:p>
    <w:p w14:paraId="40EBDB12">
      <w:pPr>
        <w:pStyle w:val="10"/>
        <w:spacing w:before="2"/>
        <w:ind w:left="1100"/>
      </w:pPr>
      <w:r>
        <w:t>（</w:t>
      </w:r>
      <w:r>
        <w:rPr>
          <w:rFonts w:ascii="Times New Roman" w:eastAsia="Times New Roman"/>
        </w:rPr>
        <w:t>2</w:t>
      </w:r>
      <w:r>
        <w:t>）生活污水接管及达标排放可行性</w:t>
      </w:r>
    </w:p>
    <w:p w14:paraId="6FAFE8A3">
      <w:pPr>
        <w:pStyle w:val="10"/>
        <w:spacing w:before="161" w:line="364" w:lineRule="auto"/>
        <w:ind w:left="620" w:right="737" w:firstLine="480"/>
        <w:jc w:val="both"/>
      </w:pPr>
      <w:r>
        <w:rPr>
          <w:spacing w:val="-7"/>
        </w:rPr>
        <w:t>本项目为水污染影响型建设项目，项目员工生活污水经中塑新材料公司化粪</w:t>
      </w:r>
      <w:r>
        <w:rPr>
          <w:spacing w:val="-12"/>
        </w:rPr>
        <w:t>池处理后进入汨罗市城市污水处理厂处理。项目租赁厂房所在厂区已建设雨污分流的排水系统，雨水通过厂区雨水排放口进入市政雨水管网。</w:t>
      </w:r>
    </w:p>
    <w:p w14:paraId="22F6B90B">
      <w:pPr>
        <w:pStyle w:val="10"/>
        <w:spacing w:before="1"/>
        <w:ind w:left="1100"/>
      </w:pPr>
      <w:r>
        <w:t>汨罗市城市污水处理厂位于汨罗市归义镇（原城郊乡）百丈村，占地面积</w:t>
      </w:r>
    </w:p>
    <w:p w14:paraId="2AF41EA3">
      <w:pPr>
        <w:pStyle w:val="10"/>
        <w:spacing w:before="161" w:line="364" w:lineRule="auto"/>
        <w:ind w:left="620" w:right="737"/>
      </w:pPr>
      <w:r>
        <w:rPr>
          <w:rFonts w:ascii="Times New Roman" w:eastAsia="Times New Roman"/>
        </w:rPr>
        <w:t>47143.7m</w:t>
      </w:r>
      <w:r>
        <w:rPr>
          <w:rFonts w:ascii="Times New Roman" w:eastAsia="Times New Roman"/>
          <w:position w:val="8"/>
          <w:sz w:val="15"/>
        </w:rPr>
        <w:t>2</w:t>
      </w:r>
      <w:r>
        <w:t>，汨罗市城市污水处理厂位于岳阳市汨罗市归义镇（原城郊乡）百丈</w:t>
      </w:r>
      <w:r>
        <w:rPr>
          <w:spacing w:val="-11"/>
        </w:rPr>
        <w:t xml:space="preserve">村，占地面积约 </w:t>
      </w:r>
      <w:r>
        <w:rPr>
          <w:rFonts w:ascii="Times New Roman" w:eastAsia="Times New Roman"/>
        </w:rPr>
        <w:t xml:space="preserve">70.71 </w:t>
      </w:r>
      <w:r>
        <w:rPr>
          <w:spacing w:val="-4"/>
        </w:rPr>
        <w:t>亩，工程服务范围为汨罗市全城区的市政污水及汨罗高新</w:t>
      </w:r>
    </w:p>
    <w:p w14:paraId="3DD3FB9C">
      <w:pPr>
        <w:spacing w:after="0" w:line="364" w:lineRule="auto"/>
        <w:sectPr>
          <w:pgSz w:w="11910" w:h="16840"/>
          <w:pgMar w:top="1440" w:right="1060" w:bottom="1220" w:left="1180" w:header="0" w:footer="1024" w:gutter="0"/>
          <w:cols w:space="720" w:num="1"/>
        </w:sectPr>
      </w:pPr>
    </w:p>
    <w:p w14:paraId="156B88CE">
      <w:pPr>
        <w:pStyle w:val="10"/>
        <w:spacing w:before="42" w:line="364" w:lineRule="auto"/>
        <w:ind w:left="620" w:right="737"/>
      </w:pPr>
      <w:r>
        <w:rPr>
          <w:spacing w:val="-5"/>
        </w:rPr>
        <w:t>技术产业开发区新市片区的生活污水、工业污水。由汨罗市国祯水处理有限公司</w:t>
      </w:r>
      <w:r>
        <w:rPr>
          <w:spacing w:val="-11"/>
        </w:rPr>
        <w:t xml:space="preserve">运行，设计处理规模为 </w:t>
      </w:r>
      <w:r>
        <w:rPr>
          <w:rFonts w:ascii="Times New Roman" w:eastAsia="Times New Roman"/>
        </w:rPr>
        <w:t xml:space="preserve">5.0 </w:t>
      </w:r>
      <w:r>
        <w:rPr>
          <w:spacing w:val="-31"/>
        </w:rPr>
        <w:t xml:space="preserve">万 </w:t>
      </w:r>
      <w:r>
        <w:rPr>
          <w:rFonts w:ascii="Times New Roman" w:eastAsia="Times New Roman"/>
        </w:rPr>
        <w:t>t/d</w:t>
      </w:r>
      <w:r>
        <w:rPr>
          <w:spacing w:val="-6"/>
        </w:rPr>
        <w:t xml:space="preserve">，目前实际处理规模为 </w:t>
      </w:r>
      <w:r>
        <w:rPr>
          <w:rFonts w:ascii="Times New Roman" w:eastAsia="Times New Roman"/>
        </w:rPr>
        <w:t xml:space="preserve">2.35 </w:t>
      </w:r>
      <w:r>
        <w:rPr>
          <w:spacing w:val="-31"/>
        </w:rPr>
        <w:t xml:space="preserve">万 </w:t>
      </w:r>
      <w:r>
        <w:rPr>
          <w:rFonts w:ascii="Times New Roman" w:eastAsia="Times New Roman"/>
        </w:rPr>
        <w:t>t/d</w:t>
      </w:r>
      <w:r>
        <w:t>，处理余量为</w:t>
      </w:r>
    </w:p>
    <w:p w14:paraId="1E263D65">
      <w:pPr>
        <w:pStyle w:val="10"/>
        <w:spacing w:before="1" w:line="364" w:lineRule="auto"/>
        <w:ind w:left="620" w:right="737"/>
        <w:jc w:val="both"/>
      </w:pPr>
      <w:r>
        <w:rPr>
          <w:rFonts w:ascii="Times New Roman" w:hAnsi="Times New Roman" w:eastAsia="Times New Roman"/>
        </w:rPr>
        <w:t xml:space="preserve">2.65 </w:t>
      </w:r>
      <w:r>
        <w:rPr>
          <w:spacing w:val="-18"/>
        </w:rPr>
        <w:t xml:space="preserve">万 </w:t>
      </w:r>
      <w:r>
        <w:rPr>
          <w:rFonts w:ascii="Times New Roman" w:hAnsi="Times New Roman" w:eastAsia="Times New Roman"/>
        </w:rPr>
        <w:t>t/d</w:t>
      </w:r>
      <w:r>
        <w:t>。污水处理工艺为：</w:t>
      </w:r>
      <w:r>
        <w:rPr>
          <w:rFonts w:ascii="Times New Roman" w:hAnsi="Times New Roman" w:eastAsia="Times New Roman"/>
        </w:rPr>
        <w:t>“</w:t>
      </w:r>
      <w:r>
        <w:t>氧化沟工艺（粗格栅及进水泵站</w:t>
      </w:r>
      <w:r>
        <w:rPr>
          <w:rFonts w:ascii="Times New Roman" w:hAnsi="Times New Roman" w:eastAsia="Times New Roman"/>
        </w:rPr>
        <w:t>+</w:t>
      </w:r>
      <w:r>
        <w:t>细格栅及旋流沉砂池</w:t>
      </w:r>
      <w:r>
        <w:rPr>
          <w:rFonts w:ascii="Times New Roman" w:hAnsi="Times New Roman" w:eastAsia="Times New Roman"/>
        </w:rPr>
        <w:t>+</w:t>
      </w:r>
      <w:r>
        <w:rPr>
          <w:spacing w:val="-20"/>
        </w:rPr>
        <w:t>氧化沟</w:t>
      </w:r>
      <w:r>
        <w:t>（采用表曝</w:t>
      </w:r>
      <w:r>
        <w:rPr>
          <w:spacing w:val="-29"/>
        </w:rPr>
        <w:t>）</w:t>
      </w:r>
      <w:r>
        <w:rPr>
          <w:spacing w:val="-16"/>
        </w:rPr>
        <w:t>＋接触消毒池</w:t>
      </w:r>
      <w:r>
        <w:t>（二氧化氯消毒</w:t>
      </w:r>
      <w:r>
        <w:rPr>
          <w:spacing w:val="-39"/>
        </w:rPr>
        <w:t>）</w:t>
      </w:r>
      <w:r>
        <w:rPr>
          <w:rFonts w:ascii="Times New Roman" w:hAnsi="Times New Roman" w:eastAsia="Times New Roman"/>
          <w:spacing w:val="-39"/>
        </w:rPr>
        <w:t>”</w:t>
      </w:r>
      <w:r>
        <w:rPr>
          <w:spacing w:val="-12"/>
        </w:rPr>
        <w:t>，出水水质执行《城</w:t>
      </w:r>
      <w:r>
        <w:rPr>
          <w:spacing w:val="-20"/>
        </w:rPr>
        <w:t>镇污水处理厂污染物排放标准》</w:t>
      </w:r>
      <w:r>
        <w:rPr>
          <w:rFonts w:ascii="Times New Roman" w:hAnsi="Times New Roman" w:eastAsia="Times New Roman"/>
        </w:rPr>
        <w:t>(GB18918-2002)</w:t>
      </w:r>
      <w:r>
        <w:rPr>
          <w:spacing w:val="-22"/>
        </w:rPr>
        <w:t xml:space="preserve">一级 </w:t>
      </w:r>
      <w:r>
        <w:rPr>
          <w:rFonts w:ascii="Times New Roman" w:hAnsi="Times New Roman" w:eastAsia="Times New Roman"/>
        </w:rPr>
        <w:t xml:space="preserve">A </w:t>
      </w:r>
      <w:r>
        <w:t>标准后经李家河排放至汨</w:t>
      </w:r>
      <w:r>
        <w:rPr>
          <w:spacing w:val="-2"/>
        </w:rPr>
        <w:t xml:space="preserve">罗江。项目运营期总废水排放量为 </w:t>
      </w:r>
      <w:r>
        <w:rPr>
          <w:rFonts w:ascii="Times New Roman" w:hAnsi="Times New Roman" w:eastAsia="Times New Roman"/>
        </w:rPr>
        <w:t>608m</w:t>
      </w:r>
      <w:r>
        <w:rPr>
          <w:rFonts w:ascii="Times New Roman" w:hAnsi="Times New Roman" w:eastAsia="Times New Roman"/>
          <w:position w:val="8"/>
          <w:sz w:val="15"/>
        </w:rPr>
        <w:t>3</w:t>
      </w:r>
      <w:r>
        <w:rPr>
          <w:rFonts w:ascii="Times New Roman" w:hAnsi="Times New Roman" w:eastAsia="Times New Roman"/>
        </w:rPr>
        <w:t>/a</w:t>
      </w:r>
      <w:r>
        <w:t>（</w:t>
      </w:r>
      <w:r>
        <w:rPr>
          <w:rFonts w:ascii="Times New Roman" w:hAnsi="Times New Roman" w:eastAsia="Times New Roman"/>
        </w:rPr>
        <w:t>2.03m</w:t>
      </w:r>
      <w:r>
        <w:rPr>
          <w:rFonts w:ascii="Times New Roman" w:hAnsi="Times New Roman" w:eastAsia="Times New Roman"/>
          <w:position w:val="8"/>
          <w:sz w:val="15"/>
        </w:rPr>
        <w:t>3</w:t>
      </w:r>
      <w:r>
        <w:rPr>
          <w:rFonts w:ascii="Times New Roman" w:hAnsi="Times New Roman" w:eastAsia="Times New Roman"/>
        </w:rPr>
        <w:t>/d</w:t>
      </w:r>
      <w:r>
        <w:t>），占汨罗市城市污水处</w:t>
      </w:r>
      <w:r>
        <w:rPr>
          <w:spacing w:val="-8"/>
        </w:rPr>
        <w:t xml:space="preserve">理厂处理余量的 </w:t>
      </w:r>
      <w:r>
        <w:rPr>
          <w:rFonts w:ascii="Times New Roman" w:hAnsi="Times New Roman" w:eastAsia="Times New Roman"/>
          <w:spacing w:val="-7"/>
        </w:rPr>
        <w:t>0.0076%</w:t>
      </w:r>
      <w:r>
        <w:rPr>
          <w:spacing w:val="-3"/>
        </w:rPr>
        <w:t>，因此汨罗市城市污水处理厂有足够的剩余能力接纳本项目的废水故对污水处理厂的冲击在可接受范围内。</w:t>
      </w:r>
    </w:p>
    <w:p w14:paraId="2BC5E29A">
      <w:pPr>
        <w:pStyle w:val="10"/>
        <w:spacing w:before="4" w:line="364" w:lineRule="auto"/>
        <w:ind w:left="620" w:right="737" w:firstLine="480"/>
      </w:pPr>
      <w:r>
        <w:rPr>
          <w:spacing w:val="-9"/>
        </w:rPr>
        <w:t>综上所述，本项目建成后废水进入汨罗城市污水处理厂进行处理，能够实现达标排放，措施可行。</w:t>
      </w:r>
    </w:p>
    <w:p w14:paraId="427543F6">
      <w:pPr>
        <w:pStyle w:val="3"/>
        <w:numPr>
          <w:ilvl w:val="1"/>
          <w:numId w:val="27"/>
        </w:numPr>
        <w:tabs>
          <w:tab w:val="left" w:pos="1069"/>
        </w:tabs>
        <w:spacing w:before="42" w:after="0" w:line="240" w:lineRule="auto"/>
        <w:ind w:left="1068" w:right="0" w:hanging="448"/>
        <w:jc w:val="left"/>
      </w:pPr>
      <w:bookmarkStart w:id="34" w:name="_TOC_250021"/>
      <w:bookmarkEnd w:id="34"/>
      <w:r>
        <w:t>噪声污染防治措施</w:t>
      </w:r>
    </w:p>
    <w:p w14:paraId="5F19C420">
      <w:pPr>
        <w:pStyle w:val="16"/>
        <w:numPr>
          <w:ilvl w:val="2"/>
          <w:numId w:val="27"/>
        </w:numPr>
        <w:tabs>
          <w:tab w:val="left" w:pos="1249"/>
        </w:tabs>
        <w:spacing w:before="252" w:after="0" w:line="240" w:lineRule="auto"/>
        <w:ind w:left="1248" w:right="0" w:hanging="628"/>
        <w:jc w:val="left"/>
        <w:rPr>
          <w:b/>
          <w:sz w:val="28"/>
        </w:rPr>
      </w:pPr>
      <w:r>
        <w:rPr>
          <w:b/>
          <w:sz w:val="28"/>
        </w:rPr>
        <w:t>噪声污染防治措施概述</w:t>
      </w:r>
    </w:p>
    <w:p w14:paraId="5828345F">
      <w:pPr>
        <w:pStyle w:val="10"/>
        <w:spacing w:before="212" w:line="364" w:lineRule="auto"/>
        <w:ind w:left="620" w:right="645" w:firstLine="480"/>
      </w:pPr>
      <w:r>
        <w:t>本项目噪声源主要为破碎机、挤出造粒机、上料机、混料机、挤出注塑机、自动裁切机、空压机、风机等，噪声源强约</w:t>
      </w:r>
      <w:r>
        <w:rPr>
          <w:rFonts w:ascii="Times New Roman" w:eastAsia="Times New Roman"/>
        </w:rPr>
        <w:t>70~85dB</w:t>
      </w:r>
      <w:r>
        <w:t>（</w:t>
      </w:r>
      <w:r>
        <w:rPr>
          <w:rFonts w:ascii="Times New Roman" w:eastAsia="Times New Roman"/>
        </w:rPr>
        <w:t>A</w:t>
      </w:r>
      <w:r>
        <w:t>）。为了减少本项目噪声对周围环境的影响，确保厂界噪声达标，项目将采取如下噪声控制措施。</w:t>
      </w:r>
    </w:p>
    <w:p w14:paraId="14BD36FA">
      <w:pPr>
        <w:pStyle w:val="10"/>
        <w:spacing w:before="2" w:line="364" w:lineRule="auto"/>
        <w:ind w:left="620" w:right="740" w:firstLine="480"/>
      </w:pPr>
      <w:r>
        <w:rPr>
          <w:rFonts w:ascii="Times New Roman" w:eastAsia="Times New Roman"/>
        </w:rPr>
        <w:t>1</w:t>
      </w:r>
      <w:r>
        <w:t>、在设计和设备采购阶段，优先选用低噪声设备，从而从声源上降低设备本身的噪声。</w:t>
      </w:r>
    </w:p>
    <w:p w14:paraId="574E5799">
      <w:pPr>
        <w:pStyle w:val="10"/>
        <w:spacing w:before="1" w:line="364" w:lineRule="auto"/>
        <w:ind w:left="620" w:right="740" w:firstLine="480"/>
      </w:pPr>
      <w:r>
        <w:rPr>
          <w:rFonts w:ascii="Times New Roman" w:eastAsia="Times New Roman"/>
        </w:rPr>
        <w:t>2</w:t>
      </w:r>
      <w:r>
        <w:t>、采取声学控制措施，各类泵、废气处理系统风机等应安放具有良好隔声效果空间内或安装隔声罩及消音设备，避免露天布置。</w:t>
      </w:r>
    </w:p>
    <w:p w14:paraId="0F29DBA0">
      <w:pPr>
        <w:pStyle w:val="10"/>
        <w:spacing w:before="1" w:line="364" w:lineRule="auto"/>
        <w:ind w:left="620" w:right="740" w:firstLine="480"/>
      </w:pPr>
      <w:r>
        <w:rPr>
          <w:rFonts w:ascii="Times New Roman" w:eastAsia="Times New Roman"/>
        </w:rPr>
        <w:t>3</w:t>
      </w:r>
      <w:r>
        <w:t>、采取减震降噪措施，各类设备底座设置减震垫，在风机及各类管道进出口采用软连接，正确安装设备，校准设备中心，以保证设备的动平衡。</w:t>
      </w:r>
    </w:p>
    <w:p w14:paraId="1DDFCDC0">
      <w:pPr>
        <w:pStyle w:val="10"/>
        <w:spacing w:before="1" w:line="364" w:lineRule="auto"/>
        <w:ind w:left="620" w:right="617" w:firstLine="480"/>
      </w:pPr>
      <w:r>
        <w:rPr>
          <w:rFonts w:ascii="Times New Roman" w:eastAsia="Times New Roman"/>
        </w:rPr>
        <w:t>4</w:t>
      </w:r>
      <w:r>
        <w:t>、合理设计和布置管线，设计管道时尽量选用较大管径以降低流速，减少</w:t>
      </w:r>
      <w:r>
        <w:rPr>
          <w:spacing w:val="-9"/>
        </w:rPr>
        <w:t>管道拐弯、交叉和变径，弯头的曲率半径至少</w:t>
      </w:r>
      <w:r>
        <w:rPr>
          <w:rFonts w:ascii="Times New Roman" w:eastAsia="Times New Roman"/>
        </w:rPr>
        <w:t>5</w:t>
      </w:r>
      <w:r>
        <w:rPr>
          <w:spacing w:val="-6"/>
        </w:rPr>
        <w:t xml:space="preserve">倍于管径，管线支承架设要牢固， </w:t>
      </w:r>
      <w:r>
        <w:rPr>
          <w:spacing w:val="-10"/>
        </w:rPr>
        <w:t>靠近振源的管线处设置波纹膨胀节或其它软接头，隔绝固体声传播，在管线穿过墙体时最好采用弹性连接；在管道外壁敷设阻尼隔声层。</w:t>
      </w:r>
    </w:p>
    <w:p w14:paraId="6E454E8A">
      <w:pPr>
        <w:pStyle w:val="10"/>
        <w:spacing w:before="3" w:line="364" w:lineRule="auto"/>
        <w:ind w:left="620" w:right="737" w:firstLine="480"/>
        <w:jc w:val="both"/>
      </w:pPr>
      <w:r>
        <w:rPr>
          <w:rFonts w:ascii="Times New Roman" w:hAnsi="Times New Roman" w:eastAsia="Times New Roman"/>
        </w:rPr>
        <w:t>5</w:t>
      </w:r>
      <w:r>
        <w:t>、采用</w:t>
      </w:r>
      <w:r>
        <w:rPr>
          <w:rFonts w:ascii="Times New Roman" w:hAnsi="Times New Roman" w:eastAsia="Times New Roman"/>
        </w:rPr>
        <w:t>“</w:t>
      </w:r>
      <w:r>
        <w:t>闹静分开</w:t>
      </w:r>
      <w:r>
        <w:rPr>
          <w:rFonts w:ascii="Times New Roman" w:hAnsi="Times New Roman" w:eastAsia="Times New Roman"/>
        </w:rPr>
        <w:t>”</w:t>
      </w:r>
      <w:r>
        <w:t>和合理布局的设置原则，尽量将高噪声源远离噪声敏感</w:t>
      </w:r>
      <w:r>
        <w:rPr>
          <w:spacing w:val="-9"/>
        </w:rPr>
        <w:t>区域或厂界。在厂区周围建设一定高度的隔声屏障，如绿化树木，减少对车间外或厂区外声环境的影响，种植一定的乔木、灌木林，亦有较好的降噪效果。</w:t>
      </w:r>
    </w:p>
    <w:p w14:paraId="060E3609">
      <w:pPr>
        <w:pStyle w:val="10"/>
        <w:spacing w:before="1"/>
        <w:ind w:left="1100"/>
      </w:pPr>
      <w:r>
        <w:rPr>
          <w:rFonts w:ascii="Times New Roman" w:eastAsia="Times New Roman"/>
        </w:rPr>
        <w:t>6</w:t>
      </w:r>
      <w:r>
        <w:t>、加强设备维护，确保设备处于良好的运转状态，杜绝因设备不正常运转</w:t>
      </w:r>
    </w:p>
    <w:p w14:paraId="1091F778">
      <w:pPr>
        <w:spacing w:after="0"/>
        <w:sectPr>
          <w:pgSz w:w="11910" w:h="16840"/>
          <w:pgMar w:top="1460" w:right="1060" w:bottom="1220" w:left="1180" w:header="0" w:footer="1024" w:gutter="0"/>
          <w:cols w:space="720" w:num="1"/>
        </w:sectPr>
      </w:pPr>
    </w:p>
    <w:p w14:paraId="79F894E1">
      <w:pPr>
        <w:pStyle w:val="10"/>
        <w:spacing w:before="42"/>
        <w:ind w:left="620"/>
      </w:pPr>
      <w:r>
        <w:t>时产生的高噪声现象。</w:t>
      </w:r>
    </w:p>
    <w:p w14:paraId="70F06EEB">
      <w:pPr>
        <w:pStyle w:val="16"/>
        <w:numPr>
          <w:ilvl w:val="2"/>
          <w:numId w:val="27"/>
        </w:numPr>
        <w:tabs>
          <w:tab w:val="left" w:pos="1249"/>
        </w:tabs>
        <w:spacing w:before="214" w:after="0" w:line="240" w:lineRule="auto"/>
        <w:ind w:left="1248" w:right="0" w:hanging="628"/>
        <w:jc w:val="left"/>
        <w:rPr>
          <w:b/>
          <w:sz w:val="28"/>
        </w:rPr>
      </w:pPr>
      <w:r>
        <w:rPr>
          <w:b/>
          <w:sz w:val="28"/>
        </w:rPr>
        <w:t>噪声污染防治措施可行性分析</w:t>
      </w:r>
    </w:p>
    <w:p w14:paraId="5D565B44">
      <w:pPr>
        <w:pStyle w:val="10"/>
        <w:spacing w:before="212" w:line="364" w:lineRule="auto"/>
        <w:ind w:left="620" w:right="617" w:firstLine="480"/>
      </w:pPr>
      <w:r>
        <w:rPr>
          <w:spacing w:val="-5"/>
        </w:rPr>
        <w:t>本项目生产设备采取选用低噪声设备，厂房隔声、基础减震、隔音、消音等</w:t>
      </w:r>
      <w:r>
        <w:rPr>
          <w:spacing w:val="-8"/>
        </w:rPr>
        <w:t>降噪措施后，可以降低噪声</w:t>
      </w:r>
      <w:r>
        <w:rPr>
          <w:rFonts w:ascii="Times New Roman" w:eastAsia="Times New Roman"/>
          <w:spacing w:val="-3"/>
        </w:rPr>
        <w:t>15~40dB(A)</w:t>
      </w:r>
      <w:r>
        <w:rPr>
          <w:spacing w:val="-8"/>
        </w:rPr>
        <w:t>，经过距离衰减、绿化带吸声后，可以使</w:t>
      </w:r>
      <w:r>
        <w:rPr>
          <w:spacing w:val="-1"/>
        </w:rPr>
        <w:t>项目的厂界噪声达到《工业企业厂界环境噪声排放标准》</w:t>
      </w:r>
      <w:r>
        <w:t>（</w:t>
      </w:r>
      <w:r>
        <w:rPr>
          <w:rFonts w:ascii="Times New Roman" w:eastAsia="Times New Roman"/>
        </w:rPr>
        <w:t>GB12348-2008</w:t>
      </w:r>
      <w:r>
        <w:t>）中的</w:t>
      </w:r>
      <w:r>
        <w:rPr>
          <w:rFonts w:ascii="Times New Roman" w:eastAsia="Times New Roman"/>
        </w:rPr>
        <w:t>3</w:t>
      </w:r>
      <w:r>
        <w:rPr>
          <w:spacing w:val="-11"/>
        </w:rPr>
        <w:t>类标准</w:t>
      </w:r>
      <w:r>
        <w:t>（</w:t>
      </w:r>
      <w:r>
        <w:rPr>
          <w:spacing w:val="-9"/>
        </w:rPr>
        <w:t>东、西、北侧厂界</w:t>
      </w:r>
      <w:r>
        <w:rPr>
          <w:spacing w:val="-32"/>
        </w:rPr>
        <w:t>）</w:t>
      </w:r>
      <w:r>
        <w:t>和</w:t>
      </w:r>
      <w:r>
        <w:rPr>
          <w:rFonts w:ascii="Times New Roman" w:eastAsia="Times New Roman"/>
        </w:rPr>
        <w:t>4</w:t>
      </w:r>
      <w:r>
        <w:rPr>
          <w:spacing w:val="-11"/>
        </w:rPr>
        <w:t>类标准</w:t>
      </w:r>
      <w:r>
        <w:t>（南侧厂界</w:t>
      </w:r>
      <w:r>
        <w:rPr>
          <w:spacing w:val="-31"/>
        </w:rPr>
        <w:t>）</w:t>
      </w:r>
      <w:r>
        <w:rPr>
          <w:spacing w:val="-6"/>
        </w:rPr>
        <w:t>，满足环境保护的要求。项目噪声污染防治措施可行。</w:t>
      </w:r>
    </w:p>
    <w:p w14:paraId="43FB351F">
      <w:pPr>
        <w:pStyle w:val="3"/>
        <w:numPr>
          <w:ilvl w:val="1"/>
          <w:numId w:val="28"/>
        </w:numPr>
        <w:tabs>
          <w:tab w:val="left" w:pos="1069"/>
        </w:tabs>
        <w:spacing w:before="43" w:after="0" w:line="240" w:lineRule="auto"/>
        <w:ind w:left="1068" w:right="0" w:hanging="448"/>
        <w:jc w:val="left"/>
      </w:pPr>
      <w:bookmarkStart w:id="35" w:name="_TOC_250020"/>
      <w:bookmarkEnd w:id="35"/>
      <w:r>
        <w:t>固体废物污染防治措施</w:t>
      </w:r>
    </w:p>
    <w:p w14:paraId="40FC9A93">
      <w:pPr>
        <w:pStyle w:val="16"/>
        <w:numPr>
          <w:ilvl w:val="2"/>
          <w:numId w:val="28"/>
        </w:numPr>
        <w:tabs>
          <w:tab w:val="left" w:pos="1249"/>
        </w:tabs>
        <w:spacing w:before="253" w:after="0" w:line="240" w:lineRule="auto"/>
        <w:ind w:left="1248" w:right="0" w:hanging="628"/>
        <w:jc w:val="left"/>
        <w:rPr>
          <w:b/>
          <w:sz w:val="28"/>
        </w:rPr>
      </w:pPr>
      <w:r>
        <w:rPr>
          <w:b/>
          <w:sz w:val="28"/>
        </w:rPr>
        <w:t>固体废物污染防治措施概述</w:t>
      </w:r>
    </w:p>
    <w:p w14:paraId="0F1975D3">
      <w:pPr>
        <w:pStyle w:val="10"/>
        <w:spacing w:before="212" w:line="364" w:lineRule="auto"/>
        <w:ind w:left="620" w:right="617" w:firstLine="480"/>
        <w:jc w:val="both"/>
      </w:pPr>
      <w:r>
        <w:rPr>
          <w:spacing w:val="-11"/>
        </w:rPr>
        <w:t>本项目产生的各类固体废物采取分类收集、分区存放、分别处置的处理方案， 建设单位建立全厂统一的固体废物分类制度，建设固定固体废物分区存放场地， 并严格按照各类固体废物的性质进行综合利用或外委处置。</w:t>
      </w:r>
    </w:p>
    <w:p w14:paraId="796C7674">
      <w:pPr>
        <w:pStyle w:val="10"/>
        <w:spacing w:before="1"/>
        <w:ind w:left="1100"/>
      </w:pPr>
      <w:r>
        <w:rPr>
          <w:rFonts w:ascii="Times New Roman" w:eastAsia="Times New Roman"/>
        </w:rPr>
        <w:t>1</w:t>
      </w:r>
      <w:r>
        <w:t>、分类收集</w:t>
      </w:r>
    </w:p>
    <w:p w14:paraId="4F4F4FD0">
      <w:pPr>
        <w:pStyle w:val="10"/>
        <w:spacing w:before="161" w:line="364" w:lineRule="auto"/>
        <w:ind w:left="620" w:right="497" w:firstLine="480"/>
      </w:pPr>
      <w:r>
        <w:rPr>
          <w:spacing w:val="-10"/>
        </w:rPr>
        <w:t xml:space="preserve">项目运营后，建设单位成立专门部门负责制定全厂统一的固体废物分类制度， </w:t>
      </w:r>
      <w:r>
        <w:rPr>
          <w:spacing w:val="-14"/>
        </w:rPr>
        <w:t xml:space="preserve">负责监督检查各车间、部门生产过程中固废的分类收集情况，确定各车间固废存 </w:t>
      </w:r>
      <w:r>
        <w:rPr>
          <w:spacing w:val="-13"/>
        </w:rPr>
        <w:t>放地点、分类种类，并对其进行标识和日常分类、存放设施维护、员工培训、记 录填写等情况进行监督。</w:t>
      </w:r>
    </w:p>
    <w:p w14:paraId="62DD5B2E">
      <w:pPr>
        <w:pStyle w:val="10"/>
        <w:spacing w:before="2" w:line="364" w:lineRule="auto"/>
        <w:ind w:left="620" w:right="737" w:firstLine="480"/>
        <w:jc w:val="both"/>
      </w:pPr>
      <w:r>
        <w:rPr>
          <w:spacing w:val="-4"/>
        </w:rPr>
        <w:t>各车间负责在各自辖区内明显位置设置一般固废分类暂存装置，并将产生的</w:t>
      </w:r>
      <w:r>
        <w:rPr>
          <w:spacing w:val="-9"/>
        </w:rPr>
        <w:t>废弃物分类存放于标识的容器内。危险废弃物存放，由专门部门设专人管理，危险废物收集应填写相应记录。</w:t>
      </w:r>
    </w:p>
    <w:p w14:paraId="6E1870A3">
      <w:pPr>
        <w:pStyle w:val="10"/>
        <w:spacing w:before="2"/>
        <w:ind w:left="1100"/>
      </w:pPr>
      <w:r>
        <w:rPr>
          <w:rFonts w:ascii="Times New Roman" w:eastAsia="Times New Roman"/>
        </w:rPr>
        <w:t>2</w:t>
      </w:r>
      <w:r>
        <w:t>、分区存放</w:t>
      </w:r>
    </w:p>
    <w:p w14:paraId="076A2506">
      <w:pPr>
        <w:pStyle w:val="10"/>
        <w:spacing w:before="161"/>
        <w:ind w:left="1100"/>
      </w:pPr>
      <w:r>
        <w:t>（</w:t>
      </w:r>
      <w:r>
        <w:rPr>
          <w:rFonts w:ascii="Times New Roman" w:eastAsia="Times New Roman"/>
        </w:rPr>
        <w:t>1</w:t>
      </w:r>
      <w:r>
        <w:t>）一般工业固废暂存</w:t>
      </w:r>
    </w:p>
    <w:p w14:paraId="07E7622A">
      <w:pPr>
        <w:pStyle w:val="10"/>
        <w:spacing w:before="160" w:line="364" w:lineRule="auto"/>
        <w:ind w:left="620" w:right="737" w:firstLine="480"/>
        <w:jc w:val="both"/>
      </w:pPr>
      <w:r>
        <w:t>本项目在厂内东北角建设</w:t>
      </w:r>
      <w:r>
        <w:rPr>
          <w:rFonts w:ascii="Times New Roman" w:eastAsia="Times New Roman"/>
        </w:rPr>
        <w:t>1</w:t>
      </w:r>
      <w:r>
        <w:t>个面积为</w:t>
      </w:r>
      <w:r>
        <w:rPr>
          <w:rFonts w:ascii="Times New Roman" w:eastAsia="Times New Roman"/>
        </w:rPr>
        <w:t>20m</w:t>
      </w:r>
      <w:r>
        <w:rPr>
          <w:rFonts w:ascii="Times New Roman" w:eastAsia="Times New Roman"/>
          <w:position w:val="8"/>
          <w:sz w:val="15"/>
        </w:rPr>
        <w:t>2</w:t>
      </w:r>
      <w:r>
        <w:t>的固废暂存间，固废暂存间严格按照《一般工业固体废物贮存和填埋污染控制标准》（</w:t>
      </w:r>
      <w:r>
        <w:rPr>
          <w:rFonts w:ascii="Times New Roman" w:eastAsia="Times New Roman"/>
        </w:rPr>
        <w:t>GB18599-2020</w:t>
      </w:r>
      <w:r>
        <w:t>）的要求规范建设和维护使用。</w:t>
      </w:r>
    </w:p>
    <w:p w14:paraId="5935E318">
      <w:pPr>
        <w:pStyle w:val="10"/>
        <w:spacing w:before="2"/>
        <w:ind w:left="1100"/>
      </w:pPr>
      <w:r>
        <w:t>（</w:t>
      </w:r>
      <w:r>
        <w:rPr>
          <w:rFonts w:ascii="Times New Roman" w:eastAsia="Times New Roman"/>
        </w:rPr>
        <w:t>2</w:t>
      </w:r>
      <w:r>
        <w:t>）危险废物暂存</w:t>
      </w:r>
    </w:p>
    <w:p w14:paraId="38B3244F">
      <w:pPr>
        <w:pStyle w:val="10"/>
        <w:spacing w:before="160" w:line="364" w:lineRule="auto"/>
        <w:ind w:left="620" w:right="737" w:firstLine="480"/>
      </w:pPr>
      <w:r>
        <w:t>本项目在厂内东北角建设</w:t>
      </w:r>
      <w:r>
        <w:rPr>
          <w:rFonts w:ascii="Times New Roman" w:eastAsia="Times New Roman"/>
        </w:rPr>
        <w:t>1</w:t>
      </w:r>
      <w:r>
        <w:t>个面积为</w:t>
      </w:r>
      <w:r>
        <w:rPr>
          <w:rFonts w:ascii="Times New Roman" w:eastAsia="Times New Roman"/>
        </w:rPr>
        <w:t>20m</w:t>
      </w:r>
      <w:r>
        <w:rPr>
          <w:rFonts w:ascii="Times New Roman" w:eastAsia="Times New Roman"/>
          <w:position w:val="8"/>
          <w:sz w:val="15"/>
        </w:rPr>
        <w:t>2</w:t>
      </w:r>
      <w:r>
        <w:t>危废暂存间。危废暂存间建设和管理应按照《危险废物污染防治技术政策》、《危险废物贮存污染控制标准》</w:t>
      </w:r>
    </w:p>
    <w:p w14:paraId="525EBA09">
      <w:pPr>
        <w:spacing w:after="0" w:line="364" w:lineRule="auto"/>
        <w:sectPr>
          <w:pgSz w:w="11910" w:h="16840"/>
          <w:pgMar w:top="1460" w:right="1060" w:bottom="1220" w:left="1180" w:header="0" w:footer="1024" w:gutter="0"/>
          <w:cols w:space="720" w:num="1"/>
        </w:sectPr>
      </w:pPr>
    </w:p>
    <w:p w14:paraId="1A3CF57A">
      <w:pPr>
        <w:pStyle w:val="10"/>
        <w:spacing w:before="62" w:line="364" w:lineRule="auto"/>
        <w:ind w:left="620" w:right="737"/>
        <w:jc w:val="both"/>
      </w:pPr>
      <w:r>
        <w:t>（</w:t>
      </w:r>
      <w:r>
        <w:rPr>
          <w:rFonts w:ascii="Times New Roman" w:eastAsia="Times New Roman"/>
        </w:rPr>
        <w:t>GB18597-2023</w:t>
      </w:r>
      <w:r>
        <w:t>）要求进行设计建造，危险废物的收集、存放应满足《危险废</w:t>
      </w:r>
      <w:r>
        <w:rPr>
          <w:spacing w:val="-1"/>
        </w:rPr>
        <w:t>物收集贮存运输技术规范》</w:t>
      </w:r>
      <w:r>
        <w:t>（</w:t>
      </w:r>
      <w:r>
        <w:rPr>
          <w:rFonts w:ascii="Times New Roman" w:eastAsia="Times New Roman"/>
        </w:rPr>
        <w:t>HJ 2025-2012</w:t>
      </w:r>
      <w:r>
        <w:t>）</w:t>
      </w:r>
      <w:r>
        <w:rPr>
          <w:spacing w:val="-1"/>
        </w:rPr>
        <w:t>的相关要求，转运应严格遵守生态</w:t>
      </w:r>
      <w:r>
        <w:rPr>
          <w:spacing w:val="-9"/>
        </w:rPr>
        <w:t>环境部、公安部、交通运输部联合发布的《危险废物转移管理办法》</w:t>
      </w:r>
      <w:r>
        <w:t>（部令第</w:t>
      </w:r>
      <w:r>
        <w:rPr>
          <w:rFonts w:ascii="Times New Roman" w:eastAsia="Times New Roman"/>
        </w:rPr>
        <w:t xml:space="preserve">23 </w:t>
      </w:r>
      <w:r>
        <w:t>号，</w:t>
      </w:r>
      <w:r>
        <w:rPr>
          <w:rFonts w:ascii="Times New Roman" w:eastAsia="Times New Roman"/>
        </w:rPr>
        <w:t>2022</w:t>
      </w:r>
      <w:r>
        <w:t>年</w:t>
      </w:r>
      <w:r>
        <w:rPr>
          <w:rFonts w:ascii="Times New Roman" w:eastAsia="Times New Roman"/>
        </w:rPr>
        <w:t>1</w:t>
      </w:r>
      <w:r>
        <w:t>月</w:t>
      </w:r>
      <w:r>
        <w:rPr>
          <w:rFonts w:ascii="Times New Roman" w:eastAsia="Times New Roman"/>
        </w:rPr>
        <w:t>1</w:t>
      </w:r>
      <w:r>
        <w:t>日起实施）。其贮存具体要求如下：</w:t>
      </w:r>
    </w:p>
    <w:p w14:paraId="5536AD1D">
      <w:pPr>
        <w:pStyle w:val="10"/>
        <w:spacing w:before="2" w:line="364" w:lineRule="auto"/>
        <w:ind w:left="620" w:right="617" w:firstLine="480"/>
      </w:pPr>
      <w:r>
        <w:rPr>
          <w:rFonts w:ascii="Times New Roman" w:eastAsia="Times New Roman"/>
        </w:rPr>
        <w:t>a</w:t>
      </w:r>
      <w:r>
        <w:rPr>
          <w:spacing w:val="-10"/>
        </w:rPr>
        <w:t>、必须将危险废物装入容器内；装载液体危险废物的容器内须留足够空间， 容器顶部与液体表面之间保留</w:t>
      </w:r>
      <w:r>
        <w:rPr>
          <w:rFonts w:ascii="Times New Roman" w:eastAsia="Times New Roman"/>
          <w:spacing w:val="-10"/>
        </w:rPr>
        <w:t>100mm</w:t>
      </w:r>
      <w:r>
        <w:rPr>
          <w:spacing w:val="-10"/>
        </w:rPr>
        <w:t>以上的空间。</w:t>
      </w:r>
    </w:p>
    <w:p w14:paraId="5A19E323">
      <w:pPr>
        <w:pStyle w:val="10"/>
        <w:spacing w:before="1" w:line="364" w:lineRule="auto"/>
        <w:ind w:left="620" w:right="497" w:firstLine="480"/>
      </w:pPr>
      <w:r>
        <w:rPr>
          <w:rFonts w:ascii="Times New Roman" w:eastAsia="Times New Roman"/>
        </w:rPr>
        <w:t>b</w:t>
      </w:r>
      <w:r>
        <w:t xml:space="preserve">、危险废物要根据其成分，用符合国家标准的专门容器分类收集；盛装危 </w:t>
      </w:r>
      <w:r>
        <w:rPr>
          <w:spacing w:val="-5"/>
        </w:rPr>
        <w:t xml:space="preserve">险废物的容器上必须粘贴符合本标准的标签；应当使用符合标准的容器盛装危险 </w:t>
      </w:r>
      <w:r>
        <w:rPr>
          <w:spacing w:val="-10"/>
        </w:rPr>
        <w:t xml:space="preserve">废物；装载危险废物的容器及材质要满足相应的强度要求；装载危险废物的容器 </w:t>
      </w:r>
      <w:r>
        <w:rPr>
          <w:spacing w:val="-18"/>
        </w:rPr>
        <w:t>必须完好无损；盛装危险废物的容器材质和衬里要与危险废物相容</w:t>
      </w:r>
      <w:r>
        <w:t>（不相互反应</w:t>
      </w:r>
      <w:r>
        <w:rPr>
          <w:spacing w:val="-120"/>
        </w:rPr>
        <w:t>）</w:t>
      </w:r>
      <w:r>
        <w:t>。</w:t>
      </w:r>
    </w:p>
    <w:p w14:paraId="0877887F">
      <w:pPr>
        <w:pStyle w:val="10"/>
        <w:spacing w:before="3" w:line="364" w:lineRule="auto"/>
        <w:ind w:left="620" w:right="617" w:firstLine="480"/>
      </w:pPr>
      <w:r>
        <w:rPr>
          <w:rFonts w:ascii="Times New Roman" w:hAnsi="Times New Roman" w:eastAsia="Times New Roman"/>
        </w:rPr>
        <w:t>c</w:t>
      </w:r>
      <w:r>
        <w:rPr>
          <w:spacing w:val="-9"/>
        </w:rPr>
        <w:t>、地面与裙脚要用坚固、防渗的材料建造，建筑材料必须与危险废物相容。应建有堵截泄漏的裙脚，地面与裙脚要用坚固防渗的材料建造。应有隔离设施、报警装置和防风、防晒、防雨设施；基础防渗层为粘土层的，其厚度应在</w:t>
      </w:r>
      <w:r>
        <w:rPr>
          <w:rFonts w:ascii="Times New Roman" w:hAnsi="Times New Roman" w:eastAsia="Times New Roman"/>
          <w:spacing w:val="-9"/>
        </w:rPr>
        <w:t>1m</w:t>
      </w:r>
      <w:r>
        <w:rPr>
          <w:spacing w:val="-9"/>
        </w:rPr>
        <w:t>以</w:t>
      </w:r>
      <w:r>
        <w:rPr>
          <w:spacing w:val="-8"/>
        </w:rPr>
        <w:t>上，渗透系数应小于</w:t>
      </w:r>
      <w:r>
        <w:rPr>
          <w:rFonts w:ascii="Times New Roman" w:hAnsi="Times New Roman" w:eastAsia="Times New Roman"/>
          <w:spacing w:val="-5"/>
        </w:rPr>
        <w:t>1.0</w:t>
      </w:r>
      <w:r>
        <w:rPr>
          <w:spacing w:val="-5"/>
        </w:rPr>
        <w:t>×</w:t>
      </w:r>
      <w:r>
        <w:rPr>
          <w:rFonts w:ascii="Times New Roman" w:hAnsi="Times New Roman" w:eastAsia="Times New Roman"/>
          <w:spacing w:val="-5"/>
        </w:rPr>
        <w:t>10-7cm/s</w:t>
      </w:r>
      <w:r>
        <w:rPr>
          <w:spacing w:val="-2"/>
        </w:rPr>
        <w:t>；基础防渗层也可用厚度在</w:t>
      </w:r>
      <w:r>
        <w:rPr>
          <w:rFonts w:ascii="Times New Roman" w:hAnsi="Times New Roman" w:eastAsia="Times New Roman"/>
        </w:rPr>
        <w:t>2mm</w:t>
      </w:r>
      <w:r>
        <w:t>以上的高密度聚乙烯或其他人工防渗材料组成，渗透系数应小于</w:t>
      </w:r>
      <w:r>
        <w:rPr>
          <w:rFonts w:ascii="Times New Roman" w:hAnsi="Times New Roman" w:eastAsia="Times New Roman"/>
        </w:rPr>
        <w:t>1.0</w:t>
      </w:r>
      <w:r>
        <w:t>×</w:t>
      </w:r>
      <w:r>
        <w:rPr>
          <w:rFonts w:ascii="Times New Roman" w:hAnsi="Times New Roman" w:eastAsia="Times New Roman"/>
        </w:rPr>
        <w:t>10-10cm/s</w:t>
      </w:r>
      <w:r>
        <w:t>；用于存放液</w:t>
      </w:r>
      <w:r>
        <w:rPr>
          <w:spacing w:val="-7"/>
        </w:rPr>
        <w:t>体危险废物的地方，还须有耐腐蚀的硬化地面，地面无裂隙；衬层上需建有渗滤液收集清除系统、径流疏导系统、雨水收集池；</w:t>
      </w:r>
    </w:p>
    <w:p w14:paraId="5F814615">
      <w:pPr>
        <w:pStyle w:val="10"/>
        <w:spacing w:before="4"/>
        <w:ind w:left="1100"/>
      </w:pPr>
      <w:r>
        <w:rPr>
          <w:rFonts w:ascii="Times New Roman" w:eastAsia="Times New Roman"/>
        </w:rPr>
        <w:t>d</w:t>
      </w:r>
      <w:r>
        <w:t>、危险废物贮存设施内清理出来的泄漏物，一律按危险废物处理。</w:t>
      </w:r>
    </w:p>
    <w:p w14:paraId="5753201A">
      <w:pPr>
        <w:pStyle w:val="10"/>
        <w:spacing w:before="161" w:line="364" w:lineRule="auto"/>
        <w:ind w:left="620" w:right="737" w:firstLine="480"/>
        <w:jc w:val="both"/>
      </w:pPr>
      <w:r>
        <w:rPr>
          <w:rFonts w:ascii="Times New Roman" w:eastAsia="Times New Roman"/>
        </w:rPr>
        <w:t>e</w:t>
      </w:r>
      <w:r>
        <w:t>、危险废物贮存设施周围应设置围墙或其它防护栅栏；危险废物贮存设施都必须按</w:t>
      </w:r>
      <w:r>
        <w:rPr>
          <w:rFonts w:ascii="Times New Roman" w:eastAsia="Times New Roman"/>
        </w:rPr>
        <w:t>GB 15562.2</w:t>
      </w:r>
      <w:r>
        <w:rPr>
          <w:spacing w:val="-7"/>
        </w:rPr>
        <w:t>的规定设置警示标志；必须定期对所贮存的危险废物包装容器及贮存设施进行检查，发现破损，应及时采取措施清理更换；</w:t>
      </w:r>
    </w:p>
    <w:p w14:paraId="593D4C0F">
      <w:pPr>
        <w:pStyle w:val="10"/>
        <w:spacing w:before="1" w:line="364" w:lineRule="auto"/>
        <w:ind w:left="620" w:right="737" w:firstLine="480"/>
        <w:jc w:val="both"/>
      </w:pPr>
      <w:r>
        <w:rPr>
          <w:rFonts w:ascii="Times New Roman" w:eastAsia="Times New Roman"/>
        </w:rPr>
        <w:t>f</w:t>
      </w:r>
      <w:r>
        <w:t>、装运危险废物的容器应根据危险废物的不同特性而设计，不易破损、变</w:t>
      </w:r>
      <w:r>
        <w:rPr>
          <w:spacing w:val="-10"/>
        </w:rPr>
        <w:t>形、老化，能有效地防止渗漏、扩散。装有危险废物的容器必须贴有标签，在标</w:t>
      </w:r>
      <w:r>
        <w:rPr>
          <w:spacing w:val="-14"/>
        </w:rPr>
        <w:t>签上详细标明危险废物的名称、重量、成分、特性以及发生泄漏、扩散污染事故时的应急措施和补救方法。</w:t>
      </w:r>
    </w:p>
    <w:p w14:paraId="16639843">
      <w:pPr>
        <w:pStyle w:val="10"/>
        <w:spacing w:before="3"/>
        <w:ind w:left="1100"/>
      </w:pPr>
      <w:r>
        <w:t>（</w:t>
      </w:r>
      <w:r>
        <w:rPr>
          <w:rFonts w:ascii="Times New Roman" w:eastAsia="Times New Roman"/>
        </w:rPr>
        <w:t>3</w:t>
      </w:r>
      <w:r>
        <w:t>）生活垃圾</w:t>
      </w:r>
    </w:p>
    <w:p w14:paraId="13F4CC9A">
      <w:pPr>
        <w:pStyle w:val="10"/>
        <w:spacing w:before="160" w:line="364" w:lineRule="auto"/>
        <w:ind w:left="620" w:right="737" w:firstLine="480"/>
      </w:pPr>
      <w:r>
        <w:t>本项目设置</w:t>
      </w:r>
      <w:r>
        <w:rPr>
          <w:rFonts w:ascii="Times New Roman" w:eastAsia="Times New Roman"/>
        </w:rPr>
        <w:t>1</w:t>
      </w:r>
      <w:r>
        <w:t>个</w:t>
      </w:r>
      <w:r>
        <w:rPr>
          <w:rFonts w:ascii="Times New Roman" w:eastAsia="Times New Roman"/>
        </w:rPr>
        <w:t>1m</w:t>
      </w:r>
      <w:r>
        <w:rPr>
          <w:rFonts w:ascii="Times New Roman" w:eastAsia="Times New Roman"/>
          <w:position w:val="8"/>
          <w:sz w:val="15"/>
        </w:rPr>
        <w:t>2</w:t>
      </w:r>
      <w:r>
        <w:t>生活垃圾收集点，收集点放置</w:t>
      </w:r>
      <w:r>
        <w:rPr>
          <w:rFonts w:ascii="Times New Roman" w:eastAsia="Times New Roman"/>
        </w:rPr>
        <w:t>1</w:t>
      </w:r>
      <w:r>
        <w:t>个</w:t>
      </w:r>
      <w:r>
        <w:rPr>
          <w:rFonts w:ascii="Times New Roman" w:eastAsia="Times New Roman"/>
        </w:rPr>
        <w:t>1m</w:t>
      </w:r>
      <w:r>
        <w:rPr>
          <w:rFonts w:ascii="Times New Roman" w:eastAsia="Times New Roman"/>
          <w:position w:val="8"/>
          <w:sz w:val="15"/>
        </w:rPr>
        <w:t>3</w:t>
      </w:r>
      <w:r>
        <w:t>大垃圾桶，用于收集日常生活垃圾。</w:t>
      </w:r>
    </w:p>
    <w:p w14:paraId="3F517933">
      <w:pPr>
        <w:pStyle w:val="10"/>
        <w:spacing w:before="1"/>
        <w:ind w:left="1100"/>
      </w:pPr>
      <w:r>
        <w:rPr>
          <w:rFonts w:ascii="Times New Roman" w:eastAsia="Times New Roman"/>
        </w:rPr>
        <w:t>3</w:t>
      </w:r>
      <w:r>
        <w:t>、分别处置</w:t>
      </w:r>
    </w:p>
    <w:p w14:paraId="45AACA6E">
      <w:pPr>
        <w:spacing w:after="0"/>
        <w:sectPr>
          <w:pgSz w:w="11910" w:h="16840"/>
          <w:pgMar w:top="1440" w:right="1060" w:bottom="1220" w:left="1180" w:header="0" w:footer="1024" w:gutter="0"/>
          <w:cols w:space="720" w:num="1"/>
        </w:sectPr>
      </w:pPr>
    </w:p>
    <w:p w14:paraId="7DC56EA7">
      <w:pPr>
        <w:pStyle w:val="10"/>
        <w:spacing w:before="42"/>
        <w:ind w:left="1100"/>
      </w:pPr>
      <w:r>
        <w:t>项目生活垃圾由环卫部门集中收集处理。</w:t>
      </w:r>
    </w:p>
    <w:p w14:paraId="6952E1E1">
      <w:pPr>
        <w:pStyle w:val="10"/>
        <w:spacing w:before="160" w:line="364" w:lineRule="auto"/>
        <w:ind w:left="620" w:right="737" w:firstLine="480"/>
        <w:jc w:val="both"/>
      </w:pPr>
      <w:r>
        <w:rPr>
          <w:spacing w:val="-5"/>
        </w:rPr>
        <w:t>项目产生的一般工业固废一般包装材料、造粒杂质、废滤网等外售至物资回</w:t>
      </w:r>
      <w:r>
        <w:rPr>
          <w:spacing w:val="-11"/>
        </w:rPr>
        <w:t>收公司；收集除尘灰收集后回用于生产，边角料、不合格品经破碎处理后回用于生产。</w:t>
      </w:r>
    </w:p>
    <w:p w14:paraId="775E1640">
      <w:pPr>
        <w:pStyle w:val="10"/>
        <w:spacing w:before="2" w:line="364" w:lineRule="auto"/>
        <w:ind w:left="620" w:right="645" w:firstLine="480"/>
        <w:jc w:val="both"/>
      </w:pPr>
      <w:r>
        <w:t>项目危险废物主要包括废润滑油、含油废抹布手套和废活性炭、废过滤棉， 均收集暂存后委托具有相应危废类别的危险废物经营许可证单位进行处置。</w:t>
      </w:r>
    </w:p>
    <w:p w14:paraId="5E9C3784">
      <w:pPr>
        <w:pStyle w:val="10"/>
        <w:spacing w:before="1"/>
        <w:ind w:left="1100"/>
      </w:pPr>
      <w:r>
        <w:t>外委处置的危险废物在转移时，应遵照《危险废物转移管理办法》（部令第</w:t>
      </w:r>
    </w:p>
    <w:p w14:paraId="2FCDEE2E">
      <w:pPr>
        <w:pStyle w:val="10"/>
        <w:spacing w:before="161" w:line="364" w:lineRule="auto"/>
        <w:ind w:left="620" w:right="737"/>
        <w:jc w:val="both"/>
      </w:pPr>
      <w:r>
        <w:rPr>
          <w:rFonts w:ascii="Times New Roman" w:eastAsia="Times New Roman"/>
        </w:rPr>
        <w:t>23</w:t>
      </w:r>
      <w:r>
        <w:rPr>
          <w:spacing w:val="-2"/>
        </w:rPr>
        <w:t>号，</w:t>
      </w:r>
      <w:r>
        <w:rPr>
          <w:rFonts w:ascii="Times New Roman" w:eastAsia="Times New Roman"/>
          <w:spacing w:val="-4"/>
        </w:rPr>
        <w:t>2022</w:t>
      </w:r>
      <w:r>
        <w:t>年</w:t>
      </w:r>
      <w:r>
        <w:rPr>
          <w:rFonts w:ascii="Times New Roman" w:eastAsia="Times New Roman"/>
        </w:rPr>
        <w:t>1</w:t>
      </w:r>
      <w:r>
        <w:t>月</w:t>
      </w:r>
      <w:r>
        <w:rPr>
          <w:rFonts w:ascii="Times New Roman" w:eastAsia="Times New Roman"/>
        </w:rPr>
        <w:t>1</w:t>
      </w:r>
      <w:r>
        <w:t>日起实施</w:t>
      </w:r>
      <w:r>
        <w:rPr>
          <w:spacing w:val="-28"/>
        </w:rPr>
        <w:t>）</w:t>
      </w:r>
      <w:r>
        <w:rPr>
          <w:spacing w:val="-7"/>
        </w:rPr>
        <w:t>，《湖南省危险废物经营许可证管理办法》中的规</w:t>
      </w:r>
      <w:r>
        <w:rPr>
          <w:spacing w:val="-8"/>
        </w:rPr>
        <w:t>定执行，通过国家危险废物信息管理系统</w:t>
      </w:r>
      <w:r>
        <w:t>（以下简称信息系统</w:t>
      </w:r>
      <w:r>
        <w:rPr>
          <w:spacing w:val="-24"/>
        </w:rPr>
        <w:t>）</w:t>
      </w:r>
      <w:r>
        <w:rPr>
          <w:spacing w:val="-5"/>
        </w:rPr>
        <w:t>填写、运行危险</w:t>
      </w:r>
      <w:r>
        <w:rPr>
          <w:spacing w:val="-12"/>
        </w:rPr>
        <w:t>废物电子转移联单，并依照国家有关规定公开危险废物转移相关污染环境防治信</w:t>
      </w:r>
      <w:r>
        <w:rPr>
          <w:spacing w:val="-10"/>
        </w:rPr>
        <w:t>息，在危险废物转移过程中应当采取防扬散、防流失、防渗漏或者其他防止污染环境的措施，不得擅自倾倒、堆放、丢弃、遗撒危险废物。</w:t>
      </w:r>
    </w:p>
    <w:p w14:paraId="587EC002">
      <w:pPr>
        <w:pStyle w:val="10"/>
        <w:spacing w:before="3" w:line="364" w:lineRule="auto"/>
        <w:ind w:left="620" w:right="617" w:firstLine="480"/>
      </w:pPr>
      <w:r>
        <w:rPr>
          <w:spacing w:val="-5"/>
        </w:rPr>
        <w:t>在项目各类固体废物外委运输过程中应采取防雨、防渗、防漏等措施，防止</w:t>
      </w:r>
      <w:r>
        <w:rPr>
          <w:spacing w:val="-14"/>
        </w:rPr>
        <w:t>废物洒漏造成污染。对危险废物的运输应按照《汽车危险品货物运输规则》</w:t>
      </w:r>
      <w:r>
        <w:t>（</w:t>
      </w:r>
      <w:r>
        <w:rPr>
          <w:rFonts w:ascii="Times New Roman" w:eastAsia="Times New Roman"/>
        </w:rPr>
        <w:t>JTJ 3130-88</w:t>
      </w:r>
      <w:r>
        <w:t>）</w:t>
      </w:r>
      <w:r>
        <w:rPr>
          <w:spacing w:val="-5"/>
        </w:rPr>
        <w:t>、《道路危险货物运输管理规定》</w:t>
      </w:r>
      <w:r>
        <w:t>（</w:t>
      </w:r>
      <w:r>
        <w:rPr>
          <w:rFonts w:ascii="Times New Roman" w:eastAsia="Times New Roman"/>
        </w:rPr>
        <w:t>2005</w:t>
      </w:r>
      <w:r>
        <w:t>年第</w:t>
      </w:r>
      <w:r>
        <w:rPr>
          <w:rFonts w:ascii="Times New Roman" w:eastAsia="Times New Roman"/>
        </w:rPr>
        <w:t>9</w:t>
      </w:r>
      <w:r>
        <w:t>号</w:t>
      </w:r>
      <w:r>
        <w:rPr>
          <w:spacing w:val="-5"/>
        </w:rPr>
        <w:t>）</w:t>
      </w:r>
      <w:r>
        <w:rPr>
          <w:spacing w:val="-4"/>
        </w:rPr>
        <w:t>、《汽车运输、装卸危险货物作业规程</w:t>
      </w:r>
      <w:r>
        <w:rPr>
          <w:spacing w:val="-212"/>
        </w:rPr>
        <w:t>》</w:t>
      </w:r>
      <w:r>
        <w:rPr>
          <w:spacing w:val="-3"/>
        </w:rPr>
        <w:t>（</w:t>
      </w:r>
      <w:r>
        <w:rPr>
          <w:rFonts w:ascii="Times New Roman" w:eastAsia="Times New Roman"/>
        </w:rPr>
        <w:t>JT 618</w:t>
      </w:r>
      <w:r>
        <w:rPr>
          <w:spacing w:val="-108"/>
        </w:rPr>
        <w:t>）</w:t>
      </w:r>
      <w:r>
        <w:rPr>
          <w:spacing w:val="-18"/>
        </w:rPr>
        <w:t>、《道路运输危险货物车辆标志</w:t>
      </w:r>
      <w:r>
        <w:rPr>
          <w:spacing w:val="-212"/>
        </w:rPr>
        <w:t>》</w:t>
      </w:r>
      <w:r>
        <w:rPr>
          <w:spacing w:val="-3"/>
        </w:rPr>
        <w:t>（</w:t>
      </w:r>
      <w:r>
        <w:rPr>
          <w:rFonts w:ascii="Times New Roman" w:eastAsia="Times New Roman"/>
          <w:spacing w:val="-1"/>
        </w:rPr>
        <w:t>G</w:t>
      </w:r>
      <w:r>
        <w:rPr>
          <w:rFonts w:ascii="Times New Roman" w:eastAsia="Times New Roman"/>
        </w:rPr>
        <w:t>B 13392</w:t>
      </w:r>
      <w:r>
        <w:rPr>
          <w:rFonts w:ascii="Times New Roman" w:eastAsia="Times New Roman"/>
          <w:spacing w:val="-1"/>
        </w:rPr>
        <w:t>-</w:t>
      </w:r>
      <w:r>
        <w:rPr>
          <w:rFonts w:ascii="Times New Roman" w:eastAsia="Times New Roman"/>
        </w:rPr>
        <w:t>200</w:t>
      </w:r>
      <w:r>
        <w:rPr>
          <w:rFonts w:ascii="Times New Roman" w:eastAsia="Times New Roman"/>
          <w:spacing w:val="1"/>
        </w:rPr>
        <w:t>5</w:t>
      </w:r>
      <w:r>
        <w:t>）中的有关规定执行。</w:t>
      </w:r>
    </w:p>
    <w:p w14:paraId="2622C330">
      <w:pPr>
        <w:pStyle w:val="10"/>
        <w:spacing w:before="3" w:line="364" w:lineRule="auto"/>
        <w:ind w:left="620" w:right="617" w:firstLine="480"/>
      </w:pPr>
      <w:r>
        <w:rPr>
          <w:spacing w:val="-5"/>
        </w:rPr>
        <w:t>公司应建立危险废物管理制度和分类管理档案，对危险废物的处理和收运都</w:t>
      </w:r>
      <w:r>
        <w:rPr>
          <w:spacing w:val="-18"/>
        </w:rPr>
        <w:t>应由指定的专业人员负责，做好宣传教育工作，严禁任何人随意排放固体废弃物。</w:t>
      </w:r>
    </w:p>
    <w:p w14:paraId="4054385F">
      <w:pPr>
        <w:pStyle w:val="16"/>
        <w:numPr>
          <w:ilvl w:val="2"/>
          <w:numId w:val="28"/>
        </w:numPr>
        <w:tabs>
          <w:tab w:val="left" w:pos="1249"/>
        </w:tabs>
        <w:spacing w:before="55" w:after="0" w:line="240" w:lineRule="auto"/>
        <w:ind w:left="1248" w:right="0" w:hanging="628"/>
        <w:jc w:val="left"/>
        <w:rPr>
          <w:b/>
          <w:sz w:val="28"/>
        </w:rPr>
      </w:pPr>
      <w:r>
        <w:rPr>
          <w:b/>
          <w:sz w:val="28"/>
        </w:rPr>
        <w:t>固体废物污染防治措施可行性分析</w:t>
      </w:r>
    </w:p>
    <w:p w14:paraId="2FB180CF">
      <w:pPr>
        <w:pStyle w:val="10"/>
        <w:spacing w:before="211" w:line="364" w:lineRule="auto"/>
        <w:ind w:left="620" w:right="737" w:firstLine="480"/>
        <w:jc w:val="both"/>
      </w:pPr>
      <w:r>
        <w:t>本项目运营后一般工业固废产生量为</w:t>
      </w:r>
      <w:r>
        <w:rPr>
          <w:rFonts w:ascii="Times New Roman" w:eastAsia="Times New Roman"/>
        </w:rPr>
        <w:t>155.454t/a</w:t>
      </w:r>
      <w:r>
        <w:t>，根据各固体废物具体产生情况进行妥善处置，本项目固废暂存间面积约</w:t>
      </w:r>
      <w:r>
        <w:rPr>
          <w:rFonts w:ascii="Times New Roman" w:eastAsia="Times New Roman"/>
        </w:rPr>
        <w:t>20m</w:t>
      </w:r>
      <w:r>
        <w:rPr>
          <w:rFonts w:ascii="Times New Roman" w:eastAsia="Times New Roman"/>
          <w:position w:val="8"/>
          <w:sz w:val="15"/>
        </w:rPr>
        <w:t>2</w:t>
      </w:r>
      <w:r>
        <w:t>，最大贮存量为</w:t>
      </w:r>
      <w:r>
        <w:rPr>
          <w:rFonts w:ascii="Times New Roman" w:eastAsia="Times New Roman"/>
        </w:rPr>
        <w:t>40t</w:t>
      </w:r>
      <w:r>
        <w:t>，其中边角料和不合格品共计</w:t>
      </w:r>
      <w:r>
        <w:rPr>
          <w:rFonts w:ascii="Times New Roman" w:eastAsia="Times New Roman"/>
        </w:rPr>
        <w:t>150t/a</w:t>
      </w:r>
      <w:r>
        <w:rPr>
          <w:spacing w:val="-3"/>
        </w:rPr>
        <w:t>直接回用至破碎磨粉工序，收集除尘灰</w:t>
      </w:r>
      <w:r>
        <w:rPr>
          <w:rFonts w:ascii="Times New Roman" w:eastAsia="Times New Roman"/>
        </w:rPr>
        <w:t>2.335t/a</w:t>
      </w:r>
      <w:r>
        <w:t>直接回用至配料工序，仅一般废包装材料、造粒杂质和废滤网共计</w:t>
      </w:r>
      <w:r>
        <w:rPr>
          <w:rFonts w:ascii="Times New Roman" w:eastAsia="Times New Roman"/>
        </w:rPr>
        <w:t>3.119t/a</w:t>
      </w:r>
      <w:r>
        <w:t>暂存在一般固废间，该暂存间完全可容纳项目产生的一般工业固废。</w:t>
      </w:r>
    </w:p>
    <w:p w14:paraId="7F9F879B">
      <w:pPr>
        <w:pStyle w:val="10"/>
        <w:spacing w:before="3" w:line="364" w:lineRule="auto"/>
        <w:ind w:left="620" w:right="737" w:firstLine="480"/>
        <w:jc w:val="both"/>
      </w:pPr>
      <w:r>
        <w:t>本项目运营后明确属性的危险废物产生量为</w:t>
      </w:r>
      <w:r>
        <w:rPr>
          <w:rFonts w:ascii="Times New Roman" w:eastAsia="Times New Roman"/>
          <w:spacing w:val="-4"/>
        </w:rPr>
        <w:t>59.386t/a</w:t>
      </w:r>
      <w:r>
        <w:rPr>
          <w:spacing w:val="-2"/>
        </w:rPr>
        <w:t>，根据各危险废物具体</w:t>
      </w:r>
      <w:r>
        <w:rPr>
          <w:spacing w:val="-8"/>
        </w:rPr>
        <w:t>产生情况进行外委处置，由表</w:t>
      </w:r>
      <w:r>
        <w:rPr>
          <w:rFonts w:ascii="Times New Roman" w:eastAsia="Times New Roman"/>
        </w:rPr>
        <w:t>4.5-1</w:t>
      </w:r>
      <w:r>
        <w:rPr>
          <w:spacing w:val="-8"/>
        </w:rPr>
        <w:t>可知，本项目拟建危废暂存间可满足项目的贮存需要。</w:t>
      </w:r>
    </w:p>
    <w:p w14:paraId="77877AD7">
      <w:pPr>
        <w:pStyle w:val="10"/>
        <w:spacing w:before="2"/>
        <w:ind w:left="1100"/>
      </w:pPr>
      <w:r>
        <w:t>本项目各贮存设施均能满足污染防控技术要求，运营后将按照《排污许可证</w:t>
      </w:r>
    </w:p>
    <w:p w14:paraId="2D15202D">
      <w:pPr>
        <w:spacing w:after="0"/>
        <w:sectPr>
          <w:pgSz w:w="11910" w:h="16840"/>
          <w:pgMar w:top="1460" w:right="1060" w:bottom="1220" w:left="1180" w:header="0" w:footer="1024" w:gutter="0"/>
          <w:cols w:space="720" w:num="1"/>
        </w:sectPr>
      </w:pPr>
    </w:p>
    <w:p w14:paraId="50A19D30">
      <w:pPr>
        <w:pStyle w:val="10"/>
        <w:spacing w:before="62" w:line="364" w:lineRule="auto"/>
        <w:ind w:left="620" w:right="737"/>
        <w:jc w:val="both"/>
      </w:pPr>
      <w:r>
        <w:rPr>
          <w:spacing w:val="-3"/>
        </w:rPr>
        <w:t>申请与核发技术规范 胶和塑料制品工业》（</w:t>
      </w:r>
      <w:r>
        <w:rPr>
          <w:rFonts w:ascii="Times New Roman" w:eastAsia="Times New Roman"/>
          <w:spacing w:val="-3"/>
        </w:rPr>
        <w:t>HJ1122-2020</w:t>
      </w:r>
      <w:r>
        <w:rPr>
          <w:spacing w:val="-3"/>
        </w:rPr>
        <w:t>）</w:t>
      </w:r>
      <w:r>
        <w:t>中的要求填报项目产</w:t>
      </w:r>
      <w:r>
        <w:rPr>
          <w:spacing w:val="-4"/>
        </w:rPr>
        <w:t>生的危险废物和一般工业固体废物的相关信息并定期公开，严格落实工业固体废物的环境管理要求。</w:t>
      </w:r>
    </w:p>
    <w:p w14:paraId="05BD245D">
      <w:pPr>
        <w:pStyle w:val="10"/>
        <w:spacing w:before="2" w:line="364" w:lineRule="auto"/>
        <w:ind w:left="620" w:right="617" w:firstLine="480"/>
      </w:pPr>
      <w:r>
        <w:rPr>
          <w:spacing w:val="-14"/>
        </w:rPr>
        <w:t>综上所述，本项目各固体废物均得到了妥善处理，各项处理措施合理、可行、有效，企业必须加强储存与运输的监督管理，按各项要求逐一落实。</w:t>
      </w:r>
    </w:p>
    <w:p w14:paraId="6E79C43E">
      <w:pPr>
        <w:pStyle w:val="3"/>
        <w:spacing w:before="42"/>
        <w:ind w:left="620" w:firstLine="0"/>
      </w:pPr>
      <w:bookmarkStart w:id="36" w:name="_TOC_250019"/>
      <w:r>
        <w:rPr>
          <w:rFonts w:ascii="Times New Roman" w:eastAsia="Times New Roman"/>
        </w:rPr>
        <w:t xml:space="preserve">5.5 </w:t>
      </w:r>
      <w:bookmarkEnd w:id="36"/>
      <w:r>
        <w:t>地下水和土壤污染防治措施</w:t>
      </w:r>
    </w:p>
    <w:p w14:paraId="7D2CC2BE">
      <w:pPr>
        <w:pStyle w:val="10"/>
        <w:spacing w:before="199" w:line="364" w:lineRule="auto"/>
        <w:ind w:left="620" w:right="645" w:firstLine="480"/>
      </w:pPr>
      <w:r>
        <w:rPr>
          <w:spacing w:val="-7"/>
        </w:rPr>
        <w:t>项目正常情况下，对周边土壤与地下水的影响不大。因此，土壤与地下水的</w:t>
      </w:r>
      <w:r>
        <w:rPr>
          <w:spacing w:val="-13"/>
        </w:rPr>
        <w:t xml:space="preserve">污染防治措施按照“源头控制、分区防治、污染监控、应急响应”的原则，从污染物的产生、入渗、扩散、应急响应全阶段进行控制。工程生产运行过程中要建立健全土壤与地下水保护与污染防治的措施与方法；必须采取必要的监测制度， </w:t>
      </w:r>
      <w:r>
        <w:rPr>
          <w:spacing w:val="-17"/>
        </w:rPr>
        <w:t>一旦发现土壤与地下水遭受污染，就应及时采取措施，防微杜渐；尽量减少污染物进入土壤与地下含水层的机会和数量。</w:t>
      </w:r>
    </w:p>
    <w:p w14:paraId="72C4845A">
      <w:pPr>
        <w:pStyle w:val="10"/>
        <w:spacing w:before="3"/>
        <w:ind w:left="1100"/>
      </w:pPr>
      <w:r>
        <w:rPr>
          <w:rFonts w:ascii="Times New Roman" w:eastAsia="Times New Roman"/>
        </w:rPr>
        <w:t>1</w:t>
      </w:r>
      <w:r>
        <w:t>、源头控制</w:t>
      </w:r>
    </w:p>
    <w:p w14:paraId="7D573DDA">
      <w:pPr>
        <w:pStyle w:val="10"/>
        <w:spacing w:before="161" w:line="364" w:lineRule="auto"/>
        <w:ind w:left="620" w:right="617" w:firstLine="480"/>
      </w:pPr>
      <w:r>
        <w:rPr>
          <w:spacing w:val="-6"/>
        </w:rPr>
        <w:t>厂区严格按照国家相关规范要求，对危废暂存间等采取相应的措施，以防止</w:t>
      </w:r>
      <w:r>
        <w:rPr>
          <w:spacing w:val="-17"/>
        </w:rPr>
        <w:t>和降低污染物的跑、冒、滴、漏，将污染物泄漏的环境风险事故降低到最低程度。</w:t>
      </w:r>
    </w:p>
    <w:p w14:paraId="4EFE27B1">
      <w:pPr>
        <w:pStyle w:val="10"/>
        <w:spacing w:before="1"/>
        <w:ind w:left="1100"/>
      </w:pPr>
      <w:r>
        <w:rPr>
          <w:rFonts w:ascii="Times New Roman" w:eastAsia="Times New Roman"/>
        </w:rPr>
        <w:t>2</w:t>
      </w:r>
      <w:r>
        <w:t>、分区防治</w:t>
      </w:r>
    </w:p>
    <w:p w14:paraId="6D532C1A">
      <w:pPr>
        <w:pStyle w:val="10"/>
        <w:spacing w:before="160" w:line="364" w:lineRule="auto"/>
        <w:ind w:left="620" w:right="737" w:firstLine="480"/>
        <w:jc w:val="both"/>
      </w:pPr>
      <w:r>
        <w:rPr>
          <w:spacing w:val="-5"/>
        </w:rPr>
        <w:t>污染防渗分区判定根据污染控制难易程度、天然包气带防污性能和污染物类</w:t>
      </w:r>
      <w:r>
        <w:rPr>
          <w:spacing w:val="-12"/>
        </w:rPr>
        <w:t>型来判定。根据厂区各生产功能单元可能泄漏至地面区域的污染物性质和生产单</w:t>
      </w:r>
      <w:r>
        <w:rPr>
          <w:spacing w:val="-13"/>
        </w:rPr>
        <w:t>元的构筑方式，将厂区划分为一般防渗区和重点防渗区。项目厂房系租赁，目前</w:t>
      </w:r>
      <w:r>
        <w:rPr>
          <w:spacing w:val="-16"/>
        </w:rPr>
        <w:t xml:space="preserve">已进行地面硬化处理，属于一般防渗区；本项目需要新建 </w:t>
      </w:r>
      <w:r>
        <w:rPr>
          <w:rFonts w:ascii="Times New Roman" w:eastAsia="Times New Roman"/>
        </w:rPr>
        <w:t xml:space="preserve">1 </w:t>
      </w:r>
      <w:r>
        <w:rPr>
          <w:spacing w:val="-5"/>
        </w:rPr>
        <w:t>个危废暂存间，按重点防渗区进行设计。</w:t>
      </w:r>
    </w:p>
    <w:p w14:paraId="1A6DA25A">
      <w:pPr>
        <w:pStyle w:val="10"/>
        <w:spacing w:before="3"/>
        <w:ind w:left="1100"/>
      </w:pPr>
      <w:r>
        <w:t>具体详见下表。</w:t>
      </w:r>
    </w:p>
    <w:p w14:paraId="509B2B80">
      <w:pPr>
        <w:pStyle w:val="9"/>
        <w:spacing w:before="161"/>
        <w:ind w:left="2535"/>
      </w:pPr>
      <w:r>
        <w:t xml:space="preserve">表 </w:t>
      </w:r>
      <w:r>
        <w:rPr>
          <w:rFonts w:ascii="Times New Roman" w:eastAsia="Times New Roman"/>
        </w:rPr>
        <w:t xml:space="preserve">5.5-1 </w:t>
      </w:r>
      <w:r>
        <w:t>地下水和土壤污染防渗分区判定表</w:t>
      </w:r>
    </w:p>
    <w:p w14:paraId="05E42F7B">
      <w:pPr>
        <w:pStyle w:val="10"/>
        <w:spacing w:before="3"/>
        <w:rPr>
          <w:b/>
          <w:sz w:val="6"/>
        </w:rPr>
      </w:pPr>
    </w:p>
    <w:tbl>
      <w:tblPr>
        <w:tblStyle w:val="1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1"/>
        <w:gridCol w:w="2461"/>
        <w:gridCol w:w="3857"/>
      </w:tblGrid>
      <w:tr w14:paraId="002F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1" w:type="dxa"/>
            <w:tcBorders>
              <w:left w:val="nil"/>
            </w:tcBorders>
          </w:tcPr>
          <w:p w14:paraId="4AE6D6D2">
            <w:pPr>
              <w:pStyle w:val="17"/>
              <w:spacing w:before="62"/>
              <w:ind w:left="552" w:right="552"/>
              <w:rPr>
                <w:b/>
                <w:sz w:val="21"/>
              </w:rPr>
            </w:pPr>
            <w:r>
              <w:rPr>
                <w:b/>
                <w:sz w:val="21"/>
              </w:rPr>
              <w:t>区域</w:t>
            </w:r>
          </w:p>
        </w:tc>
        <w:tc>
          <w:tcPr>
            <w:tcW w:w="2461" w:type="dxa"/>
          </w:tcPr>
          <w:p w14:paraId="5CC50917">
            <w:pPr>
              <w:pStyle w:val="17"/>
              <w:spacing w:before="62"/>
              <w:ind w:left="111" w:right="111"/>
              <w:rPr>
                <w:b/>
                <w:sz w:val="21"/>
              </w:rPr>
            </w:pPr>
            <w:r>
              <w:rPr>
                <w:b/>
                <w:sz w:val="21"/>
              </w:rPr>
              <w:t>分级特征</w:t>
            </w:r>
          </w:p>
        </w:tc>
        <w:tc>
          <w:tcPr>
            <w:tcW w:w="3857" w:type="dxa"/>
            <w:tcBorders>
              <w:right w:val="nil"/>
            </w:tcBorders>
          </w:tcPr>
          <w:p w14:paraId="75DEACA8">
            <w:pPr>
              <w:pStyle w:val="17"/>
              <w:spacing w:before="62"/>
              <w:ind w:left="1259"/>
              <w:jc w:val="left"/>
              <w:rPr>
                <w:b/>
                <w:sz w:val="21"/>
              </w:rPr>
            </w:pPr>
            <w:r>
              <w:rPr>
                <w:b/>
                <w:sz w:val="21"/>
              </w:rPr>
              <w:t>防渗技术要求</w:t>
            </w:r>
          </w:p>
        </w:tc>
      </w:tr>
      <w:tr w14:paraId="03BB3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01" w:type="dxa"/>
            <w:tcBorders>
              <w:left w:val="nil"/>
            </w:tcBorders>
          </w:tcPr>
          <w:p w14:paraId="69060CD6">
            <w:pPr>
              <w:pStyle w:val="17"/>
              <w:spacing w:before="135"/>
              <w:ind w:left="552" w:right="553"/>
              <w:rPr>
                <w:sz w:val="21"/>
              </w:rPr>
            </w:pPr>
            <w:r>
              <w:rPr>
                <w:sz w:val="21"/>
              </w:rPr>
              <w:t>重点防渗区</w:t>
            </w:r>
          </w:p>
        </w:tc>
        <w:tc>
          <w:tcPr>
            <w:tcW w:w="2461" w:type="dxa"/>
          </w:tcPr>
          <w:p w14:paraId="4D23DC01">
            <w:pPr>
              <w:pStyle w:val="17"/>
              <w:spacing w:before="135"/>
              <w:ind w:left="111" w:right="112"/>
              <w:rPr>
                <w:sz w:val="21"/>
              </w:rPr>
            </w:pPr>
            <w:r>
              <w:rPr>
                <w:sz w:val="21"/>
              </w:rPr>
              <w:t>危废暂存间</w:t>
            </w:r>
          </w:p>
        </w:tc>
        <w:tc>
          <w:tcPr>
            <w:tcW w:w="3857" w:type="dxa"/>
            <w:tcBorders>
              <w:right w:val="nil"/>
            </w:tcBorders>
          </w:tcPr>
          <w:p w14:paraId="7F1D76AA">
            <w:pPr>
              <w:pStyle w:val="17"/>
              <w:ind w:left="118" w:right="118"/>
              <w:rPr>
                <w:sz w:val="21"/>
              </w:rPr>
            </w:pPr>
            <w:r>
              <w:rPr>
                <w:sz w:val="21"/>
              </w:rPr>
              <w:t>等效黏土防渗层不应低于</w:t>
            </w:r>
            <w:r>
              <w:rPr>
                <w:rFonts w:ascii="Times New Roman" w:eastAsia="Times New Roman"/>
                <w:sz w:val="21"/>
              </w:rPr>
              <w:t>6.0m</w:t>
            </w:r>
            <w:r>
              <w:rPr>
                <w:sz w:val="21"/>
              </w:rPr>
              <w:t>，渗透系</w:t>
            </w:r>
          </w:p>
          <w:p w14:paraId="226EC3C8">
            <w:pPr>
              <w:pStyle w:val="17"/>
              <w:spacing w:before="5" w:line="251" w:lineRule="exact"/>
              <w:ind w:left="118" w:right="116"/>
              <w:rPr>
                <w:rFonts w:ascii="Times New Roman" w:hAnsi="Times New Roman" w:eastAsia="Times New Roman"/>
                <w:sz w:val="21"/>
              </w:rPr>
            </w:pPr>
            <w:r>
              <w:rPr>
                <w:sz w:val="21"/>
              </w:rPr>
              <w:t>数为低于</w:t>
            </w:r>
            <w:r>
              <w:rPr>
                <w:rFonts w:ascii="Times New Roman" w:hAnsi="Times New Roman" w:eastAsia="Times New Roman"/>
                <w:sz w:val="21"/>
              </w:rPr>
              <w:t>1.0×10</w:t>
            </w:r>
            <w:r>
              <w:rPr>
                <w:rFonts w:ascii="Times New Roman" w:hAnsi="Times New Roman" w:eastAsia="Times New Roman"/>
                <w:position w:val="7"/>
                <w:sz w:val="13"/>
              </w:rPr>
              <w:t>-7</w:t>
            </w:r>
            <w:r>
              <w:rPr>
                <w:rFonts w:ascii="Times New Roman" w:hAnsi="Times New Roman" w:eastAsia="Times New Roman"/>
                <w:sz w:val="21"/>
              </w:rPr>
              <w:t>cm/s</w:t>
            </w:r>
          </w:p>
        </w:tc>
      </w:tr>
      <w:tr w14:paraId="5B1CA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01" w:type="dxa"/>
            <w:tcBorders>
              <w:left w:val="nil"/>
            </w:tcBorders>
          </w:tcPr>
          <w:p w14:paraId="6635D362">
            <w:pPr>
              <w:pStyle w:val="17"/>
              <w:spacing w:before="134"/>
              <w:ind w:left="552" w:right="553"/>
              <w:rPr>
                <w:sz w:val="21"/>
              </w:rPr>
            </w:pPr>
            <w:r>
              <w:rPr>
                <w:sz w:val="21"/>
              </w:rPr>
              <w:t>一般防渗区</w:t>
            </w:r>
          </w:p>
        </w:tc>
        <w:tc>
          <w:tcPr>
            <w:tcW w:w="2461" w:type="dxa"/>
          </w:tcPr>
          <w:p w14:paraId="52885137">
            <w:pPr>
              <w:pStyle w:val="17"/>
              <w:ind w:left="106" w:right="-15"/>
              <w:rPr>
                <w:sz w:val="21"/>
              </w:rPr>
            </w:pPr>
            <w:r>
              <w:rPr>
                <w:sz w:val="21"/>
              </w:rPr>
              <w:t>生产车间地面、原料库、</w:t>
            </w:r>
          </w:p>
          <w:p w14:paraId="32B7875B">
            <w:pPr>
              <w:pStyle w:val="17"/>
              <w:spacing w:before="2" w:line="253" w:lineRule="exact"/>
              <w:ind w:left="111" w:right="114"/>
              <w:rPr>
                <w:sz w:val="21"/>
              </w:rPr>
            </w:pPr>
            <w:r>
              <w:rPr>
                <w:sz w:val="21"/>
              </w:rPr>
              <w:t>一般固废暂存间等</w:t>
            </w:r>
          </w:p>
        </w:tc>
        <w:tc>
          <w:tcPr>
            <w:tcW w:w="3857" w:type="dxa"/>
            <w:tcBorders>
              <w:right w:val="nil"/>
            </w:tcBorders>
          </w:tcPr>
          <w:p w14:paraId="41CE0575">
            <w:pPr>
              <w:pStyle w:val="17"/>
              <w:ind w:left="118" w:right="118"/>
              <w:rPr>
                <w:sz w:val="21"/>
              </w:rPr>
            </w:pPr>
            <w:r>
              <w:rPr>
                <w:sz w:val="21"/>
              </w:rPr>
              <w:t>等效黏土防渗层不应低于</w:t>
            </w:r>
            <w:r>
              <w:rPr>
                <w:rFonts w:ascii="Times New Roman" w:eastAsia="Times New Roman"/>
                <w:sz w:val="21"/>
              </w:rPr>
              <w:t>1.5m</w:t>
            </w:r>
            <w:r>
              <w:rPr>
                <w:sz w:val="21"/>
              </w:rPr>
              <w:t>，渗透系</w:t>
            </w:r>
          </w:p>
          <w:p w14:paraId="1290BF3C">
            <w:pPr>
              <w:pStyle w:val="17"/>
              <w:spacing w:before="2" w:line="253" w:lineRule="exact"/>
              <w:ind w:left="118" w:right="116"/>
              <w:rPr>
                <w:rFonts w:ascii="Times New Roman" w:hAnsi="Times New Roman" w:eastAsia="Times New Roman"/>
                <w:sz w:val="21"/>
              </w:rPr>
            </w:pPr>
            <w:r>
              <w:rPr>
                <w:sz w:val="21"/>
              </w:rPr>
              <w:t>数为低于</w:t>
            </w:r>
            <w:r>
              <w:rPr>
                <w:rFonts w:ascii="Times New Roman" w:hAnsi="Times New Roman" w:eastAsia="Times New Roman"/>
                <w:sz w:val="21"/>
              </w:rPr>
              <w:t>1.0×10</w:t>
            </w:r>
            <w:r>
              <w:rPr>
                <w:rFonts w:ascii="Times New Roman" w:hAnsi="Times New Roman" w:eastAsia="Times New Roman"/>
                <w:position w:val="7"/>
                <w:sz w:val="13"/>
              </w:rPr>
              <w:t>-7</w:t>
            </w:r>
            <w:r>
              <w:rPr>
                <w:rFonts w:ascii="Times New Roman" w:hAnsi="Times New Roman" w:eastAsia="Times New Roman"/>
                <w:sz w:val="21"/>
              </w:rPr>
              <w:t>cm/s</w:t>
            </w:r>
          </w:p>
        </w:tc>
      </w:tr>
    </w:tbl>
    <w:p w14:paraId="76B40645">
      <w:pPr>
        <w:pStyle w:val="10"/>
        <w:spacing w:before="81"/>
        <w:ind w:left="1100"/>
      </w:pPr>
      <w:r>
        <w:rPr>
          <w:rFonts w:ascii="Times New Roman" w:eastAsia="Times New Roman"/>
        </w:rPr>
        <w:t>3</w:t>
      </w:r>
      <w:r>
        <w:t>、污染监控</w:t>
      </w:r>
    </w:p>
    <w:p w14:paraId="41CCB8B6">
      <w:pPr>
        <w:pStyle w:val="10"/>
        <w:spacing w:before="161" w:line="364" w:lineRule="auto"/>
        <w:ind w:left="620" w:right="497" w:firstLine="480"/>
      </w:pPr>
      <w:r>
        <w:rPr>
          <w:spacing w:val="-7"/>
        </w:rPr>
        <w:t>建立完善的地下水环境监控体系，包括建立地下水监控制度和环境管理体系、</w:t>
      </w:r>
      <w:r>
        <w:rPr>
          <w:spacing w:val="-17"/>
        </w:rPr>
        <w:t>制定监测计划、配备必要的监测仪器和设备，以便及时发现问题，及时采取措施。</w:t>
      </w:r>
    </w:p>
    <w:p w14:paraId="46C05F09">
      <w:pPr>
        <w:spacing w:after="0" w:line="364" w:lineRule="auto"/>
        <w:sectPr>
          <w:footerReference r:id="rId36" w:type="default"/>
          <w:pgSz w:w="11910" w:h="16840"/>
          <w:pgMar w:top="1440" w:right="1060" w:bottom="1220" w:left="1180" w:header="0" w:footer="1024" w:gutter="0"/>
          <w:pgNumType w:start="170"/>
          <w:cols w:space="720" w:num="1"/>
        </w:sectPr>
      </w:pPr>
    </w:p>
    <w:p w14:paraId="13C02C17">
      <w:pPr>
        <w:pStyle w:val="10"/>
        <w:spacing w:before="62"/>
        <w:ind w:left="1100"/>
      </w:pPr>
      <w:r>
        <w:t>根据《环境影响评价技术导则 地下水环境》（</w:t>
      </w:r>
      <w:r>
        <w:rPr>
          <w:rFonts w:ascii="Times New Roman" w:eastAsia="Times New Roman"/>
        </w:rPr>
        <w:t>HJ610-2016</w:t>
      </w:r>
      <w:r>
        <w:t>）的相关要求，</w:t>
      </w:r>
    </w:p>
    <w:p w14:paraId="0EA84A22">
      <w:pPr>
        <w:pStyle w:val="10"/>
        <w:spacing w:before="160" w:line="364" w:lineRule="auto"/>
        <w:ind w:left="620" w:right="737"/>
        <w:jc w:val="both"/>
      </w:pPr>
      <w:r>
        <w:rPr>
          <w:spacing w:val="-1"/>
        </w:rPr>
        <w:t xml:space="preserve">“三级评价的建设项目，一般不少于 </w:t>
      </w:r>
      <w:r>
        <w:rPr>
          <w:rFonts w:ascii="Times New Roman" w:hAnsi="Times New Roman" w:eastAsia="Times New Roman"/>
        </w:rPr>
        <w:t xml:space="preserve">1 </w:t>
      </w:r>
      <w:r>
        <w:rPr>
          <w:spacing w:val="-1"/>
        </w:rPr>
        <w:t xml:space="preserve">个，应至少在建设项目场地下游布置 </w:t>
      </w:r>
      <w:r>
        <w:rPr>
          <w:rFonts w:ascii="Times New Roman" w:hAnsi="Times New Roman" w:eastAsia="Times New Roman"/>
        </w:rPr>
        <w:t xml:space="preserve">1 </w:t>
      </w:r>
      <w:r>
        <w:rPr>
          <w:spacing w:val="-9"/>
        </w:rPr>
        <w:t>个”，本次评价建议在项目厂区下游布置监测井，监测项目为基本水质因子，监测频次为每年一次。</w:t>
      </w:r>
    </w:p>
    <w:p w14:paraId="1EE726D0">
      <w:pPr>
        <w:pStyle w:val="10"/>
        <w:spacing w:before="2"/>
        <w:ind w:left="1100"/>
      </w:pPr>
      <w:r>
        <w:rPr>
          <w:rFonts w:ascii="Times New Roman" w:eastAsia="Times New Roman"/>
        </w:rPr>
        <w:t>4</w:t>
      </w:r>
      <w:r>
        <w:t>、应急响应</w:t>
      </w:r>
    </w:p>
    <w:p w14:paraId="2F22076D">
      <w:pPr>
        <w:pStyle w:val="10"/>
        <w:spacing w:before="161" w:line="364" w:lineRule="auto"/>
        <w:ind w:left="620" w:right="737" w:firstLine="480"/>
        <w:jc w:val="both"/>
      </w:pPr>
      <w:r>
        <w:rPr>
          <w:spacing w:val="-6"/>
        </w:rPr>
        <w:t>建设单位当发生异常情况时，需要马上采取紧急措施。应采取阻漏措施，控</w:t>
      </w:r>
      <w:r>
        <w:rPr>
          <w:spacing w:val="-11"/>
        </w:rPr>
        <w:t>制污染物向土壤包气带和地下水中扩散，同时加强监测井的水质监测。制定地下</w:t>
      </w:r>
      <w:r>
        <w:rPr>
          <w:spacing w:val="-14"/>
        </w:rPr>
        <w:t>水污染应急响应方案，降低污染危害。制定应急预案，设置应急设施，一旦发现地下水受到影响，立即启动应急设施控制影响。</w:t>
      </w:r>
    </w:p>
    <w:p w14:paraId="17C3ED2F">
      <w:pPr>
        <w:pStyle w:val="10"/>
        <w:spacing w:before="2" w:line="364" w:lineRule="auto"/>
        <w:ind w:left="620" w:right="737" w:firstLine="480"/>
        <w:jc w:val="both"/>
      </w:pPr>
      <w:r>
        <w:rPr>
          <w:spacing w:val="-10"/>
        </w:rPr>
        <w:t>从上述措施可以看出，项目对可能产生地下水影响的各项途径均应进行有效</w:t>
      </w:r>
      <w:r>
        <w:rPr>
          <w:spacing w:val="-11"/>
        </w:rPr>
        <w:t>预防，在确保各项防渗措施得以落实，并加强维护和厂区环境管理的前提下，可</w:t>
      </w:r>
      <w:r>
        <w:rPr>
          <w:spacing w:val="-15"/>
        </w:rPr>
        <w:t>有效控制厂区内的污染物下渗现象，避免污染地下水，因此，本项目不会对所在地的地下水环境产生明显影响。</w:t>
      </w:r>
    </w:p>
    <w:p w14:paraId="11DD2A4D">
      <w:pPr>
        <w:pStyle w:val="10"/>
        <w:spacing w:before="2"/>
        <w:ind w:left="1100"/>
      </w:pPr>
      <w:r>
        <w:t>综上所述，本项目地下水污染防治措施方案可行。</w:t>
      </w:r>
    </w:p>
    <w:p w14:paraId="7B9728AD">
      <w:pPr>
        <w:spacing w:after="0"/>
        <w:sectPr>
          <w:pgSz w:w="11910" w:h="16840"/>
          <w:pgMar w:top="1440" w:right="1060" w:bottom="1220" w:left="1180" w:header="0" w:footer="1024" w:gutter="0"/>
          <w:cols w:space="720" w:num="1"/>
        </w:sectPr>
      </w:pPr>
    </w:p>
    <w:p w14:paraId="5A440288">
      <w:pPr>
        <w:pStyle w:val="2"/>
        <w:numPr>
          <w:ilvl w:val="0"/>
          <w:numId w:val="28"/>
        </w:numPr>
        <w:tabs>
          <w:tab w:val="left" w:pos="479"/>
        </w:tabs>
        <w:spacing w:before="45" w:after="0" w:line="240" w:lineRule="auto"/>
        <w:ind w:left="478" w:right="0" w:hanging="240"/>
        <w:jc w:val="left"/>
        <w:rPr>
          <w:rFonts w:ascii="Times New Roman" w:eastAsia="Times New Roman"/>
        </w:rPr>
      </w:pPr>
      <w:bookmarkStart w:id="37" w:name="_TOC_250018"/>
      <w:bookmarkEnd w:id="37"/>
      <w:r>
        <w:t>环境经济损益分析及总量控制</w:t>
      </w:r>
    </w:p>
    <w:p w14:paraId="51195F57">
      <w:pPr>
        <w:pStyle w:val="10"/>
        <w:spacing w:before="210" w:line="381" w:lineRule="auto"/>
        <w:ind w:left="238" w:right="357" w:firstLine="480"/>
        <w:jc w:val="both"/>
      </w:pPr>
      <w:r>
        <w:rPr>
          <w:spacing w:val="-3"/>
        </w:rPr>
        <w:t>环境影响经济损益分析主要是评价建设项目实施后，对环境造成的损失和采取各种</w:t>
      </w:r>
      <w:r>
        <w:rPr>
          <w:spacing w:val="-5"/>
        </w:rPr>
        <w:t>环保治理措施所能收到的环保效果及其带来的经济和社会效益，衡量建设项目的环保投资在经济上的合理水平。</w:t>
      </w:r>
    </w:p>
    <w:p w14:paraId="668CAD22">
      <w:pPr>
        <w:pStyle w:val="10"/>
        <w:spacing w:line="381" w:lineRule="auto"/>
        <w:ind w:left="238" w:right="357" w:firstLine="480"/>
        <w:jc w:val="both"/>
      </w:pPr>
      <w:r>
        <w:rPr>
          <w:spacing w:val="-5"/>
        </w:rPr>
        <w:t>本项目选择工程、环境和社会经济等有代表性的指标，从经济效益、社会效益和环</w:t>
      </w:r>
      <w:r>
        <w:rPr>
          <w:spacing w:val="-8"/>
        </w:rPr>
        <w:t>境效益三方面进行环境经济损益分析，提出环保投资。通过分析经济收益水平、环保投资及其运转费用与可能取得效益间的关系，说明本项目环保综合效益状况。</w:t>
      </w:r>
    </w:p>
    <w:p w14:paraId="28997D3D">
      <w:pPr>
        <w:pStyle w:val="3"/>
        <w:numPr>
          <w:ilvl w:val="1"/>
          <w:numId w:val="29"/>
        </w:numPr>
        <w:tabs>
          <w:tab w:val="left" w:pos="688"/>
        </w:tabs>
        <w:spacing w:before="45" w:after="0" w:line="240" w:lineRule="auto"/>
        <w:ind w:left="687" w:right="0" w:hanging="449"/>
        <w:jc w:val="left"/>
      </w:pPr>
      <w:bookmarkStart w:id="38" w:name="_TOC_250017"/>
      <w:bookmarkEnd w:id="38"/>
      <w:r>
        <w:t>环境效益分析</w:t>
      </w:r>
    </w:p>
    <w:p w14:paraId="01FD47E0">
      <w:pPr>
        <w:pStyle w:val="16"/>
        <w:numPr>
          <w:ilvl w:val="2"/>
          <w:numId w:val="29"/>
        </w:numPr>
        <w:tabs>
          <w:tab w:val="left" w:pos="868"/>
        </w:tabs>
        <w:spacing w:before="279" w:after="0" w:line="240" w:lineRule="auto"/>
        <w:ind w:left="867" w:right="0" w:hanging="629"/>
        <w:jc w:val="left"/>
        <w:rPr>
          <w:b/>
          <w:sz w:val="28"/>
        </w:rPr>
      </w:pPr>
      <w:r>
        <w:rPr>
          <w:b/>
          <w:sz w:val="28"/>
        </w:rPr>
        <w:t>环保投资估算</w:t>
      </w:r>
    </w:p>
    <w:p w14:paraId="2A5E9FF3">
      <w:pPr>
        <w:pStyle w:val="10"/>
        <w:spacing w:before="149" w:line="362" w:lineRule="auto"/>
        <w:ind w:left="238" w:right="356" w:firstLine="480"/>
        <w:jc w:val="both"/>
      </w:pPr>
      <w:r>
        <w:t>本项目环保投资</w:t>
      </w:r>
      <w:r>
        <w:rPr>
          <w:rFonts w:ascii="Times New Roman" w:eastAsia="Times New Roman"/>
        </w:rPr>
        <w:t>59</w:t>
      </w:r>
      <w:r>
        <w:t>万元，占项目总投资</w:t>
      </w:r>
      <w:r>
        <w:rPr>
          <w:rFonts w:ascii="Times New Roman" w:eastAsia="Times New Roman"/>
        </w:rPr>
        <w:t>2000</w:t>
      </w:r>
      <w:r>
        <w:t>万元的</w:t>
      </w:r>
      <w:r>
        <w:rPr>
          <w:rFonts w:ascii="Times New Roman" w:eastAsia="Times New Roman"/>
        </w:rPr>
        <w:t>2.95%</w:t>
      </w:r>
      <w:r>
        <w:t>，项目环保投资估算详见下表。</w:t>
      </w:r>
    </w:p>
    <w:p w14:paraId="08D6A43F">
      <w:pPr>
        <w:pStyle w:val="9"/>
        <w:spacing w:before="5"/>
        <w:ind w:left="1100" w:right="1217"/>
        <w:jc w:val="center"/>
      </w:pPr>
      <w:r>
        <w:t xml:space="preserve">表 </w:t>
      </w:r>
      <w:r>
        <w:rPr>
          <w:rFonts w:ascii="Times New Roman" w:eastAsia="Times New Roman"/>
        </w:rPr>
        <w:t xml:space="preserve">6.1-1 </w:t>
      </w:r>
      <w:r>
        <w:t>环保措施投资估算</w:t>
      </w:r>
    </w:p>
    <w:p w14:paraId="2F9404ED">
      <w:pPr>
        <w:pStyle w:val="10"/>
        <w:spacing w:before="4"/>
        <w:rPr>
          <w:b/>
          <w:sz w:val="12"/>
        </w:rPr>
      </w:pPr>
    </w:p>
    <w:tbl>
      <w:tblPr>
        <w:tblStyle w:val="13"/>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1903"/>
        <w:gridCol w:w="3909"/>
        <w:gridCol w:w="1031"/>
        <w:gridCol w:w="1424"/>
      </w:tblGrid>
      <w:tr w14:paraId="13A56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15" w:type="dxa"/>
            <w:tcBorders>
              <w:left w:val="nil"/>
            </w:tcBorders>
          </w:tcPr>
          <w:p w14:paraId="6D66BC48">
            <w:pPr>
              <w:pStyle w:val="17"/>
              <w:spacing w:before="11"/>
              <w:jc w:val="left"/>
              <w:rPr>
                <w:b/>
                <w:sz w:val="14"/>
              </w:rPr>
            </w:pPr>
          </w:p>
          <w:p w14:paraId="2A9B733F">
            <w:pPr>
              <w:pStyle w:val="17"/>
              <w:ind w:left="278" w:right="268"/>
              <w:rPr>
                <w:b/>
                <w:sz w:val="21"/>
              </w:rPr>
            </w:pPr>
            <w:r>
              <w:rPr>
                <w:b/>
                <w:sz w:val="21"/>
              </w:rPr>
              <w:t>类别</w:t>
            </w:r>
          </w:p>
        </w:tc>
        <w:tc>
          <w:tcPr>
            <w:tcW w:w="1903" w:type="dxa"/>
          </w:tcPr>
          <w:p w14:paraId="39E783C8">
            <w:pPr>
              <w:pStyle w:val="17"/>
              <w:spacing w:before="11"/>
              <w:jc w:val="left"/>
              <w:rPr>
                <w:b/>
                <w:sz w:val="14"/>
              </w:rPr>
            </w:pPr>
          </w:p>
          <w:p w14:paraId="706A424A">
            <w:pPr>
              <w:pStyle w:val="17"/>
              <w:ind w:left="89" w:right="83"/>
              <w:rPr>
                <w:b/>
                <w:sz w:val="21"/>
              </w:rPr>
            </w:pPr>
            <w:r>
              <w:rPr>
                <w:b/>
                <w:sz w:val="21"/>
              </w:rPr>
              <w:t>项目</w:t>
            </w:r>
          </w:p>
        </w:tc>
        <w:tc>
          <w:tcPr>
            <w:tcW w:w="3909" w:type="dxa"/>
          </w:tcPr>
          <w:p w14:paraId="116936AF">
            <w:pPr>
              <w:pStyle w:val="17"/>
              <w:spacing w:before="11"/>
              <w:jc w:val="left"/>
              <w:rPr>
                <w:b/>
                <w:sz w:val="14"/>
              </w:rPr>
            </w:pPr>
          </w:p>
          <w:p w14:paraId="65C11382">
            <w:pPr>
              <w:pStyle w:val="17"/>
              <w:ind w:left="131" w:right="124"/>
              <w:rPr>
                <w:b/>
                <w:sz w:val="21"/>
              </w:rPr>
            </w:pPr>
            <w:r>
              <w:rPr>
                <w:b/>
                <w:sz w:val="21"/>
              </w:rPr>
              <w:t>治理措施</w:t>
            </w:r>
          </w:p>
        </w:tc>
        <w:tc>
          <w:tcPr>
            <w:tcW w:w="1031" w:type="dxa"/>
          </w:tcPr>
          <w:p w14:paraId="61C05331">
            <w:pPr>
              <w:pStyle w:val="17"/>
              <w:spacing w:before="27"/>
              <w:ind w:left="69" w:right="63"/>
              <w:rPr>
                <w:b/>
                <w:sz w:val="21"/>
              </w:rPr>
            </w:pPr>
            <w:r>
              <w:rPr>
                <w:b/>
                <w:sz w:val="21"/>
              </w:rPr>
              <w:t>投资</w:t>
            </w:r>
          </w:p>
          <w:p w14:paraId="6B72EF97">
            <w:pPr>
              <w:pStyle w:val="17"/>
              <w:spacing w:before="58"/>
              <w:ind w:left="74" w:right="63"/>
              <w:rPr>
                <w:b/>
                <w:sz w:val="21"/>
              </w:rPr>
            </w:pPr>
            <w:r>
              <w:rPr>
                <w:b/>
                <w:sz w:val="21"/>
              </w:rPr>
              <w:t>（万元）</w:t>
            </w:r>
          </w:p>
        </w:tc>
        <w:tc>
          <w:tcPr>
            <w:tcW w:w="1424" w:type="dxa"/>
            <w:tcBorders>
              <w:right w:val="nil"/>
            </w:tcBorders>
          </w:tcPr>
          <w:p w14:paraId="60EA15B6">
            <w:pPr>
              <w:pStyle w:val="17"/>
              <w:spacing w:before="11"/>
              <w:jc w:val="left"/>
              <w:rPr>
                <w:b/>
                <w:sz w:val="14"/>
              </w:rPr>
            </w:pPr>
          </w:p>
          <w:p w14:paraId="16178576">
            <w:pPr>
              <w:pStyle w:val="17"/>
              <w:ind w:left="271" w:right="268"/>
              <w:rPr>
                <w:b/>
                <w:sz w:val="21"/>
              </w:rPr>
            </w:pPr>
            <w:r>
              <w:rPr>
                <w:b/>
                <w:sz w:val="21"/>
              </w:rPr>
              <w:t>备注</w:t>
            </w:r>
          </w:p>
        </w:tc>
      </w:tr>
      <w:tr w14:paraId="6C542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15" w:type="dxa"/>
            <w:vMerge w:val="restart"/>
            <w:tcBorders>
              <w:left w:val="nil"/>
            </w:tcBorders>
          </w:tcPr>
          <w:p w14:paraId="777898B4">
            <w:pPr>
              <w:pStyle w:val="17"/>
              <w:jc w:val="left"/>
              <w:rPr>
                <w:b/>
                <w:sz w:val="20"/>
              </w:rPr>
            </w:pPr>
          </w:p>
          <w:p w14:paraId="0F889B4C">
            <w:pPr>
              <w:pStyle w:val="17"/>
              <w:jc w:val="left"/>
              <w:rPr>
                <w:b/>
                <w:sz w:val="20"/>
              </w:rPr>
            </w:pPr>
          </w:p>
          <w:p w14:paraId="2528A456">
            <w:pPr>
              <w:pStyle w:val="17"/>
              <w:spacing w:before="170"/>
              <w:ind w:left="302"/>
              <w:jc w:val="left"/>
              <w:rPr>
                <w:sz w:val="21"/>
              </w:rPr>
            </w:pPr>
            <w:r>
              <w:rPr>
                <w:sz w:val="21"/>
              </w:rPr>
              <w:t>废气</w:t>
            </w:r>
          </w:p>
        </w:tc>
        <w:tc>
          <w:tcPr>
            <w:tcW w:w="1903" w:type="dxa"/>
          </w:tcPr>
          <w:p w14:paraId="14F1DE64">
            <w:pPr>
              <w:pStyle w:val="17"/>
              <w:spacing w:before="28"/>
              <w:ind w:left="89" w:right="83"/>
              <w:rPr>
                <w:sz w:val="21"/>
              </w:rPr>
            </w:pPr>
            <w:r>
              <w:rPr>
                <w:sz w:val="21"/>
              </w:rPr>
              <w:t>破碎、投料混料工</w:t>
            </w:r>
          </w:p>
          <w:p w14:paraId="2279C882">
            <w:pPr>
              <w:pStyle w:val="17"/>
              <w:spacing w:before="55"/>
              <w:ind w:left="6"/>
              <w:rPr>
                <w:sz w:val="21"/>
              </w:rPr>
            </w:pPr>
            <w:r>
              <w:rPr>
                <w:w w:val="99"/>
                <w:sz w:val="21"/>
              </w:rPr>
              <w:t>序</w:t>
            </w:r>
          </w:p>
        </w:tc>
        <w:tc>
          <w:tcPr>
            <w:tcW w:w="3909" w:type="dxa"/>
          </w:tcPr>
          <w:p w14:paraId="2DBCF668">
            <w:pPr>
              <w:pStyle w:val="17"/>
              <w:spacing w:before="28"/>
              <w:ind w:left="131" w:right="124"/>
              <w:rPr>
                <w:sz w:val="21"/>
              </w:rPr>
            </w:pPr>
            <w:r>
              <w:rPr>
                <w:sz w:val="21"/>
              </w:rPr>
              <w:t>密闭收集罩</w:t>
            </w:r>
            <w:r>
              <w:rPr>
                <w:rFonts w:ascii="Times New Roman" w:eastAsia="Times New Roman"/>
                <w:sz w:val="21"/>
              </w:rPr>
              <w:t>+</w:t>
            </w:r>
            <w:r>
              <w:rPr>
                <w:sz w:val="21"/>
              </w:rPr>
              <w:t>布袋除尘器</w:t>
            </w:r>
            <w:r>
              <w:rPr>
                <w:rFonts w:ascii="Times New Roman" w:eastAsia="Times New Roman"/>
                <w:sz w:val="21"/>
              </w:rPr>
              <w:t xml:space="preserve">+15m </w:t>
            </w:r>
            <w:r>
              <w:rPr>
                <w:sz w:val="21"/>
              </w:rPr>
              <w:t>高排气筒</w:t>
            </w:r>
          </w:p>
          <w:p w14:paraId="3DD7691D">
            <w:pPr>
              <w:pStyle w:val="17"/>
              <w:spacing w:before="55"/>
              <w:ind w:left="131" w:right="124"/>
              <w:rPr>
                <w:sz w:val="21"/>
              </w:rPr>
            </w:pPr>
            <w:r>
              <w:rPr>
                <w:rFonts w:ascii="Times New Roman" w:eastAsia="Times New Roman"/>
                <w:sz w:val="21"/>
              </w:rPr>
              <w:t xml:space="preserve">DA001 </w:t>
            </w:r>
            <w:r>
              <w:rPr>
                <w:sz w:val="21"/>
              </w:rPr>
              <w:t>排放</w:t>
            </w:r>
          </w:p>
        </w:tc>
        <w:tc>
          <w:tcPr>
            <w:tcW w:w="1031" w:type="dxa"/>
          </w:tcPr>
          <w:p w14:paraId="2D13A583">
            <w:pPr>
              <w:pStyle w:val="17"/>
              <w:jc w:val="left"/>
              <w:rPr>
                <w:b/>
                <w:sz w:val="16"/>
              </w:rPr>
            </w:pPr>
          </w:p>
          <w:p w14:paraId="591196B8">
            <w:pPr>
              <w:pStyle w:val="17"/>
              <w:ind w:left="461"/>
              <w:jc w:val="left"/>
              <w:rPr>
                <w:rFonts w:ascii="Times New Roman"/>
                <w:sz w:val="21"/>
              </w:rPr>
            </w:pPr>
            <w:r>
              <w:rPr>
                <w:rFonts w:ascii="Times New Roman"/>
                <w:w w:val="99"/>
                <w:sz w:val="21"/>
              </w:rPr>
              <w:t>5</w:t>
            </w:r>
          </w:p>
        </w:tc>
        <w:tc>
          <w:tcPr>
            <w:tcW w:w="1424" w:type="dxa"/>
            <w:tcBorders>
              <w:right w:val="nil"/>
            </w:tcBorders>
          </w:tcPr>
          <w:p w14:paraId="42E3C76A">
            <w:pPr>
              <w:pStyle w:val="17"/>
              <w:spacing w:before="11"/>
              <w:jc w:val="left"/>
              <w:rPr>
                <w:b/>
                <w:sz w:val="14"/>
              </w:rPr>
            </w:pPr>
          </w:p>
          <w:p w14:paraId="3855849A">
            <w:pPr>
              <w:pStyle w:val="17"/>
              <w:spacing w:before="1"/>
              <w:ind w:left="269" w:right="268"/>
              <w:rPr>
                <w:sz w:val="21"/>
              </w:rPr>
            </w:pPr>
            <w:r>
              <w:rPr>
                <w:sz w:val="21"/>
              </w:rPr>
              <w:t>新增</w:t>
            </w:r>
          </w:p>
        </w:tc>
      </w:tr>
      <w:tr w14:paraId="73E9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1015" w:type="dxa"/>
            <w:vMerge w:val="continue"/>
            <w:tcBorders>
              <w:top w:val="nil"/>
              <w:left w:val="nil"/>
            </w:tcBorders>
          </w:tcPr>
          <w:p w14:paraId="32E5891C">
            <w:pPr>
              <w:rPr>
                <w:sz w:val="2"/>
                <w:szCs w:val="2"/>
              </w:rPr>
            </w:pPr>
          </w:p>
        </w:tc>
        <w:tc>
          <w:tcPr>
            <w:tcW w:w="1903" w:type="dxa"/>
          </w:tcPr>
          <w:p w14:paraId="19E3AB85">
            <w:pPr>
              <w:pStyle w:val="17"/>
              <w:spacing w:before="9"/>
              <w:jc w:val="left"/>
              <w:rPr>
                <w:b/>
                <w:sz w:val="14"/>
              </w:rPr>
            </w:pPr>
          </w:p>
          <w:p w14:paraId="7A843F29">
            <w:pPr>
              <w:pStyle w:val="17"/>
              <w:spacing w:before="1" w:line="290" w:lineRule="auto"/>
              <w:ind w:left="425" w:right="102" w:hanging="315"/>
              <w:jc w:val="left"/>
              <w:rPr>
                <w:sz w:val="21"/>
              </w:rPr>
            </w:pPr>
            <w:r>
              <w:rPr>
                <w:w w:val="95"/>
                <w:sz w:val="21"/>
              </w:rPr>
              <w:t>挤出造粒、挤出注</w:t>
            </w:r>
            <w:r>
              <w:rPr>
                <w:sz w:val="21"/>
              </w:rPr>
              <w:t>塑工序废气</w:t>
            </w:r>
          </w:p>
        </w:tc>
        <w:tc>
          <w:tcPr>
            <w:tcW w:w="3909" w:type="dxa"/>
          </w:tcPr>
          <w:p w14:paraId="6C376A36">
            <w:pPr>
              <w:pStyle w:val="17"/>
              <w:spacing w:before="26" w:line="290" w:lineRule="auto"/>
              <w:ind w:left="192" w:right="179" w:hanging="2"/>
              <w:rPr>
                <w:rFonts w:ascii="Times New Roman" w:eastAsia="Times New Roman"/>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 xml:space="preserve">+ </w:t>
            </w:r>
            <w:r>
              <w:rPr>
                <w:sz w:val="21"/>
              </w:rPr>
              <w:t>二级活性炭吸附</w:t>
            </w:r>
            <w:r>
              <w:rPr>
                <w:rFonts w:ascii="Times New Roman" w:eastAsia="Times New Roman"/>
                <w:sz w:val="21"/>
              </w:rPr>
              <w:t xml:space="preserve">+15m </w:t>
            </w:r>
            <w:r>
              <w:rPr>
                <w:spacing w:val="-12"/>
                <w:sz w:val="21"/>
              </w:rPr>
              <w:t xml:space="preserve">高排气筒 </w:t>
            </w:r>
            <w:r>
              <w:rPr>
                <w:rFonts w:ascii="Times New Roman" w:eastAsia="Times New Roman"/>
                <w:sz w:val="21"/>
              </w:rPr>
              <w:t>DA002</w:t>
            </w:r>
          </w:p>
          <w:p w14:paraId="415F643F">
            <w:pPr>
              <w:pStyle w:val="17"/>
              <w:spacing w:before="1"/>
              <w:ind w:left="128" w:right="124"/>
              <w:rPr>
                <w:sz w:val="21"/>
              </w:rPr>
            </w:pPr>
            <w:r>
              <w:rPr>
                <w:sz w:val="21"/>
              </w:rPr>
              <w:t>排放</w:t>
            </w:r>
          </w:p>
        </w:tc>
        <w:tc>
          <w:tcPr>
            <w:tcW w:w="1031" w:type="dxa"/>
          </w:tcPr>
          <w:p w14:paraId="1D64B8E8">
            <w:pPr>
              <w:pStyle w:val="17"/>
              <w:spacing w:before="7"/>
              <w:jc w:val="left"/>
              <w:rPr>
                <w:b/>
                <w:sz w:val="28"/>
              </w:rPr>
            </w:pPr>
          </w:p>
          <w:p w14:paraId="42178C9D">
            <w:pPr>
              <w:pStyle w:val="17"/>
              <w:ind w:left="409"/>
              <w:jc w:val="left"/>
              <w:rPr>
                <w:rFonts w:ascii="Times New Roman"/>
                <w:sz w:val="21"/>
              </w:rPr>
            </w:pPr>
            <w:r>
              <w:rPr>
                <w:rFonts w:ascii="Times New Roman"/>
                <w:sz w:val="21"/>
              </w:rPr>
              <w:t>20</w:t>
            </w:r>
          </w:p>
        </w:tc>
        <w:tc>
          <w:tcPr>
            <w:tcW w:w="1424" w:type="dxa"/>
            <w:tcBorders>
              <w:right w:val="nil"/>
            </w:tcBorders>
          </w:tcPr>
          <w:p w14:paraId="05F4E22E">
            <w:pPr>
              <w:pStyle w:val="17"/>
              <w:spacing w:before="6"/>
              <w:jc w:val="left"/>
              <w:rPr>
                <w:b/>
                <w:sz w:val="27"/>
              </w:rPr>
            </w:pPr>
          </w:p>
          <w:p w14:paraId="4F1F9B6A">
            <w:pPr>
              <w:pStyle w:val="17"/>
              <w:ind w:left="269" w:right="268"/>
              <w:rPr>
                <w:sz w:val="21"/>
              </w:rPr>
            </w:pPr>
            <w:r>
              <w:rPr>
                <w:sz w:val="21"/>
              </w:rPr>
              <w:t>新增</w:t>
            </w:r>
          </w:p>
        </w:tc>
      </w:tr>
      <w:tr w14:paraId="449CD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15" w:type="dxa"/>
            <w:vMerge w:val="restart"/>
            <w:tcBorders>
              <w:left w:val="nil"/>
            </w:tcBorders>
          </w:tcPr>
          <w:p w14:paraId="658E5A85">
            <w:pPr>
              <w:pStyle w:val="17"/>
              <w:spacing w:before="10"/>
              <w:jc w:val="left"/>
              <w:rPr>
                <w:b/>
                <w:sz w:val="20"/>
              </w:rPr>
            </w:pPr>
          </w:p>
          <w:p w14:paraId="4D428C0F">
            <w:pPr>
              <w:pStyle w:val="17"/>
              <w:ind w:left="302"/>
              <w:jc w:val="left"/>
              <w:rPr>
                <w:sz w:val="21"/>
              </w:rPr>
            </w:pPr>
            <w:r>
              <w:rPr>
                <w:sz w:val="21"/>
              </w:rPr>
              <w:t>废水</w:t>
            </w:r>
          </w:p>
        </w:tc>
        <w:tc>
          <w:tcPr>
            <w:tcW w:w="1903" w:type="dxa"/>
          </w:tcPr>
          <w:p w14:paraId="0953A26E">
            <w:pPr>
              <w:pStyle w:val="17"/>
              <w:spacing w:before="62"/>
              <w:ind w:left="89" w:right="83"/>
              <w:rPr>
                <w:sz w:val="21"/>
              </w:rPr>
            </w:pPr>
            <w:r>
              <w:rPr>
                <w:sz w:val="21"/>
              </w:rPr>
              <w:t>生活废水</w:t>
            </w:r>
          </w:p>
        </w:tc>
        <w:tc>
          <w:tcPr>
            <w:tcW w:w="3909" w:type="dxa"/>
          </w:tcPr>
          <w:p w14:paraId="59E34AD2">
            <w:pPr>
              <w:pStyle w:val="17"/>
              <w:spacing w:before="62"/>
              <w:ind w:left="131" w:right="124"/>
              <w:rPr>
                <w:sz w:val="21"/>
              </w:rPr>
            </w:pPr>
            <w:r>
              <w:rPr>
                <w:sz w:val="21"/>
              </w:rPr>
              <w:t>厂区化粪池（依托）</w:t>
            </w:r>
          </w:p>
        </w:tc>
        <w:tc>
          <w:tcPr>
            <w:tcW w:w="1031" w:type="dxa"/>
          </w:tcPr>
          <w:p w14:paraId="07428B9C">
            <w:pPr>
              <w:pStyle w:val="17"/>
              <w:spacing w:before="76"/>
              <w:ind w:left="461"/>
              <w:jc w:val="left"/>
              <w:rPr>
                <w:rFonts w:ascii="Times New Roman"/>
                <w:sz w:val="21"/>
              </w:rPr>
            </w:pPr>
            <w:r>
              <w:rPr>
                <w:rFonts w:ascii="Times New Roman"/>
                <w:w w:val="99"/>
                <w:sz w:val="21"/>
              </w:rPr>
              <w:t>0</w:t>
            </w:r>
          </w:p>
        </w:tc>
        <w:tc>
          <w:tcPr>
            <w:tcW w:w="1424" w:type="dxa"/>
            <w:tcBorders>
              <w:right w:val="nil"/>
            </w:tcBorders>
          </w:tcPr>
          <w:p w14:paraId="5ED29059">
            <w:pPr>
              <w:pStyle w:val="17"/>
              <w:spacing w:before="62"/>
              <w:ind w:left="271" w:right="268"/>
              <w:rPr>
                <w:sz w:val="21"/>
              </w:rPr>
            </w:pPr>
            <w:r>
              <w:rPr>
                <w:sz w:val="21"/>
              </w:rPr>
              <w:t>依托现有</w:t>
            </w:r>
          </w:p>
        </w:tc>
      </w:tr>
      <w:tr w14:paraId="50F94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continue"/>
            <w:tcBorders>
              <w:top w:val="nil"/>
              <w:left w:val="nil"/>
            </w:tcBorders>
          </w:tcPr>
          <w:p w14:paraId="6AEB8460">
            <w:pPr>
              <w:rPr>
                <w:sz w:val="2"/>
                <w:szCs w:val="2"/>
              </w:rPr>
            </w:pPr>
          </w:p>
        </w:tc>
        <w:tc>
          <w:tcPr>
            <w:tcW w:w="1903" w:type="dxa"/>
          </w:tcPr>
          <w:p w14:paraId="688CF0A1">
            <w:pPr>
              <w:pStyle w:val="17"/>
              <w:spacing w:before="61"/>
              <w:ind w:left="89" w:right="83"/>
              <w:rPr>
                <w:sz w:val="21"/>
              </w:rPr>
            </w:pPr>
            <w:r>
              <w:rPr>
                <w:sz w:val="21"/>
              </w:rPr>
              <w:t>雨污分流</w:t>
            </w:r>
          </w:p>
        </w:tc>
        <w:tc>
          <w:tcPr>
            <w:tcW w:w="3909" w:type="dxa"/>
          </w:tcPr>
          <w:p w14:paraId="7D069CEC">
            <w:pPr>
              <w:pStyle w:val="17"/>
              <w:spacing w:before="61"/>
              <w:ind w:left="131" w:right="122"/>
              <w:rPr>
                <w:sz w:val="21"/>
              </w:rPr>
            </w:pPr>
            <w:r>
              <w:rPr>
                <w:sz w:val="21"/>
              </w:rPr>
              <w:t>厂区雨污水管网（依托）</w:t>
            </w:r>
          </w:p>
        </w:tc>
        <w:tc>
          <w:tcPr>
            <w:tcW w:w="1031" w:type="dxa"/>
          </w:tcPr>
          <w:p w14:paraId="5EEE6444">
            <w:pPr>
              <w:pStyle w:val="17"/>
              <w:spacing w:before="75"/>
              <w:ind w:left="461"/>
              <w:jc w:val="left"/>
              <w:rPr>
                <w:rFonts w:ascii="Times New Roman"/>
                <w:sz w:val="21"/>
              </w:rPr>
            </w:pPr>
            <w:r>
              <w:rPr>
                <w:rFonts w:ascii="Times New Roman"/>
                <w:w w:val="99"/>
                <w:sz w:val="21"/>
              </w:rPr>
              <w:t>0</w:t>
            </w:r>
          </w:p>
        </w:tc>
        <w:tc>
          <w:tcPr>
            <w:tcW w:w="1424" w:type="dxa"/>
            <w:tcBorders>
              <w:right w:val="nil"/>
            </w:tcBorders>
          </w:tcPr>
          <w:p w14:paraId="28E90300">
            <w:pPr>
              <w:pStyle w:val="17"/>
              <w:spacing w:before="61"/>
              <w:ind w:left="271" w:right="268"/>
              <w:rPr>
                <w:sz w:val="21"/>
              </w:rPr>
            </w:pPr>
            <w:r>
              <w:rPr>
                <w:sz w:val="21"/>
              </w:rPr>
              <w:t>依托现有</w:t>
            </w:r>
          </w:p>
        </w:tc>
      </w:tr>
      <w:tr w14:paraId="0ADC5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restart"/>
            <w:tcBorders>
              <w:left w:val="nil"/>
            </w:tcBorders>
          </w:tcPr>
          <w:p w14:paraId="54042721">
            <w:pPr>
              <w:pStyle w:val="17"/>
              <w:spacing w:before="103" w:line="290" w:lineRule="auto"/>
              <w:ind w:left="405" w:right="181" w:hanging="209"/>
              <w:jc w:val="left"/>
              <w:rPr>
                <w:sz w:val="21"/>
              </w:rPr>
            </w:pPr>
            <w:r>
              <w:rPr>
                <w:sz w:val="21"/>
              </w:rPr>
              <w:t>固体废物</w:t>
            </w:r>
          </w:p>
        </w:tc>
        <w:tc>
          <w:tcPr>
            <w:tcW w:w="1903" w:type="dxa"/>
          </w:tcPr>
          <w:p w14:paraId="6A28FF29">
            <w:pPr>
              <w:pStyle w:val="17"/>
              <w:spacing w:before="62"/>
              <w:ind w:left="89" w:right="83"/>
              <w:rPr>
                <w:sz w:val="21"/>
              </w:rPr>
            </w:pPr>
            <w:r>
              <w:rPr>
                <w:sz w:val="21"/>
              </w:rPr>
              <w:t>危险废物</w:t>
            </w:r>
          </w:p>
        </w:tc>
        <w:tc>
          <w:tcPr>
            <w:tcW w:w="3909" w:type="dxa"/>
          </w:tcPr>
          <w:p w14:paraId="4D230FD9">
            <w:pPr>
              <w:pStyle w:val="17"/>
              <w:spacing w:before="62"/>
              <w:ind w:left="131" w:right="122"/>
              <w:rPr>
                <w:sz w:val="21"/>
              </w:rPr>
            </w:pPr>
            <w:r>
              <w:rPr>
                <w:rFonts w:ascii="Times New Roman" w:eastAsia="Times New Roman"/>
                <w:sz w:val="21"/>
              </w:rPr>
              <w:t>20m</w:t>
            </w:r>
            <w:r>
              <w:rPr>
                <w:rFonts w:ascii="Times New Roman" w:eastAsia="Times New Roman"/>
                <w:position w:val="7"/>
                <w:sz w:val="13"/>
              </w:rPr>
              <w:t xml:space="preserve">2 </w:t>
            </w:r>
            <w:r>
              <w:rPr>
                <w:sz w:val="21"/>
              </w:rPr>
              <w:t>危险废物暂存间</w:t>
            </w:r>
          </w:p>
        </w:tc>
        <w:tc>
          <w:tcPr>
            <w:tcW w:w="1031" w:type="dxa"/>
          </w:tcPr>
          <w:p w14:paraId="3DB992EE">
            <w:pPr>
              <w:pStyle w:val="17"/>
              <w:spacing w:before="76"/>
              <w:ind w:left="409"/>
              <w:jc w:val="left"/>
              <w:rPr>
                <w:rFonts w:ascii="Times New Roman"/>
                <w:sz w:val="21"/>
              </w:rPr>
            </w:pPr>
            <w:r>
              <w:rPr>
                <w:rFonts w:ascii="Times New Roman"/>
                <w:sz w:val="21"/>
              </w:rPr>
              <w:t>15</w:t>
            </w:r>
          </w:p>
        </w:tc>
        <w:tc>
          <w:tcPr>
            <w:tcW w:w="1424" w:type="dxa"/>
            <w:tcBorders>
              <w:right w:val="nil"/>
            </w:tcBorders>
          </w:tcPr>
          <w:p w14:paraId="2F555E4D">
            <w:pPr>
              <w:pStyle w:val="17"/>
              <w:spacing w:before="62"/>
              <w:ind w:left="269" w:right="268"/>
              <w:rPr>
                <w:sz w:val="21"/>
              </w:rPr>
            </w:pPr>
            <w:r>
              <w:rPr>
                <w:sz w:val="21"/>
              </w:rPr>
              <w:t>新增</w:t>
            </w:r>
          </w:p>
        </w:tc>
      </w:tr>
      <w:tr w14:paraId="4F6B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vMerge w:val="continue"/>
            <w:tcBorders>
              <w:top w:val="nil"/>
              <w:left w:val="nil"/>
            </w:tcBorders>
          </w:tcPr>
          <w:p w14:paraId="1EB7CF62">
            <w:pPr>
              <w:rPr>
                <w:sz w:val="2"/>
                <w:szCs w:val="2"/>
              </w:rPr>
            </w:pPr>
          </w:p>
        </w:tc>
        <w:tc>
          <w:tcPr>
            <w:tcW w:w="1903" w:type="dxa"/>
          </w:tcPr>
          <w:p w14:paraId="0450C3BF">
            <w:pPr>
              <w:pStyle w:val="17"/>
              <w:spacing w:before="61"/>
              <w:ind w:left="89" w:right="83"/>
              <w:rPr>
                <w:sz w:val="21"/>
              </w:rPr>
            </w:pPr>
            <w:r>
              <w:rPr>
                <w:sz w:val="21"/>
              </w:rPr>
              <w:t>一般固废</w:t>
            </w:r>
          </w:p>
        </w:tc>
        <w:tc>
          <w:tcPr>
            <w:tcW w:w="3909" w:type="dxa"/>
          </w:tcPr>
          <w:p w14:paraId="37AAE872">
            <w:pPr>
              <w:pStyle w:val="17"/>
              <w:spacing w:before="61"/>
              <w:ind w:left="131" w:right="122"/>
              <w:rPr>
                <w:sz w:val="21"/>
              </w:rPr>
            </w:pPr>
            <w:r>
              <w:rPr>
                <w:rFonts w:ascii="Times New Roman" w:eastAsia="Times New Roman"/>
                <w:sz w:val="21"/>
              </w:rPr>
              <w:t>20m</w:t>
            </w:r>
            <w:r>
              <w:rPr>
                <w:rFonts w:ascii="Times New Roman" w:eastAsia="Times New Roman"/>
                <w:position w:val="7"/>
                <w:sz w:val="13"/>
              </w:rPr>
              <w:t xml:space="preserve">2 </w:t>
            </w:r>
            <w:r>
              <w:rPr>
                <w:sz w:val="21"/>
              </w:rPr>
              <w:t>一般固废暂存间</w:t>
            </w:r>
          </w:p>
        </w:tc>
        <w:tc>
          <w:tcPr>
            <w:tcW w:w="1031" w:type="dxa"/>
          </w:tcPr>
          <w:p w14:paraId="7745EFAC">
            <w:pPr>
              <w:pStyle w:val="17"/>
              <w:spacing w:before="75"/>
              <w:ind w:left="461"/>
              <w:jc w:val="left"/>
              <w:rPr>
                <w:rFonts w:ascii="Times New Roman"/>
                <w:sz w:val="21"/>
              </w:rPr>
            </w:pPr>
            <w:r>
              <w:rPr>
                <w:rFonts w:ascii="Times New Roman"/>
                <w:w w:val="99"/>
                <w:sz w:val="21"/>
              </w:rPr>
              <w:t>4</w:t>
            </w:r>
          </w:p>
        </w:tc>
        <w:tc>
          <w:tcPr>
            <w:tcW w:w="1424" w:type="dxa"/>
            <w:tcBorders>
              <w:right w:val="nil"/>
            </w:tcBorders>
          </w:tcPr>
          <w:p w14:paraId="56ED5DE3">
            <w:pPr>
              <w:pStyle w:val="17"/>
              <w:spacing w:before="61"/>
              <w:ind w:left="269" w:right="268"/>
              <w:rPr>
                <w:sz w:val="21"/>
              </w:rPr>
            </w:pPr>
            <w:r>
              <w:rPr>
                <w:sz w:val="21"/>
              </w:rPr>
              <w:t>新增</w:t>
            </w:r>
          </w:p>
        </w:tc>
      </w:tr>
      <w:tr w14:paraId="71848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5" w:type="dxa"/>
            <w:tcBorders>
              <w:left w:val="nil"/>
            </w:tcBorders>
          </w:tcPr>
          <w:p w14:paraId="04832661">
            <w:pPr>
              <w:pStyle w:val="17"/>
              <w:spacing w:before="62"/>
              <w:ind w:left="279" w:right="266"/>
              <w:rPr>
                <w:sz w:val="21"/>
              </w:rPr>
            </w:pPr>
            <w:r>
              <w:rPr>
                <w:sz w:val="21"/>
              </w:rPr>
              <w:t>噪声</w:t>
            </w:r>
          </w:p>
        </w:tc>
        <w:tc>
          <w:tcPr>
            <w:tcW w:w="1903" w:type="dxa"/>
          </w:tcPr>
          <w:p w14:paraId="4E1CED50">
            <w:pPr>
              <w:pStyle w:val="17"/>
              <w:spacing w:before="62"/>
              <w:ind w:left="86" w:right="83"/>
              <w:rPr>
                <w:sz w:val="21"/>
              </w:rPr>
            </w:pPr>
            <w:r>
              <w:rPr>
                <w:sz w:val="21"/>
              </w:rPr>
              <w:t>噪声</w:t>
            </w:r>
          </w:p>
        </w:tc>
        <w:tc>
          <w:tcPr>
            <w:tcW w:w="3909" w:type="dxa"/>
          </w:tcPr>
          <w:p w14:paraId="4B08378A">
            <w:pPr>
              <w:pStyle w:val="17"/>
              <w:spacing w:before="62"/>
              <w:ind w:left="131" w:right="124"/>
              <w:rPr>
                <w:sz w:val="21"/>
              </w:rPr>
            </w:pPr>
            <w:r>
              <w:rPr>
                <w:sz w:val="21"/>
              </w:rPr>
              <w:t>隔声、减振、消声等</w:t>
            </w:r>
          </w:p>
        </w:tc>
        <w:tc>
          <w:tcPr>
            <w:tcW w:w="1031" w:type="dxa"/>
          </w:tcPr>
          <w:p w14:paraId="1848CE82">
            <w:pPr>
              <w:pStyle w:val="17"/>
              <w:spacing w:before="76"/>
              <w:ind w:left="461"/>
              <w:jc w:val="left"/>
              <w:rPr>
                <w:rFonts w:ascii="Times New Roman"/>
                <w:sz w:val="21"/>
              </w:rPr>
            </w:pPr>
            <w:r>
              <w:rPr>
                <w:rFonts w:ascii="Times New Roman"/>
                <w:w w:val="99"/>
                <w:sz w:val="21"/>
              </w:rPr>
              <w:t>2</w:t>
            </w:r>
          </w:p>
        </w:tc>
        <w:tc>
          <w:tcPr>
            <w:tcW w:w="1424" w:type="dxa"/>
            <w:tcBorders>
              <w:right w:val="nil"/>
            </w:tcBorders>
          </w:tcPr>
          <w:p w14:paraId="2C63F050">
            <w:pPr>
              <w:pStyle w:val="17"/>
              <w:spacing w:before="62"/>
              <w:ind w:left="269" w:right="268"/>
              <w:rPr>
                <w:sz w:val="21"/>
              </w:rPr>
            </w:pPr>
            <w:r>
              <w:rPr>
                <w:sz w:val="21"/>
              </w:rPr>
              <w:t>新增</w:t>
            </w:r>
          </w:p>
        </w:tc>
      </w:tr>
      <w:tr w14:paraId="27F31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15" w:type="dxa"/>
            <w:vMerge w:val="restart"/>
            <w:tcBorders>
              <w:left w:val="nil"/>
            </w:tcBorders>
          </w:tcPr>
          <w:p w14:paraId="6F1C75DC">
            <w:pPr>
              <w:pStyle w:val="17"/>
              <w:spacing w:before="27" w:line="290" w:lineRule="auto"/>
              <w:ind w:left="197" w:right="181"/>
              <w:jc w:val="left"/>
              <w:rPr>
                <w:sz w:val="21"/>
              </w:rPr>
            </w:pPr>
            <w:r>
              <w:rPr>
                <w:sz w:val="21"/>
              </w:rPr>
              <w:t>地下水</w:t>
            </w:r>
            <w:r>
              <w:rPr>
                <w:w w:val="95"/>
                <w:sz w:val="21"/>
              </w:rPr>
              <w:t>污染防</w:t>
            </w:r>
          </w:p>
          <w:p w14:paraId="4E3F6393">
            <w:pPr>
              <w:pStyle w:val="17"/>
              <w:spacing w:before="1"/>
              <w:ind w:left="197"/>
              <w:jc w:val="left"/>
              <w:rPr>
                <w:sz w:val="21"/>
              </w:rPr>
            </w:pPr>
            <w:r>
              <w:rPr>
                <w:w w:val="95"/>
                <w:sz w:val="21"/>
              </w:rPr>
              <w:t>治措施</w:t>
            </w:r>
          </w:p>
        </w:tc>
        <w:tc>
          <w:tcPr>
            <w:tcW w:w="1903" w:type="dxa"/>
          </w:tcPr>
          <w:p w14:paraId="1786AF3F">
            <w:pPr>
              <w:pStyle w:val="17"/>
              <w:spacing w:before="63"/>
              <w:ind w:left="86" w:right="83"/>
              <w:rPr>
                <w:sz w:val="21"/>
              </w:rPr>
            </w:pPr>
            <w:r>
              <w:rPr>
                <w:sz w:val="21"/>
              </w:rPr>
              <w:t>分区防渗处理</w:t>
            </w:r>
          </w:p>
        </w:tc>
        <w:tc>
          <w:tcPr>
            <w:tcW w:w="3909" w:type="dxa"/>
          </w:tcPr>
          <w:p w14:paraId="32F013FF">
            <w:pPr>
              <w:pStyle w:val="17"/>
              <w:spacing w:before="63"/>
              <w:ind w:left="128" w:right="124"/>
              <w:rPr>
                <w:sz w:val="21"/>
              </w:rPr>
            </w:pPr>
            <w:r>
              <w:rPr>
                <w:sz w:val="21"/>
              </w:rPr>
              <w:t>地面分区防渗</w:t>
            </w:r>
          </w:p>
        </w:tc>
        <w:tc>
          <w:tcPr>
            <w:tcW w:w="1031" w:type="dxa"/>
          </w:tcPr>
          <w:p w14:paraId="2CCEECE1">
            <w:pPr>
              <w:pStyle w:val="17"/>
              <w:spacing w:before="77"/>
              <w:ind w:left="461"/>
              <w:jc w:val="left"/>
              <w:rPr>
                <w:rFonts w:ascii="Times New Roman"/>
                <w:sz w:val="21"/>
              </w:rPr>
            </w:pPr>
            <w:r>
              <w:rPr>
                <w:rFonts w:ascii="Times New Roman"/>
                <w:w w:val="99"/>
                <w:sz w:val="21"/>
              </w:rPr>
              <w:t>3</w:t>
            </w:r>
          </w:p>
        </w:tc>
        <w:tc>
          <w:tcPr>
            <w:tcW w:w="1424" w:type="dxa"/>
            <w:tcBorders>
              <w:right w:val="nil"/>
            </w:tcBorders>
          </w:tcPr>
          <w:p w14:paraId="7BFEF03C">
            <w:pPr>
              <w:pStyle w:val="17"/>
              <w:spacing w:before="63"/>
              <w:ind w:left="269" w:right="268"/>
              <w:rPr>
                <w:sz w:val="21"/>
              </w:rPr>
            </w:pPr>
            <w:r>
              <w:rPr>
                <w:sz w:val="21"/>
              </w:rPr>
              <w:t>新增</w:t>
            </w:r>
          </w:p>
        </w:tc>
      </w:tr>
      <w:tr w14:paraId="61013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015" w:type="dxa"/>
            <w:vMerge w:val="continue"/>
            <w:tcBorders>
              <w:top w:val="nil"/>
              <w:left w:val="nil"/>
            </w:tcBorders>
          </w:tcPr>
          <w:p w14:paraId="3A58FC22">
            <w:pPr>
              <w:rPr>
                <w:sz w:val="2"/>
                <w:szCs w:val="2"/>
              </w:rPr>
            </w:pPr>
          </w:p>
        </w:tc>
        <w:tc>
          <w:tcPr>
            <w:tcW w:w="1903" w:type="dxa"/>
          </w:tcPr>
          <w:p w14:paraId="3AEAA2F8">
            <w:pPr>
              <w:pStyle w:val="17"/>
              <w:spacing w:before="148"/>
              <w:ind w:left="86" w:right="83"/>
              <w:rPr>
                <w:sz w:val="21"/>
              </w:rPr>
            </w:pPr>
            <w:r>
              <w:rPr>
                <w:sz w:val="21"/>
              </w:rPr>
              <w:t>地下水监测井</w:t>
            </w:r>
          </w:p>
        </w:tc>
        <w:tc>
          <w:tcPr>
            <w:tcW w:w="3909" w:type="dxa"/>
          </w:tcPr>
          <w:p w14:paraId="78B8345A">
            <w:pPr>
              <w:pStyle w:val="17"/>
              <w:spacing w:before="148"/>
              <w:ind w:left="131" w:right="124"/>
              <w:rPr>
                <w:sz w:val="21"/>
              </w:rPr>
            </w:pPr>
            <w:r>
              <w:rPr>
                <w:rFonts w:ascii="Times New Roman" w:eastAsia="Times New Roman"/>
                <w:sz w:val="21"/>
              </w:rPr>
              <w:t xml:space="preserve">1 </w:t>
            </w:r>
            <w:r>
              <w:rPr>
                <w:sz w:val="21"/>
              </w:rPr>
              <w:t>个地下水监测井</w:t>
            </w:r>
          </w:p>
        </w:tc>
        <w:tc>
          <w:tcPr>
            <w:tcW w:w="1031" w:type="dxa"/>
          </w:tcPr>
          <w:p w14:paraId="19CB825F">
            <w:pPr>
              <w:pStyle w:val="17"/>
              <w:spacing w:before="162"/>
              <w:ind w:left="461"/>
              <w:jc w:val="left"/>
              <w:rPr>
                <w:rFonts w:ascii="Times New Roman"/>
                <w:sz w:val="21"/>
              </w:rPr>
            </w:pPr>
            <w:r>
              <w:rPr>
                <w:rFonts w:ascii="Times New Roman"/>
                <w:w w:val="99"/>
                <w:sz w:val="21"/>
              </w:rPr>
              <w:t>1</w:t>
            </w:r>
          </w:p>
        </w:tc>
        <w:tc>
          <w:tcPr>
            <w:tcW w:w="1424" w:type="dxa"/>
            <w:tcBorders>
              <w:right w:val="nil"/>
            </w:tcBorders>
          </w:tcPr>
          <w:p w14:paraId="15ACA38F">
            <w:pPr>
              <w:pStyle w:val="17"/>
              <w:spacing w:before="148"/>
              <w:ind w:left="269" w:right="268"/>
              <w:rPr>
                <w:sz w:val="21"/>
              </w:rPr>
            </w:pPr>
            <w:r>
              <w:rPr>
                <w:sz w:val="21"/>
              </w:rPr>
              <w:t>新增</w:t>
            </w:r>
          </w:p>
        </w:tc>
      </w:tr>
      <w:tr w14:paraId="26588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18" w:type="dxa"/>
            <w:gridSpan w:val="2"/>
            <w:tcBorders>
              <w:left w:val="nil"/>
            </w:tcBorders>
          </w:tcPr>
          <w:p w14:paraId="5B061320">
            <w:pPr>
              <w:pStyle w:val="17"/>
              <w:spacing w:before="61"/>
              <w:ind w:left="1023" w:right="1010"/>
              <w:rPr>
                <w:sz w:val="21"/>
              </w:rPr>
            </w:pPr>
            <w:r>
              <w:rPr>
                <w:sz w:val="21"/>
              </w:rPr>
              <w:t>环境风险</w:t>
            </w:r>
          </w:p>
        </w:tc>
        <w:tc>
          <w:tcPr>
            <w:tcW w:w="3909" w:type="dxa"/>
          </w:tcPr>
          <w:p w14:paraId="6FFA296E">
            <w:pPr>
              <w:pStyle w:val="17"/>
              <w:spacing w:before="61"/>
              <w:ind w:left="131" w:right="122"/>
              <w:rPr>
                <w:sz w:val="21"/>
              </w:rPr>
            </w:pPr>
            <w:r>
              <w:rPr>
                <w:sz w:val="21"/>
              </w:rPr>
              <w:t>消防，环境风险应急预案</w:t>
            </w:r>
          </w:p>
        </w:tc>
        <w:tc>
          <w:tcPr>
            <w:tcW w:w="1031" w:type="dxa"/>
          </w:tcPr>
          <w:p w14:paraId="5E942E4A">
            <w:pPr>
              <w:pStyle w:val="17"/>
              <w:spacing w:before="75"/>
              <w:ind w:left="461"/>
              <w:jc w:val="left"/>
              <w:rPr>
                <w:rFonts w:ascii="Times New Roman"/>
                <w:sz w:val="21"/>
              </w:rPr>
            </w:pPr>
            <w:r>
              <w:rPr>
                <w:rFonts w:ascii="Times New Roman"/>
                <w:w w:val="99"/>
                <w:sz w:val="21"/>
              </w:rPr>
              <w:t>5</w:t>
            </w:r>
          </w:p>
        </w:tc>
        <w:tc>
          <w:tcPr>
            <w:tcW w:w="1424" w:type="dxa"/>
            <w:tcBorders>
              <w:right w:val="nil"/>
            </w:tcBorders>
          </w:tcPr>
          <w:p w14:paraId="193349FE">
            <w:pPr>
              <w:pStyle w:val="17"/>
              <w:spacing w:before="61"/>
              <w:ind w:left="269" w:right="268"/>
              <w:rPr>
                <w:sz w:val="21"/>
              </w:rPr>
            </w:pPr>
            <w:r>
              <w:rPr>
                <w:sz w:val="21"/>
              </w:rPr>
              <w:t>新增</w:t>
            </w:r>
          </w:p>
        </w:tc>
      </w:tr>
      <w:tr w14:paraId="3923B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918" w:type="dxa"/>
            <w:gridSpan w:val="2"/>
            <w:tcBorders>
              <w:left w:val="nil"/>
            </w:tcBorders>
          </w:tcPr>
          <w:p w14:paraId="504EE20B">
            <w:pPr>
              <w:pStyle w:val="17"/>
              <w:spacing w:before="62"/>
              <w:ind w:left="518"/>
              <w:jc w:val="left"/>
              <w:rPr>
                <w:sz w:val="21"/>
              </w:rPr>
            </w:pPr>
            <w:r>
              <w:rPr>
                <w:sz w:val="21"/>
              </w:rPr>
              <w:t>环境管理及环境监测</w:t>
            </w:r>
          </w:p>
        </w:tc>
        <w:tc>
          <w:tcPr>
            <w:tcW w:w="3909" w:type="dxa"/>
          </w:tcPr>
          <w:p w14:paraId="28BABFE5">
            <w:pPr>
              <w:pStyle w:val="17"/>
              <w:spacing w:before="62"/>
              <w:ind w:left="131" w:right="124"/>
              <w:rPr>
                <w:sz w:val="21"/>
              </w:rPr>
            </w:pPr>
            <w:r>
              <w:rPr>
                <w:sz w:val="21"/>
              </w:rPr>
              <w:t>环境管理及环境监测</w:t>
            </w:r>
          </w:p>
        </w:tc>
        <w:tc>
          <w:tcPr>
            <w:tcW w:w="1031" w:type="dxa"/>
          </w:tcPr>
          <w:p w14:paraId="33CE9F97">
            <w:pPr>
              <w:pStyle w:val="17"/>
              <w:spacing w:before="76"/>
              <w:ind w:left="461"/>
              <w:jc w:val="left"/>
              <w:rPr>
                <w:rFonts w:ascii="Times New Roman"/>
                <w:sz w:val="21"/>
              </w:rPr>
            </w:pPr>
            <w:r>
              <w:rPr>
                <w:rFonts w:ascii="Times New Roman"/>
                <w:w w:val="99"/>
                <w:sz w:val="21"/>
              </w:rPr>
              <w:t>4</w:t>
            </w:r>
          </w:p>
        </w:tc>
        <w:tc>
          <w:tcPr>
            <w:tcW w:w="1424" w:type="dxa"/>
            <w:tcBorders>
              <w:right w:val="nil"/>
            </w:tcBorders>
          </w:tcPr>
          <w:p w14:paraId="778D3B56">
            <w:pPr>
              <w:pStyle w:val="17"/>
              <w:spacing w:before="62"/>
              <w:ind w:left="269" w:right="268"/>
              <w:rPr>
                <w:sz w:val="21"/>
              </w:rPr>
            </w:pPr>
            <w:r>
              <w:rPr>
                <w:sz w:val="21"/>
              </w:rPr>
              <w:t>新增</w:t>
            </w:r>
          </w:p>
        </w:tc>
      </w:tr>
      <w:tr w14:paraId="34184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27" w:type="dxa"/>
            <w:gridSpan w:val="3"/>
            <w:tcBorders>
              <w:left w:val="nil"/>
            </w:tcBorders>
          </w:tcPr>
          <w:p w14:paraId="540768D0">
            <w:pPr>
              <w:pStyle w:val="17"/>
              <w:spacing w:before="61"/>
              <w:ind w:left="3185" w:right="3176"/>
              <w:rPr>
                <w:sz w:val="21"/>
              </w:rPr>
            </w:pPr>
            <w:r>
              <w:rPr>
                <w:sz w:val="21"/>
              </w:rPr>
              <w:t>合计</w:t>
            </w:r>
          </w:p>
        </w:tc>
        <w:tc>
          <w:tcPr>
            <w:tcW w:w="1031" w:type="dxa"/>
          </w:tcPr>
          <w:p w14:paraId="231E74BB">
            <w:pPr>
              <w:pStyle w:val="17"/>
              <w:spacing w:before="75"/>
              <w:ind w:left="409"/>
              <w:jc w:val="left"/>
              <w:rPr>
                <w:rFonts w:ascii="Times New Roman"/>
                <w:sz w:val="21"/>
              </w:rPr>
            </w:pPr>
            <w:r>
              <w:rPr>
                <w:rFonts w:ascii="Times New Roman"/>
                <w:sz w:val="21"/>
              </w:rPr>
              <w:t>59</w:t>
            </w:r>
          </w:p>
        </w:tc>
        <w:tc>
          <w:tcPr>
            <w:tcW w:w="1424" w:type="dxa"/>
            <w:tcBorders>
              <w:right w:val="nil"/>
            </w:tcBorders>
          </w:tcPr>
          <w:p w14:paraId="3B8BF0ED">
            <w:pPr>
              <w:pStyle w:val="17"/>
              <w:spacing w:before="75"/>
              <w:ind w:left="6"/>
              <w:rPr>
                <w:rFonts w:ascii="Times New Roman"/>
                <w:sz w:val="21"/>
              </w:rPr>
            </w:pPr>
            <w:r>
              <w:rPr>
                <w:rFonts w:ascii="Times New Roman"/>
                <w:w w:val="99"/>
                <w:sz w:val="21"/>
              </w:rPr>
              <w:t>/</w:t>
            </w:r>
          </w:p>
        </w:tc>
      </w:tr>
    </w:tbl>
    <w:p w14:paraId="013978B8">
      <w:pPr>
        <w:pStyle w:val="16"/>
        <w:numPr>
          <w:ilvl w:val="2"/>
          <w:numId w:val="29"/>
        </w:numPr>
        <w:tabs>
          <w:tab w:val="left" w:pos="868"/>
        </w:tabs>
        <w:spacing w:before="145" w:after="0" w:line="240" w:lineRule="auto"/>
        <w:ind w:left="867" w:right="0" w:hanging="629"/>
        <w:jc w:val="left"/>
        <w:rPr>
          <w:b/>
          <w:sz w:val="28"/>
        </w:rPr>
      </w:pPr>
      <w:r>
        <w:rPr>
          <w:b/>
          <w:sz w:val="28"/>
        </w:rPr>
        <w:t>环境保护效益分析</w:t>
      </w:r>
    </w:p>
    <w:p w14:paraId="30EA4B48">
      <w:pPr>
        <w:pStyle w:val="10"/>
        <w:spacing w:before="239"/>
        <w:ind w:left="718"/>
      </w:pPr>
      <w:r>
        <w:t>本项目环保治理环境收益主要表现在废气、废水等能够达标排放，固废也能得到有</w:t>
      </w:r>
    </w:p>
    <w:p w14:paraId="35F2BF6B">
      <w:pPr>
        <w:spacing w:after="0"/>
        <w:sectPr>
          <w:footerReference r:id="rId37" w:type="default"/>
          <w:pgSz w:w="11910" w:h="16840"/>
          <w:pgMar w:top="1420" w:right="1060" w:bottom="900" w:left="1180" w:header="0" w:footer="712" w:gutter="0"/>
          <w:pgNumType w:start="172"/>
          <w:cols w:space="720" w:num="1"/>
        </w:sectPr>
      </w:pPr>
    </w:p>
    <w:p w14:paraId="440CA753">
      <w:pPr>
        <w:pStyle w:val="10"/>
        <w:spacing w:before="55"/>
        <w:ind w:left="238"/>
      </w:pPr>
      <w:r>
        <w:t>效处置利用，避免外排到环境中。</w:t>
      </w:r>
    </w:p>
    <w:p w14:paraId="706256B6">
      <w:pPr>
        <w:pStyle w:val="10"/>
        <w:spacing w:before="179" w:line="381" w:lineRule="auto"/>
        <w:ind w:left="238" w:right="357" w:firstLine="480"/>
        <w:jc w:val="both"/>
      </w:pPr>
      <w:r>
        <w:rPr>
          <w:spacing w:val="-2"/>
        </w:rPr>
        <w:t>本项目排放废气采取相应的环保措施后能够实现达标排放；废水经处理达标排入污</w:t>
      </w:r>
      <w:r>
        <w:rPr>
          <w:spacing w:val="-7"/>
        </w:rPr>
        <w:t>水处理厂；本项目危险废物分类收集贮存后交有相应资质的单位处置，不会对环境产生</w:t>
      </w:r>
      <w:r>
        <w:rPr>
          <w:spacing w:val="-9"/>
        </w:rPr>
        <w:t>明显不利影响；项目的设备噪声通过减振及隔声等措施控制；通过地面防渗等措施控制</w:t>
      </w:r>
      <w:r>
        <w:rPr>
          <w:spacing w:val="-12"/>
        </w:rPr>
        <w:t>环境风险和对地下水及土壤的影响。工程对废气、废水、固体废物以及噪声采取的污染防治措施一方面减少了污染物排放对环境的危害，体现了较好的环境效益。</w:t>
      </w:r>
    </w:p>
    <w:p w14:paraId="76396E81">
      <w:pPr>
        <w:pStyle w:val="16"/>
        <w:numPr>
          <w:ilvl w:val="2"/>
          <w:numId w:val="29"/>
        </w:numPr>
        <w:tabs>
          <w:tab w:val="left" w:pos="868"/>
        </w:tabs>
        <w:spacing w:before="57" w:after="0" w:line="240" w:lineRule="auto"/>
        <w:ind w:left="867" w:right="0" w:hanging="629"/>
        <w:jc w:val="left"/>
        <w:rPr>
          <w:b/>
          <w:sz w:val="28"/>
        </w:rPr>
      </w:pPr>
      <w:r>
        <w:rPr>
          <w:b/>
          <w:sz w:val="28"/>
        </w:rPr>
        <w:t>工程经济效益与社会效益分析</w:t>
      </w:r>
    </w:p>
    <w:p w14:paraId="409647F7">
      <w:pPr>
        <w:pStyle w:val="10"/>
        <w:spacing w:before="238" w:line="381" w:lineRule="auto"/>
        <w:ind w:left="238" w:right="357" w:firstLine="480"/>
        <w:jc w:val="both"/>
      </w:pPr>
      <w:r>
        <w:rPr>
          <w:spacing w:val="-3"/>
        </w:rPr>
        <w:t>项目投产后能带动当地经济发展，增加地方财政收入；另一方面带动了当地各行业</w:t>
      </w:r>
      <w:r>
        <w:rPr>
          <w:spacing w:val="-9"/>
        </w:rPr>
        <w:t>生产的发展，例如服务业、运输业，繁荣了当地经济，促进了当地工农商业的发展。本</w:t>
      </w:r>
      <w:r>
        <w:rPr>
          <w:spacing w:val="-12"/>
        </w:rPr>
        <w:t>项目的建设对稳定当地正常的社会环境、促进经济的发展有一定作用。因此，工程的建设具有一定的社会效益。</w:t>
      </w:r>
    </w:p>
    <w:p w14:paraId="1579650A">
      <w:pPr>
        <w:pStyle w:val="10"/>
        <w:spacing w:before="1" w:line="379" w:lineRule="auto"/>
        <w:ind w:left="238" w:right="357" w:firstLine="480"/>
        <w:jc w:val="both"/>
      </w:pPr>
      <w:r>
        <w:rPr>
          <w:spacing w:val="-6"/>
        </w:rPr>
        <w:t>综上所述，本项目建设具有较好的经济效益、社会效益，环保投资效益明显，环保投资可行。</w:t>
      </w:r>
    </w:p>
    <w:p w14:paraId="59FF1182">
      <w:pPr>
        <w:spacing w:before="61"/>
        <w:ind w:left="238" w:right="0" w:firstLine="0"/>
        <w:jc w:val="left"/>
        <w:rPr>
          <w:b/>
          <w:sz w:val="28"/>
        </w:rPr>
      </w:pPr>
      <w:bookmarkStart w:id="39" w:name="_TOC_250016"/>
      <w:r>
        <w:rPr>
          <w:rFonts w:ascii="Times New Roman" w:eastAsia="Times New Roman"/>
          <w:b/>
          <w:sz w:val="28"/>
        </w:rPr>
        <w:t>6.2</w:t>
      </w:r>
      <w:r>
        <w:rPr>
          <w:rFonts w:ascii="Times New Roman" w:eastAsia="Times New Roman"/>
          <w:b/>
          <w:spacing w:val="65"/>
          <w:sz w:val="28"/>
        </w:rPr>
        <w:t xml:space="preserve"> </w:t>
      </w:r>
      <w:bookmarkEnd w:id="39"/>
      <w:r>
        <w:rPr>
          <w:b/>
          <w:sz w:val="28"/>
        </w:rPr>
        <w:t>总量控制</w:t>
      </w:r>
    </w:p>
    <w:p w14:paraId="1CA4312A">
      <w:pPr>
        <w:pStyle w:val="10"/>
        <w:spacing w:before="238" w:line="381" w:lineRule="auto"/>
        <w:ind w:left="238" w:right="357" w:firstLine="482"/>
        <w:jc w:val="both"/>
      </w:pPr>
      <w:r>
        <w:rPr>
          <w:spacing w:val="-3"/>
        </w:rPr>
        <w:t>根据《国务院关于印发</w:t>
      </w:r>
      <w:r>
        <w:rPr>
          <w:rFonts w:ascii="Times New Roman" w:hAnsi="Times New Roman" w:eastAsia="Times New Roman"/>
        </w:rPr>
        <w:t>“</w:t>
      </w:r>
      <w:r>
        <w:t>十四五</w:t>
      </w:r>
      <w:r>
        <w:rPr>
          <w:rFonts w:ascii="Times New Roman" w:hAnsi="Times New Roman" w:eastAsia="Times New Roman"/>
        </w:rPr>
        <w:t>”</w:t>
      </w:r>
      <w:r>
        <w:rPr>
          <w:spacing w:val="-1"/>
        </w:rPr>
        <w:t>节能减排综合工作方案的通知》</w:t>
      </w:r>
      <w:r>
        <w:t>（</w:t>
      </w:r>
      <w:r>
        <w:rPr>
          <w:spacing w:val="-2"/>
        </w:rPr>
        <w:t>国发〔</w:t>
      </w:r>
      <w:r>
        <w:rPr>
          <w:rFonts w:ascii="Times New Roman" w:hAnsi="Times New Roman" w:eastAsia="Times New Roman"/>
        </w:rPr>
        <w:t>2021</w:t>
      </w:r>
      <w:r>
        <w:rPr>
          <w:spacing w:val="-5"/>
        </w:rPr>
        <w:t>〕</w:t>
      </w:r>
      <w:r>
        <w:rPr>
          <w:rFonts w:ascii="Times New Roman" w:hAnsi="Times New Roman" w:eastAsia="Times New Roman"/>
        </w:rPr>
        <w:t xml:space="preserve">33 </w:t>
      </w:r>
      <w:r>
        <w:t>号</w:t>
      </w:r>
      <w:r>
        <w:rPr>
          <w:spacing w:val="-11"/>
        </w:rPr>
        <w:t>）</w:t>
      </w:r>
      <w:r>
        <w:rPr>
          <w:spacing w:val="-6"/>
        </w:rPr>
        <w:t>，根据本项目特点及工程分析可知，项目涉及的总量指标为化学需氧量、氨氮、挥发性有机物。</w:t>
      </w:r>
    </w:p>
    <w:p w14:paraId="382ACD61">
      <w:pPr>
        <w:pStyle w:val="10"/>
        <w:spacing w:line="307" w:lineRule="exact"/>
        <w:ind w:left="718"/>
      </w:pPr>
      <w:r>
        <w:t>根据工程分析可知本项目无生产废水排放，仅排放生活污水。生活污水排放量为</w:t>
      </w:r>
    </w:p>
    <w:p w14:paraId="0B3EB843">
      <w:pPr>
        <w:pStyle w:val="10"/>
        <w:spacing w:before="182" w:line="379" w:lineRule="auto"/>
        <w:ind w:left="238" w:right="357"/>
        <w:jc w:val="both"/>
      </w:pPr>
      <w:r>
        <w:rPr>
          <w:rFonts w:ascii="Times New Roman" w:eastAsia="Times New Roman"/>
        </w:rPr>
        <w:t>608t/a</w:t>
      </w:r>
      <w:r>
        <w:t>，生活污水依托中塑新材料公司化粪池处理排入汨罗市城市污水处理厂进行处理达到《城镇污水处理厂污染物排放标准》（</w:t>
      </w:r>
      <w:r>
        <w:rPr>
          <w:rFonts w:ascii="Times New Roman" w:eastAsia="Times New Roman"/>
        </w:rPr>
        <w:t>GB18918-2002</w:t>
      </w:r>
      <w:r>
        <w:t>）</w:t>
      </w:r>
      <w:r>
        <w:rPr>
          <w:spacing w:val="-21"/>
        </w:rPr>
        <w:t xml:space="preserve">一级 </w:t>
      </w:r>
      <w:r>
        <w:rPr>
          <w:rFonts w:ascii="Times New Roman" w:eastAsia="Times New Roman"/>
        </w:rPr>
        <w:t xml:space="preserve">A </w:t>
      </w:r>
      <w:r>
        <w:t>标准后外排，</w:t>
      </w:r>
      <w:r>
        <w:rPr>
          <w:rFonts w:ascii="Times New Roman" w:eastAsia="Times New Roman"/>
        </w:rPr>
        <w:t xml:space="preserve">COD </w:t>
      </w:r>
      <w:r>
        <w:rPr>
          <w:spacing w:val="-11"/>
          <w:position w:val="2"/>
        </w:rPr>
        <w:t xml:space="preserve">排放限值为 </w:t>
      </w:r>
      <w:r>
        <w:rPr>
          <w:rFonts w:ascii="Times New Roman" w:eastAsia="Times New Roman"/>
          <w:position w:val="2"/>
        </w:rPr>
        <w:t>50mg/L</w:t>
      </w:r>
      <w:r>
        <w:rPr>
          <w:spacing w:val="-7"/>
          <w:position w:val="2"/>
        </w:rPr>
        <w:t xml:space="preserve">，氨氮排放限值为 </w:t>
      </w:r>
      <w:r>
        <w:rPr>
          <w:rFonts w:ascii="Times New Roman" w:eastAsia="Times New Roman"/>
          <w:position w:val="2"/>
        </w:rPr>
        <w:t>5mg/L</w:t>
      </w:r>
      <w:r>
        <w:rPr>
          <w:position w:val="2"/>
        </w:rPr>
        <w:t>，故本项目，</w:t>
      </w:r>
      <w:r>
        <w:rPr>
          <w:rFonts w:ascii="Times New Roman" w:eastAsia="Times New Roman"/>
          <w:position w:val="2"/>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5"/>
          <w:position w:val="2"/>
          <w:vertAlign w:val="baseline"/>
        </w:rPr>
        <w:t xml:space="preserve">排放量 </w:t>
      </w:r>
      <w:r>
        <w:rPr>
          <w:rFonts w:ascii="Times New Roman" w:eastAsia="Times New Roman"/>
          <w:position w:val="2"/>
          <w:vertAlign w:val="baseline"/>
        </w:rPr>
        <w:t>0.030t/a</w:t>
      </w:r>
      <w:r>
        <w:rPr>
          <w:position w:val="2"/>
          <w:vertAlign w:val="baseline"/>
        </w:rPr>
        <w:t>，氨氮</w:t>
      </w:r>
      <w:r>
        <w:rPr>
          <w:spacing w:val="-14"/>
          <w:position w:val="2"/>
          <w:vertAlign w:val="baseline"/>
        </w:rPr>
        <w:t xml:space="preserve">排放量 </w:t>
      </w:r>
      <w:r>
        <w:rPr>
          <w:rFonts w:ascii="Times New Roman" w:eastAsia="Times New Roman"/>
          <w:position w:val="2"/>
          <w:vertAlign w:val="baseline"/>
        </w:rPr>
        <w:t>0.003t/a</w:t>
      </w:r>
      <w:r>
        <w:rPr>
          <w:spacing w:val="-5"/>
          <w:position w:val="2"/>
          <w:vertAlign w:val="baseline"/>
        </w:rPr>
        <w:t xml:space="preserve">，故本项目废水总量指标为 </w:t>
      </w:r>
      <w:r>
        <w:rPr>
          <w:rFonts w:ascii="Times New Roman" w:eastAsia="Times New Roman"/>
          <w:position w:val="2"/>
          <w:vertAlign w:val="baseline"/>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5"/>
          <w:position w:val="2"/>
          <w:vertAlign w:val="baseline"/>
        </w:rPr>
        <w:t xml:space="preserve">排放量 </w:t>
      </w:r>
      <w:r>
        <w:rPr>
          <w:rFonts w:ascii="Times New Roman" w:eastAsia="Times New Roman"/>
          <w:position w:val="2"/>
          <w:vertAlign w:val="baseline"/>
        </w:rPr>
        <w:t>0.1t/a</w:t>
      </w:r>
      <w:r>
        <w:rPr>
          <w:spacing w:val="-8"/>
          <w:position w:val="2"/>
          <w:vertAlign w:val="baseline"/>
        </w:rPr>
        <w:t xml:space="preserve">，氨氮排放量 </w:t>
      </w:r>
      <w:r>
        <w:rPr>
          <w:rFonts w:ascii="Times New Roman" w:eastAsia="Times New Roman"/>
          <w:position w:val="2"/>
          <w:vertAlign w:val="baseline"/>
        </w:rPr>
        <w:t>0.1t/a</w:t>
      </w:r>
      <w:r>
        <w:rPr>
          <w:position w:val="2"/>
          <w:vertAlign w:val="baseline"/>
        </w:rPr>
        <w:t>，本</w:t>
      </w:r>
      <w:r>
        <w:rPr>
          <w:spacing w:val="-4"/>
          <w:vertAlign w:val="baseline"/>
        </w:rPr>
        <w:t>项目无生产废水产生，单独的生活污水总量纳入污水处理厂总量指标范围内，无需单独购买。</w:t>
      </w:r>
    </w:p>
    <w:p w14:paraId="16C173CD">
      <w:pPr>
        <w:pStyle w:val="10"/>
        <w:spacing w:before="9" w:line="381" w:lineRule="auto"/>
        <w:ind w:left="238" w:right="356" w:firstLine="480"/>
        <w:jc w:val="both"/>
      </w:pPr>
      <w:r>
        <w:t xml:space="preserve">根据工程分析本项目有组织排放挥发性有机物为 </w:t>
      </w:r>
      <w:r>
        <w:rPr>
          <w:rFonts w:ascii="Times New Roman" w:eastAsia="Times New Roman"/>
        </w:rPr>
        <w:t>3.769t/a</w:t>
      </w:r>
      <w:r>
        <w:t xml:space="preserve">，无组织排放挥发性有机物 </w:t>
      </w:r>
      <w:r>
        <w:rPr>
          <w:rFonts w:ascii="Times New Roman" w:eastAsia="Times New Roman"/>
        </w:rPr>
        <w:t>1.675t/a</w:t>
      </w:r>
      <w:r>
        <w:t>，本项目废气总量指标为：</w:t>
      </w:r>
      <w:r>
        <w:rPr>
          <w:rFonts w:ascii="Times New Roman" w:eastAsia="Times New Roman"/>
        </w:rPr>
        <w:t xml:space="preserve">VOCs </w:t>
      </w:r>
      <w:r>
        <w:t xml:space="preserve">量 </w:t>
      </w:r>
      <w:r>
        <w:rPr>
          <w:rFonts w:ascii="Times New Roman" w:eastAsia="Times New Roman"/>
        </w:rPr>
        <w:t>5.444t/a</w:t>
      </w:r>
      <w:r>
        <w:t>。</w:t>
      </w:r>
    </w:p>
    <w:p w14:paraId="36A4A83E">
      <w:pPr>
        <w:spacing w:after="0" w:line="381" w:lineRule="auto"/>
        <w:jc w:val="both"/>
        <w:sectPr>
          <w:pgSz w:w="11910" w:h="16840"/>
          <w:pgMar w:top="1380" w:right="1060" w:bottom="900" w:left="1180" w:header="0" w:footer="712" w:gutter="0"/>
          <w:cols w:space="720" w:num="1"/>
        </w:sectPr>
      </w:pPr>
    </w:p>
    <w:p w14:paraId="1EE93FCE">
      <w:pPr>
        <w:pStyle w:val="16"/>
        <w:numPr>
          <w:ilvl w:val="0"/>
          <w:numId w:val="29"/>
        </w:numPr>
        <w:tabs>
          <w:tab w:val="left" w:pos="508"/>
        </w:tabs>
        <w:spacing w:before="37" w:after="0" w:line="240" w:lineRule="auto"/>
        <w:ind w:left="507" w:right="0" w:hanging="269"/>
        <w:jc w:val="left"/>
        <w:rPr>
          <w:rFonts w:ascii="Times New Roman" w:eastAsia="Times New Roman"/>
          <w:b/>
          <w:sz w:val="36"/>
        </w:rPr>
      </w:pPr>
      <w:bookmarkStart w:id="40" w:name="_TOC_250015"/>
      <w:bookmarkEnd w:id="40"/>
      <w:r>
        <w:rPr>
          <w:b/>
          <w:sz w:val="36"/>
        </w:rPr>
        <w:t>环境管理与监测计划</w:t>
      </w:r>
    </w:p>
    <w:p w14:paraId="5AFD1727">
      <w:pPr>
        <w:pStyle w:val="10"/>
        <w:spacing w:before="187" w:line="381" w:lineRule="auto"/>
        <w:ind w:left="238" w:right="357" w:firstLine="480"/>
        <w:jc w:val="both"/>
      </w:pPr>
      <w:r>
        <w:rPr>
          <w:spacing w:val="-3"/>
        </w:rPr>
        <w:t>根据项目环境影响分析和评价，本项目运营后将会对周围环境产生一定的影响，因</w:t>
      </w:r>
      <w:r>
        <w:rPr>
          <w:spacing w:val="-5"/>
        </w:rPr>
        <w:t>此建设单位应加强项目试生产后的环境保护管理及环境监控，以便及时了解项目排放的</w:t>
      </w:r>
      <w:r>
        <w:rPr>
          <w:spacing w:val="-8"/>
        </w:rPr>
        <w:t>污染物对环境造成影响的情况，并及时采取相应措施，消除不利因素，尽量减轻项目对环境的污染，使各项环保措施落实到实处，以尽可能降低项目对环境的影响。</w:t>
      </w:r>
    </w:p>
    <w:p w14:paraId="6146545C">
      <w:pPr>
        <w:pStyle w:val="3"/>
        <w:numPr>
          <w:ilvl w:val="1"/>
          <w:numId w:val="29"/>
        </w:numPr>
        <w:tabs>
          <w:tab w:val="left" w:pos="688"/>
        </w:tabs>
        <w:spacing w:before="43" w:after="0" w:line="240" w:lineRule="auto"/>
        <w:ind w:left="687" w:right="0" w:hanging="449"/>
        <w:jc w:val="left"/>
      </w:pPr>
      <w:bookmarkStart w:id="41" w:name="_TOC_250014"/>
      <w:bookmarkEnd w:id="41"/>
      <w:r>
        <w:t>环境管理</w:t>
      </w:r>
    </w:p>
    <w:p w14:paraId="7D72017C">
      <w:pPr>
        <w:pStyle w:val="16"/>
        <w:numPr>
          <w:ilvl w:val="2"/>
          <w:numId w:val="29"/>
        </w:numPr>
        <w:tabs>
          <w:tab w:val="left" w:pos="868"/>
        </w:tabs>
        <w:spacing w:before="282" w:after="0" w:line="240" w:lineRule="auto"/>
        <w:ind w:left="867" w:right="0" w:hanging="629"/>
        <w:jc w:val="left"/>
        <w:rPr>
          <w:b/>
          <w:sz w:val="28"/>
        </w:rPr>
      </w:pPr>
      <w:r>
        <w:rPr>
          <w:b/>
          <w:sz w:val="28"/>
        </w:rPr>
        <w:t>环境管理基本任务</w:t>
      </w:r>
    </w:p>
    <w:p w14:paraId="716C027E">
      <w:pPr>
        <w:pStyle w:val="10"/>
        <w:spacing w:before="238" w:line="381" w:lineRule="auto"/>
        <w:ind w:left="238" w:right="117" w:firstLine="480"/>
      </w:pPr>
      <w:r>
        <w:rPr>
          <w:spacing w:val="-7"/>
        </w:rPr>
        <w:t xml:space="preserve">为了控制污染物的排放，需要加强计划、生产、技术、质量、设备、劳动、财务等 </w:t>
      </w:r>
      <w:r>
        <w:rPr>
          <w:spacing w:val="-9"/>
        </w:rPr>
        <w:t xml:space="preserve">方面的管理，把环境管理渗透到整个企业管理中，将环境管理融合在一起，以减少从生 </w:t>
      </w:r>
      <w:r>
        <w:rPr>
          <w:spacing w:val="-12"/>
        </w:rPr>
        <w:t>产过程中各环节排出的污染物。项目应该将环境管理作为工业企业管理的重要组成部分， 建立环境污染管理系统、制度、环境规划、协调发展生产保护环境的关系，使生产目标 与环境目标统一起来，经济效益与环境效益统一起来。</w:t>
      </w:r>
    </w:p>
    <w:p w14:paraId="79B11635">
      <w:pPr>
        <w:pStyle w:val="16"/>
        <w:numPr>
          <w:ilvl w:val="2"/>
          <w:numId w:val="29"/>
        </w:numPr>
        <w:tabs>
          <w:tab w:val="left" w:pos="868"/>
        </w:tabs>
        <w:spacing w:before="54" w:after="0" w:line="240" w:lineRule="auto"/>
        <w:ind w:left="867" w:right="0" w:hanging="629"/>
        <w:jc w:val="left"/>
        <w:rPr>
          <w:b/>
          <w:sz w:val="28"/>
        </w:rPr>
      </w:pPr>
      <w:r>
        <w:rPr>
          <w:b/>
          <w:spacing w:val="-1"/>
          <w:w w:val="95"/>
          <w:sz w:val="28"/>
        </w:rPr>
        <w:t>环境管理机构及其职责</w:t>
      </w:r>
    </w:p>
    <w:p w14:paraId="42D7F644">
      <w:pPr>
        <w:pStyle w:val="10"/>
        <w:spacing w:before="238" w:line="381" w:lineRule="auto"/>
        <w:ind w:left="238" w:right="357" w:firstLine="480"/>
        <w:jc w:val="both"/>
      </w:pPr>
      <w:r>
        <w:rPr>
          <w:spacing w:val="-4"/>
        </w:rPr>
        <w:t>环境管理机构的设置，是为了贯彻执行中华人民共和国环境保护法的有关法律、法</w:t>
      </w:r>
      <w:r>
        <w:rPr>
          <w:spacing w:val="-8"/>
        </w:rPr>
        <w:t>规，全面落实《国务院关于环境保护若干问题的决定》的有关规定，对项目“三废”排</w:t>
      </w:r>
      <w:r>
        <w:rPr>
          <w:spacing w:val="-10"/>
        </w:rPr>
        <w:t>放实行监控，确保建设项目的经济、环境和社会效益协调发展；协调环保主管部门的工</w:t>
      </w:r>
      <w:r>
        <w:rPr>
          <w:spacing w:val="-8"/>
        </w:rPr>
        <w:t>作，为企业的生产管理和环境管理提供保证，针对拟建项目的具体情况，为加强严格管</w:t>
      </w:r>
      <w:r>
        <w:rPr>
          <w:spacing w:val="-10"/>
        </w:rPr>
        <w:t xml:space="preserve">理，企业应设置相应的环境管理机构，并设置 </w:t>
      </w:r>
      <w:r>
        <w:rPr>
          <w:rFonts w:ascii="Times New Roman" w:hAnsi="Times New Roman" w:eastAsia="Times New Roman"/>
        </w:rPr>
        <w:t xml:space="preserve">1~2 </w:t>
      </w:r>
      <w:r>
        <w:rPr>
          <w:spacing w:val="-2"/>
        </w:rPr>
        <w:t>名专职安环管理人员，同时应加强对管理人员的环保培训，并尽相应的职责。</w:t>
      </w:r>
    </w:p>
    <w:p w14:paraId="531A19CC">
      <w:pPr>
        <w:pStyle w:val="10"/>
        <w:spacing w:line="381" w:lineRule="auto"/>
        <w:ind w:left="238" w:right="357" w:firstLine="480"/>
        <w:jc w:val="both"/>
      </w:pPr>
      <w:r>
        <w:rPr>
          <w:spacing w:val="-5"/>
        </w:rPr>
        <w:t>根据该项目的实际情况，在建设施工阶段，项目工程指挥部应设专人负责环境保护</w:t>
      </w:r>
      <w:r>
        <w:rPr>
          <w:spacing w:val="-8"/>
        </w:rPr>
        <w:t>事宜。项目投入运营后，环境管理机构可由公司安环部负责，下设环境专管员对该建设项目的环境管理和环境监控负责，并受项目主管单位及环保部门的监督和指导。</w:t>
      </w:r>
    </w:p>
    <w:p w14:paraId="00EDB383">
      <w:pPr>
        <w:pStyle w:val="10"/>
        <w:spacing w:before="2"/>
        <w:ind w:left="718"/>
      </w:pPr>
      <w:r>
        <w:t>环境保护管理机构的职责如下：</w:t>
      </w:r>
    </w:p>
    <w:p w14:paraId="2BC1FBE4">
      <w:pPr>
        <w:pStyle w:val="10"/>
        <w:spacing w:before="179" w:line="381" w:lineRule="auto"/>
        <w:ind w:left="238" w:right="356" w:firstLine="480"/>
        <w:jc w:val="both"/>
      </w:pPr>
      <w:r>
        <w:rPr>
          <w:rFonts w:ascii="Times New Roman" w:eastAsia="Times New Roman"/>
        </w:rPr>
        <w:t>1</w:t>
      </w:r>
      <w:r>
        <w:t>、环境管理部门除负责公司内有关环保工作外，还应接受环境保护行政主管部门的领导检查与监督；</w:t>
      </w:r>
    </w:p>
    <w:p w14:paraId="535D2EA3">
      <w:pPr>
        <w:pStyle w:val="10"/>
        <w:spacing w:before="2"/>
        <w:ind w:left="718"/>
      </w:pPr>
      <w:r>
        <w:rPr>
          <w:rFonts w:ascii="Times New Roman" w:eastAsia="Times New Roman"/>
        </w:rPr>
        <w:t>2</w:t>
      </w:r>
      <w:r>
        <w:t>、贯彻执行各项环保法规和各项标准；</w:t>
      </w:r>
    </w:p>
    <w:p w14:paraId="487FD5CD">
      <w:pPr>
        <w:pStyle w:val="10"/>
        <w:spacing w:before="182"/>
        <w:ind w:left="718"/>
      </w:pPr>
      <w:r>
        <w:rPr>
          <w:rFonts w:ascii="Times New Roman" w:eastAsia="Times New Roman"/>
        </w:rPr>
        <w:t>3</w:t>
      </w:r>
      <w:r>
        <w:t>、组织制定和修改企业的环境污染保护管理体制规章制度，并监督执行；</w:t>
      </w:r>
    </w:p>
    <w:p w14:paraId="632C01BB">
      <w:pPr>
        <w:spacing w:after="0"/>
        <w:sectPr>
          <w:pgSz w:w="11910" w:h="16840"/>
          <w:pgMar w:top="1400" w:right="1060" w:bottom="900" w:left="1180" w:header="0" w:footer="712" w:gutter="0"/>
          <w:cols w:space="720" w:num="1"/>
        </w:sectPr>
      </w:pPr>
    </w:p>
    <w:p w14:paraId="3551C27D">
      <w:pPr>
        <w:pStyle w:val="10"/>
        <w:spacing w:before="55"/>
        <w:ind w:left="718"/>
      </w:pPr>
      <w:r>
        <w:rPr>
          <w:rFonts w:ascii="Times New Roman" w:eastAsia="Times New Roman"/>
        </w:rPr>
        <w:t>4</w:t>
      </w:r>
      <w:r>
        <w:t>、制定并组织实施环境保护规划和标准；</w:t>
      </w:r>
    </w:p>
    <w:p w14:paraId="484E4B3A">
      <w:pPr>
        <w:pStyle w:val="10"/>
        <w:spacing w:before="179"/>
        <w:ind w:left="718"/>
      </w:pPr>
      <w:r>
        <w:rPr>
          <w:rFonts w:ascii="Times New Roman" w:eastAsia="Times New Roman"/>
        </w:rPr>
        <w:t>5</w:t>
      </w:r>
      <w:r>
        <w:t>、检查企业环境保护规划和计划；</w:t>
      </w:r>
    </w:p>
    <w:p w14:paraId="7FB4DF36">
      <w:pPr>
        <w:pStyle w:val="10"/>
        <w:spacing w:before="183"/>
        <w:ind w:left="718"/>
      </w:pPr>
      <w:r>
        <w:rPr>
          <w:rFonts w:ascii="Times New Roman" w:eastAsia="Times New Roman"/>
        </w:rPr>
        <w:t>6</w:t>
      </w:r>
      <w:r>
        <w:t>、建立资料库，管理污染源监测数据及资料的收集与存档；</w:t>
      </w:r>
    </w:p>
    <w:p w14:paraId="132BC155">
      <w:pPr>
        <w:pStyle w:val="10"/>
        <w:spacing w:before="182" w:line="381" w:lineRule="auto"/>
        <w:ind w:left="238" w:right="356" w:firstLine="480"/>
      </w:pPr>
      <w:r>
        <w:rPr>
          <w:rFonts w:ascii="Times New Roman" w:eastAsia="Times New Roman"/>
        </w:rPr>
        <w:t>7</w:t>
      </w:r>
      <w:r>
        <w:t>、加强对污染防治设施的监督管理，安排专人负责设施的具体运作，确保设施正常运行，保证污染物达标排放；</w:t>
      </w:r>
    </w:p>
    <w:p w14:paraId="734A154E">
      <w:pPr>
        <w:pStyle w:val="10"/>
        <w:spacing w:line="381" w:lineRule="auto"/>
        <w:ind w:left="238" w:right="356" w:firstLine="480"/>
      </w:pPr>
      <w:r>
        <w:rPr>
          <w:rFonts w:ascii="Times New Roman" w:eastAsia="Times New Roman"/>
        </w:rPr>
        <w:t>8</w:t>
      </w:r>
      <w:r>
        <w:t>、防范风险事故发生，协助环境保护行政主管部门、企业内的应急反应中心或生产安全部门处理各种事故；</w:t>
      </w:r>
    </w:p>
    <w:p w14:paraId="67926A3C">
      <w:pPr>
        <w:pStyle w:val="10"/>
        <w:spacing w:line="381" w:lineRule="auto"/>
        <w:ind w:left="238" w:right="356" w:firstLine="480"/>
      </w:pPr>
      <w:r>
        <w:rPr>
          <w:rFonts w:ascii="Times New Roman" w:eastAsia="Times New Roman"/>
        </w:rPr>
        <w:t>9</w:t>
      </w:r>
      <w:r>
        <w:t>、开展环保知识教育，组织开展本企业的环保技术培训，提高员工的素质水平； 领导和组织本企业的环境监测工作。</w:t>
      </w:r>
    </w:p>
    <w:p w14:paraId="1CC93BFC">
      <w:pPr>
        <w:pStyle w:val="16"/>
        <w:numPr>
          <w:ilvl w:val="2"/>
          <w:numId w:val="29"/>
        </w:numPr>
        <w:tabs>
          <w:tab w:val="left" w:pos="868"/>
        </w:tabs>
        <w:spacing w:before="55" w:after="0" w:line="240" w:lineRule="auto"/>
        <w:ind w:left="867" w:right="0" w:hanging="629"/>
        <w:jc w:val="left"/>
        <w:rPr>
          <w:b/>
          <w:sz w:val="28"/>
        </w:rPr>
      </w:pPr>
      <w:r>
        <w:rPr>
          <w:b/>
          <w:sz w:val="28"/>
        </w:rPr>
        <w:t>环保管理制度</w:t>
      </w:r>
    </w:p>
    <w:p w14:paraId="749E7BBD">
      <w:pPr>
        <w:pStyle w:val="10"/>
        <w:spacing w:before="238"/>
        <w:ind w:left="718"/>
      </w:pPr>
      <w:r>
        <w:rPr>
          <w:rFonts w:ascii="Times New Roman" w:eastAsia="Times New Roman"/>
        </w:rPr>
        <w:t>1</w:t>
      </w:r>
      <w:r>
        <w:t>、报告制度</w:t>
      </w:r>
    </w:p>
    <w:p w14:paraId="2E6895E7">
      <w:pPr>
        <w:pStyle w:val="10"/>
        <w:spacing w:before="182" w:line="379" w:lineRule="auto"/>
        <w:ind w:left="238" w:right="54" w:firstLine="480"/>
      </w:pPr>
      <w:r>
        <w:t>要定期向当地环保部门报告污染治理设施运行情况、污染物排放情况以及污染事故、污染纠纷等情况。</w:t>
      </w:r>
    </w:p>
    <w:p w14:paraId="2C6D5ED8">
      <w:pPr>
        <w:pStyle w:val="10"/>
        <w:spacing w:before="5" w:line="381" w:lineRule="auto"/>
        <w:ind w:left="238" w:right="357" w:firstLine="480"/>
        <w:jc w:val="both"/>
      </w:pPr>
      <w:r>
        <w:rPr>
          <w:spacing w:val="-4"/>
        </w:rPr>
        <w:t>若企业排污发生重大变化、污染治理设施改变或企业改、扩建等都必须向当地环保</w:t>
      </w:r>
      <w:r>
        <w:rPr>
          <w:spacing w:val="-9"/>
        </w:rPr>
        <w:t>部门申报，改、扩建项目必须按《建设项目环境保护管理条例》、《关于加强建设项目环境保护管理的若干规定》等要求，报请有审批权限的环保部门审批。</w:t>
      </w:r>
    </w:p>
    <w:p w14:paraId="1DCA3905">
      <w:pPr>
        <w:pStyle w:val="10"/>
        <w:spacing w:line="307" w:lineRule="exact"/>
        <w:ind w:left="718"/>
      </w:pPr>
      <w:r>
        <w:rPr>
          <w:rFonts w:ascii="Times New Roman" w:eastAsia="Times New Roman"/>
        </w:rPr>
        <w:t>2</w:t>
      </w:r>
      <w:r>
        <w:t>、污染治理设施的管理、监控制度</w:t>
      </w:r>
    </w:p>
    <w:p w14:paraId="3D646D5B">
      <w:pPr>
        <w:pStyle w:val="10"/>
        <w:spacing w:before="182" w:line="381" w:lineRule="auto"/>
        <w:ind w:left="238" w:right="237" w:firstLine="480"/>
      </w:pPr>
      <w:r>
        <w:rPr>
          <w:spacing w:val="-6"/>
        </w:rPr>
        <w:t>项目建成后，必须确保污染治理设施长期、稳定、有效地运行，不得擅自拆除或者</w:t>
      </w:r>
      <w:r>
        <w:rPr>
          <w:spacing w:val="-9"/>
        </w:rPr>
        <w:t>闲置废气和废水处理设备，不得故意不正常使用污染治理设施。污染治理设施的管理必</w:t>
      </w:r>
      <w:r>
        <w:rPr>
          <w:spacing w:val="-15"/>
        </w:rPr>
        <w:t>须与公司的生产经营活动一起纳入到公司日常管理工作的范畴，落实责任人、操作人员、维修人员、运行经费、设备的备品备件和其它原辅材料。同时要建立健全岗位责任制， 制定正确的操作规程、建立污染治理设施的管理台帐。</w:t>
      </w:r>
    </w:p>
    <w:p w14:paraId="14064C48">
      <w:pPr>
        <w:pStyle w:val="10"/>
        <w:spacing w:before="1"/>
        <w:ind w:left="718"/>
      </w:pPr>
      <w:r>
        <w:rPr>
          <w:rFonts w:ascii="Times New Roman" w:eastAsia="Times New Roman"/>
        </w:rPr>
        <w:t>3</w:t>
      </w:r>
      <w:r>
        <w:t>、环保奖惩制度</w:t>
      </w:r>
    </w:p>
    <w:p w14:paraId="368A25AA">
      <w:pPr>
        <w:pStyle w:val="10"/>
        <w:spacing w:before="182" w:line="381" w:lineRule="auto"/>
        <w:ind w:left="238" w:right="357" w:firstLine="480"/>
        <w:jc w:val="both"/>
      </w:pPr>
      <w:r>
        <w:rPr>
          <w:spacing w:val="-3"/>
        </w:rPr>
        <w:t>各级管理人员都应树立保护环境的思想，企业也应设置环境保护奖惩条例。对爱护</w:t>
      </w:r>
      <w:r>
        <w:rPr>
          <w:spacing w:val="-6"/>
        </w:rPr>
        <w:t>废水处理和废气处理设施等环保治理设施、节省原料、改善生产车间的工作环境者实行</w:t>
      </w:r>
      <w:r>
        <w:rPr>
          <w:spacing w:val="-8"/>
        </w:rPr>
        <w:t>奖励；对于环保观念淡薄，不按环保要求管理，造成环保设施损坏、环境污染及原材料消耗者予以重罚。</w:t>
      </w:r>
    </w:p>
    <w:p w14:paraId="004893C8">
      <w:pPr>
        <w:pStyle w:val="16"/>
        <w:numPr>
          <w:ilvl w:val="2"/>
          <w:numId w:val="29"/>
        </w:numPr>
        <w:tabs>
          <w:tab w:val="left" w:pos="868"/>
        </w:tabs>
        <w:spacing w:before="57" w:after="0" w:line="240" w:lineRule="auto"/>
        <w:ind w:left="867" w:right="0" w:hanging="629"/>
        <w:jc w:val="left"/>
        <w:rPr>
          <w:b/>
          <w:sz w:val="28"/>
        </w:rPr>
      </w:pPr>
      <w:r>
        <w:rPr>
          <w:b/>
          <w:sz w:val="28"/>
        </w:rPr>
        <w:t>项目运营过程环境管理措施</w:t>
      </w:r>
    </w:p>
    <w:p w14:paraId="2039D318">
      <w:pPr>
        <w:spacing w:after="0" w:line="240" w:lineRule="auto"/>
        <w:jc w:val="left"/>
        <w:rPr>
          <w:sz w:val="28"/>
        </w:rPr>
        <w:sectPr>
          <w:pgSz w:w="11910" w:h="16840"/>
          <w:pgMar w:top="1380" w:right="1060" w:bottom="900" w:left="1180" w:header="0" w:footer="712" w:gutter="0"/>
          <w:cols w:space="720" w:num="1"/>
        </w:sectPr>
      </w:pPr>
    </w:p>
    <w:p w14:paraId="2D7A72D7">
      <w:pPr>
        <w:pStyle w:val="10"/>
        <w:spacing w:before="55"/>
        <w:ind w:left="718"/>
      </w:pPr>
      <w:r>
        <w:rPr>
          <w:rFonts w:ascii="Times New Roman" w:eastAsia="Times New Roman"/>
        </w:rPr>
        <w:t>1</w:t>
      </w:r>
      <w:r>
        <w:t>、危险废物的接收、收集与运输</w:t>
      </w:r>
    </w:p>
    <w:p w14:paraId="54CA5734">
      <w:pPr>
        <w:pStyle w:val="10"/>
        <w:spacing w:before="179"/>
        <w:ind w:left="718"/>
      </w:pPr>
      <w:r>
        <w:t>（</w:t>
      </w:r>
      <w:r>
        <w:rPr>
          <w:rFonts w:ascii="Times New Roman" w:eastAsia="Times New Roman"/>
        </w:rPr>
        <w:t>1</w:t>
      </w:r>
      <w:r>
        <w:t>）危险废物接收应认真执行危险废物转移联单制度。</w:t>
      </w:r>
    </w:p>
    <w:p w14:paraId="6CB4493D">
      <w:pPr>
        <w:pStyle w:val="10"/>
        <w:spacing w:before="183" w:line="381" w:lineRule="auto"/>
        <w:ind w:left="238" w:right="358" w:firstLine="480"/>
      </w:pPr>
      <w:r>
        <w:t>（</w:t>
      </w:r>
      <w:r>
        <w:rPr>
          <w:rFonts w:ascii="Times New Roman" w:eastAsia="Times New Roman"/>
        </w:rPr>
        <w:t>2</w:t>
      </w:r>
      <w:r>
        <w:t>）危险废物现场交接时应认真核对危险废物的数量、种类、标识等，并确认与危险 废物转移联单是否相符，同时对接收的废物及时登记。</w:t>
      </w:r>
    </w:p>
    <w:p w14:paraId="28090627">
      <w:pPr>
        <w:pStyle w:val="10"/>
        <w:spacing w:before="1" w:line="381" w:lineRule="auto"/>
        <w:ind w:left="238" w:right="357" w:firstLine="480"/>
        <w:jc w:val="both"/>
      </w:pPr>
      <w:r>
        <w:t>（</w:t>
      </w:r>
      <w:r>
        <w:rPr>
          <w:rFonts w:ascii="Times New Roman" w:eastAsia="Times New Roman"/>
        </w:rPr>
        <w:t>3</w:t>
      </w:r>
      <w:r>
        <w:t>）根据危险废物成分，用符合国家标准的专门容器分类收集，装运危险废物的</w:t>
      </w:r>
      <w:r>
        <w:rPr>
          <w:spacing w:val="-6"/>
        </w:rPr>
        <w:t>容器应不易破损、变老化，能有效地防止渗漏、扩散，必须贴有标签，在标签上详细标</w:t>
      </w:r>
      <w:r>
        <w:rPr>
          <w:spacing w:val="-10"/>
        </w:rPr>
        <w:t>明危险废物的名称、重量、成分、特性以及发生泄漏、扩散污染事故时的应急措施和补救方法。</w:t>
      </w:r>
    </w:p>
    <w:p w14:paraId="269BF5C8">
      <w:pPr>
        <w:pStyle w:val="10"/>
        <w:spacing w:line="381" w:lineRule="auto"/>
        <w:ind w:left="238" w:right="357" w:firstLine="480"/>
        <w:jc w:val="both"/>
      </w:pPr>
      <w:r>
        <w:t>（</w:t>
      </w:r>
      <w:r>
        <w:rPr>
          <w:rFonts w:ascii="Times New Roman" w:eastAsia="Times New Roman"/>
        </w:rPr>
        <w:t>4</w:t>
      </w:r>
      <w:r>
        <w:t>）危险废物应由专用运输车上门收集，实行专业化运输。收集车辆应一律带有</w:t>
      </w:r>
      <w:r>
        <w:rPr>
          <w:spacing w:val="-5"/>
        </w:rPr>
        <w:t>明显的特殊标志，收集人员应经过严格培训，要严格按照危险废物运输的管理规定进行危险废物的运输，减少可能造成的环境风险。</w:t>
      </w:r>
    </w:p>
    <w:p w14:paraId="4C4D64A1">
      <w:pPr>
        <w:pStyle w:val="10"/>
        <w:spacing w:line="307" w:lineRule="exact"/>
        <w:ind w:left="718"/>
      </w:pPr>
      <w:r>
        <w:rPr>
          <w:rFonts w:ascii="Times New Roman" w:eastAsia="Times New Roman"/>
        </w:rPr>
        <w:t>2</w:t>
      </w:r>
      <w:r>
        <w:t>、日常生产管理</w:t>
      </w:r>
    </w:p>
    <w:p w14:paraId="07B5681A">
      <w:pPr>
        <w:pStyle w:val="10"/>
        <w:spacing w:before="182"/>
        <w:ind w:left="718"/>
      </w:pPr>
      <w:r>
        <w:t>（</w:t>
      </w:r>
      <w:r>
        <w:rPr>
          <w:rFonts w:ascii="Times New Roman" w:eastAsia="Times New Roman"/>
        </w:rPr>
        <w:t>1</w:t>
      </w:r>
      <w:r>
        <w:t>）具有经过培训的管理人员、技术人员和相应数量的操作人员：</w:t>
      </w:r>
    </w:p>
    <w:p w14:paraId="24430F62">
      <w:pPr>
        <w:pStyle w:val="10"/>
        <w:spacing w:before="180"/>
        <w:ind w:left="718"/>
      </w:pPr>
      <w:r>
        <w:t>（</w:t>
      </w:r>
      <w:r>
        <w:rPr>
          <w:rFonts w:ascii="Times New Roman" w:eastAsia="Times New Roman"/>
        </w:rPr>
        <w:t>2</w:t>
      </w:r>
      <w:r>
        <w:t>）具有完备的保障危险废物安全处理、处置的规章制度；</w:t>
      </w:r>
    </w:p>
    <w:p w14:paraId="5D316667">
      <w:pPr>
        <w:pStyle w:val="10"/>
        <w:spacing w:before="182"/>
        <w:ind w:left="718"/>
      </w:pPr>
      <w:r>
        <w:t>（</w:t>
      </w:r>
      <w:r>
        <w:rPr>
          <w:rFonts w:ascii="Times New Roman" w:eastAsia="Times New Roman"/>
        </w:rPr>
        <w:t>3</w:t>
      </w:r>
      <w:r>
        <w:t>）具有负责危险废物处置效果检测、评价工作的机构和人员。</w:t>
      </w:r>
    </w:p>
    <w:p w14:paraId="4A1A1A86">
      <w:pPr>
        <w:pStyle w:val="10"/>
        <w:spacing w:before="182" w:line="381" w:lineRule="auto"/>
        <w:ind w:left="238" w:right="358" w:firstLine="480"/>
      </w:pPr>
      <w:r>
        <w:t>（</w:t>
      </w:r>
      <w:r>
        <w:rPr>
          <w:rFonts w:ascii="Times New Roman" w:eastAsia="Times New Roman"/>
        </w:rPr>
        <w:t>4</w:t>
      </w:r>
      <w:r>
        <w:t>）人员培训：应对管理人员、技术人员和操作人员进行相关法律法规和专业技术、安全防护、紧急处理等理论知识和操作技能培训。</w:t>
      </w:r>
    </w:p>
    <w:p w14:paraId="47F37157">
      <w:pPr>
        <w:pStyle w:val="10"/>
        <w:spacing w:line="381" w:lineRule="auto"/>
        <w:ind w:left="238" w:right="357" w:firstLine="480"/>
        <w:jc w:val="both"/>
      </w:pPr>
      <w:r>
        <w:t>（</w:t>
      </w:r>
      <w:r>
        <w:rPr>
          <w:rFonts w:ascii="Times New Roman" w:eastAsia="Times New Roman"/>
        </w:rPr>
        <w:t>5</w:t>
      </w:r>
      <w:r>
        <w:t xml:space="preserve">）交接班制度：为保证生产活动安全有序进行，必须建立严格的交接班制度， </w:t>
      </w:r>
      <w:r>
        <w:rPr>
          <w:spacing w:val="-6"/>
        </w:rPr>
        <w:t>包括生产设施、设备、工具及生产辅助材料的交接；运行记录的交接；上下班交接人员</w:t>
      </w:r>
      <w:r>
        <w:rPr>
          <w:spacing w:val="-9"/>
        </w:rPr>
        <w:t>应在现场进行实物交接；运行记录交接前，交接班人员应共同巡视现场：交接班程序未</w:t>
      </w:r>
      <w:r>
        <w:rPr>
          <w:spacing w:val="-10"/>
        </w:rPr>
        <w:t>能顺利完成时，应及时向生产管理负责人报告；接班人员应对实物及运行记录核实确定后签字确认。</w:t>
      </w:r>
    </w:p>
    <w:p w14:paraId="5F166F0A">
      <w:pPr>
        <w:pStyle w:val="10"/>
        <w:spacing w:line="381" w:lineRule="auto"/>
        <w:ind w:left="238" w:right="237" w:firstLine="480"/>
        <w:jc w:val="both"/>
      </w:pPr>
      <w:r>
        <w:rPr>
          <w:spacing w:val="-4"/>
        </w:rPr>
        <w:t>（</w:t>
      </w:r>
      <w:r>
        <w:rPr>
          <w:rFonts w:ascii="Times New Roman" w:eastAsia="Times New Roman"/>
          <w:spacing w:val="-4"/>
        </w:rPr>
        <w:t>6</w:t>
      </w:r>
      <w:r>
        <w:rPr>
          <w:spacing w:val="-4"/>
        </w:rPr>
        <w:t>）</w:t>
      </w:r>
      <w:r>
        <w:rPr>
          <w:spacing w:val="-5"/>
        </w:rPr>
        <w:t>运行登记制度：应当详细记载每日收集、贮存、利用危险废物的类别、数量、</w:t>
      </w:r>
      <w:r>
        <w:rPr>
          <w:spacing w:val="-16"/>
        </w:rPr>
        <w:t>危险废物的最终去向、有无事故或其他异常情况等，并按危险废物转移联单的有关规定， 存档转移联单。</w:t>
      </w:r>
    </w:p>
    <w:p w14:paraId="69E66BC7">
      <w:pPr>
        <w:pStyle w:val="10"/>
        <w:spacing w:line="307" w:lineRule="exact"/>
        <w:ind w:left="718"/>
      </w:pPr>
      <w:r>
        <w:rPr>
          <w:rFonts w:ascii="Times New Roman" w:eastAsia="Times New Roman"/>
        </w:rPr>
        <w:t>3</w:t>
      </w:r>
      <w:r>
        <w:t>、检测、评价及评估制度</w:t>
      </w:r>
    </w:p>
    <w:p w14:paraId="67B811F3">
      <w:pPr>
        <w:pStyle w:val="10"/>
        <w:spacing w:before="182"/>
        <w:ind w:left="718"/>
      </w:pPr>
      <w:r>
        <w:t>（</w:t>
      </w:r>
      <w:r>
        <w:rPr>
          <w:rFonts w:ascii="Times New Roman" w:eastAsia="Times New Roman"/>
        </w:rPr>
        <w:t>1</w:t>
      </w:r>
      <w:r>
        <w:t>）定期对危险废物综合利用效果进行监测和评价，必要时应采取改进措施。</w:t>
      </w:r>
    </w:p>
    <w:p w14:paraId="5872174C">
      <w:pPr>
        <w:pStyle w:val="10"/>
        <w:spacing w:before="182" w:line="381" w:lineRule="auto"/>
        <w:ind w:left="238" w:right="358" w:firstLine="480"/>
      </w:pPr>
      <w:r>
        <w:t>（</w:t>
      </w:r>
      <w:r>
        <w:rPr>
          <w:rFonts w:ascii="Times New Roman" w:eastAsia="Times New Roman"/>
        </w:rPr>
        <w:t>2</w:t>
      </w:r>
      <w:r>
        <w:t>）定期对全厂的设施、设备运行及安全状况进行检测和评估，消除事故与全隐患。</w:t>
      </w:r>
    </w:p>
    <w:p w14:paraId="2F04942A">
      <w:pPr>
        <w:spacing w:after="0" w:line="381" w:lineRule="auto"/>
        <w:sectPr>
          <w:pgSz w:w="11910" w:h="16840"/>
          <w:pgMar w:top="1380" w:right="1060" w:bottom="900" w:left="1180" w:header="0" w:footer="712" w:gutter="0"/>
          <w:cols w:space="720" w:num="1"/>
        </w:sectPr>
      </w:pPr>
    </w:p>
    <w:p w14:paraId="32CD9B09">
      <w:pPr>
        <w:pStyle w:val="10"/>
        <w:spacing w:before="55" w:line="379" w:lineRule="auto"/>
        <w:ind w:left="238" w:right="358" w:firstLine="480"/>
      </w:pPr>
      <w:r>
        <w:t>（</w:t>
      </w:r>
      <w:r>
        <w:rPr>
          <w:rFonts w:ascii="Times New Roman" w:eastAsia="Times New Roman"/>
        </w:rPr>
        <w:t>3</w:t>
      </w:r>
      <w:r>
        <w:t>）定期对全厂的生产、管理程序及人员操作进行安全评估，必要时采取有效的改进措施。</w:t>
      </w:r>
    </w:p>
    <w:p w14:paraId="277086B7">
      <w:pPr>
        <w:pStyle w:val="10"/>
        <w:spacing w:before="5"/>
        <w:ind w:left="718"/>
      </w:pPr>
      <w:r>
        <w:rPr>
          <w:rFonts w:ascii="Times New Roman" w:eastAsia="Times New Roman"/>
        </w:rPr>
        <w:t>4</w:t>
      </w:r>
      <w:r>
        <w:t>、建立和完善档案管理制度</w:t>
      </w:r>
    </w:p>
    <w:p w14:paraId="3C6A1ECE">
      <w:pPr>
        <w:pStyle w:val="10"/>
        <w:spacing w:before="182" w:line="381" w:lineRule="auto"/>
        <w:ind w:left="238" w:right="237" w:firstLine="480"/>
      </w:pPr>
      <w:r>
        <w:rPr>
          <w:spacing w:val="-5"/>
        </w:rPr>
        <w:t>（</w:t>
      </w:r>
      <w:r>
        <w:rPr>
          <w:rFonts w:ascii="Times New Roman" w:eastAsia="Times New Roman"/>
          <w:spacing w:val="-5"/>
        </w:rPr>
        <w:t>1</w:t>
      </w:r>
      <w:r>
        <w:rPr>
          <w:spacing w:val="-5"/>
        </w:rPr>
        <w:t>）</w:t>
      </w:r>
      <w:r>
        <w:rPr>
          <w:spacing w:val="-4"/>
        </w:rPr>
        <w:t>严格执行国家《危险废物经营许可证管理办法》和《危险废物转移管理办法》</w:t>
      </w:r>
      <w:r>
        <w:rPr>
          <w:spacing w:val="-8"/>
        </w:rPr>
        <w:t>等规定，建立和完善档案管理制度。应当详细记载每日收集、贮存、利用或处置危险废</w:t>
      </w:r>
      <w:r>
        <w:rPr>
          <w:spacing w:val="-6"/>
        </w:rPr>
        <w:t>物的类别、数量、危险废物的最 终去向、有无事故或其他异常情况等，并按照危险废</w:t>
      </w:r>
      <w:r>
        <w:rPr>
          <w:spacing w:val="-9"/>
        </w:rPr>
        <w:t>物转移联单的有关规定，保管需存档的转移联单。危险废物经营活动记录档案和危险废</w:t>
      </w:r>
      <w:r>
        <w:rPr>
          <w:spacing w:val="-14"/>
        </w:rPr>
        <w:t xml:space="preserve">物经营活动情况报告与转移联单同 期保存，危险废物经费情况记录簿应保存期 </w:t>
      </w:r>
      <w:r>
        <w:rPr>
          <w:rFonts w:ascii="Times New Roman" w:eastAsia="Times New Roman"/>
        </w:rPr>
        <w:t xml:space="preserve">10 </w:t>
      </w:r>
      <w:r>
        <w:t>年以上。</w:t>
      </w:r>
    </w:p>
    <w:p w14:paraId="2A5347F6">
      <w:pPr>
        <w:pStyle w:val="10"/>
        <w:spacing w:line="307" w:lineRule="exact"/>
        <w:ind w:left="718"/>
      </w:pPr>
      <w:r>
        <w:t>（</w:t>
      </w:r>
      <w:r>
        <w:rPr>
          <w:rFonts w:ascii="Times New Roman" w:eastAsia="Times New Roman"/>
        </w:rPr>
        <w:t>2</w:t>
      </w:r>
      <w:r>
        <w:t>）档案管理制度</w:t>
      </w:r>
    </w:p>
    <w:p w14:paraId="65D92CEA">
      <w:pPr>
        <w:pStyle w:val="10"/>
        <w:spacing w:before="182" w:line="381" w:lineRule="auto"/>
        <w:ind w:left="238" w:right="305" w:firstLine="480"/>
        <w:jc w:val="both"/>
      </w:pPr>
      <w:r>
        <w:t>主要内容包括：危险废物转移联单记录；危险废物接收登记记录；危险废物进厂运输车车牌号、来源、重量、进场时间、离场时间等；生产设施运行工艺控制参数记录； 生产设施维修情况记录；环境监测数据的记录；生产事故及处置情况记录。</w:t>
      </w:r>
    </w:p>
    <w:p w14:paraId="7B59BCDA">
      <w:pPr>
        <w:pStyle w:val="10"/>
        <w:spacing w:line="307" w:lineRule="exact"/>
        <w:ind w:left="718"/>
      </w:pPr>
      <w:r>
        <w:rPr>
          <w:rFonts w:ascii="Times New Roman" w:eastAsia="Times New Roman"/>
        </w:rPr>
        <w:t>5</w:t>
      </w:r>
      <w:r>
        <w:t>、人员培训制度</w:t>
      </w:r>
    </w:p>
    <w:p w14:paraId="08158369">
      <w:pPr>
        <w:pStyle w:val="10"/>
        <w:spacing w:before="182" w:line="381" w:lineRule="auto"/>
        <w:ind w:left="238" w:right="358" w:firstLine="480"/>
      </w:pPr>
      <w:r>
        <w:t>（</w:t>
      </w:r>
      <w:r>
        <w:rPr>
          <w:rFonts w:ascii="Times New Roman" w:eastAsia="Times New Roman"/>
        </w:rPr>
        <w:t>1</w:t>
      </w:r>
      <w:r>
        <w:t>）公司应对管理人员、技术人员、操作人员进行相关法律法规和专业技术、安全防护、紧急处理等理论知识和操作技能培训。</w:t>
      </w:r>
    </w:p>
    <w:p w14:paraId="0662EFFE">
      <w:pPr>
        <w:pStyle w:val="10"/>
        <w:spacing w:before="1" w:line="381" w:lineRule="auto"/>
        <w:ind w:left="238" w:right="357" w:firstLine="480"/>
        <w:jc w:val="both"/>
      </w:pPr>
      <w:r>
        <w:t>（</w:t>
      </w:r>
      <w:r>
        <w:rPr>
          <w:rFonts w:ascii="Times New Roman" w:eastAsia="Times New Roman"/>
        </w:rPr>
        <w:t>2</w:t>
      </w:r>
      <w:r>
        <w:t>）培训应包括：熟悉有关危险废物管理的法律和规章制度；了解危险废物危险</w:t>
      </w:r>
      <w:r>
        <w:rPr>
          <w:spacing w:val="-5"/>
        </w:rPr>
        <w:t>性方面的知识；明确危险废物回收利用、安全处理和环境保护的重要意义；熟悉危险废</w:t>
      </w:r>
      <w:r>
        <w:rPr>
          <w:spacing w:val="-9"/>
        </w:rPr>
        <w:t>物的分类和包装标识；熟悉危险废物综合利用设施运作的工艺流程；掌握劳动安全防护设施、设备使用的知识 和个人卫生措施；熟悉处理泄漏和其它事故的应急操作程序。</w:t>
      </w:r>
    </w:p>
    <w:p w14:paraId="1E209138">
      <w:pPr>
        <w:pStyle w:val="10"/>
        <w:spacing w:before="1"/>
        <w:ind w:left="718"/>
      </w:pPr>
      <w:r>
        <w:rPr>
          <w:rFonts w:ascii="Times New Roman" w:eastAsia="Times New Roman"/>
        </w:rPr>
        <w:t>6</w:t>
      </w:r>
      <w:r>
        <w:t>、建立风险故防范与应急制度</w:t>
      </w:r>
    </w:p>
    <w:p w14:paraId="003AB6BC">
      <w:pPr>
        <w:pStyle w:val="10"/>
        <w:spacing w:before="179" w:line="381" w:lineRule="auto"/>
        <w:ind w:left="238" w:right="356" w:firstLine="480"/>
      </w:pPr>
      <w:r>
        <w:t>应对废物处理全过程中每一个环节可能发生风险 事故的原因、类型及其危害进行识别，采取各种有效措施防范风险事故的发生，并制订和演练风险事故应急预案。</w:t>
      </w:r>
    </w:p>
    <w:p w14:paraId="1C4B00E0">
      <w:pPr>
        <w:pStyle w:val="10"/>
        <w:rPr>
          <w:sz w:val="29"/>
        </w:rPr>
      </w:pPr>
    </w:p>
    <w:p w14:paraId="2DAFFF9E">
      <w:pPr>
        <w:pStyle w:val="3"/>
        <w:numPr>
          <w:ilvl w:val="1"/>
          <w:numId w:val="30"/>
        </w:numPr>
        <w:tabs>
          <w:tab w:val="left" w:pos="688"/>
        </w:tabs>
        <w:spacing w:before="0" w:after="0" w:line="240" w:lineRule="auto"/>
        <w:ind w:left="687" w:right="0" w:hanging="449"/>
        <w:jc w:val="left"/>
      </w:pPr>
      <w:bookmarkStart w:id="42" w:name="_TOC_250013"/>
      <w:bookmarkEnd w:id="42"/>
      <w:r>
        <w:t>监测计划</w:t>
      </w:r>
    </w:p>
    <w:p w14:paraId="4362515F">
      <w:pPr>
        <w:pStyle w:val="16"/>
        <w:numPr>
          <w:ilvl w:val="2"/>
          <w:numId w:val="30"/>
        </w:numPr>
        <w:tabs>
          <w:tab w:val="left" w:pos="868"/>
        </w:tabs>
        <w:spacing w:before="279" w:after="0" w:line="240" w:lineRule="auto"/>
        <w:ind w:left="867" w:right="0" w:hanging="629"/>
        <w:jc w:val="left"/>
        <w:rPr>
          <w:b/>
          <w:sz w:val="28"/>
        </w:rPr>
      </w:pPr>
      <w:r>
        <w:rPr>
          <w:b/>
          <w:sz w:val="28"/>
        </w:rPr>
        <w:t>监测要求和内容</w:t>
      </w:r>
    </w:p>
    <w:p w14:paraId="3087BF28">
      <w:pPr>
        <w:pStyle w:val="10"/>
        <w:spacing w:before="238" w:line="381" w:lineRule="auto"/>
        <w:ind w:left="238" w:right="294" w:firstLine="480"/>
      </w:pPr>
      <w:r>
        <w:t>环境监测是环境保护的基本手段，也是掌握环境污染状况，制定环境质量的重要手段。因此负责环境管理人员的另一项任务是负责环境监测工作，主要负责与环保管理部</w:t>
      </w:r>
    </w:p>
    <w:p w14:paraId="2555230D">
      <w:pPr>
        <w:spacing w:after="0" w:line="381" w:lineRule="auto"/>
        <w:sectPr>
          <w:pgSz w:w="11910" w:h="16840"/>
          <w:pgMar w:top="1380" w:right="1060" w:bottom="900" w:left="1180" w:header="0" w:footer="712" w:gutter="0"/>
          <w:cols w:space="720" w:num="1"/>
        </w:sectPr>
      </w:pPr>
    </w:p>
    <w:p w14:paraId="788534A0">
      <w:pPr>
        <w:pStyle w:val="10"/>
        <w:spacing w:before="55" w:line="381" w:lineRule="auto"/>
        <w:ind w:left="238" w:right="357"/>
        <w:jc w:val="both"/>
      </w:pPr>
      <w:r>
        <w:rPr>
          <w:spacing w:val="-7"/>
        </w:rPr>
        <w:t>门联系，安排监测时间、监测项目、统计监测结果，分析污染物排放变化规律，研究降</w:t>
      </w:r>
      <w:r>
        <w:rPr>
          <w:spacing w:val="-9"/>
        </w:rPr>
        <w:t>低污染对策等，作为企业防治环境污染和治理措施提供必要的依据，同时也是企业企业环境保护资料统计上报、查阅、管理等必须做的工作内容之一。</w:t>
      </w:r>
    </w:p>
    <w:p w14:paraId="31B31706">
      <w:pPr>
        <w:pStyle w:val="16"/>
        <w:numPr>
          <w:ilvl w:val="2"/>
          <w:numId w:val="30"/>
        </w:numPr>
        <w:tabs>
          <w:tab w:val="left" w:pos="868"/>
        </w:tabs>
        <w:spacing w:before="55" w:after="0" w:line="240" w:lineRule="auto"/>
        <w:ind w:left="867" w:right="0" w:hanging="629"/>
        <w:jc w:val="left"/>
        <w:rPr>
          <w:b/>
          <w:sz w:val="28"/>
        </w:rPr>
      </w:pPr>
      <w:r>
        <w:rPr>
          <w:b/>
          <w:sz w:val="28"/>
        </w:rPr>
        <w:t>环境监测计划</w:t>
      </w:r>
    </w:p>
    <w:p w14:paraId="19468698">
      <w:pPr>
        <w:pStyle w:val="10"/>
        <w:spacing w:before="236" w:line="381" w:lineRule="auto"/>
        <w:ind w:left="238" w:right="357" w:firstLine="480"/>
        <w:jc w:val="both"/>
      </w:pPr>
      <w:r>
        <w:rPr>
          <w:spacing w:val="-7"/>
        </w:rPr>
        <w:t xml:space="preserve">本项目生产区设置 </w:t>
      </w:r>
      <w:r>
        <w:rPr>
          <w:rFonts w:ascii="Times New Roman" w:hAnsi="Times New Roman" w:eastAsia="Times New Roman"/>
        </w:rPr>
        <w:t xml:space="preserve">2 </w:t>
      </w:r>
      <w:r>
        <w:rPr>
          <w:spacing w:val="-18"/>
        </w:rPr>
        <w:t>个废气排气筒，废水排放口依托中塑现有废水排放口。根据《排</w:t>
      </w:r>
      <w:r>
        <w:rPr>
          <w:spacing w:val="-11"/>
        </w:rPr>
        <w:t>污许可证申请与核发技术规范 总则》</w:t>
      </w:r>
      <w:r>
        <w:t>（</w:t>
      </w:r>
      <w:r>
        <w:rPr>
          <w:rFonts w:ascii="Times New Roman" w:hAnsi="Times New Roman" w:eastAsia="Times New Roman"/>
        </w:rPr>
        <w:t>HJ942-2018</w:t>
      </w:r>
      <w:r>
        <w:t>）、《排污许可证申请与核发技术规范 橡胶与塑料制品工业》（</w:t>
      </w:r>
      <w:r>
        <w:rPr>
          <w:rFonts w:ascii="Times New Roman" w:hAnsi="Times New Roman" w:eastAsia="Times New Roman"/>
        </w:rPr>
        <w:t>HJ1122-2020</w:t>
      </w:r>
      <w:r>
        <w:t>）、《排污单位自行监测技术指南 橡胶和塑料制品》（</w:t>
      </w:r>
      <w:r>
        <w:rPr>
          <w:rFonts w:ascii="Times New Roman" w:hAnsi="Times New Roman" w:eastAsia="Times New Roman"/>
        </w:rPr>
        <w:t>HJ 1207</w:t>
      </w:r>
      <w:r>
        <w:t>—</w:t>
      </w:r>
      <w:r>
        <w:rPr>
          <w:rFonts w:ascii="Times New Roman" w:hAnsi="Times New Roman" w:eastAsia="Times New Roman"/>
        </w:rPr>
        <w:t>2021</w:t>
      </w:r>
      <w:r>
        <w:t>），建设单位应对项目排放的废气、废水、厂界噪声、大</w:t>
      </w:r>
      <w:r>
        <w:rPr>
          <w:spacing w:val="-3"/>
        </w:rPr>
        <w:t>气环境及地下水环境进行自行监测。采样口及采样平台应按《固定污染源排气中颗粒物</w:t>
      </w:r>
      <w:r>
        <w:rPr>
          <w:spacing w:val="10"/>
        </w:rPr>
        <w:t>测定与气态污染物采样方法》</w:t>
      </w:r>
      <w:r>
        <w:rPr>
          <w:spacing w:val="1"/>
        </w:rPr>
        <w:t>（</w:t>
      </w:r>
      <w:r>
        <w:rPr>
          <w:rFonts w:ascii="Times New Roman" w:hAnsi="Times New Roman" w:eastAsia="Times New Roman"/>
          <w:spacing w:val="1"/>
        </w:rPr>
        <w:t>GB/T16157-1996</w:t>
      </w:r>
      <w:r>
        <w:rPr>
          <w:spacing w:val="1"/>
        </w:rPr>
        <w:t>）</w:t>
      </w:r>
      <w:r>
        <w:rPr>
          <w:spacing w:val="10"/>
        </w:rPr>
        <w:t>及《固定源废气监测技术规范》</w:t>
      </w:r>
    </w:p>
    <w:p w14:paraId="39106347">
      <w:pPr>
        <w:pStyle w:val="10"/>
        <w:spacing w:before="2" w:line="381" w:lineRule="auto"/>
        <w:ind w:left="238" w:right="357"/>
        <w:jc w:val="both"/>
      </w:pPr>
      <w:r>
        <w:rPr>
          <w:spacing w:val="-1"/>
        </w:rPr>
        <w:t>（</w:t>
      </w:r>
      <w:r>
        <w:rPr>
          <w:rFonts w:ascii="Times New Roman" w:eastAsia="Times New Roman"/>
          <w:spacing w:val="-1"/>
        </w:rPr>
        <w:t>HJ/T397-2007</w:t>
      </w:r>
      <w:r>
        <w:rPr>
          <w:spacing w:val="-1"/>
        </w:rPr>
        <w:t>）</w:t>
      </w:r>
      <w:r>
        <w:rPr>
          <w:spacing w:val="-2"/>
        </w:rPr>
        <w:t>等标准规范要求进行；无组织排放源监测按照《大气污染物无组织排放监测技术导则》（</w:t>
      </w:r>
      <w:r>
        <w:rPr>
          <w:rFonts w:ascii="Times New Roman" w:eastAsia="Times New Roman"/>
          <w:spacing w:val="-2"/>
        </w:rPr>
        <w:t>HJ/T55-2000</w:t>
      </w:r>
      <w:r>
        <w:rPr>
          <w:spacing w:val="-2"/>
        </w:rPr>
        <w:t>）中的相关要求进行设置。</w:t>
      </w:r>
    </w:p>
    <w:p w14:paraId="0479C699">
      <w:pPr>
        <w:pStyle w:val="10"/>
        <w:spacing w:line="306" w:lineRule="exact"/>
        <w:ind w:left="718"/>
      </w:pPr>
      <w:r>
        <w:t>项目监测计划详见下表。</w:t>
      </w:r>
    </w:p>
    <w:p w14:paraId="52568275">
      <w:pPr>
        <w:pStyle w:val="9"/>
        <w:spacing w:before="182"/>
        <w:ind w:left="1100" w:right="1222"/>
        <w:jc w:val="center"/>
      </w:pPr>
      <w:r>
        <w:t xml:space="preserve">表 </w:t>
      </w:r>
      <w:r>
        <w:rPr>
          <w:rFonts w:ascii="Times New Roman" w:eastAsia="Times New Roman"/>
        </w:rPr>
        <w:t xml:space="preserve">7.2-1 </w:t>
      </w:r>
      <w:r>
        <w:t>营运期环境监测计划</w:t>
      </w:r>
    </w:p>
    <w:p w14:paraId="29C2973C">
      <w:pPr>
        <w:pStyle w:val="10"/>
        <w:spacing w:before="1"/>
        <w:rPr>
          <w:b/>
          <w:sz w:val="7"/>
        </w:rPr>
      </w:pPr>
    </w:p>
    <w:tbl>
      <w:tblPr>
        <w:tblStyle w:val="13"/>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030"/>
        <w:gridCol w:w="1413"/>
        <w:gridCol w:w="1287"/>
        <w:gridCol w:w="1201"/>
        <w:gridCol w:w="2815"/>
      </w:tblGrid>
      <w:tr w14:paraId="1373A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533" w:type="dxa"/>
            <w:tcBorders>
              <w:left w:val="nil"/>
            </w:tcBorders>
          </w:tcPr>
          <w:p w14:paraId="751D0AA1">
            <w:pPr>
              <w:pStyle w:val="17"/>
              <w:spacing w:before="27"/>
              <w:ind w:left="165"/>
              <w:jc w:val="left"/>
              <w:rPr>
                <w:sz w:val="21"/>
              </w:rPr>
            </w:pPr>
            <w:r>
              <w:rPr>
                <w:w w:val="99"/>
                <w:sz w:val="21"/>
              </w:rPr>
              <w:t>类</w:t>
            </w:r>
          </w:p>
          <w:p w14:paraId="702C1736">
            <w:pPr>
              <w:pStyle w:val="17"/>
              <w:spacing w:before="57"/>
              <w:ind w:left="165"/>
              <w:jc w:val="left"/>
              <w:rPr>
                <w:sz w:val="21"/>
              </w:rPr>
            </w:pPr>
            <w:r>
              <w:rPr>
                <w:w w:val="99"/>
                <w:sz w:val="21"/>
              </w:rPr>
              <w:t>别</w:t>
            </w:r>
          </w:p>
        </w:tc>
        <w:tc>
          <w:tcPr>
            <w:tcW w:w="2030" w:type="dxa"/>
          </w:tcPr>
          <w:p w14:paraId="14A5E423">
            <w:pPr>
              <w:pStyle w:val="17"/>
              <w:spacing w:before="11"/>
              <w:jc w:val="left"/>
              <w:rPr>
                <w:b/>
                <w:sz w:val="14"/>
              </w:rPr>
            </w:pPr>
          </w:p>
          <w:p w14:paraId="46B1FD06">
            <w:pPr>
              <w:pStyle w:val="17"/>
              <w:ind w:left="48" w:right="42"/>
              <w:rPr>
                <w:sz w:val="21"/>
              </w:rPr>
            </w:pPr>
            <w:r>
              <w:rPr>
                <w:sz w:val="21"/>
              </w:rPr>
              <w:t>监测点位</w:t>
            </w:r>
          </w:p>
        </w:tc>
        <w:tc>
          <w:tcPr>
            <w:tcW w:w="1413" w:type="dxa"/>
          </w:tcPr>
          <w:p w14:paraId="2870F259">
            <w:pPr>
              <w:pStyle w:val="17"/>
              <w:spacing w:before="11"/>
              <w:jc w:val="left"/>
              <w:rPr>
                <w:b/>
                <w:sz w:val="14"/>
              </w:rPr>
            </w:pPr>
          </w:p>
          <w:p w14:paraId="70DC8F64">
            <w:pPr>
              <w:pStyle w:val="17"/>
              <w:ind w:left="134" w:right="129"/>
              <w:rPr>
                <w:sz w:val="21"/>
              </w:rPr>
            </w:pPr>
            <w:r>
              <w:rPr>
                <w:sz w:val="21"/>
              </w:rPr>
              <w:t>监测因子</w:t>
            </w:r>
          </w:p>
        </w:tc>
        <w:tc>
          <w:tcPr>
            <w:tcW w:w="1287" w:type="dxa"/>
          </w:tcPr>
          <w:p w14:paraId="4BFAFC7E">
            <w:pPr>
              <w:pStyle w:val="17"/>
              <w:spacing w:before="11"/>
              <w:jc w:val="left"/>
              <w:rPr>
                <w:b/>
                <w:sz w:val="14"/>
              </w:rPr>
            </w:pPr>
          </w:p>
          <w:p w14:paraId="5C9B88BB">
            <w:pPr>
              <w:pStyle w:val="17"/>
              <w:ind w:left="202" w:right="195"/>
              <w:rPr>
                <w:sz w:val="21"/>
              </w:rPr>
            </w:pPr>
            <w:r>
              <w:rPr>
                <w:sz w:val="21"/>
              </w:rPr>
              <w:t>监测设施</w:t>
            </w:r>
          </w:p>
        </w:tc>
        <w:tc>
          <w:tcPr>
            <w:tcW w:w="1201" w:type="dxa"/>
          </w:tcPr>
          <w:p w14:paraId="4C5B1E82">
            <w:pPr>
              <w:pStyle w:val="17"/>
              <w:spacing w:before="11"/>
              <w:jc w:val="left"/>
              <w:rPr>
                <w:b/>
                <w:sz w:val="14"/>
              </w:rPr>
            </w:pPr>
          </w:p>
          <w:p w14:paraId="743338B4">
            <w:pPr>
              <w:pStyle w:val="17"/>
              <w:ind w:left="155" w:right="149"/>
              <w:rPr>
                <w:sz w:val="21"/>
              </w:rPr>
            </w:pPr>
            <w:r>
              <w:rPr>
                <w:sz w:val="21"/>
              </w:rPr>
              <w:t>监测频率</w:t>
            </w:r>
          </w:p>
        </w:tc>
        <w:tc>
          <w:tcPr>
            <w:tcW w:w="2815" w:type="dxa"/>
            <w:tcBorders>
              <w:right w:val="nil"/>
            </w:tcBorders>
          </w:tcPr>
          <w:p w14:paraId="6AB1C31A">
            <w:pPr>
              <w:pStyle w:val="17"/>
              <w:spacing w:before="11"/>
              <w:jc w:val="left"/>
              <w:rPr>
                <w:b/>
                <w:sz w:val="14"/>
              </w:rPr>
            </w:pPr>
          </w:p>
          <w:p w14:paraId="064CAD48">
            <w:pPr>
              <w:pStyle w:val="17"/>
              <w:ind w:left="87" w:right="85"/>
              <w:rPr>
                <w:sz w:val="21"/>
              </w:rPr>
            </w:pPr>
            <w:r>
              <w:rPr>
                <w:sz w:val="21"/>
              </w:rPr>
              <w:t>执行标准</w:t>
            </w:r>
          </w:p>
        </w:tc>
      </w:tr>
      <w:tr w14:paraId="091E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533" w:type="dxa"/>
            <w:vMerge w:val="restart"/>
            <w:tcBorders>
              <w:left w:val="nil"/>
            </w:tcBorders>
          </w:tcPr>
          <w:p w14:paraId="79A0CFF9">
            <w:pPr>
              <w:pStyle w:val="17"/>
              <w:jc w:val="left"/>
              <w:rPr>
                <w:b/>
                <w:sz w:val="20"/>
              </w:rPr>
            </w:pPr>
          </w:p>
          <w:p w14:paraId="03440F44">
            <w:pPr>
              <w:pStyle w:val="17"/>
              <w:jc w:val="left"/>
              <w:rPr>
                <w:b/>
                <w:sz w:val="20"/>
              </w:rPr>
            </w:pPr>
          </w:p>
          <w:p w14:paraId="1949D0E1">
            <w:pPr>
              <w:pStyle w:val="17"/>
              <w:jc w:val="left"/>
              <w:rPr>
                <w:b/>
                <w:sz w:val="20"/>
              </w:rPr>
            </w:pPr>
          </w:p>
          <w:p w14:paraId="3DCE6D05">
            <w:pPr>
              <w:pStyle w:val="17"/>
              <w:jc w:val="left"/>
              <w:rPr>
                <w:b/>
                <w:sz w:val="20"/>
              </w:rPr>
            </w:pPr>
          </w:p>
          <w:p w14:paraId="7B3E45C0">
            <w:pPr>
              <w:pStyle w:val="17"/>
              <w:jc w:val="left"/>
              <w:rPr>
                <w:b/>
                <w:sz w:val="20"/>
              </w:rPr>
            </w:pPr>
          </w:p>
          <w:p w14:paraId="34D61738">
            <w:pPr>
              <w:pStyle w:val="17"/>
              <w:jc w:val="left"/>
              <w:rPr>
                <w:b/>
                <w:sz w:val="20"/>
              </w:rPr>
            </w:pPr>
          </w:p>
          <w:p w14:paraId="0860CADE">
            <w:pPr>
              <w:pStyle w:val="17"/>
              <w:jc w:val="left"/>
              <w:rPr>
                <w:b/>
                <w:sz w:val="20"/>
              </w:rPr>
            </w:pPr>
          </w:p>
          <w:p w14:paraId="77893E2F">
            <w:pPr>
              <w:pStyle w:val="17"/>
              <w:jc w:val="left"/>
              <w:rPr>
                <w:b/>
                <w:sz w:val="20"/>
              </w:rPr>
            </w:pPr>
          </w:p>
          <w:p w14:paraId="131AC2C3">
            <w:pPr>
              <w:pStyle w:val="17"/>
              <w:jc w:val="left"/>
              <w:rPr>
                <w:b/>
                <w:sz w:val="20"/>
              </w:rPr>
            </w:pPr>
          </w:p>
          <w:p w14:paraId="5EB3F96E">
            <w:pPr>
              <w:pStyle w:val="17"/>
              <w:jc w:val="left"/>
              <w:rPr>
                <w:b/>
                <w:sz w:val="20"/>
              </w:rPr>
            </w:pPr>
          </w:p>
          <w:p w14:paraId="0EDE46B4">
            <w:pPr>
              <w:pStyle w:val="17"/>
              <w:spacing w:before="2"/>
              <w:jc w:val="left"/>
              <w:rPr>
                <w:b/>
                <w:sz w:val="23"/>
              </w:rPr>
            </w:pPr>
          </w:p>
          <w:p w14:paraId="21414509">
            <w:pPr>
              <w:pStyle w:val="17"/>
              <w:spacing w:line="290" w:lineRule="auto"/>
              <w:ind w:left="165" w:right="151"/>
              <w:jc w:val="left"/>
              <w:rPr>
                <w:sz w:val="21"/>
              </w:rPr>
            </w:pPr>
            <w:r>
              <w:rPr>
                <w:sz w:val="21"/>
              </w:rPr>
              <w:t>废气</w:t>
            </w:r>
          </w:p>
        </w:tc>
        <w:tc>
          <w:tcPr>
            <w:tcW w:w="2030" w:type="dxa"/>
          </w:tcPr>
          <w:p w14:paraId="6C7E596C">
            <w:pPr>
              <w:pStyle w:val="17"/>
              <w:jc w:val="left"/>
              <w:rPr>
                <w:b/>
                <w:sz w:val="20"/>
              </w:rPr>
            </w:pPr>
          </w:p>
          <w:p w14:paraId="1131DA91">
            <w:pPr>
              <w:pStyle w:val="17"/>
              <w:spacing w:before="4"/>
              <w:jc w:val="left"/>
              <w:rPr>
                <w:b/>
                <w:sz w:val="20"/>
              </w:rPr>
            </w:pPr>
          </w:p>
          <w:p w14:paraId="3B05072B">
            <w:pPr>
              <w:pStyle w:val="17"/>
              <w:ind w:left="48" w:right="42"/>
              <w:rPr>
                <w:sz w:val="21"/>
              </w:rPr>
            </w:pPr>
            <w:r>
              <w:rPr>
                <w:sz w:val="21"/>
              </w:rPr>
              <w:t>破碎、投料混料工序</w:t>
            </w:r>
          </w:p>
        </w:tc>
        <w:tc>
          <w:tcPr>
            <w:tcW w:w="1413" w:type="dxa"/>
          </w:tcPr>
          <w:p w14:paraId="68949108">
            <w:pPr>
              <w:pStyle w:val="17"/>
              <w:jc w:val="left"/>
              <w:rPr>
                <w:b/>
                <w:sz w:val="20"/>
              </w:rPr>
            </w:pPr>
          </w:p>
          <w:p w14:paraId="08CE0831">
            <w:pPr>
              <w:pStyle w:val="17"/>
              <w:spacing w:before="4"/>
              <w:jc w:val="left"/>
              <w:rPr>
                <w:b/>
                <w:sz w:val="20"/>
              </w:rPr>
            </w:pPr>
          </w:p>
          <w:p w14:paraId="438B6683">
            <w:pPr>
              <w:pStyle w:val="17"/>
              <w:ind w:left="136" w:right="129"/>
              <w:rPr>
                <w:sz w:val="21"/>
              </w:rPr>
            </w:pPr>
            <w:r>
              <w:rPr>
                <w:sz w:val="21"/>
              </w:rPr>
              <w:t>颗粒物</w:t>
            </w:r>
          </w:p>
        </w:tc>
        <w:tc>
          <w:tcPr>
            <w:tcW w:w="1287" w:type="dxa"/>
          </w:tcPr>
          <w:p w14:paraId="0D41C32D">
            <w:pPr>
              <w:pStyle w:val="17"/>
              <w:jc w:val="left"/>
              <w:rPr>
                <w:b/>
                <w:sz w:val="20"/>
              </w:rPr>
            </w:pPr>
          </w:p>
          <w:p w14:paraId="2800BB9D">
            <w:pPr>
              <w:pStyle w:val="17"/>
              <w:spacing w:before="4"/>
              <w:jc w:val="left"/>
              <w:rPr>
                <w:b/>
                <w:sz w:val="20"/>
              </w:rPr>
            </w:pPr>
          </w:p>
          <w:p w14:paraId="0A2931AA">
            <w:pPr>
              <w:pStyle w:val="17"/>
              <w:ind w:left="202" w:right="195"/>
              <w:rPr>
                <w:sz w:val="21"/>
              </w:rPr>
            </w:pPr>
            <w:r>
              <w:rPr>
                <w:sz w:val="21"/>
              </w:rPr>
              <w:t>手工监测</w:t>
            </w:r>
          </w:p>
        </w:tc>
        <w:tc>
          <w:tcPr>
            <w:tcW w:w="1201" w:type="dxa"/>
          </w:tcPr>
          <w:p w14:paraId="2EF0A1FE">
            <w:pPr>
              <w:pStyle w:val="17"/>
              <w:jc w:val="left"/>
              <w:rPr>
                <w:b/>
                <w:sz w:val="22"/>
              </w:rPr>
            </w:pPr>
          </w:p>
          <w:p w14:paraId="5643598C">
            <w:pPr>
              <w:pStyle w:val="17"/>
              <w:spacing w:before="4"/>
              <w:jc w:val="left"/>
              <w:rPr>
                <w:b/>
                <w:sz w:val="18"/>
              </w:rPr>
            </w:pPr>
          </w:p>
          <w:p w14:paraId="337D24BE">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657AA481">
            <w:pPr>
              <w:pStyle w:val="17"/>
              <w:spacing w:before="27" w:line="290" w:lineRule="auto"/>
              <w:ind w:left="106" w:right="101" w:firstLine="4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13"/>
                <w:sz w:val="21"/>
              </w:rPr>
              <w:t>》</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4</w:t>
            </w:r>
            <w:r>
              <w:rPr>
                <w:rFonts w:ascii="Times New Roman" w:eastAsia="Times New Roman"/>
                <w:spacing w:val="-9"/>
                <w:sz w:val="21"/>
              </w:rPr>
              <w:t xml:space="preserve"> </w:t>
            </w:r>
            <w:r>
              <w:rPr>
                <w:sz w:val="21"/>
              </w:rPr>
              <w:t>大气污</w:t>
            </w:r>
          </w:p>
          <w:p w14:paraId="7C64FEED">
            <w:pPr>
              <w:pStyle w:val="17"/>
              <w:spacing w:before="3"/>
              <w:ind w:left="567"/>
              <w:jc w:val="left"/>
              <w:rPr>
                <w:sz w:val="21"/>
              </w:rPr>
            </w:pPr>
            <w:r>
              <w:rPr>
                <w:sz w:val="21"/>
              </w:rPr>
              <w:t>染物排放限值要求</w:t>
            </w:r>
          </w:p>
        </w:tc>
      </w:tr>
      <w:tr w14:paraId="693BC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3" w:type="dxa"/>
            <w:vMerge w:val="continue"/>
            <w:tcBorders>
              <w:top w:val="nil"/>
              <w:left w:val="nil"/>
            </w:tcBorders>
          </w:tcPr>
          <w:p w14:paraId="397A1EF4">
            <w:pPr>
              <w:rPr>
                <w:sz w:val="2"/>
                <w:szCs w:val="2"/>
              </w:rPr>
            </w:pPr>
          </w:p>
        </w:tc>
        <w:tc>
          <w:tcPr>
            <w:tcW w:w="2030" w:type="dxa"/>
            <w:vMerge w:val="restart"/>
          </w:tcPr>
          <w:p w14:paraId="096722BD">
            <w:pPr>
              <w:pStyle w:val="17"/>
              <w:jc w:val="left"/>
              <w:rPr>
                <w:b/>
                <w:sz w:val="20"/>
              </w:rPr>
            </w:pPr>
          </w:p>
          <w:p w14:paraId="37ED6B29">
            <w:pPr>
              <w:pStyle w:val="17"/>
              <w:jc w:val="left"/>
              <w:rPr>
                <w:b/>
                <w:sz w:val="20"/>
              </w:rPr>
            </w:pPr>
          </w:p>
          <w:p w14:paraId="2B41D1D5">
            <w:pPr>
              <w:pStyle w:val="17"/>
              <w:spacing w:before="1"/>
              <w:jc w:val="left"/>
              <w:rPr>
                <w:b/>
                <w:sz w:val="26"/>
              </w:rPr>
            </w:pPr>
          </w:p>
          <w:p w14:paraId="63311B1C">
            <w:pPr>
              <w:pStyle w:val="17"/>
              <w:spacing w:line="290" w:lineRule="auto"/>
              <w:ind w:left="594" w:right="98" w:hanging="488"/>
              <w:jc w:val="left"/>
              <w:rPr>
                <w:sz w:val="21"/>
              </w:rPr>
            </w:pPr>
            <w:r>
              <w:rPr>
                <w:w w:val="95"/>
                <w:sz w:val="21"/>
              </w:rPr>
              <w:t>挤出造粒、挤出注塑</w:t>
            </w:r>
            <w:r>
              <w:rPr>
                <w:sz w:val="21"/>
              </w:rPr>
              <w:t>工序废气</w:t>
            </w:r>
          </w:p>
        </w:tc>
        <w:tc>
          <w:tcPr>
            <w:tcW w:w="1413" w:type="dxa"/>
          </w:tcPr>
          <w:p w14:paraId="0408AA4F">
            <w:pPr>
              <w:pStyle w:val="17"/>
              <w:spacing w:before="62"/>
              <w:ind w:left="136" w:right="129"/>
              <w:rPr>
                <w:sz w:val="21"/>
              </w:rPr>
            </w:pPr>
            <w:r>
              <w:rPr>
                <w:sz w:val="21"/>
              </w:rPr>
              <w:t>颗粒物</w:t>
            </w:r>
          </w:p>
        </w:tc>
        <w:tc>
          <w:tcPr>
            <w:tcW w:w="1287" w:type="dxa"/>
          </w:tcPr>
          <w:p w14:paraId="61F9F97D">
            <w:pPr>
              <w:pStyle w:val="17"/>
              <w:spacing w:before="62"/>
              <w:ind w:left="202" w:right="195"/>
              <w:rPr>
                <w:sz w:val="21"/>
              </w:rPr>
            </w:pPr>
            <w:r>
              <w:rPr>
                <w:sz w:val="21"/>
              </w:rPr>
              <w:t>手工监测</w:t>
            </w:r>
          </w:p>
        </w:tc>
        <w:tc>
          <w:tcPr>
            <w:tcW w:w="1201" w:type="dxa"/>
          </w:tcPr>
          <w:p w14:paraId="42B937B9">
            <w:pPr>
              <w:pStyle w:val="17"/>
              <w:spacing w:before="62"/>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vMerge w:val="restart"/>
            <w:tcBorders>
              <w:right w:val="nil"/>
            </w:tcBorders>
          </w:tcPr>
          <w:p w14:paraId="16AD5E15">
            <w:pPr>
              <w:pStyle w:val="17"/>
              <w:spacing w:before="28" w:line="290" w:lineRule="auto"/>
              <w:ind w:left="106" w:right="101" w:firstLine="4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13"/>
                <w:sz w:val="21"/>
              </w:rPr>
              <w:t>》</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4</w:t>
            </w:r>
            <w:r>
              <w:rPr>
                <w:rFonts w:ascii="Times New Roman" w:eastAsia="Times New Roman"/>
                <w:spacing w:val="-9"/>
                <w:sz w:val="21"/>
              </w:rPr>
              <w:t xml:space="preserve"> </w:t>
            </w:r>
            <w:r>
              <w:rPr>
                <w:sz w:val="21"/>
              </w:rPr>
              <w:t>大气污</w:t>
            </w:r>
          </w:p>
          <w:p w14:paraId="57E42BA9">
            <w:pPr>
              <w:pStyle w:val="17"/>
              <w:spacing w:before="1"/>
              <w:ind w:left="567"/>
              <w:jc w:val="left"/>
              <w:rPr>
                <w:sz w:val="21"/>
              </w:rPr>
            </w:pPr>
            <w:r>
              <w:rPr>
                <w:sz w:val="21"/>
              </w:rPr>
              <w:t>染物排放限值要求</w:t>
            </w:r>
          </w:p>
        </w:tc>
      </w:tr>
      <w:tr w14:paraId="7E36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533" w:type="dxa"/>
            <w:vMerge w:val="continue"/>
            <w:tcBorders>
              <w:top w:val="nil"/>
              <w:left w:val="nil"/>
            </w:tcBorders>
          </w:tcPr>
          <w:p w14:paraId="43162D57">
            <w:pPr>
              <w:rPr>
                <w:sz w:val="2"/>
                <w:szCs w:val="2"/>
              </w:rPr>
            </w:pPr>
          </w:p>
        </w:tc>
        <w:tc>
          <w:tcPr>
            <w:tcW w:w="2030" w:type="dxa"/>
            <w:vMerge w:val="continue"/>
            <w:tcBorders>
              <w:top w:val="nil"/>
            </w:tcBorders>
          </w:tcPr>
          <w:p w14:paraId="4B58D282">
            <w:pPr>
              <w:rPr>
                <w:sz w:val="2"/>
                <w:szCs w:val="2"/>
              </w:rPr>
            </w:pPr>
          </w:p>
        </w:tc>
        <w:tc>
          <w:tcPr>
            <w:tcW w:w="1413" w:type="dxa"/>
          </w:tcPr>
          <w:p w14:paraId="49D1D9A6">
            <w:pPr>
              <w:pStyle w:val="17"/>
              <w:spacing w:before="5"/>
              <w:jc w:val="left"/>
              <w:rPr>
                <w:b/>
                <w:sz w:val="24"/>
              </w:rPr>
            </w:pPr>
          </w:p>
          <w:p w14:paraId="50A938CD">
            <w:pPr>
              <w:pStyle w:val="17"/>
              <w:ind w:left="134" w:right="129"/>
              <w:rPr>
                <w:sz w:val="21"/>
              </w:rPr>
            </w:pPr>
            <w:r>
              <w:rPr>
                <w:sz w:val="21"/>
              </w:rPr>
              <w:t>非甲烷总烃</w:t>
            </w:r>
          </w:p>
        </w:tc>
        <w:tc>
          <w:tcPr>
            <w:tcW w:w="1287" w:type="dxa"/>
          </w:tcPr>
          <w:p w14:paraId="39C66751">
            <w:pPr>
              <w:pStyle w:val="17"/>
              <w:spacing w:before="5"/>
              <w:jc w:val="left"/>
              <w:rPr>
                <w:b/>
                <w:sz w:val="24"/>
              </w:rPr>
            </w:pPr>
          </w:p>
          <w:p w14:paraId="72B5EFAC">
            <w:pPr>
              <w:pStyle w:val="17"/>
              <w:ind w:left="202" w:right="195"/>
              <w:rPr>
                <w:sz w:val="21"/>
              </w:rPr>
            </w:pPr>
            <w:r>
              <w:rPr>
                <w:sz w:val="21"/>
              </w:rPr>
              <w:t>手工监测</w:t>
            </w:r>
          </w:p>
        </w:tc>
        <w:tc>
          <w:tcPr>
            <w:tcW w:w="1201" w:type="dxa"/>
          </w:tcPr>
          <w:p w14:paraId="7AE2FAE3">
            <w:pPr>
              <w:pStyle w:val="17"/>
              <w:spacing w:before="5"/>
              <w:jc w:val="left"/>
              <w:rPr>
                <w:b/>
                <w:sz w:val="24"/>
              </w:rPr>
            </w:pPr>
          </w:p>
          <w:p w14:paraId="09C90165">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半年</w:t>
            </w:r>
          </w:p>
        </w:tc>
        <w:tc>
          <w:tcPr>
            <w:tcW w:w="2815" w:type="dxa"/>
            <w:vMerge w:val="continue"/>
            <w:tcBorders>
              <w:top w:val="nil"/>
              <w:right w:val="nil"/>
            </w:tcBorders>
          </w:tcPr>
          <w:p w14:paraId="7F65E410">
            <w:pPr>
              <w:rPr>
                <w:sz w:val="2"/>
                <w:szCs w:val="2"/>
              </w:rPr>
            </w:pPr>
          </w:p>
        </w:tc>
      </w:tr>
      <w:tr w14:paraId="3D8F7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4042358E">
            <w:pPr>
              <w:rPr>
                <w:sz w:val="2"/>
                <w:szCs w:val="2"/>
              </w:rPr>
            </w:pPr>
          </w:p>
        </w:tc>
        <w:tc>
          <w:tcPr>
            <w:tcW w:w="2030" w:type="dxa"/>
            <w:vMerge w:val="continue"/>
            <w:tcBorders>
              <w:top w:val="nil"/>
            </w:tcBorders>
          </w:tcPr>
          <w:p w14:paraId="48961827">
            <w:pPr>
              <w:rPr>
                <w:sz w:val="2"/>
                <w:szCs w:val="2"/>
              </w:rPr>
            </w:pPr>
          </w:p>
        </w:tc>
        <w:tc>
          <w:tcPr>
            <w:tcW w:w="1413" w:type="dxa"/>
          </w:tcPr>
          <w:p w14:paraId="312CA913">
            <w:pPr>
              <w:pStyle w:val="17"/>
              <w:spacing w:before="8"/>
              <w:jc w:val="left"/>
              <w:rPr>
                <w:b/>
                <w:sz w:val="27"/>
              </w:rPr>
            </w:pPr>
          </w:p>
          <w:p w14:paraId="77BF6DC6">
            <w:pPr>
              <w:pStyle w:val="17"/>
              <w:ind w:left="134" w:right="129"/>
              <w:rPr>
                <w:sz w:val="21"/>
              </w:rPr>
            </w:pPr>
            <w:r>
              <w:rPr>
                <w:sz w:val="21"/>
              </w:rPr>
              <w:t>臭气浓度</w:t>
            </w:r>
          </w:p>
        </w:tc>
        <w:tc>
          <w:tcPr>
            <w:tcW w:w="1287" w:type="dxa"/>
          </w:tcPr>
          <w:p w14:paraId="3A028B7B">
            <w:pPr>
              <w:pStyle w:val="17"/>
              <w:spacing w:before="8"/>
              <w:jc w:val="left"/>
              <w:rPr>
                <w:b/>
                <w:sz w:val="27"/>
              </w:rPr>
            </w:pPr>
          </w:p>
          <w:p w14:paraId="1B9ECBEA">
            <w:pPr>
              <w:pStyle w:val="17"/>
              <w:ind w:left="202" w:right="195"/>
              <w:rPr>
                <w:sz w:val="21"/>
              </w:rPr>
            </w:pPr>
            <w:r>
              <w:rPr>
                <w:sz w:val="21"/>
              </w:rPr>
              <w:t>手工监测</w:t>
            </w:r>
          </w:p>
        </w:tc>
        <w:tc>
          <w:tcPr>
            <w:tcW w:w="1201" w:type="dxa"/>
          </w:tcPr>
          <w:p w14:paraId="7C196F37">
            <w:pPr>
              <w:pStyle w:val="17"/>
              <w:spacing w:before="8"/>
              <w:jc w:val="left"/>
              <w:rPr>
                <w:b/>
                <w:sz w:val="27"/>
              </w:rPr>
            </w:pPr>
          </w:p>
          <w:p w14:paraId="7D1346DC">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41CF1D87">
            <w:pPr>
              <w:pStyle w:val="17"/>
              <w:spacing w:before="27"/>
              <w:ind w:left="250"/>
              <w:jc w:val="left"/>
              <w:rPr>
                <w:sz w:val="21"/>
              </w:rPr>
            </w:pPr>
            <w:r>
              <w:rPr>
                <w:sz w:val="21"/>
              </w:rPr>
              <w:t>《恶臭污染物排放标准》</w:t>
            </w:r>
          </w:p>
          <w:p w14:paraId="7D5CA99B">
            <w:pPr>
              <w:pStyle w:val="17"/>
              <w:spacing w:before="7" w:line="320" w:lineRule="atLeast"/>
              <w:ind w:left="90" w:right="85"/>
              <w:rPr>
                <w:sz w:val="21"/>
              </w:rPr>
            </w:pPr>
            <w:r>
              <w:rPr>
                <w:sz w:val="21"/>
              </w:rPr>
              <w:t>（</w:t>
            </w:r>
            <w:r>
              <w:rPr>
                <w:rFonts w:ascii="Times New Roman" w:eastAsia="Times New Roman"/>
                <w:sz w:val="21"/>
              </w:rPr>
              <w:t>GB14554-93</w:t>
            </w:r>
            <w:r>
              <w:rPr>
                <w:sz w:val="21"/>
              </w:rPr>
              <w:t xml:space="preserve">）表 </w:t>
            </w:r>
            <w:r>
              <w:rPr>
                <w:rFonts w:ascii="Times New Roman" w:eastAsia="Times New Roman"/>
                <w:sz w:val="21"/>
              </w:rPr>
              <w:t xml:space="preserve">2 </w:t>
            </w:r>
            <w:r>
              <w:rPr>
                <w:sz w:val="21"/>
              </w:rPr>
              <w:t>标准要求</w:t>
            </w:r>
          </w:p>
        </w:tc>
      </w:tr>
      <w:tr w14:paraId="52E1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533" w:type="dxa"/>
            <w:vMerge w:val="continue"/>
            <w:tcBorders>
              <w:top w:val="nil"/>
              <w:left w:val="nil"/>
            </w:tcBorders>
          </w:tcPr>
          <w:p w14:paraId="0A8ED747">
            <w:pPr>
              <w:rPr>
                <w:sz w:val="2"/>
                <w:szCs w:val="2"/>
              </w:rPr>
            </w:pPr>
          </w:p>
        </w:tc>
        <w:tc>
          <w:tcPr>
            <w:tcW w:w="2030" w:type="dxa"/>
            <w:vMerge w:val="restart"/>
          </w:tcPr>
          <w:p w14:paraId="0085A93D">
            <w:pPr>
              <w:pStyle w:val="17"/>
              <w:jc w:val="left"/>
              <w:rPr>
                <w:b/>
                <w:sz w:val="20"/>
              </w:rPr>
            </w:pPr>
          </w:p>
          <w:p w14:paraId="745CF909">
            <w:pPr>
              <w:pStyle w:val="17"/>
              <w:jc w:val="left"/>
              <w:rPr>
                <w:b/>
                <w:sz w:val="20"/>
              </w:rPr>
            </w:pPr>
          </w:p>
          <w:p w14:paraId="5B9BDD5E">
            <w:pPr>
              <w:pStyle w:val="17"/>
              <w:spacing w:before="3"/>
              <w:jc w:val="left"/>
              <w:rPr>
                <w:b/>
                <w:sz w:val="26"/>
              </w:rPr>
            </w:pPr>
          </w:p>
          <w:p w14:paraId="45332776">
            <w:pPr>
              <w:pStyle w:val="17"/>
              <w:spacing w:line="288" w:lineRule="auto"/>
              <w:ind w:left="107" w:right="21"/>
              <w:jc w:val="left"/>
              <w:rPr>
                <w:sz w:val="21"/>
              </w:rPr>
            </w:pPr>
            <w:r>
              <w:rPr>
                <w:sz w:val="21"/>
              </w:rPr>
              <w:t>厂界无组织（厂界上</w:t>
            </w:r>
            <w:r>
              <w:rPr>
                <w:w w:val="95"/>
                <w:sz w:val="21"/>
              </w:rPr>
              <w:t>风向、厂界下风向）</w:t>
            </w:r>
          </w:p>
        </w:tc>
        <w:tc>
          <w:tcPr>
            <w:tcW w:w="1413" w:type="dxa"/>
          </w:tcPr>
          <w:p w14:paraId="64DB29DE">
            <w:pPr>
              <w:pStyle w:val="17"/>
              <w:jc w:val="left"/>
              <w:rPr>
                <w:b/>
                <w:sz w:val="20"/>
              </w:rPr>
            </w:pPr>
          </w:p>
          <w:p w14:paraId="5DBEDD73">
            <w:pPr>
              <w:pStyle w:val="17"/>
              <w:spacing w:before="5"/>
              <w:jc w:val="left"/>
              <w:rPr>
                <w:b/>
                <w:sz w:val="20"/>
              </w:rPr>
            </w:pPr>
          </w:p>
          <w:p w14:paraId="3ED03947">
            <w:pPr>
              <w:pStyle w:val="17"/>
              <w:ind w:left="136" w:right="129"/>
              <w:rPr>
                <w:sz w:val="21"/>
              </w:rPr>
            </w:pPr>
            <w:r>
              <w:rPr>
                <w:sz w:val="21"/>
              </w:rPr>
              <w:t>颗粒物</w:t>
            </w:r>
          </w:p>
        </w:tc>
        <w:tc>
          <w:tcPr>
            <w:tcW w:w="1287" w:type="dxa"/>
          </w:tcPr>
          <w:p w14:paraId="5A8C6C3C">
            <w:pPr>
              <w:pStyle w:val="17"/>
              <w:jc w:val="left"/>
              <w:rPr>
                <w:b/>
                <w:sz w:val="20"/>
              </w:rPr>
            </w:pPr>
          </w:p>
          <w:p w14:paraId="6595D54D">
            <w:pPr>
              <w:pStyle w:val="17"/>
              <w:spacing w:before="5"/>
              <w:jc w:val="left"/>
              <w:rPr>
                <w:b/>
                <w:sz w:val="20"/>
              </w:rPr>
            </w:pPr>
          </w:p>
          <w:p w14:paraId="7287A71D">
            <w:pPr>
              <w:pStyle w:val="17"/>
              <w:ind w:left="202" w:right="195"/>
              <w:rPr>
                <w:sz w:val="21"/>
              </w:rPr>
            </w:pPr>
            <w:r>
              <w:rPr>
                <w:sz w:val="21"/>
              </w:rPr>
              <w:t>手工监测</w:t>
            </w:r>
          </w:p>
        </w:tc>
        <w:tc>
          <w:tcPr>
            <w:tcW w:w="1201" w:type="dxa"/>
          </w:tcPr>
          <w:p w14:paraId="53DD6FFC">
            <w:pPr>
              <w:pStyle w:val="17"/>
              <w:jc w:val="left"/>
              <w:rPr>
                <w:b/>
                <w:sz w:val="22"/>
              </w:rPr>
            </w:pPr>
          </w:p>
          <w:p w14:paraId="4CC4A5CB">
            <w:pPr>
              <w:pStyle w:val="17"/>
              <w:spacing w:before="5"/>
              <w:jc w:val="left"/>
              <w:rPr>
                <w:b/>
                <w:sz w:val="18"/>
              </w:rPr>
            </w:pPr>
          </w:p>
          <w:p w14:paraId="5AA02AF2">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521BC240">
            <w:pPr>
              <w:pStyle w:val="17"/>
              <w:spacing w:before="28" w:line="290" w:lineRule="auto"/>
              <w:ind w:left="106" w:right="101" w:firstLine="4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13"/>
                <w:sz w:val="21"/>
              </w:rPr>
              <w:t>》</w:t>
            </w:r>
            <w:r>
              <w:rPr>
                <w:sz w:val="21"/>
              </w:rPr>
              <w:t>（</w:t>
            </w:r>
            <w:r>
              <w:rPr>
                <w:rFonts w:ascii="Times New Roman" w:eastAsia="Times New Roman"/>
                <w:sz w:val="21"/>
              </w:rPr>
              <w:t>GB</w:t>
            </w:r>
            <w:r>
              <w:rPr>
                <w:rFonts w:ascii="Times New Roman" w:eastAsia="Times New Roman"/>
                <w:spacing w:val="-12"/>
                <w:sz w:val="21"/>
              </w:rPr>
              <w:t xml:space="preserve"> </w:t>
            </w:r>
            <w:r>
              <w:rPr>
                <w:rFonts w:ascii="Times New Roman" w:eastAsia="Times New Roman"/>
                <w:sz w:val="21"/>
              </w:rPr>
              <w:t>31572-2015</w:t>
            </w:r>
            <w:r>
              <w:rPr>
                <w:sz w:val="21"/>
              </w:rPr>
              <w:t>）及</w:t>
            </w:r>
            <w:r>
              <w:rPr>
                <w:spacing w:val="-31"/>
                <w:sz w:val="21"/>
              </w:rPr>
              <w:t xml:space="preserve">其 </w:t>
            </w:r>
            <w:r>
              <w:rPr>
                <w:rFonts w:ascii="Times New Roman" w:eastAsia="Times New Roman"/>
                <w:sz w:val="21"/>
              </w:rPr>
              <w:t>2024</w:t>
            </w:r>
            <w:r>
              <w:rPr>
                <w:rFonts w:ascii="Times New Roman" w:eastAsia="Times New Roman"/>
                <w:spacing w:val="-9"/>
                <w:sz w:val="21"/>
              </w:rPr>
              <w:t xml:space="preserve"> </w:t>
            </w:r>
            <w:r>
              <w:rPr>
                <w:spacing w:val="-11"/>
                <w:sz w:val="21"/>
              </w:rPr>
              <w:t xml:space="preserve">年修改单表 </w:t>
            </w:r>
            <w:r>
              <w:rPr>
                <w:rFonts w:ascii="Times New Roman" w:eastAsia="Times New Roman"/>
                <w:sz w:val="21"/>
              </w:rPr>
              <w:t>9</w:t>
            </w:r>
            <w:r>
              <w:rPr>
                <w:rFonts w:ascii="Times New Roman" w:eastAsia="Times New Roman"/>
                <w:spacing w:val="-9"/>
                <w:sz w:val="21"/>
              </w:rPr>
              <w:t xml:space="preserve"> </w:t>
            </w:r>
            <w:r>
              <w:rPr>
                <w:sz w:val="21"/>
              </w:rPr>
              <w:t>企业边</w:t>
            </w:r>
          </w:p>
          <w:p w14:paraId="322568C1">
            <w:pPr>
              <w:pStyle w:val="17"/>
              <w:ind w:left="147"/>
              <w:jc w:val="both"/>
              <w:rPr>
                <w:sz w:val="21"/>
              </w:rPr>
            </w:pPr>
            <w:r>
              <w:rPr>
                <w:sz w:val="21"/>
              </w:rPr>
              <w:t>界大气污染物浓度限值要求</w:t>
            </w:r>
          </w:p>
        </w:tc>
      </w:tr>
      <w:tr w14:paraId="446B4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6C53598D">
            <w:pPr>
              <w:rPr>
                <w:sz w:val="2"/>
                <w:szCs w:val="2"/>
              </w:rPr>
            </w:pPr>
          </w:p>
        </w:tc>
        <w:tc>
          <w:tcPr>
            <w:tcW w:w="2030" w:type="dxa"/>
            <w:vMerge w:val="continue"/>
            <w:tcBorders>
              <w:top w:val="nil"/>
            </w:tcBorders>
          </w:tcPr>
          <w:p w14:paraId="5FE649CB">
            <w:pPr>
              <w:rPr>
                <w:sz w:val="2"/>
                <w:szCs w:val="2"/>
              </w:rPr>
            </w:pPr>
          </w:p>
        </w:tc>
        <w:tc>
          <w:tcPr>
            <w:tcW w:w="1413" w:type="dxa"/>
          </w:tcPr>
          <w:p w14:paraId="270B37E3">
            <w:pPr>
              <w:pStyle w:val="17"/>
              <w:spacing w:before="7"/>
              <w:jc w:val="left"/>
              <w:rPr>
                <w:b/>
                <w:sz w:val="27"/>
              </w:rPr>
            </w:pPr>
          </w:p>
          <w:p w14:paraId="3D78F7B6">
            <w:pPr>
              <w:pStyle w:val="17"/>
              <w:ind w:left="134" w:right="129"/>
              <w:rPr>
                <w:sz w:val="21"/>
              </w:rPr>
            </w:pPr>
            <w:r>
              <w:rPr>
                <w:sz w:val="21"/>
              </w:rPr>
              <w:t>臭气浓度</w:t>
            </w:r>
          </w:p>
        </w:tc>
        <w:tc>
          <w:tcPr>
            <w:tcW w:w="1287" w:type="dxa"/>
          </w:tcPr>
          <w:p w14:paraId="09AF766D">
            <w:pPr>
              <w:pStyle w:val="17"/>
              <w:spacing w:before="7"/>
              <w:jc w:val="left"/>
              <w:rPr>
                <w:b/>
                <w:sz w:val="27"/>
              </w:rPr>
            </w:pPr>
          </w:p>
          <w:p w14:paraId="3C43CD2C">
            <w:pPr>
              <w:pStyle w:val="17"/>
              <w:ind w:left="202" w:right="195"/>
              <w:rPr>
                <w:sz w:val="21"/>
              </w:rPr>
            </w:pPr>
            <w:r>
              <w:rPr>
                <w:sz w:val="21"/>
              </w:rPr>
              <w:t>手工监测</w:t>
            </w:r>
          </w:p>
        </w:tc>
        <w:tc>
          <w:tcPr>
            <w:tcW w:w="1201" w:type="dxa"/>
          </w:tcPr>
          <w:p w14:paraId="5DA8CF78">
            <w:pPr>
              <w:pStyle w:val="17"/>
              <w:spacing w:before="7"/>
              <w:jc w:val="left"/>
              <w:rPr>
                <w:b/>
                <w:sz w:val="27"/>
              </w:rPr>
            </w:pPr>
          </w:p>
          <w:p w14:paraId="741CF21A">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119357A4">
            <w:pPr>
              <w:pStyle w:val="17"/>
              <w:spacing w:before="27"/>
              <w:ind w:left="250"/>
              <w:jc w:val="left"/>
              <w:rPr>
                <w:sz w:val="21"/>
              </w:rPr>
            </w:pPr>
            <w:r>
              <w:rPr>
                <w:sz w:val="21"/>
              </w:rPr>
              <w:t>《恶臭污染物排放标准》</w:t>
            </w:r>
          </w:p>
          <w:p w14:paraId="24563606">
            <w:pPr>
              <w:pStyle w:val="17"/>
              <w:spacing w:before="6" w:line="320" w:lineRule="atLeast"/>
              <w:ind w:left="90" w:right="85"/>
              <w:rPr>
                <w:sz w:val="21"/>
              </w:rPr>
            </w:pPr>
            <w:r>
              <w:rPr>
                <w:sz w:val="21"/>
              </w:rPr>
              <w:t>（</w:t>
            </w:r>
            <w:r>
              <w:rPr>
                <w:rFonts w:ascii="Times New Roman" w:eastAsia="Times New Roman"/>
                <w:sz w:val="21"/>
              </w:rPr>
              <w:t>GB14554-93</w:t>
            </w:r>
            <w:r>
              <w:rPr>
                <w:sz w:val="21"/>
              </w:rPr>
              <w:t xml:space="preserve">）表 </w:t>
            </w:r>
            <w:r>
              <w:rPr>
                <w:rFonts w:ascii="Times New Roman" w:eastAsia="Times New Roman"/>
                <w:sz w:val="21"/>
              </w:rPr>
              <w:t xml:space="preserve">1 </w:t>
            </w:r>
            <w:r>
              <w:rPr>
                <w:sz w:val="21"/>
              </w:rPr>
              <w:t>新改扩建二级标准要求</w:t>
            </w:r>
          </w:p>
        </w:tc>
      </w:tr>
      <w:tr w14:paraId="4EC6B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33" w:type="dxa"/>
            <w:vMerge w:val="continue"/>
            <w:tcBorders>
              <w:top w:val="nil"/>
              <w:left w:val="nil"/>
            </w:tcBorders>
          </w:tcPr>
          <w:p w14:paraId="38D3C695">
            <w:pPr>
              <w:rPr>
                <w:sz w:val="2"/>
                <w:szCs w:val="2"/>
              </w:rPr>
            </w:pPr>
          </w:p>
        </w:tc>
        <w:tc>
          <w:tcPr>
            <w:tcW w:w="2030" w:type="dxa"/>
          </w:tcPr>
          <w:p w14:paraId="03C50BD3">
            <w:pPr>
              <w:pStyle w:val="17"/>
              <w:spacing w:before="64"/>
              <w:ind w:left="48" w:right="42"/>
              <w:rPr>
                <w:sz w:val="21"/>
              </w:rPr>
            </w:pPr>
            <w:r>
              <w:rPr>
                <w:sz w:val="21"/>
              </w:rPr>
              <w:t>厂区内无组织（厂房</w:t>
            </w:r>
          </w:p>
        </w:tc>
        <w:tc>
          <w:tcPr>
            <w:tcW w:w="1413" w:type="dxa"/>
          </w:tcPr>
          <w:p w14:paraId="70C814B4">
            <w:pPr>
              <w:pStyle w:val="17"/>
              <w:spacing w:before="64"/>
              <w:ind w:left="134" w:right="129"/>
              <w:rPr>
                <w:sz w:val="21"/>
              </w:rPr>
            </w:pPr>
            <w:r>
              <w:rPr>
                <w:sz w:val="21"/>
              </w:rPr>
              <w:t>非甲烷总烃</w:t>
            </w:r>
          </w:p>
        </w:tc>
        <w:tc>
          <w:tcPr>
            <w:tcW w:w="1287" w:type="dxa"/>
          </w:tcPr>
          <w:p w14:paraId="48006440">
            <w:pPr>
              <w:pStyle w:val="17"/>
              <w:spacing w:before="64"/>
              <w:ind w:left="202" w:right="195"/>
              <w:rPr>
                <w:sz w:val="21"/>
              </w:rPr>
            </w:pPr>
            <w:r>
              <w:rPr>
                <w:sz w:val="21"/>
              </w:rPr>
              <w:t>手工监测</w:t>
            </w:r>
          </w:p>
        </w:tc>
        <w:tc>
          <w:tcPr>
            <w:tcW w:w="1201" w:type="dxa"/>
          </w:tcPr>
          <w:p w14:paraId="1519FCE5">
            <w:pPr>
              <w:pStyle w:val="17"/>
              <w:spacing w:before="64"/>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01722AD8">
            <w:pPr>
              <w:pStyle w:val="17"/>
              <w:spacing w:before="64"/>
              <w:ind w:left="87" w:right="85"/>
              <w:rPr>
                <w:sz w:val="21"/>
              </w:rPr>
            </w:pPr>
            <w:r>
              <w:rPr>
                <w:sz w:val="21"/>
              </w:rPr>
              <w:t>《挥发性有机物无组织排放</w:t>
            </w:r>
          </w:p>
        </w:tc>
      </w:tr>
    </w:tbl>
    <w:p w14:paraId="58600BDF">
      <w:pPr>
        <w:spacing w:after="0"/>
        <w:rPr>
          <w:sz w:val="21"/>
        </w:rPr>
        <w:sectPr>
          <w:pgSz w:w="11910" w:h="16840"/>
          <w:pgMar w:top="1380" w:right="1060" w:bottom="900" w:left="1180" w:header="0" w:footer="712" w:gutter="0"/>
          <w:cols w:space="720" w:num="1"/>
        </w:sectPr>
      </w:pPr>
    </w:p>
    <w:tbl>
      <w:tblPr>
        <w:tblStyle w:val="13"/>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030"/>
        <w:gridCol w:w="1413"/>
        <w:gridCol w:w="1287"/>
        <w:gridCol w:w="1201"/>
        <w:gridCol w:w="2815"/>
      </w:tblGrid>
      <w:tr w14:paraId="229D5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tcBorders>
              <w:left w:val="nil"/>
            </w:tcBorders>
          </w:tcPr>
          <w:p w14:paraId="7D362D9B">
            <w:pPr>
              <w:pStyle w:val="17"/>
              <w:jc w:val="left"/>
              <w:rPr>
                <w:rFonts w:ascii="Times New Roman"/>
                <w:sz w:val="22"/>
              </w:rPr>
            </w:pPr>
          </w:p>
        </w:tc>
        <w:tc>
          <w:tcPr>
            <w:tcW w:w="2030" w:type="dxa"/>
          </w:tcPr>
          <w:p w14:paraId="203027C7">
            <w:pPr>
              <w:pStyle w:val="17"/>
              <w:spacing w:before="28"/>
              <w:ind w:left="48" w:right="42"/>
              <w:rPr>
                <w:sz w:val="21"/>
              </w:rPr>
            </w:pPr>
            <w:r>
              <w:rPr>
                <w:sz w:val="21"/>
              </w:rPr>
              <w:t>门窗处）</w:t>
            </w:r>
          </w:p>
        </w:tc>
        <w:tc>
          <w:tcPr>
            <w:tcW w:w="1413" w:type="dxa"/>
          </w:tcPr>
          <w:p w14:paraId="403D1A7B">
            <w:pPr>
              <w:pStyle w:val="17"/>
              <w:jc w:val="left"/>
              <w:rPr>
                <w:rFonts w:ascii="Times New Roman"/>
                <w:sz w:val="22"/>
              </w:rPr>
            </w:pPr>
          </w:p>
        </w:tc>
        <w:tc>
          <w:tcPr>
            <w:tcW w:w="1287" w:type="dxa"/>
          </w:tcPr>
          <w:p w14:paraId="08CD5413">
            <w:pPr>
              <w:pStyle w:val="17"/>
              <w:jc w:val="left"/>
              <w:rPr>
                <w:rFonts w:ascii="Times New Roman"/>
                <w:sz w:val="22"/>
              </w:rPr>
            </w:pPr>
          </w:p>
        </w:tc>
        <w:tc>
          <w:tcPr>
            <w:tcW w:w="1201" w:type="dxa"/>
          </w:tcPr>
          <w:p w14:paraId="7AA5F238">
            <w:pPr>
              <w:pStyle w:val="17"/>
              <w:jc w:val="left"/>
              <w:rPr>
                <w:rFonts w:ascii="Times New Roman"/>
                <w:sz w:val="22"/>
              </w:rPr>
            </w:pPr>
          </w:p>
        </w:tc>
        <w:tc>
          <w:tcPr>
            <w:tcW w:w="2815" w:type="dxa"/>
            <w:tcBorders>
              <w:right w:val="nil"/>
            </w:tcBorders>
          </w:tcPr>
          <w:p w14:paraId="18F4539D">
            <w:pPr>
              <w:pStyle w:val="17"/>
              <w:spacing w:before="28"/>
              <w:ind w:left="119" w:right="13"/>
              <w:rPr>
                <w:sz w:val="21"/>
              </w:rPr>
            </w:pPr>
            <w:r>
              <w:rPr>
                <w:w w:val="95"/>
                <w:sz w:val="21"/>
              </w:rPr>
              <w:t>控制标准》（</w:t>
            </w:r>
            <w:r>
              <w:rPr>
                <w:rFonts w:ascii="Times New Roman" w:eastAsia="Times New Roman"/>
                <w:w w:val="95"/>
                <w:sz w:val="21"/>
              </w:rPr>
              <w:t>GB37822-2019</w:t>
            </w:r>
            <w:r>
              <w:rPr>
                <w:w w:val="95"/>
                <w:sz w:val="21"/>
              </w:rPr>
              <w:t>）</w:t>
            </w:r>
          </w:p>
          <w:p w14:paraId="660FDD1F">
            <w:pPr>
              <w:pStyle w:val="17"/>
              <w:spacing w:before="57"/>
              <w:ind w:left="85" w:right="85"/>
              <w:rPr>
                <w:sz w:val="21"/>
              </w:rPr>
            </w:pPr>
            <w:r>
              <w:rPr>
                <w:sz w:val="21"/>
              </w:rPr>
              <w:t xml:space="preserve">附录 </w:t>
            </w:r>
            <w:r>
              <w:rPr>
                <w:rFonts w:ascii="Times New Roman" w:eastAsia="Times New Roman"/>
                <w:sz w:val="21"/>
              </w:rPr>
              <w:t xml:space="preserve">A </w:t>
            </w:r>
            <w:r>
              <w:rPr>
                <w:sz w:val="21"/>
              </w:rPr>
              <w:t xml:space="preserve">表 </w:t>
            </w:r>
            <w:r>
              <w:rPr>
                <w:rFonts w:ascii="Times New Roman" w:eastAsia="Times New Roman"/>
                <w:sz w:val="21"/>
              </w:rPr>
              <w:t xml:space="preserve">A.1 </w:t>
            </w:r>
            <w:r>
              <w:rPr>
                <w:sz w:val="21"/>
              </w:rPr>
              <w:t>排放限值</w:t>
            </w:r>
          </w:p>
        </w:tc>
      </w:tr>
      <w:tr w14:paraId="2E070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tcBorders>
              <w:left w:val="nil"/>
            </w:tcBorders>
          </w:tcPr>
          <w:p w14:paraId="3B3F5A0E">
            <w:pPr>
              <w:pStyle w:val="17"/>
              <w:spacing w:before="28"/>
              <w:ind w:left="165"/>
              <w:jc w:val="left"/>
              <w:rPr>
                <w:sz w:val="21"/>
              </w:rPr>
            </w:pPr>
            <w:r>
              <w:rPr>
                <w:w w:val="99"/>
                <w:sz w:val="21"/>
              </w:rPr>
              <w:t>废</w:t>
            </w:r>
          </w:p>
          <w:p w14:paraId="31ACF556">
            <w:pPr>
              <w:pStyle w:val="17"/>
              <w:spacing w:before="58"/>
              <w:ind w:left="165"/>
              <w:jc w:val="left"/>
              <w:rPr>
                <w:sz w:val="21"/>
              </w:rPr>
            </w:pPr>
            <w:r>
              <w:rPr>
                <w:w w:val="99"/>
                <w:sz w:val="21"/>
              </w:rPr>
              <w:t>水</w:t>
            </w:r>
          </w:p>
        </w:tc>
        <w:tc>
          <w:tcPr>
            <w:tcW w:w="2030" w:type="dxa"/>
          </w:tcPr>
          <w:p w14:paraId="06C48930">
            <w:pPr>
              <w:pStyle w:val="17"/>
              <w:jc w:val="left"/>
              <w:rPr>
                <w:b/>
                <w:sz w:val="16"/>
              </w:rPr>
            </w:pPr>
          </w:p>
          <w:p w14:paraId="57479A93">
            <w:pPr>
              <w:pStyle w:val="17"/>
              <w:ind w:left="9"/>
              <w:rPr>
                <w:rFonts w:ascii="Times New Roman"/>
                <w:sz w:val="21"/>
              </w:rPr>
            </w:pPr>
            <w:r>
              <w:rPr>
                <w:rFonts w:ascii="Times New Roman"/>
                <w:w w:val="99"/>
                <w:sz w:val="21"/>
              </w:rPr>
              <w:t>/</w:t>
            </w:r>
          </w:p>
        </w:tc>
        <w:tc>
          <w:tcPr>
            <w:tcW w:w="1413" w:type="dxa"/>
          </w:tcPr>
          <w:p w14:paraId="3269DE41">
            <w:pPr>
              <w:pStyle w:val="17"/>
              <w:jc w:val="left"/>
              <w:rPr>
                <w:b/>
                <w:sz w:val="16"/>
              </w:rPr>
            </w:pPr>
          </w:p>
          <w:p w14:paraId="215AC25B">
            <w:pPr>
              <w:pStyle w:val="17"/>
              <w:ind w:left="8"/>
              <w:rPr>
                <w:rFonts w:ascii="Times New Roman"/>
                <w:sz w:val="21"/>
              </w:rPr>
            </w:pPr>
            <w:r>
              <w:rPr>
                <w:rFonts w:ascii="Times New Roman"/>
                <w:w w:val="99"/>
                <w:sz w:val="21"/>
              </w:rPr>
              <w:t>/</w:t>
            </w:r>
          </w:p>
        </w:tc>
        <w:tc>
          <w:tcPr>
            <w:tcW w:w="1287" w:type="dxa"/>
          </w:tcPr>
          <w:p w14:paraId="0CA762F7">
            <w:pPr>
              <w:pStyle w:val="17"/>
              <w:jc w:val="left"/>
              <w:rPr>
                <w:b/>
                <w:sz w:val="16"/>
              </w:rPr>
            </w:pPr>
          </w:p>
          <w:p w14:paraId="503D4084">
            <w:pPr>
              <w:pStyle w:val="17"/>
              <w:ind w:left="10"/>
              <w:rPr>
                <w:rFonts w:ascii="Times New Roman"/>
                <w:sz w:val="21"/>
              </w:rPr>
            </w:pPr>
            <w:r>
              <w:rPr>
                <w:rFonts w:ascii="Times New Roman"/>
                <w:w w:val="99"/>
                <w:sz w:val="21"/>
              </w:rPr>
              <w:t>/</w:t>
            </w:r>
          </w:p>
        </w:tc>
        <w:tc>
          <w:tcPr>
            <w:tcW w:w="1201" w:type="dxa"/>
          </w:tcPr>
          <w:p w14:paraId="156C2B7D">
            <w:pPr>
              <w:pStyle w:val="17"/>
              <w:jc w:val="left"/>
              <w:rPr>
                <w:b/>
                <w:sz w:val="16"/>
              </w:rPr>
            </w:pPr>
          </w:p>
          <w:p w14:paraId="6532113F">
            <w:pPr>
              <w:pStyle w:val="17"/>
              <w:ind w:left="9"/>
              <w:rPr>
                <w:rFonts w:ascii="Times New Roman"/>
                <w:sz w:val="21"/>
              </w:rPr>
            </w:pPr>
            <w:r>
              <w:rPr>
                <w:rFonts w:ascii="Times New Roman"/>
                <w:w w:val="99"/>
                <w:sz w:val="21"/>
              </w:rPr>
              <w:t>/</w:t>
            </w:r>
          </w:p>
        </w:tc>
        <w:tc>
          <w:tcPr>
            <w:tcW w:w="2815" w:type="dxa"/>
            <w:tcBorders>
              <w:right w:val="nil"/>
            </w:tcBorders>
          </w:tcPr>
          <w:p w14:paraId="4C65A401">
            <w:pPr>
              <w:pStyle w:val="17"/>
              <w:jc w:val="left"/>
              <w:rPr>
                <w:b/>
                <w:sz w:val="16"/>
              </w:rPr>
            </w:pPr>
          </w:p>
          <w:p w14:paraId="34F71710">
            <w:pPr>
              <w:pStyle w:val="17"/>
              <w:ind w:left="5"/>
              <w:rPr>
                <w:rFonts w:ascii="Times New Roman"/>
                <w:sz w:val="21"/>
              </w:rPr>
            </w:pPr>
            <w:r>
              <w:rPr>
                <w:rFonts w:ascii="Times New Roman"/>
                <w:w w:val="99"/>
                <w:sz w:val="21"/>
              </w:rPr>
              <w:t>/</w:t>
            </w:r>
          </w:p>
        </w:tc>
      </w:tr>
      <w:tr w14:paraId="69686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restart"/>
            <w:tcBorders>
              <w:left w:val="nil"/>
            </w:tcBorders>
          </w:tcPr>
          <w:p w14:paraId="2CE8E3D5">
            <w:pPr>
              <w:pStyle w:val="17"/>
              <w:spacing w:before="1"/>
              <w:jc w:val="left"/>
              <w:rPr>
                <w:b/>
                <w:sz w:val="28"/>
              </w:rPr>
            </w:pPr>
          </w:p>
          <w:p w14:paraId="6858143D">
            <w:pPr>
              <w:pStyle w:val="17"/>
              <w:spacing w:line="290" w:lineRule="auto"/>
              <w:ind w:left="165" w:right="151"/>
              <w:jc w:val="both"/>
              <w:rPr>
                <w:sz w:val="21"/>
              </w:rPr>
            </w:pPr>
            <w:r>
              <w:rPr>
                <w:sz w:val="21"/>
              </w:rPr>
              <w:t>厂界噪声</w:t>
            </w:r>
          </w:p>
        </w:tc>
        <w:tc>
          <w:tcPr>
            <w:tcW w:w="2030" w:type="dxa"/>
          </w:tcPr>
          <w:p w14:paraId="54980347">
            <w:pPr>
              <w:pStyle w:val="17"/>
              <w:spacing w:before="192" w:line="288" w:lineRule="auto"/>
              <w:ind w:left="642" w:right="98" w:hanging="536"/>
              <w:jc w:val="left"/>
              <w:rPr>
                <w:rFonts w:ascii="Times New Roman" w:eastAsia="Times New Roman"/>
                <w:sz w:val="21"/>
              </w:rPr>
            </w:pPr>
            <w:r>
              <w:rPr>
                <w:w w:val="95"/>
                <w:sz w:val="21"/>
              </w:rPr>
              <w:t>东侧、西侧、北侧厂</w:t>
            </w:r>
            <w:r>
              <w:rPr>
                <w:sz w:val="21"/>
              </w:rPr>
              <w:t xml:space="preserve">界外 </w:t>
            </w:r>
            <w:r>
              <w:rPr>
                <w:rFonts w:ascii="Times New Roman" w:eastAsia="Times New Roman"/>
                <w:sz w:val="21"/>
              </w:rPr>
              <w:t>1m</w:t>
            </w:r>
          </w:p>
        </w:tc>
        <w:tc>
          <w:tcPr>
            <w:tcW w:w="1413" w:type="dxa"/>
          </w:tcPr>
          <w:p w14:paraId="3ED66A5B">
            <w:pPr>
              <w:pStyle w:val="17"/>
              <w:spacing w:before="192" w:line="288" w:lineRule="auto"/>
              <w:ind w:left="263" w:right="172" w:hanging="84"/>
              <w:jc w:val="left"/>
              <w:rPr>
                <w:sz w:val="21"/>
              </w:rPr>
            </w:pPr>
            <w:r>
              <w:rPr>
                <w:sz w:val="21"/>
              </w:rPr>
              <w:t xml:space="preserve">昼夜等效连续 </w:t>
            </w:r>
            <w:r>
              <w:rPr>
                <w:rFonts w:ascii="Times New Roman" w:eastAsia="Times New Roman"/>
                <w:sz w:val="21"/>
              </w:rPr>
              <w:t xml:space="preserve">A </w:t>
            </w:r>
            <w:r>
              <w:rPr>
                <w:sz w:val="21"/>
              </w:rPr>
              <w:t>声级</w:t>
            </w:r>
          </w:p>
        </w:tc>
        <w:tc>
          <w:tcPr>
            <w:tcW w:w="1287" w:type="dxa"/>
          </w:tcPr>
          <w:p w14:paraId="09E06A1E">
            <w:pPr>
              <w:pStyle w:val="17"/>
              <w:spacing w:before="7"/>
              <w:jc w:val="left"/>
              <w:rPr>
                <w:b/>
                <w:sz w:val="27"/>
              </w:rPr>
            </w:pPr>
          </w:p>
          <w:p w14:paraId="7198FC3F">
            <w:pPr>
              <w:pStyle w:val="17"/>
              <w:ind w:left="202" w:right="195"/>
              <w:rPr>
                <w:sz w:val="21"/>
              </w:rPr>
            </w:pPr>
            <w:r>
              <w:rPr>
                <w:sz w:val="21"/>
              </w:rPr>
              <w:t>手工监测</w:t>
            </w:r>
          </w:p>
        </w:tc>
        <w:tc>
          <w:tcPr>
            <w:tcW w:w="1201" w:type="dxa"/>
          </w:tcPr>
          <w:p w14:paraId="7ECE1F13">
            <w:pPr>
              <w:pStyle w:val="17"/>
              <w:spacing w:before="7"/>
              <w:jc w:val="left"/>
              <w:rPr>
                <w:b/>
                <w:sz w:val="27"/>
              </w:rPr>
            </w:pPr>
          </w:p>
          <w:p w14:paraId="3EE8B923">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季度</w:t>
            </w:r>
          </w:p>
        </w:tc>
        <w:tc>
          <w:tcPr>
            <w:tcW w:w="2815" w:type="dxa"/>
            <w:tcBorders>
              <w:right w:val="nil"/>
            </w:tcBorders>
          </w:tcPr>
          <w:p w14:paraId="12840D71">
            <w:pPr>
              <w:pStyle w:val="17"/>
              <w:spacing w:before="29" w:line="288" w:lineRule="auto"/>
              <w:ind w:left="123" w:right="118" w:hanging="1"/>
              <w:rPr>
                <w:sz w:val="21"/>
              </w:rPr>
            </w:pPr>
            <w:r>
              <w:rPr>
                <w:sz w:val="21"/>
              </w:rPr>
              <w:t>《工业企业厂界环境噪声排</w:t>
            </w:r>
            <w:r>
              <w:rPr>
                <w:w w:val="95"/>
                <w:sz w:val="21"/>
              </w:rPr>
              <w:t>放标准》（</w:t>
            </w:r>
            <w:r>
              <w:rPr>
                <w:rFonts w:ascii="Times New Roman" w:eastAsia="Times New Roman"/>
                <w:w w:val="95"/>
                <w:sz w:val="21"/>
              </w:rPr>
              <w:t>GB12348-2008</w:t>
            </w:r>
            <w:r>
              <w:rPr>
                <w:w w:val="95"/>
                <w:sz w:val="21"/>
              </w:rPr>
              <w:t>）</w:t>
            </w:r>
          </w:p>
          <w:p w14:paraId="564AF3AC">
            <w:pPr>
              <w:pStyle w:val="17"/>
              <w:spacing w:before="4"/>
              <w:ind w:left="87" w:right="85"/>
              <w:rPr>
                <w:sz w:val="21"/>
              </w:rPr>
            </w:pPr>
            <w:r>
              <w:rPr>
                <w:sz w:val="21"/>
              </w:rPr>
              <w:t xml:space="preserve">中的 </w:t>
            </w:r>
            <w:r>
              <w:rPr>
                <w:rFonts w:ascii="Times New Roman" w:eastAsia="Times New Roman"/>
                <w:sz w:val="21"/>
              </w:rPr>
              <w:t xml:space="preserve">3 </w:t>
            </w:r>
            <w:r>
              <w:rPr>
                <w:sz w:val="21"/>
              </w:rPr>
              <w:t>类标准</w:t>
            </w:r>
          </w:p>
        </w:tc>
      </w:tr>
      <w:tr w14:paraId="5FBB2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vMerge w:val="continue"/>
            <w:tcBorders>
              <w:top w:val="nil"/>
              <w:left w:val="nil"/>
            </w:tcBorders>
          </w:tcPr>
          <w:p w14:paraId="3627B78C">
            <w:pPr>
              <w:rPr>
                <w:sz w:val="2"/>
                <w:szCs w:val="2"/>
              </w:rPr>
            </w:pPr>
          </w:p>
        </w:tc>
        <w:tc>
          <w:tcPr>
            <w:tcW w:w="2030" w:type="dxa"/>
          </w:tcPr>
          <w:p w14:paraId="1C074539">
            <w:pPr>
              <w:pStyle w:val="17"/>
              <w:spacing w:before="7"/>
              <w:jc w:val="left"/>
              <w:rPr>
                <w:b/>
                <w:sz w:val="27"/>
              </w:rPr>
            </w:pPr>
          </w:p>
          <w:p w14:paraId="3236ADF6">
            <w:pPr>
              <w:pStyle w:val="17"/>
              <w:spacing w:before="1"/>
              <w:ind w:left="48" w:right="42"/>
              <w:rPr>
                <w:rFonts w:ascii="Times New Roman" w:eastAsia="Times New Roman"/>
                <w:sz w:val="21"/>
              </w:rPr>
            </w:pPr>
            <w:r>
              <w:rPr>
                <w:sz w:val="21"/>
              </w:rPr>
              <w:t xml:space="preserve">南侧厂界外 </w:t>
            </w:r>
            <w:r>
              <w:rPr>
                <w:rFonts w:ascii="Times New Roman" w:eastAsia="Times New Roman"/>
                <w:sz w:val="21"/>
              </w:rPr>
              <w:t>1m</w:t>
            </w:r>
          </w:p>
        </w:tc>
        <w:tc>
          <w:tcPr>
            <w:tcW w:w="1413" w:type="dxa"/>
          </w:tcPr>
          <w:p w14:paraId="0A39951D">
            <w:pPr>
              <w:pStyle w:val="17"/>
              <w:spacing w:before="190" w:line="290" w:lineRule="auto"/>
              <w:ind w:left="263" w:right="172" w:hanging="84"/>
              <w:jc w:val="left"/>
              <w:rPr>
                <w:sz w:val="21"/>
              </w:rPr>
            </w:pPr>
            <w:r>
              <w:rPr>
                <w:sz w:val="21"/>
              </w:rPr>
              <w:t xml:space="preserve">昼夜等效连续 </w:t>
            </w:r>
            <w:r>
              <w:rPr>
                <w:rFonts w:ascii="Times New Roman" w:eastAsia="Times New Roman"/>
                <w:sz w:val="21"/>
              </w:rPr>
              <w:t xml:space="preserve">A </w:t>
            </w:r>
            <w:r>
              <w:rPr>
                <w:sz w:val="21"/>
              </w:rPr>
              <w:t>声级</w:t>
            </w:r>
          </w:p>
        </w:tc>
        <w:tc>
          <w:tcPr>
            <w:tcW w:w="1287" w:type="dxa"/>
          </w:tcPr>
          <w:p w14:paraId="14272323">
            <w:pPr>
              <w:pStyle w:val="17"/>
              <w:spacing w:before="7"/>
              <w:jc w:val="left"/>
              <w:rPr>
                <w:b/>
                <w:sz w:val="27"/>
              </w:rPr>
            </w:pPr>
          </w:p>
          <w:p w14:paraId="26D3CE5C">
            <w:pPr>
              <w:pStyle w:val="17"/>
              <w:spacing w:before="1"/>
              <w:ind w:left="202" w:right="195"/>
              <w:rPr>
                <w:sz w:val="21"/>
              </w:rPr>
            </w:pPr>
            <w:r>
              <w:rPr>
                <w:sz w:val="21"/>
              </w:rPr>
              <w:t>手工监测</w:t>
            </w:r>
          </w:p>
        </w:tc>
        <w:tc>
          <w:tcPr>
            <w:tcW w:w="1201" w:type="dxa"/>
          </w:tcPr>
          <w:p w14:paraId="2A372DF1">
            <w:pPr>
              <w:pStyle w:val="17"/>
              <w:spacing w:before="7"/>
              <w:jc w:val="left"/>
              <w:rPr>
                <w:b/>
                <w:sz w:val="27"/>
              </w:rPr>
            </w:pPr>
          </w:p>
          <w:p w14:paraId="3EE596D9">
            <w:pPr>
              <w:pStyle w:val="17"/>
              <w:spacing w:before="1"/>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季度</w:t>
            </w:r>
          </w:p>
        </w:tc>
        <w:tc>
          <w:tcPr>
            <w:tcW w:w="2815" w:type="dxa"/>
            <w:tcBorders>
              <w:right w:val="nil"/>
            </w:tcBorders>
          </w:tcPr>
          <w:p w14:paraId="1043DA52">
            <w:pPr>
              <w:pStyle w:val="17"/>
              <w:spacing w:before="27"/>
              <w:ind w:left="123" w:firstLine="24"/>
              <w:jc w:val="left"/>
              <w:rPr>
                <w:sz w:val="21"/>
              </w:rPr>
            </w:pPr>
            <w:r>
              <w:rPr>
                <w:sz w:val="21"/>
              </w:rPr>
              <w:t>《工业企业厂界环境噪声排</w:t>
            </w:r>
          </w:p>
          <w:p w14:paraId="62FD15BC">
            <w:pPr>
              <w:pStyle w:val="17"/>
              <w:spacing w:before="6" w:line="320" w:lineRule="atLeast"/>
              <w:ind w:left="776" w:right="118" w:hanging="653"/>
              <w:jc w:val="left"/>
              <w:rPr>
                <w:sz w:val="21"/>
              </w:rPr>
            </w:pPr>
            <w:r>
              <w:rPr>
                <w:w w:val="95"/>
                <w:sz w:val="21"/>
              </w:rPr>
              <w:t>放标准》（</w:t>
            </w:r>
            <w:r>
              <w:rPr>
                <w:rFonts w:ascii="Times New Roman" w:eastAsia="Times New Roman"/>
                <w:w w:val="95"/>
                <w:sz w:val="21"/>
              </w:rPr>
              <w:t>GB12348-2008</w:t>
            </w:r>
            <w:r>
              <w:rPr>
                <w:w w:val="95"/>
                <w:sz w:val="21"/>
              </w:rPr>
              <w:t xml:space="preserve">） </w:t>
            </w:r>
            <w:r>
              <w:rPr>
                <w:sz w:val="21"/>
              </w:rPr>
              <w:t xml:space="preserve">中的 </w:t>
            </w:r>
            <w:r>
              <w:rPr>
                <w:rFonts w:ascii="Times New Roman" w:eastAsia="Times New Roman"/>
                <w:sz w:val="21"/>
              </w:rPr>
              <w:t xml:space="preserve">4 </w:t>
            </w:r>
            <w:r>
              <w:rPr>
                <w:sz w:val="21"/>
              </w:rPr>
              <w:t>类标准</w:t>
            </w:r>
          </w:p>
        </w:tc>
      </w:tr>
      <w:tr w14:paraId="31B22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33" w:type="dxa"/>
            <w:vMerge w:val="restart"/>
            <w:tcBorders>
              <w:left w:val="nil"/>
            </w:tcBorders>
          </w:tcPr>
          <w:p w14:paraId="6F87B652">
            <w:pPr>
              <w:pStyle w:val="17"/>
              <w:spacing w:before="4"/>
              <w:jc w:val="left"/>
              <w:rPr>
                <w:b/>
                <w:sz w:val="15"/>
              </w:rPr>
            </w:pPr>
          </w:p>
          <w:p w14:paraId="017C1541">
            <w:pPr>
              <w:pStyle w:val="17"/>
              <w:spacing w:line="290" w:lineRule="auto"/>
              <w:ind w:left="165" w:right="151"/>
              <w:jc w:val="both"/>
              <w:rPr>
                <w:sz w:val="21"/>
              </w:rPr>
            </w:pPr>
            <w:r>
              <w:rPr>
                <w:sz w:val="21"/>
              </w:rPr>
              <w:t>大气环境</w:t>
            </w:r>
          </w:p>
        </w:tc>
        <w:tc>
          <w:tcPr>
            <w:tcW w:w="2030" w:type="dxa"/>
            <w:vMerge w:val="restart"/>
          </w:tcPr>
          <w:p w14:paraId="4CD89A51">
            <w:pPr>
              <w:pStyle w:val="17"/>
              <w:jc w:val="left"/>
              <w:rPr>
                <w:b/>
                <w:sz w:val="20"/>
              </w:rPr>
            </w:pPr>
          </w:p>
          <w:p w14:paraId="33403F0F">
            <w:pPr>
              <w:pStyle w:val="17"/>
              <w:jc w:val="left"/>
              <w:rPr>
                <w:b/>
                <w:sz w:val="20"/>
              </w:rPr>
            </w:pPr>
          </w:p>
          <w:p w14:paraId="41A21C70">
            <w:pPr>
              <w:pStyle w:val="17"/>
              <w:spacing w:before="173"/>
              <w:ind w:left="385"/>
              <w:jc w:val="left"/>
              <w:rPr>
                <w:sz w:val="21"/>
              </w:rPr>
            </w:pPr>
            <w:r>
              <w:rPr>
                <w:sz w:val="21"/>
              </w:rPr>
              <w:t>项目南侧厂界</w:t>
            </w:r>
          </w:p>
        </w:tc>
        <w:tc>
          <w:tcPr>
            <w:tcW w:w="1413" w:type="dxa"/>
          </w:tcPr>
          <w:p w14:paraId="321B4C56">
            <w:pPr>
              <w:pStyle w:val="17"/>
              <w:spacing w:before="12"/>
              <w:jc w:val="left"/>
              <w:rPr>
                <w:b/>
                <w:sz w:val="14"/>
              </w:rPr>
            </w:pPr>
          </w:p>
          <w:p w14:paraId="3FF58933">
            <w:pPr>
              <w:pStyle w:val="17"/>
              <w:ind w:left="134" w:right="129"/>
              <w:rPr>
                <w:sz w:val="21"/>
              </w:rPr>
            </w:pPr>
            <w:r>
              <w:rPr>
                <w:sz w:val="21"/>
              </w:rPr>
              <w:t>非甲烷总烃</w:t>
            </w:r>
          </w:p>
        </w:tc>
        <w:tc>
          <w:tcPr>
            <w:tcW w:w="1287" w:type="dxa"/>
          </w:tcPr>
          <w:p w14:paraId="0C976C87">
            <w:pPr>
              <w:pStyle w:val="17"/>
              <w:spacing w:before="12"/>
              <w:jc w:val="left"/>
              <w:rPr>
                <w:b/>
                <w:sz w:val="14"/>
              </w:rPr>
            </w:pPr>
          </w:p>
          <w:p w14:paraId="4DBD1BD5">
            <w:pPr>
              <w:pStyle w:val="17"/>
              <w:ind w:left="202" w:right="195"/>
              <w:rPr>
                <w:sz w:val="21"/>
              </w:rPr>
            </w:pPr>
            <w:r>
              <w:rPr>
                <w:sz w:val="21"/>
              </w:rPr>
              <w:t>手工监测</w:t>
            </w:r>
          </w:p>
        </w:tc>
        <w:tc>
          <w:tcPr>
            <w:tcW w:w="1201" w:type="dxa"/>
          </w:tcPr>
          <w:p w14:paraId="0D3CCAD4">
            <w:pPr>
              <w:pStyle w:val="17"/>
              <w:spacing w:before="191"/>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412999CA">
            <w:pPr>
              <w:pStyle w:val="17"/>
              <w:spacing w:before="28"/>
              <w:ind w:left="147"/>
              <w:jc w:val="left"/>
              <w:rPr>
                <w:sz w:val="21"/>
              </w:rPr>
            </w:pPr>
            <w:r>
              <w:rPr>
                <w:sz w:val="21"/>
              </w:rPr>
              <w:t>《大气污染物综合排放标准</w:t>
            </w:r>
          </w:p>
          <w:p w14:paraId="44980326">
            <w:pPr>
              <w:pStyle w:val="17"/>
              <w:spacing w:before="57"/>
              <w:ind w:left="219"/>
              <w:jc w:val="left"/>
              <w:rPr>
                <w:sz w:val="21"/>
              </w:rPr>
            </w:pPr>
            <w:r>
              <w:rPr>
                <w:sz w:val="21"/>
              </w:rPr>
              <w:t xml:space="preserve">详解》中 </w:t>
            </w:r>
            <w:r>
              <w:rPr>
                <w:rFonts w:ascii="Times New Roman" w:eastAsia="Times New Roman"/>
                <w:sz w:val="21"/>
              </w:rPr>
              <w:t>2.0mg/m</w:t>
            </w:r>
            <w:r>
              <w:rPr>
                <w:rFonts w:ascii="Times New Roman" w:eastAsia="Times New Roman"/>
                <w:position w:val="7"/>
                <w:sz w:val="13"/>
              </w:rPr>
              <w:t xml:space="preserve">3 </w:t>
            </w:r>
            <w:r>
              <w:rPr>
                <w:sz w:val="21"/>
              </w:rPr>
              <w:t>的限值</w:t>
            </w:r>
          </w:p>
        </w:tc>
      </w:tr>
      <w:tr w14:paraId="4F183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533" w:type="dxa"/>
            <w:vMerge w:val="continue"/>
            <w:tcBorders>
              <w:top w:val="nil"/>
              <w:left w:val="nil"/>
            </w:tcBorders>
          </w:tcPr>
          <w:p w14:paraId="170F0A8E">
            <w:pPr>
              <w:rPr>
                <w:sz w:val="2"/>
                <w:szCs w:val="2"/>
              </w:rPr>
            </w:pPr>
          </w:p>
        </w:tc>
        <w:tc>
          <w:tcPr>
            <w:tcW w:w="2030" w:type="dxa"/>
            <w:vMerge w:val="continue"/>
            <w:tcBorders>
              <w:top w:val="nil"/>
            </w:tcBorders>
          </w:tcPr>
          <w:p w14:paraId="7FC53E88">
            <w:pPr>
              <w:rPr>
                <w:sz w:val="2"/>
                <w:szCs w:val="2"/>
              </w:rPr>
            </w:pPr>
          </w:p>
        </w:tc>
        <w:tc>
          <w:tcPr>
            <w:tcW w:w="1413" w:type="dxa"/>
          </w:tcPr>
          <w:p w14:paraId="17D4F0B3">
            <w:pPr>
              <w:pStyle w:val="17"/>
              <w:spacing w:before="10"/>
              <w:jc w:val="left"/>
              <w:rPr>
                <w:b/>
                <w:sz w:val="28"/>
              </w:rPr>
            </w:pPr>
          </w:p>
          <w:p w14:paraId="02AEB7EF">
            <w:pPr>
              <w:pStyle w:val="17"/>
              <w:ind w:left="135" w:right="129"/>
              <w:rPr>
                <w:rFonts w:ascii="Times New Roman"/>
                <w:sz w:val="21"/>
              </w:rPr>
            </w:pPr>
            <w:r>
              <w:rPr>
                <w:rFonts w:ascii="Times New Roman"/>
                <w:sz w:val="21"/>
              </w:rPr>
              <w:t>TSP</w:t>
            </w:r>
          </w:p>
        </w:tc>
        <w:tc>
          <w:tcPr>
            <w:tcW w:w="1287" w:type="dxa"/>
          </w:tcPr>
          <w:p w14:paraId="532E8847">
            <w:pPr>
              <w:pStyle w:val="17"/>
              <w:spacing w:before="9"/>
              <w:jc w:val="left"/>
              <w:rPr>
                <w:b/>
                <w:sz w:val="27"/>
              </w:rPr>
            </w:pPr>
          </w:p>
          <w:p w14:paraId="028382A9">
            <w:pPr>
              <w:pStyle w:val="17"/>
              <w:ind w:left="202" w:right="195"/>
              <w:rPr>
                <w:sz w:val="21"/>
              </w:rPr>
            </w:pPr>
            <w:r>
              <w:rPr>
                <w:sz w:val="21"/>
              </w:rPr>
              <w:t>手工监测</w:t>
            </w:r>
          </w:p>
        </w:tc>
        <w:tc>
          <w:tcPr>
            <w:tcW w:w="1201" w:type="dxa"/>
          </w:tcPr>
          <w:p w14:paraId="55580DB5">
            <w:pPr>
              <w:pStyle w:val="17"/>
              <w:spacing w:before="9"/>
              <w:jc w:val="left"/>
              <w:rPr>
                <w:b/>
                <w:sz w:val="27"/>
              </w:rPr>
            </w:pPr>
          </w:p>
          <w:p w14:paraId="4056F8F4">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41A4ED31">
            <w:pPr>
              <w:pStyle w:val="17"/>
              <w:spacing w:before="28"/>
              <w:ind w:left="356"/>
              <w:jc w:val="left"/>
              <w:rPr>
                <w:sz w:val="21"/>
              </w:rPr>
            </w:pPr>
            <w:r>
              <w:rPr>
                <w:sz w:val="21"/>
              </w:rPr>
              <w:t>《环境空气质量标准》</w:t>
            </w:r>
          </w:p>
          <w:p w14:paraId="1A276ADA">
            <w:pPr>
              <w:pStyle w:val="17"/>
              <w:spacing w:before="7" w:line="320" w:lineRule="atLeast"/>
              <w:ind w:left="68" w:right="63"/>
              <w:rPr>
                <w:sz w:val="21"/>
              </w:rPr>
            </w:pPr>
            <w:r>
              <w:rPr>
                <w:sz w:val="21"/>
              </w:rPr>
              <w:t>（</w:t>
            </w:r>
            <w:r>
              <w:rPr>
                <w:rFonts w:ascii="Times New Roman" w:eastAsia="Times New Roman"/>
                <w:sz w:val="21"/>
              </w:rPr>
              <w:t>GB3095-2012</w:t>
            </w:r>
            <w:r>
              <w:rPr>
                <w:sz w:val="21"/>
              </w:rPr>
              <w:t>）中的二级标准</w:t>
            </w:r>
          </w:p>
        </w:tc>
      </w:tr>
      <w:tr w14:paraId="18AB4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533" w:type="dxa"/>
            <w:tcBorders>
              <w:left w:val="nil"/>
            </w:tcBorders>
          </w:tcPr>
          <w:p w14:paraId="6F17A4F3">
            <w:pPr>
              <w:pStyle w:val="17"/>
              <w:spacing w:before="27" w:line="290" w:lineRule="auto"/>
              <w:ind w:left="165" w:right="151"/>
              <w:jc w:val="left"/>
              <w:rPr>
                <w:sz w:val="21"/>
              </w:rPr>
            </w:pPr>
            <w:r>
              <w:rPr>
                <w:sz w:val="21"/>
              </w:rPr>
              <w:t>地下</w:t>
            </w:r>
          </w:p>
          <w:p w14:paraId="45F90EF7">
            <w:pPr>
              <w:pStyle w:val="17"/>
              <w:spacing w:before="1"/>
              <w:ind w:left="165"/>
              <w:jc w:val="left"/>
              <w:rPr>
                <w:sz w:val="21"/>
              </w:rPr>
            </w:pPr>
            <w:r>
              <w:rPr>
                <w:w w:val="99"/>
                <w:sz w:val="21"/>
              </w:rPr>
              <w:t>水</w:t>
            </w:r>
          </w:p>
        </w:tc>
        <w:tc>
          <w:tcPr>
            <w:tcW w:w="2030" w:type="dxa"/>
          </w:tcPr>
          <w:p w14:paraId="75936783">
            <w:pPr>
              <w:pStyle w:val="17"/>
              <w:spacing w:before="7"/>
              <w:jc w:val="left"/>
              <w:rPr>
                <w:b/>
                <w:sz w:val="27"/>
              </w:rPr>
            </w:pPr>
          </w:p>
          <w:p w14:paraId="0577BCFB">
            <w:pPr>
              <w:pStyle w:val="17"/>
              <w:ind w:left="48" w:right="39"/>
              <w:rPr>
                <w:sz w:val="21"/>
              </w:rPr>
            </w:pPr>
            <w:r>
              <w:rPr>
                <w:sz w:val="21"/>
              </w:rPr>
              <w:t>地下水监控井</w:t>
            </w:r>
          </w:p>
        </w:tc>
        <w:tc>
          <w:tcPr>
            <w:tcW w:w="1413" w:type="dxa"/>
          </w:tcPr>
          <w:p w14:paraId="14AA6B25">
            <w:pPr>
              <w:pStyle w:val="17"/>
              <w:spacing w:before="7"/>
              <w:jc w:val="left"/>
              <w:rPr>
                <w:b/>
                <w:sz w:val="27"/>
              </w:rPr>
            </w:pPr>
          </w:p>
          <w:p w14:paraId="4209B3C3">
            <w:pPr>
              <w:pStyle w:val="17"/>
              <w:ind w:left="137" w:right="129"/>
              <w:rPr>
                <w:sz w:val="21"/>
              </w:rPr>
            </w:pPr>
            <w:r>
              <w:rPr>
                <w:rFonts w:ascii="Times New Roman" w:eastAsia="Times New Roman"/>
                <w:sz w:val="21"/>
              </w:rPr>
              <w:t>pH</w:t>
            </w:r>
            <w:r>
              <w:rPr>
                <w:sz w:val="21"/>
              </w:rPr>
              <w:t>、氨氮等</w:t>
            </w:r>
          </w:p>
        </w:tc>
        <w:tc>
          <w:tcPr>
            <w:tcW w:w="1287" w:type="dxa"/>
          </w:tcPr>
          <w:p w14:paraId="0C47CE2C">
            <w:pPr>
              <w:pStyle w:val="17"/>
              <w:spacing w:before="7"/>
              <w:jc w:val="left"/>
              <w:rPr>
                <w:b/>
                <w:sz w:val="27"/>
              </w:rPr>
            </w:pPr>
          </w:p>
          <w:p w14:paraId="179D3FBD">
            <w:pPr>
              <w:pStyle w:val="17"/>
              <w:ind w:left="202" w:right="195"/>
              <w:rPr>
                <w:sz w:val="21"/>
              </w:rPr>
            </w:pPr>
            <w:r>
              <w:rPr>
                <w:sz w:val="21"/>
              </w:rPr>
              <w:t>手工监测</w:t>
            </w:r>
          </w:p>
        </w:tc>
        <w:tc>
          <w:tcPr>
            <w:tcW w:w="1201" w:type="dxa"/>
          </w:tcPr>
          <w:p w14:paraId="04FBA503">
            <w:pPr>
              <w:pStyle w:val="17"/>
              <w:spacing w:before="7"/>
              <w:jc w:val="left"/>
              <w:rPr>
                <w:b/>
                <w:sz w:val="27"/>
              </w:rPr>
            </w:pPr>
          </w:p>
          <w:p w14:paraId="48E6E683">
            <w:pPr>
              <w:pStyle w:val="17"/>
              <w:ind w:left="155" w:right="149"/>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815" w:type="dxa"/>
            <w:tcBorders>
              <w:right w:val="nil"/>
            </w:tcBorders>
          </w:tcPr>
          <w:p w14:paraId="7D7AC93E">
            <w:pPr>
              <w:pStyle w:val="17"/>
              <w:spacing w:before="27"/>
              <w:ind w:left="87" w:right="85"/>
              <w:rPr>
                <w:sz w:val="21"/>
              </w:rPr>
            </w:pPr>
            <w:r>
              <w:rPr>
                <w:sz w:val="21"/>
              </w:rPr>
              <w:t>《地下水质量标准》</w:t>
            </w:r>
          </w:p>
          <w:p w14:paraId="0D14FCF3">
            <w:pPr>
              <w:pStyle w:val="17"/>
              <w:spacing w:before="57"/>
              <w:ind w:left="68" w:right="68"/>
              <w:rPr>
                <w:sz w:val="21"/>
              </w:rPr>
            </w:pPr>
            <w:r>
              <w:rPr>
                <w:sz w:val="21"/>
              </w:rPr>
              <w:t>（</w:t>
            </w:r>
            <w:r>
              <w:rPr>
                <w:rFonts w:ascii="Times New Roman" w:eastAsia="Times New Roman"/>
                <w:sz w:val="21"/>
              </w:rPr>
              <w:t>GB/T14848-2017</w:t>
            </w:r>
            <w:r>
              <w:rPr>
                <w:sz w:val="21"/>
              </w:rPr>
              <w:t>）</w:t>
            </w:r>
            <w:r>
              <w:rPr>
                <w:rFonts w:ascii="Times New Roman" w:eastAsia="Times New Roman"/>
                <w:sz w:val="21"/>
              </w:rPr>
              <w:t xml:space="preserve">III </w:t>
            </w:r>
            <w:r>
              <w:rPr>
                <w:sz w:val="21"/>
              </w:rPr>
              <w:t>类标</w:t>
            </w:r>
          </w:p>
          <w:p w14:paraId="515C826F">
            <w:pPr>
              <w:pStyle w:val="17"/>
              <w:spacing w:before="57"/>
              <w:ind w:left="2"/>
              <w:rPr>
                <w:sz w:val="21"/>
              </w:rPr>
            </w:pPr>
            <w:r>
              <w:rPr>
                <w:w w:val="99"/>
                <w:sz w:val="21"/>
              </w:rPr>
              <w:t>准</w:t>
            </w:r>
          </w:p>
        </w:tc>
      </w:tr>
    </w:tbl>
    <w:p w14:paraId="7248CCE6">
      <w:pPr>
        <w:pStyle w:val="10"/>
        <w:spacing w:before="94" w:line="381" w:lineRule="auto"/>
        <w:ind w:left="238" w:right="294" w:firstLine="480"/>
      </w:pPr>
      <w:r>
        <w:t>排污单位应建立自行监测质量管理制度，按照相关技术规范要求做好监测质量保证与质量控制。应做好与监测相关的数据记录，按照规定进行保存。</w:t>
      </w:r>
    </w:p>
    <w:p w14:paraId="61CE8DF9">
      <w:pPr>
        <w:pStyle w:val="16"/>
        <w:numPr>
          <w:ilvl w:val="2"/>
          <w:numId w:val="30"/>
        </w:numPr>
        <w:tabs>
          <w:tab w:val="left" w:pos="868"/>
        </w:tabs>
        <w:spacing w:before="55" w:after="0" w:line="240" w:lineRule="auto"/>
        <w:ind w:left="867" w:right="0" w:hanging="629"/>
        <w:jc w:val="left"/>
        <w:rPr>
          <w:b/>
          <w:sz w:val="28"/>
        </w:rPr>
      </w:pPr>
      <w:r>
        <w:rPr>
          <w:b/>
          <w:sz w:val="28"/>
        </w:rPr>
        <w:t>应急监测计划</w:t>
      </w:r>
    </w:p>
    <w:p w14:paraId="69EB49B2">
      <w:pPr>
        <w:pStyle w:val="10"/>
        <w:spacing w:before="238" w:line="381" w:lineRule="auto"/>
        <w:ind w:left="238" w:right="117" w:firstLine="480"/>
      </w:pPr>
      <w:r>
        <w:rPr>
          <w:spacing w:val="-3"/>
        </w:rPr>
        <w:t xml:space="preserve">为及时有效的了解本企业事故排放对外界环境的影响，便于上级部门的指挥和调度， </w:t>
      </w:r>
      <w:r>
        <w:rPr>
          <w:spacing w:val="-7"/>
        </w:rPr>
        <w:t>发生较大污染事件时，项目厂区发生事故时进行环境应急监测，具体监测方案和计划如 下：</w:t>
      </w:r>
    </w:p>
    <w:p w14:paraId="00B239DD">
      <w:pPr>
        <w:pStyle w:val="10"/>
        <w:spacing w:line="307" w:lineRule="exact"/>
        <w:ind w:left="718"/>
      </w:pPr>
      <w:r>
        <w:rPr>
          <w:rFonts w:ascii="Times New Roman" w:eastAsia="Times New Roman"/>
        </w:rPr>
        <w:t>1</w:t>
      </w:r>
      <w:r>
        <w:t>、快速监测</w:t>
      </w:r>
    </w:p>
    <w:p w14:paraId="38132E8F">
      <w:pPr>
        <w:pStyle w:val="10"/>
        <w:spacing w:before="182" w:line="381" w:lineRule="auto"/>
        <w:ind w:left="238" w:right="358" w:firstLine="480"/>
      </w:pPr>
      <w:r>
        <w:t>（</w:t>
      </w:r>
      <w:r>
        <w:rPr>
          <w:rFonts w:ascii="Times New Roman" w:eastAsia="Times New Roman"/>
        </w:rPr>
        <w:t>1</w:t>
      </w:r>
      <w:r>
        <w:t>）监测人员接到事故通报后立即赶赴事故现场，实施快速监测，及时将监测结果报告指挥部，快测快报，必要时，可以采用先口头报告，后书面报告的形式。</w:t>
      </w:r>
    </w:p>
    <w:p w14:paraId="204FCAF7">
      <w:pPr>
        <w:pStyle w:val="10"/>
        <w:spacing w:before="2" w:line="379" w:lineRule="auto"/>
        <w:ind w:left="238" w:right="358" w:firstLine="480"/>
      </w:pPr>
      <w:r>
        <w:t>（</w:t>
      </w:r>
      <w:r>
        <w:rPr>
          <w:rFonts w:ascii="Times New Roman" w:eastAsia="Times New Roman"/>
        </w:rPr>
        <w:t>2</w:t>
      </w:r>
      <w:r>
        <w:t>）指挥部依据快速监测的结果，结合事故初步调查评估的结论，确定进一步行动布置以及是否启动精确监测程度。</w:t>
      </w:r>
    </w:p>
    <w:p w14:paraId="57111C37">
      <w:pPr>
        <w:pStyle w:val="10"/>
        <w:spacing w:before="5"/>
        <w:ind w:left="718"/>
      </w:pPr>
      <w:r>
        <w:rPr>
          <w:rFonts w:ascii="Times New Roman" w:eastAsia="Times New Roman"/>
        </w:rPr>
        <w:t>2</w:t>
      </w:r>
      <w:r>
        <w:t>、精确监测</w:t>
      </w:r>
    </w:p>
    <w:p w14:paraId="0D3D761B">
      <w:pPr>
        <w:pStyle w:val="10"/>
        <w:spacing w:before="182" w:line="381" w:lineRule="auto"/>
        <w:ind w:left="238" w:right="294" w:firstLine="480"/>
      </w:pPr>
      <w:r>
        <w:t>精确监测程序一旦启动，监测单位应立即着手采样准备，实验分析，确保以最快的速度实施监测、报告结果。</w:t>
      </w:r>
    </w:p>
    <w:p w14:paraId="6EC17A26">
      <w:pPr>
        <w:pStyle w:val="10"/>
        <w:spacing w:line="381" w:lineRule="auto"/>
        <w:ind w:left="238" w:right="305" w:firstLine="480"/>
      </w:pPr>
      <w:r>
        <w:t>根据现场情况和监测结果，采取有效的防治措施，控制可能被污染的人数、范围， 并及时通知相关部门采取应急措施，对物料泄漏进行排险。</w:t>
      </w:r>
    </w:p>
    <w:p w14:paraId="20290B01">
      <w:pPr>
        <w:spacing w:after="0" w:line="381" w:lineRule="auto"/>
        <w:sectPr>
          <w:pgSz w:w="11910" w:h="16840"/>
          <w:pgMar w:top="1340" w:right="1060" w:bottom="900" w:left="1180" w:header="0" w:footer="712" w:gutter="0"/>
          <w:cols w:space="720" w:num="1"/>
        </w:sectPr>
      </w:pPr>
    </w:p>
    <w:p w14:paraId="2D320B89">
      <w:pPr>
        <w:pStyle w:val="10"/>
        <w:spacing w:before="55" w:line="381" w:lineRule="auto"/>
        <w:ind w:left="238" w:right="117" w:firstLine="480"/>
      </w:pPr>
      <w:r>
        <w:rPr>
          <w:spacing w:val="-14"/>
        </w:rPr>
        <w:t>事故得到控制，紧急情况解除后，污染事故应急处理人员立即进入现场，配合消防、</w:t>
      </w:r>
      <w:r>
        <w:rPr>
          <w:spacing w:val="-16"/>
        </w:rPr>
        <w:t>卫生等部门指导相关人员清除泄漏现场遗留危险物质，消除物料泄漏对环境产生的影响， 同时检测核实没有隐患、空气环境质量达标后，通知被疏散群众返回，恢复正常生产和 生活。</w:t>
      </w:r>
    </w:p>
    <w:p w14:paraId="6E0C8172">
      <w:pPr>
        <w:pStyle w:val="10"/>
        <w:ind w:left="718"/>
      </w:pPr>
      <w:r>
        <w:rPr>
          <w:rFonts w:ascii="Times New Roman" w:eastAsia="Times New Roman"/>
        </w:rPr>
        <w:t>3</w:t>
      </w:r>
      <w:r>
        <w:t>、监测人员的防护和监护措施</w:t>
      </w:r>
    </w:p>
    <w:p w14:paraId="38D313B3">
      <w:pPr>
        <w:pStyle w:val="10"/>
        <w:spacing w:before="180" w:line="381" w:lineRule="auto"/>
        <w:ind w:left="238" w:right="358" w:firstLine="480"/>
      </w:pPr>
      <w:r>
        <w:t>（</w:t>
      </w:r>
      <w:r>
        <w:rPr>
          <w:rFonts w:ascii="Times New Roman" w:eastAsia="Times New Roman"/>
        </w:rPr>
        <w:t>1</w:t>
      </w:r>
      <w:r>
        <w:t>）事故发生后，通信警戒组人员根据事故性质、发展趋势，联系当地环保、卫生监督等部门来厂协助进行现场监测。</w:t>
      </w:r>
    </w:p>
    <w:p w14:paraId="090894B2">
      <w:pPr>
        <w:pStyle w:val="10"/>
        <w:spacing w:before="1" w:line="381" w:lineRule="auto"/>
        <w:ind w:left="238" w:right="357" w:firstLine="480"/>
        <w:jc w:val="both"/>
      </w:pPr>
      <w:r>
        <w:t>（</w:t>
      </w:r>
      <w:r>
        <w:rPr>
          <w:rFonts w:ascii="Times New Roman" w:eastAsia="Times New Roman"/>
        </w:rPr>
        <w:t>2</w:t>
      </w:r>
      <w:r>
        <w:t>）监测人员必须正确佩带好防护用具，进入事故波及区必须登记。监测人员不</w:t>
      </w:r>
      <w:r>
        <w:rPr>
          <w:spacing w:val="-11"/>
        </w:rPr>
        <w:t xml:space="preserve">得单独行动，需 </w:t>
      </w:r>
      <w:r>
        <w:rPr>
          <w:rFonts w:ascii="Times New Roman" w:eastAsia="Times New Roman"/>
        </w:rPr>
        <w:t xml:space="preserve">2~3 </w:t>
      </w:r>
      <w:r>
        <w:rPr>
          <w:spacing w:val="-4"/>
        </w:rPr>
        <w:t>人一起进行监测。必须相互间能够联络、监护。可能发生更大事故时应立即撤离监测区域。</w:t>
      </w:r>
    </w:p>
    <w:p w14:paraId="635B329B">
      <w:pPr>
        <w:pStyle w:val="3"/>
        <w:numPr>
          <w:ilvl w:val="1"/>
          <w:numId w:val="31"/>
        </w:numPr>
        <w:tabs>
          <w:tab w:val="left" w:pos="688"/>
        </w:tabs>
        <w:spacing w:before="43" w:after="0" w:line="240" w:lineRule="auto"/>
        <w:ind w:left="687" w:right="0" w:hanging="449"/>
        <w:jc w:val="left"/>
      </w:pPr>
      <w:bookmarkStart w:id="43" w:name="_TOC_250012"/>
      <w:bookmarkEnd w:id="43"/>
      <w:r>
        <w:t>排污口规范化设置</w:t>
      </w:r>
    </w:p>
    <w:p w14:paraId="41C0F479">
      <w:pPr>
        <w:pStyle w:val="10"/>
        <w:spacing w:before="225" w:line="381" w:lineRule="auto"/>
        <w:ind w:left="238" w:right="327" w:firstLine="480"/>
        <w:jc w:val="both"/>
      </w:pPr>
      <w:r>
        <w:rPr>
          <w:spacing w:val="-5"/>
        </w:rPr>
        <w:t>排污口规范化根据《关于开展排放口规范化整治工作的通知》</w:t>
      </w:r>
      <w:r>
        <w:t>（国家环境保护总局环发</w:t>
      </w:r>
      <w:r>
        <w:rPr>
          <w:rFonts w:ascii="Times New Roman" w:eastAsia="Times New Roman"/>
        </w:rPr>
        <w:t xml:space="preserve">[1999]24 </w:t>
      </w:r>
      <w:r>
        <w:t xml:space="preserve">号）文件的要求，一切新建、改建的排污单位以及限期治理的排污单位， </w:t>
      </w:r>
      <w:r>
        <w:rPr>
          <w:spacing w:val="-4"/>
        </w:rPr>
        <w:t>必须在建设污染治理设施的同时，建设规范化排污口。因此，建设单位在投产时，各类</w:t>
      </w:r>
      <w:r>
        <w:rPr>
          <w:spacing w:val="-7"/>
        </w:rPr>
        <w:t>排污口必须规范化建设和管理，而且规范化工作应于污染治理同步实施，即治理设施完</w:t>
      </w:r>
      <w:r>
        <w:rPr>
          <w:spacing w:val="-8"/>
        </w:rPr>
        <w:t>工时，规范化工作必须同时完成，并列入污染物治理设施的验收内容。同时要求按照国</w:t>
      </w:r>
      <w:r>
        <w:rPr>
          <w:spacing w:val="-9"/>
        </w:rPr>
        <w:t>家环保总局制定的《环境保护图形标志实施细则</w:t>
      </w:r>
      <w:r>
        <w:t>（试行</w:t>
      </w:r>
      <w:r>
        <w:rPr>
          <w:spacing w:val="-10"/>
        </w:rPr>
        <w:t>）</w:t>
      </w:r>
      <w:r>
        <w:rPr>
          <w:spacing w:val="-5"/>
        </w:rPr>
        <w:t>》的规定，设置与排污口相应的图形标志牌。</w:t>
      </w:r>
    </w:p>
    <w:p w14:paraId="16F02DCE">
      <w:pPr>
        <w:pStyle w:val="10"/>
        <w:ind w:left="718"/>
      </w:pPr>
      <w:r>
        <w:t>（</w:t>
      </w:r>
      <w:r>
        <w:rPr>
          <w:rFonts w:ascii="Times New Roman" w:eastAsia="Times New Roman"/>
        </w:rPr>
        <w:t>1</w:t>
      </w:r>
      <w:r>
        <w:t>）废水排放口</w:t>
      </w:r>
    </w:p>
    <w:p w14:paraId="3DDA7597">
      <w:pPr>
        <w:pStyle w:val="10"/>
        <w:spacing w:before="182" w:line="379" w:lineRule="auto"/>
        <w:ind w:left="238" w:right="305" w:firstLine="480"/>
      </w:pPr>
      <w:r>
        <w:t>排污单位的废水排放口应按照《污染源监测技术规范》设置规范的、便于测量流量的测流段和采样点。本项目依托中塑新材料现有已建废水排放口，不新增废水排放口。</w:t>
      </w:r>
    </w:p>
    <w:p w14:paraId="3C3F8F89">
      <w:pPr>
        <w:pStyle w:val="10"/>
        <w:spacing w:before="5"/>
        <w:ind w:left="718"/>
      </w:pPr>
      <w:r>
        <w:t>（</w:t>
      </w:r>
      <w:r>
        <w:rPr>
          <w:rFonts w:ascii="Times New Roman" w:eastAsia="Times New Roman"/>
        </w:rPr>
        <w:t>2</w:t>
      </w:r>
      <w:r>
        <w:t>）废气排放口</w:t>
      </w:r>
    </w:p>
    <w:p w14:paraId="429D0B80">
      <w:pPr>
        <w:pStyle w:val="10"/>
        <w:spacing w:before="182"/>
        <w:ind w:left="718"/>
      </w:pPr>
      <w:r>
        <w:t xml:space="preserve">本项目设置废气排放口 </w:t>
      </w:r>
      <w:r>
        <w:rPr>
          <w:rFonts w:ascii="Times New Roman" w:eastAsia="Times New Roman"/>
        </w:rPr>
        <w:t xml:space="preserve">2 </w:t>
      </w:r>
      <w:r>
        <w:t>处。</w:t>
      </w:r>
    </w:p>
    <w:p w14:paraId="5444045A">
      <w:pPr>
        <w:pStyle w:val="10"/>
        <w:spacing w:before="182" w:line="379" w:lineRule="auto"/>
        <w:ind w:left="238" w:right="305" w:firstLine="480"/>
      </w:pPr>
      <w:r>
        <w:t>排气筒内径和高度需符合环评及安全要求，废气处理设施前后均需要设置采样口。废气排气筒建设应根据《固定污染源排气中颗粒物测定与气态污染物采样方法》</w:t>
      </w:r>
    </w:p>
    <w:p w14:paraId="488F5D17">
      <w:pPr>
        <w:pStyle w:val="10"/>
        <w:spacing w:before="6" w:line="381" w:lineRule="auto"/>
        <w:ind w:left="238" w:right="305"/>
        <w:jc w:val="both"/>
      </w:pPr>
      <w:r>
        <w:t>（</w:t>
      </w:r>
      <w:r>
        <w:rPr>
          <w:rFonts w:ascii="Times New Roman" w:eastAsia="Times New Roman"/>
        </w:rPr>
        <w:t>GB/T16157-1996</w:t>
      </w:r>
      <w:r>
        <w:t>）</w:t>
      </w:r>
      <w:r>
        <w:rPr>
          <w:spacing w:val="-4"/>
        </w:rPr>
        <w:t>关于采样位置的要求，排气筒应设置检测采样孔。采样位置应优先选择在垂直管段，应避开烟道弯头和断面急剧变化的部位。采样位置应设置在距弯头、</w:t>
      </w:r>
      <w:r>
        <w:rPr>
          <w:spacing w:val="-9"/>
        </w:rPr>
        <w:t xml:space="preserve">阀门、变径管下游方向不小于 </w:t>
      </w:r>
      <w:r>
        <w:rPr>
          <w:rFonts w:ascii="Times New Roman" w:eastAsia="Times New Roman"/>
        </w:rPr>
        <w:t xml:space="preserve">6 </w:t>
      </w:r>
      <w:r>
        <w:rPr>
          <w:spacing w:val="-8"/>
        </w:rPr>
        <w:t xml:space="preserve">倍直径，和距上述部件上游方向不小于 </w:t>
      </w:r>
      <w:r>
        <w:rPr>
          <w:rFonts w:ascii="Times New Roman" w:eastAsia="Times New Roman"/>
        </w:rPr>
        <w:t xml:space="preserve">3 </w:t>
      </w:r>
      <w:r>
        <w:rPr>
          <w:spacing w:val="-4"/>
        </w:rPr>
        <w:t>倍直径处，对</w:t>
      </w:r>
    </w:p>
    <w:p w14:paraId="4964BB85">
      <w:pPr>
        <w:spacing w:after="0" w:line="381" w:lineRule="auto"/>
        <w:jc w:val="both"/>
        <w:sectPr>
          <w:footerReference r:id="rId38" w:type="default"/>
          <w:pgSz w:w="11910" w:h="16840"/>
          <w:pgMar w:top="1380" w:right="1060" w:bottom="900" w:left="1180" w:header="0" w:footer="712" w:gutter="0"/>
          <w:pgNumType w:start="180"/>
          <w:cols w:space="720" w:num="1"/>
        </w:sectPr>
      </w:pPr>
    </w:p>
    <w:p w14:paraId="1B8E0CE3">
      <w:pPr>
        <w:pStyle w:val="10"/>
        <w:spacing w:before="55" w:line="381" w:lineRule="auto"/>
        <w:ind w:left="238" w:right="305"/>
        <w:jc w:val="both"/>
      </w:pPr>
      <w:r>
        <w:rPr>
          <w:spacing w:val="-5"/>
        </w:rPr>
        <w:t xml:space="preserve">矩形烟道，其当量直径 </w:t>
      </w:r>
      <w:r>
        <w:rPr>
          <w:rFonts w:ascii="Times New Roman" w:hAnsi="Times New Roman" w:eastAsia="Times New Roman"/>
        </w:rPr>
        <w:t>D</w:t>
      </w:r>
      <w:r>
        <w:t>＝</w:t>
      </w:r>
      <w:r>
        <w:rPr>
          <w:rFonts w:ascii="Times New Roman" w:hAnsi="Times New Roman" w:eastAsia="Times New Roman"/>
        </w:rPr>
        <w:t>2AB/(A+B)</w:t>
      </w:r>
      <w:r>
        <w:rPr>
          <w:spacing w:val="-14"/>
        </w:rPr>
        <w:t xml:space="preserve">，式中 </w:t>
      </w:r>
      <w:r>
        <w:rPr>
          <w:rFonts w:ascii="Times New Roman" w:hAnsi="Times New Roman" w:eastAsia="Times New Roman"/>
        </w:rPr>
        <w:t>A</w:t>
      </w:r>
      <w:r>
        <w:t>、</w:t>
      </w:r>
      <w:r>
        <w:rPr>
          <w:rFonts w:ascii="Times New Roman" w:hAnsi="Times New Roman" w:eastAsia="Times New Roman"/>
        </w:rPr>
        <w:t xml:space="preserve">B </w:t>
      </w:r>
      <w:r>
        <w:t>为边长。在选定的测定位置上开设</w:t>
      </w:r>
      <w:r>
        <w:rPr>
          <w:spacing w:val="-4"/>
        </w:rPr>
        <w:t xml:space="preserve">采样孔，采样孔内径应不小于 </w:t>
      </w:r>
      <w:r>
        <w:rPr>
          <w:rFonts w:ascii="Times New Roman" w:hAnsi="Times New Roman" w:eastAsia="Times New Roman"/>
        </w:rPr>
        <w:t>80mm</w:t>
      </w:r>
      <w:r>
        <w:rPr>
          <w:spacing w:val="-5"/>
        </w:rPr>
        <w:t xml:space="preserve">，采样孔管应不大于 </w:t>
      </w:r>
      <w:r>
        <w:rPr>
          <w:rFonts w:ascii="Times New Roman" w:hAnsi="Times New Roman" w:eastAsia="Times New Roman"/>
        </w:rPr>
        <w:t>50mm</w:t>
      </w:r>
      <w:r>
        <w:t>，不使用时应用盖板、</w:t>
      </w:r>
      <w:r>
        <w:rPr>
          <w:spacing w:val="-3"/>
        </w:rPr>
        <w:t xml:space="preserve">管堵或管帽封闭，当采样孔仅用于采集气态污染物时，其内径应不小于 </w:t>
      </w:r>
      <w:r>
        <w:rPr>
          <w:rFonts w:ascii="Times New Roman" w:hAnsi="Times New Roman" w:eastAsia="Times New Roman"/>
        </w:rPr>
        <w:t>40mm</w:t>
      </w:r>
      <w:r>
        <w:t xml:space="preserve">。同时为检测人员设置采样平台，采样平台应有足够的工作面积使工作人员安全、方便地操作， </w:t>
      </w:r>
      <w:r>
        <w:rPr>
          <w:spacing w:val="-7"/>
        </w:rPr>
        <w:t xml:space="preserve">平台面积应不小于 </w:t>
      </w:r>
      <w:r>
        <w:rPr>
          <w:rFonts w:ascii="Times New Roman" w:hAnsi="Times New Roman" w:eastAsia="Times New Roman"/>
          <w:spacing w:val="-4"/>
        </w:rPr>
        <w:t>1.5m</w:t>
      </w:r>
      <w:r>
        <w:rPr>
          <w:rFonts w:ascii="Times New Roman" w:hAnsi="Times New Roman" w:eastAsia="Times New Roman"/>
          <w:spacing w:val="-4"/>
          <w:position w:val="8"/>
          <w:sz w:val="15"/>
        </w:rPr>
        <w:t>2</w:t>
      </w:r>
      <w:r>
        <w:rPr>
          <w:spacing w:val="-14"/>
        </w:rPr>
        <w:t xml:space="preserve">，并设有 </w:t>
      </w:r>
      <w:r>
        <w:rPr>
          <w:rFonts w:ascii="Times New Roman" w:hAnsi="Times New Roman" w:eastAsia="Times New Roman"/>
        </w:rPr>
        <w:t xml:space="preserve">1.1m </w:t>
      </w:r>
      <w:r>
        <w:rPr>
          <w:spacing w:val="-8"/>
        </w:rPr>
        <w:t xml:space="preserve">高的护栏，采样孔距平台面约为 </w:t>
      </w:r>
      <w:r>
        <w:rPr>
          <w:rFonts w:ascii="Times New Roman" w:hAnsi="Times New Roman" w:eastAsia="Times New Roman"/>
        </w:rPr>
        <w:t>1.2-1.3m</w:t>
      </w:r>
      <w:r>
        <w:t>；根据设置的采样平台高度，设置</w:t>
      </w:r>
      <w:r>
        <w:rPr>
          <w:rFonts w:ascii="Times New Roman" w:hAnsi="Times New Roman" w:eastAsia="Times New Roman"/>
        </w:rPr>
        <w:t>“Z”</w:t>
      </w:r>
      <w:r>
        <w:t>字型爬梯或环形爬梯，用于采样人员攀登上采样平台， 爬梯需做好护栏等防护措施。并在排气筒上或旁边张贴标示牌。</w:t>
      </w:r>
    </w:p>
    <w:p w14:paraId="3FF10BD0">
      <w:pPr>
        <w:pStyle w:val="10"/>
        <w:ind w:left="718"/>
      </w:pPr>
      <w:r>
        <w:t>（</w:t>
      </w:r>
      <w:r>
        <w:rPr>
          <w:rFonts w:ascii="Times New Roman" w:eastAsia="Times New Roman"/>
        </w:rPr>
        <w:t>3</w:t>
      </w:r>
      <w:r>
        <w:t>）固定噪声源</w:t>
      </w:r>
    </w:p>
    <w:p w14:paraId="43C828A2">
      <w:pPr>
        <w:pStyle w:val="10"/>
        <w:spacing w:before="182"/>
        <w:ind w:left="718"/>
      </w:pPr>
      <w:r>
        <w:t>按规定对固定噪声源进行治理，并在对外界影响最大处设置标志牌。</w:t>
      </w:r>
    </w:p>
    <w:p w14:paraId="02544C55">
      <w:pPr>
        <w:pStyle w:val="10"/>
        <w:spacing w:before="179"/>
        <w:ind w:left="718"/>
      </w:pPr>
      <w:r>
        <w:t>（</w:t>
      </w:r>
      <w:r>
        <w:rPr>
          <w:rFonts w:ascii="Times New Roman" w:eastAsia="Times New Roman"/>
        </w:rPr>
        <w:t>4</w:t>
      </w:r>
      <w:r>
        <w:t>）固体废物储存场</w:t>
      </w:r>
    </w:p>
    <w:p w14:paraId="201DF1FC">
      <w:pPr>
        <w:pStyle w:val="10"/>
        <w:spacing w:before="183" w:line="381" w:lineRule="auto"/>
        <w:ind w:left="238" w:right="357" w:firstLine="480"/>
        <w:jc w:val="both"/>
      </w:pPr>
      <w:r>
        <w:rPr>
          <w:spacing w:val="-6"/>
        </w:rPr>
        <w:t>一般固体废物、危险废物应设置专用贮存、堆放场地，并符合国家标准的要求，采取防止二次扬尘措施。</w:t>
      </w:r>
    </w:p>
    <w:p w14:paraId="3A82AFE6">
      <w:pPr>
        <w:pStyle w:val="10"/>
        <w:spacing w:before="1"/>
        <w:ind w:left="718"/>
      </w:pPr>
      <w:r>
        <w:t>（</w:t>
      </w:r>
      <w:r>
        <w:rPr>
          <w:rFonts w:ascii="Times New Roman" w:eastAsia="Times New Roman"/>
        </w:rPr>
        <w:t>5</w:t>
      </w:r>
      <w:r>
        <w:t>）设置标志牌要求</w:t>
      </w:r>
    </w:p>
    <w:p w14:paraId="0199B2DC">
      <w:pPr>
        <w:pStyle w:val="10"/>
        <w:spacing w:before="180" w:line="381" w:lineRule="auto"/>
        <w:ind w:left="238" w:right="357" w:firstLine="480"/>
        <w:jc w:val="both"/>
      </w:pPr>
      <w:r>
        <w:rPr>
          <w:spacing w:val="-2"/>
        </w:rPr>
        <w:t>排放一般污染物排污口</w:t>
      </w:r>
      <w:r>
        <w:rPr>
          <w:spacing w:val="-3"/>
        </w:rPr>
        <w:t>（</w:t>
      </w:r>
      <w:r>
        <w:t>源</w:t>
      </w:r>
      <w:r>
        <w:rPr>
          <w:spacing w:val="-12"/>
        </w:rPr>
        <w:t>），</w:t>
      </w:r>
      <w:r>
        <w:rPr>
          <w:spacing w:val="-2"/>
        </w:rPr>
        <w:t>设置提示式标志牌，排放有毒有害等污染物的排污</w:t>
      </w:r>
      <w:r>
        <w:rPr>
          <w:spacing w:val="-5"/>
        </w:rPr>
        <w:t>口设置警告式标志牌。标志牌设置位置在排污口</w:t>
      </w:r>
      <w:r>
        <w:t>（采样点</w:t>
      </w:r>
      <w:r>
        <w:rPr>
          <w:spacing w:val="-12"/>
        </w:rPr>
        <w:t>）</w:t>
      </w:r>
      <w:r>
        <w:rPr>
          <w:spacing w:val="-2"/>
        </w:rPr>
        <w:t>附近且醒目处，高度为标志</w:t>
      </w:r>
      <w:r>
        <w:rPr>
          <w:spacing w:val="-9"/>
        </w:rPr>
        <w:t xml:space="preserve">牌上缘离地面 </w:t>
      </w:r>
      <w:r>
        <w:rPr>
          <w:rFonts w:ascii="Times New Roman" w:eastAsia="Times New Roman"/>
        </w:rPr>
        <w:t>2m</w:t>
      </w:r>
      <w:r>
        <w:rPr>
          <w:spacing w:val="-7"/>
        </w:rPr>
        <w:t xml:space="preserve">。排污口附近 </w:t>
      </w:r>
      <w:r>
        <w:rPr>
          <w:rFonts w:ascii="Times New Roman" w:eastAsia="Times New Roman"/>
        </w:rPr>
        <w:t xml:space="preserve">1m </w:t>
      </w:r>
      <w:r>
        <w:t>范围内有建筑物的，设平面式标志牌，无建筑物的设立式标志牌。</w:t>
      </w:r>
    </w:p>
    <w:p w14:paraId="47806BBF">
      <w:pPr>
        <w:pStyle w:val="10"/>
        <w:spacing w:line="381" w:lineRule="auto"/>
        <w:ind w:left="238" w:right="305" w:firstLine="480"/>
        <w:jc w:val="both"/>
      </w:pPr>
      <w:r>
        <w:t>规范化排污口的有关设置（如图形标志牌、计量装置、监控装置等）属环保设施， 排污单位必须负责日常的维护保养，任何单位和个人不得擅自拆除，如需变更的须报娄底市环境监测部门同意并办理变更手续。</w:t>
      </w:r>
    </w:p>
    <w:p w14:paraId="6D5DD5D6">
      <w:pPr>
        <w:pStyle w:val="10"/>
        <w:spacing w:before="2" w:line="381" w:lineRule="auto"/>
        <w:ind w:left="238" w:right="305" w:firstLine="480"/>
        <w:jc w:val="both"/>
      </w:pPr>
      <w:r>
        <w:rPr>
          <w:spacing w:val="-3"/>
        </w:rPr>
        <w:t>建设单位应在各个排污口处竖立标志牌，并如实填写《中华人民共和国规范化排污</w:t>
      </w:r>
      <w:r>
        <w:rPr>
          <w:spacing w:val="-8"/>
        </w:rPr>
        <w:t>口标记登记证》，由环保部门签发。环保主管部门和建设单位可分别按以下内容建立排污口管理的专门档案：排污口性质和编号；位置；排放主要污染物种类、数量、浓度； 排放去向；达标情况；治理设施运行情况及整改意见。</w:t>
      </w:r>
    </w:p>
    <w:p w14:paraId="5D06C168">
      <w:pPr>
        <w:pStyle w:val="10"/>
        <w:ind w:left="718"/>
      </w:pPr>
      <w:r>
        <w:t xml:space="preserve">本项目环境保护图形符号具体见表 </w:t>
      </w:r>
      <w:r>
        <w:rPr>
          <w:rFonts w:ascii="Times New Roman" w:eastAsia="Times New Roman"/>
        </w:rPr>
        <w:t>7.2-2</w:t>
      </w:r>
      <w:r>
        <w:t>。</w:t>
      </w:r>
    </w:p>
    <w:p w14:paraId="60A22190">
      <w:pPr>
        <w:pStyle w:val="10"/>
        <w:spacing w:before="5"/>
        <w:rPr>
          <w:sz w:val="20"/>
        </w:rPr>
      </w:pPr>
    </w:p>
    <w:p w14:paraId="22A58D66">
      <w:pPr>
        <w:pStyle w:val="9"/>
        <w:tabs>
          <w:tab w:val="left" w:pos="1039"/>
        </w:tabs>
        <w:spacing w:before="0" w:after="10"/>
        <w:ind w:left="0" w:right="122"/>
        <w:jc w:val="center"/>
      </w:pPr>
      <w:r>
        <w:t>表</w:t>
      </w:r>
      <w:r>
        <w:rPr>
          <w:spacing w:val="-62"/>
        </w:rPr>
        <w:t xml:space="preserve"> </w:t>
      </w:r>
      <w:r>
        <w:rPr>
          <w:rFonts w:ascii="Times New Roman" w:eastAsia="Times New Roman"/>
        </w:rPr>
        <w:t>7.2-2</w:t>
      </w:r>
      <w:r>
        <w:rPr>
          <w:rFonts w:ascii="Times New Roman" w:eastAsia="Times New Roman"/>
        </w:rPr>
        <w:tab/>
      </w:r>
      <w:r>
        <w:t>排放口图形标志</w:t>
      </w:r>
    </w:p>
    <w:tbl>
      <w:tblPr>
        <w:tblStyle w:val="13"/>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4"/>
        <w:gridCol w:w="2400"/>
        <w:gridCol w:w="2359"/>
        <w:gridCol w:w="1408"/>
        <w:gridCol w:w="2381"/>
      </w:tblGrid>
      <w:tr w14:paraId="5D68CE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734" w:type="dxa"/>
            <w:tcBorders>
              <w:left w:val="nil"/>
              <w:right w:val="single" w:color="000000" w:sz="4" w:space="0"/>
            </w:tcBorders>
          </w:tcPr>
          <w:p w14:paraId="1A484299">
            <w:pPr>
              <w:pStyle w:val="17"/>
              <w:spacing w:before="56"/>
              <w:ind w:left="202"/>
              <w:jc w:val="left"/>
              <w:rPr>
                <w:sz w:val="18"/>
              </w:rPr>
            </w:pPr>
            <w:r>
              <w:rPr>
                <w:sz w:val="18"/>
              </w:rPr>
              <w:t>序号</w:t>
            </w:r>
          </w:p>
        </w:tc>
        <w:tc>
          <w:tcPr>
            <w:tcW w:w="2400" w:type="dxa"/>
            <w:tcBorders>
              <w:left w:val="single" w:color="000000" w:sz="4" w:space="0"/>
              <w:right w:val="single" w:color="000000" w:sz="4" w:space="0"/>
            </w:tcBorders>
          </w:tcPr>
          <w:p w14:paraId="0A6DE019">
            <w:pPr>
              <w:pStyle w:val="17"/>
              <w:spacing w:before="56"/>
              <w:ind w:left="668"/>
              <w:jc w:val="left"/>
              <w:rPr>
                <w:sz w:val="18"/>
              </w:rPr>
            </w:pPr>
            <w:r>
              <w:rPr>
                <w:sz w:val="18"/>
              </w:rPr>
              <w:t>提示图形符号</w:t>
            </w:r>
          </w:p>
        </w:tc>
        <w:tc>
          <w:tcPr>
            <w:tcW w:w="2359" w:type="dxa"/>
            <w:tcBorders>
              <w:left w:val="single" w:color="000000" w:sz="4" w:space="0"/>
              <w:right w:val="single" w:color="000000" w:sz="4" w:space="0"/>
            </w:tcBorders>
          </w:tcPr>
          <w:p w14:paraId="10BC4848">
            <w:pPr>
              <w:pStyle w:val="17"/>
              <w:spacing w:before="56"/>
              <w:ind w:left="649"/>
              <w:jc w:val="left"/>
              <w:rPr>
                <w:sz w:val="18"/>
              </w:rPr>
            </w:pPr>
            <w:r>
              <w:rPr>
                <w:sz w:val="18"/>
              </w:rPr>
              <w:t>警告图形符号</w:t>
            </w:r>
          </w:p>
        </w:tc>
        <w:tc>
          <w:tcPr>
            <w:tcW w:w="1408" w:type="dxa"/>
            <w:tcBorders>
              <w:left w:val="single" w:color="000000" w:sz="4" w:space="0"/>
              <w:right w:val="single" w:color="000000" w:sz="4" w:space="0"/>
            </w:tcBorders>
          </w:tcPr>
          <w:p w14:paraId="76D03724">
            <w:pPr>
              <w:pStyle w:val="17"/>
              <w:spacing w:before="56"/>
              <w:ind w:left="154" w:right="124"/>
              <w:rPr>
                <w:sz w:val="18"/>
              </w:rPr>
            </w:pPr>
            <w:r>
              <w:rPr>
                <w:sz w:val="18"/>
              </w:rPr>
              <w:t>名称</w:t>
            </w:r>
          </w:p>
        </w:tc>
        <w:tc>
          <w:tcPr>
            <w:tcW w:w="2381" w:type="dxa"/>
            <w:tcBorders>
              <w:left w:val="single" w:color="000000" w:sz="4" w:space="0"/>
              <w:right w:val="nil"/>
            </w:tcBorders>
          </w:tcPr>
          <w:p w14:paraId="6D6B7276">
            <w:pPr>
              <w:pStyle w:val="17"/>
              <w:spacing w:before="56"/>
              <w:ind w:left="99" w:right="76"/>
              <w:rPr>
                <w:sz w:val="18"/>
              </w:rPr>
            </w:pPr>
            <w:r>
              <w:rPr>
                <w:sz w:val="18"/>
              </w:rPr>
              <w:t>功能</w:t>
            </w:r>
          </w:p>
        </w:tc>
      </w:tr>
    </w:tbl>
    <w:p w14:paraId="6C27F491">
      <w:pPr>
        <w:spacing w:after="0"/>
        <w:rPr>
          <w:sz w:val="18"/>
        </w:rPr>
        <w:sectPr>
          <w:pgSz w:w="11910" w:h="16840"/>
          <w:pgMar w:top="1380" w:right="1060" w:bottom="900" w:left="1180" w:header="0" w:footer="712" w:gutter="0"/>
          <w:cols w:space="720" w:num="1"/>
        </w:sectPr>
      </w:pPr>
    </w:p>
    <w:tbl>
      <w:tblPr>
        <w:tblStyle w:val="13"/>
        <w:tblW w:w="0" w:type="auto"/>
        <w:tblInd w:w="1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4"/>
        <w:gridCol w:w="2400"/>
        <w:gridCol w:w="2359"/>
        <w:gridCol w:w="1408"/>
        <w:gridCol w:w="2381"/>
      </w:tblGrid>
      <w:tr w14:paraId="365843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left w:val="nil"/>
              <w:bottom w:val="single" w:color="000000" w:sz="4" w:space="0"/>
              <w:right w:val="single" w:color="000000" w:sz="4" w:space="0"/>
            </w:tcBorders>
          </w:tcPr>
          <w:p w14:paraId="6AB4939E">
            <w:pPr>
              <w:pStyle w:val="17"/>
              <w:jc w:val="left"/>
              <w:rPr>
                <w:b/>
                <w:sz w:val="20"/>
              </w:rPr>
            </w:pPr>
          </w:p>
          <w:p w14:paraId="56E2C9EA">
            <w:pPr>
              <w:pStyle w:val="17"/>
              <w:jc w:val="left"/>
              <w:rPr>
                <w:b/>
                <w:sz w:val="20"/>
              </w:rPr>
            </w:pPr>
          </w:p>
          <w:p w14:paraId="4A23097C">
            <w:pPr>
              <w:pStyle w:val="17"/>
              <w:spacing w:before="5"/>
              <w:jc w:val="left"/>
              <w:rPr>
                <w:b/>
                <w:sz w:val="15"/>
              </w:rPr>
            </w:pPr>
          </w:p>
          <w:p w14:paraId="10410877">
            <w:pPr>
              <w:pStyle w:val="17"/>
              <w:spacing w:before="1"/>
              <w:ind w:left="34"/>
              <w:rPr>
                <w:rFonts w:ascii="Times New Roman"/>
                <w:sz w:val="18"/>
              </w:rPr>
            </w:pPr>
            <w:r>
              <w:rPr>
                <w:rFonts w:ascii="Times New Roman"/>
                <w:sz w:val="18"/>
              </w:rPr>
              <w:t>1</w:t>
            </w:r>
          </w:p>
        </w:tc>
        <w:tc>
          <w:tcPr>
            <w:tcW w:w="2400" w:type="dxa"/>
            <w:tcBorders>
              <w:left w:val="single" w:color="000000" w:sz="4" w:space="0"/>
              <w:bottom w:val="single" w:color="000000" w:sz="4" w:space="0"/>
              <w:right w:val="single" w:color="000000" w:sz="4" w:space="0"/>
            </w:tcBorders>
          </w:tcPr>
          <w:p w14:paraId="60B4F92D">
            <w:pPr>
              <w:pStyle w:val="17"/>
              <w:spacing w:before="5"/>
              <w:jc w:val="left"/>
              <w:rPr>
                <w:b/>
                <w:sz w:val="7"/>
              </w:rPr>
            </w:pPr>
          </w:p>
          <w:p w14:paraId="07FE57F7">
            <w:pPr>
              <w:pStyle w:val="17"/>
              <w:ind w:left="505"/>
              <w:jc w:val="left"/>
              <w:rPr>
                <w:sz w:val="20"/>
              </w:rPr>
            </w:pPr>
            <w:r>
              <w:rPr>
                <w:sz w:val="20"/>
              </w:rPr>
              <w:drawing>
                <wp:inline distT="0" distB="0" distL="0" distR="0">
                  <wp:extent cx="880110" cy="904875"/>
                  <wp:effectExtent l="0" t="0" r="0" b="0"/>
                  <wp:docPr id="7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22.jpeg"/>
                          <pic:cNvPicPr>
                            <a:picLocks noChangeAspect="1"/>
                          </pic:cNvPicPr>
                        </pic:nvPicPr>
                        <pic:blipFill>
                          <a:blip r:embed="rId142" cstate="print"/>
                          <a:stretch>
                            <a:fillRect/>
                          </a:stretch>
                        </pic:blipFill>
                        <pic:spPr>
                          <a:xfrm>
                            <a:off x="0" y="0"/>
                            <a:ext cx="880542" cy="904875"/>
                          </a:xfrm>
                          <a:prstGeom prst="rect">
                            <a:avLst/>
                          </a:prstGeom>
                        </pic:spPr>
                      </pic:pic>
                    </a:graphicData>
                  </a:graphic>
                </wp:inline>
              </w:drawing>
            </w:r>
          </w:p>
        </w:tc>
        <w:tc>
          <w:tcPr>
            <w:tcW w:w="2359" w:type="dxa"/>
            <w:tcBorders>
              <w:left w:val="single" w:color="000000" w:sz="4" w:space="0"/>
              <w:bottom w:val="single" w:color="000000" w:sz="4" w:space="0"/>
              <w:right w:val="single" w:color="000000" w:sz="4" w:space="0"/>
            </w:tcBorders>
          </w:tcPr>
          <w:p w14:paraId="57A7AAC7">
            <w:pPr>
              <w:pStyle w:val="17"/>
              <w:ind w:left="423"/>
              <w:jc w:val="left"/>
              <w:rPr>
                <w:sz w:val="20"/>
              </w:rPr>
            </w:pPr>
            <w:r>
              <w:rPr>
                <w:sz w:val="20"/>
              </w:rPr>
              <w:drawing>
                <wp:inline distT="0" distB="0" distL="0" distR="0">
                  <wp:extent cx="967740" cy="990600"/>
                  <wp:effectExtent l="0" t="0" r="0" b="0"/>
                  <wp:docPr id="7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23.jpeg"/>
                          <pic:cNvPicPr>
                            <a:picLocks noChangeAspect="1"/>
                          </pic:cNvPicPr>
                        </pic:nvPicPr>
                        <pic:blipFill>
                          <a:blip r:embed="rId143" cstate="print"/>
                          <a:stretch>
                            <a:fillRect/>
                          </a:stretch>
                        </pic:blipFill>
                        <pic:spPr>
                          <a:xfrm>
                            <a:off x="0" y="0"/>
                            <a:ext cx="967810" cy="990600"/>
                          </a:xfrm>
                          <a:prstGeom prst="rect">
                            <a:avLst/>
                          </a:prstGeom>
                        </pic:spPr>
                      </pic:pic>
                    </a:graphicData>
                  </a:graphic>
                </wp:inline>
              </w:drawing>
            </w:r>
          </w:p>
        </w:tc>
        <w:tc>
          <w:tcPr>
            <w:tcW w:w="1408" w:type="dxa"/>
            <w:tcBorders>
              <w:left w:val="single" w:color="000000" w:sz="4" w:space="0"/>
              <w:bottom w:val="single" w:color="000000" w:sz="4" w:space="0"/>
              <w:right w:val="single" w:color="000000" w:sz="4" w:space="0"/>
            </w:tcBorders>
          </w:tcPr>
          <w:p w14:paraId="151251C9">
            <w:pPr>
              <w:pStyle w:val="17"/>
              <w:jc w:val="left"/>
              <w:rPr>
                <w:b/>
                <w:sz w:val="18"/>
              </w:rPr>
            </w:pPr>
          </w:p>
          <w:p w14:paraId="7BA3B019">
            <w:pPr>
              <w:pStyle w:val="17"/>
              <w:jc w:val="left"/>
              <w:rPr>
                <w:b/>
                <w:sz w:val="18"/>
              </w:rPr>
            </w:pPr>
          </w:p>
          <w:p w14:paraId="311B4B15">
            <w:pPr>
              <w:pStyle w:val="17"/>
              <w:spacing w:before="9"/>
              <w:jc w:val="left"/>
              <w:rPr>
                <w:b/>
                <w:sz w:val="18"/>
              </w:rPr>
            </w:pPr>
          </w:p>
          <w:p w14:paraId="5BBF7B41">
            <w:pPr>
              <w:pStyle w:val="17"/>
              <w:ind w:left="151" w:right="124"/>
              <w:rPr>
                <w:sz w:val="18"/>
              </w:rPr>
            </w:pPr>
            <w:r>
              <w:rPr>
                <w:sz w:val="18"/>
              </w:rPr>
              <w:t>废水排放口</w:t>
            </w:r>
          </w:p>
        </w:tc>
        <w:tc>
          <w:tcPr>
            <w:tcW w:w="2381" w:type="dxa"/>
            <w:tcBorders>
              <w:left w:val="single" w:color="000000" w:sz="4" w:space="0"/>
              <w:bottom w:val="single" w:color="000000" w:sz="4" w:space="0"/>
              <w:right w:val="nil"/>
            </w:tcBorders>
          </w:tcPr>
          <w:p w14:paraId="75AADB2C">
            <w:pPr>
              <w:pStyle w:val="17"/>
              <w:jc w:val="left"/>
              <w:rPr>
                <w:b/>
                <w:sz w:val="18"/>
              </w:rPr>
            </w:pPr>
          </w:p>
          <w:p w14:paraId="5DE82E90">
            <w:pPr>
              <w:pStyle w:val="17"/>
              <w:jc w:val="left"/>
              <w:rPr>
                <w:b/>
                <w:sz w:val="18"/>
              </w:rPr>
            </w:pPr>
          </w:p>
          <w:p w14:paraId="48722DDC">
            <w:pPr>
              <w:pStyle w:val="17"/>
              <w:spacing w:before="9"/>
              <w:jc w:val="left"/>
              <w:rPr>
                <w:b/>
                <w:sz w:val="18"/>
              </w:rPr>
            </w:pPr>
          </w:p>
          <w:p w14:paraId="2228C23C">
            <w:pPr>
              <w:pStyle w:val="17"/>
              <w:ind w:left="96" w:right="76"/>
              <w:rPr>
                <w:sz w:val="18"/>
              </w:rPr>
            </w:pPr>
            <w:r>
              <w:rPr>
                <w:sz w:val="18"/>
              </w:rPr>
              <w:t>表示废水向水体排放</w:t>
            </w:r>
          </w:p>
        </w:tc>
      </w:tr>
      <w:tr w14:paraId="6F8364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top w:val="single" w:color="000000" w:sz="4" w:space="0"/>
              <w:left w:val="nil"/>
              <w:bottom w:val="single" w:color="000000" w:sz="4" w:space="0"/>
              <w:right w:val="single" w:color="000000" w:sz="4" w:space="0"/>
            </w:tcBorders>
          </w:tcPr>
          <w:p w14:paraId="198BF17A">
            <w:pPr>
              <w:pStyle w:val="17"/>
              <w:jc w:val="left"/>
              <w:rPr>
                <w:b/>
                <w:sz w:val="20"/>
              </w:rPr>
            </w:pPr>
          </w:p>
          <w:p w14:paraId="27BA6C83">
            <w:pPr>
              <w:pStyle w:val="17"/>
              <w:jc w:val="left"/>
              <w:rPr>
                <w:b/>
                <w:sz w:val="20"/>
              </w:rPr>
            </w:pPr>
          </w:p>
          <w:p w14:paraId="6A10FA0A">
            <w:pPr>
              <w:pStyle w:val="17"/>
              <w:spacing w:before="7"/>
              <w:jc w:val="left"/>
              <w:rPr>
                <w:b/>
                <w:sz w:val="15"/>
              </w:rPr>
            </w:pPr>
          </w:p>
          <w:p w14:paraId="0FED6A16">
            <w:pPr>
              <w:pStyle w:val="17"/>
              <w:ind w:left="34"/>
              <w:rPr>
                <w:rFonts w:ascii="Times New Roman"/>
                <w:sz w:val="18"/>
              </w:rPr>
            </w:pPr>
            <w:r>
              <w:rPr>
                <w:rFonts w:ascii="Times New Roman"/>
                <w:sz w:val="18"/>
              </w:rPr>
              <w:t>2</w:t>
            </w:r>
          </w:p>
        </w:tc>
        <w:tc>
          <w:tcPr>
            <w:tcW w:w="2400" w:type="dxa"/>
            <w:tcBorders>
              <w:top w:val="single" w:color="000000" w:sz="4" w:space="0"/>
              <w:left w:val="single" w:color="000000" w:sz="4" w:space="0"/>
              <w:bottom w:val="single" w:color="000000" w:sz="4" w:space="0"/>
              <w:right w:val="single" w:color="000000" w:sz="4" w:space="0"/>
            </w:tcBorders>
          </w:tcPr>
          <w:p w14:paraId="298F889F">
            <w:pPr>
              <w:pStyle w:val="17"/>
              <w:spacing w:before="6"/>
              <w:jc w:val="left"/>
              <w:rPr>
                <w:b/>
                <w:sz w:val="7"/>
              </w:rPr>
            </w:pPr>
          </w:p>
          <w:p w14:paraId="7F352EEE">
            <w:pPr>
              <w:pStyle w:val="17"/>
              <w:ind w:left="505"/>
              <w:jc w:val="left"/>
              <w:rPr>
                <w:sz w:val="20"/>
              </w:rPr>
            </w:pPr>
            <w:r>
              <w:rPr>
                <w:sz w:val="20"/>
              </w:rPr>
              <w:drawing>
                <wp:inline distT="0" distB="0" distL="0" distR="0">
                  <wp:extent cx="880110" cy="904875"/>
                  <wp:effectExtent l="0" t="0" r="0" b="0"/>
                  <wp:docPr id="8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24.jpeg"/>
                          <pic:cNvPicPr>
                            <a:picLocks noChangeAspect="1"/>
                          </pic:cNvPicPr>
                        </pic:nvPicPr>
                        <pic:blipFill>
                          <a:blip r:embed="rId144" cstate="print"/>
                          <a:stretch>
                            <a:fillRect/>
                          </a:stretch>
                        </pic:blipFill>
                        <pic:spPr>
                          <a:xfrm>
                            <a:off x="0" y="0"/>
                            <a:ext cx="880542" cy="904875"/>
                          </a:xfrm>
                          <a:prstGeom prst="rect">
                            <a:avLst/>
                          </a:prstGeom>
                        </pic:spPr>
                      </pic:pic>
                    </a:graphicData>
                  </a:graphic>
                </wp:inline>
              </w:drawing>
            </w:r>
          </w:p>
        </w:tc>
        <w:tc>
          <w:tcPr>
            <w:tcW w:w="2359" w:type="dxa"/>
            <w:tcBorders>
              <w:top w:val="single" w:color="000000" w:sz="4" w:space="0"/>
              <w:left w:val="single" w:color="000000" w:sz="4" w:space="0"/>
              <w:bottom w:val="single" w:color="000000" w:sz="4" w:space="0"/>
              <w:right w:val="single" w:color="000000" w:sz="4" w:space="0"/>
            </w:tcBorders>
          </w:tcPr>
          <w:p w14:paraId="1CA64037">
            <w:pPr>
              <w:pStyle w:val="17"/>
              <w:ind w:left="394"/>
              <w:jc w:val="left"/>
              <w:rPr>
                <w:sz w:val="20"/>
              </w:rPr>
            </w:pPr>
            <w:r>
              <w:rPr>
                <w:sz w:val="20"/>
              </w:rPr>
              <w:drawing>
                <wp:inline distT="0" distB="0" distL="0" distR="0">
                  <wp:extent cx="990600" cy="990600"/>
                  <wp:effectExtent l="0" t="0" r="0" b="0"/>
                  <wp:docPr id="8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25.jpeg"/>
                          <pic:cNvPicPr>
                            <a:picLocks noChangeAspect="1"/>
                          </pic:cNvPicPr>
                        </pic:nvPicPr>
                        <pic:blipFill>
                          <a:blip r:embed="rId145" cstate="print"/>
                          <a:stretch>
                            <a:fillRect/>
                          </a:stretch>
                        </pic:blipFill>
                        <pic:spPr>
                          <a:xfrm>
                            <a:off x="0" y="0"/>
                            <a:ext cx="990600" cy="990600"/>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04BFFDB1">
            <w:pPr>
              <w:pStyle w:val="17"/>
              <w:jc w:val="left"/>
              <w:rPr>
                <w:b/>
                <w:sz w:val="18"/>
              </w:rPr>
            </w:pPr>
          </w:p>
          <w:p w14:paraId="298D3F8B">
            <w:pPr>
              <w:pStyle w:val="17"/>
              <w:jc w:val="left"/>
              <w:rPr>
                <w:b/>
                <w:sz w:val="18"/>
              </w:rPr>
            </w:pPr>
          </w:p>
          <w:p w14:paraId="7B5005F3">
            <w:pPr>
              <w:pStyle w:val="17"/>
              <w:spacing w:before="7"/>
              <w:jc w:val="left"/>
              <w:rPr>
                <w:b/>
                <w:sz w:val="18"/>
              </w:rPr>
            </w:pPr>
          </w:p>
          <w:p w14:paraId="1F281027">
            <w:pPr>
              <w:pStyle w:val="17"/>
              <w:spacing w:before="1"/>
              <w:ind w:left="151" w:right="124"/>
              <w:rPr>
                <w:sz w:val="18"/>
              </w:rPr>
            </w:pPr>
            <w:r>
              <w:rPr>
                <w:sz w:val="18"/>
              </w:rPr>
              <w:t>废气排放口</w:t>
            </w:r>
          </w:p>
        </w:tc>
        <w:tc>
          <w:tcPr>
            <w:tcW w:w="2381" w:type="dxa"/>
            <w:tcBorders>
              <w:top w:val="single" w:color="000000" w:sz="4" w:space="0"/>
              <w:left w:val="single" w:color="000000" w:sz="4" w:space="0"/>
              <w:bottom w:val="single" w:color="000000" w:sz="4" w:space="0"/>
              <w:right w:val="nil"/>
            </w:tcBorders>
          </w:tcPr>
          <w:p w14:paraId="52A29A7C">
            <w:pPr>
              <w:pStyle w:val="17"/>
              <w:jc w:val="left"/>
              <w:rPr>
                <w:b/>
                <w:sz w:val="18"/>
              </w:rPr>
            </w:pPr>
          </w:p>
          <w:p w14:paraId="3B2A450B">
            <w:pPr>
              <w:pStyle w:val="17"/>
              <w:jc w:val="left"/>
              <w:rPr>
                <w:b/>
                <w:sz w:val="18"/>
              </w:rPr>
            </w:pPr>
          </w:p>
          <w:p w14:paraId="74653F20">
            <w:pPr>
              <w:pStyle w:val="17"/>
              <w:spacing w:before="7"/>
              <w:jc w:val="left"/>
              <w:rPr>
                <w:b/>
                <w:sz w:val="18"/>
              </w:rPr>
            </w:pPr>
          </w:p>
          <w:p w14:paraId="0A3F1C6E">
            <w:pPr>
              <w:pStyle w:val="17"/>
              <w:spacing w:before="1"/>
              <w:ind w:left="96" w:right="76"/>
              <w:rPr>
                <w:sz w:val="18"/>
              </w:rPr>
            </w:pPr>
            <w:r>
              <w:rPr>
                <w:sz w:val="18"/>
              </w:rPr>
              <w:t>表示废气向大气环境排放</w:t>
            </w:r>
          </w:p>
        </w:tc>
      </w:tr>
      <w:tr w14:paraId="53C9CF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0" w:hRule="atLeast"/>
        </w:trPr>
        <w:tc>
          <w:tcPr>
            <w:tcW w:w="734" w:type="dxa"/>
            <w:tcBorders>
              <w:top w:val="single" w:color="000000" w:sz="4" w:space="0"/>
              <w:left w:val="nil"/>
              <w:bottom w:val="single" w:color="000000" w:sz="4" w:space="0"/>
              <w:right w:val="single" w:color="000000" w:sz="4" w:space="0"/>
            </w:tcBorders>
          </w:tcPr>
          <w:p w14:paraId="5E5964BD">
            <w:pPr>
              <w:pStyle w:val="17"/>
              <w:jc w:val="left"/>
              <w:rPr>
                <w:b/>
                <w:sz w:val="20"/>
              </w:rPr>
            </w:pPr>
          </w:p>
          <w:p w14:paraId="2EDD3E8F">
            <w:pPr>
              <w:pStyle w:val="17"/>
              <w:jc w:val="left"/>
              <w:rPr>
                <w:b/>
                <w:sz w:val="20"/>
              </w:rPr>
            </w:pPr>
          </w:p>
          <w:p w14:paraId="5D9D7C70">
            <w:pPr>
              <w:pStyle w:val="17"/>
              <w:spacing w:before="6"/>
              <w:jc w:val="left"/>
              <w:rPr>
                <w:b/>
                <w:sz w:val="15"/>
              </w:rPr>
            </w:pPr>
          </w:p>
          <w:p w14:paraId="08DE07A4">
            <w:pPr>
              <w:pStyle w:val="17"/>
              <w:ind w:left="34"/>
              <w:rPr>
                <w:rFonts w:ascii="Times New Roman"/>
                <w:sz w:val="18"/>
              </w:rPr>
            </w:pPr>
            <w:r>
              <w:rPr>
                <w:rFonts w:ascii="Times New Roman"/>
                <w:sz w:val="18"/>
              </w:rPr>
              <w:t>3</w:t>
            </w:r>
          </w:p>
        </w:tc>
        <w:tc>
          <w:tcPr>
            <w:tcW w:w="2400" w:type="dxa"/>
            <w:tcBorders>
              <w:top w:val="single" w:color="000000" w:sz="4" w:space="0"/>
              <w:left w:val="single" w:color="000000" w:sz="4" w:space="0"/>
              <w:bottom w:val="single" w:color="000000" w:sz="4" w:space="0"/>
              <w:right w:val="single" w:color="000000" w:sz="4" w:space="0"/>
            </w:tcBorders>
          </w:tcPr>
          <w:p w14:paraId="5A484965">
            <w:pPr>
              <w:pStyle w:val="17"/>
              <w:spacing w:before="5"/>
              <w:jc w:val="left"/>
              <w:rPr>
                <w:b/>
                <w:sz w:val="7"/>
              </w:rPr>
            </w:pPr>
          </w:p>
          <w:p w14:paraId="11892DE4">
            <w:pPr>
              <w:pStyle w:val="17"/>
              <w:ind w:left="490"/>
              <w:jc w:val="left"/>
              <w:rPr>
                <w:sz w:val="20"/>
              </w:rPr>
            </w:pPr>
            <w:r>
              <w:rPr>
                <w:sz w:val="20"/>
              </w:rPr>
              <w:drawing>
                <wp:inline distT="0" distB="0" distL="0" distR="0">
                  <wp:extent cx="906145" cy="914400"/>
                  <wp:effectExtent l="0" t="0" r="0" b="0"/>
                  <wp:docPr id="8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26.jpeg"/>
                          <pic:cNvPicPr>
                            <a:picLocks noChangeAspect="1"/>
                          </pic:cNvPicPr>
                        </pic:nvPicPr>
                        <pic:blipFill>
                          <a:blip r:embed="rId146" cstate="print"/>
                          <a:stretch>
                            <a:fillRect/>
                          </a:stretch>
                        </pic:blipFill>
                        <pic:spPr>
                          <a:xfrm>
                            <a:off x="0" y="0"/>
                            <a:ext cx="906779" cy="914400"/>
                          </a:xfrm>
                          <a:prstGeom prst="rect">
                            <a:avLst/>
                          </a:prstGeom>
                        </pic:spPr>
                      </pic:pic>
                    </a:graphicData>
                  </a:graphic>
                </wp:inline>
              </w:drawing>
            </w:r>
          </w:p>
        </w:tc>
        <w:tc>
          <w:tcPr>
            <w:tcW w:w="2359" w:type="dxa"/>
            <w:tcBorders>
              <w:top w:val="single" w:color="000000" w:sz="4" w:space="0"/>
              <w:left w:val="single" w:color="000000" w:sz="4" w:space="0"/>
              <w:bottom w:val="single" w:color="000000" w:sz="4" w:space="0"/>
              <w:right w:val="single" w:color="000000" w:sz="4" w:space="0"/>
            </w:tcBorders>
          </w:tcPr>
          <w:p w14:paraId="51C28C03">
            <w:pPr>
              <w:pStyle w:val="17"/>
              <w:spacing w:before="11"/>
              <w:jc w:val="left"/>
              <w:rPr>
                <w:b/>
                <w:sz w:val="3"/>
              </w:rPr>
            </w:pPr>
          </w:p>
          <w:p w14:paraId="6D06B30A">
            <w:pPr>
              <w:pStyle w:val="17"/>
              <w:ind w:left="377"/>
              <w:jc w:val="left"/>
              <w:rPr>
                <w:sz w:val="20"/>
              </w:rPr>
            </w:pPr>
            <w:r>
              <w:rPr>
                <w:sz w:val="20"/>
              </w:rPr>
              <w:drawing>
                <wp:inline distT="0" distB="0" distL="0" distR="0">
                  <wp:extent cx="1016000" cy="952500"/>
                  <wp:effectExtent l="0" t="0" r="0" b="0"/>
                  <wp:docPr id="8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27.jpeg"/>
                          <pic:cNvPicPr>
                            <a:picLocks noChangeAspect="1"/>
                          </pic:cNvPicPr>
                        </pic:nvPicPr>
                        <pic:blipFill>
                          <a:blip r:embed="rId147" cstate="print"/>
                          <a:stretch>
                            <a:fillRect/>
                          </a:stretch>
                        </pic:blipFill>
                        <pic:spPr>
                          <a:xfrm>
                            <a:off x="0" y="0"/>
                            <a:ext cx="1016405" cy="952500"/>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46619913">
            <w:pPr>
              <w:pStyle w:val="17"/>
              <w:jc w:val="left"/>
              <w:rPr>
                <w:b/>
                <w:sz w:val="18"/>
              </w:rPr>
            </w:pPr>
          </w:p>
          <w:p w14:paraId="6771CA0F">
            <w:pPr>
              <w:pStyle w:val="17"/>
              <w:jc w:val="left"/>
              <w:rPr>
                <w:b/>
                <w:sz w:val="18"/>
              </w:rPr>
            </w:pPr>
          </w:p>
          <w:p w14:paraId="7877491E">
            <w:pPr>
              <w:pStyle w:val="17"/>
              <w:spacing w:before="7"/>
              <w:jc w:val="left"/>
              <w:rPr>
                <w:b/>
                <w:sz w:val="18"/>
              </w:rPr>
            </w:pPr>
          </w:p>
          <w:p w14:paraId="4279B08A">
            <w:pPr>
              <w:pStyle w:val="17"/>
              <w:ind w:left="154" w:right="124"/>
              <w:rPr>
                <w:sz w:val="18"/>
              </w:rPr>
            </w:pPr>
            <w:r>
              <w:rPr>
                <w:sz w:val="18"/>
              </w:rPr>
              <w:t>一般固体废物</w:t>
            </w:r>
          </w:p>
        </w:tc>
        <w:tc>
          <w:tcPr>
            <w:tcW w:w="2381" w:type="dxa"/>
            <w:tcBorders>
              <w:top w:val="single" w:color="000000" w:sz="4" w:space="0"/>
              <w:left w:val="single" w:color="000000" w:sz="4" w:space="0"/>
              <w:bottom w:val="single" w:color="000000" w:sz="4" w:space="0"/>
              <w:right w:val="nil"/>
            </w:tcBorders>
          </w:tcPr>
          <w:p w14:paraId="5C2F7562">
            <w:pPr>
              <w:pStyle w:val="17"/>
              <w:jc w:val="left"/>
              <w:rPr>
                <w:b/>
                <w:sz w:val="18"/>
              </w:rPr>
            </w:pPr>
          </w:p>
          <w:p w14:paraId="1FD54DF3">
            <w:pPr>
              <w:pStyle w:val="17"/>
              <w:jc w:val="left"/>
              <w:rPr>
                <w:b/>
                <w:sz w:val="24"/>
              </w:rPr>
            </w:pPr>
          </w:p>
          <w:p w14:paraId="165CB230">
            <w:pPr>
              <w:pStyle w:val="17"/>
              <w:spacing w:line="336" w:lineRule="auto"/>
              <w:ind w:left="1019" w:right="94" w:hanging="900"/>
              <w:jc w:val="left"/>
              <w:rPr>
                <w:sz w:val="18"/>
              </w:rPr>
            </w:pPr>
            <w:r>
              <w:rPr>
                <w:sz w:val="18"/>
              </w:rPr>
              <w:t>表示一般固体废物贮存、处置场</w:t>
            </w:r>
          </w:p>
        </w:tc>
      </w:tr>
      <w:tr w14:paraId="0B95E9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9" w:hRule="atLeast"/>
        </w:trPr>
        <w:tc>
          <w:tcPr>
            <w:tcW w:w="734" w:type="dxa"/>
            <w:tcBorders>
              <w:top w:val="single" w:color="000000" w:sz="4" w:space="0"/>
              <w:left w:val="nil"/>
              <w:bottom w:val="single" w:color="000000" w:sz="4" w:space="0"/>
              <w:right w:val="single" w:color="000000" w:sz="4" w:space="0"/>
            </w:tcBorders>
          </w:tcPr>
          <w:p w14:paraId="682CE66F">
            <w:pPr>
              <w:pStyle w:val="17"/>
              <w:jc w:val="left"/>
              <w:rPr>
                <w:b/>
                <w:sz w:val="20"/>
              </w:rPr>
            </w:pPr>
          </w:p>
          <w:p w14:paraId="304520E9">
            <w:pPr>
              <w:pStyle w:val="17"/>
              <w:jc w:val="left"/>
              <w:rPr>
                <w:b/>
                <w:sz w:val="20"/>
              </w:rPr>
            </w:pPr>
          </w:p>
          <w:p w14:paraId="09343A9B">
            <w:pPr>
              <w:pStyle w:val="17"/>
              <w:spacing w:before="5"/>
              <w:jc w:val="left"/>
              <w:rPr>
                <w:b/>
                <w:sz w:val="15"/>
              </w:rPr>
            </w:pPr>
          </w:p>
          <w:p w14:paraId="0B9BD55D">
            <w:pPr>
              <w:pStyle w:val="17"/>
              <w:ind w:left="34"/>
              <w:rPr>
                <w:rFonts w:ascii="Times New Roman"/>
                <w:sz w:val="18"/>
              </w:rPr>
            </w:pPr>
            <w:r>
              <w:rPr>
                <w:rFonts w:ascii="Times New Roman"/>
                <w:sz w:val="18"/>
              </w:rPr>
              <w:t>4</w:t>
            </w:r>
          </w:p>
        </w:tc>
        <w:tc>
          <w:tcPr>
            <w:tcW w:w="2400" w:type="dxa"/>
            <w:tcBorders>
              <w:top w:val="single" w:color="000000" w:sz="4" w:space="0"/>
              <w:left w:val="single" w:color="000000" w:sz="4" w:space="0"/>
              <w:bottom w:val="single" w:color="000000" w:sz="4" w:space="0"/>
              <w:right w:val="single" w:color="000000" w:sz="4" w:space="0"/>
            </w:tcBorders>
          </w:tcPr>
          <w:p w14:paraId="0F50808E">
            <w:pPr>
              <w:pStyle w:val="17"/>
              <w:jc w:val="left"/>
              <w:rPr>
                <w:b/>
                <w:sz w:val="20"/>
              </w:rPr>
            </w:pPr>
          </w:p>
          <w:p w14:paraId="134835E9">
            <w:pPr>
              <w:pStyle w:val="17"/>
              <w:jc w:val="left"/>
              <w:rPr>
                <w:b/>
                <w:sz w:val="20"/>
              </w:rPr>
            </w:pPr>
          </w:p>
          <w:p w14:paraId="6403FB17">
            <w:pPr>
              <w:pStyle w:val="17"/>
              <w:spacing w:before="5"/>
              <w:jc w:val="left"/>
              <w:rPr>
                <w:b/>
                <w:sz w:val="15"/>
              </w:rPr>
            </w:pPr>
          </w:p>
          <w:p w14:paraId="4E6D311B">
            <w:pPr>
              <w:pStyle w:val="17"/>
              <w:ind w:left="28"/>
              <w:rPr>
                <w:rFonts w:ascii="Times New Roman"/>
                <w:sz w:val="18"/>
              </w:rPr>
            </w:pPr>
            <w:r>
              <w:rPr>
                <w:rFonts w:ascii="Times New Roman"/>
                <w:sz w:val="18"/>
              </w:rPr>
              <w:t>/</w:t>
            </w:r>
          </w:p>
        </w:tc>
        <w:tc>
          <w:tcPr>
            <w:tcW w:w="2359" w:type="dxa"/>
            <w:tcBorders>
              <w:top w:val="single" w:color="000000" w:sz="4" w:space="0"/>
              <w:left w:val="single" w:color="000000" w:sz="4" w:space="0"/>
              <w:bottom w:val="single" w:color="000000" w:sz="4" w:space="0"/>
              <w:right w:val="single" w:color="000000" w:sz="4" w:space="0"/>
            </w:tcBorders>
          </w:tcPr>
          <w:p w14:paraId="35365DE6">
            <w:pPr>
              <w:pStyle w:val="17"/>
              <w:spacing w:before="1"/>
              <w:jc w:val="left"/>
              <w:rPr>
                <w:b/>
                <w:sz w:val="5"/>
              </w:rPr>
            </w:pPr>
          </w:p>
          <w:p w14:paraId="2BB02592">
            <w:pPr>
              <w:pStyle w:val="17"/>
              <w:ind w:left="349"/>
              <w:jc w:val="left"/>
              <w:rPr>
                <w:sz w:val="20"/>
              </w:rPr>
            </w:pPr>
            <w:r>
              <w:rPr>
                <w:sz w:val="20"/>
              </w:rPr>
              <w:drawing>
                <wp:inline distT="0" distB="0" distL="0" distR="0">
                  <wp:extent cx="1071880" cy="955040"/>
                  <wp:effectExtent l="0" t="0" r="0" b="0"/>
                  <wp:docPr id="8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28.jpeg"/>
                          <pic:cNvPicPr>
                            <a:picLocks noChangeAspect="1"/>
                          </pic:cNvPicPr>
                        </pic:nvPicPr>
                        <pic:blipFill>
                          <a:blip r:embed="rId148" cstate="print"/>
                          <a:stretch>
                            <a:fillRect/>
                          </a:stretch>
                        </pic:blipFill>
                        <pic:spPr>
                          <a:xfrm>
                            <a:off x="0" y="0"/>
                            <a:ext cx="1072491" cy="955548"/>
                          </a:xfrm>
                          <a:prstGeom prst="rect">
                            <a:avLst/>
                          </a:prstGeom>
                        </pic:spPr>
                      </pic:pic>
                    </a:graphicData>
                  </a:graphic>
                </wp:inline>
              </w:drawing>
            </w:r>
          </w:p>
        </w:tc>
        <w:tc>
          <w:tcPr>
            <w:tcW w:w="1408" w:type="dxa"/>
            <w:tcBorders>
              <w:top w:val="single" w:color="000000" w:sz="4" w:space="0"/>
              <w:left w:val="single" w:color="000000" w:sz="4" w:space="0"/>
              <w:bottom w:val="single" w:color="000000" w:sz="4" w:space="0"/>
              <w:right w:val="single" w:color="000000" w:sz="4" w:space="0"/>
            </w:tcBorders>
          </w:tcPr>
          <w:p w14:paraId="4F9790E7">
            <w:pPr>
              <w:pStyle w:val="17"/>
              <w:jc w:val="left"/>
              <w:rPr>
                <w:b/>
                <w:sz w:val="18"/>
              </w:rPr>
            </w:pPr>
          </w:p>
          <w:p w14:paraId="5AA1C4AA">
            <w:pPr>
              <w:pStyle w:val="17"/>
              <w:jc w:val="left"/>
              <w:rPr>
                <w:b/>
                <w:sz w:val="18"/>
              </w:rPr>
            </w:pPr>
          </w:p>
          <w:p w14:paraId="19955009">
            <w:pPr>
              <w:pStyle w:val="17"/>
              <w:spacing w:before="8"/>
              <w:jc w:val="left"/>
              <w:rPr>
                <w:b/>
                <w:sz w:val="18"/>
              </w:rPr>
            </w:pPr>
          </w:p>
          <w:p w14:paraId="3F5AB6B0">
            <w:pPr>
              <w:pStyle w:val="17"/>
              <w:ind w:left="154" w:right="124"/>
              <w:rPr>
                <w:sz w:val="18"/>
              </w:rPr>
            </w:pPr>
            <w:r>
              <w:rPr>
                <w:sz w:val="18"/>
              </w:rPr>
              <w:t>危险废物</w:t>
            </w:r>
          </w:p>
        </w:tc>
        <w:tc>
          <w:tcPr>
            <w:tcW w:w="2381" w:type="dxa"/>
            <w:tcBorders>
              <w:top w:val="single" w:color="000000" w:sz="4" w:space="0"/>
              <w:left w:val="single" w:color="000000" w:sz="4" w:space="0"/>
              <w:bottom w:val="single" w:color="000000" w:sz="4" w:space="0"/>
              <w:right w:val="nil"/>
            </w:tcBorders>
          </w:tcPr>
          <w:p w14:paraId="06B5B250">
            <w:pPr>
              <w:pStyle w:val="17"/>
              <w:jc w:val="left"/>
              <w:rPr>
                <w:b/>
                <w:sz w:val="18"/>
              </w:rPr>
            </w:pPr>
          </w:p>
          <w:p w14:paraId="31B56379">
            <w:pPr>
              <w:pStyle w:val="17"/>
              <w:jc w:val="left"/>
              <w:rPr>
                <w:b/>
                <w:sz w:val="18"/>
              </w:rPr>
            </w:pPr>
          </w:p>
          <w:p w14:paraId="7002D4C9">
            <w:pPr>
              <w:pStyle w:val="17"/>
              <w:spacing w:before="8"/>
              <w:jc w:val="left"/>
              <w:rPr>
                <w:b/>
                <w:sz w:val="18"/>
              </w:rPr>
            </w:pPr>
          </w:p>
          <w:p w14:paraId="1F081E65">
            <w:pPr>
              <w:pStyle w:val="17"/>
              <w:ind w:left="99" w:right="76"/>
              <w:rPr>
                <w:sz w:val="18"/>
              </w:rPr>
            </w:pPr>
            <w:r>
              <w:rPr>
                <w:sz w:val="18"/>
              </w:rPr>
              <w:t>表示危险废物贮存、处置场</w:t>
            </w:r>
          </w:p>
        </w:tc>
      </w:tr>
      <w:tr w14:paraId="214A10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89" w:hRule="atLeast"/>
        </w:trPr>
        <w:tc>
          <w:tcPr>
            <w:tcW w:w="734" w:type="dxa"/>
            <w:tcBorders>
              <w:top w:val="single" w:color="000000" w:sz="4" w:space="0"/>
              <w:left w:val="nil"/>
              <w:right w:val="single" w:color="000000" w:sz="4" w:space="0"/>
            </w:tcBorders>
          </w:tcPr>
          <w:p w14:paraId="67732AC7">
            <w:pPr>
              <w:pStyle w:val="17"/>
              <w:jc w:val="left"/>
              <w:rPr>
                <w:b/>
                <w:sz w:val="22"/>
              </w:rPr>
            </w:pPr>
          </w:p>
          <w:p w14:paraId="3C0E9936">
            <w:pPr>
              <w:pStyle w:val="17"/>
              <w:spacing w:before="7"/>
              <w:jc w:val="left"/>
              <w:rPr>
                <w:b/>
                <w:sz w:val="30"/>
              </w:rPr>
            </w:pPr>
          </w:p>
          <w:p w14:paraId="54E1270C">
            <w:pPr>
              <w:pStyle w:val="17"/>
              <w:spacing w:before="1"/>
              <w:ind w:left="29"/>
              <w:rPr>
                <w:rFonts w:ascii="Times New Roman"/>
                <w:sz w:val="21"/>
              </w:rPr>
            </w:pPr>
            <w:r>
              <w:rPr>
                <w:rFonts w:ascii="Times New Roman"/>
                <w:w w:val="99"/>
                <w:sz w:val="21"/>
              </w:rPr>
              <w:t>5</w:t>
            </w:r>
          </w:p>
        </w:tc>
        <w:tc>
          <w:tcPr>
            <w:tcW w:w="2400" w:type="dxa"/>
            <w:tcBorders>
              <w:top w:val="single" w:color="000000" w:sz="4" w:space="0"/>
              <w:left w:val="single" w:color="000000" w:sz="4" w:space="0"/>
              <w:right w:val="single" w:color="000000" w:sz="4" w:space="0"/>
            </w:tcBorders>
          </w:tcPr>
          <w:p w14:paraId="7481FB68">
            <w:pPr>
              <w:pStyle w:val="17"/>
              <w:ind w:left="430"/>
              <w:jc w:val="left"/>
              <w:rPr>
                <w:sz w:val="20"/>
              </w:rPr>
            </w:pPr>
            <w:r>
              <w:rPr>
                <w:sz w:val="20"/>
              </w:rPr>
              <w:drawing>
                <wp:inline distT="0" distB="0" distL="0" distR="0">
                  <wp:extent cx="982980" cy="991870"/>
                  <wp:effectExtent l="0" t="0" r="0" b="0"/>
                  <wp:docPr id="9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29.jpeg"/>
                          <pic:cNvPicPr>
                            <a:picLocks noChangeAspect="1"/>
                          </pic:cNvPicPr>
                        </pic:nvPicPr>
                        <pic:blipFill>
                          <a:blip r:embed="rId149" cstate="print"/>
                          <a:stretch>
                            <a:fillRect/>
                          </a:stretch>
                        </pic:blipFill>
                        <pic:spPr>
                          <a:xfrm>
                            <a:off x="0" y="0"/>
                            <a:ext cx="983008" cy="992124"/>
                          </a:xfrm>
                          <a:prstGeom prst="rect">
                            <a:avLst/>
                          </a:prstGeom>
                        </pic:spPr>
                      </pic:pic>
                    </a:graphicData>
                  </a:graphic>
                </wp:inline>
              </w:drawing>
            </w:r>
          </w:p>
        </w:tc>
        <w:tc>
          <w:tcPr>
            <w:tcW w:w="2359" w:type="dxa"/>
            <w:tcBorders>
              <w:top w:val="single" w:color="000000" w:sz="4" w:space="0"/>
              <w:left w:val="single" w:color="000000" w:sz="4" w:space="0"/>
              <w:right w:val="single" w:color="000000" w:sz="4" w:space="0"/>
            </w:tcBorders>
          </w:tcPr>
          <w:p w14:paraId="301C95AF">
            <w:pPr>
              <w:pStyle w:val="17"/>
              <w:spacing w:before="5"/>
              <w:jc w:val="left"/>
              <w:rPr>
                <w:b/>
                <w:sz w:val="9"/>
              </w:rPr>
            </w:pPr>
          </w:p>
          <w:p w14:paraId="31293478">
            <w:pPr>
              <w:pStyle w:val="17"/>
              <w:ind w:left="394"/>
              <w:jc w:val="left"/>
              <w:rPr>
                <w:sz w:val="20"/>
              </w:rPr>
            </w:pPr>
            <w:r>
              <w:rPr>
                <w:sz w:val="20"/>
              </w:rPr>
              <w:drawing>
                <wp:inline distT="0" distB="0" distL="0" distR="0">
                  <wp:extent cx="1002665" cy="858520"/>
                  <wp:effectExtent l="0" t="0" r="0" b="0"/>
                  <wp:docPr id="9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30.jpeg"/>
                          <pic:cNvPicPr>
                            <a:picLocks noChangeAspect="1"/>
                          </pic:cNvPicPr>
                        </pic:nvPicPr>
                        <pic:blipFill>
                          <a:blip r:embed="rId150" cstate="print"/>
                          <a:stretch>
                            <a:fillRect/>
                          </a:stretch>
                        </pic:blipFill>
                        <pic:spPr>
                          <a:xfrm>
                            <a:off x="0" y="0"/>
                            <a:ext cx="1003183" cy="858774"/>
                          </a:xfrm>
                          <a:prstGeom prst="rect">
                            <a:avLst/>
                          </a:prstGeom>
                        </pic:spPr>
                      </pic:pic>
                    </a:graphicData>
                  </a:graphic>
                </wp:inline>
              </w:drawing>
            </w:r>
          </w:p>
        </w:tc>
        <w:tc>
          <w:tcPr>
            <w:tcW w:w="1408" w:type="dxa"/>
            <w:tcBorders>
              <w:top w:val="single" w:color="000000" w:sz="4" w:space="0"/>
              <w:left w:val="single" w:color="000000" w:sz="4" w:space="0"/>
              <w:right w:val="single" w:color="000000" w:sz="4" w:space="0"/>
            </w:tcBorders>
          </w:tcPr>
          <w:p w14:paraId="5FCBED48">
            <w:pPr>
              <w:pStyle w:val="17"/>
              <w:jc w:val="left"/>
              <w:rPr>
                <w:b/>
                <w:sz w:val="20"/>
              </w:rPr>
            </w:pPr>
          </w:p>
          <w:p w14:paraId="7431870B">
            <w:pPr>
              <w:pStyle w:val="17"/>
              <w:jc w:val="left"/>
              <w:rPr>
                <w:b/>
                <w:sz w:val="20"/>
              </w:rPr>
            </w:pPr>
          </w:p>
          <w:p w14:paraId="5DD2B541">
            <w:pPr>
              <w:pStyle w:val="17"/>
              <w:spacing w:before="147"/>
              <w:ind w:left="151" w:right="124"/>
              <w:rPr>
                <w:sz w:val="21"/>
              </w:rPr>
            </w:pPr>
            <w:r>
              <w:rPr>
                <w:sz w:val="21"/>
              </w:rPr>
              <w:t>噪声排放源</w:t>
            </w:r>
          </w:p>
        </w:tc>
        <w:tc>
          <w:tcPr>
            <w:tcW w:w="2381" w:type="dxa"/>
            <w:tcBorders>
              <w:top w:val="single" w:color="000000" w:sz="4" w:space="0"/>
              <w:left w:val="single" w:color="000000" w:sz="4" w:space="0"/>
              <w:right w:val="nil"/>
            </w:tcBorders>
          </w:tcPr>
          <w:p w14:paraId="41C2B9C5">
            <w:pPr>
              <w:pStyle w:val="17"/>
              <w:jc w:val="left"/>
              <w:rPr>
                <w:b/>
                <w:sz w:val="20"/>
              </w:rPr>
            </w:pPr>
          </w:p>
          <w:p w14:paraId="0803A9FF">
            <w:pPr>
              <w:pStyle w:val="17"/>
              <w:jc w:val="left"/>
              <w:rPr>
                <w:b/>
                <w:sz w:val="20"/>
              </w:rPr>
            </w:pPr>
          </w:p>
          <w:p w14:paraId="550CBA7D">
            <w:pPr>
              <w:pStyle w:val="17"/>
              <w:spacing w:before="147"/>
              <w:ind w:left="94" w:right="76"/>
              <w:rPr>
                <w:sz w:val="21"/>
              </w:rPr>
            </w:pPr>
            <w:r>
              <w:rPr>
                <w:sz w:val="21"/>
              </w:rPr>
              <w:t>表示噪声向外环境排放</w:t>
            </w:r>
          </w:p>
        </w:tc>
      </w:tr>
    </w:tbl>
    <w:p w14:paraId="34697D87">
      <w:pPr>
        <w:pStyle w:val="10"/>
        <w:rPr>
          <w:b/>
          <w:sz w:val="20"/>
        </w:rPr>
      </w:pPr>
    </w:p>
    <w:p w14:paraId="43B4DFF8">
      <w:pPr>
        <w:pStyle w:val="3"/>
        <w:numPr>
          <w:ilvl w:val="1"/>
          <w:numId w:val="31"/>
        </w:numPr>
        <w:tabs>
          <w:tab w:val="left" w:pos="764"/>
        </w:tabs>
        <w:spacing w:before="207" w:after="0" w:line="240" w:lineRule="auto"/>
        <w:ind w:left="764" w:right="0" w:hanging="526"/>
        <w:jc w:val="left"/>
      </w:pPr>
      <w:bookmarkStart w:id="44" w:name="_TOC_250011"/>
      <w:bookmarkEnd w:id="44"/>
      <w:r>
        <w:t>排污许可与信息公开</w:t>
      </w:r>
    </w:p>
    <w:p w14:paraId="3EC7978D">
      <w:pPr>
        <w:pStyle w:val="16"/>
        <w:numPr>
          <w:ilvl w:val="2"/>
          <w:numId w:val="31"/>
        </w:numPr>
        <w:tabs>
          <w:tab w:val="left" w:pos="937"/>
        </w:tabs>
        <w:spacing w:before="137" w:after="0" w:line="240" w:lineRule="auto"/>
        <w:ind w:left="936" w:right="0" w:hanging="698"/>
        <w:jc w:val="left"/>
        <w:rPr>
          <w:b/>
          <w:sz w:val="28"/>
        </w:rPr>
      </w:pPr>
      <w:r>
        <w:rPr>
          <w:b/>
          <w:sz w:val="28"/>
        </w:rPr>
        <w:t>排污许可制度</w:t>
      </w:r>
    </w:p>
    <w:p w14:paraId="138F2685">
      <w:pPr>
        <w:pStyle w:val="10"/>
        <w:spacing w:before="6"/>
        <w:rPr>
          <w:b/>
          <w:sz w:val="15"/>
        </w:rPr>
      </w:pPr>
    </w:p>
    <w:p w14:paraId="0A15D56D">
      <w:pPr>
        <w:pStyle w:val="10"/>
        <w:spacing w:before="76"/>
        <w:ind w:left="718"/>
      </w:pPr>
      <w:r>
        <w:t>《国务院办公厅关于印发控制污染物排放许可制实施方案的通知》（国办发〔</w:t>
      </w:r>
      <w:r>
        <w:rPr>
          <w:rFonts w:ascii="Times New Roman" w:eastAsia="Times New Roman"/>
        </w:rPr>
        <w:t>2016</w:t>
      </w:r>
      <w:r>
        <w:t>〕</w:t>
      </w:r>
    </w:p>
    <w:p w14:paraId="29C0591C">
      <w:pPr>
        <w:pStyle w:val="10"/>
        <w:spacing w:before="180" w:line="381" w:lineRule="auto"/>
        <w:ind w:left="238" w:right="358"/>
      </w:pPr>
      <w:r>
        <w:rPr>
          <w:rFonts w:ascii="Times New Roman" w:eastAsia="Times New Roman"/>
        </w:rPr>
        <w:t xml:space="preserve">81 </w:t>
      </w:r>
      <w:r>
        <w:t>号）明确将排污许可制建设成为固定污染源环境管理的核心制度，作为企业守法、部门执法、社会监督的依据，为提高环境管理效能和改善环境质量奠定坚实基础。</w:t>
      </w:r>
    </w:p>
    <w:p w14:paraId="5BB2C785">
      <w:pPr>
        <w:pStyle w:val="10"/>
        <w:spacing w:before="1" w:line="381" w:lineRule="auto"/>
        <w:ind w:left="238" w:right="305" w:firstLine="480"/>
        <w:jc w:val="both"/>
      </w:pPr>
      <w:r>
        <w:t xml:space="preserve">本项目应严格按照国家和地方排污许可制度的要求，推进排污及污染源“一证式” </w:t>
      </w:r>
      <w:r>
        <w:rPr>
          <w:spacing w:val="-8"/>
        </w:rPr>
        <w:t>管理工作，并作为建设单位在生产运营期接受环境监管和环境保护部门实施监管的主要法律文书，单位依法申领排污许可证，按证排污，自证守法。</w:t>
      </w:r>
    </w:p>
    <w:p w14:paraId="773D222B">
      <w:pPr>
        <w:pStyle w:val="10"/>
        <w:spacing w:line="381" w:lineRule="auto"/>
        <w:ind w:left="238" w:right="357" w:firstLine="480"/>
        <w:jc w:val="both"/>
      </w:pPr>
      <w:r>
        <w:rPr>
          <w:spacing w:val="1"/>
        </w:rPr>
        <w:t>环境影响评价技术文件及批复中与污染物排放相关的主要内容应当纳入排污许可</w:t>
      </w:r>
      <w:r>
        <w:rPr>
          <w:spacing w:val="-8"/>
        </w:rPr>
        <w:t>证，项目建设内容、产品方案、建设规模，采用的工艺流程、工艺技术方案，污染预防</w:t>
      </w:r>
      <w:r>
        <w:rPr>
          <w:spacing w:val="-11"/>
        </w:rPr>
        <w:t>和清洁生产措施，环保设施和治理措施，各类污染物排放总量，自行监测要求，环境风</w:t>
      </w:r>
    </w:p>
    <w:p w14:paraId="739972B1">
      <w:pPr>
        <w:spacing w:after="0" w:line="381" w:lineRule="auto"/>
        <w:jc w:val="both"/>
        <w:sectPr>
          <w:pgSz w:w="11910" w:h="16840"/>
          <w:pgMar w:top="1340" w:right="1060" w:bottom="900" w:left="1180" w:header="0" w:footer="712" w:gutter="0"/>
          <w:cols w:space="720" w:num="1"/>
        </w:sectPr>
      </w:pPr>
    </w:p>
    <w:p w14:paraId="13F1A0C8">
      <w:pPr>
        <w:pStyle w:val="10"/>
        <w:spacing w:before="55" w:line="379" w:lineRule="auto"/>
        <w:ind w:left="718" w:right="245" w:hanging="480"/>
      </w:pPr>
      <w:r>
        <w:t>险防范体系等，将生产装置、产排污设施载入排污许可证，具体内容见报告书各章节。根据《固定污染源排污许可分类管理名录（</w:t>
      </w:r>
      <w:r>
        <w:rPr>
          <w:rFonts w:ascii="Times New Roman" w:hAnsi="Times New Roman" w:eastAsia="Times New Roman"/>
        </w:rPr>
        <w:t xml:space="preserve">2019 </w:t>
      </w:r>
      <w:r>
        <w:t>年版）》，本项目属于“二十四、</w:t>
      </w:r>
    </w:p>
    <w:p w14:paraId="37028A60">
      <w:pPr>
        <w:pStyle w:val="10"/>
        <w:spacing w:before="5" w:line="381" w:lineRule="auto"/>
        <w:ind w:left="238" w:right="245"/>
      </w:pPr>
      <w:r>
        <w:rPr>
          <w:spacing w:val="-7"/>
        </w:rPr>
        <w:t xml:space="preserve">橡胶和塑料制品业 </w:t>
      </w:r>
      <w:r>
        <w:rPr>
          <w:rFonts w:ascii="Times New Roman" w:hAnsi="Times New Roman" w:eastAsia="Times New Roman"/>
        </w:rPr>
        <w:t>29</w:t>
      </w:r>
      <w:r>
        <w:t>”中的“</w:t>
      </w:r>
      <w:r>
        <w:rPr>
          <w:rFonts w:ascii="Times New Roman" w:hAnsi="Times New Roman" w:eastAsia="Times New Roman"/>
        </w:rPr>
        <w:t>62</w:t>
      </w:r>
      <w:r>
        <w:rPr>
          <w:rFonts w:ascii="Times New Roman" w:hAnsi="Times New Roman" w:eastAsia="Times New Roman"/>
          <w:spacing w:val="58"/>
        </w:rPr>
        <w:t xml:space="preserve"> </w:t>
      </w:r>
      <w:r>
        <w:rPr>
          <w:spacing w:val="-11"/>
        </w:rPr>
        <w:t xml:space="preserve">塑料制品业 </w:t>
      </w:r>
      <w:r>
        <w:rPr>
          <w:rFonts w:ascii="Times New Roman" w:hAnsi="Times New Roman" w:eastAsia="Times New Roman"/>
        </w:rPr>
        <w:t>292</w:t>
      </w:r>
      <w:r>
        <w:rPr>
          <w:spacing w:val="-6"/>
        </w:rPr>
        <w:t xml:space="preserve">” “塑料板、管、型材制造 </w:t>
      </w:r>
      <w:r>
        <w:rPr>
          <w:rFonts w:ascii="Times New Roman" w:hAnsi="Times New Roman" w:eastAsia="Times New Roman"/>
        </w:rPr>
        <w:t>2922</w:t>
      </w:r>
      <w:r>
        <w:t xml:space="preserve">”， </w:t>
      </w:r>
      <w:r>
        <w:rPr>
          <w:spacing w:val="-7"/>
        </w:rPr>
        <w:t>为简化管理，企业应在启动生产设施或在实际排污之前向有核发权的生态环境主管部门申领排污许可证。</w:t>
      </w:r>
    </w:p>
    <w:p w14:paraId="5BE11382">
      <w:pPr>
        <w:pStyle w:val="16"/>
        <w:numPr>
          <w:ilvl w:val="2"/>
          <w:numId w:val="31"/>
        </w:numPr>
        <w:tabs>
          <w:tab w:val="left" w:pos="868"/>
        </w:tabs>
        <w:spacing w:before="55" w:after="0" w:line="240" w:lineRule="auto"/>
        <w:ind w:left="867" w:right="0" w:hanging="629"/>
        <w:jc w:val="left"/>
        <w:rPr>
          <w:b/>
          <w:sz w:val="28"/>
        </w:rPr>
      </w:pPr>
      <w:r>
        <w:rPr>
          <w:b/>
          <w:sz w:val="28"/>
        </w:rPr>
        <w:t>信息公开制度</w:t>
      </w:r>
    </w:p>
    <w:p w14:paraId="4D98939B">
      <w:pPr>
        <w:pStyle w:val="10"/>
        <w:spacing w:before="238"/>
        <w:ind w:left="718"/>
      </w:pPr>
      <w:r>
        <w:t>排污许可要求企业应对相关信息予以公开，相关要求如下：</w:t>
      </w:r>
    </w:p>
    <w:p w14:paraId="04C0ED5A">
      <w:pPr>
        <w:pStyle w:val="10"/>
        <w:spacing w:before="183" w:line="379" w:lineRule="auto"/>
        <w:ind w:left="238" w:right="356" w:firstLine="480"/>
      </w:pPr>
      <w:r>
        <w:rPr>
          <w:rFonts w:ascii="Times New Roman" w:eastAsia="Times New Roman"/>
        </w:rPr>
        <w:t>1</w:t>
      </w:r>
      <w:r>
        <w:t>、公布方式：企业通过对外网站或报纸、广播、电视、厂区外的电子屏幕等便于公众知晓的方式公开自行监测信息。</w:t>
      </w:r>
    </w:p>
    <w:p w14:paraId="3F0600BE">
      <w:pPr>
        <w:pStyle w:val="10"/>
        <w:spacing w:before="5"/>
        <w:ind w:left="718"/>
      </w:pPr>
      <w:r>
        <w:rPr>
          <w:rFonts w:ascii="Times New Roman" w:eastAsia="Times New Roman"/>
        </w:rPr>
        <w:t>2</w:t>
      </w:r>
      <w:r>
        <w:t>、公开内容</w:t>
      </w:r>
    </w:p>
    <w:p w14:paraId="1CC00B67">
      <w:pPr>
        <w:pStyle w:val="10"/>
        <w:spacing w:before="182" w:line="381" w:lineRule="auto"/>
        <w:ind w:left="238" w:right="305" w:firstLine="480"/>
      </w:pPr>
      <w:r>
        <w:t>①基础信息：企业名称、法人代表、所属行业、地理位置、生产周期、联系方式、委托监测机构名称等。</w:t>
      </w:r>
    </w:p>
    <w:p w14:paraId="0DDF5621">
      <w:pPr>
        <w:pStyle w:val="10"/>
        <w:spacing w:line="306" w:lineRule="exact"/>
        <w:ind w:left="718"/>
      </w:pPr>
      <w:r>
        <w:t>②自行监测方案。</w:t>
      </w:r>
    </w:p>
    <w:p w14:paraId="48A25A57">
      <w:pPr>
        <w:pStyle w:val="10"/>
        <w:spacing w:before="182" w:line="381" w:lineRule="auto"/>
        <w:ind w:left="238" w:right="302" w:firstLine="480"/>
      </w:pPr>
      <w:r>
        <w:t>③自行监测结果：全部监测点位、监测时间、污染物种类及浓度、标准限值、达标情况、污染物排放方式及排放去向等。</w:t>
      </w:r>
    </w:p>
    <w:p w14:paraId="4D89D9F7">
      <w:pPr>
        <w:pStyle w:val="10"/>
        <w:spacing w:before="1"/>
        <w:ind w:left="718"/>
      </w:pPr>
      <w:r>
        <w:t>④未开展自行监测的原因。</w:t>
      </w:r>
    </w:p>
    <w:p w14:paraId="47677CC1">
      <w:pPr>
        <w:pStyle w:val="10"/>
        <w:spacing w:before="180"/>
        <w:ind w:left="718"/>
      </w:pPr>
      <w:r>
        <w:t>⑤污染源监测年度报告。</w:t>
      </w:r>
    </w:p>
    <w:p w14:paraId="7B221D5A">
      <w:pPr>
        <w:pStyle w:val="10"/>
        <w:spacing w:before="182" w:line="381" w:lineRule="auto"/>
        <w:ind w:left="238" w:right="356" w:firstLine="480"/>
      </w:pPr>
      <w:r>
        <w:rPr>
          <w:rFonts w:ascii="Times New Roman" w:eastAsia="Times New Roman"/>
        </w:rPr>
        <w:t>3</w:t>
      </w:r>
      <w:r>
        <w:t xml:space="preserve">、公布时限：企业基础信息应随监测数据一并公布，基础信息、监测方案如有调整变化时，应于变更后的 </w:t>
      </w:r>
      <w:r>
        <w:rPr>
          <w:rFonts w:ascii="Times New Roman" w:eastAsia="Times New Roman"/>
        </w:rPr>
        <w:t xml:space="preserve">5 </w:t>
      </w:r>
      <w:r>
        <w:t>日内公布最新内容。</w:t>
      </w:r>
    </w:p>
    <w:p w14:paraId="1EEB1F43">
      <w:pPr>
        <w:pStyle w:val="10"/>
        <w:spacing w:before="1" w:line="379" w:lineRule="auto"/>
        <w:ind w:left="238" w:right="54" w:firstLine="480"/>
      </w:pPr>
      <w:r>
        <w:t xml:space="preserve">手工监测数据应于每次检测完成后的次日公布；自动监测数据应实时公布监测结果， 其中废水自动监测设备为每 </w:t>
      </w:r>
      <w:r>
        <w:rPr>
          <w:rFonts w:ascii="Times New Roman" w:eastAsia="Times New Roman"/>
        </w:rPr>
        <w:t xml:space="preserve">2 </w:t>
      </w:r>
      <w:r>
        <w:t xml:space="preserve">小时均值，废气自动监测设备为每 </w:t>
      </w:r>
      <w:r>
        <w:rPr>
          <w:rFonts w:ascii="Times New Roman" w:eastAsia="Times New Roman"/>
        </w:rPr>
        <w:t xml:space="preserve">1 </w:t>
      </w:r>
      <w:r>
        <w:t>小时均值。</w:t>
      </w:r>
    </w:p>
    <w:p w14:paraId="7F33353B">
      <w:pPr>
        <w:pStyle w:val="10"/>
        <w:spacing w:before="5"/>
        <w:ind w:left="718"/>
      </w:pPr>
      <w:r>
        <w:t>每年一月底公布上年度自行监测年度报告。</w:t>
      </w:r>
    </w:p>
    <w:p w14:paraId="76674765">
      <w:pPr>
        <w:pStyle w:val="10"/>
        <w:spacing w:before="8"/>
        <w:rPr>
          <w:sz w:val="17"/>
        </w:rPr>
      </w:pPr>
    </w:p>
    <w:p w14:paraId="03FF0370">
      <w:pPr>
        <w:pStyle w:val="3"/>
        <w:numPr>
          <w:ilvl w:val="1"/>
          <w:numId w:val="32"/>
        </w:numPr>
        <w:tabs>
          <w:tab w:val="left" w:pos="764"/>
        </w:tabs>
        <w:spacing w:before="0" w:after="0" w:line="240" w:lineRule="auto"/>
        <w:ind w:left="764" w:right="0" w:hanging="526"/>
        <w:jc w:val="left"/>
      </w:pPr>
      <w:bookmarkStart w:id="45" w:name="_TOC_250010"/>
      <w:bookmarkEnd w:id="45"/>
      <w:r>
        <w:t>竣工环境保护验收</w:t>
      </w:r>
    </w:p>
    <w:p w14:paraId="798EFECD">
      <w:pPr>
        <w:pStyle w:val="10"/>
        <w:spacing w:before="225" w:line="381" w:lineRule="auto"/>
        <w:ind w:left="238" w:right="305" w:firstLine="480"/>
        <w:jc w:val="both"/>
      </w:pPr>
      <w:r>
        <w:rPr>
          <w:spacing w:val="-3"/>
        </w:rPr>
        <w:t>建设单位是建设项目竣工环境保护验收的责任主体，应当按照相关办法规定的程序</w:t>
      </w:r>
      <w:r>
        <w:rPr>
          <w:spacing w:val="-7"/>
        </w:rPr>
        <w:t>和标准，组织对环境保护设施进行验收。按相关文件要求，建设单位可自行编制验收报告，若不具备编制能力，可委托有能力技术机构编制，建设单位对验收报告结论负责。</w:t>
      </w:r>
      <w:r>
        <w:rPr>
          <w:spacing w:val="-10"/>
        </w:rPr>
        <w:t>根据《建设项目竣工环境保护验收技术指南污染影响类》</w:t>
      </w:r>
      <w:r>
        <w:t>（</w:t>
      </w:r>
      <w:r>
        <w:rPr>
          <w:spacing w:val="-8"/>
        </w:rPr>
        <w:t xml:space="preserve">生态环境部公告 </w:t>
      </w:r>
      <w:r>
        <w:rPr>
          <w:rFonts w:ascii="Times New Roman" w:eastAsia="Times New Roman"/>
        </w:rPr>
        <w:t xml:space="preserve">2018 </w:t>
      </w:r>
      <w:r>
        <w:rPr>
          <w:spacing w:val="-20"/>
        </w:rPr>
        <w:t xml:space="preserve">年第 </w:t>
      </w:r>
      <w:r>
        <w:rPr>
          <w:rFonts w:ascii="Times New Roman" w:eastAsia="Times New Roman"/>
        </w:rPr>
        <w:t xml:space="preserve">9 </w:t>
      </w:r>
      <w:r>
        <w:t>号），验收监测报告主要包括以下内容：</w:t>
      </w:r>
    </w:p>
    <w:p w14:paraId="6D65BB74">
      <w:pPr>
        <w:spacing w:after="0" w:line="381" w:lineRule="auto"/>
        <w:jc w:val="both"/>
        <w:sectPr>
          <w:pgSz w:w="11910" w:h="16840"/>
          <w:pgMar w:top="1380" w:right="1060" w:bottom="900" w:left="1180" w:header="0" w:footer="712" w:gutter="0"/>
          <w:cols w:space="720" w:num="1"/>
        </w:sectPr>
      </w:pPr>
    </w:p>
    <w:p w14:paraId="34BBD9CD">
      <w:pPr>
        <w:pStyle w:val="10"/>
        <w:spacing w:before="55"/>
        <w:ind w:left="718"/>
      </w:pPr>
      <w:r>
        <w:t>（</w:t>
      </w:r>
      <w:r>
        <w:rPr>
          <w:rFonts w:ascii="Times New Roman" w:eastAsia="Times New Roman"/>
        </w:rPr>
        <w:t>1</w:t>
      </w:r>
      <w:r>
        <w:t>）建设项目概况；</w:t>
      </w:r>
    </w:p>
    <w:p w14:paraId="274E3A52">
      <w:pPr>
        <w:pStyle w:val="10"/>
        <w:spacing w:before="179"/>
        <w:ind w:left="718"/>
      </w:pPr>
      <w:r>
        <w:t>（</w:t>
      </w:r>
      <w:r>
        <w:rPr>
          <w:rFonts w:ascii="Times New Roman" w:eastAsia="Times New Roman"/>
        </w:rPr>
        <w:t>2</w:t>
      </w:r>
      <w:r>
        <w:t>）验收依据；</w:t>
      </w:r>
    </w:p>
    <w:p w14:paraId="6A6A34F6">
      <w:pPr>
        <w:pStyle w:val="10"/>
        <w:spacing w:before="183"/>
        <w:ind w:left="718"/>
      </w:pPr>
      <w:r>
        <w:t>（</w:t>
      </w:r>
      <w:r>
        <w:rPr>
          <w:rFonts w:ascii="Times New Roman" w:eastAsia="Times New Roman"/>
        </w:rPr>
        <w:t>3</w:t>
      </w:r>
      <w:r>
        <w:t>）项目建设情况；</w:t>
      </w:r>
    </w:p>
    <w:p w14:paraId="0C666EFC">
      <w:pPr>
        <w:pStyle w:val="10"/>
        <w:spacing w:before="182"/>
        <w:ind w:left="718"/>
      </w:pPr>
      <w:r>
        <w:t>（</w:t>
      </w:r>
      <w:r>
        <w:rPr>
          <w:rFonts w:ascii="Times New Roman" w:eastAsia="Times New Roman"/>
        </w:rPr>
        <w:t>4</w:t>
      </w:r>
      <w:r>
        <w:t>）环评主要结论与建议及审批部门审批决定；</w:t>
      </w:r>
    </w:p>
    <w:p w14:paraId="3DA38FA8">
      <w:pPr>
        <w:pStyle w:val="10"/>
        <w:spacing w:before="182"/>
        <w:ind w:left="718"/>
      </w:pPr>
      <w:r>
        <w:t>（</w:t>
      </w:r>
      <w:r>
        <w:rPr>
          <w:rFonts w:ascii="Times New Roman" w:eastAsia="Times New Roman"/>
        </w:rPr>
        <w:t>5</w:t>
      </w:r>
      <w:r>
        <w:t>）验收执行标准及监测内容；</w:t>
      </w:r>
    </w:p>
    <w:p w14:paraId="3748E6DE">
      <w:pPr>
        <w:pStyle w:val="10"/>
        <w:spacing w:before="179"/>
        <w:ind w:left="718"/>
      </w:pPr>
      <w:r>
        <w:t>（</w:t>
      </w:r>
      <w:r>
        <w:rPr>
          <w:rFonts w:ascii="Times New Roman" w:eastAsia="Times New Roman"/>
        </w:rPr>
        <w:t>6</w:t>
      </w:r>
      <w:r>
        <w:t>）验收监测数据的质量控制和质量保证。</w:t>
      </w:r>
    </w:p>
    <w:p w14:paraId="4E3DEDB3">
      <w:pPr>
        <w:pStyle w:val="10"/>
        <w:spacing w:before="183" w:line="381" w:lineRule="auto"/>
        <w:ind w:left="238" w:right="358" w:firstLine="480"/>
      </w:pPr>
      <w:r>
        <w:t>（</w:t>
      </w:r>
      <w:r>
        <w:rPr>
          <w:rFonts w:ascii="Times New Roman" w:eastAsia="Times New Roman"/>
        </w:rPr>
        <w:t>7</w:t>
      </w:r>
      <w:r>
        <w:t>）验收监测内容与结果：验收监测应当在确保主体工况稳定、环境保护设施运行正常的情况下进行；</w:t>
      </w:r>
    </w:p>
    <w:p w14:paraId="19CCD4E0">
      <w:pPr>
        <w:pStyle w:val="10"/>
        <w:spacing w:before="1"/>
        <w:ind w:left="718"/>
      </w:pPr>
      <w:r>
        <w:t>（</w:t>
      </w:r>
      <w:r>
        <w:rPr>
          <w:rFonts w:ascii="Times New Roman" w:eastAsia="Times New Roman"/>
        </w:rPr>
        <w:t>8</w:t>
      </w:r>
      <w:r>
        <w:t>）验收监测结论；</w:t>
      </w:r>
    </w:p>
    <w:p w14:paraId="1652B14E">
      <w:pPr>
        <w:pStyle w:val="10"/>
        <w:spacing w:before="180"/>
        <w:ind w:left="718"/>
      </w:pPr>
      <w:r>
        <w:t>（</w:t>
      </w:r>
      <w:r>
        <w:rPr>
          <w:rFonts w:ascii="Times New Roman" w:hAnsi="Times New Roman" w:eastAsia="Times New Roman"/>
        </w:rPr>
        <w:t>9</w:t>
      </w:r>
      <w:r>
        <w:t>）建设项目环境保护</w:t>
      </w:r>
      <w:r>
        <w:rPr>
          <w:rFonts w:ascii="Times New Roman" w:hAnsi="Times New Roman" w:eastAsia="Times New Roman"/>
        </w:rPr>
        <w:t>“</w:t>
      </w:r>
      <w:r>
        <w:t>三同时</w:t>
      </w:r>
      <w:r>
        <w:rPr>
          <w:rFonts w:ascii="Times New Roman" w:hAnsi="Times New Roman" w:eastAsia="Times New Roman"/>
        </w:rPr>
        <w:t>”</w:t>
      </w:r>
      <w:r>
        <w:t>：</w:t>
      </w:r>
    </w:p>
    <w:p w14:paraId="64FC342B">
      <w:pPr>
        <w:pStyle w:val="10"/>
        <w:spacing w:before="182" w:line="381" w:lineRule="auto"/>
        <w:ind w:left="238" w:right="117" w:firstLine="480"/>
      </w:pPr>
      <w:r>
        <w:t>①建设项目</w:t>
      </w:r>
      <w:r>
        <w:rPr>
          <w:rFonts w:ascii="Times New Roman" w:hAnsi="Times New Roman" w:eastAsia="Times New Roman"/>
        </w:rPr>
        <w:t>“</w:t>
      </w:r>
      <w:r>
        <w:t>三同时</w:t>
      </w:r>
      <w:r>
        <w:rPr>
          <w:rFonts w:ascii="Times New Roman" w:hAnsi="Times New Roman" w:eastAsia="Times New Roman"/>
        </w:rPr>
        <w:t>”</w:t>
      </w:r>
      <w:r>
        <w:rPr>
          <w:spacing w:val="-2"/>
        </w:rPr>
        <w:t>执行情况以及配套环保设施的建设情况；②环境保护机构设置、</w:t>
      </w:r>
      <w:r>
        <w:rPr>
          <w:spacing w:val="-7"/>
        </w:rPr>
        <w:t>环境管理规章制度及落实情况；③环保设施运行、维护情况；④固体废物的排放、利用 及其处理处置情况；⑥对环评批复要求的落实情况。</w:t>
      </w:r>
    </w:p>
    <w:p w14:paraId="6078D139">
      <w:pPr>
        <w:spacing w:before="0" w:after="28" w:line="207" w:lineRule="exact"/>
        <w:ind w:left="3132" w:right="0" w:firstLine="0"/>
        <w:jc w:val="left"/>
        <w:rPr>
          <w:b/>
          <w:sz w:val="21"/>
        </w:rPr>
      </w:pPr>
      <w:r>
        <w:rPr>
          <w:b/>
          <w:sz w:val="21"/>
        </w:rPr>
        <w:t xml:space="preserve">表 </w:t>
      </w:r>
      <w:r>
        <w:rPr>
          <w:rFonts w:ascii="Times New Roman" w:hAnsi="Times New Roman" w:eastAsia="Times New Roman"/>
          <w:b/>
          <w:sz w:val="21"/>
        </w:rPr>
        <w:t xml:space="preserve">7.5-1 </w:t>
      </w:r>
      <w:r>
        <w:rPr>
          <w:b/>
          <w:sz w:val="21"/>
        </w:rPr>
        <w:t>环保设施</w:t>
      </w:r>
      <w:r>
        <w:rPr>
          <w:rFonts w:ascii="Times New Roman" w:hAnsi="Times New Roman" w:eastAsia="Times New Roman"/>
          <w:b/>
          <w:sz w:val="21"/>
        </w:rPr>
        <w:t>“</w:t>
      </w:r>
      <w:r>
        <w:rPr>
          <w:b/>
          <w:sz w:val="21"/>
        </w:rPr>
        <w:t>三同时</w:t>
      </w:r>
      <w:r>
        <w:rPr>
          <w:rFonts w:ascii="Times New Roman" w:hAnsi="Times New Roman" w:eastAsia="Times New Roman"/>
          <w:b/>
          <w:sz w:val="21"/>
        </w:rPr>
        <w:t>”</w:t>
      </w:r>
      <w:r>
        <w:rPr>
          <w:b/>
          <w:sz w:val="21"/>
        </w:rPr>
        <w:t>验收内容</w:t>
      </w:r>
    </w:p>
    <w:tbl>
      <w:tblPr>
        <w:tblStyle w:val="13"/>
        <w:tblW w:w="0" w:type="auto"/>
        <w:tblInd w:w="19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5"/>
        <w:gridCol w:w="1559"/>
        <w:gridCol w:w="1156"/>
        <w:gridCol w:w="2057"/>
        <w:gridCol w:w="2751"/>
      </w:tblGrid>
      <w:tr w14:paraId="0BF040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845" w:type="dxa"/>
            <w:tcBorders>
              <w:left w:val="nil"/>
              <w:bottom w:val="single" w:color="000000" w:sz="4" w:space="0"/>
              <w:right w:val="single" w:color="000000" w:sz="4" w:space="0"/>
            </w:tcBorders>
          </w:tcPr>
          <w:p w14:paraId="73BBBEFF">
            <w:pPr>
              <w:pStyle w:val="17"/>
              <w:spacing w:before="28"/>
              <w:ind w:left="204" w:right="176"/>
              <w:rPr>
                <w:sz w:val="21"/>
              </w:rPr>
            </w:pPr>
            <w:r>
              <w:rPr>
                <w:sz w:val="21"/>
              </w:rPr>
              <w:t>类型</w:t>
            </w:r>
          </w:p>
        </w:tc>
        <w:tc>
          <w:tcPr>
            <w:tcW w:w="1559" w:type="dxa"/>
            <w:tcBorders>
              <w:left w:val="single" w:color="000000" w:sz="4" w:space="0"/>
              <w:bottom w:val="single" w:color="000000" w:sz="4" w:space="0"/>
              <w:right w:val="single" w:color="000000" w:sz="4" w:space="0"/>
            </w:tcBorders>
          </w:tcPr>
          <w:p w14:paraId="31668847">
            <w:pPr>
              <w:pStyle w:val="17"/>
              <w:spacing w:before="28"/>
              <w:ind w:left="51" w:right="23"/>
              <w:rPr>
                <w:sz w:val="21"/>
              </w:rPr>
            </w:pPr>
            <w:r>
              <w:rPr>
                <w:sz w:val="21"/>
              </w:rPr>
              <w:t>污染源</w:t>
            </w:r>
          </w:p>
        </w:tc>
        <w:tc>
          <w:tcPr>
            <w:tcW w:w="1156" w:type="dxa"/>
            <w:tcBorders>
              <w:left w:val="single" w:color="000000" w:sz="4" w:space="0"/>
              <w:bottom w:val="single" w:color="000000" w:sz="4" w:space="0"/>
              <w:right w:val="single" w:color="000000" w:sz="4" w:space="0"/>
            </w:tcBorders>
          </w:tcPr>
          <w:p w14:paraId="2A93F5A0">
            <w:pPr>
              <w:pStyle w:val="17"/>
              <w:spacing w:before="28"/>
              <w:ind w:left="42" w:right="14"/>
              <w:rPr>
                <w:sz w:val="21"/>
              </w:rPr>
            </w:pPr>
            <w:r>
              <w:rPr>
                <w:sz w:val="21"/>
              </w:rPr>
              <w:t>主要污染物</w:t>
            </w:r>
          </w:p>
        </w:tc>
        <w:tc>
          <w:tcPr>
            <w:tcW w:w="2057" w:type="dxa"/>
            <w:tcBorders>
              <w:left w:val="single" w:color="000000" w:sz="4" w:space="0"/>
              <w:bottom w:val="single" w:color="000000" w:sz="4" w:space="0"/>
              <w:right w:val="single" w:color="000000" w:sz="4" w:space="0"/>
            </w:tcBorders>
          </w:tcPr>
          <w:p w14:paraId="029ADE37">
            <w:pPr>
              <w:pStyle w:val="17"/>
              <w:spacing w:before="28"/>
              <w:ind w:left="617"/>
              <w:jc w:val="left"/>
              <w:rPr>
                <w:sz w:val="21"/>
              </w:rPr>
            </w:pPr>
            <w:r>
              <w:rPr>
                <w:sz w:val="21"/>
              </w:rPr>
              <w:t>验收内容</w:t>
            </w:r>
          </w:p>
        </w:tc>
        <w:tc>
          <w:tcPr>
            <w:tcW w:w="2751" w:type="dxa"/>
            <w:tcBorders>
              <w:left w:val="single" w:color="000000" w:sz="4" w:space="0"/>
              <w:bottom w:val="single" w:color="000000" w:sz="4" w:space="0"/>
              <w:right w:val="nil"/>
            </w:tcBorders>
          </w:tcPr>
          <w:p w14:paraId="1B002CA7">
            <w:pPr>
              <w:pStyle w:val="17"/>
              <w:spacing w:before="28"/>
              <w:ind w:left="20" w:right="2"/>
              <w:rPr>
                <w:sz w:val="21"/>
              </w:rPr>
            </w:pPr>
            <w:r>
              <w:rPr>
                <w:sz w:val="21"/>
              </w:rPr>
              <w:t>验收标准</w:t>
            </w:r>
          </w:p>
        </w:tc>
      </w:tr>
      <w:tr w14:paraId="6860B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03" w:hRule="atLeast"/>
        </w:trPr>
        <w:tc>
          <w:tcPr>
            <w:tcW w:w="845" w:type="dxa"/>
            <w:tcBorders>
              <w:top w:val="single" w:color="000000" w:sz="4" w:space="0"/>
              <w:left w:val="nil"/>
              <w:bottom w:val="single" w:color="000000" w:sz="4" w:space="0"/>
              <w:right w:val="single" w:color="000000" w:sz="4" w:space="0"/>
            </w:tcBorders>
          </w:tcPr>
          <w:p w14:paraId="33D79FBB">
            <w:pPr>
              <w:pStyle w:val="17"/>
              <w:jc w:val="left"/>
              <w:rPr>
                <w:b/>
                <w:sz w:val="20"/>
              </w:rPr>
            </w:pPr>
          </w:p>
          <w:p w14:paraId="65630FBB">
            <w:pPr>
              <w:pStyle w:val="17"/>
              <w:spacing w:before="5"/>
              <w:jc w:val="left"/>
              <w:rPr>
                <w:b/>
                <w:sz w:val="20"/>
              </w:rPr>
            </w:pPr>
          </w:p>
          <w:p w14:paraId="375BA9E0">
            <w:pPr>
              <w:pStyle w:val="17"/>
              <w:ind w:left="204" w:right="176"/>
              <w:rPr>
                <w:sz w:val="21"/>
              </w:rPr>
            </w:pPr>
            <w:r>
              <w:rPr>
                <w:sz w:val="21"/>
              </w:rPr>
              <w:t>废水</w:t>
            </w:r>
          </w:p>
        </w:tc>
        <w:tc>
          <w:tcPr>
            <w:tcW w:w="1559" w:type="dxa"/>
            <w:tcBorders>
              <w:top w:val="single" w:color="000000" w:sz="4" w:space="0"/>
              <w:left w:val="single" w:color="000000" w:sz="4" w:space="0"/>
              <w:bottom w:val="single" w:color="000000" w:sz="4" w:space="0"/>
              <w:right w:val="single" w:color="000000" w:sz="4" w:space="0"/>
            </w:tcBorders>
          </w:tcPr>
          <w:p w14:paraId="74D176C6">
            <w:pPr>
              <w:pStyle w:val="17"/>
              <w:jc w:val="left"/>
              <w:rPr>
                <w:b/>
                <w:sz w:val="20"/>
              </w:rPr>
            </w:pPr>
          </w:p>
          <w:p w14:paraId="5AA5A272">
            <w:pPr>
              <w:pStyle w:val="17"/>
              <w:spacing w:before="5"/>
              <w:jc w:val="left"/>
              <w:rPr>
                <w:b/>
                <w:sz w:val="20"/>
              </w:rPr>
            </w:pPr>
          </w:p>
          <w:p w14:paraId="3F2B6EA1">
            <w:pPr>
              <w:pStyle w:val="17"/>
              <w:ind w:left="49" w:right="23"/>
              <w:rPr>
                <w:sz w:val="21"/>
              </w:rPr>
            </w:pPr>
            <w:r>
              <w:rPr>
                <w:sz w:val="21"/>
              </w:rPr>
              <w:t>生活污水</w:t>
            </w:r>
          </w:p>
        </w:tc>
        <w:tc>
          <w:tcPr>
            <w:tcW w:w="1156" w:type="dxa"/>
            <w:tcBorders>
              <w:top w:val="single" w:color="000000" w:sz="4" w:space="0"/>
              <w:left w:val="single" w:color="000000" w:sz="4" w:space="0"/>
              <w:bottom w:val="single" w:color="000000" w:sz="4" w:space="0"/>
              <w:right w:val="single" w:color="000000" w:sz="4" w:space="0"/>
            </w:tcBorders>
          </w:tcPr>
          <w:p w14:paraId="5939586F">
            <w:pPr>
              <w:pStyle w:val="17"/>
              <w:spacing w:before="191"/>
              <w:ind w:left="39" w:right="14"/>
              <w:rPr>
                <w:sz w:val="21"/>
              </w:rPr>
            </w:pPr>
            <w:r>
              <w:rPr>
                <w:rFonts w:ascii="Times New Roman" w:eastAsia="Times New Roman"/>
                <w:sz w:val="21"/>
              </w:rPr>
              <w:t>COD</w:t>
            </w:r>
            <w:r>
              <w:rPr>
                <w:sz w:val="21"/>
              </w:rPr>
              <w:t>、</w:t>
            </w:r>
          </w:p>
          <w:p w14:paraId="2214AAA1">
            <w:pPr>
              <w:pStyle w:val="17"/>
              <w:spacing w:before="54"/>
              <w:ind w:left="16" w:right="133"/>
              <w:rPr>
                <w:rFonts w:ascii="Times New Roman" w:eastAsia="Times New Roman"/>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p>
          <w:p w14:paraId="164CEEC2">
            <w:pPr>
              <w:pStyle w:val="17"/>
              <w:spacing w:before="52"/>
              <w:ind w:left="39" w:right="14"/>
              <w:rPr>
                <w:sz w:val="21"/>
              </w:rPr>
            </w:pPr>
            <w:r>
              <w:rPr>
                <w:sz w:val="21"/>
              </w:rPr>
              <w:t>氨氮等</w:t>
            </w:r>
          </w:p>
        </w:tc>
        <w:tc>
          <w:tcPr>
            <w:tcW w:w="2057" w:type="dxa"/>
            <w:tcBorders>
              <w:top w:val="single" w:color="000000" w:sz="4" w:space="0"/>
              <w:left w:val="single" w:color="000000" w:sz="4" w:space="0"/>
              <w:bottom w:val="single" w:color="000000" w:sz="4" w:space="0"/>
              <w:right w:val="single" w:color="000000" w:sz="4" w:space="0"/>
            </w:tcBorders>
          </w:tcPr>
          <w:p w14:paraId="35060558">
            <w:pPr>
              <w:pStyle w:val="17"/>
              <w:jc w:val="left"/>
              <w:rPr>
                <w:b/>
                <w:sz w:val="20"/>
              </w:rPr>
            </w:pPr>
          </w:p>
          <w:p w14:paraId="02E354E1">
            <w:pPr>
              <w:pStyle w:val="17"/>
              <w:spacing w:before="5"/>
              <w:jc w:val="left"/>
              <w:rPr>
                <w:b/>
                <w:sz w:val="20"/>
              </w:rPr>
            </w:pPr>
          </w:p>
          <w:p w14:paraId="0BD557C6">
            <w:pPr>
              <w:pStyle w:val="17"/>
              <w:tabs>
                <w:tab w:val="left" w:pos="303"/>
              </w:tabs>
              <w:ind w:left="-165"/>
              <w:jc w:val="left"/>
              <w:rPr>
                <w:sz w:val="21"/>
              </w:rPr>
            </w:pPr>
            <w:r>
              <w:rPr>
                <w:sz w:val="21"/>
              </w:rPr>
              <w:t>、</w:t>
            </w:r>
            <w:r>
              <w:rPr>
                <w:sz w:val="21"/>
              </w:rPr>
              <w:tab/>
            </w:r>
            <w:r>
              <w:rPr>
                <w:sz w:val="21"/>
              </w:rPr>
              <w:t>化粪池（依托）</w:t>
            </w:r>
          </w:p>
        </w:tc>
        <w:tc>
          <w:tcPr>
            <w:tcW w:w="2751" w:type="dxa"/>
            <w:tcBorders>
              <w:top w:val="single" w:color="000000" w:sz="4" w:space="0"/>
              <w:left w:val="single" w:color="000000" w:sz="4" w:space="0"/>
              <w:bottom w:val="single" w:color="000000" w:sz="4" w:space="0"/>
              <w:right w:val="nil"/>
            </w:tcBorders>
          </w:tcPr>
          <w:p w14:paraId="056FF126">
            <w:pPr>
              <w:pStyle w:val="17"/>
              <w:spacing w:before="28" w:line="290" w:lineRule="auto"/>
              <w:ind w:left="75" w:right="49" w:firstLine="2"/>
              <w:jc w:val="both"/>
              <w:rPr>
                <w:rFonts w:ascii="Times New Roman" w:hAnsi="Times New Roman" w:eastAsia="Times New Roman"/>
                <w:sz w:val="21"/>
              </w:rPr>
            </w:pPr>
            <w:r>
              <w:rPr>
                <w:rFonts w:ascii="Times New Roman" w:hAnsi="Times New Roman" w:eastAsia="Times New Roman"/>
                <w:sz w:val="21"/>
              </w:rPr>
              <w:t>“</w:t>
            </w:r>
            <w:r>
              <w:rPr>
                <w:sz w:val="21"/>
              </w:rPr>
              <w:t>汨罗市城市污水处理厂设计进水水质</w:t>
            </w:r>
            <w:r>
              <w:rPr>
                <w:rFonts w:ascii="Times New Roman" w:hAnsi="Times New Roman" w:eastAsia="Times New Roman"/>
                <w:sz w:val="21"/>
              </w:rPr>
              <w:t>”</w:t>
            </w:r>
            <w:r>
              <w:rPr>
                <w:sz w:val="21"/>
              </w:rPr>
              <w:t>和《污水综合排放标准》（</w:t>
            </w:r>
            <w:r>
              <w:rPr>
                <w:rFonts w:ascii="Times New Roman" w:hAnsi="Times New Roman" w:eastAsia="Times New Roman"/>
                <w:sz w:val="21"/>
              </w:rPr>
              <w:t>GB8978-1996</w:t>
            </w:r>
            <w:r>
              <w:rPr>
                <w:sz w:val="21"/>
              </w:rPr>
              <w:t>）</w:t>
            </w:r>
            <w:r>
              <w:rPr>
                <w:spacing w:val="-29"/>
                <w:sz w:val="21"/>
              </w:rPr>
              <w:t xml:space="preserve">表 </w:t>
            </w:r>
            <w:r>
              <w:rPr>
                <w:rFonts w:ascii="Times New Roman" w:hAnsi="Times New Roman" w:eastAsia="Times New Roman"/>
                <w:sz w:val="21"/>
              </w:rPr>
              <w:t>4</w:t>
            </w:r>
          </w:p>
          <w:p w14:paraId="366E8649">
            <w:pPr>
              <w:pStyle w:val="17"/>
              <w:ind w:left="860"/>
              <w:jc w:val="left"/>
              <w:rPr>
                <w:sz w:val="21"/>
              </w:rPr>
            </w:pPr>
            <w:r>
              <w:rPr>
                <w:sz w:val="21"/>
              </w:rPr>
              <w:t>中三级标准</w:t>
            </w:r>
          </w:p>
        </w:tc>
      </w:tr>
      <w:tr w14:paraId="7E4DF2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93" w:hRule="atLeast"/>
        </w:trPr>
        <w:tc>
          <w:tcPr>
            <w:tcW w:w="845" w:type="dxa"/>
            <w:vMerge w:val="restart"/>
            <w:tcBorders>
              <w:top w:val="single" w:color="000000" w:sz="4" w:space="0"/>
              <w:left w:val="nil"/>
              <w:right w:val="single" w:color="000000" w:sz="4" w:space="0"/>
            </w:tcBorders>
          </w:tcPr>
          <w:p w14:paraId="718FD214">
            <w:pPr>
              <w:pStyle w:val="17"/>
              <w:jc w:val="left"/>
              <w:rPr>
                <w:b/>
                <w:sz w:val="20"/>
              </w:rPr>
            </w:pPr>
          </w:p>
          <w:p w14:paraId="1F0731C2">
            <w:pPr>
              <w:pStyle w:val="17"/>
              <w:jc w:val="left"/>
              <w:rPr>
                <w:b/>
                <w:sz w:val="20"/>
              </w:rPr>
            </w:pPr>
          </w:p>
          <w:p w14:paraId="48A677B8">
            <w:pPr>
              <w:pStyle w:val="17"/>
              <w:jc w:val="left"/>
              <w:rPr>
                <w:b/>
                <w:sz w:val="20"/>
              </w:rPr>
            </w:pPr>
          </w:p>
          <w:p w14:paraId="24B025FF">
            <w:pPr>
              <w:pStyle w:val="17"/>
              <w:jc w:val="left"/>
              <w:rPr>
                <w:b/>
                <w:sz w:val="20"/>
              </w:rPr>
            </w:pPr>
          </w:p>
          <w:p w14:paraId="79FC0711">
            <w:pPr>
              <w:pStyle w:val="17"/>
              <w:jc w:val="left"/>
              <w:rPr>
                <w:b/>
                <w:sz w:val="20"/>
              </w:rPr>
            </w:pPr>
          </w:p>
          <w:p w14:paraId="782B0CEC">
            <w:pPr>
              <w:pStyle w:val="17"/>
              <w:jc w:val="left"/>
              <w:rPr>
                <w:b/>
                <w:sz w:val="20"/>
              </w:rPr>
            </w:pPr>
          </w:p>
          <w:p w14:paraId="1A1C21DD">
            <w:pPr>
              <w:pStyle w:val="17"/>
              <w:jc w:val="left"/>
              <w:rPr>
                <w:b/>
                <w:sz w:val="20"/>
              </w:rPr>
            </w:pPr>
          </w:p>
          <w:p w14:paraId="48F84D0F">
            <w:pPr>
              <w:pStyle w:val="17"/>
              <w:jc w:val="left"/>
              <w:rPr>
                <w:b/>
                <w:sz w:val="20"/>
              </w:rPr>
            </w:pPr>
          </w:p>
          <w:p w14:paraId="7FF7178B">
            <w:pPr>
              <w:pStyle w:val="17"/>
              <w:jc w:val="left"/>
              <w:rPr>
                <w:b/>
                <w:sz w:val="20"/>
              </w:rPr>
            </w:pPr>
          </w:p>
          <w:p w14:paraId="70C73601">
            <w:pPr>
              <w:pStyle w:val="17"/>
              <w:spacing w:before="3"/>
              <w:jc w:val="left"/>
              <w:rPr>
                <w:b/>
                <w:sz w:val="27"/>
              </w:rPr>
            </w:pPr>
          </w:p>
          <w:p w14:paraId="214BC9C4">
            <w:pPr>
              <w:pStyle w:val="17"/>
              <w:ind w:left="225"/>
              <w:jc w:val="left"/>
              <w:rPr>
                <w:sz w:val="21"/>
              </w:rPr>
            </w:pPr>
            <w:r>
              <w:rPr>
                <w:sz w:val="21"/>
              </w:rPr>
              <w:t>废气</w:t>
            </w:r>
          </w:p>
        </w:tc>
        <w:tc>
          <w:tcPr>
            <w:tcW w:w="1559" w:type="dxa"/>
            <w:tcBorders>
              <w:top w:val="single" w:color="000000" w:sz="4" w:space="0"/>
              <w:left w:val="single" w:color="000000" w:sz="4" w:space="0"/>
              <w:bottom w:val="single" w:color="000000" w:sz="4" w:space="0"/>
              <w:right w:val="single" w:color="000000" w:sz="4" w:space="0"/>
            </w:tcBorders>
          </w:tcPr>
          <w:p w14:paraId="4BC65C63">
            <w:pPr>
              <w:pStyle w:val="17"/>
              <w:spacing w:before="7"/>
              <w:jc w:val="left"/>
              <w:rPr>
                <w:b/>
                <w:sz w:val="27"/>
              </w:rPr>
            </w:pPr>
          </w:p>
          <w:p w14:paraId="2FF612B5">
            <w:pPr>
              <w:pStyle w:val="17"/>
              <w:spacing w:line="290" w:lineRule="auto"/>
              <w:ind w:left="368" w:right="110" w:hanging="231"/>
              <w:jc w:val="left"/>
              <w:rPr>
                <w:sz w:val="21"/>
              </w:rPr>
            </w:pPr>
            <w:r>
              <w:rPr>
                <w:rFonts w:ascii="Times New Roman" w:eastAsia="Times New Roman"/>
                <w:sz w:val="21"/>
              </w:rPr>
              <w:t xml:space="preserve">DA001 </w:t>
            </w:r>
            <w:r>
              <w:rPr>
                <w:sz w:val="21"/>
              </w:rPr>
              <w:t>排气筒进、出口</w:t>
            </w:r>
          </w:p>
        </w:tc>
        <w:tc>
          <w:tcPr>
            <w:tcW w:w="1156" w:type="dxa"/>
            <w:tcBorders>
              <w:top w:val="single" w:color="000000" w:sz="4" w:space="0"/>
              <w:left w:val="single" w:color="000000" w:sz="4" w:space="0"/>
              <w:bottom w:val="single" w:color="000000" w:sz="4" w:space="0"/>
              <w:right w:val="single" w:color="000000" w:sz="4" w:space="0"/>
            </w:tcBorders>
          </w:tcPr>
          <w:p w14:paraId="0C5E430A">
            <w:pPr>
              <w:pStyle w:val="17"/>
              <w:jc w:val="left"/>
              <w:rPr>
                <w:b/>
                <w:sz w:val="20"/>
              </w:rPr>
            </w:pPr>
          </w:p>
          <w:p w14:paraId="0E02F105">
            <w:pPr>
              <w:pStyle w:val="17"/>
              <w:spacing w:before="4"/>
              <w:jc w:val="left"/>
              <w:rPr>
                <w:b/>
                <w:sz w:val="20"/>
              </w:rPr>
            </w:pPr>
          </w:p>
          <w:p w14:paraId="6D582882">
            <w:pPr>
              <w:pStyle w:val="17"/>
              <w:ind w:left="39" w:right="14"/>
              <w:rPr>
                <w:sz w:val="21"/>
              </w:rPr>
            </w:pPr>
            <w:r>
              <w:rPr>
                <w:sz w:val="21"/>
              </w:rPr>
              <w:t>颗粒物</w:t>
            </w:r>
          </w:p>
        </w:tc>
        <w:tc>
          <w:tcPr>
            <w:tcW w:w="2057" w:type="dxa"/>
            <w:tcBorders>
              <w:top w:val="single" w:color="000000" w:sz="4" w:space="0"/>
              <w:left w:val="single" w:color="000000" w:sz="4" w:space="0"/>
              <w:bottom w:val="single" w:color="000000" w:sz="4" w:space="0"/>
              <w:right w:val="single" w:color="000000" w:sz="4" w:space="0"/>
            </w:tcBorders>
          </w:tcPr>
          <w:p w14:paraId="5E3F7EB0">
            <w:pPr>
              <w:pStyle w:val="17"/>
              <w:spacing w:before="190" w:line="290" w:lineRule="auto"/>
              <w:ind w:left="37" w:right="8" w:hanging="1"/>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+15m</w:t>
            </w:r>
            <w:r>
              <w:rPr>
                <w:rFonts w:ascii="Times New Roman" w:eastAsia="Times New Roman"/>
                <w:spacing w:val="-19"/>
                <w:sz w:val="21"/>
              </w:rPr>
              <w:t xml:space="preserve"> </w:t>
            </w:r>
            <w:r>
              <w:rPr>
                <w:sz w:val="21"/>
              </w:rPr>
              <w:t>高排气</w:t>
            </w:r>
            <w:r>
              <w:rPr>
                <w:spacing w:val="-27"/>
                <w:sz w:val="21"/>
              </w:rPr>
              <w:t xml:space="preserve">筒 </w:t>
            </w:r>
            <w:r>
              <w:rPr>
                <w:rFonts w:ascii="Times New Roman" w:eastAsia="Times New Roman"/>
                <w:sz w:val="21"/>
              </w:rPr>
              <w:t xml:space="preserve">DA001 </w:t>
            </w:r>
            <w:r>
              <w:rPr>
                <w:sz w:val="21"/>
              </w:rPr>
              <w:t>排放</w:t>
            </w:r>
          </w:p>
        </w:tc>
        <w:tc>
          <w:tcPr>
            <w:tcW w:w="2751" w:type="dxa"/>
            <w:tcBorders>
              <w:top w:val="single" w:color="000000" w:sz="4" w:space="0"/>
              <w:left w:val="single" w:color="000000" w:sz="4" w:space="0"/>
              <w:bottom w:val="single" w:color="000000" w:sz="4" w:space="0"/>
              <w:right w:val="nil"/>
            </w:tcBorders>
          </w:tcPr>
          <w:p w14:paraId="2D0EBBE6">
            <w:pPr>
              <w:pStyle w:val="17"/>
              <w:spacing w:before="27" w:line="290" w:lineRule="auto"/>
              <w:ind w:left="72" w:right="47" w:firstLine="5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z w:val="21"/>
              </w:rPr>
              <w:t>》（</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4 </w:t>
            </w:r>
            <w:r>
              <w:rPr>
                <w:sz w:val="21"/>
              </w:rPr>
              <w:t>大气污</w:t>
            </w:r>
          </w:p>
          <w:p w14:paraId="757E1DAE">
            <w:pPr>
              <w:pStyle w:val="17"/>
              <w:spacing w:before="2" w:line="268" w:lineRule="exact"/>
              <w:ind w:left="543"/>
              <w:jc w:val="left"/>
              <w:rPr>
                <w:sz w:val="21"/>
              </w:rPr>
            </w:pPr>
            <w:r>
              <w:rPr>
                <w:sz w:val="21"/>
              </w:rPr>
              <w:t>染物排放限值要求</w:t>
            </w:r>
          </w:p>
        </w:tc>
      </w:tr>
      <w:tr w14:paraId="582560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845" w:type="dxa"/>
            <w:vMerge w:val="continue"/>
            <w:tcBorders>
              <w:top w:val="nil"/>
              <w:left w:val="nil"/>
              <w:right w:val="single" w:color="000000" w:sz="4" w:space="0"/>
            </w:tcBorders>
          </w:tcPr>
          <w:p w14:paraId="411D46CD">
            <w:pPr>
              <w:rPr>
                <w:sz w:val="2"/>
                <w:szCs w:val="2"/>
              </w:rPr>
            </w:pPr>
          </w:p>
        </w:tc>
        <w:tc>
          <w:tcPr>
            <w:tcW w:w="1559" w:type="dxa"/>
            <w:vMerge w:val="restart"/>
            <w:tcBorders>
              <w:top w:val="single" w:color="000000" w:sz="4" w:space="0"/>
              <w:left w:val="single" w:color="000000" w:sz="4" w:space="0"/>
              <w:bottom w:val="single" w:color="000000" w:sz="4" w:space="0"/>
              <w:right w:val="single" w:color="000000" w:sz="4" w:space="0"/>
            </w:tcBorders>
          </w:tcPr>
          <w:p w14:paraId="5608CDA4">
            <w:pPr>
              <w:pStyle w:val="17"/>
              <w:jc w:val="left"/>
              <w:rPr>
                <w:b/>
                <w:sz w:val="20"/>
              </w:rPr>
            </w:pPr>
          </w:p>
          <w:p w14:paraId="2B4683C6">
            <w:pPr>
              <w:pStyle w:val="17"/>
              <w:jc w:val="left"/>
              <w:rPr>
                <w:b/>
                <w:sz w:val="20"/>
              </w:rPr>
            </w:pPr>
          </w:p>
          <w:p w14:paraId="781BC531">
            <w:pPr>
              <w:pStyle w:val="17"/>
              <w:spacing w:before="163" w:line="288" w:lineRule="auto"/>
              <w:ind w:left="368" w:right="110" w:hanging="231"/>
              <w:jc w:val="left"/>
              <w:rPr>
                <w:sz w:val="21"/>
              </w:rPr>
            </w:pPr>
            <w:r>
              <w:rPr>
                <w:rFonts w:ascii="Times New Roman" w:eastAsia="Times New Roman"/>
                <w:sz w:val="21"/>
              </w:rPr>
              <w:t xml:space="preserve">DA002 </w:t>
            </w:r>
            <w:r>
              <w:rPr>
                <w:sz w:val="21"/>
              </w:rPr>
              <w:t>排气筒进、出口</w:t>
            </w:r>
          </w:p>
        </w:tc>
        <w:tc>
          <w:tcPr>
            <w:tcW w:w="1156" w:type="dxa"/>
            <w:tcBorders>
              <w:top w:val="single" w:color="000000" w:sz="4" w:space="0"/>
              <w:left w:val="single" w:color="000000" w:sz="4" w:space="0"/>
              <w:bottom w:val="single" w:color="000000" w:sz="4" w:space="0"/>
              <w:right w:val="single" w:color="000000" w:sz="4" w:space="0"/>
            </w:tcBorders>
          </w:tcPr>
          <w:p w14:paraId="54EFBA89">
            <w:pPr>
              <w:pStyle w:val="17"/>
              <w:spacing w:before="18" w:line="268" w:lineRule="exact"/>
              <w:ind w:left="42" w:right="14"/>
              <w:rPr>
                <w:sz w:val="21"/>
              </w:rPr>
            </w:pPr>
            <w:r>
              <w:rPr>
                <w:sz w:val="21"/>
              </w:rPr>
              <w:t>非甲烷总烃</w:t>
            </w:r>
          </w:p>
        </w:tc>
        <w:tc>
          <w:tcPr>
            <w:tcW w:w="2057" w:type="dxa"/>
            <w:vMerge w:val="restart"/>
            <w:tcBorders>
              <w:top w:val="single" w:color="000000" w:sz="4" w:space="0"/>
              <w:left w:val="single" w:color="000000" w:sz="4" w:space="0"/>
              <w:bottom w:val="single" w:color="000000" w:sz="4" w:space="0"/>
              <w:right w:val="single" w:color="000000" w:sz="4" w:space="0"/>
            </w:tcBorders>
          </w:tcPr>
          <w:p w14:paraId="2263B0CD">
            <w:pPr>
              <w:pStyle w:val="17"/>
              <w:spacing w:before="3"/>
              <w:jc w:val="left"/>
              <w:rPr>
                <w:b/>
                <w:sz w:val="27"/>
              </w:rPr>
            </w:pPr>
          </w:p>
          <w:p w14:paraId="2521FF8F">
            <w:pPr>
              <w:pStyle w:val="17"/>
              <w:spacing w:line="290" w:lineRule="auto"/>
              <w:ind w:left="37" w:right="8" w:firstLine="100"/>
              <w:jc w:val="both"/>
              <w:rPr>
                <w:sz w:val="21"/>
              </w:rPr>
            </w:pPr>
            <w:r>
              <w:rPr>
                <w:sz w:val="21"/>
              </w:rPr>
              <w:t>密闭负压收集罩</w:t>
            </w:r>
            <w:r>
              <w:rPr>
                <w:rFonts w:ascii="Times New Roman" w:eastAsia="Times New Roman"/>
                <w:sz w:val="21"/>
              </w:rPr>
              <w:t>+</w:t>
            </w:r>
            <w:r>
              <w:rPr>
                <w:sz w:val="21"/>
              </w:rPr>
              <w:t>布袋除尘器</w:t>
            </w:r>
            <w:r>
              <w:rPr>
                <w:rFonts w:ascii="Times New Roman" w:eastAsia="Times New Roman"/>
                <w:sz w:val="21"/>
              </w:rPr>
              <w:t>+</w:t>
            </w:r>
            <w:r>
              <w:rPr>
                <w:sz w:val="21"/>
              </w:rPr>
              <w:t>过滤棉</w:t>
            </w:r>
            <w:r>
              <w:rPr>
                <w:rFonts w:ascii="Times New Roman" w:eastAsia="Times New Roman"/>
                <w:sz w:val="21"/>
              </w:rPr>
              <w:t>+</w:t>
            </w:r>
            <w:r>
              <w:rPr>
                <w:sz w:val="21"/>
              </w:rPr>
              <w:t>二级活性炭吸附</w:t>
            </w:r>
            <w:r>
              <w:rPr>
                <w:rFonts w:ascii="Times New Roman" w:eastAsia="Times New Roman"/>
                <w:sz w:val="21"/>
              </w:rPr>
              <w:t>+15m</w:t>
            </w:r>
            <w:r>
              <w:rPr>
                <w:rFonts w:ascii="Times New Roman" w:eastAsia="Times New Roman"/>
                <w:spacing w:val="-19"/>
                <w:sz w:val="21"/>
              </w:rPr>
              <w:t xml:space="preserve"> </w:t>
            </w:r>
            <w:r>
              <w:rPr>
                <w:sz w:val="21"/>
              </w:rPr>
              <w:t>高</w:t>
            </w:r>
            <w:r>
              <w:rPr>
                <w:spacing w:val="-14"/>
                <w:sz w:val="21"/>
              </w:rPr>
              <w:t xml:space="preserve">排气筒 </w:t>
            </w:r>
            <w:r>
              <w:rPr>
                <w:rFonts w:ascii="Times New Roman" w:eastAsia="Times New Roman"/>
                <w:sz w:val="21"/>
              </w:rPr>
              <w:t>DA002</w:t>
            </w:r>
            <w:r>
              <w:rPr>
                <w:rFonts w:ascii="Times New Roman" w:eastAsia="Times New Roman"/>
                <w:spacing w:val="-2"/>
                <w:sz w:val="21"/>
              </w:rPr>
              <w:t xml:space="preserve"> </w:t>
            </w:r>
            <w:r>
              <w:rPr>
                <w:sz w:val="21"/>
              </w:rPr>
              <w:t>排放</w:t>
            </w:r>
          </w:p>
        </w:tc>
        <w:tc>
          <w:tcPr>
            <w:tcW w:w="2751" w:type="dxa"/>
            <w:vMerge w:val="restart"/>
            <w:tcBorders>
              <w:top w:val="single" w:color="000000" w:sz="4" w:space="0"/>
              <w:left w:val="single" w:color="000000" w:sz="4" w:space="0"/>
              <w:bottom w:val="single" w:color="000000" w:sz="4" w:space="0"/>
              <w:right w:val="nil"/>
            </w:tcBorders>
          </w:tcPr>
          <w:p w14:paraId="72515E14">
            <w:pPr>
              <w:pStyle w:val="17"/>
              <w:spacing w:before="18" w:line="290" w:lineRule="auto"/>
              <w:ind w:left="72" w:right="47" w:firstLine="5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z w:val="21"/>
              </w:rPr>
              <w:t>》（</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4 </w:t>
            </w:r>
            <w:r>
              <w:rPr>
                <w:sz w:val="21"/>
              </w:rPr>
              <w:t>大气污</w:t>
            </w:r>
          </w:p>
          <w:p w14:paraId="7A24676E">
            <w:pPr>
              <w:pStyle w:val="17"/>
              <w:spacing w:line="269" w:lineRule="exact"/>
              <w:ind w:left="543"/>
              <w:jc w:val="left"/>
              <w:rPr>
                <w:sz w:val="21"/>
              </w:rPr>
            </w:pPr>
            <w:r>
              <w:rPr>
                <w:sz w:val="21"/>
              </w:rPr>
              <w:t>染物排放限值要求</w:t>
            </w:r>
          </w:p>
        </w:tc>
      </w:tr>
      <w:tr w14:paraId="304A7C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7" w:hRule="atLeast"/>
        </w:trPr>
        <w:tc>
          <w:tcPr>
            <w:tcW w:w="845" w:type="dxa"/>
            <w:vMerge w:val="continue"/>
            <w:tcBorders>
              <w:top w:val="nil"/>
              <w:left w:val="nil"/>
              <w:right w:val="single" w:color="000000" w:sz="4" w:space="0"/>
            </w:tcBorders>
          </w:tcPr>
          <w:p w14:paraId="6A3EB4E1">
            <w:pPr>
              <w:rPr>
                <w:sz w:val="2"/>
                <w:szCs w:val="2"/>
              </w:rPr>
            </w:pPr>
          </w:p>
        </w:tc>
        <w:tc>
          <w:tcPr>
            <w:tcW w:w="1559" w:type="dxa"/>
            <w:vMerge w:val="continue"/>
            <w:tcBorders>
              <w:top w:val="nil"/>
              <w:left w:val="single" w:color="000000" w:sz="4" w:space="0"/>
              <w:bottom w:val="single" w:color="000000" w:sz="4" w:space="0"/>
              <w:right w:val="single" w:color="000000" w:sz="4" w:space="0"/>
            </w:tcBorders>
          </w:tcPr>
          <w:p w14:paraId="19856F09">
            <w:pPr>
              <w:rPr>
                <w:sz w:val="2"/>
                <w:szCs w:val="2"/>
              </w:rPr>
            </w:pPr>
          </w:p>
        </w:tc>
        <w:tc>
          <w:tcPr>
            <w:tcW w:w="1156" w:type="dxa"/>
            <w:tcBorders>
              <w:top w:val="single" w:color="000000" w:sz="4" w:space="0"/>
              <w:left w:val="single" w:color="000000" w:sz="4" w:space="0"/>
              <w:bottom w:val="single" w:color="000000" w:sz="4" w:space="0"/>
              <w:right w:val="single" w:color="000000" w:sz="4" w:space="0"/>
            </w:tcBorders>
          </w:tcPr>
          <w:p w14:paraId="360A0767">
            <w:pPr>
              <w:pStyle w:val="17"/>
              <w:spacing w:before="6"/>
              <w:jc w:val="left"/>
              <w:rPr>
                <w:b/>
                <w:sz w:val="26"/>
              </w:rPr>
            </w:pPr>
          </w:p>
          <w:p w14:paraId="182B764F">
            <w:pPr>
              <w:pStyle w:val="17"/>
              <w:spacing w:before="1"/>
              <w:ind w:left="39" w:right="14"/>
              <w:rPr>
                <w:sz w:val="21"/>
              </w:rPr>
            </w:pPr>
            <w:r>
              <w:rPr>
                <w:sz w:val="21"/>
              </w:rPr>
              <w:t>颗粒物</w:t>
            </w:r>
          </w:p>
        </w:tc>
        <w:tc>
          <w:tcPr>
            <w:tcW w:w="2057" w:type="dxa"/>
            <w:vMerge w:val="continue"/>
            <w:tcBorders>
              <w:top w:val="nil"/>
              <w:left w:val="single" w:color="000000" w:sz="4" w:space="0"/>
              <w:bottom w:val="single" w:color="000000" w:sz="4" w:space="0"/>
              <w:right w:val="single" w:color="000000" w:sz="4" w:space="0"/>
            </w:tcBorders>
          </w:tcPr>
          <w:p w14:paraId="7659AD6D">
            <w:pPr>
              <w:rPr>
                <w:sz w:val="2"/>
                <w:szCs w:val="2"/>
              </w:rPr>
            </w:pPr>
          </w:p>
        </w:tc>
        <w:tc>
          <w:tcPr>
            <w:tcW w:w="2751" w:type="dxa"/>
            <w:vMerge w:val="continue"/>
            <w:tcBorders>
              <w:top w:val="nil"/>
              <w:left w:val="single" w:color="000000" w:sz="4" w:space="0"/>
              <w:bottom w:val="single" w:color="000000" w:sz="4" w:space="0"/>
              <w:right w:val="nil"/>
            </w:tcBorders>
          </w:tcPr>
          <w:p w14:paraId="40122219">
            <w:pPr>
              <w:rPr>
                <w:sz w:val="2"/>
                <w:szCs w:val="2"/>
              </w:rPr>
            </w:pPr>
          </w:p>
        </w:tc>
      </w:tr>
      <w:tr w14:paraId="5B9F53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trPr>
        <w:tc>
          <w:tcPr>
            <w:tcW w:w="845" w:type="dxa"/>
            <w:vMerge w:val="continue"/>
            <w:tcBorders>
              <w:top w:val="nil"/>
              <w:left w:val="nil"/>
              <w:right w:val="single" w:color="000000" w:sz="4" w:space="0"/>
            </w:tcBorders>
          </w:tcPr>
          <w:p w14:paraId="6202708D">
            <w:pPr>
              <w:rPr>
                <w:sz w:val="2"/>
                <w:szCs w:val="2"/>
              </w:rPr>
            </w:pPr>
          </w:p>
        </w:tc>
        <w:tc>
          <w:tcPr>
            <w:tcW w:w="1559" w:type="dxa"/>
            <w:vMerge w:val="continue"/>
            <w:tcBorders>
              <w:top w:val="nil"/>
              <w:left w:val="single" w:color="000000" w:sz="4" w:space="0"/>
              <w:bottom w:val="single" w:color="000000" w:sz="4" w:space="0"/>
              <w:right w:val="single" w:color="000000" w:sz="4" w:space="0"/>
            </w:tcBorders>
          </w:tcPr>
          <w:p w14:paraId="75C8909A">
            <w:pPr>
              <w:rPr>
                <w:sz w:val="2"/>
                <w:szCs w:val="2"/>
              </w:rPr>
            </w:pPr>
          </w:p>
        </w:tc>
        <w:tc>
          <w:tcPr>
            <w:tcW w:w="1156" w:type="dxa"/>
            <w:tcBorders>
              <w:top w:val="single" w:color="000000" w:sz="4" w:space="0"/>
              <w:left w:val="single" w:color="000000" w:sz="4" w:space="0"/>
              <w:bottom w:val="single" w:color="000000" w:sz="4" w:space="0"/>
              <w:right w:val="single" w:color="000000" w:sz="4" w:space="0"/>
            </w:tcBorders>
          </w:tcPr>
          <w:p w14:paraId="01F75933">
            <w:pPr>
              <w:pStyle w:val="17"/>
              <w:spacing w:before="1"/>
              <w:jc w:val="left"/>
              <w:rPr>
                <w:b/>
                <w:sz w:val="14"/>
              </w:rPr>
            </w:pPr>
          </w:p>
          <w:p w14:paraId="2C4D5EBA">
            <w:pPr>
              <w:pStyle w:val="17"/>
              <w:ind w:left="42" w:right="14"/>
              <w:rPr>
                <w:sz w:val="21"/>
              </w:rPr>
            </w:pPr>
            <w:r>
              <w:rPr>
                <w:sz w:val="21"/>
              </w:rPr>
              <w:t>臭气浓度</w:t>
            </w:r>
          </w:p>
        </w:tc>
        <w:tc>
          <w:tcPr>
            <w:tcW w:w="2057" w:type="dxa"/>
            <w:vMerge w:val="continue"/>
            <w:tcBorders>
              <w:top w:val="nil"/>
              <w:left w:val="single" w:color="000000" w:sz="4" w:space="0"/>
              <w:bottom w:val="single" w:color="000000" w:sz="4" w:space="0"/>
              <w:right w:val="single" w:color="000000" w:sz="4" w:space="0"/>
            </w:tcBorders>
          </w:tcPr>
          <w:p w14:paraId="42704487">
            <w:pPr>
              <w:rPr>
                <w:sz w:val="2"/>
                <w:szCs w:val="2"/>
              </w:rPr>
            </w:pPr>
          </w:p>
        </w:tc>
        <w:tc>
          <w:tcPr>
            <w:tcW w:w="2751" w:type="dxa"/>
            <w:tcBorders>
              <w:top w:val="single" w:color="000000" w:sz="4" w:space="0"/>
              <w:left w:val="single" w:color="000000" w:sz="4" w:space="0"/>
              <w:bottom w:val="single" w:color="000000" w:sz="4" w:space="0"/>
              <w:right w:val="nil"/>
            </w:tcBorders>
          </w:tcPr>
          <w:p w14:paraId="6956BDC6">
            <w:pPr>
              <w:pStyle w:val="17"/>
              <w:spacing w:before="17"/>
              <w:ind w:left="22" w:right="2"/>
              <w:rPr>
                <w:sz w:val="21"/>
              </w:rPr>
            </w:pPr>
            <w:r>
              <w:rPr>
                <w:sz w:val="21"/>
              </w:rPr>
              <w:t>《恶臭污染物排放标准》</w:t>
            </w:r>
          </w:p>
          <w:p w14:paraId="3CE82941">
            <w:pPr>
              <w:pStyle w:val="17"/>
              <w:spacing w:before="57" w:line="268" w:lineRule="exact"/>
              <w:ind w:left="22" w:right="2"/>
              <w:rPr>
                <w:sz w:val="21"/>
              </w:rPr>
            </w:pPr>
            <w:r>
              <w:rPr>
                <w:spacing w:val="-8"/>
                <w:sz w:val="21"/>
              </w:rPr>
              <w:t>（</w:t>
            </w:r>
            <w:r>
              <w:rPr>
                <w:rFonts w:ascii="Times New Roman" w:eastAsia="Times New Roman"/>
                <w:spacing w:val="-8"/>
                <w:sz w:val="21"/>
              </w:rPr>
              <w:t>GB14554-93</w:t>
            </w:r>
            <w:r>
              <w:rPr>
                <w:spacing w:val="-8"/>
                <w:sz w:val="21"/>
              </w:rPr>
              <w:t>）</w:t>
            </w:r>
            <w:r>
              <w:rPr>
                <w:spacing w:val="-26"/>
                <w:sz w:val="21"/>
              </w:rPr>
              <w:t xml:space="preserve">表 </w:t>
            </w:r>
            <w:r>
              <w:rPr>
                <w:rFonts w:ascii="Times New Roman" w:eastAsia="Times New Roman"/>
                <w:sz w:val="21"/>
              </w:rPr>
              <w:t xml:space="preserve">2 </w:t>
            </w:r>
            <w:r>
              <w:rPr>
                <w:sz w:val="21"/>
              </w:rPr>
              <w:t>标准要求</w:t>
            </w:r>
          </w:p>
        </w:tc>
      </w:tr>
      <w:tr w14:paraId="6E069B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3" w:hRule="atLeast"/>
        </w:trPr>
        <w:tc>
          <w:tcPr>
            <w:tcW w:w="845" w:type="dxa"/>
            <w:vMerge w:val="continue"/>
            <w:tcBorders>
              <w:top w:val="nil"/>
              <w:left w:val="nil"/>
              <w:right w:val="single" w:color="000000" w:sz="4" w:space="0"/>
            </w:tcBorders>
          </w:tcPr>
          <w:p w14:paraId="17454361">
            <w:pPr>
              <w:rPr>
                <w:sz w:val="2"/>
                <w:szCs w:val="2"/>
              </w:rPr>
            </w:pPr>
          </w:p>
        </w:tc>
        <w:tc>
          <w:tcPr>
            <w:tcW w:w="1559" w:type="dxa"/>
            <w:vMerge w:val="restart"/>
            <w:tcBorders>
              <w:top w:val="single" w:color="000000" w:sz="4" w:space="0"/>
              <w:left w:val="single" w:color="000000" w:sz="4" w:space="0"/>
              <w:right w:val="single" w:color="000000" w:sz="4" w:space="0"/>
            </w:tcBorders>
          </w:tcPr>
          <w:p w14:paraId="5ADAE3C2">
            <w:pPr>
              <w:pStyle w:val="17"/>
              <w:jc w:val="left"/>
              <w:rPr>
                <w:b/>
                <w:sz w:val="20"/>
              </w:rPr>
            </w:pPr>
          </w:p>
          <w:p w14:paraId="47E56B4A">
            <w:pPr>
              <w:pStyle w:val="17"/>
              <w:jc w:val="left"/>
              <w:rPr>
                <w:b/>
                <w:sz w:val="20"/>
              </w:rPr>
            </w:pPr>
          </w:p>
          <w:p w14:paraId="0F3FB1CD">
            <w:pPr>
              <w:pStyle w:val="17"/>
              <w:spacing w:before="162" w:line="290" w:lineRule="auto"/>
              <w:ind w:left="54" w:right="23"/>
              <w:rPr>
                <w:sz w:val="21"/>
              </w:rPr>
            </w:pPr>
            <w:r>
              <w:rPr>
                <w:w w:val="95"/>
                <w:sz w:val="21"/>
              </w:rPr>
              <w:t>厂界无组织（厂界上风向、厂界</w:t>
            </w:r>
            <w:r>
              <w:rPr>
                <w:sz w:val="21"/>
              </w:rPr>
              <w:t>下风向）</w:t>
            </w:r>
          </w:p>
        </w:tc>
        <w:tc>
          <w:tcPr>
            <w:tcW w:w="1156" w:type="dxa"/>
            <w:tcBorders>
              <w:top w:val="single" w:color="000000" w:sz="4" w:space="0"/>
              <w:left w:val="single" w:color="000000" w:sz="4" w:space="0"/>
              <w:bottom w:val="single" w:color="000000" w:sz="4" w:space="0"/>
              <w:right w:val="single" w:color="000000" w:sz="4" w:space="0"/>
            </w:tcBorders>
          </w:tcPr>
          <w:p w14:paraId="4D389891">
            <w:pPr>
              <w:pStyle w:val="17"/>
              <w:jc w:val="left"/>
              <w:rPr>
                <w:b/>
                <w:sz w:val="20"/>
              </w:rPr>
            </w:pPr>
          </w:p>
          <w:p w14:paraId="7DD0E368">
            <w:pPr>
              <w:pStyle w:val="17"/>
              <w:spacing w:before="7"/>
              <w:jc w:val="left"/>
              <w:rPr>
                <w:b/>
                <w:sz w:val="19"/>
              </w:rPr>
            </w:pPr>
          </w:p>
          <w:p w14:paraId="5D610F03">
            <w:pPr>
              <w:pStyle w:val="17"/>
              <w:ind w:left="39" w:right="14"/>
              <w:rPr>
                <w:sz w:val="21"/>
              </w:rPr>
            </w:pPr>
            <w:r>
              <w:rPr>
                <w:sz w:val="21"/>
              </w:rPr>
              <w:t>颗粒物</w:t>
            </w:r>
          </w:p>
        </w:tc>
        <w:tc>
          <w:tcPr>
            <w:tcW w:w="2057" w:type="dxa"/>
            <w:vMerge w:val="restart"/>
            <w:tcBorders>
              <w:top w:val="single" w:color="000000" w:sz="4" w:space="0"/>
              <w:left w:val="single" w:color="000000" w:sz="4" w:space="0"/>
              <w:right w:val="single" w:color="000000" w:sz="4" w:space="0"/>
            </w:tcBorders>
          </w:tcPr>
          <w:p w14:paraId="4FB63A41">
            <w:pPr>
              <w:pStyle w:val="17"/>
              <w:jc w:val="left"/>
              <w:rPr>
                <w:b/>
                <w:sz w:val="20"/>
              </w:rPr>
            </w:pPr>
          </w:p>
          <w:p w14:paraId="677D0227">
            <w:pPr>
              <w:pStyle w:val="17"/>
              <w:jc w:val="left"/>
              <w:rPr>
                <w:b/>
                <w:sz w:val="20"/>
              </w:rPr>
            </w:pPr>
          </w:p>
          <w:p w14:paraId="20E8C7EB">
            <w:pPr>
              <w:pStyle w:val="17"/>
              <w:jc w:val="left"/>
              <w:rPr>
                <w:b/>
                <w:sz w:val="20"/>
              </w:rPr>
            </w:pPr>
          </w:p>
          <w:p w14:paraId="3907FF0A">
            <w:pPr>
              <w:pStyle w:val="17"/>
              <w:spacing w:before="2"/>
              <w:jc w:val="left"/>
              <w:rPr>
                <w:b/>
                <w:sz w:val="18"/>
              </w:rPr>
            </w:pPr>
          </w:p>
          <w:p w14:paraId="18BEEEB8">
            <w:pPr>
              <w:pStyle w:val="17"/>
              <w:ind w:left="303"/>
              <w:jc w:val="left"/>
              <w:rPr>
                <w:sz w:val="21"/>
              </w:rPr>
            </w:pPr>
            <w:r>
              <w:rPr>
                <w:sz w:val="21"/>
              </w:rPr>
              <w:t>加强收集和管理</w:t>
            </w:r>
          </w:p>
        </w:tc>
        <w:tc>
          <w:tcPr>
            <w:tcW w:w="2751" w:type="dxa"/>
            <w:tcBorders>
              <w:top w:val="single" w:color="000000" w:sz="4" w:space="0"/>
              <w:left w:val="single" w:color="000000" w:sz="4" w:space="0"/>
              <w:bottom w:val="single" w:color="000000" w:sz="4" w:space="0"/>
              <w:right w:val="nil"/>
            </w:tcBorders>
          </w:tcPr>
          <w:p w14:paraId="5C4CE8D3">
            <w:pPr>
              <w:pStyle w:val="17"/>
              <w:spacing w:before="17" w:line="290" w:lineRule="auto"/>
              <w:ind w:left="72" w:right="47" w:firstLine="50"/>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z w:val="21"/>
              </w:rPr>
              <w:t>》（</w:t>
            </w:r>
            <w:r>
              <w:rPr>
                <w:rFonts w:ascii="Times New Roman" w:eastAsia="Times New Roman"/>
                <w:sz w:val="21"/>
              </w:rPr>
              <w:t>GB 31572-2015</w:t>
            </w:r>
            <w:r>
              <w:rPr>
                <w:sz w:val="21"/>
              </w:rPr>
              <w:t>）及</w:t>
            </w:r>
            <w:r>
              <w:rPr>
                <w:spacing w:val="-28"/>
                <w:sz w:val="21"/>
              </w:rPr>
              <w:t xml:space="preserve">其 </w:t>
            </w:r>
            <w:r>
              <w:rPr>
                <w:rFonts w:ascii="Times New Roman" w:eastAsia="Times New Roman"/>
                <w:sz w:val="21"/>
              </w:rPr>
              <w:t xml:space="preserve">2024 </w:t>
            </w:r>
            <w:r>
              <w:rPr>
                <w:spacing w:val="-10"/>
                <w:sz w:val="21"/>
              </w:rPr>
              <w:t xml:space="preserve">年修改单表 </w:t>
            </w:r>
            <w:r>
              <w:rPr>
                <w:rFonts w:ascii="Times New Roman" w:eastAsia="Times New Roman"/>
                <w:sz w:val="21"/>
              </w:rPr>
              <w:t xml:space="preserve">9 </w:t>
            </w:r>
            <w:r>
              <w:rPr>
                <w:sz w:val="21"/>
              </w:rPr>
              <w:t>企业边</w:t>
            </w:r>
          </w:p>
          <w:p w14:paraId="7840732F">
            <w:pPr>
              <w:pStyle w:val="17"/>
              <w:spacing w:before="3" w:line="267" w:lineRule="exact"/>
              <w:ind w:left="123"/>
              <w:jc w:val="both"/>
              <w:rPr>
                <w:sz w:val="21"/>
              </w:rPr>
            </w:pPr>
            <w:r>
              <w:rPr>
                <w:sz w:val="21"/>
              </w:rPr>
              <w:t>界大气污染物浓度限值要求</w:t>
            </w:r>
          </w:p>
        </w:tc>
      </w:tr>
      <w:tr w14:paraId="7011D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5" w:hRule="atLeast"/>
        </w:trPr>
        <w:tc>
          <w:tcPr>
            <w:tcW w:w="845" w:type="dxa"/>
            <w:vMerge w:val="continue"/>
            <w:tcBorders>
              <w:top w:val="nil"/>
              <w:left w:val="nil"/>
              <w:right w:val="single" w:color="000000" w:sz="4" w:space="0"/>
            </w:tcBorders>
          </w:tcPr>
          <w:p w14:paraId="315A13E6">
            <w:pPr>
              <w:rPr>
                <w:sz w:val="2"/>
                <w:szCs w:val="2"/>
              </w:rPr>
            </w:pPr>
          </w:p>
        </w:tc>
        <w:tc>
          <w:tcPr>
            <w:tcW w:w="1559" w:type="dxa"/>
            <w:vMerge w:val="continue"/>
            <w:tcBorders>
              <w:top w:val="nil"/>
              <w:left w:val="single" w:color="000000" w:sz="4" w:space="0"/>
              <w:right w:val="single" w:color="000000" w:sz="4" w:space="0"/>
            </w:tcBorders>
          </w:tcPr>
          <w:p w14:paraId="3BB0CCD6">
            <w:pPr>
              <w:rPr>
                <w:sz w:val="2"/>
                <w:szCs w:val="2"/>
              </w:rPr>
            </w:pPr>
          </w:p>
        </w:tc>
        <w:tc>
          <w:tcPr>
            <w:tcW w:w="1156" w:type="dxa"/>
            <w:tcBorders>
              <w:top w:val="single" w:color="000000" w:sz="4" w:space="0"/>
              <w:left w:val="single" w:color="000000" w:sz="4" w:space="0"/>
              <w:right w:val="single" w:color="000000" w:sz="4" w:space="0"/>
            </w:tcBorders>
          </w:tcPr>
          <w:p w14:paraId="7F1548B2">
            <w:pPr>
              <w:pStyle w:val="17"/>
              <w:spacing w:before="12"/>
              <w:jc w:val="left"/>
              <w:rPr>
                <w:b/>
                <w:sz w:val="26"/>
              </w:rPr>
            </w:pPr>
          </w:p>
          <w:p w14:paraId="6F4A8B65">
            <w:pPr>
              <w:pStyle w:val="17"/>
              <w:ind w:left="42" w:right="14"/>
              <w:rPr>
                <w:sz w:val="21"/>
              </w:rPr>
            </w:pPr>
            <w:r>
              <w:rPr>
                <w:sz w:val="21"/>
              </w:rPr>
              <w:t>臭气浓度</w:t>
            </w:r>
          </w:p>
        </w:tc>
        <w:tc>
          <w:tcPr>
            <w:tcW w:w="2057" w:type="dxa"/>
            <w:vMerge w:val="continue"/>
            <w:tcBorders>
              <w:top w:val="nil"/>
              <w:left w:val="single" w:color="000000" w:sz="4" w:space="0"/>
              <w:right w:val="single" w:color="000000" w:sz="4" w:space="0"/>
            </w:tcBorders>
          </w:tcPr>
          <w:p w14:paraId="3E4B5A36">
            <w:pPr>
              <w:rPr>
                <w:sz w:val="2"/>
                <w:szCs w:val="2"/>
              </w:rPr>
            </w:pPr>
          </w:p>
        </w:tc>
        <w:tc>
          <w:tcPr>
            <w:tcW w:w="2751" w:type="dxa"/>
            <w:tcBorders>
              <w:top w:val="single" w:color="000000" w:sz="4" w:space="0"/>
              <w:left w:val="single" w:color="000000" w:sz="4" w:space="0"/>
              <w:right w:val="nil"/>
            </w:tcBorders>
          </w:tcPr>
          <w:p w14:paraId="60E466A1">
            <w:pPr>
              <w:pStyle w:val="17"/>
              <w:spacing w:before="19"/>
              <w:ind w:left="228"/>
              <w:jc w:val="left"/>
              <w:rPr>
                <w:sz w:val="21"/>
              </w:rPr>
            </w:pPr>
            <w:r>
              <w:rPr>
                <w:sz w:val="21"/>
              </w:rPr>
              <w:t>《恶臭污染物排放标准》</w:t>
            </w:r>
          </w:p>
          <w:p w14:paraId="5BEFC07C">
            <w:pPr>
              <w:pStyle w:val="17"/>
              <w:spacing w:before="6" w:line="320" w:lineRule="atLeast"/>
              <w:ind w:left="36" w:right="14"/>
              <w:rPr>
                <w:sz w:val="21"/>
              </w:rPr>
            </w:pPr>
            <w:r>
              <w:rPr>
                <w:spacing w:val="-8"/>
                <w:sz w:val="21"/>
              </w:rPr>
              <w:t>（</w:t>
            </w:r>
            <w:r>
              <w:rPr>
                <w:rFonts w:ascii="Times New Roman" w:eastAsia="Times New Roman"/>
                <w:spacing w:val="-8"/>
                <w:sz w:val="21"/>
              </w:rPr>
              <w:t>GB14554-93</w:t>
            </w:r>
            <w:r>
              <w:rPr>
                <w:spacing w:val="-8"/>
                <w:sz w:val="21"/>
              </w:rPr>
              <w:t>）</w:t>
            </w:r>
            <w:r>
              <w:rPr>
                <w:spacing w:val="-26"/>
                <w:sz w:val="21"/>
              </w:rPr>
              <w:t xml:space="preserve">表 </w:t>
            </w:r>
            <w:r>
              <w:rPr>
                <w:rFonts w:ascii="Times New Roman" w:eastAsia="Times New Roman"/>
                <w:sz w:val="21"/>
              </w:rPr>
              <w:t xml:space="preserve">1 </w:t>
            </w:r>
            <w:r>
              <w:rPr>
                <w:sz w:val="21"/>
              </w:rPr>
              <w:t>新改扩建二级标准要求</w:t>
            </w:r>
          </w:p>
        </w:tc>
      </w:tr>
    </w:tbl>
    <w:p w14:paraId="2781E998">
      <w:pPr>
        <w:spacing w:after="0" w:line="320" w:lineRule="atLeast"/>
        <w:rPr>
          <w:sz w:val="21"/>
        </w:rPr>
        <w:sectPr>
          <w:pgSz w:w="11910" w:h="16840"/>
          <w:pgMar w:top="1380" w:right="1060" w:bottom="900" w:left="1180" w:header="0" w:footer="712" w:gutter="0"/>
          <w:cols w:space="720" w:num="1"/>
        </w:sectPr>
      </w:pPr>
    </w:p>
    <w:p w14:paraId="6629084B">
      <w:pPr>
        <w:pStyle w:val="10"/>
        <w:spacing w:before="5"/>
        <w:rPr>
          <w:b/>
          <w:sz w:val="17"/>
        </w:rPr>
      </w:pPr>
    </w:p>
    <w:p w14:paraId="74C8B71D">
      <w:pPr>
        <w:spacing w:before="0"/>
        <w:ind w:left="1095" w:right="0" w:firstLine="0"/>
        <w:jc w:val="center"/>
        <w:rPr>
          <w:sz w:val="21"/>
        </w:rPr>
      </w:pPr>
      <w:r>
        <w:rPr>
          <w:sz w:val="21"/>
        </w:rPr>
        <w:t>厂区内无组织</w:t>
      </w:r>
    </w:p>
    <w:p w14:paraId="40DD6DD4">
      <w:pPr>
        <w:spacing w:before="58"/>
        <w:ind w:left="1100" w:right="0" w:firstLine="0"/>
        <w:jc w:val="center"/>
        <w:rPr>
          <w:sz w:val="21"/>
        </w:rPr>
      </w:pPr>
      <w:r>
        <w:rPr>
          <w:w w:val="95"/>
          <w:sz w:val="21"/>
        </w:rPr>
        <w:t>（厂房门窗处）</w:t>
      </w:r>
    </w:p>
    <w:p w14:paraId="2D03D0BF">
      <w:pPr>
        <w:pStyle w:val="10"/>
        <w:rPr>
          <w:sz w:val="20"/>
        </w:rPr>
      </w:pPr>
      <w:r>
        <w:br w:type="column"/>
      </w:r>
    </w:p>
    <w:p w14:paraId="3E60EBB3">
      <w:pPr>
        <w:tabs>
          <w:tab w:val="left" w:pos="1454"/>
        </w:tabs>
        <w:spacing w:before="130"/>
        <w:ind w:left="58" w:right="0" w:firstLine="0"/>
        <w:jc w:val="left"/>
        <w:rPr>
          <w:sz w:val="21"/>
        </w:rPr>
      </w:pPr>
      <w:r>
        <w:rPr>
          <w:sz w:val="21"/>
        </w:rPr>
        <w:t>非甲烷总烃</w:t>
      </w:r>
      <w:r>
        <w:rPr>
          <w:sz w:val="21"/>
        </w:rPr>
        <w:tab/>
      </w:r>
      <w:r>
        <w:rPr>
          <w:sz w:val="21"/>
        </w:rPr>
        <w:t>加强收集和管理</w:t>
      </w:r>
    </w:p>
    <w:p w14:paraId="51C479C6">
      <w:pPr>
        <w:pStyle w:val="10"/>
        <w:rPr>
          <w:sz w:val="20"/>
        </w:rPr>
      </w:pPr>
    </w:p>
    <w:p w14:paraId="75F04AB1">
      <w:pPr>
        <w:spacing w:before="137"/>
        <w:ind w:left="1243" w:right="0" w:firstLine="0"/>
        <w:jc w:val="left"/>
        <w:rPr>
          <w:sz w:val="21"/>
        </w:rPr>
      </w:pPr>
      <w:r>
        <w:rPr>
          <w:w w:val="95"/>
          <w:sz w:val="21"/>
        </w:rPr>
        <w:t>厂内垃圾站收集暂存</w:t>
      </w:r>
    </w:p>
    <w:p w14:paraId="762E1A5C">
      <w:pPr>
        <w:spacing w:before="60" w:line="290" w:lineRule="auto"/>
        <w:ind w:left="72" w:right="1036" w:firstLine="86"/>
        <w:jc w:val="left"/>
        <w:rPr>
          <w:sz w:val="21"/>
        </w:rPr>
      </w:pPr>
      <w:r>
        <w:br w:type="column"/>
      </w:r>
      <w:r>
        <w:rPr>
          <w:sz w:val="21"/>
        </w:rPr>
        <w:t>《挥发性有机物无组织排放控制标准》（</w:t>
      </w:r>
      <w:r>
        <w:rPr>
          <w:rFonts w:ascii="Times New Roman" w:eastAsia="Times New Roman"/>
          <w:sz w:val="21"/>
        </w:rPr>
        <w:t>GB37822-2019</w:t>
      </w:r>
      <w:r>
        <w:rPr>
          <w:sz w:val="21"/>
        </w:rPr>
        <w:t>）</w:t>
      </w:r>
    </w:p>
    <w:p w14:paraId="73BBF3A5">
      <w:pPr>
        <w:spacing w:before="2"/>
        <w:ind w:left="280" w:right="1323" w:firstLine="0"/>
        <w:jc w:val="center"/>
        <w:rPr>
          <w:sz w:val="21"/>
        </w:rPr>
      </w:pPr>
      <w:r>
        <w:pict>
          <v:group id="_x0000_s3141" o:spid="_x0000_s3141" o:spt="203" style="position:absolute;left:0pt;margin-left:69.5pt;margin-top:-35.4pt;height:591.15pt;width:418.4pt;mso-position-horizontal-relative:page;z-index:-251649024;mso-width-relative:page;mso-height-relative:page;" coordorigin="1390,-708" coordsize="8368,11823">
            <o:lock v:ext="edit"/>
            <v:shape id="_x0000_s3142" o:spid="_x0000_s3142" style="position:absolute;left:1390;top:1599;height:11794;width:8368;" filled="f" stroked="t" coordorigin="1390,1600" coordsize="8368,11794" path="m1390,-694l9758,-694m1390,11100l9758,11100e">
              <v:path arrowok="t"/>
              <v:fill on="f" focussize="0,0"/>
              <v:stroke weight="1.44pt" color="#000000"/>
              <v:imagedata o:title=""/>
              <o:lock v:ext="edit"/>
            </v:shape>
            <v:shape id="_x0000_s3143" o:spid="_x0000_s3143" style="position:absolute;left:1390;top:1614;height:11766;width:8368;" filled="f" stroked="t" coordorigin="1390,1614" coordsize="8368,11766" path="m1390,305l9758,305m2230,1293l9758,1293m2230,1719l3799,1719m2230,2145l3799,2145m2230,2485l3799,2485m2230,2889l3799,2889m2230,3251l3799,3251m2230,4237l9758,4237m2230,4573l3799,4573m2230,4909l3799,4909m2230,5245l3799,5245m1390,5581l9758,5581m1390,6569l9758,6569m2230,7231l7012,7231m1390,7791l9758,7791m2230,8779l9758,8779m2230,9441l9758,9441m2230,10429l9758,10429m2235,-679l2235,11086m3794,-679l3794,11086m4950,-679l4950,11086m7007,-679l7007,11086e">
              <v:path arrowok="t"/>
              <v:fill on="f" focussize="0,0"/>
              <v:stroke weight="0.48pt" color="#000000"/>
              <v:imagedata o:title=""/>
              <o:lock v:ext="edit"/>
            </v:shape>
          </v:group>
        </w:pict>
      </w:r>
      <w:r>
        <w:rPr>
          <w:sz w:val="21"/>
        </w:rPr>
        <w:t xml:space="preserve">附录 </w:t>
      </w:r>
      <w:r>
        <w:rPr>
          <w:rFonts w:ascii="Times New Roman" w:eastAsia="Times New Roman"/>
          <w:sz w:val="21"/>
        </w:rPr>
        <w:t xml:space="preserve">A </w:t>
      </w:r>
      <w:r>
        <w:rPr>
          <w:sz w:val="21"/>
        </w:rPr>
        <w:t xml:space="preserve">表 </w:t>
      </w:r>
      <w:r>
        <w:rPr>
          <w:rFonts w:ascii="Times New Roman" w:eastAsia="Times New Roman"/>
          <w:sz w:val="21"/>
        </w:rPr>
        <w:t xml:space="preserve">A.1 </w:t>
      </w:r>
      <w:r>
        <w:rPr>
          <w:sz w:val="21"/>
        </w:rPr>
        <w:t>排放限值</w:t>
      </w:r>
    </w:p>
    <w:p w14:paraId="2ABCA836">
      <w:pPr>
        <w:pStyle w:val="10"/>
        <w:spacing w:before="12"/>
        <w:rPr>
          <w:sz w:val="17"/>
        </w:rPr>
      </w:pPr>
    </w:p>
    <w:p w14:paraId="661A9BFB">
      <w:pPr>
        <w:spacing w:before="0" w:line="194" w:lineRule="exact"/>
        <w:ind w:left="159" w:right="0" w:firstLine="0"/>
        <w:jc w:val="left"/>
        <w:rPr>
          <w:sz w:val="21"/>
        </w:rPr>
      </w:pPr>
      <w:r>
        <w:rPr>
          <w:sz w:val="21"/>
        </w:rPr>
        <w:t>《生活垃圾填埋场污染控制</w:t>
      </w:r>
    </w:p>
    <w:p w14:paraId="2D66D435">
      <w:pPr>
        <w:spacing w:after="0" w:line="194" w:lineRule="exact"/>
        <w:jc w:val="left"/>
        <w:rPr>
          <w:sz w:val="21"/>
        </w:rPr>
        <w:sectPr>
          <w:pgSz w:w="11910" w:h="16840"/>
          <w:pgMar w:top="1340" w:right="1060" w:bottom="900" w:left="1180" w:header="0" w:footer="712" w:gutter="0"/>
          <w:cols w:equalWidth="0" w:num="3">
            <w:col w:w="2569" w:space="40"/>
            <w:col w:w="3133" w:space="39"/>
            <w:col w:w="3889"/>
          </w:cols>
        </w:sectPr>
      </w:pPr>
    </w:p>
    <w:p w14:paraId="6C5E859D">
      <w:pPr>
        <w:tabs>
          <w:tab w:val="left" w:pos="2772"/>
        </w:tabs>
        <w:spacing w:before="0" w:line="239" w:lineRule="exact"/>
        <w:ind w:left="1414" w:right="0" w:firstLine="0"/>
        <w:jc w:val="left"/>
        <w:rPr>
          <w:sz w:val="21"/>
        </w:rPr>
      </w:pPr>
      <w:r>
        <w:rPr>
          <w:sz w:val="21"/>
        </w:rPr>
        <w:t>生活垃圾</w:t>
      </w:r>
      <w:r>
        <w:rPr>
          <w:sz w:val="21"/>
        </w:rPr>
        <w:tab/>
      </w:r>
      <w:r>
        <w:rPr>
          <w:w w:val="95"/>
          <w:sz w:val="21"/>
        </w:rPr>
        <w:t>生活垃圾</w:t>
      </w:r>
    </w:p>
    <w:p w14:paraId="3FE75F8B">
      <w:pPr>
        <w:pStyle w:val="10"/>
        <w:rPr>
          <w:sz w:val="20"/>
        </w:rPr>
      </w:pPr>
    </w:p>
    <w:p w14:paraId="670E4E8C">
      <w:pPr>
        <w:pStyle w:val="10"/>
        <w:rPr>
          <w:sz w:val="14"/>
        </w:rPr>
      </w:pPr>
    </w:p>
    <w:p w14:paraId="1A7A69B5">
      <w:pPr>
        <w:spacing w:before="1" w:line="381" w:lineRule="auto"/>
        <w:ind w:left="1414" w:right="1356" w:firstLine="0"/>
        <w:jc w:val="center"/>
        <w:rPr>
          <w:sz w:val="21"/>
        </w:rPr>
      </w:pPr>
      <w:r>
        <w:rPr>
          <w:w w:val="95"/>
          <w:sz w:val="21"/>
        </w:rPr>
        <w:t>不合格品</w:t>
      </w:r>
      <w:r>
        <w:rPr>
          <w:sz w:val="21"/>
        </w:rPr>
        <w:t>边角料</w:t>
      </w:r>
    </w:p>
    <w:p w14:paraId="1E5EF349">
      <w:pPr>
        <w:spacing w:before="0" w:line="239" w:lineRule="exact"/>
        <w:ind w:left="202" w:right="0" w:firstLine="0"/>
        <w:jc w:val="left"/>
        <w:rPr>
          <w:sz w:val="21"/>
        </w:rPr>
      </w:pPr>
      <w:r>
        <w:br w:type="column"/>
      </w:r>
      <w:r>
        <w:rPr>
          <w:sz w:val="21"/>
        </w:rPr>
        <w:t>后定期由园区环卫部</w:t>
      </w:r>
    </w:p>
    <w:p w14:paraId="3F78A4EE">
      <w:pPr>
        <w:spacing w:before="57" w:line="300" w:lineRule="auto"/>
        <w:ind w:left="413" w:right="261" w:firstLine="208"/>
        <w:jc w:val="left"/>
        <w:rPr>
          <w:sz w:val="21"/>
        </w:rPr>
      </w:pPr>
      <w:r>
        <w:rPr>
          <w:sz w:val="21"/>
        </w:rPr>
        <w:t>门清理外运 一般固废储存间</w:t>
      </w:r>
    </w:p>
    <w:p w14:paraId="0D3CC401">
      <w:pPr>
        <w:spacing w:before="0" w:line="256" w:lineRule="exact"/>
        <w:ind w:left="192" w:right="0" w:firstLine="0"/>
        <w:jc w:val="left"/>
        <w:rPr>
          <w:sz w:val="21"/>
        </w:rPr>
      </w:pPr>
      <w:r>
        <w:rPr>
          <w:rFonts w:ascii="Times New Roman" w:eastAsia="Times New Roman"/>
          <w:sz w:val="21"/>
        </w:rPr>
        <w:t>20m</w:t>
      </w:r>
      <w:r>
        <w:rPr>
          <w:rFonts w:ascii="Times New Roman" w:eastAsia="Times New Roman"/>
          <w:position w:val="7"/>
          <w:sz w:val="13"/>
        </w:rPr>
        <w:t>2</w:t>
      </w:r>
      <w:r>
        <w:rPr>
          <w:sz w:val="21"/>
        </w:rPr>
        <w:t>，分类收集，分</w:t>
      </w:r>
    </w:p>
    <w:p w14:paraId="74E4B0CD">
      <w:pPr>
        <w:spacing w:before="57" w:line="232" w:lineRule="exact"/>
        <w:ind w:left="147" w:right="0" w:firstLine="0"/>
        <w:jc w:val="left"/>
        <w:rPr>
          <w:sz w:val="21"/>
        </w:rPr>
      </w:pPr>
      <w:r>
        <w:rPr>
          <w:w w:val="95"/>
          <w:sz w:val="21"/>
        </w:rPr>
        <w:t>类处置；收集除尘灰收</w:t>
      </w:r>
    </w:p>
    <w:p w14:paraId="287003B6">
      <w:pPr>
        <w:spacing w:before="133"/>
        <w:ind w:left="187" w:right="0" w:firstLine="0"/>
        <w:jc w:val="left"/>
        <w:rPr>
          <w:sz w:val="21"/>
        </w:rPr>
      </w:pPr>
      <w:r>
        <w:br w:type="column"/>
      </w:r>
      <w:r>
        <w:rPr>
          <w:sz w:val="21"/>
        </w:rPr>
        <w:t>标准》（</w:t>
      </w:r>
      <w:r>
        <w:rPr>
          <w:rFonts w:ascii="Times New Roman" w:eastAsia="Times New Roman"/>
          <w:sz w:val="21"/>
        </w:rPr>
        <w:t>GB16889-2008</w:t>
      </w:r>
      <w:r>
        <w:rPr>
          <w:sz w:val="21"/>
        </w:rPr>
        <w:t>）</w:t>
      </w:r>
    </w:p>
    <w:p w14:paraId="79555F64">
      <w:pPr>
        <w:spacing w:after="0"/>
        <w:jc w:val="left"/>
        <w:rPr>
          <w:sz w:val="21"/>
        </w:rPr>
        <w:sectPr>
          <w:type w:val="continuous"/>
          <w:pgSz w:w="11910" w:h="16840"/>
          <w:pgMar w:top="1600" w:right="1060" w:bottom="280" w:left="1180" w:header="720" w:footer="720" w:gutter="0"/>
          <w:cols w:equalWidth="0" w:num="3">
            <w:col w:w="3611" w:space="40"/>
            <w:col w:w="2147" w:space="39"/>
            <w:col w:w="3833"/>
          </w:cols>
        </w:sectPr>
      </w:pPr>
    </w:p>
    <w:p w14:paraId="1332946C">
      <w:pPr>
        <w:spacing w:before="0" w:line="222" w:lineRule="exact"/>
        <w:ind w:left="1308" w:right="0" w:firstLine="0"/>
        <w:jc w:val="left"/>
        <w:rPr>
          <w:sz w:val="21"/>
        </w:rPr>
      </w:pPr>
      <w:r>
        <w:rPr>
          <w:sz w:val="21"/>
        </w:rPr>
        <w:t>收集除尘灰</w:t>
      </w:r>
    </w:p>
    <w:p w14:paraId="07F666B3">
      <w:pPr>
        <w:tabs>
          <w:tab w:val="left" w:pos="1099"/>
          <w:tab w:val="left" w:pos="1414"/>
        </w:tabs>
        <w:spacing w:before="103" w:line="261" w:lineRule="auto"/>
        <w:ind w:left="420" w:right="0" w:firstLine="0"/>
        <w:jc w:val="left"/>
        <w:rPr>
          <w:sz w:val="21"/>
        </w:rPr>
      </w:pPr>
      <w:r>
        <w:rPr>
          <w:position w:val="-8"/>
          <w:sz w:val="21"/>
        </w:rPr>
        <w:t>固体</w:t>
      </w:r>
      <w:r>
        <w:rPr>
          <w:position w:val="-8"/>
          <w:sz w:val="21"/>
        </w:rPr>
        <w:tab/>
      </w:r>
      <w:r>
        <w:rPr>
          <w:w w:val="95"/>
          <w:sz w:val="21"/>
        </w:rPr>
        <w:t>一般废包装材料</w:t>
      </w:r>
      <w:r>
        <w:rPr>
          <w:position w:val="-3"/>
          <w:sz w:val="21"/>
        </w:rPr>
        <w:t>废物</w:t>
      </w:r>
      <w:r>
        <w:rPr>
          <w:position w:val="-3"/>
          <w:sz w:val="21"/>
        </w:rPr>
        <w:tab/>
      </w:r>
      <w:r>
        <w:rPr>
          <w:position w:val="-3"/>
          <w:sz w:val="21"/>
        </w:rPr>
        <w:tab/>
      </w:r>
      <w:r>
        <w:rPr>
          <w:sz w:val="21"/>
        </w:rPr>
        <w:t>造粒杂质</w:t>
      </w:r>
    </w:p>
    <w:p w14:paraId="0AEC5ADC">
      <w:pPr>
        <w:spacing w:before="23" w:line="660" w:lineRule="exact"/>
        <w:ind w:left="1414" w:right="314" w:firstLine="2"/>
        <w:jc w:val="center"/>
        <w:rPr>
          <w:sz w:val="21"/>
        </w:rPr>
      </w:pPr>
      <w:r>
        <w:rPr>
          <w:sz w:val="21"/>
        </w:rPr>
        <w:t xml:space="preserve">废滤网 </w:t>
      </w:r>
      <w:r>
        <w:rPr>
          <w:w w:val="95"/>
          <w:sz w:val="21"/>
        </w:rPr>
        <w:t>废润滑油</w:t>
      </w:r>
    </w:p>
    <w:p w14:paraId="4944EAE6">
      <w:pPr>
        <w:pStyle w:val="10"/>
        <w:spacing w:before="10"/>
        <w:rPr>
          <w:sz w:val="18"/>
        </w:rPr>
      </w:pPr>
      <w:r>
        <w:br w:type="column"/>
      </w:r>
    </w:p>
    <w:p w14:paraId="58CEA4CF">
      <w:pPr>
        <w:spacing w:before="0" w:line="290" w:lineRule="auto"/>
        <w:ind w:left="267" w:right="0" w:hanging="209"/>
        <w:jc w:val="left"/>
        <w:rPr>
          <w:sz w:val="21"/>
        </w:rPr>
      </w:pPr>
      <w:r>
        <w:rPr>
          <w:w w:val="95"/>
          <w:sz w:val="21"/>
        </w:rPr>
        <w:t>一般工业固</w:t>
      </w:r>
      <w:r>
        <w:rPr>
          <w:sz w:val="21"/>
        </w:rPr>
        <w:t>体废物</w:t>
      </w:r>
    </w:p>
    <w:p w14:paraId="78567D1E">
      <w:pPr>
        <w:spacing w:before="78" w:line="290" w:lineRule="auto"/>
        <w:ind w:left="41" w:right="1012" w:firstLine="0"/>
        <w:jc w:val="left"/>
        <w:rPr>
          <w:sz w:val="21"/>
        </w:rPr>
      </w:pPr>
      <w:r>
        <w:br w:type="column"/>
      </w:r>
      <w:r>
        <w:rPr>
          <w:spacing w:val="-13"/>
          <w:sz w:val="21"/>
        </w:rPr>
        <w:t>集后回用于生产，边角 资源化、无害化。执行《一般</w:t>
      </w:r>
      <w:r>
        <w:rPr>
          <w:spacing w:val="-11"/>
          <w:sz w:val="21"/>
        </w:rPr>
        <w:t>料、不合格品经破碎处 工业固体废物贮存和填埋污理</w:t>
      </w:r>
      <w:r>
        <w:rPr>
          <w:spacing w:val="-18"/>
          <w:sz w:val="21"/>
        </w:rPr>
        <w:t>后回用于生产；一般 染控制标准</w:t>
      </w:r>
      <w:r>
        <w:rPr>
          <w:spacing w:val="-185"/>
          <w:sz w:val="21"/>
        </w:rPr>
        <w:t>》</w:t>
      </w:r>
      <w:r>
        <w:rPr>
          <w:sz w:val="21"/>
        </w:rPr>
        <w:t>（</w:t>
      </w:r>
      <w:r>
        <w:rPr>
          <w:rFonts w:ascii="Times New Roman" w:eastAsia="Times New Roman"/>
          <w:sz w:val="21"/>
        </w:rPr>
        <w:t>GB18599-2020</w:t>
      </w:r>
      <w:r>
        <w:rPr>
          <w:sz w:val="21"/>
        </w:rPr>
        <w:t>）废包装材料、造粒杂</w:t>
      </w:r>
    </w:p>
    <w:p w14:paraId="7254A18A">
      <w:pPr>
        <w:spacing w:before="1" w:line="290" w:lineRule="auto"/>
        <w:ind w:left="516" w:right="3867" w:hanging="476"/>
        <w:jc w:val="left"/>
        <w:rPr>
          <w:sz w:val="21"/>
        </w:rPr>
      </w:pPr>
      <w:r>
        <w:rPr>
          <w:spacing w:val="-12"/>
          <w:sz w:val="21"/>
        </w:rPr>
        <w:t>质、废滤网等外售至物资回收公司</w:t>
      </w:r>
    </w:p>
    <w:p w14:paraId="614DBF2A">
      <w:pPr>
        <w:spacing w:after="0" w:line="290" w:lineRule="auto"/>
        <w:jc w:val="left"/>
        <w:rPr>
          <w:sz w:val="21"/>
        </w:rPr>
        <w:sectPr>
          <w:type w:val="continuous"/>
          <w:pgSz w:w="11910" w:h="16840"/>
          <w:pgMar w:top="1600" w:right="1060" w:bottom="280" w:left="1180" w:header="720" w:footer="720" w:gutter="0"/>
          <w:cols w:equalWidth="0" w:num="3">
            <w:col w:w="2569" w:space="40"/>
            <w:col w:w="1108" w:space="39"/>
            <w:col w:w="5914"/>
          </w:cols>
        </w:sectPr>
      </w:pPr>
    </w:p>
    <w:p w14:paraId="2143F6EA">
      <w:pPr>
        <w:spacing w:before="0" w:line="300" w:lineRule="auto"/>
        <w:ind w:left="1100" w:right="0" w:firstLine="0"/>
        <w:jc w:val="center"/>
        <w:rPr>
          <w:sz w:val="21"/>
        </w:rPr>
      </w:pPr>
      <w:r>
        <w:rPr>
          <w:w w:val="95"/>
          <w:sz w:val="21"/>
        </w:rPr>
        <w:t>含油废抹布手套</w:t>
      </w:r>
      <w:r>
        <w:rPr>
          <w:sz w:val="21"/>
        </w:rPr>
        <w:t>废活性炭</w:t>
      </w:r>
    </w:p>
    <w:p w14:paraId="225ECF0C">
      <w:pPr>
        <w:spacing w:before="0" w:line="268" w:lineRule="exact"/>
        <w:ind w:left="1097" w:right="0" w:firstLine="0"/>
        <w:jc w:val="center"/>
        <w:rPr>
          <w:sz w:val="21"/>
        </w:rPr>
      </w:pPr>
      <w:r>
        <w:rPr>
          <w:w w:val="95"/>
          <w:sz w:val="21"/>
        </w:rPr>
        <w:t>废过滤棉</w:t>
      </w:r>
    </w:p>
    <w:p w14:paraId="62628769">
      <w:pPr>
        <w:spacing w:before="162"/>
        <w:ind w:left="163" w:right="0" w:firstLine="0"/>
        <w:jc w:val="left"/>
        <w:rPr>
          <w:sz w:val="21"/>
        </w:rPr>
      </w:pPr>
      <w:r>
        <w:br w:type="column"/>
      </w:r>
      <w:r>
        <w:rPr>
          <w:w w:val="95"/>
          <w:sz w:val="21"/>
        </w:rPr>
        <w:t>危险废物</w:t>
      </w:r>
    </w:p>
    <w:p w14:paraId="4A800B23">
      <w:pPr>
        <w:spacing w:before="0" w:line="105" w:lineRule="exact"/>
        <w:ind w:left="413" w:right="0" w:firstLine="0"/>
        <w:jc w:val="left"/>
        <w:rPr>
          <w:sz w:val="21"/>
        </w:rPr>
      </w:pPr>
      <w:r>
        <w:br w:type="column"/>
      </w:r>
      <w:r>
        <w:rPr>
          <w:sz w:val="21"/>
        </w:rPr>
        <w:t>危险废物暂存间</w:t>
      </w:r>
    </w:p>
    <w:p w14:paraId="3EA631E2">
      <w:pPr>
        <w:spacing w:before="57" w:line="290" w:lineRule="auto"/>
        <w:ind w:left="192" w:right="0" w:firstLine="0"/>
        <w:jc w:val="center"/>
        <w:rPr>
          <w:sz w:val="21"/>
        </w:rPr>
      </w:pPr>
      <w:r>
        <w:rPr>
          <w:rFonts w:ascii="Times New Roman" w:eastAsia="Times New Roman"/>
          <w:sz w:val="21"/>
        </w:rPr>
        <w:t>15m</w:t>
      </w:r>
      <w:r>
        <w:rPr>
          <w:rFonts w:ascii="Times New Roman" w:eastAsia="Times New Roman"/>
          <w:position w:val="7"/>
          <w:sz w:val="13"/>
        </w:rPr>
        <w:t>2</w:t>
      </w:r>
      <w:r>
        <w:rPr>
          <w:sz w:val="21"/>
        </w:rPr>
        <w:t>，贮存后交资质单位处置</w:t>
      </w:r>
    </w:p>
    <w:p w14:paraId="164A9D43">
      <w:pPr>
        <w:pStyle w:val="10"/>
        <w:spacing w:before="9"/>
        <w:rPr>
          <w:sz w:val="14"/>
        </w:rPr>
      </w:pPr>
    </w:p>
    <w:p w14:paraId="3C33BB17">
      <w:pPr>
        <w:spacing w:before="1"/>
        <w:ind w:left="190" w:right="0" w:firstLine="0"/>
        <w:jc w:val="center"/>
        <w:rPr>
          <w:sz w:val="21"/>
        </w:rPr>
      </w:pPr>
      <w:r>
        <w:rPr>
          <w:sz w:val="21"/>
        </w:rPr>
        <w:t>基础减振、安装消声</w:t>
      </w:r>
    </w:p>
    <w:p w14:paraId="5B53937C">
      <w:pPr>
        <w:spacing w:before="0" w:line="105" w:lineRule="exact"/>
        <w:ind w:left="60" w:right="0" w:firstLine="0"/>
        <w:jc w:val="left"/>
        <w:rPr>
          <w:sz w:val="21"/>
        </w:rPr>
      </w:pPr>
      <w:r>
        <w:br w:type="column"/>
      </w:r>
      <w:r>
        <w:rPr>
          <w:sz w:val="21"/>
        </w:rPr>
        <w:t>是否建设、防渗漏及防雨。执</w:t>
      </w:r>
    </w:p>
    <w:p w14:paraId="38044FB1">
      <w:pPr>
        <w:spacing w:before="57" w:line="290" w:lineRule="auto"/>
        <w:ind w:left="125" w:right="1179" w:firstLine="21"/>
        <w:jc w:val="left"/>
        <w:rPr>
          <w:sz w:val="21"/>
        </w:rPr>
      </w:pPr>
      <w:r>
        <w:rPr>
          <w:sz w:val="21"/>
        </w:rPr>
        <w:t>行《危险贮存污染物控制标准》（</w:t>
      </w:r>
      <w:r>
        <w:rPr>
          <w:rFonts w:ascii="Times New Roman" w:eastAsia="Times New Roman"/>
          <w:sz w:val="21"/>
        </w:rPr>
        <w:t>GB18597-2023</w:t>
      </w:r>
      <w:r>
        <w:rPr>
          <w:sz w:val="21"/>
        </w:rPr>
        <w:t>）要求</w:t>
      </w:r>
    </w:p>
    <w:p w14:paraId="65628C0F">
      <w:pPr>
        <w:spacing w:before="189"/>
        <w:ind w:left="60" w:right="0" w:firstLine="0"/>
        <w:jc w:val="left"/>
        <w:rPr>
          <w:sz w:val="21"/>
        </w:rPr>
      </w:pPr>
      <w:r>
        <w:rPr>
          <w:sz w:val="21"/>
        </w:rPr>
        <w:t>达到《工业企业厂界噪声排放</w:t>
      </w:r>
    </w:p>
    <w:p w14:paraId="13FD1621">
      <w:pPr>
        <w:spacing w:after="0"/>
        <w:jc w:val="left"/>
        <w:rPr>
          <w:sz w:val="21"/>
        </w:rPr>
        <w:sectPr>
          <w:type w:val="continuous"/>
          <w:pgSz w:w="11910" w:h="16840"/>
          <w:pgMar w:top="1600" w:right="1060" w:bottom="280" w:left="1180" w:header="720" w:footer="720" w:gutter="0"/>
          <w:cols w:equalWidth="0" w:num="4">
            <w:col w:w="2569" w:space="40"/>
            <w:col w:w="1002" w:space="39"/>
            <w:col w:w="2104" w:space="40"/>
            <w:col w:w="3876"/>
          </w:cols>
        </w:sectPr>
      </w:pPr>
    </w:p>
    <w:p w14:paraId="6FF2CF12">
      <w:pPr>
        <w:tabs>
          <w:tab w:val="left" w:pos="1623"/>
          <w:tab w:val="left" w:pos="2772"/>
        </w:tabs>
        <w:spacing w:before="57"/>
        <w:ind w:left="420" w:right="0" w:firstLine="0"/>
        <w:jc w:val="left"/>
        <w:rPr>
          <w:sz w:val="21"/>
        </w:rPr>
      </w:pPr>
      <w:r>
        <w:rPr>
          <w:sz w:val="21"/>
        </w:rPr>
        <w:t>噪声</w:t>
      </w:r>
      <w:r>
        <w:rPr>
          <w:sz w:val="21"/>
        </w:rPr>
        <w:tab/>
      </w:r>
      <w:r>
        <w:rPr>
          <w:sz w:val="21"/>
        </w:rPr>
        <w:t>车间</w:t>
      </w:r>
      <w:r>
        <w:rPr>
          <w:sz w:val="21"/>
        </w:rPr>
        <w:tab/>
      </w:r>
      <w:r>
        <w:rPr>
          <w:w w:val="95"/>
          <w:sz w:val="21"/>
        </w:rPr>
        <w:t>设备噪声</w:t>
      </w:r>
    </w:p>
    <w:p w14:paraId="61A066FE">
      <w:pPr>
        <w:spacing w:before="57"/>
        <w:ind w:left="147" w:right="0" w:firstLine="0"/>
        <w:jc w:val="left"/>
        <w:rPr>
          <w:sz w:val="21"/>
        </w:rPr>
      </w:pPr>
      <w:r>
        <w:br w:type="column"/>
      </w:r>
      <w:r>
        <w:rPr>
          <w:sz w:val="21"/>
        </w:rPr>
        <w:t>器、隔声消音、厂房隔 标准》</w:t>
      </w:r>
      <w:r>
        <w:rPr>
          <w:rFonts w:ascii="Times New Roman" w:eastAsia="Times New Roman"/>
          <w:sz w:val="21"/>
        </w:rPr>
        <w:t xml:space="preserve">3 </w:t>
      </w:r>
      <w:r>
        <w:rPr>
          <w:sz w:val="21"/>
        </w:rPr>
        <w:t>类（东、西、北侧厂</w:t>
      </w:r>
    </w:p>
    <w:p w14:paraId="0A0FD734">
      <w:pPr>
        <w:spacing w:after="0"/>
        <w:jc w:val="left"/>
        <w:rPr>
          <w:sz w:val="21"/>
        </w:rPr>
        <w:sectPr>
          <w:type w:val="continuous"/>
          <w:pgSz w:w="11910" w:h="16840"/>
          <w:pgMar w:top="1600" w:right="1060" w:bottom="280" w:left="1180" w:header="720" w:footer="720" w:gutter="0"/>
          <w:cols w:equalWidth="0" w:num="2">
            <w:col w:w="3611" w:space="40"/>
            <w:col w:w="6019"/>
          </w:cols>
        </w:sectPr>
      </w:pPr>
    </w:p>
    <w:p w14:paraId="65CE582B">
      <w:pPr>
        <w:pStyle w:val="10"/>
        <w:rPr>
          <w:sz w:val="20"/>
        </w:rPr>
      </w:pPr>
    </w:p>
    <w:p w14:paraId="28B9DDE5">
      <w:pPr>
        <w:pStyle w:val="10"/>
        <w:rPr>
          <w:sz w:val="20"/>
        </w:rPr>
      </w:pPr>
    </w:p>
    <w:p w14:paraId="5234838B">
      <w:pPr>
        <w:pStyle w:val="10"/>
        <w:spacing w:before="4"/>
        <w:rPr>
          <w:sz w:val="25"/>
        </w:rPr>
      </w:pPr>
    </w:p>
    <w:p w14:paraId="5B5AD444">
      <w:pPr>
        <w:spacing w:before="0"/>
        <w:ind w:left="317" w:right="0" w:firstLine="0"/>
        <w:jc w:val="left"/>
        <w:rPr>
          <w:sz w:val="21"/>
        </w:rPr>
      </w:pPr>
      <w:r>
        <w:rPr>
          <w:w w:val="95"/>
          <w:sz w:val="21"/>
        </w:rPr>
        <w:t>地下水</w:t>
      </w:r>
    </w:p>
    <w:p w14:paraId="55D66610">
      <w:pPr>
        <w:pStyle w:val="10"/>
        <w:rPr>
          <w:sz w:val="20"/>
        </w:rPr>
      </w:pPr>
      <w:r>
        <w:br w:type="column"/>
      </w:r>
    </w:p>
    <w:p w14:paraId="220791C2">
      <w:pPr>
        <w:pStyle w:val="10"/>
        <w:spacing w:before="5"/>
        <w:rPr>
          <w:sz w:val="23"/>
        </w:rPr>
      </w:pPr>
    </w:p>
    <w:p w14:paraId="17CE916C">
      <w:pPr>
        <w:tabs>
          <w:tab w:val="left" w:pos="1994"/>
        </w:tabs>
        <w:spacing w:before="0"/>
        <w:ind w:left="216" w:right="0" w:firstLine="0"/>
        <w:jc w:val="left"/>
        <w:rPr>
          <w:sz w:val="21"/>
        </w:rPr>
      </w:pPr>
      <w:r>
        <w:rPr>
          <w:sz w:val="21"/>
        </w:rPr>
        <w:t>危险废物贮存</w:t>
      </w:r>
      <w:r>
        <w:rPr>
          <w:sz w:val="21"/>
        </w:rPr>
        <w:tab/>
      </w:r>
      <w:r>
        <w:rPr>
          <w:sz w:val="21"/>
        </w:rPr>
        <w:t>危废</w:t>
      </w:r>
    </w:p>
    <w:p w14:paraId="546CF1F1">
      <w:pPr>
        <w:tabs>
          <w:tab w:val="left" w:pos="2374"/>
        </w:tabs>
        <w:spacing w:before="57" w:line="300" w:lineRule="auto"/>
        <w:ind w:left="317" w:right="1116" w:firstLine="789"/>
        <w:jc w:val="left"/>
        <w:rPr>
          <w:sz w:val="21"/>
        </w:rPr>
      </w:pPr>
      <w:r>
        <w:br w:type="column"/>
      </w:r>
      <w:r>
        <w:rPr>
          <w:sz w:val="21"/>
        </w:rPr>
        <w:t>声等</w:t>
      </w:r>
      <w:r>
        <w:rPr>
          <w:sz w:val="21"/>
        </w:rPr>
        <w:tab/>
      </w:r>
      <w:r>
        <w:rPr>
          <w:sz w:val="21"/>
        </w:rPr>
        <w:t>界</w:t>
      </w:r>
      <w:r>
        <w:rPr>
          <w:spacing w:val="-13"/>
          <w:sz w:val="21"/>
        </w:rPr>
        <w:t>）</w:t>
      </w:r>
      <w:r>
        <w:rPr>
          <w:sz w:val="21"/>
        </w:rPr>
        <w:t>和</w:t>
      </w:r>
      <w:r>
        <w:rPr>
          <w:spacing w:val="-58"/>
          <w:sz w:val="21"/>
        </w:rPr>
        <w:t xml:space="preserve"> </w:t>
      </w:r>
      <w:r>
        <w:rPr>
          <w:rFonts w:ascii="Times New Roman" w:eastAsia="Times New Roman"/>
          <w:sz w:val="21"/>
        </w:rPr>
        <w:t>4</w:t>
      </w:r>
      <w:r>
        <w:rPr>
          <w:rFonts w:ascii="Times New Roman" w:eastAsia="Times New Roman"/>
          <w:spacing w:val="-4"/>
          <w:sz w:val="21"/>
        </w:rPr>
        <w:t xml:space="preserve"> </w:t>
      </w:r>
      <w:r>
        <w:rPr>
          <w:spacing w:val="-10"/>
          <w:sz w:val="21"/>
        </w:rPr>
        <w:t>类</w:t>
      </w:r>
      <w:r>
        <w:rPr>
          <w:sz w:val="21"/>
        </w:rPr>
        <w:t>（南侧厂界</w:t>
      </w:r>
      <w:r>
        <w:rPr>
          <w:spacing w:val="-10"/>
          <w:sz w:val="21"/>
        </w:rPr>
        <w:t>）</w:t>
      </w:r>
      <w:r>
        <w:rPr>
          <w:sz w:val="21"/>
        </w:rPr>
        <w:t>要求设危险废物暂存间</w:t>
      </w:r>
      <w:r>
        <w:rPr>
          <w:spacing w:val="-99"/>
          <w:sz w:val="21"/>
        </w:rPr>
        <w:t>，</w:t>
      </w:r>
      <w:r>
        <w:rPr>
          <w:sz w:val="21"/>
        </w:rPr>
        <w:t>防</w:t>
      </w:r>
    </w:p>
    <w:p w14:paraId="104B9F01">
      <w:pPr>
        <w:tabs>
          <w:tab w:val="left" w:pos="2374"/>
        </w:tabs>
        <w:spacing w:before="0" w:line="175" w:lineRule="auto"/>
        <w:ind w:left="1212" w:right="0" w:firstLine="0"/>
        <w:jc w:val="left"/>
        <w:rPr>
          <w:sz w:val="21"/>
        </w:rPr>
      </w:pPr>
      <w:r>
        <w:rPr>
          <w:position w:val="-4"/>
          <w:sz w:val="21"/>
        </w:rPr>
        <w:t>渗</w:t>
      </w:r>
      <w:r>
        <w:rPr>
          <w:position w:val="-4"/>
          <w:sz w:val="21"/>
        </w:rPr>
        <w:tab/>
      </w:r>
      <w:r>
        <w:rPr>
          <w:sz w:val="21"/>
        </w:rPr>
        <w:t>防泄漏</w:t>
      </w:r>
      <w:r>
        <w:rPr>
          <w:spacing w:val="-13"/>
          <w:sz w:val="21"/>
        </w:rPr>
        <w:t>、</w:t>
      </w:r>
      <w:r>
        <w:rPr>
          <w:sz w:val="21"/>
        </w:rPr>
        <w:t>防溢流</w:t>
      </w:r>
      <w:r>
        <w:rPr>
          <w:spacing w:val="-13"/>
          <w:sz w:val="21"/>
        </w:rPr>
        <w:t>、</w:t>
      </w:r>
      <w:r>
        <w:rPr>
          <w:sz w:val="21"/>
        </w:rPr>
        <w:t>防腐蚀</w:t>
      </w:r>
      <w:r>
        <w:rPr>
          <w:spacing w:val="-10"/>
          <w:sz w:val="21"/>
        </w:rPr>
        <w:t>、</w:t>
      </w:r>
      <w:r>
        <w:rPr>
          <w:sz w:val="21"/>
        </w:rPr>
        <w:t>防</w:t>
      </w:r>
    </w:p>
    <w:p w14:paraId="39C25206">
      <w:pPr>
        <w:spacing w:before="22" w:line="198" w:lineRule="exact"/>
        <w:ind w:left="2460" w:right="0" w:firstLine="0"/>
        <w:jc w:val="left"/>
        <w:rPr>
          <w:sz w:val="21"/>
        </w:rPr>
      </w:pPr>
      <w:r>
        <w:rPr>
          <w:sz w:val="21"/>
        </w:rPr>
        <w:t>渗漏，污染物不会进入地下</w:t>
      </w:r>
    </w:p>
    <w:p w14:paraId="534EE8DF">
      <w:pPr>
        <w:spacing w:after="0" w:line="198" w:lineRule="exact"/>
        <w:jc w:val="left"/>
        <w:rPr>
          <w:sz w:val="21"/>
        </w:rPr>
        <w:sectPr>
          <w:type w:val="continuous"/>
          <w:pgSz w:w="11910" w:h="16840"/>
          <w:pgMar w:top="1600" w:right="1060" w:bottom="280" w:left="1180" w:header="720" w:footer="720" w:gutter="0"/>
          <w:cols w:equalWidth="0" w:num="3">
            <w:col w:w="947" w:space="40"/>
            <w:col w:w="2453" w:space="40"/>
            <w:col w:w="6190"/>
          </w:cols>
        </w:sectPr>
      </w:pPr>
    </w:p>
    <w:p w14:paraId="0A94D2EB">
      <w:pPr>
        <w:tabs>
          <w:tab w:val="left" w:pos="2772"/>
          <w:tab w:val="left" w:pos="4587"/>
        </w:tabs>
        <w:spacing w:before="0" w:line="239" w:lineRule="exact"/>
        <w:ind w:left="1520" w:right="0" w:firstLine="0"/>
        <w:jc w:val="left"/>
        <w:rPr>
          <w:sz w:val="21"/>
        </w:rPr>
      </w:pPr>
      <w:r>
        <w:rPr>
          <w:sz w:val="21"/>
        </w:rPr>
        <w:t>化粪池</w:t>
      </w:r>
      <w:r>
        <w:rPr>
          <w:sz w:val="21"/>
        </w:rPr>
        <w:tab/>
      </w:r>
      <w:r>
        <w:rPr>
          <w:sz w:val="21"/>
        </w:rPr>
        <w:t>生活污水</w:t>
      </w:r>
      <w:r>
        <w:rPr>
          <w:sz w:val="21"/>
        </w:rPr>
        <w:tab/>
      </w:r>
      <w:r>
        <w:rPr>
          <w:sz w:val="21"/>
        </w:rPr>
        <w:t>防渗</w:t>
      </w:r>
    </w:p>
    <w:p w14:paraId="40ABCBA1">
      <w:pPr>
        <w:spacing w:before="161" w:line="212" w:lineRule="exact"/>
        <w:ind w:left="1100" w:right="1167" w:firstLine="0"/>
        <w:jc w:val="center"/>
        <w:rPr>
          <w:sz w:val="24"/>
        </w:rPr>
      </w:pPr>
      <w:r>
        <w:rPr>
          <w:sz w:val="21"/>
        </w:rPr>
        <w:t>加强管理，</w:t>
      </w:r>
      <w:r>
        <w:rPr>
          <w:sz w:val="24"/>
        </w:rPr>
        <w:t>设置防</w:t>
      </w:r>
    </w:p>
    <w:p w14:paraId="6DC8CE7F">
      <w:pPr>
        <w:spacing w:after="0" w:line="212" w:lineRule="exact"/>
        <w:jc w:val="center"/>
        <w:rPr>
          <w:sz w:val="24"/>
        </w:rPr>
        <w:sectPr>
          <w:type w:val="continuous"/>
          <w:pgSz w:w="11910" w:h="16840"/>
          <w:pgMar w:top="1600" w:right="1060" w:bottom="280" w:left="1180" w:header="720" w:footer="720" w:gutter="0"/>
          <w:cols w:space="720" w:num="1"/>
        </w:sectPr>
      </w:pPr>
    </w:p>
    <w:p w14:paraId="114917D8">
      <w:pPr>
        <w:spacing w:before="0" w:line="239" w:lineRule="exact"/>
        <w:ind w:left="1116" w:right="16" w:firstLine="0"/>
        <w:jc w:val="center"/>
        <w:rPr>
          <w:sz w:val="21"/>
        </w:rPr>
      </w:pPr>
      <w:r>
        <w:rPr>
          <w:w w:val="95"/>
          <w:sz w:val="21"/>
        </w:rPr>
        <w:t>危险废物暂存间</w:t>
      </w:r>
    </w:p>
    <w:p w14:paraId="193D6324">
      <w:pPr>
        <w:spacing w:before="57"/>
        <w:ind w:left="1113" w:right="16" w:firstLine="0"/>
        <w:jc w:val="center"/>
        <w:rPr>
          <w:sz w:val="21"/>
        </w:rPr>
      </w:pPr>
      <w:r>
        <w:rPr>
          <w:sz w:val="21"/>
        </w:rPr>
        <w:t>泄漏风险</w:t>
      </w:r>
    </w:p>
    <w:p w14:paraId="1EE85AA6">
      <w:pPr>
        <w:spacing w:before="133"/>
        <w:ind w:left="163" w:right="0" w:firstLine="0"/>
        <w:jc w:val="left"/>
        <w:rPr>
          <w:sz w:val="21"/>
        </w:rPr>
      </w:pPr>
      <w:r>
        <w:br w:type="column"/>
      </w:r>
      <w:r>
        <w:rPr>
          <w:w w:val="95"/>
          <w:sz w:val="21"/>
        </w:rPr>
        <w:t>危险废物</w:t>
      </w:r>
    </w:p>
    <w:p w14:paraId="47BAAE13">
      <w:pPr>
        <w:pStyle w:val="10"/>
        <w:tabs>
          <w:tab w:val="left" w:pos="3521"/>
        </w:tabs>
        <w:spacing w:before="115"/>
        <w:ind w:left="187"/>
        <w:rPr>
          <w:rFonts w:ascii="Times New Roman" w:eastAsia="Times New Roman"/>
          <w:sz w:val="21"/>
        </w:rPr>
      </w:pPr>
      <w:r>
        <w:br w:type="column"/>
      </w:r>
      <w:r>
        <w:t>渗、防漏、防腐、</w:t>
      </w:r>
      <w:r>
        <w:tab/>
      </w:r>
      <w:r>
        <w:rPr>
          <w:rFonts w:ascii="Times New Roman" w:eastAsia="Times New Roman"/>
          <w:position w:val="1"/>
          <w:sz w:val="21"/>
        </w:rPr>
        <w:t>/</w:t>
      </w:r>
    </w:p>
    <w:p w14:paraId="08E3DAF0">
      <w:pPr>
        <w:pStyle w:val="10"/>
        <w:spacing w:before="19"/>
        <w:ind w:left="307"/>
      </w:pPr>
      <w:r>
        <w:t>防雨等防范措施</w:t>
      </w:r>
    </w:p>
    <w:p w14:paraId="4C48B22A">
      <w:pPr>
        <w:spacing w:after="0"/>
        <w:sectPr>
          <w:type w:val="continuous"/>
          <w:pgSz w:w="11910" w:h="16840"/>
          <w:pgMar w:top="1600" w:right="1060" w:bottom="280" w:left="1180" w:header="720" w:footer="720" w:gutter="0"/>
          <w:cols w:equalWidth="0" w:num="3">
            <w:col w:w="2570" w:space="40"/>
            <w:col w:w="1002" w:space="39"/>
            <w:col w:w="6019"/>
          </w:cols>
        </w:sectPr>
      </w:pPr>
    </w:p>
    <w:p w14:paraId="5A985DC0">
      <w:pPr>
        <w:spacing w:before="47" w:line="223" w:lineRule="exact"/>
        <w:ind w:left="1100" w:right="0" w:firstLine="0"/>
        <w:jc w:val="left"/>
        <w:rPr>
          <w:sz w:val="21"/>
        </w:rPr>
      </w:pPr>
      <w:r>
        <w:rPr>
          <w:sz w:val="21"/>
        </w:rPr>
        <w:t>废气处理设施故 挥发性有机 加强管理，加强维护，</w:t>
      </w:r>
    </w:p>
    <w:p w14:paraId="304070D7">
      <w:pPr>
        <w:spacing w:before="0" w:line="134" w:lineRule="exact"/>
        <w:ind w:left="0" w:right="2433" w:firstLine="0"/>
        <w:jc w:val="right"/>
        <w:rPr>
          <w:rFonts w:ascii="Times New Roman"/>
          <w:sz w:val="21"/>
        </w:rPr>
      </w:pPr>
      <w:r>
        <w:rPr>
          <w:rFonts w:ascii="Times New Roman"/>
          <w:w w:val="99"/>
          <w:sz w:val="21"/>
        </w:rPr>
        <w:t>/</w:t>
      </w:r>
    </w:p>
    <w:p w14:paraId="2082C7B4">
      <w:pPr>
        <w:spacing w:after="0" w:line="134" w:lineRule="exact"/>
        <w:jc w:val="right"/>
        <w:rPr>
          <w:rFonts w:ascii="Times New Roman"/>
          <w:sz w:val="21"/>
        </w:rPr>
        <w:sectPr>
          <w:type w:val="continuous"/>
          <w:pgSz w:w="11910" w:h="16840"/>
          <w:pgMar w:top="1600" w:right="1060" w:bottom="280" w:left="1180" w:header="720" w:footer="720" w:gutter="0"/>
          <w:cols w:space="720" w:num="1"/>
        </w:sectPr>
      </w:pPr>
    </w:p>
    <w:p w14:paraId="1E14B6DE">
      <w:pPr>
        <w:spacing w:before="0" w:line="188" w:lineRule="exact"/>
        <w:ind w:left="1100" w:right="0" w:firstLine="0"/>
        <w:jc w:val="center"/>
        <w:rPr>
          <w:sz w:val="21"/>
        </w:rPr>
      </w:pPr>
      <w:r>
        <w:rPr>
          <w:sz w:val="21"/>
        </w:rPr>
        <w:t>障风险</w:t>
      </w:r>
    </w:p>
    <w:p w14:paraId="108B9398">
      <w:pPr>
        <w:spacing w:before="0" w:line="219" w:lineRule="exact"/>
        <w:ind w:left="420" w:right="0" w:firstLine="0"/>
        <w:jc w:val="left"/>
        <w:rPr>
          <w:sz w:val="21"/>
        </w:rPr>
      </w:pPr>
      <w:r>
        <w:rPr>
          <w:sz w:val="21"/>
        </w:rPr>
        <w:t>风险</w:t>
      </w:r>
    </w:p>
    <w:p w14:paraId="2EDB5B4B">
      <w:pPr>
        <w:spacing w:before="62" w:line="288" w:lineRule="auto"/>
        <w:ind w:left="1100" w:right="0" w:firstLine="0"/>
        <w:jc w:val="center"/>
        <w:rPr>
          <w:sz w:val="21"/>
        </w:rPr>
      </w:pPr>
      <w:r>
        <w:rPr>
          <w:w w:val="95"/>
          <w:sz w:val="21"/>
        </w:rPr>
        <w:t>原料及成品火灾</w:t>
      </w:r>
      <w:r>
        <w:rPr>
          <w:sz w:val="21"/>
        </w:rPr>
        <w:t>风险</w:t>
      </w:r>
    </w:p>
    <w:p w14:paraId="4780F7FE">
      <w:pPr>
        <w:spacing w:before="0" w:line="239" w:lineRule="exact"/>
        <w:ind w:left="58" w:right="0" w:firstLine="0"/>
        <w:jc w:val="center"/>
        <w:rPr>
          <w:sz w:val="21"/>
        </w:rPr>
      </w:pPr>
      <w:r>
        <w:br w:type="column"/>
      </w:r>
      <w:r>
        <w:rPr>
          <w:sz w:val="21"/>
        </w:rPr>
        <w:t>物</w:t>
      </w:r>
    </w:p>
    <w:p w14:paraId="0501368D">
      <w:pPr>
        <w:spacing w:before="67" w:line="290" w:lineRule="auto"/>
        <w:ind w:left="58" w:right="0" w:firstLine="0"/>
        <w:jc w:val="center"/>
        <w:rPr>
          <w:sz w:val="21"/>
        </w:rPr>
      </w:pPr>
      <w:r>
        <w:rPr>
          <w:w w:val="95"/>
          <w:sz w:val="21"/>
        </w:rPr>
        <w:t>火灾及其次生环境污染</w:t>
      </w:r>
      <w:r>
        <w:rPr>
          <w:sz w:val="21"/>
        </w:rPr>
        <w:t>物</w:t>
      </w:r>
    </w:p>
    <w:p w14:paraId="1AB4A7DF">
      <w:pPr>
        <w:spacing w:before="0" w:line="239" w:lineRule="exact"/>
        <w:ind w:left="34" w:right="3859" w:firstLine="0"/>
        <w:jc w:val="center"/>
        <w:rPr>
          <w:sz w:val="21"/>
        </w:rPr>
      </w:pPr>
      <w:r>
        <w:br w:type="column"/>
      </w:r>
      <w:r>
        <w:rPr>
          <w:sz w:val="21"/>
        </w:rPr>
        <w:t>定期检修等</w:t>
      </w:r>
    </w:p>
    <w:p w14:paraId="7CE42954">
      <w:pPr>
        <w:pStyle w:val="10"/>
        <w:spacing w:before="12"/>
        <w:rPr>
          <w:sz w:val="17"/>
        </w:rPr>
      </w:pPr>
    </w:p>
    <w:p w14:paraId="354656A2">
      <w:pPr>
        <w:spacing w:before="0" w:line="222" w:lineRule="exact"/>
        <w:ind w:left="34" w:right="3859" w:firstLine="0"/>
        <w:jc w:val="center"/>
        <w:rPr>
          <w:sz w:val="21"/>
        </w:rPr>
      </w:pPr>
      <w:r>
        <w:rPr>
          <w:spacing w:val="-12"/>
          <w:sz w:val="21"/>
        </w:rPr>
        <w:t>加强消防建设，严禁明</w:t>
      </w:r>
    </w:p>
    <w:p w14:paraId="416AEA20">
      <w:pPr>
        <w:spacing w:before="0" w:line="148" w:lineRule="exact"/>
        <w:ind w:left="979" w:right="0" w:firstLine="0"/>
        <w:jc w:val="center"/>
        <w:rPr>
          <w:rFonts w:ascii="Times New Roman"/>
          <w:sz w:val="21"/>
        </w:rPr>
      </w:pPr>
      <w:r>
        <w:rPr>
          <w:rFonts w:ascii="Times New Roman"/>
          <w:w w:val="99"/>
          <w:sz w:val="21"/>
        </w:rPr>
        <w:t>/</w:t>
      </w:r>
    </w:p>
    <w:p w14:paraId="40FF7E38">
      <w:pPr>
        <w:spacing w:before="0" w:line="223" w:lineRule="exact"/>
        <w:ind w:left="34" w:right="3859" w:firstLine="0"/>
        <w:jc w:val="center"/>
        <w:rPr>
          <w:sz w:val="21"/>
        </w:rPr>
      </w:pPr>
      <w:r>
        <w:rPr>
          <w:w w:val="95"/>
          <w:sz w:val="21"/>
        </w:rPr>
        <w:t>火，配备消防灭火器</w:t>
      </w:r>
    </w:p>
    <w:p w14:paraId="0655AD81">
      <w:pPr>
        <w:pStyle w:val="10"/>
        <w:spacing w:before="12"/>
        <w:rPr>
          <w:sz w:val="17"/>
        </w:rPr>
      </w:pPr>
    </w:p>
    <w:p w14:paraId="5D1F8019">
      <w:pPr>
        <w:spacing w:before="0" w:line="187" w:lineRule="exact"/>
        <w:ind w:left="34" w:right="3859" w:firstLine="0"/>
        <w:jc w:val="center"/>
        <w:rPr>
          <w:sz w:val="21"/>
        </w:rPr>
      </w:pPr>
      <w:r>
        <w:rPr>
          <w:w w:val="95"/>
          <w:sz w:val="21"/>
        </w:rPr>
        <w:t>编制环境风险应急预</w:t>
      </w:r>
    </w:p>
    <w:p w14:paraId="6D2B52BA">
      <w:pPr>
        <w:spacing w:after="0" w:line="187" w:lineRule="exact"/>
        <w:jc w:val="center"/>
        <w:rPr>
          <w:sz w:val="21"/>
        </w:rPr>
        <w:sectPr>
          <w:type w:val="continuous"/>
          <w:pgSz w:w="11910" w:h="16840"/>
          <w:pgMar w:top="1600" w:right="1060" w:bottom="280" w:left="1180" w:header="720" w:footer="720" w:gutter="0"/>
          <w:cols w:equalWidth="0" w:num="3">
            <w:col w:w="2569" w:space="40"/>
            <w:col w:w="1108" w:space="39"/>
            <w:col w:w="5914"/>
          </w:cols>
        </w:sectPr>
      </w:pPr>
    </w:p>
    <w:p w14:paraId="4C21E103">
      <w:pPr>
        <w:tabs>
          <w:tab w:val="left" w:pos="2981"/>
        </w:tabs>
        <w:spacing w:before="0" w:line="246" w:lineRule="exact"/>
        <w:ind w:left="1623" w:right="0" w:firstLine="0"/>
        <w:jc w:val="left"/>
        <w:rPr>
          <w:sz w:val="21"/>
        </w:rPr>
      </w:pPr>
      <w:r>
        <w:rPr>
          <w:sz w:val="21"/>
        </w:rPr>
        <w:t>其他</w:t>
      </w:r>
      <w:r>
        <w:rPr>
          <w:sz w:val="21"/>
        </w:rPr>
        <w:tab/>
      </w:r>
      <w:r>
        <w:rPr>
          <w:w w:val="95"/>
          <w:sz w:val="21"/>
        </w:rPr>
        <w:t>其他</w:t>
      </w:r>
    </w:p>
    <w:p w14:paraId="2847197E">
      <w:pPr>
        <w:spacing w:before="0" w:line="186" w:lineRule="exact"/>
        <w:ind w:left="3713" w:right="2417" w:firstLine="0"/>
        <w:jc w:val="center"/>
        <w:rPr>
          <w:rFonts w:ascii="Times New Roman"/>
          <w:sz w:val="21"/>
        </w:rPr>
      </w:pPr>
      <w:r>
        <w:br w:type="column"/>
      </w:r>
      <w:r>
        <w:rPr>
          <w:rFonts w:ascii="Times New Roman"/>
          <w:sz w:val="21"/>
        </w:rPr>
        <w:t>/</w:t>
      </w:r>
    </w:p>
    <w:p w14:paraId="27517D28">
      <w:pPr>
        <w:spacing w:before="0" w:line="223" w:lineRule="exact"/>
        <w:ind w:left="939" w:right="0" w:firstLine="0"/>
        <w:jc w:val="left"/>
        <w:rPr>
          <w:sz w:val="21"/>
        </w:rPr>
      </w:pPr>
      <w:r>
        <w:rPr>
          <w:sz w:val="21"/>
        </w:rPr>
        <w:t>案并备案</w:t>
      </w:r>
    </w:p>
    <w:p w14:paraId="069C6B1A">
      <w:pPr>
        <w:spacing w:after="0" w:line="223" w:lineRule="exact"/>
        <w:jc w:val="left"/>
        <w:rPr>
          <w:sz w:val="21"/>
        </w:rPr>
        <w:sectPr>
          <w:type w:val="continuous"/>
          <w:pgSz w:w="11910" w:h="16840"/>
          <w:pgMar w:top="1600" w:right="1060" w:bottom="280" w:left="1180" w:header="720" w:footer="720" w:gutter="0"/>
          <w:cols w:equalWidth="0" w:num="2">
            <w:col w:w="3400" w:space="40"/>
            <w:col w:w="6230"/>
          </w:cols>
        </w:sectPr>
      </w:pPr>
    </w:p>
    <w:p w14:paraId="67F34472">
      <w:pPr>
        <w:pStyle w:val="10"/>
        <w:rPr>
          <w:sz w:val="20"/>
        </w:rPr>
      </w:pPr>
    </w:p>
    <w:p w14:paraId="57F879CE">
      <w:pPr>
        <w:pStyle w:val="10"/>
        <w:spacing w:before="10"/>
        <w:rPr>
          <w:sz w:val="27"/>
        </w:rPr>
      </w:pPr>
    </w:p>
    <w:p w14:paraId="4088C926">
      <w:pPr>
        <w:pStyle w:val="3"/>
        <w:numPr>
          <w:ilvl w:val="1"/>
          <w:numId w:val="32"/>
        </w:numPr>
        <w:tabs>
          <w:tab w:val="left" w:pos="688"/>
        </w:tabs>
        <w:spacing w:before="70" w:after="0" w:line="240" w:lineRule="auto"/>
        <w:ind w:left="687" w:right="0" w:hanging="449"/>
        <w:jc w:val="left"/>
      </w:pPr>
      <w:bookmarkStart w:id="46" w:name="_TOC_250009"/>
      <w:bookmarkEnd w:id="46"/>
      <w:r>
        <w:t>污染物排放清单及管理要求</w:t>
      </w:r>
    </w:p>
    <w:p w14:paraId="352493D2">
      <w:pPr>
        <w:pStyle w:val="10"/>
        <w:spacing w:before="225" w:line="379" w:lineRule="auto"/>
        <w:ind w:left="238" w:right="294" w:firstLine="480"/>
      </w:pPr>
      <w:r>
        <w:t>项目在运营过程中，应定期向社会公开污染物的排放情况。在废气排气筒处设置便于采样、监测的采样口或采样平台，并设置醒目的环保标志牌。参照《排污许可证申请</w:t>
      </w:r>
    </w:p>
    <w:p w14:paraId="73439E2C">
      <w:pPr>
        <w:spacing w:after="0" w:line="379" w:lineRule="auto"/>
        <w:sectPr>
          <w:type w:val="continuous"/>
          <w:pgSz w:w="11910" w:h="16840"/>
          <w:pgMar w:top="1600" w:right="1060" w:bottom="280" w:left="1180" w:header="720" w:footer="720" w:gutter="0"/>
          <w:cols w:space="720" w:num="1"/>
        </w:sectPr>
      </w:pPr>
    </w:p>
    <w:p w14:paraId="17AC9C4E">
      <w:pPr>
        <w:pStyle w:val="10"/>
        <w:spacing w:before="55" w:line="379" w:lineRule="auto"/>
        <w:ind w:left="238" w:right="301"/>
      </w:pPr>
      <w:r>
        <w:t>与核发技术规范 橡胶与塑料制品工业》（</w:t>
      </w:r>
      <w:r>
        <w:rPr>
          <w:rFonts w:ascii="Times New Roman" w:eastAsia="Times New Roman"/>
        </w:rPr>
        <w:t>HJ1122-2020</w:t>
      </w:r>
      <w:r>
        <w:t xml:space="preserve">），本项目废气有组织排放口均为一般排放口。项目污染物排放清单及管理要求见表 </w:t>
      </w:r>
      <w:r>
        <w:rPr>
          <w:rFonts w:ascii="Times New Roman" w:eastAsia="Times New Roman"/>
        </w:rPr>
        <w:t>7.5-1</w:t>
      </w:r>
      <w:r>
        <w:t>。</w:t>
      </w:r>
    </w:p>
    <w:p w14:paraId="0C8FCF70">
      <w:pPr>
        <w:spacing w:after="0" w:line="379" w:lineRule="auto"/>
        <w:sectPr>
          <w:pgSz w:w="11910" w:h="16840"/>
          <w:pgMar w:top="1380" w:right="1060" w:bottom="900" w:left="1180" w:header="0" w:footer="712" w:gutter="0"/>
          <w:cols w:space="720" w:num="1"/>
        </w:sectPr>
      </w:pPr>
    </w:p>
    <w:p w14:paraId="491012F7">
      <w:pPr>
        <w:pStyle w:val="10"/>
        <w:rPr>
          <w:sz w:val="20"/>
        </w:rPr>
      </w:pPr>
    </w:p>
    <w:p w14:paraId="460DAF8E">
      <w:pPr>
        <w:pStyle w:val="10"/>
        <w:spacing w:before="11"/>
        <w:rPr>
          <w:sz w:val="29"/>
        </w:rPr>
      </w:pPr>
    </w:p>
    <w:p w14:paraId="199DFE60">
      <w:pPr>
        <w:spacing w:before="76"/>
        <w:ind w:left="4983" w:right="5065" w:firstLine="0"/>
        <w:jc w:val="center"/>
        <w:rPr>
          <w:b/>
          <w:sz w:val="21"/>
        </w:rPr>
      </w:pPr>
      <w:r>
        <w:pict>
          <v:shape id="_x0000_s3144" o:spid="_x0000_s3144" o:spt="202" type="#_x0000_t202" style="position:absolute;left:0pt;margin-left:66.4pt;margin-top:18.3pt;height:385.5pt;width:709.75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0"/>
                    <w:gridCol w:w="1028"/>
                    <w:gridCol w:w="1170"/>
                    <w:gridCol w:w="2272"/>
                    <w:gridCol w:w="1073"/>
                    <w:gridCol w:w="1654"/>
                    <w:gridCol w:w="1394"/>
                    <w:gridCol w:w="1263"/>
                    <w:gridCol w:w="1272"/>
                    <w:gridCol w:w="2535"/>
                  </w:tblGrid>
                  <w:tr w14:paraId="40152B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490" w:type="dxa"/>
                        <w:tcBorders>
                          <w:left w:val="nil"/>
                          <w:bottom w:val="single" w:color="000000" w:sz="4" w:space="0"/>
                          <w:right w:val="single" w:color="000000" w:sz="4" w:space="0"/>
                        </w:tcBorders>
                      </w:tcPr>
                      <w:p w14:paraId="3F7C01BB">
                        <w:pPr>
                          <w:pStyle w:val="17"/>
                          <w:spacing w:before="176"/>
                          <w:ind w:left="46"/>
                          <w:jc w:val="left"/>
                          <w:rPr>
                            <w:sz w:val="21"/>
                          </w:rPr>
                        </w:pPr>
                        <w:r>
                          <w:rPr>
                            <w:sz w:val="21"/>
                          </w:rPr>
                          <w:t>类别</w:t>
                        </w:r>
                      </w:p>
                    </w:tc>
                    <w:tc>
                      <w:tcPr>
                        <w:tcW w:w="1028" w:type="dxa"/>
                        <w:tcBorders>
                          <w:left w:val="single" w:color="000000" w:sz="4" w:space="0"/>
                          <w:bottom w:val="single" w:color="000000" w:sz="4" w:space="0"/>
                          <w:right w:val="single" w:color="000000" w:sz="4" w:space="0"/>
                        </w:tcBorders>
                      </w:tcPr>
                      <w:p w14:paraId="5E3313D7">
                        <w:pPr>
                          <w:pStyle w:val="17"/>
                          <w:spacing w:before="20"/>
                          <w:ind w:left="72" w:right="46"/>
                          <w:rPr>
                            <w:sz w:val="21"/>
                          </w:rPr>
                        </w:pPr>
                        <w:r>
                          <w:rPr>
                            <w:sz w:val="21"/>
                          </w:rPr>
                          <w:t>排放口编</w:t>
                        </w:r>
                      </w:p>
                      <w:p w14:paraId="5E8616C9">
                        <w:pPr>
                          <w:pStyle w:val="17"/>
                          <w:spacing w:before="43"/>
                          <w:ind w:left="27"/>
                          <w:rPr>
                            <w:sz w:val="21"/>
                          </w:rPr>
                        </w:pPr>
                        <w:r>
                          <w:rPr>
                            <w:w w:val="99"/>
                            <w:sz w:val="21"/>
                          </w:rPr>
                          <w:t>号</w:t>
                        </w:r>
                      </w:p>
                    </w:tc>
                    <w:tc>
                      <w:tcPr>
                        <w:tcW w:w="1170" w:type="dxa"/>
                        <w:tcBorders>
                          <w:left w:val="single" w:color="000000" w:sz="4" w:space="0"/>
                          <w:bottom w:val="single" w:color="000000" w:sz="4" w:space="0"/>
                          <w:right w:val="single" w:color="000000" w:sz="4" w:space="0"/>
                        </w:tcBorders>
                      </w:tcPr>
                      <w:p w14:paraId="13596E90">
                        <w:pPr>
                          <w:pStyle w:val="17"/>
                          <w:spacing w:before="176"/>
                          <w:ind w:left="30" w:right="3"/>
                          <w:rPr>
                            <w:sz w:val="21"/>
                          </w:rPr>
                        </w:pPr>
                        <w:r>
                          <w:rPr>
                            <w:sz w:val="21"/>
                          </w:rPr>
                          <w:t>排放口类型</w:t>
                        </w:r>
                      </w:p>
                    </w:tc>
                    <w:tc>
                      <w:tcPr>
                        <w:tcW w:w="2272" w:type="dxa"/>
                        <w:tcBorders>
                          <w:left w:val="single" w:color="000000" w:sz="4" w:space="0"/>
                          <w:bottom w:val="single" w:color="000000" w:sz="4" w:space="0"/>
                          <w:right w:val="single" w:color="000000" w:sz="4" w:space="0"/>
                        </w:tcBorders>
                      </w:tcPr>
                      <w:p w14:paraId="66E88A15">
                        <w:pPr>
                          <w:pStyle w:val="17"/>
                          <w:spacing w:before="176"/>
                          <w:ind w:left="179" w:right="150"/>
                          <w:rPr>
                            <w:sz w:val="21"/>
                          </w:rPr>
                        </w:pPr>
                        <w:r>
                          <w:rPr>
                            <w:sz w:val="21"/>
                          </w:rPr>
                          <w:t>污染源</w:t>
                        </w:r>
                      </w:p>
                    </w:tc>
                    <w:tc>
                      <w:tcPr>
                        <w:tcW w:w="1073" w:type="dxa"/>
                        <w:tcBorders>
                          <w:left w:val="single" w:color="000000" w:sz="4" w:space="0"/>
                          <w:bottom w:val="single" w:color="000000" w:sz="4" w:space="0"/>
                          <w:right w:val="single" w:color="000000" w:sz="4" w:space="0"/>
                        </w:tcBorders>
                      </w:tcPr>
                      <w:p w14:paraId="6F8D1221">
                        <w:pPr>
                          <w:pStyle w:val="17"/>
                          <w:spacing w:before="176"/>
                          <w:ind w:left="103" w:right="78"/>
                          <w:rPr>
                            <w:sz w:val="21"/>
                          </w:rPr>
                        </w:pPr>
                        <w:r>
                          <w:rPr>
                            <w:sz w:val="21"/>
                          </w:rPr>
                          <w:t>污染物</w:t>
                        </w:r>
                      </w:p>
                    </w:tc>
                    <w:tc>
                      <w:tcPr>
                        <w:tcW w:w="1654" w:type="dxa"/>
                        <w:tcBorders>
                          <w:left w:val="single" w:color="000000" w:sz="4" w:space="0"/>
                          <w:bottom w:val="single" w:color="000000" w:sz="4" w:space="0"/>
                          <w:right w:val="single" w:color="000000" w:sz="4" w:space="0"/>
                        </w:tcBorders>
                      </w:tcPr>
                      <w:p w14:paraId="32040E69">
                        <w:pPr>
                          <w:pStyle w:val="17"/>
                          <w:spacing w:before="176"/>
                          <w:ind w:left="64" w:right="39"/>
                          <w:rPr>
                            <w:rFonts w:ascii="Times New Roman" w:eastAsia="Times New Roman"/>
                            <w:sz w:val="13"/>
                          </w:rPr>
                        </w:pPr>
                        <w:r>
                          <w:rPr>
                            <w:sz w:val="21"/>
                          </w:rPr>
                          <w:t xml:space="preserve">排放浓度 </w:t>
                        </w:r>
                        <w:r>
                          <w:rPr>
                            <w:rFonts w:ascii="Times New Roman" w:eastAsia="Times New Roman"/>
                            <w:sz w:val="21"/>
                          </w:rPr>
                          <w:t>mg/m</w:t>
                        </w:r>
                        <w:r>
                          <w:rPr>
                            <w:rFonts w:ascii="Times New Roman" w:eastAsia="Times New Roman"/>
                            <w:position w:val="7"/>
                            <w:sz w:val="13"/>
                          </w:rPr>
                          <w:t>3</w:t>
                        </w:r>
                      </w:p>
                    </w:tc>
                    <w:tc>
                      <w:tcPr>
                        <w:tcW w:w="1394" w:type="dxa"/>
                        <w:tcBorders>
                          <w:left w:val="single" w:color="000000" w:sz="4" w:space="0"/>
                          <w:bottom w:val="single" w:color="000000" w:sz="4" w:space="0"/>
                          <w:right w:val="single" w:color="000000" w:sz="4" w:space="0"/>
                        </w:tcBorders>
                      </w:tcPr>
                      <w:p w14:paraId="24BAA157">
                        <w:pPr>
                          <w:pStyle w:val="17"/>
                          <w:spacing w:before="176"/>
                          <w:ind w:left="212" w:right="187"/>
                          <w:rPr>
                            <w:rFonts w:ascii="Times New Roman" w:eastAsia="Times New Roman"/>
                            <w:sz w:val="21"/>
                          </w:rPr>
                        </w:pPr>
                        <w:r>
                          <w:rPr>
                            <w:sz w:val="21"/>
                          </w:rPr>
                          <w:t xml:space="preserve">排放量 </w:t>
                        </w:r>
                        <w:r>
                          <w:rPr>
                            <w:rFonts w:ascii="Times New Roman" w:eastAsia="Times New Roman"/>
                            <w:sz w:val="21"/>
                          </w:rPr>
                          <w:t>t/a</w:t>
                        </w:r>
                      </w:p>
                    </w:tc>
                    <w:tc>
                      <w:tcPr>
                        <w:tcW w:w="2535" w:type="dxa"/>
                        <w:gridSpan w:val="2"/>
                        <w:tcBorders>
                          <w:left w:val="single" w:color="000000" w:sz="4" w:space="0"/>
                          <w:bottom w:val="single" w:color="000000" w:sz="4" w:space="0"/>
                          <w:right w:val="single" w:color="000000" w:sz="4" w:space="0"/>
                        </w:tcBorders>
                      </w:tcPr>
                      <w:p w14:paraId="53AC7AB9">
                        <w:pPr>
                          <w:pStyle w:val="17"/>
                          <w:spacing w:before="176"/>
                          <w:ind w:left="855"/>
                          <w:jc w:val="left"/>
                          <w:rPr>
                            <w:sz w:val="21"/>
                          </w:rPr>
                        </w:pPr>
                        <w:r>
                          <w:rPr>
                            <w:sz w:val="21"/>
                          </w:rPr>
                          <w:t>环保设施</w:t>
                        </w:r>
                      </w:p>
                    </w:tc>
                    <w:tc>
                      <w:tcPr>
                        <w:tcW w:w="2535" w:type="dxa"/>
                        <w:tcBorders>
                          <w:left w:val="single" w:color="000000" w:sz="4" w:space="0"/>
                          <w:bottom w:val="single" w:color="000000" w:sz="4" w:space="0"/>
                          <w:right w:val="nil"/>
                        </w:tcBorders>
                      </w:tcPr>
                      <w:p w14:paraId="1E249EA9">
                        <w:pPr>
                          <w:pStyle w:val="17"/>
                          <w:spacing w:before="176"/>
                          <w:ind w:left="860"/>
                          <w:jc w:val="left"/>
                          <w:rPr>
                            <w:sz w:val="21"/>
                          </w:rPr>
                        </w:pPr>
                        <w:r>
                          <w:rPr>
                            <w:sz w:val="21"/>
                          </w:rPr>
                          <w:t>执行标准</w:t>
                        </w:r>
                      </w:p>
                    </w:tc>
                  </w:tr>
                  <w:tr w14:paraId="037C91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9" w:hRule="atLeast"/>
                    </w:trPr>
                    <w:tc>
                      <w:tcPr>
                        <w:tcW w:w="490" w:type="dxa"/>
                        <w:vMerge w:val="restart"/>
                        <w:tcBorders>
                          <w:top w:val="single" w:color="000000" w:sz="4" w:space="0"/>
                          <w:left w:val="nil"/>
                          <w:right w:val="single" w:color="000000" w:sz="4" w:space="0"/>
                        </w:tcBorders>
                      </w:tcPr>
                      <w:p w14:paraId="3A91E047">
                        <w:pPr>
                          <w:pStyle w:val="17"/>
                          <w:jc w:val="left"/>
                          <w:rPr>
                            <w:sz w:val="20"/>
                          </w:rPr>
                        </w:pPr>
                      </w:p>
                      <w:p w14:paraId="6B2B084B">
                        <w:pPr>
                          <w:pStyle w:val="17"/>
                          <w:jc w:val="left"/>
                          <w:rPr>
                            <w:sz w:val="20"/>
                          </w:rPr>
                        </w:pPr>
                      </w:p>
                      <w:p w14:paraId="2C93A90B">
                        <w:pPr>
                          <w:pStyle w:val="17"/>
                          <w:jc w:val="left"/>
                          <w:rPr>
                            <w:sz w:val="20"/>
                          </w:rPr>
                        </w:pPr>
                      </w:p>
                      <w:p w14:paraId="5D9BAF86">
                        <w:pPr>
                          <w:pStyle w:val="17"/>
                          <w:jc w:val="left"/>
                          <w:rPr>
                            <w:sz w:val="20"/>
                          </w:rPr>
                        </w:pPr>
                      </w:p>
                      <w:p w14:paraId="6F64CF43">
                        <w:pPr>
                          <w:pStyle w:val="17"/>
                          <w:jc w:val="left"/>
                          <w:rPr>
                            <w:sz w:val="20"/>
                          </w:rPr>
                        </w:pPr>
                      </w:p>
                      <w:p w14:paraId="0A866264">
                        <w:pPr>
                          <w:pStyle w:val="17"/>
                          <w:jc w:val="left"/>
                          <w:rPr>
                            <w:sz w:val="20"/>
                          </w:rPr>
                        </w:pPr>
                      </w:p>
                      <w:p w14:paraId="06A206C1">
                        <w:pPr>
                          <w:pStyle w:val="17"/>
                          <w:jc w:val="left"/>
                          <w:rPr>
                            <w:sz w:val="20"/>
                          </w:rPr>
                        </w:pPr>
                      </w:p>
                      <w:p w14:paraId="0300CE5B">
                        <w:pPr>
                          <w:pStyle w:val="17"/>
                          <w:jc w:val="left"/>
                          <w:rPr>
                            <w:sz w:val="20"/>
                          </w:rPr>
                        </w:pPr>
                      </w:p>
                      <w:p w14:paraId="0F6BC706">
                        <w:pPr>
                          <w:pStyle w:val="17"/>
                          <w:jc w:val="left"/>
                          <w:rPr>
                            <w:sz w:val="20"/>
                          </w:rPr>
                        </w:pPr>
                      </w:p>
                      <w:p w14:paraId="625E9630">
                        <w:pPr>
                          <w:pStyle w:val="17"/>
                          <w:jc w:val="left"/>
                          <w:rPr>
                            <w:sz w:val="20"/>
                          </w:rPr>
                        </w:pPr>
                      </w:p>
                      <w:p w14:paraId="629F7467">
                        <w:pPr>
                          <w:pStyle w:val="17"/>
                          <w:spacing w:before="11"/>
                          <w:jc w:val="left"/>
                          <w:rPr>
                            <w:sz w:val="26"/>
                          </w:rPr>
                        </w:pPr>
                      </w:p>
                      <w:p w14:paraId="4A305B75">
                        <w:pPr>
                          <w:pStyle w:val="17"/>
                          <w:spacing w:line="278" w:lineRule="auto"/>
                          <w:ind w:left="46" w:right="18"/>
                          <w:jc w:val="both"/>
                          <w:rPr>
                            <w:sz w:val="21"/>
                          </w:rPr>
                        </w:pPr>
                        <w:r>
                          <w:rPr>
                            <w:w w:val="95"/>
                            <w:sz w:val="21"/>
                          </w:rPr>
                          <w:t>大气污染防治措施</w:t>
                        </w:r>
                      </w:p>
                    </w:tc>
                    <w:tc>
                      <w:tcPr>
                        <w:tcW w:w="1028" w:type="dxa"/>
                        <w:tcBorders>
                          <w:top w:val="single" w:color="000000" w:sz="4" w:space="0"/>
                          <w:left w:val="single" w:color="000000" w:sz="4" w:space="0"/>
                          <w:bottom w:val="single" w:color="000000" w:sz="4" w:space="0"/>
                          <w:right w:val="single" w:color="000000" w:sz="4" w:space="0"/>
                        </w:tcBorders>
                      </w:tcPr>
                      <w:p w14:paraId="70F17D58">
                        <w:pPr>
                          <w:pStyle w:val="17"/>
                          <w:spacing w:before="12"/>
                          <w:jc w:val="left"/>
                          <w:rPr>
                            <w:sz w:val="32"/>
                          </w:rPr>
                        </w:pPr>
                      </w:p>
                      <w:p w14:paraId="733440E4">
                        <w:pPr>
                          <w:pStyle w:val="17"/>
                          <w:ind w:left="214"/>
                          <w:jc w:val="left"/>
                          <w:rPr>
                            <w:rFonts w:ascii="Times New Roman"/>
                            <w:sz w:val="21"/>
                          </w:rPr>
                        </w:pPr>
                        <w:r>
                          <w:rPr>
                            <w:rFonts w:ascii="Times New Roman"/>
                            <w:sz w:val="21"/>
                          </w:rPr>
                          <w:t>DA001</w:t>
                        </w:r>
                      </w:p>
                    </w:tc>
                    <w:tc>
                      <w:tcPr>
                        <w:tcW w:w="1170" w:type="dxa"/>
                        <w:tcBorders>
                          <w:top w:val="single" w:color="000000" w:sz="4" w:space="0"/>
                          <w:left w:val="single" w:color="000000" w:sz="4" w:space="0"/>
                          <w:bottom w:val="single" w:color="000000" w:sz="4" w:space="0"/>
                          <w:right w:val="single" w:color="000000" w:sz="4" w:space="0"/>
                        </w:tcBorders>
                      </w:tcPr>
                      <w:p w14:paraId="06CFE9D5">
                        <w:pPr>
                          <w:pStyle w:val="17"/>
                          <w:jc w:val="left"/>
                          <w:rPr>
                            <w:sz w:val="20"/>
                          </w:rPr>
                        </w:pPr>
                      </w:p>
                      <w:p w14:paraId="4CE1D125">
                        <w:pPr>
                          <w:pStyle w:val="17"/>
                          <w:spacing w:before="152"/>
                          <w:ind w:left="30" w:right="3"/>
                          <w:rPr>
                            <w:sz w:val="21"/>
                          </w:rPr>
                        </w:pPr>
                        <w:r>
                          <w:rPr>
                            <w:sz w:val="21"/>
                          </w:rPr>
                          <w:t>一般排放口</w:t>
                        </w:r>
                      </w:p>
                    </w:tc>
                    <w:tc>
                      <w:tcPr>
                        <w:tcW w:w="2272" w:type="dxa"/>
                        <w:tcBorders>
                          <w:top w:val="single" w:color="000000" w:sz="4" w:space="0"/>
                          <w:left w:val="single" w:color="000000" w:sz="4" w:space="0"/>
                          <w:bottom w:val="single" w:color="000000" w:sz="4" w:space="0"/>
                          <w:right w:val="single" w:color="000000" w:sz="4" w:space="0"/>
                        </w:tcBorders>
                      </w:tcPr>
                      <w:p w14:paraId="6DFD08F9">
                        <w:pPr>
                          <w:pStyle w:val="17"/>
                          <w:jc w:val="left"/>
                          <w:rPr>
                            <w:sz w:val="20"/>
                          </w:rPr>
                        </w:pPr>
                      </w:p>
                      <w:p w14:paraId="3C64D19F">
                        <w:pPr>
                          <w:pStyle w:val="17"/>
                          <w:spacing w:before="152"/>
                          <w:ind w:left="179" w:right="153"/>
                          <w:rPr>
                            <w:sz w:val="21"/>
                          </w:rPr>
                        </w:pPr>
                        <w:r>
                          <w:rPr>
                            <w:sz w:val="21"/>
                          </w:rPr>
                          <w:t>破碎、投料混料粉尘</w:t>
                        </w:r>
                      </w:p>
                    </w:tc>
                    <w:tc>
                      <w:tcPr>
                        <w:tcW w:w="1073" w:type="dxa"/>
                        <w:tcBorders>
                          <w:top w:val="single" w:color="000000" w:sz="4" w:space="0"/>
                          <w:left w:val="single" w:color="000000" w:sz="4" w:space="0"/>
                          <w:bottom w:val="single" w:color="000000" w:sz="4" w:space="0"/>
                          <w:right w:val="single" w:color="000000" w:sz="4" w:space="0"/>
                        </w:tcBorders>
                      </w:tcPr>
                      <w:p w14:paraId="73B911A9">
                        <w:pPr>
                          <w:pStyle w:val="17"/>
                          <w:jc w:val="left"/>
                          <w:rPr>
                            <w:sz w:val="20"/>
                          </w:rPr>
                        </w:pPr>
                      </w:p>
                      <w:p w14:paraId="6FAD23D2">
                        <w:pPr>
                          <w:pStyle w:val="17"/>
                          <w:spacing w:before="152"/>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4180232B">
                        <w:pPr>
                          <w:pStyle w:val="17"/>
                          <w:spacing w:before="12"/>
                          <w:jc w:val="left"/>
                          <w:rPr>
                            <w:sz w:val="32"/>
                          </w:rPr>
                        </w:pPr>
                      </w:p>
                      <w:p w14:paraId="5F082509">
                        <w:pPr>
                          <w:pStyle w:val="17"/>
                          <w:ind w:left="64" w:right="36"/>
                          <w:rPr>
                            <w:rFonts w:ascii="Times New Roman"/>
                            <w:sz w:val="21"/>
                          </w:rPr>
                        </w:pPr>
                        <w:r>
                          <w:rPr>
                            <w:rFonts w:ascii="Times New Roman"/>
                            <w:sz w:val="21"/>
                          </w:rPr>
                          <w:t>0.3</w:t>
                        </w:r>
                      </w:p>
                    </w:tc>
                    <w:tc>
                      <w:tcPr>
                        <w:tcW w:w="1394" w:type="dxa"/>
                        <w:tcBorders>
                          <w:top w:val="single" w:color="000000" w:sz="4" w:space="0"/>
                          <w:left w:val="single" w:color="000000" w:sz="4" w:space="0"/>
                          <w:bottom w:val="single" w:color="000000" w:sz="4" w:space="0"/>
                          <w:right w:val="single" w:color="000000" w:sz="4" w:space="0"/>
                        </w:tcBorders>
                      </w:tcPr>
                      <w:p w14:paraId="456AC585">
                        <w:pPr>
                          <w:pStyle w:val="17"/>
                          <w:spacing w:before="12"/>
                          <w:jc w:val="left"/>
                          <w:rPr>
                            <w:sz w:val="32"/>
                          </w:rPr>
                        </w:pPr>
                      </w:p>
                      <w:p w14:paraId="36B65D40">
                        <w:pPr>
                          <w:pStyle w:val="17"/>
                          <w:ind w:left="212" w:right="184"/>
                          <w:rPr>
                            <w:rFonts w:ascii="Times New Roman"/>
                            <w:sz w:val="21"/>
                          </w:rPr>
                        </w:pPr>
                        <w:r>
                          <w:rPr>
                            <w:rFonts w:ascii="Times New Roman"/>
                            <w:sz w:val="21"/>
                          </w:rPr>
                          <w:t>0.003</w:t>
                        </w:r>
                      </w:p>
                    </w:tc>
                    <w:tc>
                      <w:tcPr>
                        <w:tcW w:w="1263" w:type="dxa"/>
                        <w:tcBorders>
                          <w:top w:val="single" w:color="000000" w:sz="4" w:space="0"/>
                          <w:left w:val="single" w:color="000000" w:sz="4" w:space="0"/>
                          <w:bottom w:val="single" w:color="000000" w:sz="4" w:space="0"/>
                        </w:tcBorders>
                      </w:tcPr>
                      <w:p w14:paraId="2636374F">
                        <w:pPr>
                          <w:pStyle w:val="17"/>
                          <w:spacing w:before="9"/>
                          <w:jc w:val="left"/>
                          <w:rPr>
                            <w:sz w:val="19"/>
                          </w:rPr>
                        </w:pPr>
                      </w:p>
                      <w:p w14:paraId="124659D6">
                        <w:pPr>
                          <w:pStyle w:val="17"/>
                          <w:spacing w:line="278" w:lineRule="auto"/>
                          <w:ind w:left="426" w:right="82" w:hanging="317"/>
                          <w:jc w:val="left"/>
                          <w:rPr>
                            <w:sz w:val="21"/>
                          </w:rPr>
                        </w:pPr>
                        <w:r>
                          <w:rPr>
                            <w:sz w:val="21"/>
                          </w:rPr>
                          <w:t>密闭集气罩收集</w:t>
                        </w:r>
                      </w:p>
                    </w:tc>
                    <w:tc>
                      <w:tcPr>
                        <w:tcW w:w="1272" w:type="dxa"/>
                        <w:tcBorders>
                          <w:top w:val="single" w:color="000000" w:sz="4" w:space="0"/>
                          <w:bottom w:val="single" w:color="000000" w:sz="4" w:space="0"/>
                          <w:right w:val="single" w:color="000000" w:sz="4" w:space="0"/>
                        </w:tcBorders>
                      </w:tcPr>
                      <w:p w14:paraId="20A26B3A">
                        <w:pPr>
                          <w:pStyle w:val="17"/>
                          <w:spacing w:before="152"/>
                          <w:ind w:left="32" w:right="4"/>
                          <w:rPr>
                            <w:sz w:val="21"/>
                          </w:rPr>
                        </w:pPr>
                        <w:r>
                          <w:rPr>
                            <w:sz w:val="21"/>
                          </w:rPr>
                          <w:t>布袋除尘器</w:t>
                        </w:r>
                      </w:p>
                      <w:p w14:paraId="3CA2D7C9">
                        <w:pPr>
                          <w:pStyle w:val="17"/>
                          <w:spacing w:before="2"/>
                          <w:ind w:left="32" w:right="4"/>
                          <w:rPr>
                            <w:sz w:val="21"/>
                          </w:rPr>
                        </w:pPr>
                        <w:r>
                          <w:rPr>
                            <w:rFonts w:ascii="Times New Roman" w:eastAsia="Times New Roman"/>
                            <w:sz w:val="21"/>
                          </w:rPr>
                          <w:t xml:space="preserve">+15m </w:t>
                        </w:r>
                        <w:r>
                          <w:rPr>
                            <w:sz w:val="21"/>
                          </w:rPr>
                          <w:t>排气筒</w:t>
                        </w:r>
                      </w:p>
                      <w:p w14:paraId="72E9CE9F">
                        <w:pPr>
                          <w:pStyle w:val="17"/>
                          <w:spacing w:before="2"/>
                          <w:ind w:left="32" w:right="3"/>
                          <w:rPr>
                            <w:rFonts w:ascii="Times New Roman"/>
                            <w:sz w:val="21"/>
                          </w:rPr>
                        </w:pPr>
                        <w:r>
                          <w:rPr>
                            <w:rFonts w:ascii="Times New Roman"/>
                            <w:sz w:val="21"/>
                          </w:rPr>
                          <w:t>DA001</w:t>
                        </w:r>
                      </w:p>
                    </w:tc>
                    <w:tc>
                      <w:tcPr>
                        <w:tcW w:w="2535" w:type="dxa"/>
                        <w:tcBorders>
                          <w:top w:val="single" w:color="000000" w:sz="4" w:space="0"/>
                          <w:left w:val="single" w:color="000000" w:sz="4" w:space="0"/>
                          <w:bottom w:val="single" w:color="000000" w:sz="4" w:space="0"/>
                          <w:right w:val="nil"/>
                        </w:tcBorders>
                      </w:tcPr>
                      <w:p w14:paraId="25CF4986">
                        <w:pPr>
                          <w:pStyle w:val="17"/>
                          <w:spacing w:line="242" w:lineRule="auto"/>
                          <w:ind w:left="15" w:right="-15" w:firstLine="4"/>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58"/>
                            <w:sz w:val="21"/>
                          </w:rPr>
                          <w:t>》</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3"/>
                            <w:sz w:val="21"/>
                          </w:rPr>
                          <w:t>31572-2015</w:t>
                        </w:r>
                        <w:r>
                          <w:rPr>
                            <w:spacing w:val="-3"/>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4</w:t>
                        </w:r>
                        <w:r>
                          <w:rPr>
                            <w:rFonts w:ascii="Times New Roman" w:eastAsia="Times New Roman"/>
                            <w:spacing w:val="-26"/>
                            <w:sz w:val="21"/>
                          </w:rPr>
                          <w:t xml:space="preserve"> </w:t>
                        </w:r>
                        <w:r>
                          <w:rPr>
                            <w:sz w:val="21"/>
                          </w:rPr>
                          <w:t>标准限</w:t>
                        </w:r>
                      </w:p>
                      <w:p w14:paraId="2D9B1D85">
                        <w:pPr>
                          <w:pStyle w:val="17"/>
                          <w:spacing w:before="4" w:line="240" w:lineRule="exact"/>
                          <w:ind w:left="942" w:right="917"/>
                          <w:rPr>
                            <w:sz w:val="21"/>
                          </w:rPr>
                        </w:pPr>
                        <w:r>
                          <w:rPr>
                            <w:sz w:val="21"/>
                          </w:rPr>
                          <w:t>值要求</w:t>
                        </w:r>
                      </w:p>
                    </w:tc>
                  </w:tr>
                  <w:tr w14:paraId="020784B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2280AD6A">
                        <w:pPr>
                          <w:rPr>
                            <w:sz w:val="2"/>
                            <w:szCs w:val="2"/>
                          </w:rPr>
                        </w:pPr>
                      </w:p>
                    </w:tc>
                    <w:tc>
                      <w:tcPr>
                        <w:tcW w:w="1028" w:type="dxa"/>
                        <w:vMerge w:val="restart"/>
                        <w:tcBorders>
                          <w:top w:val="single" w:color="000000" w:sz="4" w:space="0"/>
                          <w:left w:val="single" w:color="000000" w:sz="4" w:space="0"/>
                          <w:bottom w:val="single" w:color="000000" w:sz="4" w:space="0"/>
                          <w:right w:val="single" w:color="000000" w:sz="4" w:space="0"/>
                        </w:tcBorders>
                      </w:tcPr>
                      <w:p w14:paraId="56EDB5BA">
                        <w:pPr>
                          <w:pStyle w:val="17"/>
                          <w:jc w:val="left"/>
                          <w:rPr>
                            <w:sz w:val="22"/>
                          </w:rPr>
                        </w:pPr>
                      </w:p>
                      <w:p w14:paraId="73707EF4">
                        <w:pPr>
                          <w:pStyle w:val="17"/>
                          <w:jc w:val="left"/>
                          <w:rPr>
                            <w:sz w:val="22"/>
                          </w:rPr>
                        </w:pPr>
                      </w:p>
                      <w:p w14:paraId="1E9AF3DC">
                        <w:pPr>
                          <w:pStyle w:val="17"/>
                          <w:spacing w:before="3"/>
                          <w:jc w:val="left"/>
                          <w:rPr>
                            <w:sz w:val="32"/>
                          </w:rPr>
                        </w:pPr>
                      </w:p>
                      <w:p w14:paraId="170FD044">
                        <w:pPr>
                          <w:pStyle w:val="17"/>
                          <w:ind w:left="214"/>
                          <w:jc w:val="left"/>
                          <w:rPr>
                            <w:rFonts w:ascii="Times New Roman"/>
                            <w:sz w:val="21"/>
                          </w:rPr>
                        </w:pPr>
                        <w:r>
                          <w:rPr>
                            <w:rFonts w:ascii="Times New Roman"/>
                            <w:sz w:val="21"/>
                          </w:rPr>
                          <w:t>DA002</w:t>
                        </w:r>
                      </w:p>
                    </w:tc>
                    <w:tc>
                      <w:tcPr>
                        <w:tcW w:w="1170" w:type="dxa"/>
                        <w:vMerge w:val="restart"/>
                        <w:tcBorders>
                          <w:top w:val="single" w:color="000000" w:sz="4" w:space="0"/>
                          <w:left w:val="single" w:color="000000" w:sz="4" w:space="0"/>
                          <w:bottom w:val="single" w:color="000000" w:sz="4" w:space="0"/>
                          <w:right w:val="single" w:color="000000" w:sz="4" w:space="0"/>
                        </w:tcBorders>
                      </w:tcPr>
                      <w:p w14:paraId="7A68A1EA">
                        <w:pPr>
                          <w:pStyle w:val="17"/>
                          <w:jc w:val="left"/>
                          <w:rPr>
                            <w:sz w:val="20"/>
                          </w:rPr>
                        </w:pPr>
                      </w:p>
                      <w:p w14:paraId="5EB4F048">
                        <w:pPr>
                          <w:pStyle w:val="17"/>
                          <w:jc w:val="left"/>
                          <w:rPr>
                            <w:sz w:val="20"/>
                          </w:rPr>
                        </w:pPr>
                      </w:p>
                      <w:p w14:paraId="40A0B074">
                        <w:pPr>
                          <w:pStyle w:val="17"/>
                          <w:jc w:val="left"/>
                          <w:rPr>
                            <w:sz w:val="20"/>
                          </w:rPr>
                        </w:pPr>
                      </w:p>
                      <w:p w14:paraId="43051A28">
                        <w:pPr>
                          <w:pStyle w:val="17"/>
                          <w:spacing w:before="2"/>
                          <w:jc w:val="left"/>
                          <w:rPr>
                            <w:sz w:val="15"/>
                          </w:rPr>
                        </w:pPr>
                      </w:p>
                      <w:p w14:paraId="0B526D52">
                        <w:pPr>
                          <w:pStyle w:val="17"/>
                          <w:ind w:left="69"/>
                          <w:jc w:val="left"/>
                          <w:rPr>
                            <w:sz w:val="21"/>
                          </w:rPr>
                        </w:pPr>
                        <w:r>
                          <w:rPr>
                            <w:sz w:val="21"/>
                          </w:rPr>
                          <w:t>一般排放口</w:t>
                        </w:r>
                      </w:p>
                    </w:tc>
                    <w:tc>
                      <w:tcPr>
                        <w:tcW w:w="2272" w:type="dxa"/>
                        <w:vMerge w:val="restart"/>
                        <w:tcBorders>
                          <w:top w:val="single" w:color="000000" w:sz="4" w:space="0"/>
                          <w:left w:val="single" w:color="000000" w:sz="4" w:space="0"/>
                          <w:bottom w:val="single" w:color="000000" w:sz="4" w:space="0"/>
                          <w:right w:val="single" w:color="000000" w:sz="4" w:space="0"/>
                        </w:tcBorders>
                      </w:tcPr>
                      <w:p w14:paraId="3D4AC9A1">
                        <w:pPr>
                          <w:pStyle w:val="17"/>
                          <w:jc w:val="left"/>
                          <w:rPr>
                            <w:sz w:val="20"/>
                          </w:rPr>
                        </w:pPr>
                      </w:p>
                      <w:p w14:paraId="3A3B92A5">
                        <w:pPr>
                          <w:pStyle w:val="17"/>
                          <w:jc w:val="left"/>
                          <w:rPr>
                            <w:sz w:val="20"/>
                          </w:rPr>
                        </w:pPr>
                      </w:p>
                      <w:p w14:paraId="16490929">
                        <w:pPr>
                          <w:pStyle w:val="17"/>
                          <w:jc w:val="left"/>
                          <w:rPr>
                            <w:sz w:val="20"/>
                          </w:rPr>
                        </w:pPr>
                      </w:p>
                      <w:p w14:paraId="79FA9776">
                        <w:pPr>
                          <w:pStyle w:val="17"/>
                          <w:spacing w:before="2"/>
                          <w:jc w:val="left"/>
                          <w:rPr>
                            <w:sz w:val="15"/>
                          </w:rPr>
                        </w:pPr>
                      </w:p>
                      <w:p w14:paraId="3EE6845A">
                        <w:pPr>
                          <w:pStyle w:val="17"/>
                          <w:ind w:left="15" w:right="-15"/>
                          <w:jc w:val="left"/>
                          <w:rPr>
                            <w:sz w:val="21"/>
                          </w:rPr>
                        </w:pPr>
                        <w:r>
                          <w:rPr>
                            <w:spacing w:val="-7"/>
                            <w:w w:val="95"/>
                            <w:sz w:val="21"/>
                          </w:rPr>
                          <w:t>挤出造粒、挤出注塑废气</w:t>
                        </w:r>
                      </w:p>
                    </w:tc>
                    <w:tc>
                      <w:tcPr>
                        <w:tcW w:w="1073" w:type="dxa"/>
                        <w:tcBorders>
                          <w:top w:val="single" w:color="000000" w:sz="4" w:space="0"/>
                          <w:left w:val="single" w:color="000000" w:sz="4" w:space="0"/>
                          <w:bottom w:val="single" w:color="000000" w:sz="4" w:space="0"/>
                          <w:right w:val="single" w:color="000000" w:sz="4" w:space="0"/>
                        </w:tcBorders>
                      </w:tcPr>
                      <w:p w14:paraId="0D0962C6">
                        <w:pPr>
                          <w:pStyle w:val="17"/>
                          <w:spacing w:before="10" w:line="262" w:lineRule="exact"/>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5655F50A">
                        <w:pPr>
                          <w:pStyle w:val="17"/>
                          <w:spacing w:before="24"/>
                          <w:ind w:left="64" w:right="36"/>
                          <w:rPr>
                            <w:rFonts w:ascii="Times New Roman"/>
                            <w:sz w:val="21"/>
                          </w:rPr>
                        </w:pPr>
                        <w:r>
                          <w:rPr>
                            <w:rFonts w:ascii="Times New Roman"/>
                            <w:sz w:val="21"/>
                          </w:rPr>
                          <w:t>0.27</w:t>
                        </w:r>
                      </w:p>
                    </w:tc>
                    <w:tc>
                      <w:tcPr>
                        <w:tcW w:w="1394" w:type="dxa"/>
                        <w:tcBorders>
                          <w:top w:val="single" w:color="000000" w:sz="4" w:space="0"/>
                          <w:left w:val="single" w:color="000000" w:sz="4" w:space="0"/>
                          <w:bottom w:val="single" w:color="000000" w:sz="4" w:space="0"/>
                          <w:right w:val="single" w:color="000000" w:sz="4" w:space="0"/>
                        </w:tcBorders>
                      </w:tcPr>
                      <w:p w14:paraId="2D37EC8F">
                        <w:pPr>
                          <w:pStyle w:val="17"/>
                          <w:spacing w:before="24"/>
                          <w:ind w:left="212" w:right="184"/>
                          <w:rPr>
                            <w:rFonts w:ascii="Times New Roman"/>
                            <w:sz w:val="21"/>
                          </w:rPr>
                        </w:pPr>
                        <w:r>
                          <w:rPr>
                            <w:rFonts w:ascii="Times New Roman"/>
                            <w:sz w:val="21"/>
                          </w:rPr>
                          <w:t>0.020</w:t>
                        </w:r>
                      </w:p>
                    </w:tc>
                    <w:tc>
                      <w:tcPr>
                        <w:tcW w:w="1263" w:type="dxa"/>
                        <w:vMerge w:val="restart"/>
                        <w:tcBorders>
                          <w:top w:val="single" w:color="000000" w:sz="4" w:space="0"/>
                          <w:left w:val="single" w:color="000000" w:sz="4" w:space="0"/>
                          <w:bottom w:val="single" w:color="000000" w:sz="4" w:space="0"/>
                        </w:tcBorders>
                      </w:tcPr>
                      <w:p w14:paraId="2629FE6C">
                        <w:pPr>
                          <w:pStyle w:val="17"/>
                          <w:jc w:val="left"/>
                          <w:rPr>
                            <w:sz w:val="20"/>
                          </w:rPr>
                        </w:pPr>
                      </w:p>
                      <w:p w14:paraId="57BE7959">
                        <w:pPr>
                          <w:pStyle w:val="17"/>
                          <w:jc w:val="left"/>
                          <w:rPr>
                            <w:sz w:val="20"/>
                          </w:rPr>
                        </w:pPr>
                      </w:p>
                      <w:p w14:paraId="605778F6">
                        <w:pPr>
                          <w:pStyle w:val="17"/>
                          <w:spacing w:before="12"/>
                          <w:jc w:val="left"/>
                          <w:rPr>
                            <w:sz w:val="22"/>
                          </w:rPr>
                        </w:pPr>
                      </w:p>
                      <w:p w14:paraId="455309D9">
                        <w:pPr>
                          <w:pStyle w:val="17"/>
                          <w:spacing w:line="278" w:lineRule="auto"/>
                          <w:ind w:left="215" w:right="82" w:hanging="106"/>
                          <w:jc w:val="left"/>
                          <w:rPr>
                            <w:sz w:val="21"/>
                          </w:rPr>
                        </w:pPr>
                        <w:r>
                          <w:rPr>
                            <w:sz w:val="21"/>
                          </w:rPr>
                          <w:t>密闭负压集气罩收集</w:t>
                        </w:r>
                      </w:p>
                    </w:tc>
                    <w:tc>
                      <w:tcPr>
                        <w:tcW w:w="1272" w:type="dxa"/>
                        <w:vMerge w:val="restart"/>
                        <w:tcBorders>
                          <w:top w:val="single" w:color="000000" w:sz="4" w:space="0"/>
                          <w:bottom w:val="single" w:color="000000" w:sz="4" w:space="0"/>
                          <w:right w:val="single" w:color="000000" w:sz="4" w:space="0"/>
                        </w:tcBorders>
                      </w:tcPr>
                      <w:p w14:paraId="6085B637">
                        <w:pPr>
                          <w:pStyle w:val="17"/>
                          <w:spacing w:before="5"/>
                          <w:jc w:val="left"/>
                          <w:rPr>
                            <w:sz w:val="26"/>
                          </w:rPr>
                        </w:pPr>
                      </w:p>
                      <w:p w14:paraId="7213BD58">
                        <w:pPr>
                          <w:pStyle w:val="17"/>
                          <w:spacing w:before="1" w:line="280" w:lineRule="auto"/>
                          <w:ind w:left="55" w:right="25"/>
                          <w:rPr>
                            <w:rFonts w:ascii="Times New Roman" w:eastAsia="Times New Roman"/>
                            <w:sz w:val="21"/>
                          </w:rPr>
                        </w:pPr>
                        <w:r>
                          <w:rPr>
                            <w:sz w:val="21"/>
                          </w:rPr>
                          <w:t>布袋除尘器</w:t>
                        </w:r>
                        <w:r>
                          <w:rPr>
                            <w:rFonts w:ascii="Times New Roman" w:eastAsia="Times New Roman"/>
                            <w:sz w:val="21"/>
                          </w:rPr>
                          <w:t>+</w:t>
                        </w:r>
                        <w:r>
                          <w:rPr>
                            <w:w w:val="95"/>
                            <w:sz w:val="21"/>
                          </w:rPr>
                          <w:t>过滤棉</w:t>
                        </w:r>
                        <w:r>
                          <w:rPr>
                            <w:rFonts w:ascii="Times New Roman" w:eastAsia="Times New Roman"/>
                            <w:w w:val="95"/>
                            <w:sz w:val="21"/>
                          </w:rPr>
                          <w:t>+</w:t>
                        </w:r>
                        <w:r>
                          <w:rPr>
                            <w:w w:val="95"/>
                            <w:sz w:val="21"/>
                          </w:rPr>
                          <w:t>二级</w:t>
                        </w:r>
                        <w:r>
                          <w:rPr>
                            <w:sz w:val="21"/>
                          </w:rPr>
                          <w:t>活性炭</w:t>
                        </w:r>
                        <w:r>
                          <w:rPr>
                            <w:rFonts w:ascii="Times New Roman" w:eastAsia="Times New Roman"/>
                            <w:sz w:val="21"/>
                          </w:rPr>
                          <w:t xml:space="preserve">+15m </w:t>
                        </w:r>
                        <w:r>
                          <w:rPr>
                            <w:sz w:val="21"/>
                          </w:rPr>
                          <w:t>排气筒</w:t>
                        </w:r>
                        <w:r>
                          <w:rPr>
                            <w:rFonts w:ascii="Times New Roman" w:eastAsia="Times New Roman"/>
                            <w:sz w:val="21"/>
                          </w:rPr>
                          <w:t>DA002</w:t>
                        </w:r>
                      </w:p>
                    </w:tc>
                    <w:tc>
                      <w:tcPr>
                        <w:tcW w:w="2535" w:type="dxa"/>
                        <w:vMerge w:val="restart"/>
                        <w:tcBorders>
                          <w:top w:val="single" w:color="000000" w:sz="4" w:space="0"/>
                          <w:left w:val="single" w:color="000000" w:sz="4" w:space="0"/>
                          <w:right w:val="nil"/>
                        </w:tcBorders>
                      </w:tcPr>
                      <w:p w14:paraId="475A010C">
                        <w:pPr>
                          <w:pStyle w:val="17"/>
                          <w:spacing w:before="10" w:line="278" w:lineRule="auto"/>
                          <w:ind w:left="15" w:right="-15" w:firstLine="4"/>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58"/>
                            <w:sz w:val="21"/>
                          </w:rPr>
                          <w:t>》</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3"/>
                            <w:sz w:val="21"/>
                          </w:rPr>
                          <w:t>31572-2015</w:t>
                        </w:r>
                        <w:r>
                          <w:rPr>
                            <w:spacing w:val="-3"/>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4</w:t>
                        </w:r>
                        <w:r>
                          <w:rPr>
                            <w:rFonts w:ascii="Times New Roman" w:eastAsia="Times New Roman"/>
                            <w:spacing w:val="-26"/>
                            <w:sz w:val="21"/>
                          </w:rPr>
                          <w:t xml:space="preserve"> </w:t>
                        </w:r>
                        <w:r>
                          <w:rPr>
                            <w:sz w:val="21"/>
                          </w:rPr>
                          <w:t>标准限</w:t>
                        </w:r>
                      </w:p>
                      <w:p w14:paraId="2F896EB8">
                        <w:pPr>
                          <w:pStyle w:val="17"/>
                          <w:spacing w:line="266" w:lineRule="exact"/>
                          <w:ind w:left="942" w:right="917"/>
                          <w:rPr>
                            <w:sz w:val="21"/>
                          </w:rPr>
                        </w:pPr>
                        <w:r>
                          <w:rPr>
                            <w:sz w:val="21"/>
                          </w:rPr>
                          <w:t>值要求</w:t>
                        </w:r>
                      </w:p>
                    </w:tc>
                  </w:tr>
                  <w:tr w14:paraId="3CD02C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10" w:hRule="atLeast"/>
                    </w:trPr>
                    <w:tc>
                      <w:tcPr>
                        <w:tcW w:w="490" w:type="dxa"/>
                        <w:vMerge w:val="continue"/>
                        <w:tcBorders>
                          <w:top w:val="nil"/>
                          <w:left w:val="nil"/>
                          <w:right w:val="single" w:color="000000" w:sz="4" w:space="0"/>
                        </w:tcBorders>
                      </w:tcPr>
                      <w:p w14:paraId="3FB2ECE0">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3B80A4E6">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721178EE">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316DA0E4">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0842EF57">
                        <w:pPr>
                          <w:pStyle w:val="17"/>
                          <w:spacing w:before="9"/>
                          <w:jc w:val="left"/>
                          <w:rPr>
                            <w:sz w:val="24"/>
                          </w:rPr>
                        </w:pPr>
                      </w:p>
                      <w:p w14:paraId="4A01BD3B">
                        <w:pPr>
                          <w:pStyle w:val="17"/>
                          <w:ind w:left="20" w:right="-15"/>
                          <w:rPr>
                            <w:sz w:val="21"/>
                          </w:rPr>
                        </w:pPr>
                        <w:r>
                          <w:rPr>
                            <w:sz w:val="21"/>
                          </w:rPr>
                          <w:t>非甲烷总烃</w:t>
                        </w:r>
                      </w:p>
                    </w:tc>
                    <w:tc>
                      <w:tcPr>
                        <w:tcW w:w="1654" w:type="dxa"/>
                        <w:tcBorders>
                          <w:top w:val="single" w:color="000000" w:sz="4" w:space="0"/>
                          <w:left w:val="single" w:color="000000" w:sz="4" w:space="0"/>
                          <w:bottom w:val="single" w:color="000000" w:sz="4" w:space="0"/>
                          <w:right w:val="single" w:color="000000" w:sz="4" w:space="0"/>
                        </w:tcBorders>
                      </w:tcPr>
                      <w:p w14:paraId="24343F30">
                        <w:pPr>
                          <w:pStyle w:val="17"/>
                          <w:spacing w:before="10"/>
                          <w:jc w:val="left"/>
                          <w:rPr>
                            <w:sz w:val="25"/>
                          </w:rPr>
                        </w:pPr>
                      </w:p>
                      <w:p w14:paraId="1FB44F73">
                        <w:pPr>
                          <w:pStyle w:val="17"/>
                          <w:ind w:left="64" w:right="36"/>
                          <w:rPr>
                            <w:rFonts w:ascii="Times New Roman"/>
                            <w:sz w:val="21"/>
                          </w:rPr>
                        </w:pPr>
                        <w:r>
                          <w:rPr>
                            <w:rFonts w:ascii="Times New Roman"/>
                            <w:sz w:val="21"/>
                          </w:rPr>
                          <w:t>52.3</w:t>
                        </w:r>
                      </w:p>
                    </w:tc>
                    <w:tc>
                      <w:tcPr>
                        <w:tcW w:w="1394" w:type="dxa"/>
                        <w:tcBorders>
                          <w:top w:val="single" w:color="000000" w:sz="4" w:space="0"/>
                          <w:left w:val="single" w:color="000000" w:sz="4" w:space="0"/>
                          <w:right w:val="single" w:color="000000" w:sz="4" w:space="0"/>
                        </w:tcBorders>
                      </w:tcPr>
                      <w:p w14:paraId="6A4DAB31">
                        <w:pPr>
                          <w:pStyle w:val="17"/>
                          <w:spacing w:before="10"/>
                          <w:jc w:val="left"/>
                          <w:rPr>
                            <w:sz w:val="25"/>
                          </w:rPr>
                        </w:pPr>
                      </w:p>
                      <w:p w14:paraId="751935A7">
                        <w:pPr>
                          <w:pStyle w:val="17"/>
                          <w:ind w:left="212" w:right="184"/>
                          <w:rPr>
                            <w:rFonts w:ascii="Times New Roman"/>
                            <w:sz w:val="21"/>
                          </w:rPr>
                        </w:pPr>
                        <w:r>
                          <w:rPr>
                            <w:rFonts w:ascii="Times New Roman"/>
                            <w:sz w:val="21"/>
                          </w:rPr>
                          <w:t>3.769</w:t>
                        </w:r>
                      </w:p>
                    </w:tc>
                    <w:tc>
                      <w:tcPr>
                        <w:tcW w:w="1263" w:type="dxa"/>
                        <w:vMerge w:val="continue"/>
                        <w:tcBorders>
                          <w:top w:val="nil"/>
                          <w:left w:val="single" w:color="000000" w:sz="4" w:space="0"/>
                          <w:bottom w:val="single" w:color="000000" w:sz="4" w:space="0"/>
                        </w:tcBorders>
                      </w:tcPr>
                      <w:p w14:paraId="6A12F34A">
                        <w:pPr>
                          <w:rPr>
                            <w:sz w:val="2"/>
                            <w:szCs w:val="2"/>
                          </w:rPr>
                        </w:pPr>
                      </w:p>
                    </w:tc>
                    <w:tc>
                      <w:tcPr>
                        <w:tcW w:w="1272" w:type="dxa"/>
                        <w:vMerge w:val="continue"/>
                        <w:tcBorders>
                          <w:top w:val="nil"/>
                          <w:bottom w:val="single" w:color="000000" w:sz="4" w:space="0"/>
                          <w:right w:val="single" w:color="000000" w:sz="4" w:space="0"/>
                        </w:tcBorders>
                      </w:tcPr>
                      <w:p w14:paraId="2AD9ABA6">
                        <w:pPr>
                          <w:rPr>
                            <w:sz w:val="2"/>
                            <w:szCs w:val="2"/>
                          </w:rPr>
                        </w:pPr>
                      </w:p>
                    </w:tc>
                    <w:tc>
                      <w:tcPr>
                        <w:tcW w:w="2535" w:type="dxa"/>
                        <w:vMerge w:val="continue"/>
                        <w:tcBorders>
                          <w:top w:val="nil"/>
                          <w:left w:val="single" w:color="000000" w:sz="4" w:space="0"/>
                          <w:right w:val="nil"/>
                        </w:tcBorders>
                      </w:tcPr>
                      <w:p w14:paraId="66442DE9">
                        <w:pPr>
                          <w:rPr>
                            <w:sz w:val="2"/>
                            <w:szCs w:val="2"/>
                          </w:rPr>
                        </w:pPr>
                      </w:p>
                    </w:tc>
                  </w:tr>
                  <w:tr w14:paraId="425A02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1" w:hRule="atLeast"/>
                    </w:trPr>
                    <w:tc>
                      <w:tcPr>
                        <w:tcW w:w="490" w:type="dxa"/>
                        <w:vMerge w:val="continue"/>
                        <w:tcBorders>
                          <w:top w:val="nil"/>
                          <w:left w:val="nil"/>
                          <w:right w:val="single" w:color="000000" w:sz="4" w:space="0"/>
                        </w:tcBorders>
                      </w:tcPr>
                      <w:p w14:paraId="3AB107B7">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30D955B6">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4BB0A6AF">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0B91CF19">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4FC42D8">
                        <w:pPr>
                          <w:pStyle w:val="17"/>
                          <w:spacing w:before="5"/>
                          <w:jc w:val="left"/>
                          <w:rPr>
                            <w:sz w:val="26"/>
                          </w:rPr>
                        </w:pPr>
                      </w:p>
                      <w:p w14:paraId="03C5270E">
                        <w:pPr>
                          <w:pStyle w:val="17"/>
                          <w:ind w:left="105" w:right="78"/>
                          <w:rPr>
                            <w:sz w:val="21"/>
                          </w:rPr>
                        </w:pPr>
                        <w:r>
                          <w:rPr>
                            <w:sz w:val="21"/>
                          </w:rPr>
                          <w:t>臭气浓度</w:t>
                        </w:r>
                      </w:p>
                    </w:tc>
                    <w:tc>
                      <w:tcPr>
                        <w:tcW w:w="1654" w:type="dxa"/>
                        <w:tcBorders>
                          <w:top w:val="single" w:color="000000" w:sz="4" w:space="0"/>
                          <w:left w:val="single" w:color="000000" w:sz="4" w:space="0"/>
                          <w:bottom w:val="single" w:color="000000" w:sz="4" w:space="0"/>
                          <w:right w:val="single" w:color="000000" w:sz="4" w:space="0"/>
                        </w:tcBorders>
                      </w:tcPr>
                      <w:p w14:paraId="6A07F850">
                        <w:pPr>
                          <w:pStyle w:val="17"/>
                          <w:spacing w:before="5"/>
                          <w:jc w:val="left"/>
                          <w:rPr>
                            <w:sz w:val="26"/>
                          </w:rPr>
                        </w:pPr>
                      </w:p>
                      <w:p w14:paraId="499AE2BD">
                        <w:pPr>
                          <w:pStyle w:val="17"/>
                          <w:ind w:left="13" w:right="-58"/>
                          <w:rPr>
                            <w:sz w:val="21"/>
                          </w:rPr>
                        </w:pPr>
                        <w:r>
                          <w:rPr>
                            <w:sz w:val="21"/>
                          </w:rPr>
                          <w:t>＜</w:t>
                        </w:r>
                        <w:r>
                          <w:rPr>
                            <w:rFonts w:ascii="Times New Roman" w:eastAsia="Times New Roman"/>
                            <w:sz w:val="21"/>
                          </w:rPr>
                          <w:t>2000</w:t>
                        </w:r>
                        <w:r>
                          <w:rPr>
                            <w:sz w:val="21"/>
                          </w:rPr>
                          <w:t>（无量纲）</w:t>
                        </w:r>
                      </w:p>
                    </w:tc>
                    <w:tc>
                      <w:tcPr>
                        <w:tcW w:w="1394" w:type="dxa"/>
                        <w:tcBorders>
                          <w:left w:val="single" w:color="000000" w:sz="4" w:space="0"/>
                          <w:right w:val="single" w:color="000000" w:sz="4" w:space="0"/>
                        </w:tcBorders>
                      </w:tcPr>
                      <w:p w14:paraId="7C8EE210">
                        <w:pPr>
                          <w:pStyle w:val="17"/>
                          <w:spacing w:before="6"/>
                          <w:jc w:val="left"/>
                          <w:rPr>
                            <w:sz w:val="27"/>
                          </w:rPr>
                        </w:pPr>
                      </w:p>
                      <w:p w14:paraId="095A08E6">
                        <w:pPr>
                          <w:pStyle w:val="17"/>
                          <w:ind w:left="29"/>
                          <w:rPr>
                            <w:rFonts w:ascii="Times New Roman"/>
                            <w:sz w:val="21"/>
                          </w:rPr>
                        </w:pPr>
                        <w:r>
                          <w:rPr>
                            <w:rFonts w:ascii="Times New Roman"/>
                            <w:w w:val="99"/>
                            <w:sz w:val="21"/>
                          </w:rPr>
                          <w:t>/</w:t>
                        </w:r>
                      </w:p>
                    </w:tc>
                    <w:tc>
                      <w:tcPr>
                        <w:tcW w:w="1263" w:type="dxa"/>
                        <w:vMerge w:val="continue"/>
                        <w:tcBorders>
                          <w:top w:val="nil"/>
                          <w:left w:val="single" w:color="000000" w:sz="4" w:space="0"/>
                          <w:bottom w:val="single" w:color="000000" w:sz="4" w:space="0"/>
                        </w:tcBorders>
                      </w:tcPr>
                      <w:p w14:paraId="3194BD2B">
                        <w:pPr>
                          <w:rPr>
                            <w:sz w:val="2"/>
                            <w:szCs w:val="2"/>
                          </w:rPr>
                        </w:pPr>
                      </w:p>
                    </w:tc>
                    <w:tc>
                      <w:tcPr>
                        <w:tcW w:w="1272" w:type="dxa"/>
                        <w:vMerge w:val="continue"/>
                        <w:tcBorders>
                          <w:top w:val="nil"/>
                          <w:bottom w:val="single" w:color="000000" w:sz="4" w:space="0"/>
                          <w:right w:val="single" w:color="000000" w:sz="4" w:space="0"/>
                        </w:tcBorders>
                      </w:tcPr>
                      <w:p w14:paraId="30087173">
                        <w:pPr>
                          <w:rPr>
                            <w:sz w:val="2"/>
                            <w:szCs w:val="2"/>
                          </w:rPr>
                        </w:pPr>
                      </w:p>
                    </w:tc>
                    <w:tc>
                      <w:tcPr>
                        <w:tcW w:w="2535" w:type="dxa"/>
                        <w:tcBorders>
                          <w:left w:val="single" w:color="000000" w:sz="4" w:space="0"/>
                          <w:right w:val="nil"/>
                        </w:tcBorders>
                      </w:tcPr>
                      <w:p w14:paraId="2D717225">
                        <w:pPr>
                          <w:pStyle w:val="17"/>
                          <w:spacing w:before="26"/>
                          <w:ind w:left="123"/>
                          <w:jc w:val="left"/>
                          <w:rPr>
                            <w:sz w:val="21"/>
                          </w:rPr>
                        </w:pPr>
                        <w:r>
                          <w:rPr>
                            <w:sz w:val="21"/>
                          </w:rPr>
                          <w:t>《恶臭污染物排放标准》</w:t>
                        </w:r>
                      </w:p>
                      <w:p w14:paraId="2025129D">
                        <w:pPr>
                          <w:pStyle w:val="17"/>
                          <w:spacing w:before="2" w:line="310" w:lineRule="atLeast"/>
                          <w:ind w:left="15" w:right="-15"/>
                          <w:rPr>
                            <w:sz w:val="21"/>
                          </w:rPr>
                        </w:pPr>
                        <w:r>
                          <w:rPr>
                            <w:spacing w:val="-4"/>
                            <w:sz w:val="21"/>
                          </w:rPr>
                          <w:t>（</w:t>
                        </w:r>
                        <w:r>
                          <w:rPr>
                            <w:rFonts w:ascii="Times New Roman" w:eastAsia="Times New Roman"/>
                            <w:spacing w:val="-4"/>
                            <w:sz w:val="21"/>
                          </w:rPr>
                          <w:t>GB14554-93</w:t>
                        </w:r>
                        <w:r>
                          <w:rPr>
                            <w:spacing w:val="-4"/>
                            <w:sz w:val="21"/>
                          </w:rPr>
                          <w:t>）</w:t>
                        </w:r>
                        <w:r>
                          <w:rPr>
                            <w:spacing w:val="-26"/>
                            <w:sz w:val="21"/>
                          </w:rPr>
                          <w:t xml:space="preserve">表 </w:t>
                        </w:r>
                        <w:r>
                          <w:rPr>
                            <w:rFonts w:ascii="Times New Roman" w:eastAsia="Times New Roman"/>
                            <w:sz w:val="21"/>
                          </w:rPr>
                          <w:t>2</w:t>
                        </w:r>
                        <w:r>
                          <w:rPr>
                            <w:rFonts w:ascii="Times New Roman" w:eastAsia="Times New Roman"/>
                            <w:spacing w:val="1"/>
                            <w:sz w:val="21"/>
                          </w:rPr>
                          <w:t xml:space="preserve"> </w:t>
                        </w:r>
                        <w:r>
                          <w:rPr>
                            <w:sz w:val="21"/>
                          </w:rPr>
                          <w:t>标准要求</w:t>
                        </w:r>
                      </w:p>
                    </w:tc>
                  </w:tr>
                  <w:tr w14:paraId="447344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52" w:hRule="atLeast"/>
                    </w:trPr>
                    <w:tc>
                      <w:tcPr>
                        <w:tcW w:w="490" w:type="dxa"/>
                        <w:vMerge w:val="continue"/>
                        <w:tcBorders>
                          <w:top w:val="nil"/>
                          <w:left w:val="nil"/>
                          <w:right w:val="single" w:color="000000" w:sz="4" w:space="0"/>
                        </w:tcBorders>
                      </w:tcPr>
                      <w:p w14:paraId="0BDD90D3">
                        <w:pPr>
                          <w:rPr>
                            <w:sz w:val="2"/>
                            <w:szCs w:val="2"/>
                          </w:rPr>
                        </w:pPr>
                      </w:p>
                    </w:tc>
                    <w:tc>
                      <w:tcPr>
                        <w:tcW w:w="1028" w:type="dxa"/>
                        <w:vMerge w:val="restart"/>
                        <w:tcBorders>
                          <w:top w:val="single" w:color="000000" w:sz="4" w:space="0"/>
                          <w:left w:val="single" w:color="000000" w:sz="4" w:space="0"/>
                          <w:bottom w:val="single" w:color="000000" w:sz="4" w:space="0"/>
                          <w:right w:val="single" w:color="000000" w:sz="4" w:space="0"/>
                        </w:tcBorders>
                      </w:tcPr>
                      <w:p w14:paraId="764E66A0">
                        <w:pPr>
                          <w:pStyle w:val="17"/>
                          <w:jc w:val="left"/>
                          <w:rPr>
                            <w:sz w:val="20"/>
                          </w:rPr>
                        </w:pPr>
                      </w:p>
                      <w:p w14:paraId="24C032C3">
                        <w:pPr>
                          <w:pStyle w:val="17"/>
                          <w:spacing w:before="2"/>
                          <w:jc w:val="left"/>
                          <w:rPr>
                            <w:sz w:val="20"/>
                          </w:rPr>
                        </w:pPr>
                      </w:p>
                      <w:p w14:paraId="110CF0E0">
                        <w:pPr>
                          <w:pStyle w:val="17"/>
                          <w:spacing w:line="278" w:lineRule="auto"/>
                          <w:ind w:left="14" w:right="-15" w:hanging="1"/>
                          <w:rPr>
                            <w:sz w:val="21"/>
                          </w:rPr>
                        </w:pPr>
                        <w:r>
                          <w:rPr>
                            <w:sz w:val="21"/>
                          </w:rPr>
                          <w:t xml:space="preserve">厂界无组 </w:t>
                        </w:r>
                        <w:r>
                          <w:rPr>
                            <w:spacing w:val="-32"/>
                            <w:w w:val="95"/>
                            <w:sz w:val="21"/>
                          </w:rPr>
                          <w:t>织</w:t>
                        </w:r>
                        <w:r>
                          <w:rPr>
                            <w:w w:val="95"/>
                            <w:sz w:val="21"/>
                          </w:rPr>
                          <w:t>（厂界上</w:t>
                        </w:r>
                        <w:r>
                          <w:rPr>
                            <w:spacing w:val="-8"/>
                            <w:w w:val="95"/>
                            <w:sz w:val="21"/>
                          </w:rPr>
                          <w:t>风向、厂界</w:t>
                        </w:r>
                        <w:r>
                          <w:rPr>
                            <w:spacing w:val="-8"/>
                            <w:sz w:val="21"/>
                          </w:rPr>
                          <w:t>下风向）</w:t>
                        </w:r>
                      </w:p>
                    </w:tc>
                    <w:tc>
                      <w:tcPr>
                        <w:tcW w:w="1170" w:type="dxa"/>
                        <w:vMerge w:val="restart"/>
                        <w:tcBorders>
                          <w:top w:val="single" w:color="000000" w:sz="4" w:space="0"/>
                          <w:left w:val="single" w:color="000000" w:sz="4" w:space="0"/>
                          <w:bottom w:val="single" w:color="000000" w:sz="4" w:space="0"/>
                          <w:right w:val="single" w:color="000000" w:sz="4" w:space="0"/>
                        </w:tcBorders>
                      </w:tcPr>
                      <w:p w14:paraId="544A37F0">
                        <w:pPr>
                          <w:pStyle w:val="17"/>
                          <w:jc w:val="left"/>
                          <w:rPr>
                            <w:sz w:val="22"/>
                          </w:rPr>
                        </w:pPr>
                      </w:p>
                      <w:p w14:paraId="27F3AA22">
                        <w:pPr>
                          <w:pStyle w:val="17"/>
                          <w:jc w:val="left"/>
                          <w:rPr>
                            <w:sz w:val="22"/>
                          </w:rPr>
                        </w:pPr>
                      </w:p>
                      <w:p w14:paraId="669275BD">
                        <w:pPr>
                          <w:pStyle w:val="17"/>
                          <w:jc w:val="left"/>
                          <w:rPr>
                            <w:sz w:val="22"/>
                          </w:rPr>
                        </w:pPr>
                      </w:p>
                      <w:p w14:paraId="3EA826D3">
                        <w:pPr>
                          <w:pStyle w:val="17"/>
                          <w:spacing w:before="151"/>
                          <w:ind w:left="30"/>
                          <w:rPr>
                            <w:rFonts w:ascii="Times New Roman"/>
                            <w:sz w:val="21"/>
                          </w:rPr>
                        </w:pPr>
                        <w:r>
                          <w:rPr>
                            <w:rFonts w:ascii="Times New Roman"/>
                            <w:w w:val="99"/>
                            <w:sz w:val="21"/>
                          </w:rPr>
                          <w:t>/</w:t>
                        </w:r>
                      </w:p>
                    </w:tc>
                    <w:tc>
                      <w:tcPr>
                        <w:tcW w:w="2272" w:type="dxa"/>
                        <w:vMerge w:val="restart"/>
                        <w:tcBorders>
                          <w:top w:val="single" w:color="000000" w:sz="4" w:space="0"/>
                          <w:left w:val="single" w:color="000000" w:sz="4" w:space="0"/>
                          <w:bottom w:val="single" w:color="000000" w:sz="4" w:space="0"/>
                          <w:right w:val="single" w:color="000000" w:sz="4" w:space="0"/>
                        </w:tcBorders>
                      </w:tcPr>
                      <w:p w14:paraId="0D8FD8BE">
                        <w:pPr>
                          <w:pStyle w:val="17"/>
                          <w:jc w:val="left"/>
                          <w:rPr>
                            <w:sz w:val="20"/>
                          </w:rPr>
                        </w:pPr>
                      </w:p>
                      <w:p w14:paraId="70A58AE4">
                        <w:pPr>
                          <w:pStyle w:val="17"/>
                          <w:jc w:val="left"/>
                          <w:rPr>
                            <w:sz w:val="20"/>
                          </w:rPr>
                        </w:pPr>
                      </w:p>
                      <w:p w14:paraId="71A6AD62">
                        <w:pPr>
                          <w:pStyle w:val="17"/>
                          <w:jc w:val="left"/>
                          <w:rPr>
                            <w:sz w:val="20"/>
                          </w:rPr>
                        </w:pPr>
                      </w:p>
                      <w:p w14:paraId="118E64E0">
                        <w:pPr>
                          <w:pStyle w:val="17"/>
                          <w:spacing w:before="9"/>
                          <w:jc w:val="left"/>
                          <w:rPr>
                            <w:sz w:val="16"/>
                          </w:rPr>
                        </w:pPr>
                      </w:p>
                      <w:p w14:paraId="7DF93503">
                        <w:pPr>
                          <w:pStyle w:val="17"/>
                          <w:ind w:left="725"/>
                          <w:jc w:val="left"/>
                          <w:rPr>
                            <w:sz w:val="21"/>
                          </w:rPr>
                        </w:pPr>
                        <w:r>
                          <w:rPr>
                            <w:sz w:val="21"/>
                          </w:rPr>
                          <w:t>生产车间</w:t>
                        </w:r>
                      </w:p>
                    </w:tc>
                    <w:tc>
                      <w:tcPr>
                        <w:tcW w:w="1073" w:type="dxa"/>
                        <w:tcBorders>
                          <w:top w:val="single" w:color="000000" w:sz="4" w:space="0"/>
                          <w:left w:val="single" w:color="000000" w:sz="4" w:space="0"/>
                          <w:bottom w:val="single" w:color="000000" w:sz="4" w:space="0"/>
                          <w:right w:val="single" w:color="000000" w:sz="4" w:space="0"/>
                        </w:tcBorders>
                      </w:tcPr>
                      <w:p w14:paraId="2129851D">
                        <w:pPr>
                          <w:pStyle w:val="17"/>
                          <w:jc w:val="left"/>
                          <w:rPr>
                            <w:sz w:val="20"/>
                          </w:rPr>
                        </w:pPr>
                      </w:p>
                      <w:p w14:paraId="630D23AA">
                        <w:pPr>
                          <w:pStyle w:val="17"/>
                          <w:spacing w:before="11"/>
                          <w:jc w:val="left"/>
                          <w:rPr>
                            <w:sz w:val="18"/>
                          </w:rPr>
                        </w:pPr>
                      </w:p>
                      <w:p w14:paraId="0D7B271C">
                        <w:pPr>
                          <w:pStyle w:val="17"/>
                          <w:ind w:left="103" w:right="78"/>
                          <w:rPr>
                            <w:sz w:val="21"/>
                          </w:rPr>
                        </w:pPr>
                        <w:r>
                          <w:rPr>
                            <w:sz w:val="21"/>
                          </w:rPr>
                          <w:t>颗粒物</w:t>
                        </w:r>
                      </w:p>
                    </w:tc>
                    <w:tc>
                      <w:tcPr>
                        <w:tcW w:w="1654" w:type="dxa"/>
                        <w:tcBorders>
                          <w:top w:val="single" w:color="000000" w:sz="4" w:space="0"/>
                          <w:left w:val="single" w:color="000000" w:sz="4" w:space="0"/>
                          <w:bottom w:val="single" w:color="000000" w:sz="4" w:space="0"/>
                          <w:right w:val="single" w:color="000000" w:sz="4" w:space="0"/>
                        </w:tcBorders>
                      </w:tcPr>
                      <w:p w14:paraId="135D59AE">
                        <w:pPr>
                          <w:pStyle w:val="17"/>
                          <w:jc w:val="left"/>
                          <w:rPr>
                            <w:sz w:val="22"/>
                          </w:rPr>
                        </w:pPr>
                      </w:p>
                      <w:p w14:paraId="13E5F8DB">
                        <w:pPr>
                          <w:pStyle w:val="17"/>
                          <w:spacing w:before="12"/>
                          <w:jc w:val="left"/>
                          <w:rPr>
                            <w:sz w:val="17"/>
                          </w:rPr>
                        </w:pPr>
                      </w:p>
                      <w:p w14:paraId="1149A60D">
                        <w:pPr>
                          <w:pStyle w:val="17"/>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18BC163D">
                        <w:pPr>
                          <w:pStyle w:val="17"/>
                          <w:jc w:val="left"/>
                          <w:rPr>
                            <w:sz w:val="22"/>
                          </w:rPr>
                        </w:pPr>
                      </w:p>
                      <w:p w14:paraId="58274688">
                        <w:pPr>
                          <w:pStyle w:val="17"/>
                          <w:spacing w:before="12"/>
                          <w:jc w:val="left"/>
                          <w:rPr>
                            <w:sz w:val="17"/>
                          </w:rPr>
                        </w:pPr>
                      </w:p>
                      <w:p w14:paraId="776C0422">
                        <w:pPr>
                          <w:pStyle w:val="17"/>
                          <w:ind w:left="212" w:right="184"/>
                          <w:rPr>
                            <w:rFonts w:ascii="Times New Roman"/>
                            <w:sz w:val="21"/>
                          </w:rPr>
                        </w:pPr>
                        <w:r>
                          <w:rPr>
                            <w:rFonts w:ascii="Times New Roman"/>
                            <w:sz w:val="21"/>
                          </w:rPr>
                          <w:t>0.308</w:t>
                        </w:r>
                      </w:p>
                    </w:tc>
                    <w:tc>
                      <w:tcPr>
                        <w:tcW w:w="2535" w:type="dxa"/>
                        <w:gridSpan w:val="2"/>
                        <w:vMerge w:val="restart"/>
                        <w:tcBorders>
                          <w:top w:val="single" w:color="000000" w:sz="4" w:space="0"/>
                          <w:left w:val="single" w:color="000000" w:sz="4" w:space="0"/>
                          <w:bottom w:val="single" w:color="000000" w:sz="4" w:space="0"/>
                          <w:right w:val="single" w:color="000000" w:sz="4" w:space="0"/>
                        </w:tcBorders>
                      </w:tcPr>
                      <w:p w14:paraId="49CC7F00">
                        <w:pPr>
                          <w:pStyle w:val="17"/>
                          <w:jc w:val="left"/>
                          <w:rPr>
                            <w:sz w:val="20"/>
                          </w:rPr>
                        </w:pPr>
                      </w:p>
                      <w:p w14:paraId="254871E4">
                        <w:pPr>
                          <w:pStyle w:val="17"/>
                          <w:jc w:val="left"/>
                          <w:rPr>
                            <w:sz w:val="20"/>
                          </w:rPr>
                        </w:pPr>
                      </w:p>
                      <w:p w14:paraId="7412F1F8">
                        <w:pPr>
                          <w:pStyle w:val="17"/>
                          <w:jc w:val="left"/>
                          <w:rPr>
                            <w:sz w:val="20"/>
                          </w:rPr>
                        </w:pPr>
                      </w:p>
                      <w:p w14:paraId="74640A38">
                        <w:pPr>
                          <w:pStyle w:val="17"/>
                          <w:spacing w:before="9"/>
                          <w:jc w:val="left"/>
                          <w:rPr>
                            <w:sz w:val="16"/>
                          </w:rPr>
                        </w:pPr>
                      </w:p>
                      <w:p w14:paraId="34D9BE1E">
                        <w:pPr>
                          <w:pStyle w:val="17"/>
                          <w:ind w:left="855"/>
                          <w:jc w:val="left"/>
                          <w:rPr>
                            <w:sz w:val="21"/>
                          </w:rPr>
                        </w:pPr>
                        <w:r>
                          <w:rPr>
                            <w:sz w:val="21"/>
                          </w:rPr>
                          <w:t>加强收集</w:t>
                        </w:r>
                      </w:p>
                    </w:tc>
                    <w:tc>
                      <w:tcPr>
                        <w:tcW w:w="2535" w:type="dxa"/>
                        <w:tcBorders>
                          <w:left w:val="single" w:color="000000" w:sz="4" w:space="0"/>
                          <w:right w:val="nil"/>
                        </w:tcBorders>
                      </w:tcPr>
                      <w:p w14:paraId="3A443B8D">
                        <w:pPr>
                          <w:pStyle w:val="17"/>
                          <w:spacing w:before="30" w:line="278" w:lineRule="auto"/>
                          <w:ind w:left="15" w:right="-15" w:firstLine="4"/>
                          <w:jc w:val="both"/>
                          <w:rPr>
                            <w:sz w:val="21"/>
                          </w:rPr>
                        </w:pPr>
                        <w:r>
                          <w:rPr>
                            <w:sz w:val="21"/>
                          </w:rPr>
                          <w:t>《</w:t>
                        </w:r>
                        <w:r>
                          <w:fldChar w:fldCharType="begin"/>
                        </w:r>
                        <w:r>
                          <w:instrText xml:space="preserve"> HYPERLINK "https://www.mee.gov.cn/ywgz/fgbz/bz/bzwb/dqhjbh/dqgdwrywrwpfbz/201505/W020150506393371746579.pdf" \h </w:instrText>
                        </w:r>
                        <w:r>
                          <w:fldChar w:fldCharType="separate"/>
                        </w:r>
                        <w:r>
                          <w:rPr>
                            <w:sz w:val="21"/>
                          </w:rPr>
                          <w:t>合成树脂工业污染物排放</w:t>
                        </w:r>
                        <w:r>
                          <w:rPr>
                            <w:sz w:val="21"/>
                          </w:rPr>
                          <w:fldChar w:fldCharType="end"/>
                        </w:r>
                        <w:r>
                          <w:fldChar w:fldCharType="begin"/>
                        </w:r>
                        <w:r>
                          <w:instrText xml:space="preserve"> HYPERLINK "https://www.mee.gov.cn/ywgz/fgbz/bz/bzwb/dqhjbh/dqgdwrywrwpfbz/201505/W020150506393371746579.pdf" \h </w:instrText>
                        </w:r>
                        <w:r>
                          <w:fldChar w:fldCharType="separate"/>
                        </w:r>
                        <w:r>
                          <w:rPr>
                            <w:sz w:val="21"/>
                          </w:rPr>
                          <w:t>标准</w:t>
                        </w:r>
                        <w:r>
                          <w:rPr>
                            <w:sz w:val="21"/>
                          </w:rPr>
                          <w:fldChar w:fldCharType="end"/>
                        </w:r>
                        <w:r>
                          <w:rPr>
                            <w:spacing w:val="-58"/>
                            <w:sz w:val="21"/>
                          </w:rPr>
                          <w:t>》</w:t>
                        </w:r>
                        <w:r>
                          <w:rPr>
                            <w:sz w:val="21"/>
                          </w:rPr>
                          <w:t>（</w:t>
                        </w:r>
                        <w:r>
                          <w:rPr>
                            <w:rFonts w:ascii="Times New Roman" w:eastAsia="Times New Roman"/>
                            <w:sz w:val="21"/>
                          </w:rPr>
                          <w:t>GB</w:t>
                        </w:r>
                        <w:r>
                          <w:rPr>
                            <w:rFonts w:ascii="Times New Roman" w:eastAsia="Times New Roman"/>
                            <w:spacing w:val="5"/>
                            <w:sz w:val="21"/>
                          </w:rPr>
                          <w:t xml:space="preserve"> </w:t>
                        </w:r>
                        <w:r>
                          <w:rPr>
                            <w:rFonts w:ascii="Times New Roman" w:eastAsia="Times New Roman"/>
                            <w:spacing w:val="-4"/>
                            <w:sz w:val="21"/>
                          </w:rPr>
                          <w:t>31572-2015</w:t>
                        </w:r>
                        <w:r>
                          <w:rPr>
                            <w:spacing w:val="-4"/>
                            <w:sz w:val="21"/>
                          </w:rPr>
                          <w:t>）</w:t>
                        </w:r>
                        <w:r>
                          <w:rPr>
                            <w:sz w:val="21"/>
                          </w:rPr>
                          <w:t>及</w:t>
                        </w:r>
                        <w:r>
                          <w:rPr>
                            <w:spacing w:val="26"/>
                            <w:sz w:val="21"/>
                          </w:rPr>
                          <w:t>其</w:t>
                        </w:r>
                        <w:r>
                          <w:rPr>
                            <w:rFonts w:ascii="Times New Roman" w:eastAsia="Times New Roman"/>
                            <w:sz w:val="21"/>
                          </w:rPr>
                          <w:t>2024</w:t>
                        </w:r>
                        <w:r>
                          <w:rPr>
                            <w:rFonts w:ascii="Times New Roman" w:eastAsia="Times New Roman"/>
                            <w:spacing w:val="-26"/>
                            <w:sz w:val="21"/>
                          </w:rPr>
                          <w:t xml:space="preserve"> </w:t>
                        </w:r>
                        <w:r>
                          <w:rPr>
                            <w:spacing w:val="5"/>
                            <w:sz w:val="21"/>
                          </w:rPr>
                          <w:t>年修改单表</w:t>
                        </w:r>
                        <w:r>
                          <w:rPr>
                            <w:rFonts w:ascii="Times New Roman" w:eastAsia="Times New Roman"/>
                            <w:sz w:val="21"/>
                          </w:rPr>
                          <w:t>9</w:t>
                        </w:r>
                        <w:r>
                          <w:rPr>
                            <w:rFonts w:ascii="Times New Roman" w:eastAsia="Times New Roman"/>
                            <w:spacing w:val="-26"/>
                            <w:sz w:val="21"/>
                          </w:rPr>
                          <w:t xml:space="preserve"> </w:t>
                        </w:r>
                        <w:r>
                          <w:rPr>
                            <w:sz w:val="21"/>
                          </w:rPr>
                          <w:t>企业边</w:t>
                        </w:r>
                      </w:p>
                      <w:p w14:paraId="7073E85B">
                        <w:pPr>
                          <w:pStyle w:val="17"/>
                          <w:spacing w:line="266" w:lineRule="exact"/>
                          <w:ind w:left="20"/>
                          <w:jc w:val="both"/>
                          <w:rPr>
                            <w:sz w:val="21"/>
                          </w:rPr>
                        </w:pPr>
                        <w:r>
                          <w:rPr>
                            <w:w w:val="95"/>
                            <w:sz w:val="21"/>
                          </w:rPr>
                          <w:t>界大气污染物浓度限值要求</w:t>
                        </w:r>
                      </w:p>
                    </w:tc>
                  </w:tr>
                  <w:tr w14:paraId="25BBD7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1" w:hRule="atLeast"/>
                    </w:trPr>
                    <w:tc>
                      <w:tcPr>
                        <w:tcW w:w="490" w:type="dxa"/>
                        <w:vMerge w:val="continue"/>
                        <w:tcBorders>
                          <w:top w:val="nil"/>
                          <w:left w:val="nil"/>
                          <w:right w:val="single" w:color="000000" w:sz="4" w:space="0"/>
                        </w:tcBorders>
                      </w:tcPr>
                      <w:p w14:paraId="46D3A89C">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5745AB89">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1BE2DEB3">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3861CBEE">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7AB200EF">
                        <w:pPr>
                          <w:pStyle w:val="17"/>
                          <w:spacing w:before="5"/>
                          <w:jc w:val="left"/>
                          <w:rPr>
                            <w:sz w:val="26"/>
                          </w:rPr>
                        </w:pPr>
                      </w:p>
                      <w:p w14:paraId="3D934217">
                        <w:pPr>
                          <w:pStyle w:val="17"/>
                          <w:ind w:left="105" w:right="78"/>
                          <w:rPr>
                            <w:sz w:val="21"/>
                          </w:rPr>
                        </w:pPr>
                        <w:r>
                          <w:rPr>
                            <w:sz w:val="21"/>
                          </w:rPr>
                          <w:t>臭气浓度</w:t>
                        </w:r>
                      </w:p>
                    </w:tc>
                    <w:tc>
                      <w:tcPr>
                        <w:tcW w:w="1654" w:type="dxa"/>
                        <w:tcBorders>
                          <w:top w:val="single" w:color="000000" w:sz="4" w:space="0"/>
                          <w:left w:val="single" w:color="000000" w:sz="4" w:space="0"/>
                          <w:bottom w:val="single" w:color="000000" w:sz="4" w:space="0"/>
                          <w:right w:val="single" w:color="000000" w:sz="4" w:space="0"/>
                        </w:tcBorders>
                      </w:tcPr>
                      <w:p w14:paraId="0AEEA96E">
                        <w:pPr>
                          <w:pStyle w:val="17"/>
                          <w:spacing w:before="6"/>
                          <w:jc w:val="left"/>
                          <w:rPr>
                            <w:sz w:val="27"/>
                          </w:rPr>
                        </w:pPr>
                      </w:p>
                      <w:p w14:paraId="63AA378C">
                        <w:pPr>
                          <w:pStyle w:val="17"/>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2B3E76D3">
                        <w:pPr>
                          <w:pStyle w:val="17"/>
                          <w:spacing w:before="6"/>
                          <w:jc w:val="left"/>
                          <w:rPr>
                            <w:sz w:val="27"/>
                          </w:rPr>
                        </w:pPr>
                      </w:p>
                      <w:p w14:paraId="0E84FCAE">
                        <w:pPr>
                          <w:pStyle w:val="17"/>
                          <w:ind w:left="29"/>
                          <w:rPr>
                            <w:rFonts w:ascii="Times New Roman"/>
                            <w:sz w:val="21"/>
                          </w:rPr>
                        </w:pPr>
                        <w:r>
                          <w:rPr>
                            <w:rFonts w:ascii="Times New Roman"/>
                            <w:w w:val="99"/>
                            <w:sz w:val="21"/>
                          </w:rPr>
                          <w:t>/</w:t>
                        </w:r>
                      </w:p>
                    </w:tc>
                    <w:tc>
                      <w:tcPr>
                        <w:tcW w:w="2535" w:type="dxa"/>
                        <w:gridSpan w:val="2"/>
                        <w:vMerge w:val="continue"/>
                        <w:tcBorders>
                          <w:top w:val="nil"/>
                          <w:left w:val="single" w:color="000000" w:sz="4" w:space="0"/>
                          <w:bottom w:val="single" w:color="000000" w:sz="4" w:space="0"/>
                          <w:right w:val="single" w:color="000000" w:sz="4" w:space="0"/>
                        </w:tcBorders>
                      </w:tcPr>
                      <w:p w14:paraId="6245CD4E">
                        <w:pPr>
                          <w:rPr>
                            <w:sz w:val="2"/>
                            <w:szCs w:val="2"/>
                          </w:rPr>
                        </w:pPr>
                      </w:p>
                    </w:tc>
                    <w:tc>
                      <w:tcPr>
                        <w:tcW w:w="2535" w:type="dxa"/>
                        <w:tcBorders>
                          <w:left w:val="single" w:color="000000" w:sz="4" w:space="0"/>
                          <w:right w:val="nil"/>
                        </w:tcBorders>
                      </w:tcPr>
                      <w:p w14:paraId="500D2989">
                        <w:pPr>
                          <w:pStyle w:val="17"/>
                          <w:spacing w:before="26"/>
                          <w:ind w:left="123"/>
                          <w:jc w:val="left"/>
                          <w:rPr>
                            <w:sz w:val="21"/>
                          </w:rPr>
                        </w:pPr>
                        <w:r>
                          <w:rPr>
                            <w:sz w:val="21"/>
                          </w:rPr>
                          <w:t>《恶臭污染物排放标准》</w:t>
                        </w:r>
                      </w:p>
                      <w:p w14:paraId="70E0DA1B">
                        <w:pPr>
                          <w:pStyle w:val="17"/>
                          <w:spacing w:before="2" w:line="310" w:lineRule="atLeast"/>
                          <w:ind w:left="15" w:right="-15"/>
                          <w:rPr>
                            <w:sz w:val="21"/>
                          </w:rPr>
                        </w:pPr>
                        <w:r>
                          <w:rPr>
                            <w:spacing w:val="-4"/>
                            <w:sz w:val="21"/>
                          </w:rPr>
                          <w:t>（</w:t>
                        </w:r>
                        <w:r>
                          <w:rPr>
                            <w:rFonts w:ascii="Times New Roman" w:eastAsia="Times New Roman"/>
                            <w:spacing w:val="-4"/>
                            <w:sz w:val="21"/>
                          </w:rPr>
                          <w:t>GB14554-93</w:t>
                        </w:r>
                        <w:r>
                          <w:rPr>
                            <w:spacing w:val="-4"/>
                            <w:sz w:val="21"/>
                          </w:rPr>
                          <w:t>）</w:t>
                        </w:r>
                        <w:r>
                          <w:rPr>
                            <w:spacing w:val="-26"/>
                            <w:sz w:val="21"/>
                          </w:rPr>
                          <w:t xml:space="preserve">表 </w:t>
                        </w:r>
                        <w:r>
                          <w:rPr>
                            <w:rFonts w:ascii="Times New Roman" w:eastAsia="Times New Roman"/>
                            <w:sz w:val="21"/>
                          </w:rPr>
                          <w:t>1</w:t>
                        </w:r>
                        <w:r>
                          <w:rPr>
                            <w:rFonts w:ascii="Times New Roman" w:eastAsia="Times New Roman"/>
                            <w:spacing w:val="1"/>
                            <w:sz w:val="21"/>
                          </w:rPr>
                          <w:t xml:space="preserve"> </w:t>
                        </w:r>
                        <w:r>
                          <w:rPr>
                            <w:sz w:val="21"/>
                          </w:rPr>
                          <w:t>新改扩建二级标准要求</w:t>
                        </w:r>
                      </w:p>
                    </w:tc>
                  </w:tr>
                  <w:tr w14:paraId="230433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9" w:hRule="atLeast"/>
                    </w:trPr>
                    <w:tc>
                      <w:tcPr>
                        <w:tcW w:w="490" w:type="dxa"/>
                        <w:vMerge w:val="continue"/>
                        <w:tcBorders>
                          <w:top w:val="nil"/>
                          <w:left w:val="nil"/>
                          <w:right w:val="single" w:color="000000" w:sz="4" w:space="0"/>
                        </w:tcBorders>
                      </w:tcPr>
                      <w:p w14:paraId="05565D6B">
                        <w:pPr>
                          <w:rPr>
                            <w:sz w:val="2"/>
                            <w:szCs w:val="2"/>
                          </w:rPr>
                        </w:pPr>
                      </w:p>
                    </w:tc>
                    <w:tc>
                      <w:tcPr>
                        <w:tcW w:w="1028" w:type="dxa"/>
                        <w:tcBorders>
                          <w:top w:val="single" w:color="000000" w:sz="4" w:space="0"/>
                          <w:left w:val="single" w:color="000000" w:sz="4" w:space="0"/>
                          <w:right w:val="single" w:color="000000" w:sz="4" w:space="0"/>
                        </w:tcBorders>
                      </w:tcPr>
                      <w:p w14:paraId="3FD637A2">
                        <w:pPr>
                          <w:pStyle w:val="17"/>
                          <w:spacing w:before="10"/>
                          <w:jc w:val="left"/>
                          <w:rPr>
                            <w:sz w:val="21"/>
                          </w:rPr>
                        </w:pPr>
                      </w:p>
                      <w:p w14:paraId="64CFE73D">
                        <w:pPr>
                          <w:pStyle w:val="17"/>
                          <w:spacing w:line="278" w:lineRule="auto"/>
                          <w:ind w:left="14" w:right="-15" w:hanging="1"/>
                          <w:rPr>
                            <w:sz w:val="21"/>
                          </w:rPr>
                        </w:pPr>
                        <w:r>
                          <w:rPr>
                            <w:sz w:val="21"/>
                          </w:rPr>
                          <w:t>厂区内无</w:t>
                        </w:r>
                        <w:r>
                          <w:rPr>
                            <w:w w:val="95"/>
                            <w:sz w:val="21"/>
                          </w:rPr>
                          <w:t>组织（厂房</w:t>
                        </w:r>
                        <w:r>
                          <w:rPr>
                            <w:sz w:val="21"/>
                          </w:rPr>
                          <w:t>门窗处）</w:t>
                        </w:r>
                      </w:p>
                    </w:tc>
                    <w:tc>
                      <w:tcPr>
                        <w:tcW w:w="1170" w:type="dxa"/>
                        <w:tcBorders>
                          <w:top w:val="single" w:color="000000" w:sz="4" w:space="0"/>
                          <w:left w:val="single" w:color="000000" w:sz="4" w:space="0"/>
                          <w:right w:val="single" w:color="000000" w:sz="4" w:space="0"/>
                        </w:tcBorders>
                      </w:tcPr>
                      <w:p w14:paraId="420059A7">
                        <w:pPr>
                          <w:pStyle w:val="17"/>
                          <w:jc w:val="left"/>
                          <w:rPr>
                            <w:sz w:val="22"/>
                          </w:rPr>
                        </w:pPr>
                      </w:p>
                      <w:p w14:paraId="4F5558DB">
                        <w:pPr>
                          <w:pStyle w:val="17"/>
                          <w:spacing w:before="3"/>
                          <w:jc w:val="left"/>
                          <w:rPr>
                            <w:sz w:val="25"/>
                          </w:rPr>
                        </w:pPr>
                      </w:p>
                      <w:p w14:paraId="6CD5902B">
                        <w:pPr>
                          <w:pStyle w:val="17"/>
                          <w:ind w:left="30"/>
                          <w:rPr>
                            <w:rFonts w:ascii="Times New Roman"/>
                            <w:sz w:val="21"/>
                          </w:rPr>
                        </w:pPr>
                        <w:r>
                          <w:rPr>
                            <w:rFonts w:ascii="Times New Roman"/>
                            <w:w w:val="99"/>
                            <w:sz w:val="21"/>
                          </w:rPr>
                          <w:t>/</w:t>
                        </w:r>
                      </w:p>
                    </w:tc>
                    <w:tc>
                      <w:tcPr>
                        <w:tcW w:w="2272" w:type="dxa"/>
                        <w:tcBorders>
                          <w:top w:val="single" w:color="000000" w:sz="4" w:space="0"/>
                          <w:left w:val="single" w:color="000000" w:sz="4" w:space="0"/>
                          <w:right w:val="single" w:color="000000" w:sz="4" w:space="0"/>
                        </w:tcBorders>
                      </w:tcPr>
                      <w:p w14:paraId="23B6867F">
                        <w:pPr>
                          <w:pStyle w:val="17"/>
                          <w:jc w:val="left"/>
                          <w:rPr>
                            <w:sz w:val="20"/>
                          </w:rPr>
                        </w:pPr>
                      </w:p>
                      <w:p w14:paraId="02519F69">
                        <w:pPr>
                          <w:pStyle w:val="17"/>
                          <w:spacing w:before="2"/>
                          <w:jc w:val="left"/>
                          <w:rPr>
                            <w:sz w:val="26"/>
                          </w:rPr>
                        </w:pPr>
                      </w:p>
                      <w:p w14:paraId="267C5720">
                        <w:pPr>
                          <w:pStyle w:val="17"/>
                          <w:ind w:left="179" w:right="153"/>
                          <w:rPr>
                            <w:sz w:val="21"/>
                          </w:rPr>
                        </w:pPr>
                        <w:r>
                          <w:rPr>
                            <w:sz w:val="21"/>
                          </w:rPr>
                          <w:t>生产车间</w:t>
                        </w:r>
                      </w:p>
                    </w:tc>
                    <w:tc>
                      <w:tcPr>
                        <w:tcW w:w="1073" w:type="dxa"/>
                        <w:tcBorders>
                          <w:top w:val="single" w:color="000000" w:sz="4" w:space="0"/>
                          <w:left w:val="single" w:color="000000" w:sz="4" w:space="0"/>
                          <w:right w:val="single" w:color="000000" w:sz="4" w:space="0"/>
                        </w:tcBorders>
                      </w:tcPr>
                      <w:p w14:paraId="32BFCF55">
                        <w:pPr>
                          <w:pStyle w:val="17"/>
                          <w:jc w:val="left"/>
                          <w:rPr>
                            <w:sz w:val="20"/>
                          </w:rPr>
                        </w:pPr>
                      </w:p>
                      <w:p w14:paraId="7DD83536">
                        <w:pPr>
                          <w:pStyle w:val="17"/>
                          <w:spacing w:before="2"/>
                          <w:jc w:val="left"/>
                          <w:rPr>
                            <w:sz w:val="26"/>
                          </w:rPr>
                        </w:pPr>
                      </w:p>
                      <w:p w14:paraId="3A1A7077">
                        <w:pPr>
                          <w:pStyle w:val="17"/>
                          <w:ind w:left="20" w:right="-15"/>
                          <w:rPr>
                            <w:sz w:val="21"/>
                          </w:rPr>
                        </w:pPr>
                        <w:r>
                          <w:rPr>
                            <w:sz w:val="21"/>
                          </w:rPr>
                          <w:t>非甲烷总烃</w:t>
                        </w:r>
                      </w:p>
                    </w:tc>
                    <w:tc>
                      <w:tcPr>
                        <w:tcW w:w="1654" w:type="dxa"/>
                        <w:tcBorders>
                          <w:top w:val="single" w:color="000000" w:sz="4" w:space="0"/>
                          <w:left w:val="single" w:color="000000" w:sz="4" w:space="0"/>
                          <w:right w:val="single" w:color="000000" w:sz="4" w:space="0"/>
                        </w:tcBorders>
                      </w:tcPr>
                      <w:p w14:paraId="0B801797">
                        <w:pPr>
                          <w:pStyle w:val="17"/>
                          <w:jc w:val="left"/>
                          <w:rPr>
                            <w:sz w:val="22"/>
                          </w:rPr>
                        </w:pPr>
                      </w:p>
                      <w:p w14:paraId="13BB5E74">
                        <w:pPr>
                          <w:pStyle w:val="17"/>
                          <w:spacing w:before="3"/>
                          <w:jc w:val="left"/>
                          <w:rPr>
                            <w:sz w:val="25"/>
                          </w:rPr>
                        </w:pPr>
                      </w:p>
                      <w:p w14:paraId="751A7FEC">
                        <w:pPr>
                          <w:pStyle w:val="17"/>
                          <w:ind w:left="29"/>
                          <w:rPr>
                            <w:rFonts w:ascii="Times New Roman"/>
                            <w:sz w:val="21"/>
                          </w:rPr>
                        </w:pPr>
                        <w:r>
                          <w:rPr>
                            <w:rFonts w:ascii="Times New Roman"/>
                            <w:w w:val="99"/>
                            <w:sz w:val="21"/>
                          </w:rPr>
                          <w:t>/</w:t>
                        </w:r>
                      </w:p>
                    </w:tc>
                    <w:tc>
                      <w:tcPr>
                        <w:tcW w:w="1394" w:type="dxa"/>
                        <w:tcBorders>
                          <w:left w:val="single" w:color="000000" w:sz="4" w:space="0"/>
                          <w:right w:val="single" w:color="000000" w:sz="4" w:space="0"/>
                        </w:tcBorders>
                      </w:tcPr>
                      <w:p w14:paraId="2F61ECC9">
                        <w:pPr>
                          <w:pStyle w:val="17"/>
                          <w:jc w:val="left"/>
                          <w:rPr>
                            <w:sz w:val="22"/>
                          </w:rPr>
                        </w:pPr>
                      </w:p>
                      <w:p w14:paraId="451C91B9">
                        <w:pPr>
                          <w:pStyle w:val="17"/>
                          <w:spacing w:before="3"/>
                          <w:jc w:val="left"/>
                          <w:rPr>
                            <w:sz w:val="25"/>
                          </w:rPr>
                        </w:pPr>
                      </w:p>
                      <w:p w14:paraId="2FCBFB47">
                        <w:pPr>
                          <w:pStyle w:val="17"/>
                          <w:ind w:left="212" w:right="184"/>
                          <w:rPr>
                            <w:rFonts w:ascii="Times New Roman"/>
                            <w:sz w:val="21"/>
                          </w:rPr>
                        </w:pPr>
                        <w:r>
                          <w:rPr>
                            <w:rFonts w:ascii="Times New Roman"/>
                            <w:sz w:val="21"/>
                          </w:rPr>
                          <w:t>1.675</w:t>
                        </w:r>
                      </w:p>
                    </w:tc>
                    <w:tc>
                      <w:tcPr>
                        <w:tcW w:w="2535" w:type="dxa"/>
                        <w:gridSpan w:val="2"/>
                        <w:tcBorders>
                          <w:top w:val="single" w:color="000000" w:sz="4" w:space="0"/>
                          <w:left w:val="single" w:color="000000" w:sz="4" w:space="0"/>
                          <w:right w:val="single" w:color="000000" w:sz="4" w:space="0"/>
                        </w:tcBorders>
                      </w:tcPr>
                      <w:p w14:paraId="7315EC16">
                        <w:pPr>
                          <w:pStyle w:val="17"/>
                          <w:jc w:val="left"/>
                          <w:rPr>
                            <w:sz w:val="20"/>
                          </w:rPr>
                        </w:pPr>
                      </w:p>
                      <w:p w14:paraId="2614EBED">
                        <w:pPr>
                          <w:pStyle w:val="17"/>
                          <w:spacing w:before="2"/>
                          <w:jc w:val="left"/>
                          <w:rPr>
                            <w:sz w:val="26"/>
                          </w:rPr>
                        </w:pPr>
                      </w:p>
                      <w:p w14:paraId="67474D7A">
                        <w:pPr>
                          <w:pStyle w:val="17"/>
                          <w:ind w:left="855"/>
                          <w:jc w:val="left"/>
                          <w:rPr>
                            <w:sz w:val="21"/>
                          </w:rPr>
                        </w:pPr>
                        <w:r>
                          <w:rPr>
                            <w:sz w:val="21"/>
                          </w:rPr>
                          <w:t>加强收集</w:t>
                        </w:r>
                      </w:p>
                    </w:tc>
                    <w:tc>
                      <w:tcPr>
                        <w:tcW w:w="2535" w:type="dxa"/>
                        <w:tcBorders>
                          <w:left w:val="single" w:color="000000" w:sz="4" w:space="0"/>
                          <w:right w:val="nil"/>
                        </w:tcBorders>
                      </w:tcPr>
                      <w:p w14:paraId="60F67756">
                        <w:pPr>
                          <w:pStyle w:val="17"/>
                          <w:spacing w:before="10"/>
                          <w:jc w:val="left"/>
                          <w:rPr>
                            <w:sz w:val="21"/>
                          </w:rPr>
                        </w:pPr>
                      </w:p>
                      <w:p w14:paraId="7A5B1F0B">
                        <w:pPr>
                          <w:pStyle w:val="17"/>
                          <w:spacing w:line="278" w:lineRule="auto"/>
                          <w:ind w:left="15" w:right="-15" w:firstLine="4"/>
                          <w:rPr>
                            <w:sz w:val="21"/>
                          </w:rPr>
                        </w:pPr>
                        <w:r>
                          <w:rPr>
                            <w:w w:val="95"/>
                            <w:sz w:val="21"/>
                          </w:rPr>
                          <w:t>《挥发性有机物无组织排放</w:t>
                        </w:r>
                        <w:r>
                          <w:rPr>
                            <w:sz w:val="21"/>
                          </w:rPr>
                          <w:t>控制标准</w:t>
                        </w:r>
                        <w:r>
                          <w:rPr>
                            <w:spacing w:val="-142"/>
                            <w:sz w:val="21"/>
                          </w:rPr>
                          <w:t>》</w:t>
                        </w:r>
                        <w:r>
                          <w:rPr>
                            <w:sz w:val="21"/>
                          </w:rPr>
                          <w:t>（</w:t>
                        </w:r>
                        <w:r>
                          <w:rPr>
                            <w:rFonts w:ascii="Times New Roman" w:eastAsia="Times New Roman"/>
                            <w:sz w:val="21"/>
                          </w:rPr>
                          <w:t xml:space="preserve">GB37822-2019 </w:t>
                        </w:r>
                        <w:r>
                          <w:rPr>
                            <w:spacing w:val="-18"/>
                            <w:sz w:val="21"/>
                          </w:rPr>
                          <w:t xml:space="preserve">附录 </w:t>
                        </w:r>
                        <w:r>
                          <w:rPr>
                            <w:rFonts w:ascii="Times New Roman" w:eastAsia="Times New Roman"/>
                            <w:sz w:val="21"/>
                          </w:rPr>
                          <w:t xml:space="preserve">A </w:t>
                        </w:r>
                        <w:r>
                          <w:rPr>
                            <w:spacing w:val="-26"/>
                            <w:sz w:val="21"/>
                          </w:rPr>
                          <w:t xml:space="preserve">表 </w:t>
                        </w:r>
                        <w:r>
                          <w:rPr>
                            <w:rFonts w:ascii="Times New Roman" w:eastAsia="Times New Roman"/>
                            <w:sz w:val="21"/>
                          </w:rPr>
                          <w:t xml:space="preserve">A.1 </w:t>
                        </w:r>
                        <w:r>
                          <w:rPr>
                            <w:sz w:val="21"/>
                          </w:rPr>
                          <w:t>排放限值</w:t>
                        </w:r>
                      </w:p>
                    </w:tc>
                  </w:tr>
                </w:tbl>
                <w:p w14:paraId="07C43832">
                  <w:pPr>
                    <w:pStyle w:val="10"/>
                  </w:pPr>
                </w:p>
              </w:txbxContent>
            </v:textbox>
          </v:shape>
        </w:pict>
      </w:r>
      <w:r>
        <w:rPr>
          <w:b/>
          <w:sz w:val="21"/>
        </w:rPr>
        <w:t xml:space="preserve">表 </w:t>
      </w:r>
      <w:r>
        <w:rPr>
          <w:rFonts w:ascii="Times New Roman" w:eastAsia="Times New Roman"/>
          <w:b/>
          <w:sz w:val="21"/>
        </w:rPr>
        <w:t xml:space="preserve">7.6-1 </w:t>
      </w:r>
      <w:r>
        <w:rPr>
          <w:b/>
          <w:sz w:val="21"/>
        </w:rPr>
        <w:t>项目污染物排放清单及管理要求一览表</w:t>
      </w:r>
    </w:p>
    <w:p w14:paraId="6EDC231D">
      <w:pPr>
        <w:pStyle w:val="10"/>
        <w:rPr>
          <w:b/>
          <w:sz w:val="22"/>
        </w:rPr>
      </w:pPr>
    </w:p>
    <w:p w14:paraId="5DF9FA15">
      <w:pPr>
        <w:pStyle w:val="10"/>
        <w:rPr>
          <w:b/>
          <w:sz w:val="22"/>
        </w:rPr>
      </w:pPr>
    </w:p>
    <w:p w14:paraId="0D769070">
      <w:pPr>
        <w:pStyle w:val="10"/>
        <w:rPr>
          <w:b/>
          <w:sz w:val="22"/>
        </w:rPr>
      </w:pPr>
    </w:p>
    <w:p w14:paraId="1E78A40D">
      <w:pPr>
        <w:pStyle w:val="10"/>
        <w:rPr>
          <w:b/>
          <w:sz w:val="22"/>
        </w:rPr>
      </w:pPr>
    </w:p>
    <w:p w14:paraId="417B0987">
      <w:pPr>
        <w:pStyle w:val="10"/>
        <w:rPr>
          <w:b/>
          <w:sz w:val="22"/>
        </w:rPr>
      </w:pPr>
    </w:p>
    <w:p w14:paraId="58189151">
      <w:pPr>
        <w:pStyle w:val="10"/>
        <w:rPr>
          <w:b/>
          <w:sz w:val="22"/>
        </w:rPr>
      </w:pPr>
    </w:p>
    <w:p w14:paraId="7AF30C4F">
      <w:pPr>
        <w:pStyle w:val="10"/>
        <w:rPr>
          <w:b/>
          <w:sz w:val="22"/>
        </w:rPr>
      </w:pPr>
    </w:p>
    <w:p w14:paraId="10521ABD">
      <w:pPr>
        <w:pStyle w:val="10"/>
        <w:rPr>
          <w:b/>
          <w:sz w:val="22"/>
        </w:rPr>
      </w:pPr>
    </w:p>
    <w:p w14:paraId="45A6ACEA">
      <w:pPr>
        <w:pStyle w:val="10"/>
        <w:rPr>
          <w:b/>
          <w:sz w:val="22"/>
        </w:rPr>
      </w:pPr>
    </w:p>
    <w:p w14:paraId="36CA4B1D">
      <w:pPr>
        <w:pStyle w:val="10"/>
        <w:rPr>
          <w:b/>
          <w:sz w:val="22"/>
        </w:rPr>
      </w:pPr>
    </w:p>
    <w:p w14:paraId="68DAE22F">
      <w:pPr>
        <w:pStyle w:val="10"/>
        <w:rPr>
          <w:b/>
          <w:sz w:val="22"/>
        </w:rPr>
      </w:pPr>
    </w:p>
    <w:p w14:paraId="51C332A7">
      <w:pPr>
        <w:pStyle w:val="10"/>
        <w:rPr>
          <w:b/>
          <w:sz w:val="22"/>
        </w:rPr>
      </w:pPr>
    </w:p>
    <w:p w14:paraId="3647A144">
      <w:pPr>
        <w:pStyle w:val="10"/>
        <w:rPr>
          <w:b/>
          <w:sz w:val="22"/>
        </w:rPr>
      </w:pPr>
    </w:p>
    <w:p w14:paraId="34B5646D">
      <w:pPr>
        <w:pStyle w:val="10"/>
        <w:rPr>
          <w:b/>
          <w:sz w:val="22"/>
        </w:rPr>
      </w:pPr>
    </w:p>
    <w:p w14:paraId="57DBA546">
      <w:pPr>
        <w:pStyle w:val="10"/>
        <w:rPr>
          <w:b/>
          <w:sz w:val="22"/>
        </w:rPr>
      </w:pPr>
    </w:p>
    <w:p w14:paraId="46D97158">
      <w:pPr>
        <w:pStyle w:val="10"/>
        <w:rPr>
          <w:b/>
          <w:sz w:val="22"/>
        </w:rPr>
      </w:pPr>
    </w:p>
    <w:p w14:paraId="0EE2733C">
      <w:pPr>
        <w:pStyle w:val="10"/>
        <w:rPr>
          <w:b/>
          <w:sz w:val="22"/>
        </w:rPr>
      </w:pPr>
    </w:p>
    <w:p w14:paraId="65AD5F87">
      <w:pPr>
        <w:pStyle w:val="10"/>
        <w:rPr>
          <w:b/>
          <w:sz w:val="22"/>
        </w:rPr>
      </w:pPr>
    </w:p>
    <w:p w14:paraId="6CA5A11C">
      <w:pPr>
        <w:pStyle w:val="10"/>
        <w:rPr>
          <w:b/>
          <w:sz w:val="22"/>
        </w:rPr>
      </w:pPr>
    </w:p>
    <w:p w14:paraId="7D5D3263">
      <w:pPr>
        <w:pStyle w:val="10"/>
        <w:rPr>
          <w:b/>
          <w:sz w:val="22"/>
        </w:rPr>
      </w:pPr>
    </w:p>
    <w:p w14:paraId="3046004B">
      <w:pPr>
        <w:pStyle w:val="10"/>
        <w:rPr>
          <w:b/>
          <w:sz w:val="22"/>
        </w:rPr>
      </w:pPr>
    </w:p>
    <w:p w14:paraId="552B1C9C">
      <w:pPr>
        <w:pStyle w:val="10"/>
        <w:rPr>
          <w:b/>
          <w:sz w:val="22"/>
        </w:rPr>
      </w:pPr>
    </w:p>
    <w:p w14:paraId="43261BFB">
      <w:pPr>
        <w:pStyle w:val="10"/>
        <w:rPr>
          <w:b/>
          <w:sz w:val="22"/>
        </w:rPr>
      </w:pPr>
    </w:p>
    <w:p w14:paraId="458EC67C">
      <w:pPr>
        <w:pStyle w:val="10"/>
        <w:rPr>
          <w:b/>
          <w:sz w:val="29"/>
        </w:rPr>
      </w:pPr>
    </w:p>
    <w:p w14:paraId="7EF9A96B">
      <w:pPr>
        <w:spacing w:before="0"/>
        <w:ind w:left="0" w:right="98" w:firstLine="0"/>
        <w:jc w:val="right"/>
        <w:rPr>
          <w:sz w:val="21"/>
        </w:rPr>
      </w:pPr>
      <w:r>
        <w:rPr>
          <w:w w:val="99"/>
          <w:sz w:val="21"/>
        </w:rPr>
        <w:t>）</w:t>
      </w:r>
    </w:p>
    <w:p w14:paraId="6188026C">
      <w:pPr>
        <w:spacing w:after="0"/>
        <w:jc w:val="right"/>
        <w:rPr>
          <w:sz w:val="21"/>
        </w:rPr>
        <w:sectPr>
          <w:footerReference r:id="rId39" w:type="default"/>
          <w:pgSz w:w="16840" w:h="11910" w:orient="landscape"/>
          <w:pgMar w:top="1100" w:right="1140" w:bottom="1140" w:left="1220" w:header="0" w:footer="944" w:gutter="0"/>
          <w:pgNumType w:start="187"/>
          <w:cols w:space="720" w:num="1"/>
        </w:sectPr>
      </w:pPr>
    </w:p>
    <w:p w14:paraId="4273D88B">
      <w:pPr>
        <w:pStyle w:val="10"/>
        <w:rPr>
          <w:rFonts w:ascii="Times New Roman"/>
          <w:sz w:val="20"/>
        </w:rPr>
      </w:pPr>
    </w:p>
    <w:p w14:paraId="2D4DD54C">
      <w:pPr>
        <w:pStyle w:val="10"/>
        <w:rPr>
          <w:rFonts w:ascii="Times New Roman"/>
          <w:sz w:val="20"/>
        </w:rPr>
      </w:pPr>
    </w:p>
    <w:p w14:paraId="17D6B1C7">
      <w:pPr>
        <w:pStyle w:val="10"/>
        <w:spacing w:before="4"/>
        <w:rPr>
          <w:rFonts w:ascii="Times New Roman"/>
          <w:sz w:val="20"/>
        </w:rPr>
      </w:pPr>
    </w:p>
    <w:tbl>
      <w:tblPr>
        <w:tblStyle w:val="13"/>
        <w:tblW w:w="0" w:type="auto"/>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0"/>
        <w:gridCol w:w="1028"/>
        <w:gridCol w:w="1170"/>
        <w:gridCol w:w="2272"/>
        <w:gridCol w:w="1073"/>
        <w:gridCol w:w="1654"/>
        <w:gridCol w:w="1394"/>
        <w:gridCol w:w="2535"/>
        <w:gridCol w:w="2535"/>
      </w:tblGrid>
      <w:tr w14:paraId="17E3FD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restart"/>
            <w:tcBorders>
              <w:left w:val="nil"/>
              <w:bottom w:val="single" w:color="000000" w:sz="4" w:space="0"/>
              <w:right w:val="single" w:color="000000" w:sz="4" w:space="0"/>
            </w:tcBorders>
          </w:tcPr>
          <w:p w14:paraId="1917F39A">
            <w:pPr>
              <w:pStyle w:val="17"/>
              <w:spacing w:before="2"/>
              <w:jc w:val="left"/>
              <w:rPr>
                <w:rFonts w:ascii="Times New Roman"/>
                <w:sz w:val="17"/>
              </w:rPr>
            </w:pPr>
          </w:p>
          <w:p w14:paraId="46D01B0B">
            <w:pPr>
              <w:pStyle w:val="17"/>
              <w:spacing w:before="1" w:line="278" w:lineRule="auto"/>
              <w:ind w:left="46" w:right="18"/>
              <w:jc w:val="both"/>
              <w:rPr>
                <w:sz w:val="21"/>
              </w:rPr>
            </w:pPr>
            <w:r>
              <w:rPr>
                <w:w w:val="95"/>
                <w:sz w:val="21"/>
              </w:rPr>
              <w:t>水污染物防治措施</w:t>
            </w:r>
          </w:p>
        </w:tc>
        <w:tc>
          <w:tcPr>
            <w:tcW w:w="1028" w:type="dxa"/>
            <w:vMerge w:val="restart"/>
            <w:tcBorders>
              <w:left w:val="single" w:color="000000" w:sz="4" w:space="0"/>
              <w:bottom w:val="single" w:color="000000" w:sz="4" w:space="0"/>
              <w:right w:val="single" w:color="000000" w:sz="4" w:space="0"/>
            </w:tcBorders>
          </w:tcPr>
          <w:p w14:paraId="48A55BF7">
            <w:pPr>
              <w:pStyle w:val="17"/>
              <w:jc w:val="left"/>
              <w:rPr>
                <w:rFonts w:ascii="Times New Roman"/>
                <w:sz w:val="22"/>
              </w:rPr>
            </w:pPr>
          </w:p>
          <w:p w14:paraId="04DC2409">
            <w:pPr>
              <w:pStyle w:val="17"/>
              <w:jc w:val="left"/>
              <w:rPr>
                <w:rFonts w:ascii="Times New Roman"/>
                <w:sz w:val="22"/>
              </w:rPr>
            </w:pPr>
          </w:p>
          <w:p w14:paraId="7C74B27A">
            <w:pPr>
              <w:pStyle w:val="17"/>
              <w:spacing w:before="174"/>
              <w:ind w:left="190"/>
              <w:jc w:val="left"/>
              <w:rPr>
                <w:rFonts w:ascii="Times New Roman"/>
                <w:sz w:val="21"/>
              </w:rPr>
            </w:pPr>
            <w:r>
              <w:rPr>
                <w:rFonts w:ascii="Times New Roman"/>
                <w:sz w:val="21"/>
              </w:rPr>
              <w:t>DW001</w:t>
            </w:r>
          </w:p>
        </w:tc>
        <w:tc>
          <w:tcPr>
            <w:tcW w:w="1170" w:type="dxa"/>
            <w:vMerge w:val="restart"/>
            <w:tcBorders>
              <w:left w:val="single" w:color="000000" w:sz="4" w:space="0"/>
              <w:bottom w:val="single" w:color="000000" w:sz="4" w:space="0"/>
              <w:right w:val="single" w:color="000000" w:sz="4" w:space="0"/>
            </w:tcBorders>
          </w:tcPr>
          <w:p w14:paraId="7D3C2C7D">
            <w:pPr>
              <w:pStyle w:val="17"/>
              <w:jc w:val="left"/>
              <w:rPr>
                <w:rFonts w:ascii="Times New Roman"/>
                <w:sz w:val="20"/>
              </w:rPr>
            </w:pPr>
          </w:p>
          <w:p w14:paraId="1F27BF48">
            <w:pPr>
              <w:pStyle w:val="17"/>
              <w:jc w:val="left"/>
              <w:rPr>
                <w:rFonts w:ascii="Times New Roman"/>
                <w:sz w:val="20"/>
              </w:rPr>
            </w:pPr>
          </w:p>
          <w:p w14:paraId="0C8559C5">
            <w:pPr>
              <w:pStyle w:val="17"/>
              <w:spacing w:before="10"/>
              <w:jc w:val="left"/>
              <w:rPr>
                <w:rFonts w:ascii="Times New Roman"/>
                <w:sz w:val="17"/>
              </w:rPr>
            </w:pPr>
          </w:p>
          <w:p w14:paraId="2D03B6CB">
            <w:pPr>
              <w:pStyle w:val="17"/>
              <w:spacing w:before="1"/>
              <w:ind w:left="69"/>
              <w:jc w:val="left"/>
              <w:rPr>
                <w:sz w:val="21"/>
              </w:rPr>
            </w:pPr>
            <w:r>
              <w:rPr>
                <w:sz w:val="21"/>
              </w:rPr>
              <w:t>一般排放口</w:t>
            </w:r>
          </w:p>
        </w:tc>
        <w:tc>
          <w:tcPr>
            <w:tcW w:w="2272" w:type="dxa"/>
            <w:vMerge w:val="restart"/>
            <w:tcBorders>
              <w:left w:val="single" w:color="000000" w:sz="4" w:space="0"/>
              <w:bottom w:val="single" w:color="000000" w:sz="4" w:space="0"/>
              <w:right w:val="single" w:color="000000" w:sz="4" w:space="0"/>
            </w:tcBorders>
          </w:tcPr>
          <w:p w14:paraId="1EE035DF">
            <w:pPr>
              <w:pStyle w:val="17"/>
              <w:jc w:val="left"/>
              <w:rPr>
                <w:rFonts w:ascii="Times New Roman"/>
                <w:sz w:val="20"/>
              </w:rPr>
            </w:pPr>
          </w:p>
          <w:p w14:paraId="5FF8D58C">
            <w:pPr>
              <w:pStyle w:val="17"/>
              <w:jc w:val="left"/>
              <w:rPr>
                <w:rFonts w:ascii="Times New Roman"/>
                <w:sz w:val="20"/>
              </w:rPr>
            </w:pPr>
          </w:p>
          <w:p w14:paraId="15693E6C">
            <w:pPr>
              <w:pStyle w:val="17"/>
              <w:spacing w:before="10"/>
              <w:jc w:val="left"/>
              <w:rPr>
                <w:rFonts w:ascii="Times New Roman"/>
                <w:sz w:val="17"/>
              </w:rPr>
            </w:pPr>
          </w:p>
          <w:p w14:paraId="417B331F">
            <w:pPr>
              <w:pStyle w:val="17"/>
              <w:spacing w:before="1"/>
              <w:ind w:left="725"/>
              <w:jc w:val="left"/>
              <w:rPr>
                <w:sz w:val="21"/>
              </w:rPr>
            </w:pPr>
            <w:r>
              <w:rPr>
                <w:sz w:val="21"/>
              </w:rPr>
              <w:t>生活污水</w:t>
            </w:r>
          </w:p>
        </w:tc>
        <w:tc>
          <w:tcPr>
            <w:tcW w:w="1073" w:type="dxa"/>
            <w:tcBorders>
              <w:left w:val="single" w:color="000000" w:sz="4" w:space="0"/>
              <w:bottom w:val="single" w:color="000000" w:sz="4" w:space="0"/>
              <w:right w:val="single" w:color="000000" w:sz="4" w:space="0"/>
            </w:tcBorders>
          </w:tcPr>
          <w:p w14:paraId="4CD0BACD">
            <w:pPr>
              <w:pStyle w:val="17"/>
              <w:spacing w:before="20"/>
              <w:ind w:left="103" w:right="78"/>
              <w:rPr>
                <w:sz w:val="21"/>
              </w:rPr>
            </w:pPr>
            <w:r>
              <w:rPr>
                <w:sz w:val="21"/>
              </w:rPr>
              <w:t>废水量</w:t>
            </w:r>
          </w:p>
        </w:tc>
        <w:tc>
          <w:tcPr>
            <w:tcW w:w="1654" w:type="dxa"/>
            <w:tcBorders>
              <w:left w:val="single" w:color="000000" w:sz="4" w:space="0"/>
              <w:bottom w:val="single" w:color="000000" w:sz="4" w:space="0"/>
              <w:right w:val="single" w:color="000000" w:sz="4" w:space="0"/>
            </w:tcBorders>
          </w:tcPr>
          <w:p w14:paraId="4DC7E34D">
            <w:pPr>
              <w:pStyle w:val="17"/>
              <w:spacing w:before="34"/>
              <w:ind w:left="29"/>
              <w:rPr>
                <w:rFonts w:ascii="Times New Roman"/>
                <w:sz w:val="21"/>
              </w:rPr>
            </w:pPr>
            <w:r>
              <w:rPr>
                <w:rFonts w:ascii="Times New Roman"/>
                <w:w w:val="99"/>
                <w:sz w:val="21"/>
              </w:rPr>
              <w:t>/</w:t>
            </w:r>
          </w:p>
        </w:tc>
        <w:tc>
          <w:tcPr>
            <w:tcW w:w="1394" w:type="dxa"/>
            <w:tcBorders>
              <w:left w:val="single" w:color="000000" w:sz="4" w:space="0"/>
              <w:bottom w:val="single" w:color="000000" w:sz="4" w:space="0"/>
              <w:right w:val="single" w:color="000000" w:sz="4" w:space="0"/>
            </w:tcBorders>
          </w:tcPr>
          <w:p w14:paraId="01C96B8F">
            <w:pPr>
              <w:pStyle w:val="17"/>
              <w:spacing w:before="34"/>
              <w:ind w:right="328"/>
              <w:jc w:val="right"/>
              <w:rPr>
                <w:rFonts w:ascii="Times New Roman"/>
                <w:sz w:val="21"/>
              </w:rPr>
            </w:pPr>
            <w:r>
              <w:rPr>
                <w:rFonts w:ascii="Times New Roman"/>
                <w:sz w:val="21"/>
              </w:rPr>
              <w:t>608m</w:t>
            </w:r>
            <w:r>
              <w:rPr>
                <w:rFonts w:ascii="Times New Roman"/>
                <w:position w:val="7"/>
                <w:sz w:val="13"/>
              </w:rPr>
              <w:t>3</w:t>
            </w:r>
            <w:r>
              <w:rPr>
                <w:rFonts w:ascii="Times New Roman"/>
                <w:sz w:val="21"/>
              </w:rPr>
              <w:t>/a</w:t>
            </w:r>
          </w:p>
        </w:tc>
        <w:tc>
          <w:tcPr>
            <w:tcW w:w="2535" w:type="dxa"/>
            <w:vMerge w:val="restart"/>
            <w:tcBorders>
              <w:left w:val="single" w:color="000000" w:sz="4" w:space="0"/>
              <w:bottom w:val="single" w:color="000000" w:sz="4" w:space="0"/>
              <w:right w:val="single" w:color="000000" w:sz="4" w:space="0"/>
            </w:tcBorders>
          </w:tcPr>
          <w:p w14:paraId="4DA3406D">
            <w:pPr>
              <w:pStyle w:val="17"/>
              <w:jc w:val="left"/>
              <w:rPr>
                <w:rFonts w:ascii="Times New Roman"/>
                <w:sz w:val="20"/>
              </w:rPr>
            </w:pPr>
          </w:p>
          <w:p w14:paraId="0EE7A62C">
            <w:pPr>
              <w:pStyle w:val="17"/>
              <w:spacing w:before="4"/>
              <w:jc w:val="left"/>
              <w:rPr>
                <w:rFonts w:ascii="Times New Roman"/>
                <w:sz w:val="24"/>
              </w:rPr>
            </w:pPr>
          </w:p>
          <w:p w14:paraId="17D7B31F">
            <w:pPr>
              <w:pStyle w:val="17"/>
              <w:spacing w:line="278" w:lineRule="auto"/>
              <w:ind w:left="1067" w:right="-15" w:hanging="1052"/>
              <w:jc w:val="left"/>
              <w:rPr>
                <w:sz w:val="21"/>
              </w:rPr>
            </w:pPr>
            <w:r>
              <w:rPr>
                <w:sz w:val="21"/>
              </w:rPr>
              <w:t>直排排入汨罗市城市污水处理厂</w:t>
            </w:r>
          </w:p>
        </w:tc>
        <w:tc>
          <w:tcPr>
            <w:tcW w:w="2535" w:type="dxa"/>
            <w:vMerge w:val="restart"/>
            <w:tcBorders>
              <w:left w:val="single" w:color="000000" w:sz="4" w:space="0"/>
              <w:bottom w:val="single" w:color="000000" w:sz="4" w:space="0"/>
              <w:right w:val="nil"/>
            </w:tcBorders>
          </w:tcPr>
          <w:p w14:paraId="227ECBA3">
            <w:pPr>
              <w:pStyle w:val="17"/>
              <w:spacing w:before="2"/>
              <w:jc w:val="left"/>
              <w:rPr>
                <w:rFonts w:ascii="Times New Roman"/>
                <w:sz w:val="17"/>
              </w:rPr>
            </w:pPr>
          </w:p>
          <w:p w14:paraId="253D9811">
            <w:pPr>
              <w:pStyle w:val="17"/>
              <w:spacing w:before="1"/>
              <w:ind w:left="228"/>
              <w:jc w:val="left"/>
              <w:rPr>
                <w:sz w:val="21"/>
              </w:rPr>
            </w:pPr>
            <w:r>
              <w:rPr>
                <w:sz w:val="21"/>
              </w:rPr>
              <w:t>《污水综合排放标准》</w:t>
            </w:r>
          </w:p>
          <w:p w14:paraId="3A90470F">
            <w:pPr>
              <w:pStyle w:val="17"/>
              <w:spacing w:before="43" w:line="278" w:lineRule="auto"/>
              <w:ind w:left="20" w:right="-15"/>
              <w:rPr>
                <w:sz w:val="21"/>
              </w:rPr>
            </w:pPr>
            <w:r>
              <w:rPr>
                <w:sz w:val="21"/>
              </w:rPr>
              <w:t>（</w:t>
            </w:r>
            <w:r>
              <w:rPr>
                <w:rFonts w:ascii="Times New Roman" w:eastAsia="Times New Roman"/>
                <w:sz w:val="21"/>
              </w:rPr>
              <w:t>GB8978-1996</w:t>
            </w:r>
            <w:r>
              <w:rPr>
                <w:sz w:val="21"/>
              </w:rPr>
              <w:t>）三级标准</w:t>
            </w:r>
            <w:r>
              <w:rPr>
                <w:w w:val="95"/>
                <w:sz w:val="21"/>
              </w:rPr>
              <w:t>及汨罗市城市污水处理厂进</w:t>
            </w:r>
            <w:r>
              <w:rPr>
                <w:sz w:val="21"/>
              </w:rPr>
              <w:t>水水质要求较严者</w:t>
            </w:r>
          </w:p>
        </w:tc>
      </w:tr>
      <w:tr w14:paraId="3A791C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90" w:type="dxa"/>
            <w:vMerge w:val="continue"/>
            <w:tcBorders>
              <w:top w:val="nil"/>
              <w:left w:val="nil"/>
              <w:bottom w:val="single" w:color="000000" w:sz="4" w:space="0"/>
              <w:right w:val="single" w:color="000000" w:sz="4" w:space="0"/>
            </w:tcBorders>
          </w:tcPr>
          <w:p w14:paraId="30A5AA5E">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0B2B047F">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687A433B">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427F40EB">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DCD7B51">
            <w:pPr>
              <w:pStyle w:val="17"/>
              <w:spacing w:before="34"/>
              <w:ind w:left="102" w:right="78"/>
              <w:rPr>
                <w:rFonts w:ascii="Times New Roman"/>
                <w:sz w:val="21"/>
              </w:rPr>
            </w:pPr>
            <w:r>
              <w:rPr>
                <w:rFonts w:ascii="Times New Roman"/>
                <w:sz w:val="21"/>
              </w:rPr>
              <w:t>COD</w:t>
            </w:r>
          </w:p>
        </w:tc>
        <w:tc>
          <w:tcPr>
            <w:tcW w:w="1654" w:type="dxa"/>
            <w:tcBorders>
              <w:top w:val="single" w:color="000000" w:sz="4" w:space="0"/>
              <w:left w:val="single" w:color="000000" w:sz="4" w:space="0"/>
              <w:bottom w:val="single" w:color="000000" w:sz="4" w:space="0"/>
              <w:right w:val="single" w:color="000000" w:sz="4" w:space="0"/>
            </w:tcBorders>
          </w:tcPr>
          <w:p w14:paraId="35E66802">
            <w:pPr>
              <w:pStyle w:val="17"/>
              <w:spacing w:before="34"/>
              <w:ind w:left="64" w:right="20"/>
              <w:rPr>
                <w:rFonts w:ascii="Times New Roman"/>
                <w:sz w:val="21"/>
              </w:rPr>
            </w:pPr>
            <w:r>
              <w:rPr>
                <w:rFonts w:ascii="Times New Roman"/>
                <w:sz w:val="21"/>
              </w:rPr>
              <w:t>224mg/L</w:t>
            </w:r>
          </w:p>
        </w:tc>
        <w:tc>
          <w:tcPr>
            <w:tcW w:w="1394" w:type="dxa"/>
            <w:tcBorders>
              <w:top w:val="single" w:color="000000" w:sz="4" w:space="0"/>
              <w:left w:val="single" w:color="000000" w:sz="4" w:space="0"/>
              <w:bottom w:val="single" w:color="000000" w:sz="4" w:space="0"/>
              <w:right w:val="single" w:color="000000" w:sz="4" w:space="0"/>
            </w:tcBorders>
          </w:tcPr>
          <w:p w14:paraId="239C4BEF">
            <w:pPr>
              <w:pStyle w:val="17"/>
              <w:spacing w:before="36"/>
              <w:ind w:right="438"/>
              <w:jc w:val="right"/>
              <w:rPr>
                <w:rFonts w:ascii="Times New Roman"/>
                <w:sz w:val="21"/>
              </w:rPr>
            </w:pPr>
            <w:r>
              <w:rPr>
                <w:rFonts w:ascii="Times New Roman"/>
                <w:sz w:val="21"/>
              </w:rPr>
              <w:t>0.136</w:t>
            </w:r>
          </w:p>
        </w:tc>
        <w:tc>
          <w:tcPr>
            <w:tcW w:w="2535" w:type="dxa"/>
            <w:vMerge w:val="continue"/>
            <w:tcBorders>
              <w:top w:val="nil"/>
              <w:left w:val="single" w:color="000000" w:sz="4" w:space="0"/>
              <w:bottom w:val="single" w:color="000000" w:sz="4" w:space="0"/>
              <w:right w:val="single" w:color="000000" w:sz="4" w:space="0"/>
            </w:tcBorders>
          </w:tcPr>
          <w:p w14:paraId="20B1D2E6">
            <w:pPr>
              <w:rPr>
                <w:sz w:val="2"/>
                <w:szCs w:val="2"/>
              </w:rPr>
            </w:pPr>
          </w:p>
        </w:tc>
        <w:tc>
          <w:tcPr>
            <w:tcW w:w="2535" w:type="dxa"/>
            <w:vMerge w:val="continue"/>
            <w:tcBorders>
              <w:top w:val="nil"/>
              <w:left w:val="single" w:color="000000" w:sz="4" w:space="0"/>
              <w:bottom w:val="single" w:color="000000" w:sz="4" w:space="0"/>
              <w:right w:val="nil"/>
            </w:tcBorders>
          </w:tcPr>
          <w:p w14:paraId="46A65E3A">
            <w:pPr>
              <w:rPr>
                <w:sz w:val="2"/>
                <w:szCs w:val="2"/>
              </w:rPr>
            </w:pPr>
          </w:p>
        </w:tc>
      </w:tr>
      <w:tr w14:paraId="4F7605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490" w:type="dxa"/>
            <w:vMerge w:val="continue"/>
            <w:tcBorders>
              <w:top w:val="nil"/>
              <w:left w:val="nil"/>
              <w:bottom w:val="single" w:color="000000" w:sz="4" w:space="0"/>
              <w:right w:val="single" w:color="000000" w:sz="4" w:space="0"/>
            </w:tcBorders>
          </w:tcPr>
          <w:p w14:paraId="6746B5CD">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7F154194">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594E168C">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6205B3BB">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0CC8F2E4">
            <w:pPr>
              <w:pStyle w:val="17"/>
              <w:spacing w:before="32" w:line="259" w:lineRule="exact"/>
              <w:ind w:left="105" w:right="77"/>
              <w:rPr>
                <w:rFonts w:ascii="Times New Roman"/>
                <w:sz w:val="21"/>
              </w:rPr>
            </w:pPr>
            <w:r>
              <w:rPr>
                <w:rFonts w:ascii="Times New Roman"/>
                <w:position w:val="2"/>
                <w:sz w:val="21"/>
              </w:rPr>
              <w:t>BOD</w:t>
            </w:r>
            <w:r>
              <w:rPr>
                <w:rFonts w:ascii="Times New Roman"/>
                <w:position w:val="2"/>
                <w:sz w:val="21"/>
                <w:vertAlign w:val="subscript"/>
              </w:rPr>
              <w:t>5</w:t>
            </w:r>
          </w:p>
        </w:tc>
        <w:tc>
          <w:tcPr>
            <w:tcW w:w="1654" w:type="dxa"/>
            <w:tcBorders>
              <w:top w:val="single" w:color="000000" w:sz="4" w:space="0"/>
              <w:left w:val="single" w:color="000000" w:sz="4" w:space="0"/>
              <w:bottom w:val="single" w:color="000000" w:sz="4" w:space="0"/>
              <w:right w:val="single" w:color="000000" w:sz="4" w:space="0"/>
            </w:tcBorders>
          </w:tcPr>
          <w:p w14:paraId="5EBD3562">
            <w:pPr>
              <w:pStyle w:val="17"/>
              <w:spacing w:before="36"/>
              <w:ind w:left="64" w:right="20"/>
              <w:rPr>
                <w:rFonts w:ascii="Times New Roman"/>
                <w:sz w:val="21"/>
              </w:rPr>
            </w:pPr>
            <w:r>
              <w:rPr>
                <w:rFonts w:ascii="Times New Roman"/>
                <w:sz w:val="21"/>
              </w:rPr>
              <w:t>120mg/L</w:t>
            </w:r>
          </w:p>
        </w:tc>
        <w:tc>
          <w:tcPr>
            <w:tcW w:w="1394" w:type="dxa"/>
            <w:tcBorders>
              <w:top w:val="single" w:color="000000" w:sz="4" w:space="0"/>
              <w:left w:val="single" w:color="000000" w:sz="4" w:space="0"/>
              <w:bottom w:val="single" w:color="000000" w:sz="4" w:space="0"/>
              <w:right w:val="single" w:color="000000" w:sz="4" w:space="0"/>
            </w:tcBorders>
          </w:tcPr>
          <w:p w14:paraId="2A2156B1">
            <w:pPr>
              <w:pStyle w:val="17"/>
              <w:spacing w:before="36"/>
              <w:ind w:right="438"/>
              <w:jc w:val="right"/>
              <w:rPr>
                <w:rFonts w:ascii="Times New Roman"/>
                <w:sz w:val="21"/>
              </w:rPr>
            </w:pPr>
            <w:r>
              <w:rPr>
                <w:rFonts w:ascii="Times New Roman"/>
                <w:sz w:val="21"/>
              </w:rPr>
              <w:t>0.073</w:t>
            </w:r>
          </w:p>
        </w:tc>
        <w:tc>
          <w:tcPr>
            <w:tcW w:w="2535" w:type="dxa"/>
            <w:vMerge w:val="continue"/>
            <w:tcBorders>
              <w:top w:val="nil"/>
              <w:left w:val="single" w:color="000000" w:sz="4" w:space="0"/>
              <w:bottom w:val="single" w:color="000000" w:sz="4" w:space="0"/>
              <w:right w:val="single" w:color="000000" w:sz="4" w:space="0"/>
            </w:tcBorders>
          </w:tcPr>
          <w:p w14:paraId="501A7DFB">
            <w:pPr>
              <w:rPr>
                <w:sz w:val="2"/>
                <w:szCs w:val="2"/>
              </w:rPr>
            </w:pPr>
          </w:p>
        </w:tc>
        <w:tc>
          <w:tcPr>
            <w:tcW w:w="2535" w:type="dxa"/>
            <w:vMerge w:val="continue"/>
            <w:tcBorders>
              <w:top w:val="nil"/>
              <w:left w:val="single" w:color="000000" w:sz="4" w:space="0"/>
              <w:bottom w:val="single" w:color="000000" w:sz="4" w:space="0"/>
              <w:right w:val="nil"/>
            </w:tcBorders>
          </w:tcPr>
          <w:p w14:paraId="284472EE">
            <w:pPr>
              <w:rPr>
                <w:sz w:val="2"/>
                <w:szCs w:val="2"/>
              </w:rPr>
            </w:pPr>
          </w:p>
        </w:tc>
      </w:tr>
      <w:tr w14:paraId="065795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continue"/>
            <w:tcBorders>
              <w:top w:val="nil"/>
              <w:left w:val="nil"/>
              <w:bottom w:val="single" w:color="000000" w:sz="4" w:space="0"/>
              <w:right w:val="single" w:color="000000" w:sz="4" w:space="0"/>
            </w:tcBorders>
          </w:tcPr>
          <w:p w14:paraId="0B0FF73F">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0A1A5854">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6A9427FC">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5654A451">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1CCA0BFE">
            <w:pPr>
              <w:pStyle w:val="17"/>
              <w:spacing w:before="35"/>
              <w:ind w:left="104" w:right="78"/>
              <w:rPr>
                <w:rFonts w:ascii="Times New Roman"/>
                <w:sz w:val="21"/>
              </w:rPr>
            </w:pPr>
            <w:r>
              <w:rPr>
                <w:rFonts w:ascii="Times New Roman"/>
                <w:sz w:val="21"/>
              </w:rPr>
              <w:t>SS</w:t>
            </w:r>
          </w:p>
        </w:tc>
        <w:tc>
          <w:tcPr>
            <w:tcW w:w="1654" w:type="dxa"/>
            <w:tcBorders>
              <w:top w:val="single" w:color="000000" w:sz="4" w:space="0"/>
              <w:left w:val="single" w:color="000000" w:sz="4" w:space="0"/>
              <w:bottom w:val="single" w:color="000000" w:sz="4" w:space="0"/>
              <w:right w:val="single" w:color="000000" w:sz="4" w:space="0"/>
            </w:tcBorders>
          </w:tcPr>
          <w:p w14:paraId="150AF3F4">
            <w:pPr>
              <w:pStyle w:val="17"/>
              <w:spacing w:before="35"/>
              <w:ind w:left="64" w:right="23"/>
              <w:rPr>
                <w:rFonts w:ascii="Times New Roman"/>
                <w:sz w:val="21"/>
              </w:rPr>
            </w:pPr>
            <w:r>
              <w:rPr>
                <w:rFonts w:ascii="Times New Roman"/>
                <w:sz w:val="21"/>
              </w:rPr>
              <w:t>80mg/L</w:t>
            </w:r>
          </w:p>
        </w:tc>
        <w:tc>
          <w:tcPr>
            <w:tcW w:w="1394" w:type="dxa"/>
            <w:tcBorders>
              <w:top w:val="single" w:color="000000" w:sz="4" w:space="0"/>
              <w:left w:val="single" w:color="000000" w:sz="4" w:space="0"/>
              <w:bottom w:val="single" w:color="000000" w:sz="4" w:space="0"/>
              <w:right w:val="single" w:color="000000" w:sz="4" w:space="0"/>
            </w:tcBorders>
          </w:tcPr>
          <w:p w14:paraId="56CC66CA">
            <w:pPr>
              <w:pStyle w:val="17"/>
              <w:spacing w:before="35"/>
              <w:ind w:right="438"/>
              <w:jc w:val="right"/>
              <w:rPr>
                <w:rFonts w:ascii="Times New Roman"/>
                <w:sz w:val="21"/>
              </w:rPr>
            </w:pPr>
            <w:r>
              <w:rPr>
                <w:rFonts w:ascii="Times New Roman"/>
                <w:sz w:val="21"/>
              </w:rPr>
              <w:t>0.049</w:t>
            </w:r>
          </w:p>
        </w:tc>
        <w:tc>
          <w:tcPr>
            <w:tcW w:w="2535" w:type="dxa"/>
            <w:vMerge w:val="continue"/>
            <w:tcBorders>
              <w:top w:val="nil"/>
              <w:left w:val="single" w:color="000000" w:sz="4" w:space="0"/>
              <w:bottom w:val="single" w:color="000000" w:sz="4" w:space="0"/>
              <w:right w:val="single" w:color="000000" w:sz="4" w:space="0"/>
            </w:tcBorders>
          </w:tcPr>
          <w:p w14:paraId="2DC972AC">
            <w:pPr>
              <w:rPr>
                <w:sz w:val="2"/>
                <w:szCs w:val="2"/>
              </w:rPr>
            </w:pPr>
          </w:p>
        </w:tc>
        <w:tc>
          <w:tcPr>
            <w:tcW w:w="2535" w:type="dxa"/>
            <w:vMerge w:val="continue"/>
            <w:tcBorders>
              <w:top w:val="nil"/>
              <w:left w:val="single" w:color="000000" w:sz="4" w:space="0"/>
              <w:bottom w:val="single" w:color="000000" w:sz="4" w:space="0"/>
              <w:right w:val="nil"/>
            </w:tcBorders>
          </w:tcPr>
          <w:p w14:paraId="001A08B6">
            <w:pPr>
              <w:rPr>
                <w:sz w:val="2"/>
                <w:szCs w:val="2"/>
              </w:rPr>
            </w:pPr>
          </w:p>
        </w:tc>
      </w:tr>
      <w:tr w14:paraId="138AE0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490" w:type="dxa"/>
            <w:vMerge w:val="continue"/>
            <w:tcBorders>
              <w:top w:val="nil"/>
              <w:left w:val="nil"/>
              <w:bottom w:val="single" w:color="000000" w:sz="4" w:space="0"/>
              <w:right w:val="single" w:color="000000" w:sz="4" w:space="0"/>
            </w:tcBorders>
          </w:tcPr>
          <w:p w14:paraId="0EC1BE75">
            <w:pPr>
              <w:rPr>
                <w:sz w:val="2"/>
                <w:szCs w:val="2"/>
              </w:rPr>
            </w:pPr>
          </w:p>
        </w:tc>
        <w:tc>
          <w:tcPr>
            <w:tcW w:w="1028" w:type="dxa"/>
            <w:vMerge w:val="continue"/>
            <w:tcBorders>
              <w:top w:val="nil"/>
              <w:left w:val="single" w:color="000000" w:sz="4" w:space="0"/>
              <w:bottom w:val="single" w:color="000000" w:sz="4" w:space="0"/>
              <w:right w:val="single" w:color="000000" w:sz="4" w:space="0"/>
            </w:tcBorders>
          </w:tcPr>
          <w:p w14:paraId="4584FA19">
            <w:pPr>
              <w:rPr>
                <w:sz w:val="2"/>
                <w:szCs w:val="2"/>
              </w:rPr>
            </w:pPr>
          </w:p>
        </w:tc>
        <w:tc>
          <w:tcPr>
            <w:tcW w:w="1170" w:type="dxa"/>
            <w:vMerge w:val="continue"/>
            <w:tcBorders>
              <w:top w:val="nil"/>
              <w:left w:val="single" w:color="000000" w:sz="4" w:space="0"/>
              <w:bottom w:val="single" w:color="000000" w:sz="4" w:space="0"/>
              <w:right w:val="single" w:color="000000" w:sz="4" w:space="0"/>
            </w:tcBorders>
          </w:tcPr>
          <w:p w14:paraId="1F6E5044">
            <w:pPr>
              <w:rPr>
                <w:sz w:val="2"/>
                <w:szCs w:val="2"/>
              </w:rPr>
            </w:pPr>
          </w:p>
        </w:tc>
        <w:tc>
          <w:tcPr>
            <w:tcW w:w="2272" w:type="dxa"/>
            <w:vMerge w:val="continue"/>
            <w:tcBorders>
              <w:top w:val="nil"/>
              <w:left w:val="single" w:color="000000" w:sz="4" w:space="0"/>
              <w:bottom w:val="single" w:color="000000" w:sz="4" w:space="0"/>
              <w:right w:val="single" w:color="000000" w:sz="4" w:space="0"/>
            </w:tcBorders>
          </w:tcPr>
          <w:p w14:paraId="0FF5F0B0">
            <w:pPr>
              <w:rPr>
                <w:sz w:val="2"/>
                <w:szCs w:val="2"/>
              </w:rPr>
            </w:pPr>
          </w:p>
        </w:tc>
        <w:tc>
          <w:tcPr>
            <w:tcW w:w="1073" w:type="dxa"/>
            <w:tcBorders>
              <w:top w:val="single" w:color="000000" w:sz="4" w:space="0"/>
              <w:left w:val="single" w:color="000000" w:sz="4" w:space="0"/>
              <w:bottom w:val="single" w:color="000000" w:sz="4" w:space="0"/>
              <w:right w:val="single" w:color="000000" w:sz="4" w:space="0"/>
            </w:tcBorders>
          </w:tcPr>
          <w:p w14:paraId="207947F2">
            <w:pPr>
              <w:pStyle w:val="17"/>
              <w:spacing w:before="21"/>
              <w:ind w:left="103" w:right="78"/>
              <w:rPr>
                <w:sz w:val="21"/>
              </w:rPr>
            </w:pPr>
            <w:r>
              <w:rPr>
                <w:sz w:val="21"/>
              </w:rPr>
              <w:t>氨氮</w:t>
            </w:r>
          </w:p>
        </w:tc>
        <w:tc>
          <w:tcPr>
            <w:tcW w:w="1654" w:type="dxa"/>
            <w:tcBorders>
              <w:top w:val="single" w:color="000000" w:sz="4" w:space="0"/>
              <w:left w:val="single" w:color="000000" w:sz="4" w:space="0"/>
              <w:bottom w:val="single" w:color="000000" w:sz="4" w:space="0"/>
              <w:right w:val="single" w:color="000000" w:sz="4" w:space="0"/>
            </w:tcBorders>
          </w:tcPr>
          <w:p w14:paraId="2A92BB17">
            <w:pPr>
              <w:pStyle w:val="17"/>
              <w:spacing w:before="35"/>
              <w:ind w:left="64" w:right="23"/>
              <w:rPr>
                <w:rFonts w:ascii="Times New Roman"/>
                <w:sz w:val="21"/>
              </w:rPr>
            </w:pPr>
            <w:r>
              <w:rPr>
                <w:rFonts w:ascii="Times New Roman"/>
                <w:sz w:val="21"/>
              </w:rPr>
              <w:t>25mg/L</w:t>
            </w:r>
          </w:p>
        </w:tc>
        <w:tc>
          <w:tcPr>
            <w:tcW w:w="1394" w:type="dxa"/>
            <w:tcBorders>
              <w:top w:val="single" w:color="000000" w:sz="4" w:space="0"/>
              <w:left w:val="single" w:color="000000" w:sz="4" w:space="0"/>
              <w:bottom w:val="single" w:color="000000" w:sz="4" w:space="0"/>
              <w:right w:val="single" w:color="000000" w:sz="4" w:space="0"/>
            </w:tcBorders>
          </w:tcPr>
          <w:p w14:paraId="444E7D7F">
            <w:pPr>
              <w:pStyle w:val="17"/>
              <w:spacing w:before="35"/>
              <w:ind w:right="438"/>
              <w:jc w:val="right"/>
              <w:rPr>
                <w:rFonts w:ascii="Times New Roman"/>
                <w:sz w:val="21"/>
              </w:rPr>
            </w:pPr>
            <w:r>
              <w:rPr>
                <w:rFonts w:ascii="Times New Roman"/>
                <w:sz w:val="21"/>
              </w:rPr>
              <w:t>0.015</w:t>
            </w:r>
          </w:p>
        </w:tc>
        <w:tc>
          <w:tcPr>
            <w:tcW w:w="2535" w:type="dxa"/>
            <w:vMerge w:val="continue"/>
            <w:tcBorders>
              <w:top w:val="nil"/>
              <w:left w:val="single" w:color="000000" w:sz="4" w:space="0"/>
              <w:bottom w:val="single" w:color="000000" w:sz="4" w:space="0"/>
              <w:right w:val="single" w:color="000000" w:sz="4" w:space="0"/>
            </w:tcBorders>
          </w:tcPr>
          <w:p w14:paraId="09367E0B">
            <w:pPr>
              <w:rPr>
                <w:sz w:val="2"/>
                <w:szCs w:val="2"/>
              </w:rPr>
            </w:pPr>
          </w:p>
        </w:tc>
        <w:tc>
          <w:tcPr>
            <w:tcW w:w="2535" w:type="dxa"/>
            <w:vMerge w:val="continue"/>
            <w:tcBorders>
              <w:top w:val="nil"/>
              <w:left w:val="single" w:color="000000" w:sz="4" w:space="0"/>
              <w:bottom w:val="single" w:color="000000" w:sz="4" w:space="0"/>
              <w:right w:val="nil"/>
            </w:tcBorders>
          </w:tcPr>
          <w:p w14:paraId="479E7084">
            <w:pPr>
              <w:rPr>
                <w:sz w:val="2"/>
                <w:szCs w:val="2"/>
              </w:rPr>
            </w:pPr>
          </w:p>
        </w:tc>
      </w:tr>
      <w:tr w14:paraId="361E5B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490" w:type="dxa"/>
            <w:vMerge w:val="restart"/>
            <w:tcBorders>
              <w:top w:val="single" w:color="000000" w:sz="4" w:space="0"/>
              <w:left w:val="nil"/>
              <w:right w:val="single" w:color="000000" w:sz="4" w:space="0"/>
            </w:tcBorders>
          </w:tcPr>
          <w:p w14:paraId="2049BF9A">
            <w:pPr>
              <w:pStyle w:val="17"/>
              <w:jc w:val="left"/>
              <w:rPr>
                <w:rFonts w:ascii="Times New Roman"/>
                <w:sz w:val="20"/>
              </w:rPr>
            </w:pPr>
          </w:p>
          <w:p w14:paraId="05167879">
            <w:pPr>
              <w:pStyle w:val="17"/>
              <w:jc w:val="left"/>
              <w:rPr>
                <w:rFonts w:ascii="Times New Roman"/>
                <w:sz w:val="20"/>
              </w:rPr>
            </w:pPr>
          </w:p>
          <w:p w14:paraId="30BEC6A3">
            <w:pPr>
              <w:pStyle w:val="17"/>
              <w:jc w:val="left"/>
              <w:rPr>
                <w:rFonts w:ascii="Times New Roman"/>
                <w:sz w:val="20"/>
              </w:rPr>
            </w:pPr>
          </w:p>
          <w:p w14:paraId="55C78C29">
            <w:pPr>
              <w:pStyle w:val="17"/>
              <w:jc w:val="left"/>
              <w:rPr>
                <w:rFonts w:ascii="Times New Roman"/>
                <w:sz w:val="20"/>
              </w:rPr>
            </w:pPr>
          </w:p>
          <w:p w14:paraId="6673B26F">
            <w:pPr>
              <w:pStyle w:val="17"/>
              <w:spacing w:before="11"/>
              <w:jc w:val="left"/>
              <w:rPr>
                <w:rFonts w:ascii="Times New Roman"/>
                <w:sz w:val="21"/>
              </w:rPr>
            </w:pPr>
          </w:p>
          <w:p w14:paraId="4D4DF854">
            <w:pPr>
              <w:pStyle w:val="17"/>
              <w:spacing w:line="278" w:lineRule="auto"/>
              <w:ind w:left="46" w:right="18"/>
              <w:jc w:val="both"/>
              <w:rPr>
                <w:sz w:val="21"/>
              </w:rPr>
            </w:pPr>
            <w:r>
              <w:rPr>
                <w:w w:val="95"/>
                <w:sz w:val="21"/>
              </w:rPr>
              <w:t>固体废物防治措施</w:t>
            </w:r>
          </w:p>
        </w:tc>
        <w:tc>
          <w:tcPr>
            <w:tcW w:w="1028" w:type="dxa"/>
            <w:vMerge w:val="restart"/>
            <w:tcBorders>
              <w:top w:val="single" w:color="000000" w:sz="4" w:space="0"/>
              <w:left w:val="single" w:color="000000" w:sz="4" w:space="0"/>
              <w:right w:val="single" w:color="000000" w:sz="4" w:space="0"/>
            </w:tcBorders>
          </w:tcPr>
          <w:p w14:paraId="1AFCFB13">
            <w:pPr>
              <w:pStyle w:val="17"/>
              <w:jc w:val="left"/>
              <w:rPr>
                <w:rFonts w:ascii="Times New Roman"/>
                <w:sz w:val="22"/>
              </w:rPr>
            </w:pPr>
          </w:p>
          <w:p w14:paraId="6AF5EEAC">
            <w:pPr>
              <w:pStyle w:val="17"/>
              <w:jc w:val="left"/>
              <w:rPr>
                <w:rFonts w:ascii="Times New Roman"/>
                <w:sz w:val="22"/>
              </w:rPr>
            </w:pPr>
          </w:p>
          <w:p w14:paraId="5474199E">
            <w:pPr>
              <w:pStyle w:val="17"/>
              <w:jc w:val="left"/>
              <w:rPr>
                <w:rFonts w:ascii="Times New Roman"/>
                <w:sz w:val="22"/>
              </w:rPr>
            </w:pPr>
          </w:p>
          <w:p w14:paraId="299B1988">
            <w:pPr>
              <w:pStyle w:val="17"/>
              <w:jc w:val="left"/>
              <w:rPr>
                <w:rFonts w:ascii="Times New Roman"/>
                <w:sz w:val="22"/>
              </w:rPr>
            </w:pPr>
          </w:p>
          <w:p w14:paraId="7FC10738">
            <w:pPr>
              <w:pStyle w:val="17"/>
              <w:jc w:val="left"/>
              <w:rPr>
                <w:rFonts w:ascii="Times New Roman"/>
                <w:sz w:val="22"/>
              </w:rPr>
            </w:pPr>
          </w:p>
          <w:p w14:paraId="7CEB9672">
            <w:pPr>
              <w:pStyle w:val="17"/>
              <w:jc w:val="left"/>
              <w:rPr>
                <w:rFonts w:ascii="Times New Roman"/>
                <w:sz w:val="22"/>
              </w:rPr>
            </w:pPr>
          </w:p>
          <w:p w14:paraId="601369D8">
            <w:pPr>
              <w:pStyle w:val="17"/>
              <w:spacing w:before="137"/>
              <w:ind w:left="29"/>
              <w:rPr>
                <w:rFonts w:ascii="Times New Roman"/>
                <w:sz w:val="21"/>
              </w:rPr>
            </w:pPr>
            <w:r>
              <w:rPr>
                <w:rFonts w:ascii="Times New Roman"/>
                <w:w w:val="99"/>
                <w:sz w:val="21"/>
              </w:rPr>
              <w:t>/</w:t>
            </w:r>
          </w:p>
        </w:tc>
        <w:tc>
          <w:tcPr>
            <w:tcW w:w="1170" w:type="dxa"/>
            <w:tcBorders>
              <w:top w:val="single" w:color="000000" w:sz="4" w:space="0"/>
              <w:left w:val="single" w:color="000000" w:sz="4" w:space="0"/>
              <w:bottom w:val="single" w:color="000000" w:sz="4" w:space="0"/>
              <w:right w:val="single" w:color="000000" w:sz="4" w:space="0"/>
            </w:tcBorders>
          </w:tcPr>
          <w:p w14:paraId="3B168239">
            <w:pPr>
              <w:pStyle w:val="17"/>
              <w:spacing w:before="21" w:line="261" w:lineRule="exact"/>
              <w:ind w:left="383"/>
              <w:jc w:val="left"/>
              <w:rPr>
                <w:sz w:val="21"/>
              </w:rPr>
            </w:pPr>
            <w:r>
              <w:rPr>
                <w:sz w:val="21"/>
              </w:rPr>
              <w:t>生活</w:t>
            </w:r>
          </w:p>
        </w:tc>
        <w:tc>
          <w:tcPr>
            <w:tcW w:w="3345" w:type="dxa"/>
            <w:gridSpan w:val="2"/>
            <w:tcBorders>
              <w:top w:val="single" w:color="000000" w:sz="4" w:space="0"/>
              <w:left w:val="single" w:color="000000" w:sz="4" w:space="0"/>
              <w:bottom w:val="single" w:color="000000" w:sz="4" w:space="0"/>
              <w:right w:val="single" w:color="000000" w:sz="4" w:space="0"/>
            </w:tcBorders>
          </w:tcPr>
          <w:p w14:paraId="65F51C84">
            <w:pPr>
              <w:pStyle w:val="17"/>
              <w:spacing w:before="21" w:line="261" w:lineRule="exact"/>
              <w:ind w:left="1134" w:right="1110"/>
              <w:rPr>
                <w:sz w:val="21"/>
              </w:rPr>
            </w:pPr>
            <w:r>
              <w:rPr>
                <w:sz w:val="21"/>
              </w:rPr>
              <w:t>生活垃圾</w:t>
            </w:r>
          </w:p>
        </w:tc>
        <w:tc>
          <w:tcPr>
            <w:tcW w:w="1654" w:type="dxa"/>
            <w:tcBorders>
              <w:top w:val="single" w:color="000000" w:sz="4" w:space="0"/>
              <w:left w:val="single" w:color="000000" w:sz="4" w:space="0"/>
              <w:bottom w:val="single" w:color="000000" w:sz="4" w:space="0"/>
              <w:right w:val="single" w:color="000000" w:sz="4" w:space="0"/>
            </w:tcBorders>
          </w:tcPr>
          <w:p w14:paraId="510C934B">
            <w:pPr>
              <w:pStyle w:val="17"/>
              <w:spacing w:before="3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7E54BF55">
            <w:pPr>
              <w:pStyle w:val="17"/>
              <w:spacing w:before="34"/>
              <w:ind w:left="212" w:right="184"/>
              <w:rPr>
                <w:rFonts w:ascii="Times New Roman"/>
                <w:sz w:val="21"/>
              </w:rPr>
            </w:pPr>
            <w:r>
              <w:rPr>
                <w:rFonts w:ascii="Times New Roman"/>
                <w:sz w:val="21"/>
              </w:rPr>
              <w:t>3.0</w:t>
            </w:r>
          </w:p>
        </w:tc>
        <w:tc>
          <w:tcPr>
            <w:tcW w:w="2535" w:type="dxa"/>
            <w:tcBorders>
              <w:top w:val="single" w:color="000000" w:sz="4" w:space="0"/>
              <w:left w:val="single" w:color="000000" w:sz="4" w:space="0"/>
              <w:bottom w:val="single" w:color="000000" w:sz="4" w:space="0"/>
              <w:right w:val="single" w:color="000000" w:sz="4" w:space="0"/>
            </w:tcBorders>
          </w:tcPr>
          <w:p w14:paraId="0180E3BA">
            <w:pPr>
              <w:pStyle w:val="17"/>
              <w:spacing w:before="21" w:line="261" w:lineRule="exact"/>
              <w:ind w:left="54" w:right="30"/>
              <w:rPr>
                <w:sz w:val="21"/>
              </w:rPr>
            </w:pPr>
            <w:r>
              <w:rPr>
                <w:sz w:val="21"/>
              </w:rPr>
              <w:t>交由环卫部门处理</w:t>
            </w:r>
          </w:p>
        </w:tc>
        <w:tc>
          <w:tcPr>
            <w:tcW w:w="2535" w:type="dxa"/>
            <w:vMerge w:val="restart"/>
            <w:tcBorders>
              <w:top w:val="single" w:color="000000" w:sz="4" w:space="0"/>
              <w:left w:val="single" w:color="000000" w:sz="4" w:space="0"/>
              <w:right w:val="nil"/>
            </w:tcBorders>
          </w:tcPr>
          <w:p w14:paraId="1C08AFA5">
            <w:pPr>
              <w:pStyle w:val="17"/>
              <w:jc w:val="left"/>
              <w:rPr>
                <w:rFonts w:ascii="Times New Roman"/>
                <w:sz w:val="20"/>
              </w:rPr>
            </w:pPr>
          </w:p>
          <w:p w14:paraId="3EE33238">
            <w:pPr>
              <w:pStyle w:val="17"/>
              <w:jc w:val="left"/>
              <w:rPr>
                <w:rFonts w:ascii="Times New Roman"/>
                <w:sz w:val="20"/>
              </w:rPr>
            </w:pPr>
          </w:p>
          <w:p w14:paraId="431A2ED9">
            <w:pPr>
              <w:pStyle w:val="17"/>
              <w:jc w:val="left"/>
              <w:rPr>
                <w:rFonts w:ascii="Times New Roman"/>
                <w:sz w:val="20"/>
              </w:rPr>
            </w:pPr>
          </w:p>
          <w:p w14:paraId="37F8CAB3">
            <w:pPr>
              <w:pStyle w:val="17"/>
              <w:jc w:val="left"/>
              <w:rPr>
                <w:rFonts w:ascii="Times New Roman"/>
                <w:sz w:val="20"/>
              </w:rPr>
            </w:pPr>
          </w:p>
          <w:p w14:paraId="6080A9FA">
            <w:pPr>
              <w:pStyle w:val="17"/>
              <w:jc w:val="left"/>
              <w:rPr>
                <w:rFonts w:ascii="Times New Roman"/>
                <w:sz w:val="20"/>
              </w:rPr>
            </w:pPr>
          </w:p>
          <w:p w14:paraId="0C3D0F77">
            <w:pPr>
              <w:pStyle w:val="17"/>
              <w:jc w:val="left"/>
              <w:rPr>
                <w:rFonts w:ascii="Times New Roman"/>
                <w:sz w:val="20"/>
              </w:rPr>
            </w:pPr>
          </w:p>
          <w:p w14:paraId="5EADFC02">
            <w:pPr>
              <w:pStyle w:val="17"/>
              <w:spacing w:before="7"/>
              <w:jc w:val="left"/>
              <w:rPr>
                <w:rFonts w:ascii="Times New Roman"/>
                <w:sz w:val="22"/>
              </w:rPr>
            </w:pPr>
          </w:p>
          <w:p w14:paraId="7E45A1EC">
            <w:pPr>
              <w:pStyle w:val="17"/>
              <w:spacing w:before="1"/>
              <w:ind w:left="860"/>
              <w:jc w:val="left"/>
              <w:rPr>
                <w:sz w:val="21"/>
              </w:rPr>
            </w:pPr>
            <w:r>
              <w:rPr>
                <w:sz w:val="21"/>
              </w:rPr>
              <w:t>妥善处置</w:t>
            </w:r>
          </w:p>
        </w:tc>
      </w:tr>
      <w:tr w14:paraId="793A06C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067C34FC">
            <w:pPr>
              <w:rPr>
                <w:sz w:val="2"/>
                <w:szCs w:val="2"/>
              </w:rPr>
            </w:pPr>
          </w:p>
        </w:tc>
        <w:tc>
          <w:tcPr>
            <w:tcW w:w="1028" w:type="dxa"/>
            <w:vMerge w:val="continue"/>
            <w:tcBorders>
              <w:top w:val="nil"/>
              <w:left w:val="single" w:color="000000" w:sz="4" w:space="0"/>
              <w:right w:val="single" w:color="000000" w:sz="4" w:space="0"/>
            </w:tcBorders>
          </w:tcPr>
          <w:p w14:paraId="14B50376">
            <w:pPr>
              <w:rPr>
                <w:sz w:val="2"/>
                <w:szCs w:val="2"/>
              </w:rPr>
            </w:pPr>
          </w:p>
        </w:tc>
        <w:tc>
          <w:tcPr>
            <w:tcW w:w="1170" w:type="dxa"/>
            <w:vMerge w:val="restart"/>
            <w:tcBorders>
              <w:top w:val="single" w:color="000000" w:sz="4" w:space="0"/>
              <w:left w:val="single" w:color="000000" w:sz="4" w:space="0"/>
              <w:right w:val="single" w:color="000000" w:sz="4" w:space="0"/>
            </w:tcBorders>
          </w:tcPr>
          <w:p w14:paraId="7C80AD12">
            <w:pPr>
              <w:pStyle w:val="17"/>
              <w:jc w:val="left"/>
              <w:rPr>
                <w:rFonts w:ascii="Times New Roman"/>
                <w:sz w:val="20"/>
              </w:rPr>
            </w:pPr>
          </w:p>
          <w:p w14:paraId="461221E4">
            <w:pPr>
              <w:pStyle w:val="17"/>
              <w:jc w:val="left"/>
              <w:rPr>
                <w:rFonts w:ascii="Times New Roman"/>
                <w:sz w:val="20"/>
              </w:rPr>
            </w:pPr>
          </w:p>
          <w:p w14:paraId="2ED52383">
            <w:pPr>
              <w:pStyle w:val="17"/>
              <w:jc w:val="left"/>
              <w:rPr>
                <w:rFonts w:ascii="Times New Roman"/>
                <w:sz w:val="20"/>
              </w:rPr>
            </w:pPr>
          </w:p>
          <w:p w14:paraId="7C2ECDFA">
            <w:pPr>
              <w:pStyle w:val="17"/>
              <w:jc w:val="left"/>
              <w:rPr>
                <w:rFonts w:ascii="Times New Roman"/>
                <w:sz w:val="20"/>
              </w:rPr>
            </w:pPr>
          </w:p>
          <w:p w14:paraId="61AE0581">
            <w:pPr>
              <w:pStyle w:val="17"/>
              <w:jc w:val="left"/>
              <w:rPr>
                <w:rFonts w:ascii="Times New Roman"/>
                <w:sz w:val="20"/>
              </w:rPr>
            </w:pPr>
          </w:p>
          <w:p w14:paraId="6851B991">
            <w:pPr>
              <w:pStyle w:val="17"/>
              <w:spacing w:before="9"/>
              <w:jc w:val="left"/>
              <w:rPr>
                <w:rFonts w:ascii="Times New Roman"/>
                <w:sz w:val="27"/>
              </w:rPr>
            </w:pPr>
          </w:p>
          <w:p w14:paraId="42FCA521">
            <w:pPr>
              <w:pStyle w:val="17"/>
              <w:ind w:left="383"/>
              <w:jc w:val="left"/>
              <w:rPr>
                <w:sz w:val="21"/>
              </w:rPr>
            </w:pPr>
            <w:r>
              <w:rPr>
                <w:sz w:val="21"/>
              </w:rPr>
              <w:t>生产</w:t>
            </w:r>
          </w:p>
        </w:tc>
        <w:tc>
          <w:tcPr>
            <w:tcW w:w="3345" w:type="dxa"/>
            <w:gridSpan w:val="2"/>
            <w:tcBorders>
              <w:top w:val="single" w:color="000000" w:sz="4" w:space="0"/>
              <w:left w:val="single" w:color="000000" w:sz="4" w:space="0"/>
              <w:bottom w:val="single" w:color="000000" w:sz="4" w:space="0"/>
              <w:right w:val="single" w:color="000000" w:sz="4" w:space="0"/>
            </w:tcBorders>
          </w:tcPr>
          <w:p w14:paraId="6438908D">
            <w:pPr>
              <w:pStyle w:val="17"/>
              <w:spacing w:before="10" w:line="262" w:lineRule="exact"/>
              <w:ind w:left="1134" w:right="1110"/>
              <w:rPr>
                <w:sz w:val="21"/>
              </w:rPr>
            </w:pPr>
            <w:r>
              <w:rPr>
                <w:sz w:val="21"/>
              </w:rPr>
              <w:t>收集除尘灰</w:t>
            </w:r>
          </w:p>
        </w:tc>
        <w:tc>
          <w:tcPr>
            <w:tcW w:w="1654" w:type="dxa"/>
            <w:tcBorders>
              <w:top w:val="single" w:color="000000" w:sz="4" w:space="0"/>
              <w:left w:val="single" w:color="000000" w:sz="4" w:space="0"/>
              <w:bottom w:val="single" w:color="000000" w:sz="4" w:space="0"/>
              <w:right w:val="single" w:color="000000" w:sz="4" w:space="0"/>
            </w:tcBorders>
          </w:tcPr>
          <w:p w14:paraId="59875C5F">
            <w:pPr>
              <w:pStyle w:val="17"/>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5555F0EA">
            <w:pPr>
              <w:pStyle w:val="17"/>
              <w:spacing w:before="24"/>
              <w:ind w:right="438"/>
              <w:jc w:val="right"/>
              <w:rPr>
                <w:rFonts w:ascii="Times New Roman"/>
                <w:sz w:val="21"/>
              </w:rPr>
            </w:pPr>
            <w:r>
              <w:rPr>
                <w:rFonts w:ascii="Times New Roman"/>
                <w:sz w:val="21"/>
              </w:rPr>
              <w:t>2.335</w:t>
            </w:r>
          </w:p>
        </w:tc>
        <w:tc>
          <w:tcPr>
            <w:tcW w:w="2535" w:type="dxa"/>
            <w:tcBorders>
              <w:top w:val="single" w:color="000000" w:sz="4" w:space="0"/>
              <w:left w:val="single" w:color="000000" w:sz="4" w:space="0"/>
              <w:bottom w:val="single" w:color="000000" w:sz="4" w:space="0"/>
              <w:right w:val="single" w:color="000000" w:sz="4" w:space="0"/>
            </w:tcBorders>
          </w:tcPr>
          <w:p w14:paraId="69630303">
            <w:pPr>
              <w:pStyle w:val="17"/>
              <w:spacing w:before="10" w:line="262" w:lineRule="exact"/>
              <w:ind w:left="54" w:right="30"/>
              <w:rPr>
                <w:sz w:val="21"/>
              </w:rPr>
            </w:pPr>
            <w:r>
              <w:rPr>
                <w:sz w:val="21"/>
              </w:rPr>
              <w:t>收集后可回用于生产</w:t>
            </w:r>
          </w:p>
        </w:tc>
        <w:tc>
          <w:tcPr>
            <w:tcW w:w="2535" w:type="dxa"/>
            <w:vMerge w:val="continue"/>
            <w:tcBorders>
              <w:top w:val="nil"/>
              <w:left w:val="single" w:color="000000" w:sz="4" w:space="0"/>
              <w:right w:val="nil"/>
            </w:tcBorders>
          </w:tcPr>
          <w:p w14:paraId="728AC35A">
            <w:pPr>
              <w:rPr>
                <w:sz w:val="2"/>
                <w:szCs w:val="2"/>
              </w:rPr>
            </w:pPr>
          </w:p>
        </w:tc>
      </w:tr>
      <w:tr w14:paraId="1E7E3A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06E6D222">
            <w:pPr>
              <w:rPr>
                <w:sz w:val="2"/>
                <w:szCs w:val="2"/>
              </w:rPr>
            </w:pPr>
          </w:p>
        </w:tc>
        <w:tc>
          <w:tcPr>
            <w:tcW w:w="1028" w:type="dxa"/>
            <w:vMerge w:val="continue"/>
            <w:tcBorders>
              <w:top w:val="nil"/>
              <w:left w:val="single" w:color="000000" w:sz="4" w:space="0"/>
              <w:right w:val="single" w:color="000000" w:sz="4" w:space="0"/>
            </w:tcBorders>
          </w:tcPr>
          <w:p w14:paraId="6596DE85">
            <w:pPr>
              <w:rPr>
                <w:sz w:val="2"/>
                <w:szCs w:val="2"/>
              </w:rPr>
            </w:pPr>
          </w:p>
        </w:tc>
        <w:tc>
          <w:tcPr>
            <w:tcW w:w="1170" w:type="dxa"/>
            <w:vMerge w:val="continue"/>
            <w:tcBorders>
              <w:top w:val="nil"/>
              <w:left w:val="single" w:color="000000" w:sz="4" w:space="0"/>
              <w:right w:val="single" w:color="000000" w:sz="4" w:space="0"/>
            </w:tcBorders>
          </w:tcPr>
          <w:p w14:paraId="1619C497">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3F69EFB6">
            <w:pPr>
              <w:pStyle w:val="17"/>
              <w:spacing w:before="10" w:line="262" w:lineRule="exact"/>
              <w:ind w:left="946"/>
              <w:jc w:val="left"/>
              <w:rPr>
                <w:sz w:val="21"/>
              </w:rPr>
            </w:pPr>
            <w:r>
              <w:rPr>
                <w:sz w:val="21"/>
              </w:rPr>
              <w:t>一般废包装材料</w:t>
            </w:r>
          </w:p>
        </w:tc>
        <w:tc>
          <w:tcPr>
            <w:tcW w:w="1654" w:type="dxa"/>
            <w:tcBorders>
              <w:top w:val="single" w:color="000000" w:sz="4" w:space="0"/>
              <w:left w:val="single" w:color="000000" w:sz="4" w:space="0"/>
              <w:bottom w:val="single" w:color="000000" w:sz="4" w:space="0"/>
              <w:right w:val="single" w:color="000000" w:sz="4" w:space="0"/>
            </w:tcBorders>
          </w:tcPr>
          <w:p w14:paraId="486DA424">
            <w:pPr>
              <w:pStyle w:val="17"/>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564CA28C">
            <w:pPr>
              <w:pStyle w:val="17"/>
              <w:spacing w:before="24"/>
              <w:ind w:left="212" w:right="184"/>
              <w:rPr>
                <w:rFonts w:ascii="Times New Roman"/>
                <w:sz w:val="21"/>
              </w:rPr>
            </w:pPr>
            <w:r>
              <w:rPr>
                <w:rFonts w:ascii="Times New Roman"/>
                <w:sz w:val="21"/>
              </w:rPr>
              <w:t>1.0</w:t>
            </w:r>
          </w:p>
        </w:tc>
        <w:tc>
          <w:tcPr>
            <w:tcW w:w="2535" w:type="dxa"/>
            <w:vMerge w:val="restart"/>
            <w:tcBorders>
              <w:top w:val="single" w:color="000000" w:sz="4" w:space="0"/>
              <w:left w:val="single" w:color="000000" w:sz="4" w:space="0"/>
              <w:right w:val="single" w:color="000000" w:sz="4" w:space="0"/>
            </w:tcBorders>
          </w:tcPr>
          <w:p w14:paraId="65E23B14">
            <w:pPr>
              <w:pStyle w:val="17"/>
              <w:jc w:val="left"/>
              <w:rPr>
                <w:rFonts w:ascii="Times New Roman"/>
                <w:sz w:val="29"/>
              </w:rPr>
            </w:pPr>
          </w:p>
          <w:p w14:paraId="434B940D">
            <w:pPr>
              <w:pStyle w:val="17"/>
              <w:ind w:left="330"/>
              <w:jc w:val="left"/>
              <w:rPr>
                <w:sz w:val="21"/>
              </w:rPr>
            </w:pPr>
            <w:r>
              <w:rPr>
                <w:sz w:val="21"/>
              </w:rPr>
              <w:t>外售至物资回收公司</w:t>
            </w:r>
          </w:p>
        </w:tc>
        <w:tc>
          <w:tcPr>
            <w:tcW w:w="2535" w:type="dxa"/>
            <w:vMerge w:val="continue"/>
            <w:tcBorders>
              <w:top w:val="nil"/>
              <w:left w:val="single" w:color="000000" w:sz="4" w:space="0"/>
              <w:right w:val="nil"/>
            </w:tcBorders>
          </w:tcPr>
          <w:p w14:paraId="6F095614">
            <w:pPr>
              <w:rPr>
                <w:sz w:val="2"/>
                <w:szCs w:val="2"/>
              </w:rPr>
            </w:pPr>
          </w:p>
        </w:tc>
      </w:tr>
      <w:tr w14:paraId="5A978D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0821522F">
            <w:pPr>
              <w:rPr>
                <w:sz w:val="2"/>
                <w:szCs w:val="2"/>
              </w:rPr>
            </w:pPr>
          </w:p>
        </w:tc>
        <w:tc>
          <w:tcPr>
            <w:tcW w:w="1028" w:type="dxa"/>
            <w:vMerge w:val="continue"/>
            <w:tcBorders>
              <w:top w:val="nil"/>
              <w:left w:val="single" w:color="000000" w:sz="4" w:space="0"/>
              <w:right w:val="single" w:color="000000" w:sz="4" w:space="0"/>
            </w:tcBorders>
          </w:tcPr>
          <w:p w14:paraId="1DD27A39">
            <w:pPr>
              <w:rPr>
                <w:sz w:val="2"/>
                <w:szCs w:val="2"/>
              </w:rPr>
            </w:pPr>
          </w:p>
        </w:tc>
        <w:tc>
          <w:tcPr>
            <w:tcW w:w="1170" w:type="dxa"/>
            <w:vMerge w:val="continue"/>
            <w:tcBorders>
              <w:top w:val="nil"/>
              <w:left w:val="single" w:color="000000" w:sz="4" w:space="0"/>
              <w:right w:val="single" w:color="000000" w:sz="4" w:space="0"/>
            </w:tcBorders>
          </w:tcPr>
          <w:p w14:paraId="1CDBA84A">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29F20A7C">
            <w:pPr>
              <w:pStyle w:val="17"/>
              <w:spacing w:before="12" w:line="260" w:lineRule="exact"/>
              <w:ind w:left="1134" w:right="1110"/>
              <w:rPr>
                <w:sz w:val="21"/>
              </w:rPr>
            </w:pPr>
            <w:r>
              <w:rPr>
                <w:sz w:val="21"/>
              </w:rPr>
              <w:t>造粒杂质</w:t>
            </w:r>
          </w:p>
        </w:tc>
        <w:tc>
          <w:tcPr>
            <w:tcW w:w="1654" w:type="dxa"/>
            <w:tcBorders>
              <w:top w:val="single" w:color="000000" w:sz="4" w:space="0"/>
              <w:left w:val="single" w:color="000000" w:sz="4" w:space="0"/>
              <w:bottom w:val="single" w:color="000000" w:sz="4" w:space="0"/>
              <w:right w:val="single" w:color="000000" w:sz="4" w:space="0"/>
            </w:tcBorders>
          </w:tcPr>
          <w:p w14:paraId="6667B9AF">
            <w:pPr>
              <w:pStyle w:val="17"/>
              <w:spacing w:before="26"/>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7E4A966E">
            <w:pPr>
              <w:pStyle w:val="17"/>
              <w:spacing w:before="26"/>
              <w:ind w:right="438"/>
              <w:jc w:val="right"/>
              <w:rPr>
                <w:rFonts w:ascii="Times New Roman"/>
                <w:sz w:val="21"/>
              </w:rPr>
            </w:pPr>
            <w:r>
              <w:rPr>
                <w:rFonts w:ascii="Times New Roman"/>
                <w:sz w:val="21"/>
              </w:rPr>
              <w:t>1.919</w:t>
            </w:r>
          </w:p>
        </w:tc>
        <w:tc>
          <w:tcPr>
            <w:tcW w:w="2535" w:type="dxa"/>
            <w:vMerge w:val="continue"/>
            <w:tcBorders>
              <w:top w:val="nil"/>
              <w:left w:val="single" w:color="000000" w:sz="4" w:space="0"/>
              <w:right w:val="single" w:color="000000" w:sz="4" w:space="0"/>
            </w:tcBorders>
          </w:tcPr>
          <w:p w14:paraId="3BA6A578">
            <w:pPr>
              <w:rPr>
                <w:sz w:val="2"/>
                <w:szCs w:val="2"/>
              </w:rPr>
            </w:pPr>
          </w:p>
        </w:tc>
        <w:tc>
          <w:tcPr>
            <w:tcW w:w="2535" w:type="dxa"/>
            <w:vMerge w:val="continue"/>
            <w:tcBorders>
              <w:top w:val="nil"/>
              <w:left w:val="single" w:color="000000" w:sz="4" w:space="0"/>
              <w:right w:val="nil"/>
            </w:tcBorders>
          </w:tcPr>
          <w:p w14:paraId="6EE93E9B">
            <w:pPr>
              <w:rPr>
                <w:sz w:val="2"/>
                <w:szCs w:val="2"/>
              </w:rPr>
            </w:pPr>
          </w:p>
        </w:tc>
      </w:tr>
      <w:tr w14:paraId="3A50EF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490" w:type="dxa"/>
            <w:vMerge w:val="continue"/>
            <w:tcBorders>
              <w:top w:val="nil"/>
              <w:left w:val="nil"/>
              <w:right w:val="single" w:color="000000" w:sz="4" w:space="0"/>
            </w:tcBorders>
          </w:tcPr>
          <w:p w14:paraId="59CD7700">
            <w:pPr>
              <w:rPr>
                <w:sz w:val="2"/>
                <w:szCs w:val="2"/>
              </w:rPr>
            </w:pPr>
          </w:p>
        </w:tc>
        <w:tc>
          <w:tcPr>
            <w:tcW w:w="1028" w:type="dxa"/>
            <w:vMerge w:val="continue"/>
            <w:tcBorders>
              <w:top w:val="nil"/>
              <w:left w:val="single" w:color="000000" w:sz="4" w:space="0"/>
              <w:right w:val="single" w:color="000000" w:sz="4" w:space="0"/>
            </w:tcBorders>
          </w:tcPr>
          <w:p w14:paraId="294366CA">
            <w:pPr>
              <w:rPr>
                <w:sz w:val="2"/>
                <w:szCs w:val="2"/>
              </w:rPr>
            </w:pPr>
          </w:p>
        </w:tc>
        <w:tc>
          <w:tcPr>
            <w:tcW w:w="1170" w:type="dxa"/>
            <w:vMerge w:val="continue"/>
            <w:tcBorders>
              <w:top w:val="nil"/>
              <w:left w:val="single" w:color="000000" w:sz="4" w:space="0"/>
              <w:right w:val="single" w:color="000000" w:sz="4" w:space="0"/>
            </w:tcBorders>
          </w:tcPr>
          <w:p w14:paraId="1E707E6B">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207325FD">
            <w:pPr>
              <w:pStyle w:val="17"/>
              <w:spacing w:before="11"/>
              <w:ind w:left="1134" w:right="1108"/>
              <w:rPr>
                <w:sz w:val="21"/>
              </w:rPr>
            </w:pPr>
            <w:r>
              <w:rPr>
                <w:sz w:val="21"/>
              </w:rPr>
              <w:t>废滤网</w:t>
            </w:r>
          </w:p>
        </w:tc>
        <w:tc>
          <w:tcPr>
            <w:tcW w:w="1654" w:type="dxa"/>
            <w:tcBorders>
              <w:top w:val="single" w:color="000000" w:sz="4" w:space="0"/>
              <w:left w:val="single" w:color="000000" w:sz="4" w:space="0"/>
              <w:bottom w:val="single" w:color="000000" w:sz="4" w:space="0"/>
              <w:right w:val="single" w:color="000000" w:sz="4" w:space="0"/>
            </w:tcBorders>
          </w:tcPr>
          <w:p w14:paraId="331617C4">
            <w:pPr>
              <w:pStyle w:val="17"/>
              <w:spacing w:before="25"/>
              <w:ind w:left="29"/>
              <w:rPr>
                <w:rFonts w:ascii="Times New Roman"/>
                <w:sz w:val="21"/>
              </w:rPr>
            </w:pPr>
            <w:r>
              <w:rPr>
                <w:rFonts w:ascii="Times New Roman"/>
                <w:w w:val="99"/>
                <w:sz w:val="21"/>
              </w:rPr>
              <w:t>/</w:t>
            </w:r>
          </w:p>
        </w:tc>
        <w:tc>
          <w:tcPr>
            <w:tcW w:w="1394" w:type="dxa"/>
            <w:tcBorders>
              <w:top w:val="single" w:color="000000" w:sz="4" w:space="0"/>
              <w:left w:val="single" w:color="000000" w:sz="4" w:space="0"/>
              <w:right w:val="single" w:color="000000" w:sz="4" w:space="0"/>
            </w:tcBorders>
          </w:tcPr>
          <w:p w14:paraId="4CCE1985">
            <w:pPr>
              <w:pStyle w:val="17"/>
              <w:spacing w:before="25"/>
              <w:ind w:left="212" w:right="184"/>
              <w:rPr>
                <w:rFonts w:ascii="Times New Roman"/>
                <w:sz w:val="21"/>
              </w:rPr>
            </w:pPr>
            <w:r>
              <w:rPr>
                <w:rFonts w:ascii="Times New Roman"/>
                <w:sz w:val="21"/>
              </w:rPr>
              <w:t>0.2</w:t>
            </w:r>
          </w:p>
        </w:tc>
        <w:tc>
          <w:tcPr>
            <w:tcW w:w="2535" w:type="dxa"/>
            <w:vMerge w:val="continue"/>
            <w:tcBorders>
              <w:top w:val="nil"/>
              <w:left w:val="single" w:color="000000" w:sz="4" w:space="0"/>
              <w:right w:val="single" w:color="000000" w:sz="4" w:space="0"/>
            </w:tcBorders>
          </w:tcPr>
          <w:p w14:paraId="5773D379">
            <w:pPr>
              <w:rPr>
                <w:sz w:val="2"/>
                <w:szCs w:val="2"/>
              </w:rPr>
            </w:pPr>
          </w:p>
        </w:tc>
        <w:tc>
          <w:tcPr>
            <w:tcW w:w="2535" w:type="dxa"/>
            <w:vMerge w:val="continue"/>
            <w:tcBorders>
              <w:top w:val="nil"/>
              <w:left w:val="single" w:color="000000" w:sz="4" w:space="0"/>
              <w:right w:val="nil"/>
            </w:tcBorders>
          </w:tcPr>
          <w:p w14:paraId="4A45FFD5">
            <w:pPr>
              <w:rPr>
                <w:sz w:val="2"/>
                <w:szCs w:val="2"/>
              </w:rPr>
            </w:pPr>
          </w:p>
        </w:tc>
      </w:tr>
      <w:tr w14:paraId="7F7720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490" w:type="dxa"/>
            <w:vMerge w:val="continue"/>
            <w:tcBorders>
              <w:top w:val="nil"/>
              <w:left w:val="nil"/>
              <w:right w:val="single" w:color="000000" w:sz="4" w:space="0"/>
            </w:tcBorders>
          </w:tcPr>
          <w:p w14:paraId="7C9AF9EE">
            <w:pPr>
              <w:rPr>
                <w:sz w:val="2"/>
                <w:szCs w:val="2"/>
              </w:rPr>
            </w:pPr>
          </w:p>
        </w:tc>
        <w:tc>
          <w:tcPr>
            <w:tcW w:w="1028" w:type="dxa"/>
            <w:vMerge w:val="continue"/>
            <w:tcBorders>
              <w:top w:val="nil"/>
              <w:left w:val="single" w:color="000000" w:sz="4" w:space="0"/>
              <w:right w:val="single" w:color="000000" w:sz="4" w:space="0"/>
            </w:tcBorders>
          </w:tcPr>
          <w:p w14:paraId="5089AB22">
            <w:pPr>
              <w:rPr>
                <w:sz w:val="2"/>
                <w:szCs w:val="2"/>
              </w:rPr>
            </w:pPr>
          </w:p>
        </w:tc>
        <w:tc>
          <w:tcPr>
            <w:tcW w:w="1170" w:type="dxa"/>
            <w:vMerge w:val="continue"/>
            <w:tcBorders>
              <w:top w:val="nil"/>
              <w:left w:val="single" w:color="000000" w:sz="4" w:space="0"/>
              <w:right w:val="single" w:color="000000" w:sz="4" w:space="0"/>
            </w:tcBorders>
          </w:tcPr>
          <w:p w14:paraId="3A5939A1">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38D61D0A">
            <w:pPr>
              <w:pStyle w:val="17"/>
              <w:spacing w:before="20" w:line="262" w:lineRule="exact"/>
              <w:ind w:left="1134" w:right="1108"/>
              <w:rPr>
                <w:sz w:val="21"/>
              </w:rPr>
            </w:pPr>
            <w:r>
              <w:rPr>
                <w:sz w:val="21"/>
              </w:rPr>
              <w:t>边角料</w:t>
            </w:r>
          </w:p>
        </w:tc>
        <w:tc>
          <w:tcPr>
            <w:tcW w:w="1654" w:type="dxa"/>
            <w:tcBorders>
              <w:top w:val="single" w:color="000000" w:sz="4" w:space="0"/>
              <w:left w:val="single" w:color="000000" w:sz="4" w:space="0"/>
              <w:bottom w:val="single" w:color="000000" w:sz="4" w:space="0"/>
              <w:right w:val="single" w:color="000000" w:sz="4" w:space="0"/>
            </w:tcBorders>
          </w:tcPr>
          <w:p w14:paraId="1B2EBCBC">
            <w:pPr>
              <w:pStyle w:val="17"/>
              <w:spacing w:before="34"/>
              <w:ind w:left="29"/>
              <w:rPr>
                <w:rFonts w:ascii="Times New Roman"/>
                <w:sz w:val="21"/>
              </w:rPr>
            </w:pPr>
            <w:r>
              <w:rPr>
                <w:rFonts w:ascii="Times New Roman"/>
                <w:w w:val="99"/>
                <w:sz w:val="21"/>
              </w:rPr>
              <w:t>/</w:t>
            </w:r>
          </w:p>
        </w:tc>
        <w:tc>
          <w:tcPr>
            <w:tcW w:w="1394" w:type="dxa"/>
            <w:tcBorders>
              <w:left w:val="single" w:color="000000" w:sz="4" w:space="0"/>
              <w:bottom w:val="single" w:color="000000" w:sz="4" w:space="0"/>
              <w:right w:val="single" w:color="000000" w:sz="4" w:space="0"/>
            </w:tcBorders>
          </w:tcPr>
          <w:p w14:paraId="246B93E3">
            <w:pPr>
              <w:pStyle w:val="17"/>
              <w:spacing w:before="34"/>
              <w:ind w:left="212" w:right="184"/>
              <w:rPr>
                <w:rFonts w:ascii="Times New Roman"/>
                <w:sz w:val="21"/>
              </w:rPr>
            </w:pPr>
            <w:r>
              <w:rPr>
                <w:rFonts w:ascii="Times New Roman"/>
                <w:sz w:val="21"/>
              </w:rPr>
              <w:t>100</w:t>
            </w:r>
          </w:p>
        </w:tc>
        <w:tc>
          <w:tcPr>
            <w:tcW w:w="2535" w:type="dxa"/>
            <w:vMerge w:val="restart"/>
            <w:tcBorders>
              <w:left w:val="single" w:color="000000" w:sz="4" w:space="0"/>
              <w:bottom w:val="single" w:color="000000" w:sz="4" w:space="0"/>
              <w:right w:val="single" w:color="000000" w:sz="4" w:space="0"/>
            </w:tcBorders>
          </w:tcPr>
          <w:p w14:paraId="42F3F72A">
            <w:pPr>
              <w:pStyle w:val="17"/>
              <w:spacing w:before="25"/>
              <w:ind w:left="60" w:right="30"/>
              <w:rPr>
                <w:sz w:val="21"/>
              </w:rPr>
            </w:pPr>
            <w:r>
              <w:rPr>
                <w:w w:val="95"/>
                <w:sz w:val="21"/>
              </w:rPr>
              <w:t>收集后经破碎工序回用于生</w:t>
            </w:r>
          </w:p>
          <w:p w14:paraId="2FB8BDA5">
            <w:pPr>
              <w:pStyle w:val="17"/>
              <w:spacing w:before="43" w:line="267" w:lineRule="exact"/>
              <w:ind w:left="24"/>
              <w:rPr>
                <w:sz w:val="21"/>
              </w:rPr>
            </w:pPr>
            <w:r>
              <w:rPr>
                <w:w w:val="99"/>
                <w:sz w:val="21"/>
              </w:rPr>
              <w:t>产</w:t>
            </w:r>
          </w:p>
        </w:tc>
        <w:tc>
          <w:tcPr>
            <w:tcW w:w="2535" w:type="dxa"/>
            <w:vMerge w:val="continue"/>
            <w:tcBorders>
              <w:top w:val="nil"/>
              <w:left w:val="single" w:color="000000" w:sz="4" w:space="0"/>
              <w:right w:val="nil"/>
            </w:tcBorders>
          </w:tcPr>
          <w:p w14:paraId="501FD7F1">
            <w:pPr>
              <w:rPr>
                <w:sz w:val="2"/>
                <w:szCs w:val="2"/>
              </w:rPr>
            </w:pPr>
          </w:p>
        </w:tc>
      </w:tr>
      <w:tr w14:paraId="5F6FF9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0703C0DB">
            <w:pPr>
              <w:rPr>
                <w:sz w:val="2"/>
                <w:szCs w:val="2"/>
              </w:rPr>
            </w:pPr>
          </w:p>
        </w:tc>
        <w:tc>
          <w:tcPr>
            <w:tcW w:w="1028" w:type="dxa"/>
            <w:vMerge w:val="continue"/>
            <w:tcBorders>
              <w:top w:val="nil"/>
              <w:left w:val="single" w:color="000000" w:sz="4" w:space="0"/>
              <w:right w:val="single" w:color="000000" w:sz="4" w:space="0"/>
            </w:tcBorders>
          </w:tcPr>
          <w:p w14:paraId="0527F2E7">
            <w:pPr>
              <w:rPr>
                <w:sz w:val="2"/>
                <w:szCs w:val="2"/>
              </w:rPr>
            </w:pPr>
          </w:p>
        </w:tc>
        <w:tc>
          <w:tcPr>
            <w:tcW w:w="1170" w:type="dxa"/>
            <w:vMerge w:val="continue"/>
            <w:tcBorders>
              <w:top w:val="nil"/>
              <w:left w:val="single" w:color="000000" w:sz="4" w:space="0"/>
              <w:right w:val="single" w:color="000000" w:sz="4" w:space="0"/>
            </w:tcBorders>
          </w:tcPr>
          <w:p w14:paraId="4A205C18">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3AAE89A4">
            <w:pPr>
              <w:pStyle w:val="17"/>
              <w:spacing w:before="10" w:line="262" w:lineRule="exact"/>
              <w:ind w:left="1134" w:right="1110"/>
              <w:rPr>
                <w:sz w:val="21"/>
              </w:rPr>
            </w:pPr>
            <w:r>
              <w:rPr>
                <w:sz w:val="21"/>
              </w:rPr>
              <w:t>不合格品</w:t>
            </w:r>
          </w:p>
        </w:tc>
        <w:tc>
          <w:tcPr>
            <w:tcW w:w="1654" w:type="dxa"/>
            <w:tcBorders>
              <w:top w:val="single" w:color="000000" w:sz="4" w:space="0"/>
              <w:left w:val="single" w:color="000000" w:sz="4" w:space="0"/>
              <w:bottom w:val="single" w:color="000000" w:sz="4" w:space="0"/>
              <w:right w:val="single" w:color="000000" w:sz="4" w:space="0"/>
            </w:tcBorders>
          </w:tcPr>
          <w:p w14:paraId="07C1A1FA">
            <w:pPr>
              <w:pStyle w:val="17"/>
              <w:spacing w:before="24"/>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05C811A7">
            <w:pPr>
              <w:pStyle w:val="17"/>
              <w:spacing w:before="24"/>
              <w:ind w:left="212" w:right="184"/>
              <w:rPr>
                <w:rFonts w:ascii="Times New Roman"/>
                <w:sz w:val="21"/>
              </w:rPr>
            </w:pPr>
            <w:r>
              <w:rPr>
                <w:rFonts w:ascii="Times New Roman"/>
                <w:sz w:val="21"/>
              </w:rPr>
              <w:t>50</w:t>
            </w:r>
          </w:p>
        </w:tc>
        <w:tc>
          <w:tcPr>
            <w:tcW w:w="2535" w:type="dxa"/>
            <w:vMerge w:val="continue"/>
            <w:tcBorders>
              <w:top w:val="nil"/>
              <w:left w:val="single" w:color="000000" w:sz="4" w:space="0"/>
              <w:bottom w:val="single" w:color="000000" w:sz="4" w:space="0"/>
              <w:right w:val="single" w:color="000000" w:sz="4" w:space="0"/>
            </w:tcBorders>
          </w:tcPr>
          <w:p w14:paraId="5EACD728">
            <w:pPr>
              <w:rPr>
                <w:sz w:val="2"/>
                <w:szCs w:val="2"/>
              </w:rPr>
            </w:pPr>
          </w:p>
        </w:tc>
        <w:tc>
          <w:tcPr>
            <w:tcW w:w="2535" w:type="dxa"/>
            <w:vMerge w:val="continue"/>
            <w:tcBorders>
              <w:top w:val="nil"/>
              <w:left w:val="single" w:color="000000" w:sz="4" w:space="0"/>
              <w:right w:val="nil"/>
            </w:tcBorders>
          </w:tcPr>
          <w:p w14:paraId="21B88759">
            <w:pPr>
              <w:rPr>
                <w:sz w:val="2"/>
                <w:szCs w:val="2"/>
              </w:rPr>
            </w:pPr>
          </w:p>
        </w:tc>
      </w:tr>
      <w:tr w14:paraId="7BEB2C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0AA3FD53">
            <w:pPr>
              <w:rPr>
                <w:sz w:val="2"/>
                <w:szCs w:val="2"/>
              </w:rPr>
            </w:pPr>
          </w:p>
        </w:tc>
        <w:tc>
          <w:tcPr>
            <w:tcW w:w="1028" w:type="dxa"/>
            <w:vMerge w:val="continue"/>
            <w:tcBorders>
              <w:top w:val="nil"/>
              <w:left w:val="single" w:color="000000" w:sz="4" w:space="0"/>
              <w:right w:val="single" w:color="000000" w:sz="4" w:space="0"/>
            </w:tcBorders>
          </w:tcPr>
          <w:p w14:paraId="2A4A3F2F">
            <w:pPr>
              <w:rPr>
                <w:sz w:val="2"/>
                <w:szCs w:val="2"/>
              </w:rPr>
            </w:pPr>
          </w:p>
        </w:tc>
        <w:tc>
          <w:tcPr>
            <w:tcW w:w="1170" w:type="dxa"/>
            <w:vMerge w:val="continue"/>
            <w:tcBorders>
              <w:top w:val="nil"/>
              <w:left w:val="single" w:color="000000" w:sz="4" w:space="0"/>
              <w:right w:val="single" w:color="000000" w:sz="4" w:space="0"/>
            </w:tcBorders>
          </w:tcPr>
          <w:p w14:paraId="5DD386B5">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091FF73A">
            <w:pPr>
              <w:pStyle w:val="17"/>
              <w:spacing w:before="12" w:line="260" w:lineRule="exact"/>
              <w:ind w:left="1134" w:right="1110"/>
              <w:rPr>
                <w:sz w:val="21"/>
              </w:rPr>
            </w:pPr>
            <w:r>
              <w:rPr>
                <w:sz w:val="21"/>
              </w:rPr>
              <w:t>废润滑油</w:t>
            </w:r>
          </w:p>
        </w:tc>
        <w:tc>
          <w:tcPr>
            <w:tcW w:w="1654" w:type="dxa"/>
            <w:tcBorders>
              <w:top w:val="single" w:color="000000" w:sz="4" w:space="0"/>
              <w:left w:val="single" w:color="000000" w:sz="4" w:space="0"/>
              <w:bottom w:val="single" w:color="000000" w:sz="4" w:space="0"/>
              <w:right w:val="single" w:color="000000" w:sz="4" w:space="0"/>
            </w:tcBorders>
          </w:tcPr>
          <w:p w14:paraId="462D1EB6">
            <w:pPr>
              <w:pStyle w:val="17"/>
              <w:spacing w:before="26"/>
              <w:ind w:left="29"/>
              <w:rPr>
                <w:rFonts w:ascii="Times New Roman"/>
                <w:sz w:val="21"/>
              </w:rPr>
            </w:pPr>
            <w:r>
              <w:rPr>
                <w:rFonts w:ascii="Times New Roman"/>
                <w:w w:val="99"/>
                <w:sz w:val="21"/>
              </w:rPr>
              <w:t>/</w:t>
            </w:r>
          </w:p>
        </w:tc>
        <w:tc>
          <w:tcPr>
            <w:tcW w:w="1394" w:type="dxa"/>
            <w:tcBorders>
              <w:top w:val="single" w:color="000000" w:sz="4" w:space="0"/>
              <w:left w:val="single" w:color="000000" w:sz="4" w:space="0"/>
              <w:bottom w:val="single" w:color="000000" w:sz="4" w:space="0"/>
              <w:right w:val="single" w:color="000000" w:sz="4" w:space="0"/>
            </w:tcBorders>
          </w:tcPr>
          <w:p w14:paraId="17D49619">
            <w:pPr>
              <w:pStyle w:val="17"/>
              <w:spacing w:before="26"/>
              <w:ind w:left="212" w:right="184"/>
              <w:rPr>
                <w:rFonts w:ascii="Times New Roman"/>
                <w:sz w:val="21"/>
              </w:rPr>
            </w:pPr>
            <w:r>
              <w:rPr>
                <w:rFonts w:ascii="Times New Roman"/>
                <w:sz w:val="21"/>
              </w:rPr>
              <w:t>0.01</w:t>
            </w:r>
          </w:p>
        </w:tc>
        <w:tc>
          <w:tcPr>
            <w:tcW w:w="2535" w:type="dxa"/>
            <w:vMerge w:val="restart"/>
            <w:tcBorders>
              <w:top w:val="single" w:color="000000" w:sz="4" w:space="0"/>
              <w:left w:val="single" w:color="000000" w:sz="4" w:space="0"/>
              <w:right w:val="single" w:color="000000" w:sz="4" w:space="0"/>
            </w:tcBorders>
          </w:tcPr>
          <w:p w14:paraId="57714F75">
            <w:pPr>
              <w:pStyle w:val="17"/>
              <w:spacing w:before="12" w:line="278" w:lineRule="auto"/>
              <w:ind w:left="15" w:right="-15"/>
              <w:rPr>
                <w:sz w:val="21"/>
              </w:rPr>
            </w:pPr>
            <w:r>
              <w:rPr>
                <w:w w:val="95"/>
                <w:sz w:val="21"/>
              </w:rPr>
              <w:t>收集后暂存于危废间，定期交由有危废处理资质单位统</w:t>
            </w:r>
            <w:r>
              <w:rPr>
                <w:sz w:val="21"/>
              </w:rPr>
              <w:t>一处理</w:t>
            </w:r>
          </w:p>
        </w:tc>
        <w:tc>
          <w:tcPr>
            <w:tcW w:w="2535" w:type="dxa"/>
            <w:vMerge w:val="continue"/>
            <w:tcBorders>
              <w:top w:val="nil"/>
              <w:left w:val="single" w:color="000000" w:sz="4" w:space="0"/>
              <w:right w:val="nil"/>
            </w:tcBorders>
          </w:tcPr>
          <w:p w14:paraId="42067F17">
            <w:pPr>
              <w:rPr>
                <w:sz w:val="2"/>
                <w:szCs w:val="2"/>
              </w:rPr>
            </w:pPr>
          </w:p>
        </w:tc>
      </w:tr>
      <w:tr w14:paraId="71BE2A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1" w:hRule="atLeast"/>
        </w:trPr>
        <w:tc>
          <w:tcPr>
            <w:tcW w:w="490" w:type="dxa"/>
            <w:vMerge w:val="continue"/>
            <w:tcBorders>
              <w:top w:val="nil"/>
              <w:left w:val="nil"/>
              <w:right w:val="single" w:color="000000" w:sz="4" w:space="0"/>
            </w:tcBorders>
          </w:tcPr>
          <w:p w14:paraId="4956A1EB">
            <w:pPr>
              <w:rPr>
                <w:sz w:val="2"/>
                <w:szCs w:val="2"/>
              </w:rPr>
            </w:pPr>
          </w:p>
        </w:tc>
        <w:tc>
          <w:tcPr>
            <w:tcW w:w="1028" w:type="dxa"/>
            <w:vMerge w:val="continue"/>
            <w:tcBorders>
              <w:top w:val="nil"/>
              <w:left w:val="single" w:color="000000" w:sz="4" w:space="0"/>
              <w:right w:val="single" w:color="000000" w:sz="4" w:space="0"/>
            </w:tcBorders>
          </w:tcPr>
          <w:p w14:paraId="1044AE22">
            <w:pPr>
              <w:rPr>
                <w:sz w:val="2"/>
                <w:szCs w:val="2"/>
              </w:rPr>
            </w:pPr>
          </w:p>
        </w:tc>
        <w:tc>
          <w:tcPr>
            <w:tcW w:w="1170" w:type="dxa"/>
            <w:vMerge w:val="continue"/>
            <w:tcBorders>
              <w:top w:val="nil"/>
              <w:left w:val="single" w:color="000000" w:sz="4" w:space="0"/>
              <w:right w:val="single" w:color="000000" w:sz="4" w:space="0"/>
            </w:tcBorders>
          </w:tcPr>
          <w:p w14:paraId="079C1EE8">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42D59397">
            <w:pPr>
              <w:pStyle w:val="17"/>
              <w:spacing w:before="11" w:line="260" w:lineRule="exact"/>
              <w:ind w:left="946"/>
              <w:jc w:val="left"/>
              <w:rPr>
                <w:sz w:val="21"/>
              </w:rPr>
            </w:pPr>
            <w:r>
              <w:rPr>
                <w:sz w:val="21"/>
              </w:rPr>
              <w:t>含油废抹布手套</w:t>
            </w:r>
          </w:p>
        </w:tc>
        <w:tc>
          <w:tcPr>
            <w:tcW w:w="1654" w:type="dxa"/>
            <w:tcBorders>
              <w:top w:val="single" w:color="000000" w:sz="4" w:space="0"/>
              <w:left w:val="single" w:color="000000" w:sz="4" w:space="0"/>
              <w:bottom w:val="single" w:color="000000" w:sz="4" w:space="0"/>
              <w:right w:val="single" w:color="000000" w:sz="4" w:space="0"/>
            </w:tcBorders>
          </w:tcPr>
          <w:p w14:paraId="6BF593A5">
            <w:pPr>
              <w:pStyle w:val="17"/>
              <w:jc w:val="left"/>
              <w:rPr>
                <w:rFonts w:ascii="Times New Roman"/>
                <w:sz w:val="20"/>
              </w:rPr>
            </w:pPr>
          </w:p>
        </w:tc>
        <w:tc>
          <w:tcPr>
            <w:tcW w:w="1394" w:type="dxa"/>
            <w:tcBorders>
              <w:top w:val="single" w:color="000000" w:sz="4" w:space="0"/>
              <w:left w:val="single" w:color="000000" w:sz="4" w:space="0"/>
              <w:bottom w:val="single" w:color="000000" w:sz="4" w:space="0"/>
              <w:right w:val="single" w:color="000000" w:sz="4" w:space="0"/>
            </w:tcBorders>
          </w:tcPr>
          <w:p w14:paraId="265CBD83">
            <w:pPr>
              <w:pStyle w:val="17"/>
              <w:spacing w:before="25"/>
              <w:ind w:left="212" w:right="184"/>
              <w:rPr>
                <w:rFonts w:ascii="Times New Roman"/>
                <w:sz w:val="21"/>
              </w:rPr>
            </w:pPr>
            <w:r>
              <w:rPr>
                <w:rFonts w:ascii="Times New Roman"/>
                <w:sz w:val="21"/>
              </w:rPr>
              <w:t>0.01</w:t>
            </w:r>
          </w:p>
        </w:tc>
        <w:tc>
          <w:tcPr>
            <w:tcW w:w="2535" w:type="dxa"/>
            <w:vMerge w:val="continue"/>
            <w:tcBorders>
              <w:top w:val="nil"/>
              <w:left w:val="single" w:color="000000" w:sz="4" w:space="0"/>
              <w:right w:val="single" w:color="000000" w:sz="4" w:space="0"/>
            </w:tcBorders>
          </w:tcPr>
          <w:p w14:paraId="628E7EDF">
            <w:pPr>
              <w:rPr>
                <w:sz w:val="2"/>
                <w:szCs w:val="2"/>
              </w:rPr>
            </w:pPr>
          </w:p>
        </w:tc>
        <w:tc>
          <w:tcPr>
            <w:tcW w:w="2535" w:type="dxa"/>
            <w:vMerge w:val="continue"/>
            <w:tcBorders>
              <w:top w:val="nil"/>
              <w:left w:val="single" w:color="000000" w:sz="4" w:space="0"/>
              <w:right w:val="nil"/>
            </w:tcBorders>
          </w:tcPr>
          <w:p w14:paraId="5D104D71">
            <w:pPr>
              <w:rPr>
                <w:sz w:val="2"/>
                <w:szCs w:val="2"/>
              </w:rPr>
            </w:pPr>
          </w:p>
        </w:tc>
      </w:tr>
      <w:tr w14:paraId="1796C4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490" w:type="dxa"/>
            <w:vMerge w:val="continue"/>
            <w:tcBorders>
              <w:top w:val="nil"/>
              <w:left w:val="nil"/>
              <w:right w:val="single" w:color="000000" w:sz="4" w:space="0"/>
            </w:tcBorders>
          </w:tcPr>
          <w:p w14:paraId="433ABCFB">
            <w:pPr>
              <w:rPr>
                <w:sz w:val="2"/>
                <w:szCs w:val="2"/>
              </w:rPr>
            </w:pPr>
          </w:p>
        </w:tc>
        <w:tc>
          <w:tcPr>
            <w:tcW w:w="1028" w:type="dxa"/>
            <w:vMerge w:val="continue"/>
            <w:tcBorders>
              <w:top w:val="nil"/>
              <w:left w:val="single" w:color="000000" w:sz="4" w:space="0"/>
              <w:right w:val="single" w:color="000000" w:sz="4" w:space="0"/>
            </w:tcBorders>
          </w:tcPr>
          <w:p w14:paraId="6CFBE978">
            <w:pPr>
              <w:rPr>
                <w:sz w:val="2"/>
                <w:szCs w:val="2"/>
              </w:rPr>
            </w:pPr>
          </w:p>
        </w:tc>
        <w:tc>
          <w:tcPr>
            <w:tcW w:w="1170" w:type="dxa"/>
            <w:vMerge w:val="continue"/>
            <w:tcBorders>
              <w:top w:val="nil"/>
              <w:left w:val="single" w:color="000000" w:sz="4" w:space="0"/>
              <w:right w:val="single" w:color="000000" w:sz="4" w:space="0"/>
            </w:tcBorders>
          </w:tcPr>
          <w:p w14:paraId="134FF58D">
            <w:pPr>
              <w:rPr>
                <w:sz w:val="2"/>
                <w:szCs w:val="2"/>
              </w:rPr>
            </w:pPr>
          </w:p>
        </w:tc>
        <w:tc>
          <w:tcPr>
            <w:tcW w:w="3345" w:type="dxa"/>
            <w:gridSpan w:val="2"/>
            <w:tcBorders>
              <w:top w:val="single" w:color="000000" w:sz="4" w:space="0"/>
              <w:left w:val="single" w:color="000000" w:sz="4" w:space="0"/>
              <w:bottom w:val="single" w:color="000000" w:sz="4" w:space="0"/>
              <w:right w:val="single" w:color="000000" w:sz="4" w:space="0"/>
            </w:tcBorders>
          </w:tcPr>
          <w:p w14:paraId="7C9E6E47">
            <w:pPr>
              <w:pStyle w:val="17"/>
              <w:spacing w:before="11" w:line="261" w:lineRule="exact"/>
              <w:ind w:left="1134" w:right="1110"/>
              <w:rPr>
                <w:sz w:val="21"/>
              </w:rPr>
            </w:pPr>
            <w:r>
              <w:rPr>
                <w:sz w:val="21"/>
              </w:rPr>
              <w:t>废活性炭</w:t>
            </w:r>
          </w:p>
        </w:tc>
        <w:tc>
          <w:tcPr>
            <w:tcW w:w="1654" w:type="dxa"/>
            <w:tcBorders>
              <w:top w:val="single" w:color="000000" w:sz="4" w:space="0"/>
              <w:left w:val="single" w:color="000000" w:sz="4" w:space="0"/>
              <w:bottom w:val="single" w:color="000000" w:sz="4" w:space="0"/>
              <w:right w:val="single" w:color="000000" w:sz="4" w:space="0"/>
            </w:tcBorders>
          </w:tcPr>
          <w:p w14:paraId="4F7A0CA2">
            <w:pPr>
              <w:pStyle w:val="17"/>
              <w:jc w:val="left"/>
              <w:rPr>
                <w:rFonts w:ascii="Times New Roman"/>
                <w:sz w:val="20"/>
              </w:rPr>
            </w:pPr>
          </w:p>
        </w:tc>
        <w:tc>
          <w:tcPr>
            <w:tcW w:w="1394" w:type="dxa"/>
            <w:tcBorders>
              <w:top w:val="single" w:color="000000" w:sz="4" w:space="0"/>
              <w:left w:val="single" w:color="000000" w:sz="4" w:space="0"/>
              <w:bottom w:val="single" w:color="000000" w:sz="4" w:space="0"/>
              <w:right w:val="single" w:color="000000" w:sz="4" w:space="0"/>
            </w:tcBorders>
          </w:tcPr>
          <w:p w14:paraId="4421F228">
            <w:pPr>
              <w:pStyle w:val="17"/>
              <w:spacing w:before="25"/>
              <w:ind w:right="388"/>
              <w:jc w:val="right"/>
              <w:rPr>
                <w:rFonts w:ascii="Times New Roman"/>
                <w:sz w:val="21"/>
              </w:rPr>
            </w:pPr>
            <w:r>
              <w:rPr>
                <w:rFonts w:ascii="Times New Roman"/>
                <w:w w:val="95"/>
                <w:sz w:val="21"/>
              </w:rPr>
              <w:t>59.306</w:t>
            </w:r>
          </w:p>
        </w:tc>
        <w:tc>
          <w:tcPr>
            <w:tcW w:w="2535" w:type="dxa"/>
            <w:vMerge w:val="continue"/>
            <w:tcBorders>
              <w:top w:val="nil"/>
              <w:left w:val="single" w:color="000000" w:sz="4" w:space="0"/>
              <w:right w:val="single" w:color="000000" w:sz="4" w:space="0"/>
            </w:tcBorders>
          </w:tcPr>
          <w:p w14:paraId="2053C320">
            <w:pPr>
              <w:rPr>
                <w:sz w:val="2"/>
                <w:szCs w:val="2"/>
              </w:rPr>
            </w:pPr>
          </w:p>
        </w:tc>
        <w:tc>
          <w:tcPr>
            <w:tcW w:w="2535" w:type="dxa"/>
            <w:vMerge w:val="continue"/>
            <w:tcBorders>
              <w:top w:val="nil"/>
              <w:left w:val="single" w:color="000000" w:sz="4" w:space="0"/>
              <w:right w:val="nil"/>
            </w:tcBorders>
          </w:tcPr>
          <w:p w14:paraId="62E64A6A">
            <w:pPr>
              <w:rPr>
                <w:sz w:val="2"/>
                <w:szCs w:val="2"/>
              </w:rPr>
            </w:pPr>
          </w:p>
        </w:tc>
      </w:tr>
      <w:tr w14:paraId="39EC07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490" w:type="dxa"/>
            <w:vMerge w:val="continue"/>
            <w:tcBorders>
              <w:top w:val="nil"/>
              <w:left w:val="nil"/>
              <w:right w:val="single" w:color="000000" w:sz="4" w:space="0"/>
            </w:tcBorders>
          </w:tcPr>
          <w:p w14:paraId="3BA425B7">
            <w:pPr>
              <w:rPr>
                <w:sz w:val="2"/>
                <w:szCs w:val="2"/>
              </w:rPr>
            </w:pPr>
          </w:p>
        </w:tc>
        <w:tc>
          <w:tcPr>
            <w:tcW w:w="1028" w:type="dxa"/>
            <w:vMerge w:val="continue"/>
            <w:tcBorders>
              <w:top w:val="nil"/>
              <w:left w:val="single" w:color="000000" w:sz="4" w:space="0"/>
              <w:right w:val="single" w:color="000000" w:sz="4" w:space="0"/>
            </w:tcBorders>
          </w:tcPr>
          <w:p w14:paraId="11D2050B">
            <w:pPr>
              <w:rPr>
                <w:sz w:val="2"/>
                <w:szCs w:val="2"/>
              </w:rPr>
            </w:pPr>
          </w:p>
        </w:tc>
        <w:tc>
          <w:tcPr>
            <w:tcW w:w="1170" w:type="dxa"/>
            <w:vMerge w:val="continue"/>
            <w:tcBorders>
              <w:top w:val="nil"/>
              <w:left w:val="single" w:color="000000" w:sz="4" w:space="0"/>
              <w:right w:val="single" w:color="000000" w:sz="4" w:space="0"/>
            </w:tcBorders>
          </w:tcPr>
          <w:p w14:paraId="1EAA98B3">
            <w:pPr>
              <w:rPr>
                <w:sz w:val="2"/>
                <w:szCs w:val="2"/>
              </w:rPr>
            </w:pPr>
          </w:p>
        </w:tc>
        <w:tc>
          <w:tcPr>
            <w:tcW w:w="3345" w:type="dxa"/>
            <w:gridSpan w:val="2"/>
            <w:tcBorders>
              <w:top w:val="single" w:color="000000" w:sz="4" w:space="0"/>
              <w:left w:val="single" w:color="000000" w:sz="4" w:space="0"/>
              <w:right w:val="single" w:color="000000" w:sz="4" w:space="0"/>
            </w:tcBorders>
          </w:tcPr>
          <w:p w14:paraId="1D1BE059">
            <w:pPr>
              <w:pStyle w:val="17"/>
              <w:spacing w:before="10"/>
              <w:ind w:left="1134" w:right="1110"/>
              <w:rPr>
                <w:sz w:val="21"/>
              </w:rPr>
            </w:pPr>
            <w:r>
              <w:rPr>
                <w:sz w:val="21"/>
              </w:rPr>
              <w:t>废过滤棉</w:t>
            </w:r>
          </w:p>
        </w:tc>
        <w:tc>
          <w:tcPr>
            <w:tcW w:w="1654" w:type="dxa"/>
            <w:tcBorders>
              <w:top w:val="single" w:color="000000" w:sz="4" w:space="0"/>
              <w:left w:val="single" w:color="000000" w:sz="4" w:space="0"/>
              <w:right w:val="single" w:color="000000" w:sz="4" w:space="0"/>
            </w:tcBorders>
          </w:tcPr>
          <w:p w14:paraId="5527509E">
            <w:pPr>
              <w:pStyle w:val="17"/>
              <w:jc w:val="left"/>
              <w:rPr>
                <w:rFonts w:ascii="Times New Roman"/>
                <w:sz w:val="20"/>
              </w:rPr>
            </w:pPr>
          </w:p>
        </w:tc>
        <w:tc>
          <w:tcPr>
            <w:tcW w:w="1394" w:type="dxa"/>
            <w:tcBorders>
              <w:top w:val="single" w:color="000000" w:sz="4" w:space="0"/>
              <w:left w:val="single" w:color="000000" w:sz="4" w:space="0"/>
              <w:right w:val="single" w:color="000000" w:sz="4" w:space="0"/>
            </w:tcBorders>
          </w:tcPr>
          <w:p w14:paraId="1B540F98">
            <w:pPr>
              <w:pStyle w:val="17"/>
              <w:spacing w:before="24"/>
              <w:ind w:left="212" w:right="184"/>
              <w:rPr>
                <w:rFonts w:ascii="Times New Roman"/>
                <w:sz w:val="21"/>
              </w:rPr>
            </w:pPr>
            <w:r>
              <w:rPr>
                <w:rFonts w:ascii="Times New Roman"/>
                <w:sz w:val="21"/>
              </w:rPr>
              <w:t>0.06</w:t>
            </w:r>
          </w:p>
        </w:tc>
        <w:tc>
          <w:tcPr>
            <w:tcW w:w="2535" w:type="dxa"/>
            <w:vMerge w:val="continue"/>
            <w:tcBorders>
              <w:top w:val="nil"/>
              <w:left w:val="single" w:color="000000" w:sz="4" w:space="0"/>
              <w:right w:val="single" w:color="000000" w:sz="4" w:space="0"/>
            </w:tcBorders>
          </w:tcPr>
          <w:p w14:paraId="7496CE91">
            <w:pPr>
              <w:rPr>
                <w:sz w:val="2"/>
                <w:szCs w:val="2"/>
              </w:rPr>
            </w:pPr>
          </w:p>
        </w:tc>
        <w:tc>
          <w:tcPr>
            <w:tcW w:w="2535" w:type="dxa"/>
            <w:vMerge w:val="continue"/>
            <w:tcBorders>
              <w:top w:val="nil"/>
              <w:left w:val="single" w:color="000000" w:sz="4" w:space="0"/>
              <w:right w:val="nil"/>
            </w:tcBorders>
          </w:tcPr>
          <w:p w14:paraId="3FB15516">
            <w:pPr>
              <w:rPr>
                <w:sz w:val="2"/>
                <w:szCs w:val="2"/>
              </w:rPr>
            </w:pPr>
          </w:p>
        </w:tc>
      </w:tr>
    </w:tbl>
    <w:p w14:paraId="19A0332E">
      <w:pPr>
        <w:spacing w:after="0"/>
        <w:rPr>
          <w:sz w:val="2"/>
          <w:szCs w:val="2"/>
        </w:rPr>
        <w:sectPr>
          <w:pgSz w:w="16840" w:h="11910" w:orient="landscape"/>
          <w:pgMar w:top="1100" w:right="1140" w:bottom="1140" w:left="1220" w:header="0" w:footer="944" w:gutter="0"/>
          <w:cols w:space="720" w:num="1"/>
        </w:sectPr>
      </w:pPr>
    </w:p>
    <w:p w14:paraId="75D35346">
      <w:pPr>
        <w:pStyle w:val="2"/>
        <w:numPr>
          <w:ilvl w:val="0"/>
          <w:numId w:val="32"/>
        </w:numPr>
        <w:tabs>
          <w:tab w:val="left" w:pos="342"/>
        </w:tabs>
        <w:spacing w:before="53" w:after="0" w:line="240" w:lineRule="auto"/>
        <w:ind w:left="341" w:right="0" w:hanging="240"/>
        <w:jc w:val="both"/>
        <w:rPr>
          <w:rFonts w:ascii="Times New Roman" w:eastAsia="Times New Roman"/>
        </w:rPr>
      </w:pPr>
      <w:bookmarkStart w:id="47" w:name="_TOC_250008"/>
      <w:bookmarkEnd w:id="47"/>
      <w:r>
        <w:t>建议及结论</w:t>
      </w:r>
    </w:p>
    <w:p w14:paraId="12123A1D">
      <w:pPr>
        <w:pStyle w:val="3"/>
        <w:numPr>
          <w:ilvl w:val="1"/>
          <w:numId w:val="33"/>
        </w:numPr>
        <w:tabs>
          <w:tab w:val="left" w:pos="551"/>
        </w:tabs>
        <w:spacing w:before="236" w:after="0" w:line="240" w:lineRule="auto"/>
        <w:ind w:left="550" w:right="0" w:hanging="449"/>
        <w:jc w:val="both"/>
      </w:pPr>
      <w:bookmarkStart w:id="48" w:name="_TOC_250007"/>
      <w:bookmarkEnd w:id="48"/>
      <w:r>
        <w:t>项目概况</w:t>
      </w:r>
    </w:p>
    <w:p w14:paraId="391ACF92">
      <w:pPr>
        <w:pStyle w:val="10"/>
        <w:spacing w:before="211"/>
        <w:ind w:left="584"/>
      </w:pPr>
      <w:r>
        <w:t xml:space="preserve">湖南鑫诚复合材料有限公司投资 </w:t>
      </w:r>
      <w:r>
        <w:rPr>
          <w:rFonts w:ascii="Times New Roman" w:eastAsia="Times New Roman"/>
        </w:rPr>
        <w:t xml:space="preserve">2000 </w:t>
      </w:r>
      <w:r>
        <w:t>万元在湖南省岳阳市汨罗市湖南汨罗高</w:t>
      </w:r>
    </w:p>
    <w:p w14:paraId="0017728D">
      <w:pPr>
        <w:pStyle w:val="10"/>
        <w:spacing w:before="170"/>
        <w:ind w:left="101"/>
        <w:jc w:val="both"/>
      </w:pPr>
      <w:r>
        <w:t xml:space="preserve">新技术产业开发区新市片区中塑新材料公司内 </w:t>
      </w:r>
      <w:r>
        <w:rPr>
          <w:rFonts w:ascii="Times New Roman" w:eastAsia="Times New Roman"/>
        </w:rPr>
        <w:t xml:space="preserve">16 </w:t>
      </w:r>
      <w:r>
        <w:t xml:space="preserve">栋厂房建设年产 </w:t>
      </w:r>
      <w:r>
        <w:rPr>
          <w:rFonts w:ascii="Times New Roman" w:eastAsia="Times New Roman"/>
        </w:rPr>
        <w:t xml:space="preserve">1 </w:t>
      </w:r>
      <w:r>
        <w:t>万吨塑料排水</w:t>
      </w:r>
    </w:p>
    <w:p w14:paraId="1568A7C4">
      <w:pPr>
        <w:pStyle w:val="10"/>
        <w:spacing w:before="171" w:line="372" w:lineRule="auto"/>
        <w:ind w:left="101" w:right="218"/>
        <w:jc w:val="both"/>
      </w:pPr>
      <w:r>
        <w:rPr>
          <w:spacing w:val="-8"/>
        </w:rPr>
        <w:t xml:space="preserve">板系列产品建设项目，租赁中塑公司 </w:t>
      </w:r>
      <w:r>
        <w:rPr>
          <w:rFonts w:ascii="Times New Roman" w:eastAsia="Times New Roman"/>
        </w:rPr>
        <w:t xml:space="preserve">16 </w:t>
      </w:r>
      <w:r>
        <w:rPr>
          <w:spacing w:val="-12"/>
        </w:rPr>
        <w:t xml:space="preserve">栋厂房，厂房面积 </w:t>
      </w:r>
      <w:r>
        <w:rPr>
          <w:rFonts w:ascii="Times New Roman" w:eastAsia="Times New Roman"/>
          <w:spacing w:val="-5"/>
        </w:rPr>
        <w:t>3200m</w:t>
      </w:r>
      <w:r>
        <w:rPr>
          <w:rFonts w:ascii="Times New Roman" w:eastAsia="Times New Roman"/>
          <w:spacing w:val="-5"/>
          <w:position w:val="8"/>
          <w:sz w:val="15"/>
        </w:rPr>
        <w:t>2</w:t>
      </w:r>
      <w:r>
        <w:rPr>
          <w:spacing w:val="-17"/>
        </w:rPr>
        <w:t xml:space="preserve">，新建 </w:t>
      </w:r>
      <w:r>
        <w:rPr>
          <w:rFonts w:ascii="Times New Roman" w:eastAsia="Times New Roman"/>
        </w:rPr>
        <w:t xml:space="preserve">2 </w:t>
      </w:r>
      <w:r>
        <w:t>条挤出</w:t>
      </w:r>
      <w:r>
        <w:rPr>
          <w:spacing w:val="-5"/>
        </w:rPr>
        <w:t>造粒生产线、</w:t>
      </w:r>
      <w:r>
        <w:rPr>
          <w:rFonts w:ascii="Times New Roman" w:eastAsia="Times New Roman"/>
        </w:rPr>
        <w:t xml:space="preserve">4 </w:t>
      </w:r>
      <w:r>
        <w:rPr>
          <w:spacing w:val="-8"/>
        </w:rPr>
        <w:t xml:space="preserve">条挤出注塑生产线，年产 </w:t>
      </w:r>
      <w:r>
        <w:rPr>
          <w:rFonts w:ascii="Times New Roman" w:eastAsia="Times New Roman"/>
        </w:rPr>
        <w:t xml:space="preserve">1 </w:t>
      </w:r>
      <w:r>
        <w:rPr>
          <w:spacing w:val="-3"/>
        </w:rPr>
        <w:t>万吨塑料排水板系列产品，年产再生塑</w:t>
      </w:r>
      <w:r>
        <w:rPr>
          <w:spacing w:val="-32"/>
        </w:rPr>
        <w:t xml:space="preserve">料 </w:t>
      </w:r>
      <w:r>
        <w:rPr>
          <w:rFonts w:ascii="Times New Roman" w:eastAsia="Times New Roman"/>
        </w:rPr>
        <w:t xml:space="preserve">PE </w:t>
      </w:r>
      <w:r>
        <w:rPr>
          <w:spacing w:val="-30"/>
        </w:rPr>
        <w:t xml:space="preserve">料 </w:t>
      </w:r>
      <w:r>
        <w:rPr>
          <w:rFonts w:ascii="Times New Roman" w:eastAsia="Times New Roman"/>
        </w:rPr>
        <w:t xml:space="preserve">5000 </w:t>
      </w:r>
      <w:r>
        <w:t>吨（全部自用，不外售）。</w:t>
      </w:r>
    </w:p>
    <w:p w14:paraId="76452A61">
      <w:pPr>
        <w:pStyle w:val="3"/>
        <w:numPr>
          <w:ilvl w:val="1"/>
          <w:numId w:val="33"/>
        </w:numPr>
        <w:tabs>
          <w:tab w:val="left" w:pos="551"/>
        </w:tabs>
        <w:spacing w:before="41" w:after="0" w:line="240" w:lineRule="auto"/>
        <w:ind w:left="550" w:right="0" w:hanging="449"/>
        <w:jc w:val="left"/>
      </w:pPr>
      <w:bookmarkStart w:id="49" w:name="_TOC_250006"/>
      <w:bookmarkEnd w:id="49"/>
      <w:r>
        <w:t>环境质量现状</w:t>
      </w:r>
    </w:p>
    <w:p w14:paraId="5E915E76">
      <w:pPr>
        <w:pStyle w:val="10"/>
        <w:spacing w:before="211"/>
        <w:ind w:left="581"/>
      </w:pPr>
      <w:r>
        <w:rPr>
          <w:rFonts w:ascii="Times New Roman" w:eastAsia="Times New Roman"/>
        </w:rPr>
        <w:t>1</w:t>
      </w:r>
      <w:r>
        <w:t>、地表水环境</w:t>
      </w:r>
    </w:p>
    <w:p w14:paraId="75E66CDC">
      <w:pPr>
        <w:pStyle w:val="10"/>
        <w:spacing w:before="170" w:line="372" w:lineRule="auto"/>
        <w:ind w:left="101" w:right="218" w:firstLine="480"/>
        <w:jc w:val="both"/>
      </w:pPr>
      <w:r>
        <w:t>地表水监测结果表明，</w:t>
      </w:r>
      <w:r>
        <w:rPr>
          <w:rFonts w:ascii="Times New Roman" w:eastAsia="Times New Roman"/>
        </w:rPr>
        <w:t xml:space="preserve">2023 </w:t>
      </w:r>
      <w:r>
        <w:t>年汨罗江南渡断面地表水水质符合《地表水环境</w:t>
      </w:r>
      <w:r>
        <w:rPr>
          <w:spacing w:val="-1"/>
        </w:rPr>
        <w:t>质量标准》</w:t>
      </w:r>
      <w:r>
        <w:t>（</w:t>
      </w:r>
      <w:r>
        <w:rPr>
          <w:rFonts w:ascii="Times New Roman" w:eastAsia="Times New Roman"/>
        </w:rPr>
        <w:t>GB3838-2002</w:t>
      </w:r>
      <w:r>
        <w:t>）</w:t>
      </w:r>
      <w:r>
        <w:rPr>
          <w:spacing w:val="-32"/>
        </w:rPr>
        <w:t xml:space="preserve">表 </w:t>
      </w:r>
      <w:r>
        <w:rPr>
          <w:rFonts w:ascii="Times New Roman" w:eastAsia="Times New Roman"/>
        </w:rPr>
        <w:t xml:space="preserve">1 </w:t>
      </w:r>
      <w:r>
        <w:rPr>
          <w:spacing w:val="-32"/>
        </w:rPr>
        <w:t xml:space="preserve">中 </w:t>
      </w:r>
      <w:r>
        <w:rPr>
          <w:rFonts w:ascii="Times New Roman" w:eastAsia="Times New Roman"/>
        </w:rPr>
        <w:t xml:space="preserve">III </w:t>
      </w:r>
      <w:r>
        <w:t>类水质标准要求，</w:t>
      </w:r>
      <w:r>
        <w:rPr>
          <w:rFonts w:ascii="Times New Roman" w:eastAsia="Times New Roman"/>
        </w:rPr>
        <w:t xml:space="preserve">2023 </w:t>
      </w:r>
      <w:r>
        <w:t>年湄江河、汨罗市</w:t>
      </w:r>
      <w:r>
        <w:rPr>
          <w:spacing w:val="-5"/>
        </w:rPr>
        <w:t xml:space="preserve">城市污水处理厂排污口上游 </w:t>
      </w:r>
      <w:r>
        <w:rPr>
          <w:rFonts w:ascii="Times New Roman" w:eastAsia="Times New Roman"/>
        </w:rPr>
        <w:t>500m</w:t>
      </w:r>
      <w:r>
        <w:rPr>
          <w:spacing w:val="-13"/>
        </w:rPr>
        <w:t xml:space="preserve">、汨罗市城市污水处理厂排污口下游 </w:t>
      </w:r>
      <w:r>
        <w:rPr>
          <w:rFonts w:ascii="Times New Roman" w:eastAsia="Times New Roman"/>
        </w:rPr>
        <w:t xml:space="preserve">1500m </w:t>
      </w:r>
      <w:r>
        <w:t>地表水环境质量符合《地表水环境质量标准》（</w:t>
      </w:r>
      <w:r>
        <w:rPr>
          <w:rFonts w:ascii="Times New Roman" w:eastAsia="Times New Roman"/>
        </w:rPr>
        <w:t>GB3838-2002</w:t>
      </w:r>
      <w:r>
        <w:t>）</w:t>
      </w:r>
      <w:r>
        <w:rPr>
          <w:spacing w:val="-26"/>
        </w:rPr>
        <w:t xml:space="preserve">表 </w:t>
      </w:r>
      <w:r>
        <w:rPr>
          <w:rFonts w:ascii="Times New Roman" w:eastAsia="Times New Roman"/>
        </w:rPr>
        <w:t xml:space="preserve">1 </w:t>
      </w:r>
      <w:r>
        <w:rPr>
          <w:spacing w:val="-26"/>
        </w:rPr>
        <w:t xml:space="preserve">中 </w:t>
      </w:r>
      <w:r>
        <w:rPr>
          <w:rFonts w:ascii="Times New Roman" w:eastAsia="Times New Roman"/>
        </w:rPr>
        <w:t xml:space="preserve">III </w:t>
      </w:r>
      <w:r>
        <w:t>类水质标准要求。</w:t>
      </w:r>
    </w:p>
    <w:p w14:paraId="0842D8E1">
      <w:pPr>
        <w:pStyle w:val="10"/>
        <w:spacing w:before="2"/>
        <w:ind w:left="581"/>
      </w:pPr>
      <w:r>
        <w:rPr>
          <w:rFonts w:ascii="Times New Roman" w:eastAsia="Times New Roman"/>
        </w:rPr>
        <w:t>2</w:t>
      </w:r>
      <w:r>
        <w:t>、大气环境</w:t>
      </w:r>
    </w:p>
    <w:p w14:paraId="71663EF1">
      <w:pPr>
        <w:pStyle w:val="10"/>
        <w:spacing w:before="168" w:line="372" w:lineRule="auto"/>
        <w:ind w:left="101" w:right="98" w:firstLine="480"/>
      </w:pPr>
      <w:r>
        <w:rPr>
          <w:spacing w:val="-10"/>
        </w:rPr>
        <w:t xml:space="preserve">根据收集的 </w:t>
      </w:r>
      <w:r>
        <w:rPr>
          <w:rFonts w:ascii="Times New Roman" w:eastAsia="Times New Roman"/>
        </w:rPr>
        <w:t xml:space="preserve">2023 </w:t>
      </w:r>
      <w:r>
        <w:rPr>
          <w:spacing w:val="-1"/>
        </w:rPr>
        <w:t>年汨罗市常规监测点的大气全年监测数据统计资料，</w:t>
      </w:r>
      <w:r>
        <w:rPr>
          <w:rFonts w:ascii="Times New Roman" w:eastAsia="Times New Roman"/>
          <w:spacing w:val="-16"/>
        </w:rPr>
        <w:t xml:space="preserve">2023 </w:t>
      </w:r>
      <w:r>
        <w:rPr>
          <w:spacing w:val="-16"/>
        </w:rPr>
        <w:t>年</w:t>
      </w:r>
      <w:r>
        <w:rPr>
          <w:spacing w:val="-9"/>
        </w:rPr>
        <w:t>汨罗市环境空气质量中各污染物浓度能满足《环境空气质量标准》</w:t>
      </w:r>
      <w:r>
        <w:t>（</w:t>
      </w:r>
      <w:r>
        <w:rPr>
          <w:rFonts w:ascii="Times New Roman" w:eastAsia="Times New Roman"/>
        </w:rPr>
        <w:t>GB3095-2012</w:t>
      </w:r>
      <w:r>
        <w:t>） 及其修改单中的二级标准。项目区域大气环境质量为达标区。</w:t>
      </w:r>
      <w:r>
        <w:rPr>
          <w:rFonts w:ascii="Times New Roman" w:eastAsia="Times New Roman"/>
        </w:rPr>
        <w:t xml:space="preserve">TSP </w:t>
      </w:r>
      <w:r>
        <w:t>满足《环境空</w:t>
      </w:r>
      <w:r>
        <w:rPr>
          <w:spacing w:val="-5"/>
        </w:rPr>
        <w:t>气质量标准》</w:t>
      </w:r>
      <w:r>
        <w:t>（</w:t>
      </w:r>
      <w:r>
        <w:rPr>
          <w:rFonts w:ascii="Times New Roman" w:eastAsia="Times New Roman"/>
        </w:rPr>
        <w:t>GB3095-2012</w:t>
      </w:r>
      <w:r>
        <w:t>）</w:t>
      </w:r>
      <w:r>
        <w:rPr>
          <w:spacing w:val="-1"/>
        </w:rPr>
        <w:t>二级标准；</w:t>
      </w:r>
      <w:r>
        <w:rPr>
          <w:rFonts w:ascii="Times New Roman" w:eastAsia="Times New Roman"/>
          <w:spacing w:val="-3"/>
        </w:rPr>
        <w:t xml:space="preserve">TVOC </w:t>
      </w:r>
      <w:r>
        <w:rPr>
          <w:spacing w:val="-3"/>
        </w:rPr>
        <w:t>能满足《环境影响评价技术导则</w:t>
      </w:r>
      <w:r>
        <w:rPr>
          <w:spacing w:val="-6"/>
        </w:rPr>
        <w:t>大气环境》</w:t>
      </w:r>
      <w:r>
        <w:rPr>
          <w:rFonts w:ascii="Times New Roman" w:eastAsia="Times New Roman"/>
        </w:rPr>
        <w:t>(HJ2.2-2018)</w:t>
      </w:r>
      <w:r>
        <w:rPr>
          <w:spacing w:val="-12"/>
        </w:rPr>
        <w:t xml:space="preserve">中的附录 </w:t>
      </w:r>
      <w:r>
        <w:rPr>
          <w:rFonts w:ascii="Times New Roman" w:eastAsia="Times New Roman"/>
        </w:rPr>
        <w:t xml:space="preserve">D </w:t>
      </w:r>
      <w:r>
        <w:rPr>
          <w:spacing w:val="-3"/>
        </w:rPr>
        <w:t>标准中的相应的标准；非甲烷总烃能满足《大</w:t>
      </w:r>
      <w:r>
        <w:rPr>
          <w:spacing w:val="-6"/>
        </w:rPr>
        <w:t xml:space="preserve">气污染物综合排放标准详解》中的标准限值 </w:t>
      </w:r>
      <w:r>
        <w:rPr>
          <w:rFonts w:ascii="Times New Roman" w:eastAsia="Times New Roman"/>
        </w:rPr>
        <w:t>2mg/m</w:t>
      </w:r>
      <w:r>
        <w:rPr>
          <w:rFonts w:ascii="Times New Roman" w:eastAsia="Times New Roman"/>
          <w:position w:val="8"/>
          <w:sz w:val="15"/>
        </w:rPr>
        <w:t>3</w:t>
      </w:r>
      <w:r>
        <w:t>。</w:t>
      </w:r>
    </w:p>
    <w:p w14:paraId="5ED33D3A">
      <w:pPr>
        <w:pStyle w:val="10"/>
        <w:spacing w:before="3"/>
        <w:ind w:left="581"/>
      </w:pPr>
      <w:r>
        <w:rPr>
          <w:rFonts w:ascii="Times New Roman" w:eastAsia="Times New Roman"/>
        </w:rPr>
        <w:t>3</w:t>
      </w:r>
      <w:r>
        <w:t>、声环境</w:t>
      </w:r>
    </w:p>
    <w:p w14:paraId="51C38056">
      <w:pPr>
        <w:pStyle w:val="10"/>
        <w:spacing w:before="170" w:line="372" w:lineRule="auto"/>
        <w:ind w:left="101" w:right="157" w:firstLine="480"/>
      </w:pPr>
      <w:r>
        <w:t>根据监测报告，项目所在地厂界东侧、西侧、北侧的声环境质量能达到《声环境质量标准》（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3 </w:t>
      </w:r>
      <w:r>
        <w:t>类标准要求，南侧的声环境质量能达到</w:t>
      </w:r>
    </w:p>
    <w:p w14:paraId="54FE9705">
      <w:pPr>
        <w:pStyle w:val="10"/>
        <w:spacing w:line="307" w:lineRule="exact"/>
        <w:ind w:left="101"/>
      </w:pPr>
      <w:r>
        <w:t>《声环境质量标准》（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4a </w:t>
      </w:r>
      <w:r>
        <w:t>类标准。</w:t>
      </w:r>
    </w:p>
    <w:p w14:paraId="09500C77">
      <w:pPr>
        <w:pStyle w:val="10"/>
        <w:spacing w:before="171"/>
        <w:ind w:left="581"/>
      </w:pPr>
      <w:r>
        <w:rPr>
          <w:rFonts w:ascii="Times New Roman" w:eastAsia="Times New Roman"/>
        </w:rPr>
        <w:t>4</w:t>
      </w:r>
      <w:r>
        <w:t>、地下水环境现状</w:t>
      </w:r>
    </w:p>
    <w:p w14:paraId="7E1CA610">
      <w:pPr>
        <w:pStyle w:val="10"/>
        <w:spacing w:before="170" w:line="372" w:lineRule="auto"/>
        <w:ind w:left="101" w:right="220" w:firstLine="480"/>
      </w:pPr>
      <w:r>
        <w:t>根据引用的项目区域地下水现状监测数据，各监测因子均满足《地下水质量标准》</w:t>
      </w:r>
      <w:r>
        <w:rPr>
          <w:rFonts w:ascii="Times New Roman" w:hAnsi="Times New Roman" w:eastAsia="Times New Roman"/>
        </w:rPr>
        <w:t>(GB/T14848-2017)</w:t>
      </w:r>
      <w:r>
        <w:t>中Ⅲ类标准。</w:t>
      </w:r>
    </w:p>
    <w:p w14:paraId="42179334">
      <w:pPr>
        <w:spacing w:after="0" w:line="372" w:lineRule="auto"/>
        <w:sectPr>
          <w:footerReference r:id="rId40" w:type="default"/>
          <w:pgSz w:w="11910" w:h="16840"/>
          <w:pgMar w:top="1460" w:right="1480" w:bottom="1220" w:left="1600" w:header="0" w:footer="1024" w:gutter="0"/>
          <w:pgNumType w:start="189"/>
          <w:cols w:space="720" w:num="1"/>
        </w:sectPr>
      </w:pPr>
    </w:p>
    <w:p w14:paraId="6C5F959B">
      <w:pPr>
        <w:pStyle w:val="3"/>
        <w:numPr>
          <w:ilvl w:val="1"/>
          <w:numId w:val="33"/>
        </w:numPr>
        <w:tabs>
          <w:tab w:val="left" w:pos="551"/>
        </w:tabs>
        <w:spacing w:before="44" w:after="0" w:line="240" w:lineRule="auto"/>
        <w:ind w:left="550" w:right="0" w:hanging="449"/>
        <w:jc w:val="left"/>
      </w:pPr>
      <w:bookmarkStart w:id="50" w:name="_TOC_250005"/>
      <w:bookmarkEnd w:id="50"/>
      <w:r>
        <w:t>环境影响及环保措施</w:t>
      </w:r>
    </w:p>
    <w:p w14:paraId="259E51B2">
      <w:pPr>
        <w:pStyle w:val="10"/>
        <w:spacing w:before="210"/>
        <w:ind w:left="581"/>
      </w:pPr>
      <w:r>
        <w:rPr>
          <w:rFonts w:ascii="Times New Roman" w:eastAsia="Times New Roman"/>
        </w:rPr>
        <w:t>1</w:t>
      </w:r>
      <w:r>
        <w:t>、地表水环境</w:t>
      </w:r>
    </w:p>
    <w:p w14:paraId="3C2C3985">
      <w:pPr>
        <w:pStyle w:val="10"/>
        <w:spacing w:before="170" w:line="372" w:lineRule="auto"/>
        <w:ind w:left="101" w:right="218" w:firstLine="480"/>
        <w:jc w:val="both"/>
      </w:pPr>
      <w:r>
        <w:t>本项目循环冷却水经循环冷却池沉淀后循环使用，不外排；本项目车间地面采用人工清扫方式，不进行地面冲洗，无地面清洗废水产生；本项目废水主要为生活污水。</w:t>
      </w:r>
    </w:p>
    <w:p w14:paraId="4DF16E0B">
      <w:pPr>
        <w:pStyle w:val="10"/>
        <w:spacing w:before="1"/>
        <w:ind w:left="581"/>
      </w:pPr>
      <w:r>
        <w:t>项目生活污水中塑新材料公司化粪池处理达到《污水综合排放标准》</w:t>
      </w:r>
    </w:p>
    <w:p w14:paraId="396CFCEE">
      <w:pPr>
        <w:pStyle w:val="10"/>
        <w:spacing w:before="170" w:line="372" w:lineRule="auto"/>
        <w:ind w:left="101" w:right="98"/>
      </w:pPr>
      <w:r>
        <w:rPr>
          <w:spacing w:val="-6"/>
        </w:rPr>
        <w:t>（</w:t>
      </w:r>
      <w:r>
        <w:rPr>
          <w:rFonts w:ascii="Times New Roman" w:eastAsia="Times New Roman"/>
          <w:spacing w:val="-6"/>
        </w:rPr>
        <w:t>GB8978-1996</w:t>
      </w:r>
      <w:r>
        <w:rPr>
          <w:spacing w:val="-6"/>
        </w:rPr>
        <w:t>）</w:t>
      </w:r>
      <w:r>
        <w:t>中三级标准及汨罗市城市污水处理厂进水水质标准两者中的较严</w:t>
      </w:r>
      <w:r>
        <w:rPr>
          <w:spacing w:val="-1"/>
        </w:rPr>
        <w:t xml:space="preserve">值后排入汨罗市城市污水处理厂进行处理，不会对污水处理厂造成污染冲击负荷， </w:t>
      </w:r>
      <w:r>
        <w:t>污水处理厂尾水达到《城镇污水处理厂污染物排放标准》（</w:t>
      </w:r>
      <w:r>
        <w:rPr>
          <w:rFonts w:ascii="Times New Roman" w:eastAsia="Times New Roman"/>
        </w:rPr>
        <w:t>GB18918-2002</w:t>
      </w:r>
      <w:r>
        <w:t>）</w:t>
      </w:r>
      <w:r>
        <w:rPr>
          <w:spacing w:val="-22"/>
        </w:rPr>
        <w:t xml:space="preserve">表 </w:t>
      </w:r>
      <w:r>
        <w:rPr>
          <w:rFonts w:ascii="Times New Roman" w:eastAsia="Times New Roman"/>
        </w:rPr>
        <w:t xml:space="preserve">1 </w:t>
      </w:r>
      <w:r>
        <w:rPr>
          <w:spacing w:val="-15"/>
        </w:rPr>
        <w:t xml:space="preserve">中一级 </w:t>
      </w:r>
      <w:r>
        <w:rPr>
          <w:rFonts w:ascii="Times New Roman" w:eastAsia="Times New Roman"/>
        </w:rPr>
        <w:t xml:space="preserve">A </w:t>
      </w:r>
      <w:r>
        <w:t>标准后排入李家河，进入汨罗江。</w:t>
      </w:r>
    </w:p>
    <w:p w14:paraId="185F9A94">
      <w:pPr>
        <w:pStyle w:val="10"/>
        <w:spacing w:before="2"/>
        <w:ind w:left="581"/>
      </w:pPr>
      <w:r>
        <w:t>本项目对地表水体环境影响较小，不会改变地表水环境功能现状。</w:t>
      </w:r>
    </w:p>
    <w:p w14:paraId="5864AF94">
      <w:pPr>
        <w:pStyle w:val="10"/>
        <w:spacing w:before="170"/>
        <w:ind w:left="581"/>
      </w:pPr>
      <w:r>
        <w:rPr>
          <w:rFonts w:ascii="Times New Roman" w:eastAsia="Times New Roman"/>
        </w:rPr>
        <w:t>2</w:t>
      </w:r>
      <w:r>
        <w:t>、大气环境</w:t>
      </w:r>
    </w:p>
    <w:p w14:paraId="34F76458">
      <w:pPr>
        <w:pStyle w:val="10"/>
        <w:spacing w:before="170"/>
        <w:ind w:left="581"/>
      </w:pPr>
      <w:r>
        <w:t>本项目破碎粉尘、投料混料粉尘经密闭收集罩</w:t>
      </w:r>
      <w:r>
        <w:rPr>
          <w:rFonts w:ascii="Times New Roman" w:eastAsia="Times New Roman"/>
        </w:rPr>
        <w:t>+</w:t>
      </w:r>
      <w:r>
        <w:t>布袋除尘器</w:t>
      </w:r>
      <w:r>
        <w:rPr>
          <w:rFonts w:ascii="Times New Roman" w:eastAsia="Times New Roman"/>
        </w:rPr>
        <w:t xml:space="preserve">+15m </w:t>
      </w:r>
      <w:r>
        <w:t>高排气筒</w:t>
      </w:r>
    </w:p>
    <w:p w14:paraId="7FFF7AAD">
      <w:pPr>
        <w:pStyle w:val="10"/>
        <w:spacing w:before="167" w:line="372" w:lineRule="auto"/>
        <w:ind w:left="101" w:right="218"/>
        <w:jc w:val="both"/>
      </w:pPr>
      <w:r>
        <w:rPr>
          <w:rFonts w:ascii="Times New Roman" w:eastAsia="Times New Roman"/>
        </w:rPr>
        <w:t xml:space="preserve">DA001 </w:t>
      </w:r>
      <w:r>
        <w:rPr>
          <w:spacing w:val="-4"/>
        </w:rPr>
        <w:t>排放，颗粒物满足《</w:t>
      </w:r>
      <w:r>
        <w:fldChar w:fldCharType="begin"/>
      </w:r>
      <w:r>
        <w:instrText xml:space="preserve"> HYPERLINK "https://www.mee.gov.cn/ywgz/fgbz/bz/bzwb/dqhjbh/dqgdwrywrwpfbz/201505/W020150506393371746579.pdf" \h </w:instrText>
      </w:r>
      <w:r>
        <w:fldChar w:fldCharType="separate"/>
      </w:r>
      <w:r>
        <w:t>合成树脂工业污染物排放标准</w:t>
      </w:r>
      <w:r>
        <w:fldChar w:fldCharType="end"/>
      </w:r>
      <w:r>
        <w:rPr>
          <w:spacing w:val="-22"/>
        </w:rPr>
        <w:t>》</w:t>
      </w:r>
      <w:r>
        <w:t>（</w:t>
      </w:r>
      <w:r>
        <w:rPr>
          <w:rFonts w:ascii="Times New Roman" w:eastAsia="Times New Roman"/>
        </w:rPr>
        <w:t>GB 31572-2015</w:t>
      </w:r>
      <w:r>
        <w:t>）及</w:t>
      </w:r>
      <w:r>
        <w:rPr>
          <w:spacing w:val="-30"/>
        </w:rPr>
        <w:t xml:space="preserve">其 </w:t>
      </w:r>
      <w:r>
        <w:rPr>
          <w:rFonts w:ascii="Times New Roman" w:eastAsia="Times New Roman"/>
        </w:rPr>
        <w:t xml:space="preserve">2024 </w:t>
      </w:r>
      <w:r>
        <w:rPr>
          <w:spacing w:val="-10"/>
        </w:rPr>
        <w:t xml:space="preserve">年修改单表 </w:t>
      </w:r>
      <w:r>
        <w:rPr>
          <w:rFonts w:ascii="Times New Roman" w:eastAsia="Times New Roman"/>
        </w:rPr>
        <w:t xml:space="preserve">4 </w:t>
      </w:r>
      <w:r>
        <w:rPr>
          <w:spacing w:val="-2"/>
        </w:rPr>
        <w:t>大气污染物排放限值要求；本项目挤出造粒废气、挤出注塑</w:t>
      </w:r>
      <w:r>
        <w:rPr>
          <w:spacing w:val="12"/>
        </w:rPr>
        <w:t>废气经密闭负压收集罩</w:t>
      </w:r>
      <w:r>
        <w:rPr>
          <w:rFonts w:ascii="Times New Roman" w:eastAsia="Times New Roman"/>
          <w:spacing w:val="16"/>
        </w:rPr>
        <w:t>+</w:t>
      </w:r>
      <w:r>
        <w:rPr>
          <w:spacing w:val="12"/>
        </w:rPr>
        <w:t>布袋除尘器</w:t>
      </w:r>
      <w:r>
        <w:rPr>
          <w:rFonts w:ascii="Times New Roman" w:eastAsia="Times New Roman"/>
          <w:spacing w:val="15"/>
        </w:rPr>
        <w:t>+</w:t>
      </w:r>
      <w:r>
        <w:rPr>
          <w:spacing w:val="12"/>
        </w:rPr>
        <w:t>过滤棉</w:t>
      </w:r>
      <w:r>
        <w:rPr>
          <w:rFonts w:ascii="Times New Roman" w:eastAsia="Times New Roman"/>
          <w:spacing w:val="16"/>
        </w:rPr>
        <w:t>+</w:t>
      </w:r>
      <w:r>
        <w:rPr>
          <w:spacing w:val="12"/>
        </w:rPr>
        <w:t>二级活性炭吸附</w:t>
      </w:r>
      <w:r>
        <w:rPr>
          <w:rFonts w:ascii="Times New Roman" w:eastAsia="Times New Roman"/>
        </w:rPr>
        <w:t xml:space="preserve">+15m </w:t>
      </w:r>
      <w:r>
        <w:rPr>
          <w:spacing w:val="10"/>
        </w:rPr>
        <w:t>高排气筒</w:t>
      </w:r>
    </w:p>
    <w:p w14:paraId="67026573">
      <w:pPr>
        <w:pStyle w:val="10"/>
        <w:spacing w:before="3" w:line="372" w:lineRule="auto"/>
        <w:ind w:left="101" w:right="218"/>
        <w:jc w:val="both"/>
      </w:pPr>
      <w:r>
        <w:rPr>
          <w:rFonts w:ascii="Times New Roman" w:eastAsia="Times New Roman"/>
        </w:rPr>
        <w:t xml:space="preserve">DA002 </w:t>
      </w:r>
      <w:r>
        <w:rPr>
          <w:spacing w:val="2"/>
        </w:rPr>
        <w:t>排放，颗粒物、非甲烷总烃满足《</w:t>
      </w:r>
      <w:r>
        <w:fldChar w:fldCharType="begin"/>
      </w:r>
      <w:r>
        <w:instrText xml:space="preserve"> HYPERLINK "https://www.mee.gov.cn/ywgz/fgbz/bz/bzwb/dqhjbh/dqgdwrywrwpfbz/201505/W020150506393371746579.pdf" \h </w:instrText>
      </w:r>
      <w:r>
        <w:fldChar w:fldCharType="separate"/>
      </w:r>
      <w:r>
        <w:rPr>
          <w:spacing w:val="2"/>
        </w:rPr>
        <w:t>合成树脂工业污染物排放标准</w:t>
      </w:r>
      <w:r>
        <w:rPr>
          <w:spacing w:val="2"/>
        </w:rPr>
        <w:fldChar w:fldCharType="end"/>
      </w:r>
      <w:r>
        <w:rPr>
          <w:spacing w:val="5"/>
        </w:rPr>
        <w:t>》</w:t>
      </w:r>
      <w:r>
        <w:t>（</w:t>
      </w:r>
      <w:r>
        <w:rPr>
          <w:rFonts w:ascii="Times New Roman" w:eastAsia="Times New Roman"/>
        </w:rPr>
        <w:t>GB 31572-2015</w:t>
      </w:r>
      <w:r>
        <w:t>）</w:t>
      </w:r>
      <w:r>
        <w:rPr>
          <w:spacing w:val="-20"/>
        </w:rPr>
        <w:t xml:space="preserve">及其 </w:t>
      </w:r>
      <w:r>
        <w:rPr>
          <w:rFonts w:ascii="Times New Roman" w:eastAsia="Times New Roman"/>
        </w:rPr>
        <w:t xml:space="preserve">2024 </w:t>
      </w:r>
      <w:r>
        <w:rPr>
          <w:spacing w:val="-10"/>
        </w:rPr>
        <w:t xml:space="preserve">年修改单表 </w:t>
      </w:r>
      <w:r>
        <w:rPr>
          <w:rFonts w:ascii="Times New Roman" w:eastAsia="Times New Roman"/>
        </w:rPr>
        <w:t xml:space="preserve">4 </w:t>
      </w:r>
      <w:r>
        <w:t>大气污染物排放限值要求；厂界无组织排放颗粒物满足《</w:t>
      </w:r>
      <w:r>
        <w:fldChar w:fldCharType="begin"/>
      </w:r>
      <w:r>
        <w:instrText xml:space="preserve"> HYPERLINK "https://www.mee.gov.cn/ywgz/fgbz/bz/bzwb/dqhjbh/dqgdwrywrwpfbz/201505/W020150506393371746579.pdf" \h </w:instrText>
      </w:r>
      <w:r>
        <w:fldChar w:fldCharType="separate"/>
      </w:r>
      <w:r>
        <w:t>合成树脂工业污染物排放标准</w:t>
      </w:r>
      <w:r>
        <w:fldChar w:fldCharType="end"/>
      </w:r>
      <w:r>
        <w:rPr>
          <w:spacing w:val="2"/>
        </w:rPr>
        <w:t>》</w:t>
      </w:r>
      <w:r>
        <w:t>（</w:t>
      </w:r>
      <w:r>
        <w:rPr>
          <w:rFonts w:ascii="Times New Roman" w:eastAsia="Times New Roman"/>
        </w:rPr>
        <w:t>GB 31572-2015</w:t>
      </w:r>
      <w:r>
        <w:t>）</w:t>
      </w:r>
      <w:r>
        <w:rPr>
          <w:spacing w:val="-15"/>
        </w:rPr>
        <w:t xml:space="preserve">及其 </w:t>
      </w:r>
      <w:r>
        <w:rPr>
          <w:rFonts w:ascii="Times New Roman" w:eastAsia="Times New Roman"/>
        </w:rPr>
        <w:t xml:space="preserve">2024 </w:t>
      </w:r>
      <w:r>
        <w:rPr>
          <w:spacing w:val="0"/>
        </w:rPr>
        <w:t>年修</w:t>
      </w:r>
      <w:r>
        <w:rPr>
          <w:spacing w:val="-10"/>
        </w:rPr>
        <w:t xml:space="preserve">改单表 </w:t>
      </w:r>
      <w:r>
        <w:rPr>
          <w:rFonts w:ascii="Times New Roman" w:eastAsia="Times New Roman"/>
        </w:rPr>
        <w:t xml:space="preserve">9 </w:t>
      </w:r>
      <w:r>
        <w:t>浓度限值要求，企业厂区内无组织排放监控点非甲烷总烃满足《挥发性有机物无组织排放控制标准》（</w:t>
      </w:r>
      <w:r>
        <w:rPr>
          <w:rFonts w:ascii="Times New Roman" w:eastAsia="Times New Roman"/>
        </w:rPr>
        <w:t>GB37822-2019</w:t>
      </w:r>
      <w:r>
        <w:t>）</w:t>
      </w:r>
      <w:r>
        <w:rPr>
          <w:spacing w:val="-20"/>
        </w:rPr>
        <w:t xml:space="preserve">附录 </w:t>
      </w:r>
      <w:r>
        <w:rPr>
          <w:rFonts w:ascii="Times New Roman" w:eastAsia="Times New Roman"/>
        </w:rPr>
        <w:t xml:space="preserve">A </w:t>
      </w:r>
      <w:r>
        <w:rPr>
          <w:spacing w:val="-31"/>
        </w:rPr>
        <w:t xml:space="preserve">表 </w:t>
      </w:r>
      <w:r>
        <w:rPr>
          <w:rFonts w:ascii="Times New Roman" w:eastAsia="Times New Roman"/>
        </w:rPr>
        <w:t xml:space="preserve">A.1 </w:t>
      </w:r>
      <w:r>
        <w:t>排放限值要求。臭气浓度满足《恶臭污染物排放标准》（</w:t>
      </w:r>
      <w:r>
        <w:rPr>
          <w:rFonts w:ascii="Times New Roman" w:eastAsia="Times New Roman"/>
        </w:rPr>
        <w:t>GB14554-93</w:t>
      </w:r>
      <w:r>
        <w:t>）</w:t>
      </w:r>
      <w:r>
        <w:rPr>
          <w:spacing w:val="-15"/>
        </w:rPr>
        <w:t xml:space="preserve">中表 </w:t>
      </w:r>
      <w:r>
        <w:rPr>
          <w:rFonts w:ascii="Times New Roman" w:eastAsia="Times New Roman"/>
        </w:rPr>
        <w:t xml:space="preserve">1 </w:t>
      </w:r>
      <w:r>
        <w:rPr>
          <w:spacing w:val="-5"/>
        </w:rPr>
        <w:t xml:space="preserve">二级新扩改建和表 </w:t>
      </w:r>
      <w:r>
        <w:rPr>
          <w:rFonts w:ascii="Times New Roman" w:eastAsia="Times New Roman"/>
        </w:rPr>
        <w:t xml:space="preserve">2 </w:t>
      </w:r>
      <w:r>
        <w:t>排放标准要求。</w:t>
      </w:r>
    </w:p>
    <w:p w14:paraId="22C8D005">
      <w:pPr>
        <w:pStyle w:val="10"/>
        <w:spacing w:before="2" w:line="372" w:lineRule="auto"/>
        <w:ind w:left="101" w:right="218" w:firstLine="482"/>
        <w:jc w:val="both"/>
      </w:pPr>
      <w:r>
        <w:t>项目大气评价等级为一级评价，本项目新增污染源正常排放下污染物短期浓</w:t>
      </w:r>
      <w:r>
        <w:rPr>
          <w:spacing w:val="-5"/>
        </w:rPr>
        <w:t xml:space="preserve">度贡献值最大占标率均小于 </w:t>
      </w:r>
      <w:r>
        <w:rPr>
          <w:rFonts w:ascii="Times New Roman" w:eastAsia="Times New Roman"/>
          <w:spacing w:val="-6"/>
        </w:rPr>
        <w:t>100%</w:t>
      </w:r>
      <w:r>
        <w:rPr>
          <w:spacing w:val="-6"/>
        </w:rPr>
        <w:t xml:space="preserve">，长期浓度贡献值最大占标率均小于 </w:t>
      </w:r>
      <w:r>
        <w:rPr>
          <w:rFonts w:ascii="Times New Roman" w:eastAsia="Times New Roman"/>
          <w:spacing w:val="-7"/>
        </w:rPr>
        <w:t>30%</w:t>
      </w:r>
      <w:r>
        <w:rPr>
          <w:spacing w:val="-3"/>
        </w:rPr>
        <w:t>；叠加</w:t>
      </w:r>
      <w:r>
        <w:rPr>
          <w:spacing w:val="-8"/>
        </w:rPr>
        <w:t xml:space="preserve">现状浓度、区域拟建在建污染源后，非甲烷总烃 </w:t>
      </w:r>
      <w:r>
        <w:rPr>
          <w:rFonts w:ascii="Times New Roman" w:eastAsia="Times New Roman"/>
        </w:rPr>
        <w:t xml:space="preserve">1h </w:t>
      </w:r>
      <w:r>
        <w:rPr>
          <w:spacing w:val="-2"/>
        </w:rPr>
        <w:t>平均浓度满足《大气污染物综</w:t>
      </w:r>
      <w:r>
        <w:rPr>
          <w:spacing w:val="-17"/>
          <w:position w:val="2"/>
        </w:rPr>
        <w:t xml:space="preserve">合排放标准详解》中 </w:t>
      </w:r>
      <w:r>
        <w:rPr>
          <w:rFonts w:ascii="Times New Roman" w:eastAsia="Times New Roman"/>
          <w:position w:val="2"/>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5"/>
          <w:position w:val="2"/>
          <w:vertAlign w:val="baseline"/>
        </w:rPr>
        <w:t>的限值，</w:t>
      </w:r>
      <w:r>
        <w:rPr>
          <w:rFonts w:ascii="Times New Roman" w:eastAsia="Times New Roman"/>
          <w:spacing w:val="-18"/>
          <w:position w:val="2"/>
          <w:vertAlign w:val="baseline"/>
        </w:rPr>
        <w:t>PM</w:t>
      </w:r>
      <w:r>
        <w:rPr>
          <w:rFonts w:ascii="Times New Roman" w:eastAsia="Times New Roman"/>
          <w:spacing w:val="-18"/>
          <w:position w:val="2"/>
          <w:vertAlign w:val="subscript"/>
        </w:rPr>
        <w:t>10</w:t>
      </w:r>
      <w:r>
        <w:rPr>
          <w:rFonts w:ascii="Times New Roman" w:eastAsia="Times New Roman"/>
          <w:spacing w:val="-18"/>
          <w:position w:val="2"/>
          <w:vertAlign w:val="baseline"/>
        </w:rPr>
        <w:t xml:space="preserve"> </w:t>
      </w:r>
      <w:r>
        <w:rPr>
          <w:spacing w:val="-29"/>
          <w:position w:val="2"/>
          <w:vertAlign w:val="baseline"/>
        </w:rPr>
        <w:t xml:space="preserve">和 </w:t>
      </w:r>
      <w:r>
        <w:rPr>
          <w:rFonts w:ascii="Times New Roman" w:eastAsia="Times New Roman"/>
          <w:position w:val="2"/>
          <w:vertAlign w:val="baseline"/>
        </w:rPr>
        <w:t xml:space="preserve">TSP </w:t>
      </w:r>
      <w:r>
        <w:rPr>
          <w:spacing w:val="-14"/>
          <w:position w:val="2"/>
          <w:vertAlign w:val="baseline"/>
        </w:rPr>
        <w:t>日平均、年平均浓度均满足《环</w:t>
      </w:r>
      <w:r>
        <w:rPr>
          <w:spacing w:val="-6"/>
          <w:vertAlign w:val="baseline"/>
        </w:rPr>
        <w:t>境空气质量标准》</w:t>
      </w:r>
      <w:r>
        <w:rPr>
          <w:spacing w:val="-1"/>
          <w:vertAlign w:val="baseline"/>
        </w:rPr>
        <w:t>（</w:t>
      </w:r>
      <w:r>
        <w:rPr>
          <w:rFonts w:ascii="Times New Roman" w:eastAsia="Times New Roman"/>
          <w:spacing w:val="-1"/>
          <w:vertAlign w:val="baseline"/>
        </w:rPr>
        <w:t>GB3095-2012</w:t>
      </w:r>
      <w:r>
        <w:rPr>
          <w:spacing w:val="-1"/>
          <w:vertAlign w:val="baseline"/>
        </w:rPr>
        <w:t>）</w:t>
      </w:r>
      <w:r>
        <w:rPr>
          <w:spacing w:val="-2"/>
          <w:vertAlign w:val="baseline"/>
        </w:rPr>
        <w:t>中的二级标准要求；本项目新增污染源非正常</w:t>
      </w:r>
      <w:r>
        <w:rPr>
          <w:spacing w:val="-5"/>
          <w:vertAlign w:val="baseline"/>
        </w:rPr>
        <w:t xml:space="preserve">排放下污染物短期浓度贡献值最大占标率均小于 </w:t>
      </w:r>
      <w:r>
        <w:rPr>
          <w:rFonts w:ascii="Times New Roman" w:eastAsia="Times New Roman"/>
          <w:spacing w:val="-8"/>
          <w:vertAlign w:val="baseline"/>
        </w:rPr>
        <w:t>100%</w:t>
      </w:r>
      <w:r>
        <w:rPr>
          <w:spacing w:val="-3"/>
          <w:vertAlign w:val="baseline"/>
        </w:rPr>
        <w:t>；新增污染源正常排放下非</w:t>
      </w:r>
    </w:p>
    <w:p w14:paraId="7E1B7410">
      <w:pPr>
        <w:spacing w:after="0" w:line="372" w:lineRule="auto"/>
        <w:jc w:val="both"/>
        <w:sectPr>
          <w:footerReference r:id="rId41" w:type="default"/>
          <w:pgSz w:w="11910" w:h="16840"/>
          <w:pgMar w:top="1480" w:right="1480" w:bottom="1220" w:left="1600" w:header="0" w:footer="1024" w:gutter="0"/>
          <w:pgNumType w:start="190"/>
          <w:cols w:space="720" w:num="1"/>
        </w:sectPr>
      </w:pPr>
    </w:p>
    <w:p w14:paraId="077BA3A1">
      <w:pPr>
        <w:pStyle w:val="10"/>
        <w:spacing w:before="63" w:line="372" w:lineRule="auto"/>
        <w:ind w:left="101" w:right="134"/>
      </w:pPr>
      <w:r>
        <w:t xml:space="preserve">甲烷总烃落地浓度预测值未超出《大气污染物综合排放标准详解》中 </w:t>
      </w:r>
      <w:r>
        <w:rPr>
          <w:rFonts w:ascii="Times New Roman" w:eastAsia="Times New Roman"/>
        </w:rPr>
        <w:t>2.0mg/m</w:t>
      </w:r>
      <w:r>
        <w:rPr>
          <w:rFonts w:ascii="Times New Roman" w:eastAsia="Times New Roman"/>
          <w:position w:val="8"/>
          <w:sz w:val="15"/>
        </w:rPr>
        <w:t xml:space="preserve">3 </w:t>
      </w:r>
      <w:r>
        <w:t>的</w:t>
      </w:r>
      <w:r>
        <w:rPr>
          <w:position w:val="2"/>
        </w:rPr>
        <w:t>限值，</w:t>
      </w:r>
      <w:r>
        <w:rPr>
          <w:rFonts w:ascii="Times New Roman" w:eastAsia="Times New Roman"/>
          <w:position w:val="2"/>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 xml:space="preserve">TSP </w:t>
      </w:r>
      <w:r>
        <w:rPr>
          <w:position w:val="2"/>
          <w:vertAlign w:val="baseline"/>
        </w:rPr>
        <w:t>落地浓度预测值未超出《环境空气质量标准》（</w:t>
      </w:r>
      <w:r>
        <w:rPr>
          <w:rFonts w:ascii="Times New Roman" w:eastAsia="Times New Roman"/>
          <w:position w:val="2"/>
          <w:vertAlign w:val="baseline"/>
        </w:rPr>
        <w:t>GB3095-2012</w:t>
      </w:r>
      <w:r>
        <w:rPr>
          <w:position w:val="2"/>
          <w:vertAlign w:val="baseline"/>
        </w:rPr>
        <w:t xml:space="preserve">） </w:t>
      </w:r>
      <w:r>
        <w:rPr>
          <w:vertAlign w:val="baseline"/>
        </w:rPr>
        <w:t>中的二级标准要求，厂界外无超标点，无需设置大气防护距离。</w:t>
      </w:r>
    </w:p>
    <w:p w14:paraId="42EE43BC">
      <w:pPr>
        <w:pStyle w:val="10"/>
        <w:spacing w:line="306" w:lineRule="exact"/>
        <w:ind w:left="581"/>
      </w:pPr>
      <w:r>
        <w:t>综上，本项目大气环境影响可以接受。</w:t>
      </w:r>
    </w:p>
    <w:p w14:paraId="51C22F11">
      <w:pPr>
        <w:pStyle w:val="10"/>
        <w:spacing w:before="167"/>
        <w:ind w:left="581"/>
      </w:pPr>
      <w:r>
        <w:rPr>
          <w:rFonts w:ascii="Times New Roman" w:eastAsia="Times New Roman"/>
        </w:rPr>
        <w:t>3</w:t>
      </w:r>
      <w:r>
        <w:t>、地下水环境</w:t>
      </w:r>
    </w:p>
    <w:p w14:paraId="2DC2C7E8">
      <w:pPr>
        <w:pStyle w:val="10"/>
        <w:spacing w:before="171" w:line="372" w:lineRule="auto"/>
        <w:ind w:left="101" w:right="218" w:firstLine="480"/>
        <w:jc w:val="both"/>
      </w:pPr>
      <w:r>
        <w:t>本项目已从工艺装置的设计、地面硬化等各方面对本项目所在装置区域进行了较为全面的防渗措施，不会发生废水对地下水渗漏，影响地下水。在规范排污及加强监管等前提下，本项目对项目区地下水影响可接受。</w:t>
      </w:r>
    </w:p>
    <w:p w14:paraId="7C15A827">
      <w:pPr>
        <w:pStyle w:val="10"/>
        <w:ind w:left="581"/>
      </w:pPr>
      <w:r>
        <w:rPr>
          <w:rFonts w:ascii="Times New Roman" w:eastAsia="Times New Roman"/>
        </w:rPr>
        <w:t>4</w:t>
      </w:r>
      <w:r>
        <w:t>、声环境</w:t>
      </w:r>
    </w:p>
    <w:p w14:paraId="733EFFA8">
      <w:pPr>
        <w:pStyle w:val="10"/>
        <w:spacing w:before="170" w:line="372" w:lineRule="auto"/>
        <w:ind w:left="101" w:right="98" w:firstLine="480"/>
      </w:pPr>
      <w:r>
        <w:t>本项目噪声源主要为破碎机、挤出造粒机、上料机、混料机、挤出注塑机、</w:t>
      </w:r>
      <w:r>
        <w:rPr>
          <w:spacing w:val="-14"/>
        </w:rPr>
        <w:t xml:space="preserve">自动裁切机、空压机、风机等，噪声源强约 </w:t>
      </w:r>
      <w:r>
        <w:rPr>
          <w:rFonts w:ascii="Times New Roman" w:eastAsia="Times New Roman"/>
          <w:spacing w:val="-9"/>
        </w:rPr>
        <w:t>70~85dB</w:t>
      </w:r>
      <w:r>
        <w:rPr>
          <w:spacing w:val="-9"/>
        </w:rPr>
        <w:t>（</w:t>
      </w:r>
      <w:r>
        <w:rPr>
          <w:rFonts w:ascii="Times New Roman" w:eastAsia="Times New Roman"/>
          <w:spacing w:val="-9"/>
        </w:rPr>
        <w:t>A</w:t>
      </w:r>
      <w:r>
        <w:rPr>
          <w:spacing w:val="-9"/>
        </w:rPr>
        <w:t>），</w:t>
      </w:r>
      <w:r>
        <w:t>采取选用低噪声设备、隔声消音、基础减振、厂房隔声及距离衰减后厂界处各噪声源排放满足《工业企</w:t>
      </w:r>
      <w:r>
        <w:rPr>
          <w:spacing w:val="-2"/>
        </w:rPr>
        <w:t>业厂界环境噪声排放标准》</w:t>
      </w:r>
      <w:r>
        <w:rPr>
          <w:rFonts w:ascii="Times New Roman" w:eastAsia="Times New Roman"/>
        </w:rPr>
        <w:t>(GB12348-2008)</w:t>
      </w:r>
      <w:r>
        <w:rPr>
          <w:spacing w:val="-21"/>
        </w:rPr>
        <w:t xml:space="preserve">中的 </w:t>
      </w:r>
      <w:r>
        <w:rPr>
          <w:rFonts w:ascii="Times New Roman" w:eastAsia="Times New Roman"/>
        </w:rPr>
        <w:t xml:space="preserve">3 </w:t>
      </w:r>
      <w:r>
        <w:rPr>
          <w:spacing w:val="-22"/>
        </w:rPr>
        <w:t>类</w:t>
      </w:r>
      <w:r>
        <w:t>（</w:t>
      </w:r>
      <w:r>
        <w:rPr>
          <w:spacing w:val="-7"/>
        </w:rPr>
        <w:t>东侧、西侧、北侧厂界</w:t>
      </w:r>
      <w:r>
        <w:rPr>
          <w:spacing w:val="-22"/>
        </w:rPr>
        <w:t>）</w:t>
      </w:r>
      <w:r>
        <w:t>和</w:t>
      </w:r>
    </w:p>
    <w:p w14:paraId="51CD530D">
      <w:pPr>
        <w:pStyle w:val="10"/>
        <w:spacing w:before="2"/>
        <w:ind w:left="101"/>
      </w:pPr>
      <w:r>
        <w:rPr>
          <w:rFonts w:ascii="Times New Roman" w:eastAsia="Times New Roman"/>
        </w:rPr>
        <w:t xml:space="preserve">4 </w:t>
      </w:r>
      <w:r>
        <w:t>类（南侧厂界）标准要求，项目运营期对周围声环境影响较小。</w:t>
      </w:r>
    </w:p>
    <w:p w14:paraId="2CAB02E1">
      <w:pPr>
        <w:pStyle w:val="10"/>
        <w:spacing w:before="170"/>
        <w:ind w:left="581"/>
      </w:pPr>
      <w:r>
        <w:rPr>
          <w:rFonts w:ascii="Times New Roman" w:eastAsia="Times New Roman"/>
        </w:rPr>
        <w:t>5</w:t>
      </w:r>
      <w:r>
        <w:t>、固体废物</w:t>
      </w:r>
    </w:p>
    <w:p w14:paraId="74DD3FDF">
      <w:pPr>
        <w:pStyle w:val="10"/>
        <w:spacing w:before="170"/>
        <w:ind w:left="581"/>
      </w:pPr>
      <w:r>
        <w:t>项目生活垃圾由环卫部门集中收集处理。</w:t>
      </w:r>
    </w:p>
    <w:p w14:paraId="7046F8F5">
      <w:pPr>
        <w:pStyle w:val="10"/>
        <w:spacing w:before="168" w:line="372" w:lineRule="auto"/>
        <w:ind w:left="101" w:right="218" w:firstLine="480"/>
        <w:jc w:val="both"/>
      </w:pPr>
      <w:r>
        <w:t>项目产生的一般工业固废一般包装材料、造粒杂质、废滤网等外售至物资回收公司；收集除尘灰收集后回用于生产，边角料、不合格品经破碎处理后回用于生产。</w:t>
      </w:r>
    </w:p>
    <w:p w14:paraId="469601E1">
      <w:pPr>
        <w:pStyle w:val="10"/>
        <w:spacing w:before="2" w:line="372" w:lineRule="auto"/>
        <w:ind w:left="101" w:right="218" w:firstLine="480"/>
      </w:pPr>
      <w:r>
        <w:t>项目危险废物主要包括废润滑油、含油废抹布手套和废活性炭、废过滤棉， 均收集暂存后委托具有相应危废类别的危险废物经营许可证单位进行处置。</w:t>
      </w:r>
    </w:p>
    <w:p w14:paraId="2CF798A6">
      <w:pPr>
        <w:pStyle w:val="10"/>
        <w:spacing w:line="372" w:lineRule="auto"/>
        <w:ind w:left="101" w:right="218" w:firstLine="480"/>
      </w:pPr>
      <w:r>
        <w:t>项目所产生的固体废物均能得到有效的处理处置，不直接对外排放，对环境影响小。</w:t>
      </w:r>
    </w:p>
    <w:p w14:paraId="2638E55F">
      <w:pPr>
        <w:pStyle w:val="10"/>
        <w:spacing w:before="2"/>
        <w:ind w:left="581"/>
      </w:pPr>
      <w:r>
        <w:rPr>
          <w:rFonts w:ascii="Times New Roman" w:eastAsia="Times New Roman"/>
        </w:rPr>
        <w:t>6</w:t>
      </w:r>
      <w:r>
        <w:t>、环境风险</w:t>
      </w:r>
    </w:p>
    <w:p w14:paraId="0841DADF">
      <w:pPr>
        <w:pStyle w:val="10"/>
        <w:spacing w:before="168" w:line="372" w:lineRule="auto"/>
        <w:ind w:left="101" w:right="218" w:firstLine="480"/>
        <w:jc w:val="both"/>
      </w:pPr>
      <w:r>
        <w:t>本项目环境风险评价仅作简单分析，项目不涉及危险化工工艺，各风险事故在落实环境风险防范措施前提下均较可控制，不会对厂区外环境造成不良影响， 环境风险影响可接受。</w:t>
      </w:r>
    </w:p>
    <w:p w14:paraId="4C9A3931">
      <w:pPr>
        <w:pStyle w:val="3"/>
        <w:numPr>
          <w:ilvl w:val="1"/>
          <w:numId w:val="33"/>
        </w:numPr>
        <w:tabs>
          <w:tab w:val="left" w:pos="551"/>
        </w:tabs>
        <w:spacing w:before="43" w:after="0" w:line="240" w:lineRule="auto"/>
        <w:ind w:left="550" w:right="0" w:hanging="449"/>
        <w:jc w:val="left"/>
      </w:pPr>
      <w:bookmarkStart w:id="51" w:name="_TOC_250004"/>
      <w:bookmarkEnd w:id="51"/>
      <w:r>
        <w:t>环境影响经济损益分析</w:t>
      </w:r>
    </w:p>
    <w:p w14:paraId="06B66583">
      <w:pPr>
        <w:pStyle w:val="10"/>
        <w:spacing w:before="211"/>
        <w:ind w:left="581"/>
      </w:pPr>
      <w:r>
        <w:t xml:space="preserve">本项目环保投资 </w:t>
      </w:r>
      <w:r>
        <w:rPr>
          <w:rFonts w:ascii="Times New Roman" w:eastAsia="Times New Roman"/>
        </w:rPr>
        <w:t xml:space="preserve">59 </w:t>
      </w:r>
      <w:r>
        <w:t xml:space="preserve">万元，占项目总投资 </w:t>
      </w:r>
      <w:r>
        <w:rPr>
          <w:rFonts w:ascii="Times New Roman" w:eastAsia="Times New Roman"/>
        </w:rPr>
        <w:t xml:space="preserve">2000 </w:t>
      </w:r>
      <w:r>
        <w:t xml:space="preserve">万元的 </w:t>
      </w:r>
      <w:r>
        <w:rPr>
          <w:rFonts w:ascii="Times New Roman" w:eastAsia="Times New Roman"/>
        </w:rPr>
        <w:t>2.95%</w:t>
      </w:r>
      <w:r>
        <w:t>。</w:t>
      </w:r>
    </w:p>
    <w:p w14:paraId="098A283F">
      <w:pPr>
        <w:spacing w:after="0"/>
        <w:sectPr>
          <w:pgSz w:w="11910" w:h="16840"/>
          <w:pgMar w:top="1420" w:right="1480" w:bottom="1220" w:left="1600" w:header="0" w:footer="1024" w:gutter="0"/>
          <w:cols w:space="720" w:num="1"/>
        </w:sectPr>
      </w:pPr>
    </w:p>
    <w:p w14:paraId="737428D4">
      <w:pPr>
        <w:pStyle w:val="10"/>
        <w:spacing w:before="43" w:line="372" w:lineRule="auto"/>
        <w:ind w:left="101" w:right="218" w:firstLine="480"/>
        <w:jc w:val="both"/>
      </w:pPr>
      <w:r>
        <w:t>本项目的综合效益较为明显，项目运营所产生的环境影响在可接受范围内， 在做好污染防治措施和风险防范措施的前提下，本项目从环境经济效益分析上是可行的。</w:t>
      </w:r>
    </w:p>
    <w:p w14:paraId="1EE3242F">
      <w:pPr>
        <w:pStyle w:val="3"/>
        <w:numPr>
          <w:ilvl w:val="1"/>
          <w:numId w:val="33"/>
        </w:numPr>
        <w:tabs>
          <w:tab w:val="left" w:pos="551"/>
        </w:tabs>
        <w:spacing w:before="43" w:after="0" w:line="240" w:lineRule="auto"/>
        <w:ind w:left="550" w:right="0" w:hanging="449"/>
        <w:jc w:val="left"/>
      </w:pPr>
      <w:bookmarkStart w:id="52" w:name="_TOC_250003"/>
      <w:bookmarkEnd w:id="52"/>
      <w:r>
        <w:t>环境管理与环境监测计划</w:t>
      </w:r>
    </w:p>
    <w:p w14:paraId="42C5A2A0">
      <w:pPr>
        <w:pStyle w:val="10"/>
        <w:spacing w:before="211" w:line="372" w:lineRule="auto"/>
        <w:ind w:left="101" w:right="218" w:firstLine="480"/>
        <w:jc w:val="both"/>
      </w:pPr>
      <w:r>
        <w:t>项目应建立健全环保监督、管理制度和管理机构。建设单位应按照《排污单</w:t>
      </w:r>
      <w:r>
        <w:rPr>
          <w:spacing w:val="-3"/>
        </w:rPr>
        <w:t>位自行监测技术指南 总则》</w:t>
      </w:r>
      <w:r>
        <w:rPr>
          <w:rFonts w:ascii="Times New Roman" w:eastAsia="Times New Roman"/>
        </w:rPr>
        <w:t>(HJ819-2017)</w:t>
      </w:r>
      <w:r>
        <w:rPr>
          <w:spacing w:val="-6"/>
        </w:rPr>
        <w:t>、《排污许可证申请与核发技术规范 橡</w:t>
      </w:r>
      <w:r>
        <w:rPr>
          <w:spacing w:val="-1"/>
        </w:rPr>
        <w:t>胶与塑料制品工业》</w:t>
      </w:r>
      <w:r>
        <w:t>（</w:t>
      </w:r>
      <w:r>
        <w:rPr>
          <w:rFonts w:ascii="Times New Roman" w:eastAsia="Times New Roman"/>
        </w:rPr>
        <w:t>HJ1122-2020</w:t>
      </w:r>
      <w:r>
        <w:t>）等的要求对项目排放的废气、废水、厂界噪声进行自行监测，并根据环境影响评价技术导则的要求对地下水环境进行质量监测。</w:t>
      </w:r>
    </w:p>
    <w:p w14:paraId="0CB0CC95">
      <w:pPr>
        <w:pStyle w:val="3"/>
        <w:numPr>
          <w:ilvl w:val="1"/>
          <w:numId w:val="33"/>
        </w:numPr>
        <w:tabs>
          <w:tab w:val="left" w:pos="551"/>
        </w:tabs>
        <w:spacing w:before="41" w:after="0" w:line="240" w:lineRule="auto"/>
        <w:ind w:left="550" w:right="0" w:hanging="449"/>
        <w:jc w:val="left"/>
      </w:pPr>
      <w:bookmarkStart w:id="53" w:name="_TOC_250002"/>
      <w:bookmarkEnd w:id="53"/>
      <w:r>
        <w:t>总量控制</w:t>
      </w:r>
    </w:p>
    <w:p w14:paraId="12655067">
      <w:pPr>
        <w:pStyle w:val="10"/>
        <w:spacing w:before="208" w:line="372" w:lineRule="auto"/>
        <w:ind w:left="101" w:right="218" w:firstLine="480"/>
        <w:jc w:val="both"/>
      </w:pPr>
      <w:r>
        <w:rPr>
          <w:spacing w:val="-5"/>
          <w:position w:val="2"/>
        </w:rPr>
        <w:t xml:space="preserve">本项目废水总量指标为 </w:t>
      </w:r>
      <w:r>
        <w:rPr>
          <w:rFonts w:ascii="Times New Roman" w:eastAsia="Times New Roman"/>
          <w:position w:val="2"/>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12"/>
          <w:position w:val="2"/>
          <w:vertAlign w:val="baseline"/>
        </w:rPr>
        <w:t xml:space="preserve">排放量 </w:t>
      </w:r>
      <w:r>
        <w:rPr>
          <w:rFonts w:ascii="Times New Roman" w:eastAsia="Times New Roman"/>
          <w:position w:val="2"/>
          <w:vertAlign w:val="baseline"/>
        </w:rPr>
        <w:t>0.1t/a</w:t>
      </w:r>
      <w:r>
        <w:rPr>
          <w:spacing w:val="-7"/>
          <w:position w:val="2"/>
          <w:vertAlign w:val="baseline"/>
        </w:rPr>
        <w:t xml:space="preserve">，氨氮排放量 </w:t>
      </w:r>
      <w:r>
        <w:rPr>
          <w:rFonts w:ascii="Times New Roman" w:eastAsia="Times New Roman"/>
          <w:position w:val="2"/>
          <w:vertAlign w:val="baseline"/>
        </w:rPr>
        <w:t>0.1t/a</w:t>
      </w:r>
      <w:r>
        <w:rPr>
          <w:position w:val="2"/>
          <w:vertAlign w:val="baseline"/>
        </w:rPr>
        <w:t>，本项目无生</w:t>
      </w:r>
      <w:r>
        <w:rPr>
          <w:vertAlign w:val="baseline"/>
        </w:rPr>
        <w:t>产废水产生，单独的生活污水总量纳入污水处理厂总量指标范围内，无需单独购买；本项目废气总量指标为：</w:t>
      </w:r>
      <w:r>
        <w:rPr>
          <w:rFonts w:ascii="Times New Roman" w:eastAsia="Times New Roman"/>
          <w:vertAlign w:val="baseline"/>
        </w:rPr>
        <w:t xml:space="preserve">VOCs </w:t>
      </w:r>
      <w:r>
        <w:rPr>
          <w:spacing w:val="-12"/>
          <w:vertAlign w:val="baseline"/>
        </w:rPr>
        <w:t xml:space="preserve">排放量 </w:t>
      </w:r>
      <w:r>
        <w:rPr>
          <w:rFonts w:ascii="Times New Roman" w:eastAsia="Times New Roman"/>
          <w:vertAlign w:val="baseline"/>
        </w:rPr>
        <w:t>5.444t/a</w:t>
      </w:r>
      <w:r>
        <w:rPr>
          <w:vertAlign w:val="baseline"/>
        </w:rPr>
        <w:t>；由建设单位向当地生态环境部门申请确认。</w:t>
      </w:r>
    </w:p>
    <w:p w14:paraId="03F0EC2B">
      <w:pPr>
        <w:pStyle w:val="3"/>
        <w:numPr>
          <w:ilvl w:val="1"/>
          <w:numId w:val="33"/>
        </w:numPr>
        <w:tabs>
          <w:tab w:val="left" w:pos="551"/>
        </w:tabs>
        <w:spacing w:before="41" w:after="0" w:line="240" w:lineRule="auto"/>
        <w:ind w:left="550" w:right="0" w:hanging="449"/>
        <w:jc w:val="left"/>
      </w:pPr>
      <w:bookmarkStart w:id="54" w:name="_TOC_250001"/>
      <w:bookmarkEnd w:id="54"/>
      <w:r>
        <w:t>公众参与</w:t>
      </w:r>
    </w:p>
    <w:p w14:paraId="2AAF4484">
      <w:pPr>
        <w:pStyle w:val="10"/>
        <w:spacing w:before="211" w:line="372" w:lineRule="auto"/>
        <w:ind w:left="101" w:right="218" w:firstLine="480"/>
        <w:jc w:val="both"/>
      </w:pPr>
      <w:r>
        <w:t xml:space="preserve">建设单位按照《环境影响评价公众参与暂行办法》（生态环境部 </w:t>
      </w:r>
      <w:r>
        <w:rPr>
          <w:rFonts w:ascii="Times New Roman" w:eastAsia="Times New Roman"/>
        </w:rPr>
        <w:t xml:space="preserve">4 </w:t>
      </w:r>
      <w:r>
        <w:t>号令）要求对项目环境影响报告书进行了公示，在公示期间未收到公众反馈意见，说明评价范围内的公众均默认本项目的建设。建设方应加强环保力度，保证污染物达标排放。</w:t>
      </w:r>
    </w:p>
    <w:p w14:paraId="65B44DAA">
      <w:pPr>
        <w:pStyle w:val="3"/>
        <w:numPr>
          <w:ilvl w:val="1"/>
          <w:numId w:val="33"/>
        </w:numPr>
        <w:tabs>
          <w:tab w:val="left" w:pos="551"/>
        </w:tabs>
        <w:spacing w:before="42" w:after="0" w:line="240" w:lineRule="auto"/>
        <w:ind w:left="550" w:right="0" w:hanging="449"/>
        <w:jc w:val="left"/>
      </w:pPr>
      <w:bookmarkStart w:id="55" w:name="_TOC_250000"/>
      <w:bookmarkEnd w:id="55"/>
      <w:r>
        <w:t>综合结论</w:t>
      </w:r>
    </w:p>
    <w:p w14:paraId="16AA6508">
      <w:pPr>
        <w:pStyle w:val="10"/>
        <w:spacing w:before="211" w:line="372" w:lineRule="auto"/>
        <w:ind w:left="101" w:right="218" w:firstLine="480"/>
        <w:jc w:val="both"/>
        <w:rPr>
          <w:sz w:val="20"/>
        </w:rPr>
      </w:pPr>
      <w:r>
        <w:t xml:space="preserve">湖南鑫诚复合材料有限公司年产 </w:t>
      </w:r>
      <w:r>
        <w:rPr>
          <w:rFonts w:ascii="Times New Roman" w:eastAsia="Times New Roman"/>
        </w:rPr>
        <w:t xml:space="preserve">1 </w:t>
      </w:r>
      <w:r>
        <w:t>万吨塑料排水板系列产品建设项目建设符合国家产业政策和环境保护政策要求，符合汨罗高新技术产业开发区规划环评及其审查意见的要求，项目在严格落实环评报告书提出的环境保护措施、环境风险防范及应急管理措施后，环境影响可以接受，从环境保护角度考虑，本项目的建设是可行的。</w:t>
      </w:r>
      <w:r>
        <w:pict>
          <v:line id="_x0000_s3355" o:spid="_x0000_s3355" o:spt="20" style="position:absolute;left:0pt;margin-left:355.7pt;margin-top:6.25pt;height:-150.75pt;width:0pt;mso-position-horizontal-relative:page;z-index:-251648000;mso-width-relative:page;mso-height-relative:page;" stroked="t" coordsize="21600,21600">
            <v:path arrowok="t"/>
            <v:fill focussize="0,0"/>
            <v:stroke weight="0.740314960629921pt" color="#000000"/>
            <v:imagedata o:title=""/>
            <o:lock v:ext="edit"/>
          </v:line>
        </w:pict>
      </w:r>
      <w:r>
        <w:pict>
          <v:line id="_x0000_s3356" o:spid="_x0000_s3356" o:spt="20" style="position:absolute;left:0pt;margin-left:125.7pt;margin-top:10pt;height:0pt;width:371.7pt;mso-position-horizontal-relative:page;z-index:-251648000;mso-width-relative:page;mso-height-relative:page;" stroked="t" coordsize="21600,21600">
            <v:path arrowok="t"/>
            <v:fill focussize="0,0"/>
            <v:stroke weight="0.741968503937008pt" color="#000000"/>
            <v:imagedata o:title=""/>
            <o:lock v:ext="edit"/>
          </v:line>
        </w:pict>
      </w:r>
    </w:p>
    <w:p w14:paraId="1E5DD844">
      <w:pPr>
        <w:pStyle w:val="10"/>
        <w:spacing w:before="11"/>
        <w:rPr>
          <w:sz w:val="25"/>
        </w:rPr>
      </w:pPr>
    </w:p>
    <w:p w14:paraId="3D550174">
      <w:pPr>
        <w:pStyle w:val="10"/>
        <w:rPr>
          <w:sz w:val="34"/>
        </w:rPr>
      </w:pPr>
    </w:p>
    <w:p w14:paraId="053BF453">
      <w:pPr>
        <w:spacing w:after="0" w:line="468" w:lineRule="auto"/>
        <w:jc w:val="left"/>
        <w:rPr>
          <w:sz w:val="20"/>
        </w:rPr>
        <w:sectPr>
          <w:footerReference r:id="rId42" w:type="default"/>
          <w:type w:val="continuous"/>
          <w:pgSz w:w="11910" w:h="16840"/>
          <w:pgMar w:top="1600" w:right="0" w:bottom="280" w:left="1120" w:header="720" w:footer="720" w:gutter="0"/>
          <w:cols w:space="720" w:num="1"/>
        </w:sectPr>
      </w:pPr>
      <w:bookmarkStart w:id="56" w:name="_GoBack"/>
      <w:bookmarkEnd w:id="56"/>
    </w:p>
    <w:p w14:paraId="532D5C0D">
      <w:pPr>
        <w:pStyle w:val="9"/>
        <w:tabs>
          <w:tab w:val="left" w:pos="3715"/>
        </w:tabs>
        <w:spacing w:before="61"/>
        <w:ind w:left="2816"/>
      </w:pPr>
      <w:r>
        <w:t>附表</w:t>
      </w:r>
      <w:r>
        <w:rPr>
          <w:spacing w:val="-62"/>
        </w:rPr>
        <w:t xml:space="preserve"> </w:t>
      </w:r>
      <w:r>
        <w:rPr>
          <w:rFonts w:ascii="Times New Roman" w:eastAsia="Times New Roman"/>
        </w:rPr>
        <w:t>1</w:t>
      </w:r>
      <w:r>
        <w:rPr>
          <w:rFonts w:ascii="Times New Roman" w:eastAsia="Times New Roman"/>
        </w:rPr>
        <w:tab/>
      </w:r>
      <w:r>
        <w:t>项目大气环境影响评价自查表</w:t>
      </w:r>
    </w:p>
    <w:p w14:paraId="2C2B5233">
      <w:pPr>
        <w:pStyle w:val="10"/>
        <w:spacing w:before="4"/>
        <w:rPr>
          <w:b/>
          <w:sz w:val="12"/>
        </w:rPr>
      </w:pPr>
    </w:p>
    <w:tbl>
      <w:tblPr>
        <w:tblStyle w:val="13"/>
        <w:tblW w:w="0" w:type="auto"/>
        <w:tblInd w:w="19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00"/>
        <w:gridCol w:w="1493"/>
        <w:gridCol w:w="1179"/>
        <w:gridCol w:w="336"/>
        <w:gridCol w:w="349"/>
        <w:gridCol w:w="160"/>
        <w:gridCol w:w="177"/>
        <w:gridCol w:w="186"/>
        <w:gridCol w:w="121"/>
        <w:gridCol w:w="121"/>
        <w:gridCol w:w="644"/>
        <w:gridCol w:w="327"/>
        <w:gridCol w:w="310"/>
        <w:gridCol w:w="156"/>
        <w:gridCol w:w="162"/>
        <w:gridCol w:w="305"/>
        <w:gridCol w:w="446"/>
        <w:gridCol w:w="190"/>
        <w:gridCol w:w="162"/>
        <w:gridCol w:w="185"/>
        <w:gridCol w:w="247"/>
        <w:gridCol w:w="158"/>
        <w:gridCol w:w="579"/>
        <w:gridCol w:w="693"/>
      </w:tblGrid>
      <w:tr w14:paraId="524F25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2093" w:type="dxa"/>
            <w:gridSpan w:val="2"/>
            <w:tcBorders>
              <w:bottom w:val="single" w:color="000000" w:sz="4" w:space="0"/>
              <w:right w:val="single" w:color="000000" w:sz="4" w:space="0"/>
            </w:tcBorders>
          </w:tcPr>
          <w:p w14:paraId="6EC4DBFF">
            <w:pPr>
              <w:pStyle w:val="17"/>
              <w:spacing w:before="83"/>
              <w:ind w:left="686"/>
              <w:jc w:val="left"/>
              <w:rPr>
                <w:sz w:val="18"/>
              </w:rPr>
            </w:pPr>
            <w:r>
              <w:rPr>
                <w:sz w:val="18"/>
              </w:rPr>
              <w:t>工作内容</w:t>
            </w:r>
          </w:p>
        </w:tc>
        <w:tc>
          <w:tcPr>
            <w:tcW w:w="7193" w:type="dxa"/>
            <w:gridSpan w:val="22"/>
            <w:tcBorders>
              <w:left w:val="single" w:color="000000" w:sz="4" w:space="0"/>
              <w:bottom w:val="single" w:color="000000" w:sz="4" w:space="0"/>
            </w:tcBorders>
          </w:tcPr>
          <w:p w14:paraId="2B15B2BE">
            <w:pPr>
              <w:pStyle w:val="17"/>
              <w:spacing w:before="83"/>
              <w:ind w:left="2541" w:right="2505"/>
              <w:rPr>
                <w:sz w:val="18"/>
              </w:rPr>
            </w:pPr>
            <w:r>
              <w:rPr>
                <w:sz w:val="18"/>
              </w:rPr>
              <w:t>自查项目</w:t>
            </w:r>
          </w:p>
        </w:tc>
      </w:tr>
      <w:tr w14:paraId="79CB69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00" w:type="dxa"/>
            <w:vMerge w:val="restart"/>
            <w:tcBorders>
              <w:top w:val="single" w:color="000000" w:sz="4" w:space="0"/>
              <w:bottom w:val="single" w:color="000000" w:sz="4" w:space="0"/>
              <w:right w:val="single" w:color="000000" w:sz="4" w:space="0"/>
            </w:tcBorders>
          </w:tcPr>
          <w:p w14:paraId="78E32678">
            <w:pPr>
              <w:pStyle w:val="17"/>
              <w:spacing w:line="242" w:lineRule="auto"/>
              <w:ind w:left="119" w:right="98"/>
              <w:jc w:val="both"/>
              <w:rPr>
                <w:sz w:val="18"/>
              </w:rPr>
            </w:pPr>
            <w:r>
              <w:rPr>
                <w:sz w:val="18"/>
              </w:rPr>
              <w:t>评价等级与范</w:t>
            </w:r>
          </w:p>
          <w:p w14:paraId="46E34D40">
            <w:pPr>
              <w:pStyle w:val="17"/>
              <w:spacing w:before="2" w:line="213" w:lineRule="exact"/>
              <w:ind w:left="208"/>
              <w:jc w:val="both"/>
              <w:rPr>
                <w:sz w:val="18"/>
              </w:rPr>
            </w:pPr>
            <w:r>
              <w:rPr>
                <w:sz w:val="18"/>
              </w:rPr>
              <w:t>围</w:t>
            </w:r>
          </w:p>
        </w:tc>
        <w:tc>
          <w:tcPr>
            <w:tcW w:w="1493" w:type="dxa"/>
            <w:tcBorders>
              <w:top w:val="single" w:color="000000" w:sz="4" w:space="0"/>
              <w:left w:val="single" w:color="000000" w:sz="4" w:space="0"/>
              <w:bottom w:val="single" w:color="000000" w:sz="4" w:space="0"/>
              <w:right w:val="single" w:color="000000" w:sz="4" w:space="0"/>
            </w:tcBorders>
          </w:tcPr>
          <w:p w14:paraId="3C5F4AB5">
            <w:pPr>
              <w:pStyle w:val="17"/>
              <w:spacing w:before="81"/>
              <w:ind w:left="88" w:right="59"/>
              <w:rPr>
                <w:sz w:val="18"/>
              </w:rPr>
            </w:pPr>
            <w:r>
              <w:rPr>
                <w:sz w:val="18"/>
              </w:rPr>
              <w:t>评价等级</w:t>
            </w:r>
          </w:p>
        </w:tc>
        <w:tc>
          <w:tcPr>
            <w:tcW w:w="2629" w:type="dxa"/>
            <w:gridSpan w:val="8"/>
            <w:tcBorders>
              <w:top w:val="single" w:color="000000" w:sz="4" w:space="0"/>
              <w:left w:val="single" w:color="000000" w:sz="4" w:space="0"/>
              <w:bottom w:val="single" w:color="000000" w:sz="4" w:space="0"/>
              <w:right w:val="single" w:color="000000" w:sz="4" w:space="0"/>
            </w:tcBorders>
          </w:tcPr>
          <w:p w14:paraId="2B6DB615">
            <w:pPr>
              <w:pStyle w:val="17"/>
              <w:spacing w:before="81"/>
              <w:ind w:left="128" w:right="101"/>
              <w:rPr>
                <w:rFonts w:ascii="Wingdings" w:hAnsi="Wingdings"/>
                <w:sz w:val="18"/>
              </w:rPr>
            </w:pPr>
            <w:r>
              <w:rPr>
                <w:sz w:val="18"/>
              </w:rPr>
              <w:t>一级</w:t>
            </w:r>
            <w:r>
              <w:rPr>
                <w:rFonts w:ascii="Wingdings" w:hAnsi="Wingdings"/>
                <w:sz w:val="18"/>
              </w:rPr>
              <w:t></w:t>
            </w:r>
          </w:p>
        </w:tc>
        <w:tc>
          <w:tcPr>
            <w:tcW w:w="2540" w:type="dxa"/>
            <w:gridSpan w:val="8"/>
            <w:tcBorders>
              <w:top w:val="single" w:color="000000" w:sz="4" w:space="0"/>
              <w:left w:val="single" w:color="000000" w:sz="4" w:space="0"/>
              <w:bottom w:val="single" w:color="000000" w:sz="4" w:space="0"/>
              <w:right w:val="single" w:color="000000" w:sz="4" w:space="0"/>
            </w:tcBorders>
          </w:tcPr>
          <w:p w14:paraId="2655A466">
            <w:pPr>
              <w:pStyle w:val="17"/>
              <w:spacing w:before="81"/>
              <w:ind w:left="942" w:right="914"/>
              <w:rPr>
                <w:rFonts w:ascii="Wingdings" w:hAnsi="Wingdings"/>
                <w:sz w:val="18"/>
              </w:rPr>
            </w:pPr>
            <w:r>
              <w:rPr>
                <w:sz w:val="18"/>
              </w:rPr>
              <w:t>二级</w:t>
            </w:r>
            <w:r>
              <w:rPr>
                <w:rFonts w:ascii="Wingdings" w:hAnsi="Wingdings"/>
                <w:sz w:val="18"/>
              </w:rPr>
              <w:t></w:t>
            </w:r>
          </w:p>
        </w:tc>
        <w:tc>
          <w:tcPr>
            <w:tcW w:w="2024" w:type="dxa"/>
            <w:gridSpan w:val="6"/>
            <w:tcBorders>
              <w:top w:val="single" w:color="000000" w:sz="4" w:space="0"/>
              <w:left w:val="single" w:color="000000" w:sz="4" w:space="0"/>
              <w:bottom w:val="single" w:color="000000" w:sz="4" w:space="0"/>
            </w:tcBorders>
          </w:tcPr>
          <w:p w14:paraId="6124A4FE">
            <w:pPr>
              <w:pStyle w:val="17"/>
              <w:spacing w:before="74"/>
              <w:ind w:left="743" w:right="705"/>
              <w:rPr>
                <w:rFonts w:ascii="Segoe UI Symbol" w:hAnsi="Segoe UI Symbol" w:eastAsia="Segoe UI Symbol"/>
                <w:sz w:val="18"/>
              </w:rPr>
            </w:pPr>
            <w:r>
              <w:rPr>
                <w:sz w:val="18"/>
              </w:rPr>
              <w:t>三级</w:t>
            </w:r>
            <w:r>
              <w:rPr>
                <w:rFonts w:ascii="Segoe UI Symbol" w:hAnsi="Segoe UI Symbol" w:eastAsia="Segoe UI Symbol"/>
                <w:sz w:val="18"/>
              </w:rPr>
              <w:t>☐</w:t>
            </w:r>
          </w:p>
        </w:tc>
      </w:tr>
      <w:tr w14:paraId="2541F0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600" w:type="dxa"/>
            <w:vMerge w:val="continue"/>
            <w:tcBorders>
              <w:top w:val="nil"/>
              <w:bottom w:val="single" w:color="000000" w:sz="4" w:space="0"/>
              <w:right w:val="single" w:color="000000" w:sz="4" w:space="0"/>
            </w:tcBorders>
          </w:tcPr>
          <w:p w14:paraId="0BFFDFB9">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3FD14C4F">
            <w:pPr>
              <w:pStyle w:val="17"/>
              <w:spacing w:before="147"/>
              <w:ind w:left="88" w:right="59"/>
              <w:rPr>
                <w:sz w:val="18"/>
              </w:rPr>
            </w:pPr>
            <w:r>
              <w:rPr>
                <w:sz w:val="18"/>
              </w:rPr>
              <w:t>评价范围</w:t>
            </w:r>
          </w:p>
        </w:tc>
        <w:tc>
          <w:tcPr>
            <w:tcW w:w="2629" w:type="dxa"/>
            <w:gridSpan w:val="8"/>
            <w:tcBorders>
              <w:top w:val="single" w:color="000000" w:sz="4" w:space="0"/>
              <w:left w:val="single" w:color="000000" w:sz="4" w:space="0"/>
              <w:bottom w:val="single" w:color="000000" w:sz="4" w:space="0"/>
              <w:right w:val="single" w:color="000000" w:sz="4" w:space="0"/>
            </w:tcBorders>
          </w:tcPr>
          <w:p w14:paraId="0495E556">
            <w:pPr>
              <w:pStyle w:val="17"/>
              <w:spacing w:before="138"/>
              <w:ind w:left="811"/>
              <w:jc w:val="left"/>
              <w:rPr>
                <w:rFonts w:ascii="Segoe UI Symbol" w:hAnsi="Segoe UI Symbol" w:eastAsia="Segoe UI Symbol"/>
                <w:sz w:val="18"/>
              </w:rPr>
            </w:pPr>
            <w:r>
              <w:rPr>
                <w:sz w:val="18"/>
              </w:rPr>
              <w:t>边长</w:t>
            </w:r>
            <w:r>
              <w:rPr>
                <w:rFonts w:ascii="Times New Roman" w:hAnsi="Times New Roman" w:eastAsia="Times New Roman"/>
                <w:sz w:val="18"/>
              </w:rPr>
              <w:t>=50km</w:t>
            </w:r>
            <w:r>
              <w:rPr>
                <w:rFonts w:ascii="Segoe UI Symbol" w:hAnsi="Segoe UI Symbol" w:eastAsia="Segoe UI Symbol"/>
                <w:sz w:val="18"/>
              </w:rPr>
              <w:t>☐</w:t>
            </w:r>
          </w:p>
        </w:tc>
        <w:tc>
          <w:tcPr>
            <w:tcW w:w="2540" w:type="dxa"/>
            <w:gridSpan w:val="8"/>
            <w:tcBorders>
              <w:top w:val="single" w:color="000000" w:sz="4" w:space="0"/>
              <w:left w:val="single" w:color="000000" w:sz="4" w:space="0"/>
              <w:bottom w:val="single" w:color="000000" w:sz="4" w:space="0"/>
              <w:right w:val="single" w:color="000000" w:sz="4" w:space="0"/>
            </w:tcBorders>
          </w:tcPr>
          <w:p w14:paraId="07C0847C">
            <w:pPr>
              <w:pStyle w:val="17"/>
              <w:spacing w:before="147"/>
              <w:ind w:left="697"/>
              <w:jc w:val="left"/>
              <w:rPr>
                <w:rFonts w:ascii="Wingdings" w:hAnsi="Wingdings"/>
                <w:sz w:val="18"/>
              </w:rPr>
            </w:pPr>
            <w:r>
              <w:rPr>
                <w:sz w:val="18"/>
              </w:rPr>
              <w:t xml:space="preserve">边长 </w:t>
            </w:r>
            <w:r>
              <w:rPr>
                <w:rFonts w:ascii="Times New Roman" w:hAnsi="Times New Roman"/>
                <w:sz w:val="18"/>
              </w:rPr>
              <w:t>5~50km</w:t>
            </w:r>
            <w:r>
              <w:rPr>
                <w:rFonts w:ascii="Wingdings" w:hAnsi="Wingdings"/>
                <w:sz w:val="18"/>
              </w:rPr>
              <w:t></w:t>
            </w:r>
          </w:p>
        </w:tc>
        <w:tc>
          <w:tcPr>
            <w:tcW w:w="2024" w:type="dxa"/>
            <w:gridSpan w:val="6"/>
            <w:tcBorders>
              <w:top w:val="single" w:color="000000" w:sz="4" w:space="0"/>
              <w:left w:val="single" w:color="000000" w:sz="4" w:space="0"/>
              <w:bottom w:val="single" w:color="000000" w:sz="4" w:space="0"/>
            </w:tcBorders>
          </w:tcPr>
          <w:p w14:paraId="4155579C">
            <w:pPr>
              <w:pStyle w:val="17"/>
              <w:spacing w:before="147"/>
              <w:ind w:left="550"/>
              <w:jc w:val="left"/>
              <w:rPr>
                <w:rFonts w:ascii="Wingdings" w:hAnsi="Wingdings"/>
                <w:sz w:val="18"/>
              </w:rPr>
            </w:pPr>
            <w:r>
              <w:rPr>
                <w:sz w:val="18"/>
              </w:rPr>
              <w:t>边长</w:t>
            </w:r>
            <w:r>
              <w:rPr>
                <w:rFonts w:ascii="Times New Roman" w:hAnsi="Times New Roman"/>
                <w:sz w:val="18"/>
              </w:rPr>
              <w:t>=5km</w:t>
            </w:r>
            <w:r>
              <w:rPr>
                <w:rFonts w:ascii="Wingdings" w:hAnsi="Wingdings"/>
                <w:sz w:val="18"/>
              </w:rPr>
              <w:t></w:t>
            </w:r>
          </w:p>
        </w:tc>
      </w:tr>
      <w:tr w14:paraId="265E51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restart"/>
            <w:tcBorders>
              <w:top w:val="single" w:color="000000" w:sz="4" w:space="0"/>
              <w:bottom w:val="single" w:color="000000" w:sz="4" w:space="0"/>
              <w:right w:val="single" w:color="000000" w:sz="4" w:space="0"/>
            </w:tcBorders>
          </w:tcPr>
          <w:p w14:paraId="3003EB79">
            <w:pPr>
              <w:pStyle w:val="17"/>
              <w:jc w:val="left"/>
              <w:rPr>
                <w:b/>
                <w:sz w:val="18"/>
              </w:rPr>
            </w:pPr>
          </w:p>
          <w:p w14:paraId="34BA1151">
            <w:pPr>
              <w:pStyle w:val="17"/>
              <w:spacing w:before="8"/>
              <w:jc w:val="left"/>
              <w:rPr>
                <w:b/>
                <w:sz w:val="15"/>
              </w:rPr>
            </w:pPr>
          </w:p>
          <w:p w14:paraId="67B473DE">
            <w:pPr>
              <w:pStyle w:val="17"/>
              <w:spacing w:line="242" w:lineRule="auto"/>
              <w:ind w:left="119" w:right="98"/>
              <w:jc w:val="left"/>
              <w:rPr>
                <w:sz w:val="18"/>
              </w:rPr>
            </w:pPr>
            <w:r>
              <w:rPr>
                <w:sz w:val="18"/>
              </w:rPr>
              <w:t>评价因子</w:t>
            </w:r>
          </w:p>
        </w:tc>
        <w:tc>
          <w:tcPr>
            <w:tcW w:w="1493" w:type="dxa"/>
            <w:tcBorders>
              <w:top w:val="single" w:color="000000" w:sz="4" w:space="0"/>
              <w:left w:val="single" w:color="000000" w:sz="4" w:space="0"/>
              <w:bottom w:val="single" w:color="000000" w:sz="4" w:space="0"/>
              <w:right w:val="single" w:color="000000" w:sz="4" w:space="0"/>
            </w:tcBorders>
          </w:tcPr>
          <w:p w14:paraId="51D9BE34">
            <w:pPr>
              <w:pStyle w:val="17"/>
              <w:spacing w:before="85"/>
              <w:ind w:left="88" w:right="61"/>
              <w:rPr>
                <w:sz w:val="18"/>
              </w:rPr>
            </w:pPr>
            <w:r>
              <w:rPr>
                <w:rFonts w:ascii="Times New Roman" w:eastAsia="Times New Roman"/>
                <w:position w:val="1"/>
                <w:sz w:val="18"/>
              </w:rPr>
              <w:t>SO</w:t>
            </w:r>
            <w:r>
              <w:rPr>
                <w:rFonts w:ascii="Times New Roman" w:eastAsia="Times New Roman"/>
                <w:position w:val="1"/>
                <w:sz w:val="18"/>
                <w:vertAlign w:val="subscript"/>
              </w:rPr>
              <w:t>2</w:t>
            </w:r>
            <w:r>
              <w:rPr>
                <w:rFonts w:ascii="Times New Roman" w:eastAsia="Times New Roman"/>
                <w:position w:val="1"/>
                <w:sz w:val="18"/>
                <w:vertAlign w:val="baseline"/>
              </w:rPr>
              <w:t>+NO</w:t>
            </w:r>
            <w:r>
              <w:rPr>
                <w:rFonts w:ascii="Times New Roman" w:eastAsia="Times New Roman"/>
                <w:position w:val="1"/>
                <w:sz w:val="18"/>
                <w:vertAlign w:val="subscript"/>
              </w:rPr>
              <w:t>x</w:t>
            </w:r>
            <w:r>
              <w:rPr>
                <w:rFonts w:ascii="Times New Roman" w:eastAsia="Times New Roman"/>
                <w:position w:val="1"/>
                <w:sz w:val="18"/>
                <w:vertAlign w:val="baseline"/>
              </w:rPr>
              <w:t xml:space="preserve"> </w:t>
            </w:r>
            <w:r>
              <w:rPr>
                <w:position w:val="1"/>
                <w:sz w:val="18"/>
                <w:vertAlign w:val="baseline"/>
              </w:rPr>
              <w:t>排放量</w:t>
            </w:r>
          </w:p>
        </w:tc>
        <w:tc>
          <w:tcPr>
            <w:tcW w:w="2629" w:type="dxa"/>
            <w:gridSpan w:val="8"/>
            <w:tcBorders>
              <w:top w:val="single" w:color="000000" w:sz="4" w:space="0"/>
              <w:left w:val="single" w:color="000000" w:sz="4" w:space="0"/>
              <w:bottom w:val="single" w:color="000000" w:sz="4" w:space="0"/>
              <w:right w:val="single" w:color="000000" w:sz="4" w:space="0"/>
            </w:tcBorders>
          </w:tcPr>
          <w:p w14:paraId="30E58AC4">
            <w:pPr>
              <w:pStyle w:val="17"/>
              <w:spacing w:before="76"/>
              <w:ind w:left="128" w:right="101"/>
              <w:rPr>
                <w:rFonts w:ascii="Segoe UI Symbol" w:hAnsi="Segoe UI Symbol"/>
                <w:sz w:val="18"/>
              </w:rPr>
            </w:pPr>
            <w:r>
              <w:rPr>
                <w:rFonts w:ascii="Times New Roman" w:hAnsi="Times New Roman"/>
                <w:sz w:val="18"/>
              </w:rPr>
              <w:t>≥2000t/a</w:t>
            </w:r>
            <w:r>
              <w:rPr>
                <w:rFonts w:ascii="Segoe UI Symbol" w:hAnsi="Segoe UI Symbol"/>
                <w:sz w:val="18"/>
              </w:rPr>
              <w:t>☐</w:t>
            </w:r>
          </w:p>
        </w:tc>
        <w:tc>
          <w:tcPr>
            <w:tcW w:w="2540" w:type="dxa"/>
            <w:gridSpan w:val="8"/>
            <w:tcBorders>
              <w:top w:val="single" w:color="000000" w:sz="4" w:space="0"/>
              <w:left w:val="single" w:color="000000" w:sz="4" w:space="0"/>
              <w:bottom w:val="single" w:color="000000" w:sz="4" w:space="0"/>
              <w:right w:val="single" w:color="000000" w:sz="4" w:space="0"/>
            </w:tcBorders>
          </w:tcPr>
          <w:p w14:paraId="20D7D7CC">
            <w:pPr>
              <w:pStyle w:val="17"/>
              <w:spacing w:before="76"/>
              <w:ind w:left="747"/>
              <w:jc w:val="left"/>
              <w:rPr>
                <w:rFonts w:ascii="Segoe UI Symbol" w:hAnsi="Segoe UI Symbol"/>
                <w:sz w:val="18"/>
              </w:rPr>
            </w:pPr>
            <w:r>
              <w:rPr>
                <w:rFonts w:ascii="Times New Roman" w:hAnsi="Times New Roman"/>
                <w:sz w:val="18"/>
              </w:rPr>
              <w:t>500~2000t/a</w:t>
            </w:r>
            <w:r>
              <w:rPr>
                <w:rFonts w:ascii="Segoe UI Symbol" w:hAnsi="Segoe UI Symbol"/>
                <w:sz w:val="18"/>
              </w:rPr>
              <w:t>☐</w:t>
            </w:r>
          </w:p>
        </w:tc>
        <w:tc>
          <w:tcPr>
            <w:tcW w:w="2024" w:type="dxa"/>
            <w:gridSpan w:val="6"/>
            <w:tcBorders>
              <w:top w:val="single" w:color="000000" w:sz="4" w:space="0"/>
              <w:left w:val="single" w:color="000000" w:sz="4" w:space="0"/>
              <w:bottom w:val="single" w:color="000000" w:sz="4" w:space="0"/>
            </w:tcBorders>
          </w:tcPr>
          <w:p w14:paraId="761DDC33">
            <w:pPr>
              <w:pStyle w:val="17"/>
              <w:spacing w:before="83"/>
              <w:ind w:left="626"/>
              <w:jc w:val="left"/>
              <w:rPr>
                <w:rFonts w:ascii="Wingdings" w:hAnsi="Wingdings"/>
                <w:sz w:val="18"/>
              </w:rPr>
            </w:pPr>
            <w:r>
              <w:rPr>
                <w:sz w:val="18"/>
              </w:rPr>
              <w:t>＜</w:t>
            </w:r>
            <w:r>
              <w:rPr>
                <w:rFonts w:ascii="Times New Roman" w:hAnsi="Times New Roman"/>
                <w:sz w:val="18"/>
              </w:rPr>
              <w:t>500t/a</w:t>
            </w:r>
            <w:r>
              <w:rPr>
                <w:rFonts w:ascii="Wingdings" w:hAnsi="Wingdings"/>
                <w:sz w:val="18"/>
              </w:rPr>
              <w:t></w:t>
            </w:r>
          </w:p>
        </w:tc>
      </w:tr>
      <w:tr w14:paraId="4263BC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20" w:hRule="atLeast"/>
        </w:trPr>
        <w:tc>
          <w:tcPr>
            <w:tcW w:w="600" w:type="dxa"/>
            <w:vMerge w:val="continue"/>
            <w:tcBorders>
              <w:top w:val="nil"/>
              <w:bottom w:val="single" w:color="000000" w:sz="4" w:space="0"/>
              <w:right w:val="single" w:color="000000" w:sz="4" w:space="0"/>
            </w:tcBorders>
          </w:tcPr>
          <w:p w14:paraId="261253DA">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41722AB2">
            <w:pPr>
              <w:pStyle w:val="17"/>
              <w:spacing w:before="10"/>
              <w:jc w:val="left"/>
              <w:rPr>
                <w:b/>
                <w:sz w:val="26"/>
              </w:rPr>
            </w:pPr>
          </w:p>
          <w:p w14:paraId="34287EB7">
            <w:pPr>
              <w:pStyle w:val="17"/>
              <w:ind w:left="88" w:right="59"/>
              <w:rPr>
                <w:sz w:val="18"/>
              </w:rPr>
            </w:pPr>
            <w:r>
              <w:rPr>
                <w:sz w:val="18"/>
              </w:rPr>
              <w:t>评价因子</w:t>
            </w:r>
          </w:p>
        </w:tc>
        <w:tc>
          <w:tcPr>
            <w:tcW w:w="5169" w:type="dxa"/>
            <w:gridSpan w:val="16"/>
            <w:tcBorders>
              <w:top w:val="single" w:color="000000" w:sz="4" w:space="0"/>
              <w:left w:val="single" w:color="000000" w:sz="4" w:space="0"/>
              <w:bottom w:val="single" w:color="000000" w:sz="4" w:space="0"/>
              <w:right w:val="single" w:color="000000" w:sz="4" w:space="0"/>
            </w:tcBorders>
          </w:tcPr>
          <w:p w14:paraId="5B67E8AB">
            <w:pPr>
              <w:pStyle w:val="17"/>
              <w:spacing w:before="12"/>
              <w:jc w:val="left"/>
              <w:rPr>
                <w:b/>
                <w:sz w:val="15"/>
              </w:rPr>
            </w:pPr>
          </w:p>
          <w:p w14:paraId="51F5D1DB">
            <w:pPr>
              <w:pStyle w:val="17"/>
              <w:tabs>
                <w:tab w:val="left" w:pos="1557"/>
                <w:tab w:val="left" w:pos="4924"/>
              </w:tabs>
              <w:ind w:left="117" w:right="52"/>
              <w:jc w:val="left"/>
              <w:rPr>
                <w:sz w:val="18"/>
              </w:rPr>
            </w:pPr>
            <w:r>
              <w:rPr>
                <w:position w:val="2"/>
                <w:sz w:val="18"/>
              </w:rPr>
              <w:t>基本污染物（</w:t>
            </w:r>
            <w:r>
              <w:rPr>
                <w:position w:val="2"/>
                <w:sz w:val="18"/>
              </w:rPr>
              <w:tab/>
            </w:r>
            <w:r>
              <w:rPr>
                <w:rFonts w:ascii="Times New Roman" w:eastAsia="Times New Roman"/>
                <w:position w:val="2"/>
                <w:sz w:val="18"/>
              </w:rPr>
              <w:t>SO</w:t>
            </w:r>
            <w:r>
              <w:rPr>
                <w:rFonts w:ascii="Times New Roman" w:eastAsia="Times New Roman"/>
                <w:sz w:val="11"/>
              </w:rPr>
              <w:t>2</w:t>
            </w:r>
            <w:r>
              <w:rPr>
                <w:position w:val="2"/>
                <w:sz w:val="18"/>
              </w:rPr>
              <w:t>、</w:t>
            </w:r>
            <w:r>
              <w:rPr>
                <w:rFonts w:ascii="Times New Roman" w:eastAsia="Times New Roman"/>
                <w:position w:val="2"/>
                <w:sz w:val="18"/>
              </w:rPr>
              <w:t>NO</w:t>
            </w:r>
            <w:r>
              <w:rPr>
                <w:rFonts w:ascii="Times New Roman" w:eastAsia="Times New Roman"/>
                <w:sz w:val="11"/>
              </w:rPr>
              <w:t>2</w:t>
            </w:r>
            <w:r>
              <w:rPr>
                <w:position w:val="2"/>
                <w:sz w:val="18"/>
              </w:rPr>
              <w:t>、</w:t>
            </w:r>
            <w:r>
              <w:rPr>
                <w:rFonts w:ascii="Times New Roman" w:eastAsia="Times New Roman"/>
                <w:position w:val="2"/>
                <w:sz w:val="18"/>
              </w:rPr>
              <w:t>PM</w:t>
            </w:r>
            <w:r>
              <w:rPr>
                <w:rFonts w:ascii="Times New Roman" w:eastAsia="Times New Roman"/>
                <w:sz w:val="11"/>
              </w:rPr>
              <w:t>10</w:t>
            </w:r>
            <w:r>
              <w:rPr>
                <w:position w:val="2"/>
                <w:sz w:val="18"/>
              </w:rPr>
              <w:t>、</w:t>
            </w:r>
            <w:r>
              <w:rPr>
                <w:rFonts w:ascii="Times New Roman" w:eastAsia="Times New Roman"/>
                <w:position w:val="2"/>
                <w:sz w:val="18"/>
              </w:rPr>
              <w:t>PM</w:t>
            </w:r>
            <w:r>
              <w:rPr>
                <w:rFonts w:ascii="Times New Roman" w:eastAsia="Times New Roman"/>
                <w:sz w:val="11"/>
              </w:rPr>
              <w:t>2.5</w:t>
            </w:r>
            <w:r>
              <w:rPr>
                <w:position w:val="2"/>
                <w:sz w:val="18"/>
              </w:rPr>
              <w:t>、</w:t>
            </w:r>
            <w:r>
              <w:rPr>
                <w:rFonts w:ascii="Times New Roman" w:eastAsia="Times New Roman"/>
                <w:position w:val="2"/>
                <w:sz w:val="21"/>
              </w:rPr>
              <w:t>CO</w:t>
            </w:r>
            <w:r>
              <w:rPr>
                <w:position w:val="2"/>
                <w:sz w:val="21"/>
              </w:rPr>
              <w:t>、</w:t>
            </w:r>
            <w:r>
              <w:rPr>
                <w:rFonts w:ascii="Times New Roman" w:eastAsia="Times New Roman"/>
                <w:position w:val="2"/>
                <w:sz w:val="21"/>
              </w:rPr>
              <w:t>O</w:t>
            </w:r>
            <w:r>
              <w:rPr>
                <w:rFonts w:ascii="Times New Roman" w:eastAsia="Times New Roman"/>
                <w:position w:val="2"/>
                <w:sz w:val="21"/>
                <w:vertAlign w:val="subscript"/>
              </w:rPr>
              <w:t>3</w:t>
            </w:r>
            <w:r>
              <w:rPr>
                <w:rFonts w:ascii="Times New Roman" w:eastAsia="Times New Roman"/>
                <w:position w:val="2"/>
                <w:sz w:val="21"/>
                <w:vertAlign w:val="baseline"/>
              </w:rPr>
              <w:tab/>
            </w:r>
            <w:r>
              <w:rPr>
                <w:position w:val="2"/>
                <w:sz w:val="18"/>
                <w:vertAlign w:val="baseline"/>
              </w:rPr>
              <w:t xml:space="preserve">） </w:t>
            </w:r>
            <w:r>
              <w:rPr>
                <w:sz w:val="18"/>
                <w:vertAlign w:val="baseline"/>
              </w:rPr>
              <w:t>其他污染物（</w:t>
            </w:r>
            <w:r>
              <w:rPr>
                <w:sz w:val="18"/>
                <w:vertAlign w:val="baseline"/>
              </w:rPr>
              <w:tab/>
            </w:r>
            <w:r>
              <w:rPr>
                <w:sz w:val="18"/>
                <w:vertAlign w:val="baseline"/>
              </w:rPr>
              <w:t>非甲烷总烃、</w:t>
            </w:r>
            <w:r>
              <w:rPr>
                <w:rFonts w:ascii="Times New Roman" w:eastAsia="Times New Roman"/>
                <w:sz w:val="18"/>
                <w:vertAlign w:val="baseline"/>
              </w:rPr>
              <w:t>TSP</w:t>
            </w:r>
            <w:r>
              <w:rPr>
                <w:sz w:val="18"/>
                <w:vertAlign w:val="baseline"/>
              </w:rPr>
              <w:t>、臭气浓度 ）</w:t>
            </w:r>
          </w:p>
        </w:tc>
        <w:tc>
          <w:tcPr>
            <w:tcW w:w="2024" w:type="dxa"/>
            <w:gridSpan w:val="6"/>
            <w:tcBorders>
              <w:top w:val="single" w:color="000000" w:sz="4" w:space="0"/>
              <w:left w:val="single" w:color="000000" w:sz="4" w:space="0"/>
              <w:bottom w:val="single" w:color="000000" w:sz="4" w:space="0"/>
            </w:tcBorders>
          </w:tcPr>
          <w:p w14:paraId="06F6F4BF">
            <w:pPr>
              <w:pStyle w:val="17"/>
              <w:spacing w:before="12"/>
              <w:jc w:val="left"/>
              <w:rPr>
                <w:b/>
                <w:sz w:val="17"/>
              </w:rPr>
            </w:pPr>
          </w:p>
          <w:p w14:paraId="5937AA01">
            <w:pPr>
              <w:pStyle w:val="17"/>
              <w:ind w:left="341"/>
              <w:jc w:val="left"/>
              <w:rPr>
                <w:rFonts w:ascii="Wingdings" w:hAnsi="Wingdings"/>
                <w:sz w:val="18"/>
              </w:rPr>
            </w:pPr>
            <w:r>
              <w:rPr>
                <w:position w:val="1"/>
                <w:sz w:val="18"/>
              </w:rPr>
              <w:t xml:space="preserve">包括二次 </w:t>
            </w:r>
            <w:r>
              <w:rPr>
                <w:rFonts w:ascii="Times New Roman" w:hAnsi="Times New Roman"/>
                <w:position w:val="1"/>
                <w:sz w:val="18"/>
              </w:rPr>
              <w:t>PM</w:t>
            </w:r>
            <w:r>
              <w:rPr>
                <w:rFonts w:ascii="Times New Roman" w:hAnsi="Times New Roman"/>
                <w:position w:val="1"/>
                <w:sz w:val="18"/>
                <w:vertAlign w:val="subscript"/>
              </w:rPr>
              <w:t>2.5</w:t>
            </w:r>
            <w:r>
              <w:rPr>
                <w:rFonts w:ascii="Times New Roman" w:hAnsi="Times New Roman"/>
                <w:position w:val="1"/>
                <w:sz w:val="18"/>
                <w:vertAlign w:val="baseline"/>
              </w:rPr>
              <w:t xml:space="preserve"> </w:t>
            </w:r>
            <w:r>
              <w:rPr>
                <w:rFonts w:ascii="Wingdings" w:hAnsi="Wingdings"/>
                <w:position w:val="1"/>
                <w:sz w:val="18"/>
                <w:vertAlign w:val="baseline"/>
              </w:rPr>
              <w:t></w:t>
            </w:r>
          </w:p>
          <w:p w14:paraId="3AB572E9">
            <w:pPr>
              <w:pStyle w:val="17"/>
              <w:spacing w:before="2"/>
              <w:ind w:left="242"/>
              <w:jc w:val="left"/>
              <w:rPr>
                <w:rFonts w:ascii="Wingdings" w:hAnsi="Wingdings"/>
                <w:sz w:val="18"/>
              </w:rPr>
            </w:pPr>
            <w:r>
              <w:rPr>
                <w:position w:val="1"/>
                <w:sz w:val="18"/>
              </w:rPr>
              <w:t xml:space="preserve">不包括二次 </w:t>
            </w:r>
            <w:r>
              <w:rPr>
                <w:rFonts w:ascii="Times New Roman" w:hAnsi="Times New Roman"/>
                <w:position w:val="1"/>
                <w:sz w:val="18"/>
              </w:rPr>
              <w:t>PM</w:t>
            </w:r>
            <w:r>
              <w:rPr>
                <w:rFonts w:ascii="Times New Roman" w:hAnsi="Times New Roman"/>
                <w:position w:val="1"/>
                <w:sz w:val="18"/>
                <w:vertAlign w:val="subscript"/>
              </w:rPr>
              <w:t>2.5</w:t>
            </w:r>
            <w:r>
              <w:rPr>
                <w:rFonts w:ascii="Times New Roman" w:hAnsi="Times New Roman"/>
                <w:position w:val="1"/>
                <w:sz w:val="18"/>
                <w:vertAlign w:val="baseline"/>
              </w:rPr>
              <w:t xml:space="preserve"> </w:t>
            </w:r>
            <w:r>
              <w:rPr>
                <w:rFonts w:ascii="Wingdings" w:hAnsi="Wingdings"/>
                <w:position w:val="1"/>
                <w:sz w:val="18"/>
                <w:vertAlign w:val="baseline"/>
              </w:rPr>
              <w:t></w:t>
            </w:r>
          </w:p>
        </w:tc>
      </w:tr>
      <w:tr w14:paraId="64203D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600" w:type="dxa"/>
            <w:tcBorders>
              <w:top w:val="single" w:color="000000" w:sz="4" w:space="0"/>
              <w:bottom w:val="single" w:color="000000" w:sz="4" w:space="0"/>
              <w:right w:val="single" w:color="000000" w:sz="4" w:space="0"/>
            </w:tcBorders>
          </w:tcPr>
          <w:p w14:paraId="1A06A562">
            <w:pPr>
              <w:pStyle w:val="17"/>
              <w:ind w:left="119"/>
              <w:jc w:val="left"/>
              <w:rPr>
                <w:sz w:val="18"/>
              </w:rPr>
            </w:pPr>
            <w:r>
              <w:rPr>
                <w:sz w:val="18"/>
              </w:rPr>
              <w:t>评价</w:t>
            </w:r>
          </w:p>
          <w:p w14:paraId="64B5545E">
            <w:pPr>
              <w:pStyle w:val="17"/>
              <w:spacing w:before="2" w:line="214" w:lineRule="exact"/>
              <w:ind w:left="119"/>
              <w:jc w:val="left"/>
              <w:rPr>
                <w:sz w:val="18"/>
              </w:rPr>
            </w:pPr>
            <w:r>
              <w:rPr>
                <w:sz w:val="18"/>
              </w:rPr>
              <w:t>标准</w:t>
            </w:r>
          </w:p>
        </w:tc>
        <w:tc>
          <w:tcPr>
            <w:tcW w:w="1493" w:type="dxa"/>
            <w:tcBorders>
              <w:top w:val="single" w:color="000000" w:sz="4" w:space="0"/>
              <w:left w:val="single" w:color="000000" w:sz="4" w:space="0"/>
              <w:bottom w:val="single" w:color="000000" w:sz="4" w:space="0"/>
              <w:right w:val="single" w:color="000000" w:sz="4" w:space="0"/>
            </w:tcBorders>
          </w:tcPr>
          <w:p w14:paraId="0227B66D">
            <w:pPr>
              <w:pStyle w:val="17"/>
              <w:spacing w:before="118"/>
              <w:ind w:left="88" w:right="59"/>
              <w:rPr>
                <w:sz w:val="18"/>
              </w:rPr>
            </w:pPr>
            <w:r>
              <w:rPr>
                <w:sz w:val="18"/>
              </w:rPr>
              <w:t>评价标准</w:t>
            </w:r>
          </w:p>
        </w:tc>
        <w:tc>
          <w:tcPr>
            <w:tcW w:w="2024" w:type="dxa"/>
            <w:gridSpan w:val="4"/>
            <w:tcBorders>
              <w:top w:val="single" w:color="000000" w:sz="4" w:space="0"/>
              <w:left w:val="single" w:color="000000" w:sz="4" w:space="0"/>
              <w:bottom w:val="single" w:color="000000" w:sz="4" w:space="0"/>
              <w:right w:val="single" w:color="000000" w:sz="4" w:space="0"/>
            </w:tcBorders>
          </w:tcPr>
          <w:p w14:paraId="34EF4E8B">
            <w:pPr>
              <w:pStyle w:val="17"/>
              <w:spacing w:before="118"/>
              <w:ind w:left="600"/>
              <w:jc w:val="left"/>
              <w:rPr>
                <w:rFonts w:ascii="Wingdings" w:hAnsi="Wingdings"/>
                <w:sz w:val="18"/>
              </w:rPr>
            </w:pPr>
            <w:r>
              <w:rPr>
                <w:sz w:val="18"/>
              </w:rPr>
              <w:t>国家标准</w:t>
            </w:r>
            <w:r>
              <w:rPr>
                <w:rFonts w:ascii="Wingdings" w:hAnsi="Wingdings"/>
                <w:sz w:val="18"/>
              </w:rPr>
              <w:t></w:t>
            </w:r>
          </w:p>
        </w:tc>
        <w:tc>
          <w:tcPr>
            <w:tcW w:w="1886" w:type="dxa"/>
            <w:gridSpan w:val="7"/>
            <w:tcBorders>
              <w:top w:val="single" w:color="000000" w:sz="4" w:space="0"/>
              <w:left w:val="single" w:color="000000" w:sz="4" w:space="0"/>
              <w:bottom w:val="single" w:color="000000" w:sz="4" w:space="0"/>
              <w:right w:val="single" w:color="000000" w:sz="4" w:space="0"/>
            </w:tcBorders>
          </w:tcPr>
          <w:p w14:paraId="20327A73">
            <w:pPr>
              <w:pStyle w:val="17"/>
              <w:spacing w:before="108"/>
              <w:ind w:left="532"/>
              <w:jc w:val="left"/>
              <w:rPr>
                <w:rFonts w:ascii="Segoe UI Symbol" w:hAnsi="Segoe UI Symbol" w:eastAsia="Segoe UI Symbol"/>
                <w:sz w:val="18"/>
              </w:rPr>
            </w:pPr>
            <w:r>
              <w:rPr>
                <w:sz w:val="18"/>
              </w:rPr>
              <w:t>地方标准</w:t>
            </w:r>
            <w:r>
              <w:rPr>
                <w:rFonts w:ascii="Segoe UI Symbol" w:hAnsi="Segoe UI Symbol" w:eastAsia="Segoe UI Symbol"/>
                <w:sz w:val="18"/>
              </w:rPr>
              <w:t>☐</w:t>
            </w:r>
          </w:p>
        </w:tc>
        <w:tc>
          <w:tcPr>
            <w:tcW w:w="1606" w:type="dxa"/>
            <w:gridSpan w:val="7"/>
            <w:tcBorders>
              <w:top w:val="single" w:color="000000" w:sz="4" w:space="0"/>
              <w:left w:val="single" w:color="000000" w:sz="4" w:space="0"/>
              <w:bottom w:val="single" w:color="000000" w:sz="4" w:space="0"/>
              <w:right w:val="single" w:color="000000" w:sz="4" w:space="0"/>
            </w:tcBorders>
          </w:tcPr>
          <w:p w14:paraId="5F2E08DB">
            <w:pPr>
              <w:pStyle w:val="17"/>
              <w:spacing w:before="118"/>
              <w:ind w:left="477"/>
              <w:jc w:val="left"/>
              <w:rPr>
                <w:rFonts w:ascii="Wingdings" w:hAnsi="Wingdings"/>
                <w:sz w:val="18"/>
              </w:rPr>
            </w:pPr>
            <w:r>
              <w:rPr>
                <w:sz w:val="18"/>
              </w:rPr>
              <w:t xml:space="preserve">附录 </w:t>
            </w:r>
            <w:r>
              <w:rPr>
                <w:rFonts w:ascii="Times New Roman" w:hAnsi="Times New Roman"/>
                <w:sz w:val="18"/>
              </w:rPr>
              <w:t>D</w:t>
            </w:r>
            <w:r>
              <w:rPr>
                <w:rFonts w:ascii="Wingdings" w:hAnsi="Wingdings"/>
                <w:sz w:val="18"/>
              </w:rPr>
              <w:t></w:t>
            </w:r>
          </w:p>
        </w:tc>
        <w:tc>
          <w:tcPr>
            <w:tcW w:w="1677" w:type="dxa"/>
            <w:gridSpan w:val="4"/>
            <w:tcBorders>
              <w:top w:val="single" w:color="000000" w:sz="4" w:space="0"/>
              <w:left w:val="single" w:color="000000" w:sz="4" w:space="0"/>
              <w:bottom w:val="single" w:color="000000" w:sz="4" w:space="0"/>
            </w:tcBorders>
          </w:tcPr>
          <w:p w14:paraId="75FFBFAD">
            <w:pPr>
              <w:pStyle w:val="17"/>
              <w:spacing w:before="118"/>
              <w:ind w:left="419"/>
              <w:jc w:val="left"/>
              <w:rPr>
                <w:rFonts w:ascii="Wingdings" w:hAnsi="Wingdings"/>
                <w:sz w:val="18"/>
              </w:rPr>
            </w:pPr>
            <w:r>
              <w:rPr>
                <w:sz w:val="18"/>
              </w:rPr>
              <w:t>其他标准</w:t>
            </w:r>
            <w:r>
              <w:rPr>
                <w:rFonts w:ascii="Wingdings" w:hAnsi="Wingdings"/>
                <w:sz w:val="18"/>
              </w:rPr>
              <w:t></w:t>
            </w:r>
          </w:p>
        </w:tc>
      </w:tr>
      <w:tr w14:paraId="7B93DF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restart"/>
            <w:tcBorders>
              <w:top w:val="single" w:color="000000" w:sz="4" w:space="0"/>
              <w:bottom w:val="single" w:color="000000" w:sz="4" w:space="0"/>
              <w:right w:val="single" w:color="000000" w:sz="4" w:space="0"/>
            </w:tcBorders>
          </w:tcPr>
          <w:p w14:paraId="0FD1CB8B">
            <w:pPr>
              <w:pStyle w:val="17"/>
              <w:jc w:val="left"/>
              <w:rPr>
                <w:b/>
                <w:sz w:val="18"/>
              </w:rPr>
            </w:pPr>
          </w:p>
          <w:p w14:paraId="3A681246">
            <w:pPr>
              <w:pStyle w:val="17"/>
              <w:jc w:val="left"/>
              <w:rPr>
                <w:b/>
                <w:sz w:val="18"/>
              </w:rPr>
            </w:pPr>
          </w:p>
          <w:p w14:paraId="4637C5B8">
            <w:pPr>
              <w:pStyle w:val="17"/>
              <w:spacing w:before="149" w:line="242" w:lineRule="auto"/>
              <w:ind w:left="119" w:right="98"/>
              <w:jc w:val="left"/>
              <w:rPr>
                <w:sz w:val="18"/>
              </w:rPr>
            </w:pPr>
            <w:r>
              <w:rPr>
                <w:sz w:val="18"/>
              </w:rPr>
              <w:t>现状评价</w:t>
            </w:r>
          </w:p>
        </w:tc>
        <w:tc>
          <w:tcPr>
            <w:tcW w:w="1493" w:type="dxa"/>
            <w:tcBorders>
              <w:top w:val="single" w:color="000000" w:sz="4" w:space="0"/>
              <w:left w:val="single" w:color="000000" w:sz="4" w:space="0"/>
              <w:bottom w:val="single" w:color="000000" w:sz="4" w:space="0"/>
              <w:right w:val="single" w:color="000000" w:sz="4" w:space="0"/>
            </w:tcBorders>
          </w:tcPr>
          <w:p w14:paraId="70C63E51">
            <w:pPr>
              <w:pStyle w:val="17"/>
              <w:spacing w:before="82"/>
              <w:ind w:left="88" w:right="61"/>
              <w:rPr>
                <w:sz w:val="18"/>
              </w:rPr>
            </w:pPr>
            <w:r>
              <w:rPr>
                <w:sz w:val="18"/>
              </w:rPr>
              <w:t>环境功能区</w:t>
            </w:r>
          </w:p>
        </w:tc>
        <w:tc>
          <w:tcPr>
            <w:tcW w:w="2387" w:type="dxa"/>
            <w:gridSpan w:val="6"/>
            <w:tcBorders>
              <w:top w:val="single" w:color="000000" w:sz="4" w:space="0"/>
              <w:left w:val="single" w:color="000000" w:sz="4" w:space="0"/>
              <w:bottom w:val="single" w:color="000000" w:sz="4" w:space="0"/>
              <w:right w:val="single" w:color="000000" w:sz="4" w:space="0"/>
            </w:tcBorders>
          </w:tcPr>
          <w:p w14:paraId="542CACCB">
            <w:pPr>
              <w:pStyle w:val="17"/>
              <w:spacing w:before="75"/>
              <w:ind w:left="833" w:right="807"/>
              <w:rPr>
                <w:rFonts w:ascii="Segoe UI Symbol" w:hAnsi="Segoe UI Symbol" w:eastAsia="Segoe UI Symbol"/>
                <w:sz w:val="18"/>
              </w:rPr>
            </w:pPr>
            <w:r>
              <w:rPr>
                <w:sz w:val="18"/>
              </w:rPr>
              <w:t>一类区</w:t>
            </w:r>
            <w:r>
              <w:rPr>
                <w:rFonts w:ascii="Segoe UI Symbol" w:hAnsi="Segoe UI Symbol" w:eastAsia="Segoe UI Symbol"/>
                <w:sz w:val="18"/>
              </w:rPr>
              <w:t>☐</w:t>
            </w:r>
          </w:p>
        </w:tc>
        <w:tc>
          <w:tcPr>
            <w:tcW w:w="2592" w:type="dxa"/>
            <w:gridSpan w:val="9"/>
            <w:tcBorders>
              <w:top w:val="single" w:color="000000" w:sz="4" w:space="0"/>
              <w:left w:val="single" w:color="000000" w:sz="4" w:space="0"/>
              <w:bottom w:val="single" w:color="000000" w:sz="4" w:space="0"/>
              <w:right w:val="single" w:color="000000" w:sz="4" w:space="0"/>
            </w:tcBorders>
          </w:tcPr>
          <w:p w14:paraId="168F69CD">
            <w:pPr>
              <w:pStyle w:val="17"/>
              <w:spacing w:before="82"/>
              <w:ind w:left="936" w:right="906"/>
              <w:rPr>
                <w:rFonts w:ascii="Wingdings" w:hAnsi="Wingdings"/>
                <w:sz w:val="18"/>
              </w:rPr>
            </w:pPr>
            <w:r>
              <w:rPr>
                <w:sz w:val="18"/>
              </w:rPr>
              <w:t>二类区</w:t>
            </w:r>
            <w:r>
              <w:rPr>
                <w:rFonts w:ascii="Wingdings" w:hAnsi="Wingdings"/>
                <w:sz w:val="18"/>
              </w:rPr>
              <w:t></w:t>
            </w:r>
          </w:p>
        </w:tc>
        <w:tc>
          <w:tcPr>
            <w:tcW w:w="2214" w:type="dxa"/>
            <w:gridSpan w:val="7"/>
            <w:tcBorders>
              <w:top w:val="single" w:color="000000" w:sz="4" w:space="0"/>
              <w:left w:val="single" w:color="000000" w:sz="4" w:space="0"/>
              <w:bottom w:val="single" w:color="000000" w:sz="4" w:space="0"/>
            </w:tcBorders>
          </w:tcPr>
          <w:p w14:paraId="3E47BAA5">
            <w:pPr>
              <w:pStyle w:val="17"/>
              <w:spacing w:before="75"/>
              <w:ind w:left="408"/>
              <w:jc w:val="left"/>
              <w:rPr>
                <w:rFonts w:ascii="Segoe UI Symbol" w:hAnsi="Segoe UI Symbol" w:eastAsia="Segoe UI Symbol"/>
                <w:sz w:val="18"/>
              </w:rPr>
            </w:pPr>
            <w:r>
              <w:rPr>
                <w:sz w:val="18"/>
              </w:rPr>
              <w:t>一类区和二类区</w:t>
            </w:r>
            <w:r>
              <w:rPr>
                <w:rFonts w:ascii="Segoe UI Symbol" w:hAnsi="Segoe UI Symbol" w:eastAsia="Segoe UI Symbol"/>
                <w:sz w:val="18"/>
              </w:rPr>
              <w:t>☐</w:t>
            </w:r>
          </w:p>
        </w:tc>
      </w:tr>
      <w:tr w14:paraId="302083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continue"/>
            <w:tcBorders>
              <w:top w:val="nil"/>
              <w:bottom w:val="single" w:color="000000" w:sz="4" w:space="0"/>
              <w:right w:val="single" w:color="000000" w:sz="4" w:space="0"/>
            </w:tcBorders>
          </w:tcPr>
          <w:p w14:paraId="5403A030">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1096EFAC">
            <w:pPr>
              <w:pStyle w:val="17"/>
              <w:spacing w:before="81"/>
              <w:ind w:left="88" w:right="61"/>
              <w:rPr>
                <w:sz w:val="18"/>
              </w:rPr>
            </w:pPr>
            <w:r>
              <w:rPr>
                <w:sz w:val="18"/>
              </w:rPr>
              <w:t>评价基准年</w:t>
            </w:r>
          </w:p>
        </w:tc>
        <w:tc>
          <w:tcPr>
            <w:tcW w:w="7193" w:type="dxa"/>
            <w:gridSpan w:val="22"/>
            <w:tcBorders>
              <w:top w:val="single" w:color="000000" w:sz="4" w:space="0"/>
              <w:left w:val="single" w:color="000000" w:sz="4" w:space="0"/>
              <w:bottom w:val="single" w:color="000000" w:sz="4" w:space="0"/>
            </w:tcBorders>
          </w:tcPr>
          <w:p w14:paraId="05B2BF40">
            <w:pPr>
              <w:pStyle w:val="17"/>
              <w:spacing w:before="81"/>
              <w:ind w:left="2542" w:right="2503"/>
              <w:rPr>
                <w:sz w:val="18"/>
              </w:rPr>
            </w:pPr>
            <w:r>
              <w:rPr>
                <w:sz w:val="18"/>
              </w:rPr>
              <w:t>（</w:t>
            </w:r>
            <w:r>
              <w:rPr>
                <w:rFonts w:ascii="Times New Roman" w:eastAsia="Times New Roman"/>
                <w:sz w:val="18"/>
              </w:rPr>
              <w:t>2023</w:t>
            </w:r>
            <w:r>
              <w:rPr>
                <w:sz w:val="18"/>
              </w:rPr>
              <w:t>）年</w:t>
            </w:r>
          </w:p>
        </w:tc>
      </w:tr>
      <w:tr w14:paraId="1CB2F9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600" w:type="dxa"/>
            <w:vMerge w:val="continue"/>
            <w:tcBorders>
              <w:top w:val="nil"/>
              <w:bottom w:val="single" w:color="000000" w:sz="4" w:space="0"/>
              <w:right w:val="single" w:color="000000" w:sz="4" w:space="0"/>
            </w:tcBorders>
          </w:tcPr>
          <w:p w14:paraId="025E4A8D">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0882AABB">
            <w:pPr>
              <w:pStyle w:val="17"/>
              <w:ind w:left="125"/>
              <w:jc w:val="left"/>
              <w:rPr>
                <w:sz w:val="18"/>
              </w:rPr>
            </w:pPr>
            <w:r>
              <w:rPr>
                <w:sz w:val="18"/>
              </w:rPr>
              <w:t>环境空气质量现</w:t>
            </w:r>
          </w:p>
          <w:p w14:paraId="32EBBC6E">
            <w:pPr>
              <w:pStyle w:val="17"/>
              <w:spacing w:before="2" w:line="213" w:lineRule="exact"/>
              <w:ind w:left="125"/>
              <w:jc w:val="left"/>
              <w:rPr>
                <w:sz w:val="18"/>
              </w:rPr>
            </w:pPr>
            <w:r>
              <w:rPr>
                <w:sz w:val="18"/>
              </w:rPr>
              <w:t>状调查数据来源</w:t>
            </w:r>
          </w:p>
        </w:tc>
        <w:tc>
          <w:tcPr>
            <w:tcW w:w="2629" w:type="dxa"/>
            <w:gridSpan w:val="8"/>
            <w:tcBorders>
              <w:top w:val="single" w:color="000000" w:sz="4" w:space="0"/>
              <w:left w:val="single" w:color="000000" w:sz="4" w:space="0"/>
              <w:bottom w:val="single" w:color="000000" w:sz="4" w:space="0"/>
              <w:right w:val="single" w:color="000000" w:sz="4" w:space="0"/>
            </w:tcBorders>
          </w:tcPr>
          <w:p w14:paraId="78C04D65">
            <w:pPr>
              <w:pStyle w:val="17"/>
              <w:spacing w:before="118"/>
              <w:ind w:left="523"/>
              <w:jc w:val="left"/>
              <w:rPr>
                <w:rFonts w:ascii="Wingdings" w:hAnsi="Wingdings"/>
                <w:sz w:val="18"/>
              </w:rPr>
            </w:pPr>
            <w:r>
              <w:rPr>
                <w:sz w:val="18"/>
              </w:rPr>
              <w:t>长期例行监测数据</w:t>
            </w:r>
            <w:r>
              <w:rPr>
                <w:rFonts w:ascii="Wingdings" w:hAnsi="Wingdings"/>
                <w:sz w:val="18"/>
              </w:rPr>
              <w:t></w:t>
            </w:r>
          </w:p>
        </w:tc>
        <w:tc>
          <w:tcPr>
            <w:tcW w:w="2702" w:type="dxa"/>
            <w:gridSpan w:val="9"/>
            <w:tcBorders>
              <w:top w:val="single" w:color="000000" w:sz="4" w:space="0"/>
              <w:left w:val="single" w:color="000000" w:sz="4" w:space="0"/>
              <w:bottom w:val="single" w:color="000000" w:sz="4" w:space="0"/>
              <w:right w:val="single" w:color="000000" w:sz="4" w:space="0"/>
            </w:tcBorders>
          </w:tcPr>
          <w:p w14:paraId="226127B8">
            <w:pPr>
              <w:pStyle w:val="17"/>
              <w:spacing w:before="118"/>
              <w:ind w:left="469"/>
              <w:jc w:val="left"/>
              <w:rPr>
                <w:rFonts w:ascii="Wingdings" w:hAnsi="Wingdings"/>
                <w:sz w:val="18"/>
              </w:rPr>
            </w:pPr>
            <w:r>
              <w:rPr>
                <w:sz w:val="18"/>
              </w:rPr>
              <w:t>主管部门发布的数据</w:t>
            </w:r>
            <w:r>
              <w:rPr>
                <w:rFonts w:ascii="Wingdings" w:hAnsi="Wingdings"/>
                <w:sz w:val="18"/>
              </w:rPr>
              <w:t></w:t>
            </w:r>
          </w:p>
        </w:tc>
        <w:tc>
          <w:tcPr>
            <w:tcW w:w="1862" w:type="dxa"/>
            <w:gridSpan w:val="5"/>
            <w:tcBorders>
              <w:top w:val="single" w:color="000000" w:sz="4" w:space="0"/>
              <w:left w:val="single" w:color="000000" w:sz="4" w:space="0"/>
              <w:bottom w:val="single" w:color="000000" w:sz="4" w:space="0"/>
            </w:tcBorders>
          </w:tcPr>
          <w:p w14:paraId="5A8880E8">
            <w:pPr>
              <w:pStyle w:val="17"/>
              <w:spacing w:before="118"/>
              <w:ind w:left="320"/>
              <w:jc w:val="left"/>
              <w:rPr>
                <w:rFonts w:ascii="Wingdings" w:hAnsi="Wingdings"/>
                <w:sz w:val="18"/>
              </w:rPr>
            </w:pPr>
            <w:r>
              <w:rPr>
                <w:sz w:val="18"/>
              </w:rPr>
              <w:t>现状补充监测</w:t>
            </w:r>
            <w:r>
              <w:rPr>
                <w:rFonts w:ascii="Wingdings" w:hAnsi="Wingdings"/>
                <w:sz w:val="18"/>
              </w:rPr>
              <w:t></w:t>
            </w:r>
          </w:p>
        </w:tc>
      </w:tr>
      <w:tr w14:paraId="71FE1D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00" w:type="dxa"/>
            <w:vMerge w:val="continue"/>
            <w:tcBorders>
              <w:top w:val="nil"/>
              <w:bottom w:val="single" w:color="000000" w:sz="4" w:space="0"/>
              <w:right w:val="single" w:color="000000" w:sz="4" w:space="0"/>
            </w:tcBorders>
          </w:tcPr>
          <w:p w14:paraId="09495B7E">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6C6EB4F3">
            <w:pPr>
              <w:pStyle w:val="17"/>
              <w:spacing w:before="83"/>
              <w:ind w:left="88" w:right="59"/>
              <w:rPr>
                <w:sz w:val="18"/>
              </w:rPr>
            </w:pPr>
            <w:r>
              <w:rPr>
                <w:sz w:val="18"/>
              </w:rPr>
              <w:t>现状评价</w:t>
            </w:r>
          </w:p>
        </w:tc>
        <w:tc>
          <w:tcPr>
            <w:tcW w:w="3600" w:type="dxa"/>
            <w:gridSpan w:val="10"/>
            <w:tcBorders>
              <w:top w:val="single" w:color="000000" w:sz="4" w:space="0"/>
              <w:left w:val="single" w:color="000000" w:sz="4" w:space="0"/>
              <w:bottom w:val="single" w:color="000000" w:sz="4" w:space="0"/>
              <w:right w:val="single" w:color="000000" w:sz="4" w:space="0"/>
            </w:tcBorders>
          </w:tcPr>
          <w:p w14:paraId="3EE99F5C">
            <w:pPr>
              <w:pStyle w:val="17"/>
              <w:spacing w:before="83"/>
              <w:ind w:left="1328" w:right="1290"/>
              <w:rPr>
                <w:rFonts w:ascii="Wingdings" w:hAnsi="Wingdings"/>
                <w:sz w:val="18"/>
              </w:rPr>
            </w:pPr>
            <w:r>
              <w:rPr>
                <w:sz w:val="18"/>
              </w:rPr>
              <w:t>达标区</w:t>
            </w:r>
            <w:r>
              <w:rPr>
                <w:rFonts w:ascii="Wingdings" w:hAnsi="Wingdings"/>
                <w:sz w:val="18"/>
              </w:rPr>
              <w:t></w:t>
            </w:r>
          </w:p>
        </w:tc>
        <w:tc>
          <w:tcPr>
            <w:tcW w:w="3593" w:type="dxa"/>
            <w:gridSpan w:val="12"/>
            <w:tcBorders>
              <w:top w:val="single" w:color="000000" w:sz="4" w:space="0"/>
              <w:left w:val="single" w:color="000000" w:sz="4" w:space="0"/>
              <w:bottom w:val="single" w:color="000000" w:sz="4" w:space="0"/>
            </w:tcBorders>
          </w:tcPr>
          <w:p w14:paraId="0E9BB420">
            <w:pPr>
              <w:pStyle w:val="17"/>
              <w:spacing w:before="83"/>
              <w:ind w:left="1236" w:right="1188"/>
              <w:rPr>
                <w:rFonts w:ascii="Wingdings" w:hAnsi="Wingdings"/>
                <w:sz w:val="18"/>
              </w:rPr>
            </w:pPr>
            <w:r>
              <w:rPr>
                <w:sz w:val="18"/>
              </w:rPr>
              <w:t>不达标区</w:t>
            </w:r>
            <w:r>
              <w:rPr>
                <w:rFonts w:ascii="Wingdings" w:hAnsi="Wingdings"/>
                <w:sz w:val="18"/>
              </w:rPr>
              <w:t></w:t>
            </w:r>
          </w:p>
        </w:tc>
      </w:tr>
      <w:tr w14:paraId="37D6A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trPr>
        <w:tc>
          <w:tcPr>
            <w:tcW w:w="600" w:type="dxa"/>
            <w:tcBorders>
              <w:top w:val="single" w:color="000000" w:sz="4" w:space="0"/>
              <w:bottom w:val="single" w:color="000000" w:sz="4" w:space="0"/>
              <w:right w:val="single" w:color="000000" w:sz="4" w:space="0"/>
            </w:tcBorders>
          </w:tcPr>
          <w:p w14:paraId="084F4FA8">
            <w:pPr>
              <w:pStyle w:val="17"/>
              <w:spacing w:before="3" w:line="230" w:lineRule="atLeast"/>
              <w:ind w:left="119" w:right="98"/>
              <w:jc w:val="both"/>
              <w:rPr>
                <w:sz w:val="18"/>
              </w:rPr>
            </w:pPr>
            <w:r>
              <w:rPr>
                <w:sz w:val="18"/>
              </w:rPr>
              <w:t>污染源调查</w:t>
            </w:r>
          </w:p>
        </w:tc>
        <w:tc>
          <w:tcPr>
            <w:tcW w:w="1493" w:type="dxa"/>
            <w:tcBorders>
              <w:top w:val="single" w:color="000000" w:sz="4" w:space="0"/>
              <w:left w:val="single" w:color="000000" w:sz="4" w:space="0"/>
              <w:bottom w:val="single" w:color="000000" w:sz="4" w:space="0"/>
              <w:right w:val="single" w:color="000000" w:sz="4" w:space="0"/>
            </w:tcBorders>
          </w:tcPr>
          <w:p w14:paraId="2EC9524D">
            <w:pPr>
              <w:pStyle w:val="17"/>
              <w:spacing w:before="5"/>
              <w:jc w:val="left"/>
              <w:rPr>
                <w:b/>
                <w:sz w:val="18"/>
              </w:rPr>
            </w:pPr>
          </w:p>
          <w:p w14:paraId="2A7FA741">
            <w:pPr>
              <w:pStyle w:val="17"/>
              <w:ind w:left="88" w:right="59"/>
              <w:rPr>
                <w:sz w:val="18"/>
              </w:rPr>
            </w:pPr>
            <w:r>
              <w:rPr>
                <w:sz w:val="18"/>
              </w:rPr>
              <w:t>调查内容</w:t>
            </w:r>
          </w:p>
        </w:tc>
        <w:tc>
          <w:tcPr>
            <w:tcW w:w="2201" w:type="dxa"/>
            <w:gridSpan w:val="5"/>
            <w:tcBorders>
              <w:top w:val="single" w:color="000000" w:sz="4" w:space="0"/>
              <w:left w:val="single" w:color="000000" w:sz="4" w:space="0"/>
              <w:bottom w:val="single" w:color="000000" w:sz="4" w:space="0"/>
              <w:right w:val="single" w:color="000000" w:sz="4" w:space="0"/>
            </w:tcBorders>
          </w:tcPr>
          <w:p w14:paraId="50105D6B">
            <w:pPr>
              <w:pStyle w:val="17"/>
              <w:spacing w:before="3" w:line="242" w:lineRule="auto"/>
              <w:ind w:left="321" w:right="86" w:firstLine="180"/>
              <w:jc w:val="left"/>
              <w:rPr>
                <w:rFonts w:ascii="Wingdings" w:hAnsi="Wingdings"/>
                <w:sz w:val="18"/>
              </w:rPr>
            </w:pPr>
            <w:r>
              <w:rPr>
                <w:sz w:val="18"/>
              </w:rPr>
              <w:t>本项目正常排放源</w:t>
            </w:r>
            <w:r>
              <w:rPr>
                <w:rFonts w:ascii="Wingdings" w:hAnsi="Wingdings"/>
                <w:sz w:val="18"/>
              </w:rPr>
              <w:t></w:t>
            </w:r>
            <w:r>
              <w:rPr>
                <w:rFonts w:ascii="Times New Roman" w:hAnsi="Times New Roman"/>
                <w:sz w:val="18"/>
              </w:rPr>
              <w:t xml:space="preserve"> </w:t>
            </w:r>
            <w:r>
              <w:rPr>
                <w:sz w:val="18"/>
              </w:rPr>
              <w:t>本项目非正常排放源</w:t>
            </w:r>
            <w:r>
              <w:rPr>
                <w:rFonts w:ascii="Wingdings" w:hAnsi="Wingdings"/>
                <w:sz w:val="18"/>
              </w:rPr>
              <w:t></w:t>
            </w:r>
          </w:p>
          <w:p w14:paraId="3CA1E849">
            <w:pPr>
              <w:pStyle w:val="17"/>
              <w:spacing w:line="212" w:lineRule="exact"/>
              <w:ind w:left="1041"/>
              <w:jc w:val="left"/>
              <w:rPr>
                <w:rFonts w:ascii="Wingdings" w:hAnsi="Wingdings"/>
                <w:sz w:val="18"/>
              </w:rPr>
            </w:pPr>
            <w:r>
              <w:rPr>
                <w:sz w:val="18"/>
              </w:rPr>
              <w:t>现有污染源</w:t>
            </w:r>
            <w:r>
              <w:rPr>
                <w:rFonts w:ascii="Wingdings" w:hAnsi="Wingdings"/>
                <w:sz w:val="18"/>
              </w:rPr>
              <w:t></w:t>
            </w:r>
          </w:p>
        </w:tc>
        <w:tc>
          <w:tcPr>
            <w:tcW w:w="1865" w:type="dxa"/>
            <w:gridSpan w:val="7"/>
            <w:tcBorders>
              <w:top w:val="single" w:color="000000" w:sz="4" w:space="0"/>
              <w:left w:val="single" w:color="000000" w:sz="4" w:space="0"/>
              <w:bottom w:val="single" w:color="000000" w:sz="4" w:space="0"/>
              <w:right w:val="single" w:color="000000" w:sz="4" w:space="0"/>
            </w:tcBorders>
          </w:tcPr>
          <w:p w14:paraId="421CE5BA">
            <w:pPr>
              <w:pStyle w:val="17"/>
              <w:spacing w:before="8"/>
              <w:jc w:val="left"/>
              <w:rPr>
                <w:b/>
                <w:sz w:val="17"/>
              </w:rPr>
            </w:pPr>
          </w:p>
          <w:p w14:paraId="7969956E">
            <w:pPr>
              <w:pStyle w:val="17"/>
              <w:ind w:left="235"/>
              <w:jc w:val="left"/>
              <w:rPr>
                <w:rFonts w:ascii="Segoe UI Symbol" w:hAnsi="Segoe UI Symbol" w:eastAsia="Segoe UI Symbol"/>
                <w:sz w:val="18"/>
              </w:rPr>
            </w:pPr>
            <w:r>
              <w:rPr>
                <w:sz w:val="18"/>
              </w:rPr>
              <w:t>拟替代的污染源</w:t>
            </w:r>
            <w:r>
              <w:rPr>
                <w:rFonts w:ascii="Segoe UI Symbol" w:hAnsi="Segoe UI Symbol" w:eastAsia="Segoe UI Symbol"/>
                <w:sz w:val="18"/>
              </w:rPr>
              <w:t>☐</w:t>
            </w:r>
          </w:p>
        </w:tc>
        <w:tc>
          <w:tcPr>
            <w:tcW w:w="1855" w:type="dxa"/>
            <w:gridSpan w:val="8"/>
            <w:tcBorders>
              <w:top w:val="single" w:color="000000" w:sz="4" w:space="0"/>
              <w:left w:val="single" w:color="000000" w:sz="4" w:space="0"/>
              <w:bottom w:val="single" w:color="000000" w:sz="4" w:space="0"/>
              <w:right w:val="single" w:color="000000" w:sz="4" w:space="0"/>
            </w:tcBorders>
          </w:tcPr>
          <w:p w14:paraId="2FC359AD">
            <w:pPr>
              <w:pStyle w:val="17"/>
              <w:spacing w:before="118" w:line="242" w:lineRule="auto"/>
              <w:ind w:left="585" w:right="96" w:hanging="459"/>
              <w:jc w:val="left"/>
              <w:rPr>
                <w:rFonts w:ascii="Wingdings" w:hAnsi="Wingdings"/>
                <w:sz w:val="18"/>
              </w:rPr>
            </w:pPr>
            <w:r>
              <w:rPr>
                <w:sz w:val="18"/>
              </w:rPr>
              <w:t>其他在建、拟建项目污染源</w:t>
            </w:r>
            <w:r>
              <w:rPr>
                <w:rFonts w:ascii="Wingdings" w:hAnsi="Wingdings"/>
                <w:sz w:val="18"/>
              </w:rPr>
              <w:t></w:t>
            </w:r>
          </w:p>
        </w:tc>
        <w:tc>
          <w:tcPr>
            <w:tcW w:w="1272" w:type="dxa"/>
            <w:gridSpan w:val="2"/>
            <w:tcBorders>
              <w:top w:val="single" w:color="000000" w:sz="4" w:space="0"/>
              <w:left w:val="single" w:color="000000" w:sz="4" w:space="0"/>
              <w:bottom w:val="single" w:color="000000" w:sz="4" w:space="0"/>
            </w:tcBorders>
          </w:tcPr>
          <w:p w14:paraId="49B1DBEE">
            <w:pPr>
              <w:pStyle w:val="17"/>
              <w:spacing w:before="140" w:line="225" w:lineRule="exact"/>
              <w:ind w:left="40" w:right="4"/>
              <w:rPr>
                <w:sz w:val="18"/>
              </w:rPr>
            </w:pPr>
            <w:r>
              <w:rPr>
                <w:sz w:val="18"/>
              </w:rPr>
              <w:t>区域污染源</w:t>
            </w:r>
          </w:p>
          <w:p w14:paraId="22B086EC">
            <w:pPr>
              <w:pStyle w:val="17"/>
              <w:spacing w:line="194" w:lineRule="exact"/>
              <w:ind w:left="40"/>
              <w:rPr>
                <w:rFonts w:ascii="Wingdings" w:hAnsi="Wingdings"/>
                <w:sz w:val="18"/>
              </w:rPr>
            </w:pPr>
            <w:r>
              <w:rPr>
                <w:rFonts w:ascii="Wingdings" w:hAnsi="Wingdings"/>
                <w:sz w:val="18"/>
              </w:rPr>
              <w:t></w:t>
            </w:r>
          </w:p>
        </w:tc>
      </w:tr>
      <w:tr w14:paraId="6D6FC5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600" w:type="dxa"/>
            <w:vMerge w:val="restart"/>
            <w:tcBorders>
              <w:top w:val="single" w:color="000000" w:sz="4" w:space="0"/>
              <w:bottom w:val="single" w:color="000000" w:sz="4" w:space="0"/>
              <w:right w:val="single" w:color="000000" w:sz="4" w:space="0"/>
            </w:tcBorders>
          </w:tcPr>
          <w:p w14:paraId="0AB3C6CD">
            <w:pPr>
              <w:pStyle w:val="17"/>
              <w:jc w:val="left"/>
              <w:rPr>
                <w:b/>
                <w:sz w:val="18"/>
              </w:rPr>
            </w:pPr>
          </w:p>
          <w:p w14:paraId="1EABC187">
            <w:pPr>
              <w:pStyle w:val="17"/>
              <w:jc w:val="left"/>
              <w:rPr>
                <w:b/>
                <w:sz w:val="18"/>
              </w:rPr>
            </w:pPr>
          </w:p>
          <w:p w14:paraId="1192969D">
            <w:pPr>
              <w:pStyle w:val="17"/>
              <w:jc w:val="left"/>
              <w:rPr>
                <w:b/>
                <w:sz w:val="18"/>
              </w:rPr>
            </w:pPr>
          </w:p>
          <w:p w14:paraId="001BD067">
            <w:pPr>
              <w:pStyle w:val="17"/>
              <w:jc w:val="left"/>
              <w:rPr>
                <w:b/>
                <w:sz w:val="18"/>
              </w:rPr>
            </w:pPr>
          </w:p>
          <w:p w14:paraId="52377DB2">
            <w:pPr>
              <w:pStyle w:val="17"/>
              <w:jc w:val="left"/>
              <w:rPr>
                <w:b/>
                <w:sz w:val="18"/>
              </w:rPr>
            </w:pPr>
          </w:p>
          <w:p w14:paraId="7A9C0722">
            <w:pPr>
              <w:pStyle w:val="17"/>
              <w:spacing w:before="1"/>
              <w:jc w:val="left"/>
              <w:rPr>
                <w:b/>
                <w:sz w:val="24"/>
              </w:rPr>
            </w:pPr>
          </w:p>
          <w:p w14:paraId="5944156E">
            <w:pPr>
              <w:pStyle w:val="17"/>
              <w:spacing w:line="242" w:lineRule="auto"/>
              <w:ind w:left="119" w:right="98"/>
              <w:jc w:val="both"/>
              <w:rPr>
                <w:sz w:val="18"/>
              </w:rPr>
            </w:pPr>
            <w:r>
              <w:rPr>
                <w:sz w:val="18"/>
              </w:rPr>
              <w:t>大气环境影响预测与评价</w:t>
            </w:r>
          </w:p>
        </w:tc>
        <w:tc>
          <w:tcPr>
            <w:tcW w:w="1493" w:type="dxa"/>
            <w:tcBorders>
              <w:top w:val="single" w:color="000000" w:sz="4" w:space="0"/>
              <w:left w:val="single" w:color="000000" w:sz="4" w:space="0"/>
              <w:bottom w:val="single" w:color="000000" w:sz="4" w:space="0"/>
              <w:right w:val="single" w:color="000000" w:sz="4" w:space="0"/>
            </w:tcBorders>
          </w:tcPr>
          <w:p w14:paraId="214D48E8">
            <w:pPr>
              <w:pStyle w:val="17"/>
              <w:spacing w:before="120"/>
              <w:ind w:left="88" w:right="59"/>
              <w:rPr>
                <w:sz w:val="18"/>
              </w:rPr>
            </w:pPr>
            <w:r>
              <w:rPr>
                <w:sz w:val="18"/>
              </w:rPr>
              <w:t>预测模型</w:t>
            </w:r>
          </w:p>
        </w:tc>
        <w:tc>
          <w:tcPr>
            <w:tcW w:w="1179" w:type="dxa"/>
            <w:tcBorders>
              <w:top w:val="single" w:color="000000" w:sz="4" w:space="0"/>
              <w:left w:val="single" w:color="000000" w:sz="4" w:space="0"/>
              <w:bottom w:val="single" w:color="000000" w:sz="4" w:space="0"/>
              <w:right w:val="single" w:color="000000" w:sz="4" w:space="0"/>
            </w:tcBorders>
          </w:tcPr>
          <w:p w14:paraId="77E9475E">
            <w:pPr>
              <w:pStyle w:val="17"/>
              <w:spacing w:before="36" w:line="201" w:lineRule="exact"/>
              <w:ind w:left="175" w:right="173"/>
              <w:rPr>
                <w:rFonts w:ascii="Times New Roman"/>
                <w:sz w:val="18"/>
              </w:rPr>
            </w:pPr>
            <w:r>
              <w:rPr>
                <w:rFonts w:ascii="Times New Roman"/>
                <w:sz w:val="18"/>
              </w:rPr>
              <w:t>AERMOD</w:t>
            </w:r>
          </w:p>
          <w:p w14:paraId="64434977">
            <w:pPr>
              <w:pStyle w:val="17"/>
              <w:spacing w:line="194" w:lineRule="exact"/>
              <w:ind w:left="4"/>
              <w:rPr>
                <w:rFonts w:ascii="Wingdings" w:hAnsi="Wingdings"/>
                <w:sz w:val="18"/>
              </w:rPr>
            </w:pPr>
            <w:r>
              <w:rPr>
                <w:rFonts w:ascii="Wingdings" w:hAnsi="Wingdings"/>
                <w:w w:val="101"/>
                <w:sz w:val="18"/>
              </w:rPr>
              <w:t></w:t>
            </w:r>
          </w:p>
        </w:tc>
        <w:tc>
          <w:tcPr>
            <w:tcW w:w="845" w:type="dxa"/>
            <w:gridSpan w:val="3"/>
            <w:tcBorders>
              <w:top w:val="single" w:color="000000" w:sz="4" w:space="0"/>
              <w:left w:val="single" w:color="000000" w:sz="4" w:space="0"/>
              <w:bottom w:val="single" w:color="000000" w:sz="4" w:space="0"/>
              <w:right w:val="single" w:color="000000" w:sz="4" w:space="0"/>
            </w:tcBorders>
          </w:tcPr>
          <w:p w14:paraId="1D876FCA">
            <w:pPr>
              <w:pStyle w:val="17"/>
              <w:spacing w:before="12" w:line="206" w:lineRule="exact"/>
              <w:ind w:left="3" w:right="33"/>
              <w:rPr>
                <w:rFonts w:ascii="Times New Roman"/>
                <w:sz w:val="18"/>
              </w:rPr>
            </w:pPr>
            <w:r>
              <w:rPr>
                <w:rFonts w:ascii="Times New Roman"/>
                <w:sz w:val="18"/>
              </w:rPr>
              <w:t>ADMS</w:t>
            </w:r>
          </w:p>
          <w:p w14:paraId="5B6B8542">
            <w:pPr>
              <w:pStyle w:val="17"/>
              <w:spacing w:line="235" w:lineRule="exact"/>
              <w:ind w:right="31"/>
              <w:rPr>
                <w:rFonts w:ascii="Segoe UI Symbol" w:hAnsi="Segoe UI Symbol"/>
                <w:sz w:val="18"/>
              </w:rPr>
            </w:pPr>
            <w:r>
              <w:rPr>
                <w:rFonts w:ascii="Segoe UI Symbol" w:hAnsi="Segoe UI Symbol"/>
                <w:sz w:val="18"/>
              </w:rPr>
              <w:t>☐</w:t>
            </w:r>
          </w:p>
        </w:tc>
        <w:tc>
          <w:tcPr>
            <w:tcW w:w="1249" w:type="dxa"/>
            <w:gridSpan w:val="5"/>
            <w:tcBorders>
              <w:top w:val="single" w:color="000000" w:sz="4" w:space="0"/>
              <w:left w:val="single" w:color="000000" w:sz="4" w:space="0"/>
              <w:bottom w:val="single" w:color="000000" w:sz="4" w:space="0"/>
              <w:right w:val="single" w:color="000000" w:sz="4" w:space="0"/>
            </w:tcBorders>
          </w:tcPr>
          <w:p w14:paraId="4DEFE8C9">
            <w:pPr>
              <w:pStyle w:val="17"/>
              <w:spacing w:before="12" w:line="206" w:lineRule="exact"/>
              <w:ind w:left="63" w:right="66"/>
              <w:rPr>
                <w:rFonts w:ascii="Times New Roman"/>
                <w:sz w:val="18"/>
              </w:rPr>
            </w:pPr>
            <w:r>
              <w:rPr>
                <w:rFonts w:ascii="Times New Roman"/>
                <w:sz w:val="18"/>
              </w:rPr>
              <w:t>AUSTAL2000</w:t>
            </w:r>
          </w:p>
          <w:p w14:paraId="5C5C142E">
            <w:pPr>
              <w:pStyle w:val="17"/>
              <w:spacing w:line="235" w:lineRule="exact"/>
              <w:ind w:right="3"/>
              <w:rPr>
                <w:rFonts w:ascii="Segoe UI Symbol" w:hAnsi="Segoe UI Symbol"/>
                <w:sz w:val="18"/>
              </w:rPr>
            </w:pPr>
            <w:r>
              <w:rPr>
                <w:rFonts w:ascii="Segoe UI Symbol" w:hAnsi="Segoe UI Symbol"/>
                <w:sz w:val="18"/>
              </w:rPr>
              <w:t>☐</w:t>
            </w:r>
          </w:p>
        </w:tc>
        <w:tc>
          <w:tcPr>
            <w:tcW w:w="1260" w:type="dxa"/>
            <w:gridSpan w:val="5"/>
            <w:tcBorders>
              <w:top w:val="single" w:color="000000" w:sz="4" w:space="0"/>
              <w:left w:val="single" w:color="000000" w:sz="4" w:space="0"/>
              <w:bottom w:val="single" w:color="000000" w:sz="4" w:space="0"/>
              <w:right w:val="single" w:color="000000" w:sz="4" w:space="0"/>
            </w:tcBorders>
          </w:tcPr>
          <w:p w14:paraId="0293C625">
            <w:pPr>
              <w:pStyle w:val="17"/>
              <w:spacing w:before="12" w:line="206" w:lineRule="exact"/>
              <w:ind w:left="83" w:right="54"/>
              <w:rPr>
                <w:rFonts w:ascii="Times New Roman"/>
                <w:sz w:val="18"/>
              </w:rPr>
            </w:pPr>
            <w:r>
              <w:rPr>
                <w:rFonts w:ascii="Times New Roman"/>
                <w:sz w:val="18"/>
              </w:rPr>
              <w:t>EDMS/AEDT</w:t>
            </w:r>
          </w:p>
          <w:p w14:paraId="72FE2B55">
            <w:pPr>
              <w:pStyle w:val="17"/>
              <w:spacing w:line="235" w:lineRule="exact"/>
              <w:ind w:left="29"/>
              <w:rPr>
                <w:rFonts w:ascii="Segoe UI Symbol" w:hAnsi="Segoe UI Symbol"/>
                <w:sz w:val="18"/>
              </w:rPr>
            </w:pPr>
            <w:r>
              <w:rPr>
                <w:rFonts w:ascii="Segoe UI Symbol" w:hAnsi="Segoe UI Symbol"/>
                <w:sz w:val="18"/>
              </w:rPr>
              <w:t>☐</w:t>
            </w:r>
          </w:p>
        </w:tc>
        <w:tc>
          <w:tcPr>
            <w:tcW w:w="983" w:type="dxa"/>
            <w:gridSpan w:val="4"/>
            <w:tcBorders>
              <w:top w:val="single" w:color="000000" w:sz="4" w:space="0"/>
              <w:left w:val="single" w:color="000000" w:sz="4" w:space="0"/>
              <w:bottom w:val="single" w:color="000000" w:sz="4" w:space="0"/>
              <w:right w:val="single" w:color="000000" w:sz="4" w:space="0"/>
            </w:tcBorders>
          </w:tcPr>
          <w:p w14:paraId="1DAA3FAD">
            <w:pPr>
              <w:pStyle w:val="17"/>
              <w:spacing w:before="36" w:line="201" w:lineRule="exact"/>
              <w:ind w:left="98" w:right="44"/>
              <w:rPr>
                <w:rFonts w:ascii="Times New Roman"/>
                <w:sz w:val="18"/>
              </w:rPr>
            </w:pPr>
            <w:r>
              <w:rPr>
                <w:rFonts w:ascii="Times New Roman"/>
                <w:sz w:val="18"/>
              </w:rPr>
              <w:t>CALPUFF</w:t>
            </w:r>
          </w:p>
          <w:p w14:paraId="369BEDA7">
            <w:pPr>
              <w:pStyle w:val="17"/>
              <w:spacing w:line="194" w:lineRule="exact"/>
              <w:ind w:left="52"/>
              <w:rPr>
                <w:rFonts w:ascii="Wingdings" w:hAnsi="Wingdings"/>
                <w:sz w:val="18"/>
              </w:rPr>
            </w:pPr>
            <w:r>
              <w:rPr>
                <w:rFonts w:ascii="Wingdings" w:hAnsi="Wingdings"/>
                <w:sz w:val="18"/>
              </w:rPr>
              <w:t></w:t>
            </w:r>
          </w:p>
        </w:tc>
        <w:tc>
          <w:tcPr>
            <w:tcW w:w="984" w:type="dxa"/>
            <w:gridSpan w:val="3"/>
            <w:tcBorders>
              <w:top w:val="single" w:color="000000" w:sz="4" w:space="0"/>
              <w:left w:val="single" w:color="000000" w:sz="4" w:space="0"/>
              <w:bottom w:val="single" w:color="000000" w:sz="4" w:space="0"/>
              <w:right w:val="single" w:color="000000" w:sz="4" w:space="0"/>
            </w:tcBorders>
          </w:tcPr>
          <w:p w14:paraId="48E17D26">
            <w:pPr>
              <w:pStyle w:val="17"/>
              <w:ind w:left="132" w:right="81"/>
              <w:rPr>
                <w:sz w:val="18"/>
              </w:rPr>
            </w:pPr>
            <w:r>
              <w:rPr>
                <w:sz w:val="18"/>
              </w:rPr>
              <w:t>网络模型</w:t>
            </w:r>
          </w:p>
          <w:p w14:paraId="4A7F9207">
            <w:pPr>
              <w:pStyle w:val="17"/>
              <w:spacing w:line="222" w:lineRule="exact"/>
              <w:ind w:left="53"/>
              <w:rPr>
                <w:rFonts w:ascii="Segoe UI Symbol" w:hAnsi="Segoe UI Symbol"/>
                <w:sz w:val="18"/>
              </w:rPr>
            </w:pPr>
            <w:r>
              <w:rPr>
                <w:rFonts w:ascii="Segoe UI Symbol" w:hAnsi="Segoe UI Symbol"/>
                <w:sz w:val="18"/>
              </w:rPr>
              <w:t>☐</w:t>
            </w:r>
          </w:p>
        </w:tc>
        <w:tc>
          <w:tcPr>
            <w:tcW w:w="693" w:type="dxa"/>
            <w:tcBorders>
              <w:top w:val="single" w:color="000000" w:sz="4" w:space="0"/>
              <w:left w:val="single" w:color="000000" w:sz="4" w:space="0"/>
              <w:bottom w:val="single" w:color="000000" w:sz="4" w:space="0"/>
            </w:tcBorders>
          </w:tcPr>
          <w:p w14:paraId="2FBB9572">
            <w:pPr>
              <w:pStyle w:val="17"/>
              <w:ind w:left="154" w:right="119"/>
              <w:rPr>
                <w:sz w:val="18"/>
              </w:rPr>
            </w:pPr>
            <w:r>
              <w:rPr>
                <w:sz w:val="18"/>
              </w:rPr>
              <w:t>其他</w:t>
            </w:r>
          </w:p>
          <w:p w14:paraId="73F4A7FD">
            <w:pPr>
              <w:pStyle w:val="17"/>
              <w:spacing w:line="222" w:lineRule="exact"/>
              <w:ind w:left="37"/>
              <w:rPr>
                <w:rFonts w:ascii="Segoe UI Symbol" w:hAnsi="Segoe UI Symbol"/>
                <w:sz w:val="18"/>
              </w:rPr>
            </w:pPr>
            <w:r>
              <w:rPr>
                <w:rFonts w:ascii="Segoe UI Symbol" w:hAnsi="Segoe UI Symbol"/>
                <w:sz w:val="18"/>
              </w:rPr>
              <w:t>☐</w:t>
            </w:r>
          </w:p>
        </w:tc>
      </w:tr>
      <w:tr w14:paraId="424762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continue"/>
            <w:tcBorders>
              <w:top w:val="nil"/>
              <w:bottom w:val="single" w:color="000000" w:sz="4" w:space="0"/>
              <w:right w:val="single" w:color="000000" w:sz="4" w:space="0"/>
            </w:tcBorders>
          </w:tcPr>
          <w:p w14:paraId="7B7B13EA">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39042A6B">
            <w:pPr>
              <w:pStyle w:val="17"/>
              <w:spacing w:before="81"/>
              <w:ind w:left="88" w:right="59"/>
              <w:rPr>
                <w:sz w:val="18"/>
              </w:rPr>
            </w:pPr>
            <w:r>
              <w:rPr>
                <w:sz w:val="18"/>
              </w:rPr>
              <w:t>预测范围</w:t>
            </w:r>
          </w:p>
        </w:tc>
        <w:tc>
          <w:tcPr>
            <w:tcW w:w="2508" w:type="dxa"/>
            <w:gridSpan w:val="7"/>
            <w:tcBorders>
              <w:top w:val="single" w:color="000000" w:sz="4" w:space="0"/>
              <w:left w:val="single" w:color="000000" w:sz="4" w:space="0"/>
              <w:bottom w:val="single" w:color="000000" w:sz="4" w:space="0"/>
              <w:right w:val="single" w:color="000000" w:sz="4" w:space="0"/>
            </w:tcBorders>
          </w:tcPr>
          <w:p w14:paraId="600E9D49">
            <w:pPr>
              <w:pStyle w:val="17"/>
              <w:spacing w:before="74"/>
              <w:ind w:left="751"/>
              <w:jc w:val="left"/>
              <w:rPr>
                <w:rFonts w:ascii="Segoe UI Symbol" w:hAnsi="Segoe UI Symbol" w:eastAsia="Segoe UI Symbol"/>
                <w:sz w:val="18"/>
              </w:rPr>
            </w:pPr>
            <w:r>
              <w:rPr>
                <w:sz w:val="18"/>
              </w:rPr>
              <w:t>边长</w:t>
            </w:r>
            <w:r>
              <w:rPr>
                <w:rFonts w:ascii="Times New Roman" w:hAnsi="Times New Roman" w:eastAsia="Times New Roman"/>
                <w:sz w:val="18"/>
              </w:rPr>
              <w:t>≥50km</w:t>
            </w:r>
            <w:r>
              <w:rPr>
                <w:rFonts w:ascii="Segoe UI Symbol" w:hAnsi="Segoe UI Symbol" w:eastAsia="Segoe UI Symbol"/>
                <w:sz w:val="18"/>
              </w:rPr>
              <w:t>☐</w:t>
            </w:r>
          </w:p>
        </w:tc>
        <w:tc>
          <w:tcPr>
            <w:tcW w:w="2471" w:type="dxa"/>
            <w:gridSpan w:val="8"/>
            <w:tcBorders>
              <w:top w:val="single" w:color="000000" w:sz="4" w:space="0"/>
              <w:left w:val="single" w:color="000000" w:sz="4" w:space="0"/>
              <w:bottom w:val="single" w:color="000000" w:sz="4" w:space="0"/>
              <w:right w:val="single" w:color="000000" w:sz="4" w:space="0"/>
            </w:tcBorders>
          </w:tcPr>
          <w:p w14:paraId="2123035A">
            <w:pPr>
              <w:pStyle w:val="17"/>
              <w:spacing w:before="81"/>
              <w:ind w:left="662"/>
              <w:jc w:val="left"/>
              <w:rPr>
                <w:rFonts w:ascii="Wingdings" w:hAnsi="Wingdings"/>
                <w:sz w:val="18"/>
              </w:rPr>
            </w:pPr>
            <w:r>
              <w:rPr>
                <w:sz w:val="18"/>
              </w:rPr>
              <w:t xml:space="preserve">边长 </w:t>
            </w:r>
            <w:r>
              <w:rPr>
                <w:rFonts w:ascii="Times New Roman" w:hAnsi="Times New Roman"/>
                <w:sz w:val="18"/>
              </w:rPr>
              <w:t>5~50km</w:t>
            </w:r>
            <w:r>
              <w:rPr>
                <w:rFonts w:ascii="Wingdings" w:hAnsi="Wingdings"/>
                <w:sz w:val="18"/>
              </w:rPr>
              <w:t></w:t>
            </w:r>
          </w:p>
        </w:tc>
        <w:tc>
          <w:tcPr>
            <w:tcW w:w="2214" w:type="dxa"/>
            <w:gridSpan w:val="7"/>
            <w:tcBorders>
              <w:top w:val="single" w:color="000000" w:sz="4" w:space="0"/>
              <w:left w:val="single" w:color="000000" w:sz="4" w:space="0"/>
              <w:bottom w:val="single" w:color="000000" w:sz="4" w:space="0"/>
            </w:tcBorders>
          </w:tcPr>
          <w:p w14:paraId="7947B238">
            <w:pPr>
              <w:pStyle w:val="17"/>
              <w:spacing w:before="81"/>
              <w:ind w:left="644"/>
              <w:jc w:val="left"/>
              <w:rPr>
                <w:rFonts w:ascii="Wingdings" w:hAnsi="Wingdings"/>
                <w:sz w:val="18"/>
              </w:rPr>
            </w:pPr>
            <w:r>
              <w:rPr>
                <w:sz w:val="18"/>
              </w:rPr>
              <w:t>边长</w:t>
            </w:r>
            <w:r>
              <w:rPr>
                <w:rFonts w:ascii="Times New Roman" w:hAnsi="Times New Roman"/>
                <w:sz w:val="18"/>
              </w:rPr>
              <w:t>=5km</w:t>
            </w:r>
            <w:r>
              <w:rPr>
                <w:rFonts w:ascii="Wingdings" w:hAnsi="Wingdings"/>
                <w:sz w:val="18"/>
              </w:rPr>
              <w:t></w:t>
            </w:r>
          </w:p>
        </w:tc>
      </w:tr>
      <w:tr w14:paraId="1DD438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8" w:hRule="atLeast"/>
        </w:trPr>
        <w:tc>
          <w:tcPr>
            <w:tcW w:w="600" w:type="dxa"/>
            <w:vMerge w:val="continue"/>
            <w:tcBorders>
              <w:top w:val="nil"/>
              <w:bottom w:val="single" w:color="000000" w:sz="4" w:space="0"/>
              <w:right w:val="single" w:color="000000" w:sz="4" w:space="0"/>
            </w:tcBorders>
          </w:tcPr>
          <w:p w14:paraId="489AB616">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7B11C4B0">
            <w:pPr>
              <w:pStyle w:val="17"/>
              <w:spacing w:before="123"/>
              <w:ind w:left="88" w:right="59"/>
              <w:rPr>
                <w:sz w:val="18"/>
              </w:rPr>
            </w:pPr>
            <w:r>
              <w:rPr>
                <w:sz w:val="18"/>
              </w:rPr>
              <w:t>预测因子</w:t>
            </w:r>
          </w:p>
        </w:tc>
        <w:tc>
          <w:tcPr>
            <w:tcW w:w="3600" w:type="dxa"/>
            <w:gridSpan w:val="10"/>
            <w:tcBorders>
              <w:top w:val="single" w:color="000000" w:sz="4" w:space="0"/>
              <w:left w:val="single" w:color="000000" w:sz="4" w:space="0"/>
              <w:bottom w:val="single" w:color="000000" w:sz="4" w:space="0"/>
              <w:right w:val="single" w:color="000000" w:sz="4" w:space="0"/>
            </w:tcBorders>
          </w:tcPr>
          <w:p w14:paraId="6193772A">
            <w:pPr>
              <w:pStyle w:val="17"/>
              <w:spacing w:before="125"/>
              <w:ind w:left="170"/>
              <w:jc w:val="left"/>
              <w:rPr>
                <w:sz w:val="18"/>
              </w:rPr>
            </w:pPr>
            <w:r>
              <w:rPr>
                <w:position w:val="1"/>
                <w:sz w:val="18"/>
              </w:rPr>
              <w:t>预测因子（ 非甲烷总烃、</w:t>
            </w:r>
            <w:r>
              <w:rPr>
                <w:rFonts w:ascii="Times New Roman" w:eastAsia="Times New Roman"/>
                <w:position w:val="1"/>
                <w:sz w:val="18"/>
              </w:rPr>
              <w:t>PM</w:t>
            </w:r>
            <w:r>
              <w:rPr>
                <w:rFonts w:ascii="Times New Roman" w:eastAsia="Times New Roman"/>
                <w:position w:val="1"/>
                <w:sz w:val="18"/>
                <w:vertAlign w:val="subscript"/>
              </w:rPr>
              <w:t>10</w:t>
            </w:r>
            <w:r>
              <w:rPr>
                <w:position w:val="1"/>
                <w:sz w:val="18"/>
                <w:vertAlign w:val="baseline"/>
              </w:rPr>
              <w:t>、</w:t>
            </w:r>
            <w:r>
              <w:rPr>
                <w:rFonts w:ascii="Times New Roman" w:eastAsia="Times New Roman"/>
                <w:position w:val="1"/>
                <w:sz w:val="18"/>
                <w:vertAlign w:val="baseline"/>
              </w:rPr>
              <w:t xml:space="preserve">TSP </w:t>
            </w:r>
            <w:r>
              <w:rPr>
                <w:position w:val="1"/>
                <w:sz w:val="18"/>
                <w:vertAlign w:val="baseline"/>
              </w:rPr>
              <w:t>）</w:t>
            </w:r>
          </w:p>
        </w:tc>
        <w:tc>
          <w:tcPr>
            <w:tcW w:w="3593" w:type="dxa"/>
            <w:gridSpan w:val="12"/>
            <w:tcBorders>
              <w:top w:val="single" w:color="000000" w:sz="4" w:space="0"/>
              <w:left w:val="single" w:color="000000" w:sz="4" w:space="0"/>
              <w:bottom w:val="single" w:color="000000" w:sz="4" w:space="0"/>
            </w:tcBorders>
          </w:tcPr>
          <w:p w14:paraId="6EBCAC69">
            <w:pPr>
              <w:pStyle w:val="17"/>
              <w:spacing w:before="2"/>
              <w:ind w:left="1135"/>
              <w:jc w:val="left"/>
              <w:rPr>
                <w:rFonts w:ascii="Segoe UI Symbol" w:hAnsi="Segoe UI Symbol" w:eastAsia="Segoe UI Symbol"/>
                <w:sz w:val="18"/>
              </w:rPr>
            </w:pPr>
            <w:r>
              <w:rPr>
                <w:position w:val="1"/>
                <w:sz w:val="18"/>
              </w:rPr>
              <w:t xml:space="preserve">包括二次 </w:t>
            </w:r>
            <w:r>
              <w:rPr>
                <w:rFonts w:ascii="Times New Roman" w:hAnsi="Times New Roman" w:eastAsia="Times New Roman"/>
                <w:position w:val="1"/>
                <w:sz w:val="18"/>
              </w:rPr>
              <w:t>PM</w:t>
            </w:r>
            <w:r>
              <w:rPr>
                <w:rFonts w:ascii="Times New Roman" w:hAnsi="Times New Roman" w:eastAsia="Times New Roman"/>
                <w:position w:val="1"/>
                <w:sz w:val="18"/>
                <w:vertAlign w:val="subscript"/>
              </w:rPr>
              <w:t>2.5</w:t>
            </w:r>
            <w:r>
              <w:rPr>
                <w:rFonts w:ascii="Times New Roman" w:hAnsi="Times New Roman" w:eastAsia="Times New Roman"/>
                <w:position w:val="1"/>
                <w:sz w:val="18"/>
                <w:vertAlign w:val="baseline"/>
              </w:rPr>
              <w:t xml:space="preserve"> </w:t>
            </w:r>
            <w:r>
              <w:rPr>
                <w:rFonts w:ascii="Segoe UI Symbol" w:hAnsi="Segoe UI Symbol" w:eastAsia="Segoe UI Symbol"/>
                <w:position w:val="1"/>
                <w:sz w:val="18"/>
                <w:vertAlign w:val="baseline"/>
              </w:rPr>
              <w:t>☐</w:t>
            </w:r>
          </w:p>
          <w:p w14:paraId="24E85406">
            <w:pPr>
              <w:pStyle w:val="17"/>
              <w:spacing w:before="3" w:line="209" w:lineRule="exact"/>
              <w:ind w:left="1041"/>
              <w:jc w:val="left"/>
              <w:rPr>
                <w:rFonts w:ascii="Wingdings" w:hAnsi="Wingdings"/>
                <w:sz w:val="18"/>
              </w:rPr>
            </w:pPr>
            <w:r>
              <w:rPr>
                <w:position w:val="1"/>
                <w:sz w:val="18"/>
              </w:rPr>
              <w:t xml:space="preserve">不包括二次 </w:t>
            </w:r>
            <w:r>
              <w:rPr>
                <w:rFonts w:ascii="Times New Roman" w:hAnsi="Times New Roman"/>
                <w:position w:val="1"/>
                <w:sz w:val="18"/>
              </w:rPr>
              <w:t>PM</w:t>
            </w:r>
            <w:r>
              <w:rPr>
                <w:rFonts w:ascii="Times New Roman" w:hAnsi="Times New Roman"/>
                <w:position w:val="1"/>
                <w:sz w:val="18"/>
                <w:vertAlign w:val="subscript"/>
              </w:rPr>
              <w:t>2.5</w:t>
            </w:r>
            <w:r>
              <w:rPr>
                <w:rFonts w:ascii="Times New Roman" w:hAnsi="Times New Roman"/>
                <w:position w:val="1"/>
                <w:sz w:val="18"/>
                <w:vertAlign w:val="baseline"/>
              </w:rPr>
              <w:t xml:space="preserve"> </w:t>
            </w:r>
            <w:r>
              <w:rPr>
                <w:rFonts w:ascii="Wingdings" w:hAnsi="Wingdings"/>
                <w:position w:val="1"/>
                <w:sz w:val="18"/>
                <w:vertAlign w:val="baseline"/>
              </w:rPr>
              <w:t></w:t>
            </w:r>
          </w:p>
        </w:tc>
      </w:tr>
      <w:tr w14:paraId="7AA5E4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600" w:type="dxa"/>
            <w:vMerge w:val="continue"/>
            <w:tcBorders>
              <w:top w:val="nil"/>
              <w:bottom w:val="single" w:color="000000" w:sz="4" w:space="0"/>
              <w:right w:val="single" w:color="000000" w:sz="4" w:space="0"/>
            </w:tcBorders>
          </w:tcPr>
          <w:p w14:paraId="48A371FA">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297D8B5B">
            <w:pPr>
              <w:pStyle w:val="17"/>
              <w:spacing w:before="1"/>
              <w:ind w:left="88" w:right="61"/>
              <w:rPr>
                <w:sz w:val="18"/>
              </w:rPr>
            </w:pPr>
            <w:r>
              <w:rPr>
                <w:sz w:val="18"/>
              </w:rPr>
              <w:t>正常排放短期浓</w:t>
            </w:r>
          </w:p>
          <w:p w14:paraId="0C474205">
            <w:pPr>
              <w:pStyle w:val="17"/>
              <w:spacing w:before="2" w:line="213" w:lineRule="exact"/>
              <w:ind w:left="88" w:right="59"/>
              <w:rPr>
                <w:sz w:val="18"/>
              </w:rPr>
            </w:pPr>
            <w:r>
              <w:rPr>
                <w:sz w:val="18"/>
              </w:rPr>
              <w:t>度贡献值</w:t>
            </w:r>
          </w:p>
        </w:tc>
        <w:tc>
          <w:tcPr>
            <w:tcW w:w="3600" w:type="dxa"/>
            <w:gridSpan w:val="10"/>
            <w:tcBorders>
              <w:top w:val="single" w:color="000000" w:sz="4" w:space="0"/>
              <w:left w:val="single" w:color="000000" w:sz="4" w:space="0"/>
              <w:bottom w:val="single" w:color="000000" w:sz="4" w:space="0"/>
              <w:right w:val="single" w:color="000000" w:sz="4" w:space="0"/>
            </w:tcBorders>
          </w:tcPr>
          <w:p w14:paraId="104161E0">
            <w:pPr>
              <w:pStyle w:val="17"/>
              <w:spacing w:before="118"/>
              <w:ind w:left="777"/>
              <w:jc w:val="left"/>
              <w:rPr>
                <w:rFonts w:ascii="Wingdings" w:hAnsi="Wingdings"/>
                <w:sz w:val="18"/>
              </w:rPr>
            </w:pPr>
            <w:r>
              <w:rPr>
                <w:rFonts w:ascii="Times New Roman" w:hAnsi="Times New Roman"/>
                <w:i/>
                <w:sz w:val="18"/>
              </w:rPr>
              <w:t xml:space="preserve">C </w:t>
            </w:r>
            <w:r>
              <w:rPr>
                <w:position w:val="-2"/>
                <w:sz w:val="9"/>
              </w:rPr>
              <w:t xml:space="preserve">本项目 </w:t>
            </w:r>
            <w:r>
              <w:rPr>
                <w:sz w:val="18"/>
              </w:rPr>
              <w:t>最大占标率</w:t>
            </w:r>
            <w:r>
              <w:rPr>
                <w:rFonts w:ascii="Times New Roman" w:hAnsi="Times New Roman"/>
                <w:sz w:val="18"/>
              </w:rPr>
              <w:t>≤100%</w:t>
            </w:r>
            <w:r>
              <w:rPr>
                <w:rFonts w:ascii="Wingdings" w:hAnsi="Wingdings"/>
                <w:sz w:val="18"/>
              </w:rPr>
              <w:t></w:t>
            </w:r>
          </w:p>
        </w:tc>
        <w:tc>
          <w:tcPr>
            <w:tcW w:w="3593" w:type="dxa"/>
            <w:gridSpan w:val="12"/>
            <w:tcBorders>
              <w:top w:val="single" w:color="000000" w:sz="4" w:space="0"/>
              <w:left w:val="single" w:color="000000" w:sz="4" w:space="0"/>
              <w:bottom w:val="single" w:color="000000" w:sz="4" w:space="0"/>
            </w:tcBorders>
          </w:tcPr>
          <w:p w14:paraId="13A7DFA3">
            <w:pPr>
              <w:pStyle w:val="17"/>
              <w:spacing w:before="109"/>
              <w:ind w:left="736"/>
              <w:jc w:val="left"/>
              <w:rPr>
                <w:rFonts w:ascii="Segoe UI Symbol" w:hAnsi="Segoe UI Symbol" w:eastAsia="Segoe UI Symbol"/>
                <w:sz w:val="18"/>
              </w:rPr>
            </w:pPr>
            <w:r>
              <w:rPr>
                <w:rFonts w:ascii="Times New Roman" w:hAnsi="Times New Roman" w:eastAsia="Times New Roman"/>
                <w:i/>
                <w:sz w:val="18"/>
              </w:rPr>
              <w:t xml:space="preserve">C </w:t>
            </w:r>
            <w:r>
              <w:rPr>
                <w:position w:val="-2"/>
                <w:sz w:val="9"/>
              </w:rPr>
              <w:t xml:space="preserve">本项目 </w:t>
            </w:r>
            <w:r>
              <w:rPr>
                <w:sz w:val="18"/>
              </w:rPr>
              <w:t>最大占标率＞</w:t>
            </w:r>
            <w:r>
              <w:rPr>
                <w:rFonts w:ascii="Times New Roman" w:hAnsi="Times New Roman" w:eastAsia="Times New Roman"/>
                <w:sz w:val="18"/>
              </w:rPr>
              <w:t>100%</w:t>
            </w:r>
            <w:r>
              <w:rPr>
                <w:rFonts w:ascii="Segoe UI Symbol" w:hAnsi="Segoe UI Symbol" w:eastAsia="Segoe UI Symbol"/>
                <w:sz w:val="18"/>
              </w:rPr>
              <w:t>☐</w:t>
            </w:r>
          </w:p>
        </w:tc>
      </w:tr>
      <w:tr w14:paraId="3972A3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600" w:type="dxa"/>
            <w:vMerge w:val="continue"/>
            <w:tcBorders>
              <w:top w:val="nil"/>
              <w:bottom w:val="single" w:color="000000" w:sz="4" w:space="0"/>
              <w:right w:val="single" w:color="000000" w:sz="4" w:space="0"/>
            </w:tcBorders>
          </w:tcPr>
          <w:p w14:paraId="441967BB">
            <w:pPr>
              <w:rPr>
                <w:sz w:val="2"/>
                <w:szCs w:val="2"/>
              </w:rPr>
            </w:pPr>
          </w:p>
        </w:tc>
        <w:tc>
          <w:tcPr>
            <w:tcW w:w="1493" w:type="dxa"/>
            <w:vMerge w:val="restart"/>
            <w:tcBorders>
              <w:top w:val="single" w:color="000000" w:sz="4" w:space="0"/>
              <w:left w:val="single" w:color="000000" w:sz="4" w:space="0"/>
              <w:bottom w:val="single" w:color="000000" w:sz="4" w:space="0"/>
              <w:right w:val="single" w:color="000000" w:sz="4" w:space="0"/>
            </w:tcBorders>
          </w:tcPr>
          <w:p w14:paraId="0451394B">
            <w:pPr>
              <w:pStyle w:val="17"/>
              <w:spacing w:before="3"/>
              <w:jc w:val="left"/>
              <w:rPr>
                <w:b/>
                <w:sz w:val="13"/>
              </w:rPr>
            </w:pPr>
          </w:p>
          <w:p w14:paraId="3FEB0691">
            <w:pPr>
              <w:pStyle w:val="17"/>
              <w:spacing w:line="242" w:lineRule="auto"/>
              <w:ind w:left="396" w:right="97" w:hanging="272"/>
              <w:jc w:val="left"/>
              <w:rPr>
                <w:sz w:val="18"/>
              </w:rPr>
            </w:pPr>
            <w:r>
              <w:rPr>
                <w:sz w:val="18"/>
              </w:rPr>
              <w:t>正常排放年均浓度贡献值</w:t>
            </w:r>
          </w:p>
        </w:tc>
        <w:tc>
          <w:tcPr>
            <w:tcW w:w="1179" w:type="dxa"/>
            <w:tcBorders>
              <w:top w:val="single" w:color="000000" w:sz="4" w:space="0"/>
              <w:left w:val="single" w:color="000000" w:sz="4" w:space="0"/>
              <w:bottom w:val="single" w:color="000000" w:sz="4" w:space="0"/>
              <w:right w:val="single" w:color="000000" w:sz="4" w:space="0"/>
            </w:tcBorders>
          </w:tcPr>
          <w:p w14:paraId="274B5CA9">
            <w:pPr>
              <w:pStyle w:val="17"/>
              <w:spacing w:before="83"/>
              <w:ind w:left="175" w:right="123"/>
              <w:rPr>
                <w:sz w:val="18"/>
              </w:rPr>
            </w:pPr>
            <w:r>
              <w:rPr>
                <w:sz w:val="18"/>
              </w:rPr>
              <w:t>一类区</w:t>
            </w:r>
          </w:p>
        </w:tc>
        <w:tc>
          <w:tcPr>
            <w:tcW w:w="2887" w:type="dxa"/>
            <w:gridSpan w:val="11"/>
            <w:tcBorders>
              <w:top w:val="single" w:color="000000" w:sz="4" w:space="0"/>
              <w:left w:val="single" w:color="000000" w:sz="4" w:space="0"/>
              <w:bottom w:val="single" w:color="000000" w:sz="4" w:space="0"/>
              <w:right w:val="single" w:color="000000" w:sz="4" w:space="0"/>
            </w:tcBorders>
          </w:tcPr>
          <w:p w14:paraId="1DF6B52E">
            <w:pPr>
              <w:pStyle w:val="17"/>
              <w:spacing w:before="76"/>
              <w:ind w:left="453"/>
              <w:jc w:val="left"/>
              <w:rPr>
                <w:rFonts w:ascii="Segoe UI Symbol" w:hAnsi="Segoe UI Symbol" w:eastAsia="Segoe UI Symbol"/>
                <w:sz w:val="18"/>
              </w:rPr>
            </w:pPr>
            <w:r>
              <w:rPr>
                <w:rFonts w:ascii="Times New Roman" w:hAnsi="Times New Roman" w:eastAsia="Times New Roman"/>
                <w:i/>
                <w:sz w:val="18"/>
              </w:rPr>
              <w:t xml:space="preserve">C </w:t>
            </w:r>
            <w:r>
              <w:rPr>
                <w:position w:val="-2"/>
                <w:sz w:val="9"/>
              </w:rPr>
              <w:t xml:space="preserve">本项目 </w:t>
            </w:r>
            <w:r>
              <w:rPr>
                <w:sz w:val="18"/>
              </w:rPr>
              <w:t>最大占标率</w:t>
            </w:r>
            <w:r>
              <w:rPr>
                <w:rFonts w:ascii="Times New Roman" w:hAnsi="Times New Roman" w:eastAsia="Times New Roman"/>
                <w:sz w:val="18"/>
              </w:rPr>
              <w:t xml:space="preserve">≤10% </w:t>
            </w:r>
            <w:r>
              <w:rPr>
                <w:rFonts w:ascii="Segoe UI Symbol" w:hAnsi="Segoe UI Symbol" w:eastAsia="Segoe UI Symbol"/>
                <w:sz w:val="18"/>
              </w:rPr>
              <w:t>☐</w:t>
            </w:r>
          </w:p>
        </w:tc>
        <w:tc>
          <w:tcPr>
            <w:tcW w:w="3127" w:type="dxa"/>
            <w:gridSpan w:val="10"/>
            <w:tcBorders>
              <w:top w:val="single" w:color="000000" w:sz="4" w:space="0"/>
              <w:left w:val="single" w:color="000000" w:sz="4" w:space="0"/>
              <w:bottom w:val="single" w:color="000000" w:sz="4" w:space="0"/>
            </w:tcBorders>
          </w:tcPr>
          <w:p w14:paraId="147BC02E">
            <w:pPr>
              <w:pStyle w:val="17"/>
              <w:spacing w:before="76"/>
              <w:ind w:left="520"/>
              <w:jc w:val="left"/>
              <w:rPr>
                <w:rFonts w:ascii="Segoe UI Symbol" w:hAnsi="Segoe UI Symbol" w:eastAsia="Segoe UI Symbol"/>
                <w:sz w:val="18"/>
              </w:rPr>
            </w:pPr>
            <w:r>
              <w:rPr>
                <w:rFonts w:ascii="Times New Roman" w:hAnsi="Times New Roman" w:eastAsia="Times New Roman"/>
                <w:i/>
                <w:sz w:val="18"/>
              </w:rPr>
              <w:t xml:space="preserve">C </w:t>
            </w:r>
            <w:r>
              <w:rPr>
                <w:position w:val="-2"/>
                <w:sz w:val="9"/>
              </w:rPr>
              <w:t xml:space="preserve">本项目 </w:t>
            </w:r>
            <w:r>
              <w:rPr>
                <w:sz w:val="18"/>
              </w:rPr>
              <w:t>最大占标率＞</w:t>
            </w:r>
            <w:r>
              <w:rPr>
                <w:rFonts w:ascii="Times New Roman" w:hAnsi="Times New Roman" w:eastAsia="Times New Roman"/>
                <w:sz w:val="18"/>
              </w:rPr>
              <w:t xml:space="preserve">10% </w:t>
            </w:r>
            <w:r>
              <w:rPr>
                <w:rFonts w:ascii="Segoe UI Symbol" w:hAnsi="Segoe UI Symbol" w:eastAsia="Segoe UI Symbol"/>
                <w:sz w:val="18"/>
              </w:rPr>
              <w:t>☐</w:t>
            </w:r>
          </w:p>
        </w:tc>
      </w:tr>
      <w:tr w14:paraId="2AED32F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continue"/>
            <w:tcBorders>
              <w:top w:val="nil"/>
              <w:bottom w:val="single" w:color="000000" w:sz="4" w:space="0"/>
              <w:right w:val="single" w:color="000000" w:sz="4" w:space="0"/>
            </w:tcBorders>
          </w:tcPr>
          <w:p w14:paraId="77896241">
            <w:pPr>
              <w:rPr>
                <w:sz w:val="2"/>
                <w:szCs w:val="2"/>
              </w:rPr>
            </w:pPr>
          </w:p>
        </w:tc>
        <w:tc>
          <w:tcPr>
            <w:tcW w:w="1493" w:type="dxa"/>
            <w:vMerge w:val="continue"/>
            <w:tcBorders>
              <w:top w:val="nil"/>
              <w:left w:val="single" w:color="000000" w:sz="4" w:space="0"/>
              <w:bottom w:val="single" w:color="000000" w:sz="4" w:space="0"/>
              <w:right w:val="single" w:color="000000" w:sz="4" w:space="0"/>
            </w:tcBorders>
          </w:tcPr>
          <w:p w14:paraId="4EF43223">
            <w:pPr>
              <w:rPr>
                <w:sz w:val="2"/>
                <w:szCs w:val="2"/>
              </w:rPr>
            </w:pPr>
          </w:p>
        </w:tc>
        <w:tc>
          <w:tcPr>
            <w:tcW w:w="1179" w:type="dxa"/>
            <w:tcBorders>
              <w:top w:val="single" w:color="000000" w:sz="4" w:space="0"/>
              <w:left w:val="single" w:color="000000" w:sz="4" w:space="0"/>
              <w:bottom w:val="single" w:color="000000" w:sz="4" w:space="0"/>
              <w:right w:val="single" w:color="000000" w:sz="4" w:space="0"/>
            </w:tcBorders>
          </w:tcPr>
          <w:p w14:paraId="5CF0303A">
            <w:pPr>
              <w:pStyle w:val="17"/>
              <w:spacing w:before="82"/>
              <w:ind w:left="175" w:right="123"/>
              <w:rPr>
                <w:sz w:val="18"/>
              </w:rPr>
            </w:pPr>
            <w:r>
              <w:rPr>
                <w:sz w:val="18"/>
              </w:rPr>
              <w:t>二类区</w:t>
            </w:r>
          </w:p>
        </w:tc>
        <w:tc>
          <w:tcPr>
            <w:tcW w:w="2887" w:type="dxa"/>
            <w:gridSpan w:val="11"/>
            <w:tcBorders>
              <w:top w:val="single" w:color="000000" w:sz="4" w:space="0"/>
              <w:left w:val="single" w:color="000000" w:sz="4" w:space="0"/>
              <w:bottom w:val="single" w:color="000000" w:sz="4" w:space="0"/>
              <w:right w:val="single" w:color="000000" w:sz="4" w:space="0"/>
            </w:tcBorders>
          </w:tcPr>
          <w:p w14:paraId="65369AD5">
            <w:pPr>
              <w:pStyle w:val="17"/>
              <w:spacing w:before="82"/>
              <w:ind w:left="503"/>
              <w:jc w:val="left"/>
              <w:rPr>
                <w:rFonts w:ascii="Wingdings" w:hAnsi="Wingdings"/>
                <w:sz w:val="18"/>
              </w:rPr>
            </w:pPr>
            <w:r>
              <w:rPr>
                <w:rFonts w:ascii="Times New Roman" w:hAnsi="Times New Roman"/>
                <w:i/>
                <w:sz w:val="18"/>
              </w:rPr>
              <w:t xml:space="preserve">C </w:t>
            </w:r>
            <w:r>
              <w:rPr>
                <w:position w:val="-2"/>
                <w:sz w:val="9"/>
              </w:rPr>
              <w:t>本项目</w:t>
            </w:r>
            <w:r>
              <w:rPr>
                <w:sz w:val="18"/>
              </w:rPr>
              <w:t>最大占标率</w:t>
            </w:r>
            <w:r>
              <w:rPr>
                <w:rFonts w:ascii="Times New Roman" w:hAnsi="Times New Roman"/>
                <w:sz w:val="18"/>
              </w:rPr>
              <w:t>≤30%</w:t>
            </w:r>
            <w:r>
              <w:rPr>
                <w:rFonts w:ascii="Wingdings" w:hAnsi="Wingdings"/>
                <w:sz w:val="18"/>
              </w:rPr>
              <w:t></w:t>
            </w:r>
          </w:p>
        </w:tc>
        <w:tc>
          <w:tcPr>
            <w:tcW w:w="3127" w:type="dxa"/>
            <w:gridSpan w:val="10"/>
            <w:tcBorders>
              <w:top w:val="single" w:color="000000" w:sz="4" w:space="0"/>
              <w:left w:val="single" w:color="000000" w:sz="4" w:space="0"/>
              <w:bottom w:val="single" w:color="000000" w:sz="4" w:space="0"/>
            </w:tcBorders>
          </w:tcPr>
          <w:p w14:paraId="0C782F39">
            <w:pPr>
              <w:pStyle w:val="17"/>
              <w:spacing w:before="75"/>
              <w:ind w:left="520"/>
              <w:jc w:val="left"/>
              <w:rPr>
                <w:rFonts w:ascii="Segoe UI Symbol" w:hAnsi="Segoe UI Symbol" w:eastAsia="Segoe UI Symbol"/>
                <w:sz w:val="18"/>
              </w:rPr>
            </w:pPr>
            <w:r>
              <w:rPr>
                <w:rFonts w:ascii="Times New Roman" w:hAnsi="Times New Roman" w:eastAsia="Times New Roman"/>
                <w:i/>
                <w:sz w:val="18"/>
              </w:rPr>
              <w:t xml:space="preserve">C </w:t>
            </w:r>
            <w:r>
              <w:rPr>
                <w:position w:val="-2"/>
                <w:sz w:val="9"/>
              </w:rPr>
              <w:t xml:space="preserve">本项目 </w:t>
            </w:r>
            <w:r>
              <w:rPr>
                <w:sz w:val="18"/>
              </w:rPr>
              <w:t>最大占标率＞</w:t>
            </w:r>
            <w:r>
              <w:rPr>
                <w:rFonts w:ascii="Times New Roman" w:hAnsi="Times New Roman" w:eastAsia="Times New Roman"/>
                <w:sz w:val="18"/>
              </w:rPr>
              <w:t xml:space="preserve">30% </w:t>
            </w:r>
            <w:r>
              <w:rPr>
                <w:rFonts w:ascii="Segoe UI Symbol" w:hAnsi="Segoe UI Symbol" w:eastAsia="Segoe UI Symbol"/>
                <w:sz w:val="18"/>
              </w:rPr>
              <w:t>☐</w:t>
            </w:r>
          </w:p>
        </w:tc>
      </w:tr>
      <w:tr w14:paraId="303922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600" w:type="dxa"/>
            <w:vMerge w:val="continue"/>
            <w:tcBorders>
              <w:top w:val="nil"/>
              <w:bottom w:val="single" w:color="000000" w:sz="4" w:space="0"/>
              <w:right w:val="single" w:color="000000" w:sz="4" w:space="0"/>
            </w:tcBorders>
          </w:tcPr>
          <w:p w14:paraId="562E3F7E">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3E4D65A8">
            <w:pPr>
              <w:pStyle w:val="17"/>
              <w:spacing w:before="1"/>
              <w:ind w:left="88" w:right="60"/>
              <w:rPr>
                <w:rFonts w:ascii="Times New Roman" w:eastAsia="Times New Roman"/>
                <w:sz w:val="18"/>
              </w:rPr>
            </w:pPr>
            <w:r>
              <w:rPr>
                <w:sz w:val="18"/>
              </w:rPr>
              <w:t xml:space="preserve">非正常排放 </w:t>
            </w:r>
            <w:r>
              <w:rPr>
                <w:rFonts w:ascii="Times New Roman" w:eastAsia="Times New Roman"/>
                <w:sz w:val="18"/>
              </w:rPr>
              <w:t>1h</w:t>
            </w:r>
          </w:p>
          <w:p w14:paraId="04EDC27B">
            <w:pPr>
              <w:pStyle w:val="17"/>
              <w:spacing w:before="2" w:line="213" w:lineRule="exact"/>
              <w:ind w:left="88" w:right="61"/>
              <w:rPr>
                <w:sz w:val="18"/>
              </w:rPr>
            </w:pPr>
            <w:r>
              <w:rPr>
                <w:sz w:val="18"/>
              </w:rPr>
              <w:t>浓度贡献值</w:t>
            </w:r>
          </w:p>
        </w:tc>
        <w:tc>
          <w:tcPr>
            <w:tcW w:w="1515" w:type="dxa"/>
            <w:gridSpan w:val="2"/>
            <w:tcBorders>
              <w:top w:val="single" w:color="000000" w:sz="4" w:space="0"/>
              <w:left w:val="single" w:color="000000" w:sz="4" w:space="0"/>
              <w:bottom w:val="single" w:color="000000" w:sz="4" w:space="0"/>
              <w:right w:val="single" w:color="000000" w:sz="4" w:space="0"/>
            </w:tcBorders>
          </w:tcPr>
          <w:p w14:paraId="3ABD1DA4">
            <w:pPr>
              <w:pStyle w:val="17"/>
              <w:spacing w:before="1"/>
              <w:ind w:left="116" w:right="88"/>
              <w:rPr>
                <w:sz w:val="18"/>
              </w:rPr>
            </w:pPr>
            <w:r>
              <w:rPr>
                <w:sz w:val="18"/>
              </w:rPr>
              <w:t>非正常持续时长</w:t>
            </w:r>
          </w:p>
          <w:p w14:paraId="094F0A75">
            <w:pPr>
              <w:pStyle w:val="17"/>
              <w:spacing w:before="2" w:line="213" w:lineRule="exact"/>
              <w:ind w:left="116" w:right="87"/>
              <w:rPr>
                <w:rFonts w:ascii="Times New Roman" w:eastAsia="Times New Roman"/>
                <w:sz w:val="18"/>
              </w:rPr>
            </w:pPr>
            <w:r>
              <w:rPr>
                <w:sz w:val="18"/>
              </w:rPr>
              <w:t xml:space="preserve">（ </w:t>
            </w:r>
            <w:r>
              <w:rPr>
                <w:rFonts w:ascii="Times New Roman" w:eastAsia="Times New Roman"/>
                <w:sz w:val="18"/>
              </w:rPr>
              <w:t xml:space="preserve">1 </w:t>
            </w:r>
            <w:r>
              <w:rPr>
                <w:sz w:val="18"/>
              </w:rPr>
              <w:t>）</w:t>
            </w:r>
            <w:r>
              <w:rPr>
                <w:rFonts w:ascii="Times New Roman" w:eastAsia="Times New Roman"/>
                <w:sz w:val="18"/>
              </w:rPr>
              <w:t>h</w:t>
            </w:r>
          </w:p>
        </w:tc>
        <w:tc>
          <w:tcPr>
            <w:tcW w:w="2713" w:type="dxa"/>
            <w:gridSpan w:val="11"/>
            <w:tcBorders>
              <w:top w:val="single" w:color="000000" w:sz="4" w:space="0"/>
              <w:left w:val="single" w:color="000000" w:sz="4" w:space="0"/>
              <w:bottom w:val="single" w:color="000000" w:sz="4" w:space="0"/>
              <w:right w:val="single" w:color="000000" w:sz="4" w:space="0"/>
            </w:tcBorders>
          </w:tcPr>
          <w:p w14:paraId="249FEBB6">
            <w:pPr>
              <w:pStyle w:val="17"/>
              <w:spacing w:before="119"/>
              <w:ind w:left="306"/>
              <w:jc w:val="left"/>
              <w:rPr>
                <w:rFonts w:ascii="Wingdings" w:hAnsi="Wingdings"/>
                <w:sz w:val="18"/>
              </w:rPr>
            </w:pPr>
            <w:r>
              <w:rPr>
                <w:rFonts w:ascii="Times New Roman" w:hAnsi="Times New Roman"/>
                <w:i/>
                <w:sz w:val="18"/>
              </w:rPr>
              <w:t xml:space="preserve">C </w:t>
            </w:r>
            <w:r>
              <w:rPr>
                <w:position w:val="-1"/>
                <w:sz w:val="9"/>
              </w:rPr>
              <w:t xml:space="preserve">非正常 </w:t>
            </w:r>
            <w:r>
              <w:rPr>
                <w:sz w:val="18"/>
              </w:rPr>
              <w:t>最大占标率</w:t>
            </w:r>
            <w:r>
              <w:rPr>
                <w:rFonts w:ascii="Times New Roman" w:hAnsi="Times New Roman"/>
                <w:sz w:val="18"/>
              </w:rPr>
              <w:t xml:space="preserve">≤100% </w:t>
            </w:r>
            <w:r>
              <w:rPr>
                <w:rFonts w:ascii="Wingdings" w:hAnsi="Wingdings"/>
                <w:sz w:val="18"/>
              </w:rPr>
              <w:t></w:t>
            </w:r>
          </w:p>
        </w:tc>
        <w:tc>
          <w:tcPr>
            <w:tcW w:w="2965" w:type="dxa"/>
            <w:gridSpan w:val="9"/>
            <w:tcBorders>
              <w:top w:val="single" w:color="000000" w:sz="4" w:space="0"/>
              <w:left w:val="single" w:color="000000" w:sz="4" w:space="0"/>
              <w:bottom w:val="single" w:color="000000" w:sz="4" w:space="0"/>
            </w:tcBorders>
          </w:tcPr>
          <w:p w14:paraId="79033666">
            <w:pPr>
              <w:pStyle w:val="17"/>
              <w:spacing w:before="119"/>
              <w:ind w:left="391"/>
              <w:jc w:val="left"/>
              <w:rPr>
                <w:rFonts w:ascii="Wingdings" w:hAnsi="Wingdings"/>
                <w:sz w:val="18"/>
              </w:rPr>
            </w:pPr>
            <w:r>
              <w:rPr>
                <w:rFonts w:ascii="Times New Roman" w:hAnsi="Times New Roman"/>
                <w:i/>
                <w:sz w:val="18"/>
              </w:rPr>
              <w:t xml:space="preserve">C </w:t>
            </w:r>
            <w:r>
              <w:rPr>
                <w:position w:val="-1"/>
                <w:sz w:val="9"/>
              </w:rPr>
              <w:t xml:space="preserve">非正常 </w:t>
            </w:r>
            <w:r>
              <w:rPr>
                <w:sz w:val="18"/>
              </w:rPr>
              <w:t>最大占标率＞</w:t>
            </w:r>
            <w:r>
              <w:rPr>
                <w:rFonts w:ascii="Times New Roman" w:hAnsi="Times New Roman"/>
                <w:sz w:val="18"/>
              </w:rPr>
              <w:t xml:space="preserve">100% </w:t>
            </w:r>
            <w:r>
              <w:rPr>
                <w:rFonts w:ascii="Wingdings" w:hAnsi="Wingdings"/>
                <w:sz w:val="18"/>
              </w:rPr>
              <w:t></w:t>
            </w:r>
          </w:p>
        </w:tc>
      </w:tr>
      <w:tr w14:paraId="13DD0C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600" w:type="dxa"/>
            <w:vMerge w:val="continue"/>
            <w:tcBorders>
              <w:top w:val="nil"/>
              <w:bottom w:val="single" w:color="000000" w:sz="4" w:space="0"/>
              <w:right w:val="single" w:color="000000" w:sz="4" w:space="0"/>
            </w:tcBorders>
          </w:tcPr>
          <w:p w14:paraId="41B9D0A4">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246AB4D5">
            <w:pPr>
              <w:pStyle w:val="17"/>
              <w:spacing w:before="2" w:line="230" w:lineRule="atLeast"/>
              <w:ind w:left="125" w:right="97"/>
              <w:rPr>
                <w:sz w:val="18"/>
              </w:rPr>
            </w:pPr>
            <w:r>
              <w:rPr>
                <w:sz w:val="18"/>
              </w:rPr>
              <w:t>保证率日平均浓度和年平均浓度叠加值</w:t>
            </w:r>
          </w:p>
        </w:tc>
        <w:tc>
          <w:tcPr>
            <w:tcW w:w="3600" w:type="dxa"/>
            <w:gridSpan w:val="10"/>
            <w:tcBorders>
              <w:top w:val="single" w:color="000000" w:sz="4" w:space="0"/>
              <w:left w:val="single" w:color="000000" w:sz="4" w:space="0"/>
              <w:bottom w:val="single" w:color="000000" w:sz="4" w:space="0"/>
              <w:right w:val="single" w:color="000000" w:sz="4" w:space="0"/>
            </w:tcBorders>
          </w:tcPr>
          <w:p w14:paraId="5032DCB7">
            <w:pPr>
              <w:pStyle w:val="17"/>
              <w:spacing w:before="4"/>
              <w:jc w:val="left"/>
              <w:rPr>
                <w:b/>
                <w:sz w:val="18"/>
              </w:rPr>
            </w:pPr>
          </w:p>
          <w:p w14:paraId="6A61D7AB">
            <w:pPr>
              <w:pStyle w:val="17"/>
              <w:ind w:left="1328" w:right="1312"/>
              <w:rPr>
                <w:rFonts w:ascii="Wingdings" w:hAnsi="Wingdings"/>
                <w:sz w:val="18"/>
              </w:rPr>
            </w:pPr>
            <w:r>
              <w:rPr>
                <w:rFonts w:ascii="Times New Roman" w:hAnsi="Times New Roman"/>
                <w:i/>
                <w:sz w:val="18"/>
              </w:rPr>
              <w:t xml:space="preserve">C </w:t>
            </w:r>
            <w:r>
              <w:rPr>
                <w:position w:val="-2"/>
                <w:sz w:val="9"/>
              </w:rPr>
              <w:t xml:space="preserve">叠加 </w:t>
            </w:r>
            <w:r>
              <w:rPr>
                <w:sz w:val="18"/>
              </w:rPr>
              <w:t>达标</w:t>
            </w:r>
            <w:r>
              <w:rPr>
                <w:rFonts w:ascii="Wingdings" w:hAnsi="Wingdings"/>
                <w:sz w:val="18"/>
              </w:rPr>
              <w:t></w:t>
            </w:r>
          </w:p>
        </w:tc>
        <w:tc>
          <w:tcPr>
            <w:tcW w:w="3593" w:type="dxa"/>
            <w:gridSpan w:val="12"/>
            <w:tcBorders>
              <w:top w:val="single" w:color="000000" w:sz="4" w:space="0"/>
              <w:left w:val="single" w:color="000000" w:sz="4" w:space="0"/>
              <w:bottom w:val="single" w:color="000000" w:sz="4" w:space="0"/>
            </w:tcBorders>
          </w:tcPr>
          <w:p w14:paraId="255FA8F1">
            <w:pPr>
              <w:pStyle w:val="17"/>
              <w:spacing w:before="7"/>
              <w:jc w:val="left"/>
              <w:rPr>
                <w:b/>
                <w:sz w:val="17"/>
              </w:rPr>
            </w:pPr>
          </w:p>
          <w:p w14:paraId="1C17EBF2">
            <w:pPr>
              <w:pStyle w:val="17"/>
              <w:ind w:left="1236" w:right="1210"/>
              <w:rPr>
                <w:rFonts w:ascii="Segoe UI Symbol" w:hAnsi="Segoe UI Symbol" w:eastAsia="Segoe UI Symbol"/>
                <w:sz w:val="18"/>
              </w:rPr>
            </w:pPr>
            <w:r>
              <w:rPr>
                <w:rFonts w:ascii="Times New Roman" w:hAnsi="Times New Roman" w:eastAsia="Times New Roman"/>
                <w:i/>
                <w:sz w:val="18"/>
              </w:rPr>
              <w:t xml:space="preserve">C </w:t>
            </w:r>
            <w:r>
              <w:rPr>
                <w:position w:val="-2"/>
                <w:sz w:val="9"/>
              </w:rPr>
              <w:t xml:space="preserve">叠加 </w:t>
            </w:r>
            <w:r>
              <w:rPr>
                <w:sz w:val="18"/>
              </w:rPr>
              <w:t>不达标</w:t>
            </w:r>
            <w:r>
              <w:rPr>
                <w:rFonts w:ascii="Segoe UI Symbol" w:hAnsi="Segoe UI Symbol" w:eastAsia="Segoe UI Symbol"/>
                <w:sz w:val="18"/>
              </w:rPr>
              <w:t>☐</w:t>
            </w:r>
          </w:p>
        </w:tc>
      </w:tr>
      <w:tr w14:paraId="0F5B64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600" w:type="dxa"/>
            <w:vMerge w:val="continue"/>
            <w:tcBorders>
              <w:top w:val="nil"/>
              <w:bottom w:val="single" w:color="000000" w:sz="4" w:space="0"/>
              <w:right w:val="single" w:color="000000" w:sz="4" w:space="0"/>
            </w:tcBorders>
          </w:tcPr>
          <w:p w14:paraId="11FE1F83">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543ECDEE">
            <w:pPr>
              <w:pStyle w:val="17"/>
              <w:spacing w:before="2" w:line="230" w:lineRule="atLeast"/>
              <w:ind w:left="216" w:right="97" w:hanging="92"/>
              <w:jc w:val="left"/>
              <w:rPr>
                <w:sz w:val="18"/>
              </w:rPr>
            </w:pPr>
            <w:r>
              <w:rPr>
                <w:sz w:val="18"/>
              </w:rPr>
              <w:t>区域环境质量的整体变化情况</w:t>
            </w:r>
          </w:p>
        </w:tc>
        <w:tc>
          <w:tcPr>
            <w:tcW w:w="3600" w:type="dxa"/>
            <w:gridSpan w:val="10"/>
            <w:tcBorders>
              <w:top w:val="single" w:color="000000" w:sz="4" w:space="0"/>
              <w:left w:val="single" w:color="000000" w:sz="4" w:space="0"/>
              <w:bottom w:val="single" w:color="000000" w:sz="4" w:space="0"/>
              <w:right w:val="single" w:color="000000" w:sz="4" w:space="0"/>
            </w:tcBorders>
          </w:tcPr>
          <w:p w14:paraId="2548C55A">
            <w:pPr>
              <w:pStyle w:val="17"/>
              <w:spacing w:before="113"/>
              <w:ind w:left="1328" w:right="1312"/>
              <w:rPr>
                <w:rFonts w:ascii="Segoe UI Symbol" w:hAnsi="Segoe UI Symbol"/>
                <w:sz w:val="18"/>
              </w:rPr>
            </w:pPr>
            <w:r>
              <w:rPr>
                <w:rFonts w:ascii="Times New Roman" w:hAnsi="Times New Roman"/>
                <w:i/>
                <w:sz w:val="18"/>
              </w:rPr>
              <w:t xml:space="preserve">k </w:t>
            </w:r>
            <w:r>
              <w:rPr>
                <w:rFonts w:ascii="Times New Roman" w:hAnsi="Times New Roman"/>
                <w:sz w:val="18"/>
              </w:rPr>
              <w:t xml:space="preserve">≤-20% </w:t>
            </w:r>
            <w:r>
              <w:rPr>
                <w:rFonts w:ascii="Segoe UI Symbol" w:hAnsi="Segoe UI Symbol"/>
                <w:sz w:val="18"/>
              </w:rPr>
              <w:t>☐</w:t>
            </w:r>
          </w:p>
        </w:tc>
        <w:tc>
          <w:tcPr>
            <w:tcW w:w="3593" w:type="dxa"/>
            <w:gridSpan w:val="12"/>
            <w:tcBorders>
              <w:top w:val="single" w:color="000000" w:sz="4" w:space="0"/>
              <w:left w:val="single" w:color="000000" w:sz="4" w:space="0"/>
              <w:bottom w:val="single" w:color="000000" w:sz="4" w:space="0"/>
            </w:tcBorders>
          </w:tcPr>
          <w:p w14:paraId="5BE1E267">
            <w:pPr>
              <w:pStyle w:val="17"/>
              <w:spacing w:before="110"/>
              <w:ind w:left="1236" w:right="1210"/>
              <w:rPr>
                <w:rFonts w:ascii="Segoe UI Symbol" w:hAnsi="Segoe UI Symbol" w:eastAsia="Segoe UI Symbol"/>
                <w:sz w:val="18"/>
              </w:rPr>
            </w:pPr>
            <w:r>
              <w:rPr>
                <w:rFonts w:ascii="Times New Roman" w:hAnsi="Times New Roman" w:eastAsia="Times New Roman"/>
                <w:i/>
                <w:sz w:val="18"/>
              </w:rPr>
              <w:t xml:space="preserve">k  </w:t>
            </w:r>
            <w:r>
              <w:rPr>
                <w:i/>
                <w:sz w:val="19"/>
              </w:rPr>
              <w:t>＞</w:t>
            </w:r>
            <w:r>
              <w:rPr>
                <w:rFonts w:ascii="Times New Roman" w:hAnsi="Times New Roman" w:eastAsia="Times New Roman"/>
                <w:sz w:val="18"/>
              </w:rPr>
              <w:t xml:space="preserve">-20% </w:t>
            </w:r>
            <w:r>
              <w:rPr>
                <w:rFonts w:ascii="Segoe UI Symbol" w:hAnsi="Segoe UI Symbol" w:eastAsia="Segoe UI Symbol"/>
                <w:sz w:val="18"/>
              </w:rPr>
              <w:t>☐</w:t>
            </w:r>
          </w:p>
        </w:tc>
      </w:tr>
      <w:tr w14:paraId="1EF786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600" w:type="dxa"/>
            <w:vMerge w:val="restart"/>
            <w:tcBorders>
              <w:top w:val="single" w:color="000000" w:sz="4" w:space="0"/>
              <w:bottom w:val="single" w:color="000000" w:sz="4" w:space="0"/>
              <w:right w:val="single" w:color="000000" w:sz="4" w:space="0"/>
            </w:tcBorders>
          </w:tcPr>
          <w:p w14:paraId="38B6B43F">
            <w:pPr>
              <w:pStyle w:val="17"/>
              <w:spacing w:before="87" w:line="242" w:lineRule="auto"/>
              <w:ind w:left="119" w:right="98"/>
              <w:jc w:val="both"/>
              <w:rPr>
                <w:sz w:val="18"/>
              </w:rPr>
            </w:pPr>
            <w:r>
              <w:rPr>
                <w:sz w:val="18"/>
              </w:rPr>
              <w:t>环境监测计划</w:t>
            </w:r>
          </w:p>
        </w:tc>
        <w:tc>
          <w:tcPr>
            <w:tcW w:w="1493" w:type="dxa"/>
            <w:tcBorders>
              <w:top w:val="single" w:color="000000" w:sz="4" w:space="0"/>
              <w:left w:val="single" w:color="000000" w:sz="4" w:space="0"/>
              <w:bottom w:val="single" w:color="000000" w:sz="4" w:space="0"/>
              <w:right w:val="single" w:color="000000" w:sz="4" w:space="0"/>
            </w:tcBorders>
          </w:tcPr>
          <w:p w14:paraId="1B055798">
            <w:pPr>
              <w:pStyle w:val="17"/>
              <w:spacing w:before="118"/>
              <w:ind w:left="88" w:right="61"/>
              <w:rPr>
                <w:sz w:val="18"/>
              </w:rPr>
            </w:pPr>
            <w:r>
              <w:rPr>
                <w:sz w:val="18"/>
              </w:rPr>
              <w:t>污染源监测</w:t>
            </w:r>
          </w:p>
        </w:tc>
        <w:tc>
          <w:tcPr>
            <w:tcW w:w="3273" w:type="dxa"/>
            <w:gridSpan w:val="9"/>
            <w:tcBorders>
              <w:top w:val="single" w:color="000000" w:sz="4" w:space="0"/>
              <w:left w:val="single" w:color="000000" w:sz="4" w:space="0"/>
              <w:bottom w:val="single" w:color="000000" w:sz="4" w:space="0"/>
              <w:right w:val="single" w:color="000000" w:sz="4" w:space="0"/>
            </w:tcBorders>
          </w:tcPr>
          <w:p w14:paraId="652F6AAD">
            <w:pPr>
              <w:pStyle w:val="17"/>
              <w:spacing w:before="3" w:line="230" w:lineRule="atLeast"/>
              <w:ind w:left="1286" w:right="131" w:hanging="1126"/>
              <w:jc w:val="left"/>
              <w:rPr>
                <w:sz w:val="18"/>
              </w:rPr>
            </w:pPr>
            <w:r>
              <w:rPr>
                <w:spacing w:val="-19"/>
                <w:sz w:val="18"/>
              </w:rPr>
              <w:t>监测因子：</w:t>
            </w:r>
            <w:r>
              <w:rPr>
                <w:sz w:val="18"/>
              </w:rPr>
              <w:t>（非甲烷总烃、颗粒物、臭气浓度）</w:t>
            </w:r>
          </w:p>
        </w:tc>
        <w:tc>
          <w:tcPr>
            <w:tcW w:w="2490" w:type="dxa"/>
            <w:gridSpan w:val="10"/>
            <w:tcBorders>
              <w:top w:val="single" w:color="000000" w:sz="4" w:space="0"/>
              <w:left w:val="single" w:color="000000" w:sz="4" w:space="0"/>
              <w:bottom w:val="single" w:color="000000" w:sz="4" w:space="0"/>
              <w:right w:val="single" w:color="000000" w:sz="4" w:space="0"/>
            </w:tcBorders>
          </w:tcPr>
          <w:p w14:paraId="51A8FDEE">
            <w:pPr>
              <w:pStyle w:val="17"/>
              <w:spacing w:before="3" w:line="230" w:lineRule="atLeast"/>
              <w:ind w:left="545" w:right="512"/>
              <w:jc w:val="left"/>
              <w:rPr>
                <w:rFonts w:ascii="Wingdings" w:hAnsi="Wingdings"/>
                <w:sz w:val="18"/>
              </w:rPr>
            </w:pPr>
            <w:r>
              <w:rPr>
                <w:sz w:val="18"/>
              </w:rPr>
              <w:t>有组织废气监测</w:t>
            </w:r>
            <w:r>
              <w:rPr>
                <w:rFonts w:ascii="Wingdings" w:hAnsi="Wingdings"/>
                <w:sz w:val="18"/>
              </w:rPr>
              <w:t></w:t>
            </w:r>
            <w:r>
              <w:rPr>
                <w:rFonts w:ascii="Times New Roman" w:hAnsi="Times New Roman"/>
                <w:sz w:val="18"/>
              </w:rPr>
              <w:t xml:space="preserve"> </w:t>
            </w:r>
            <w:r>
              <w:rPr>
                <w:sz w:val="18"/>
              </w:rPr>
              <w:t>无组织废气监测</w:t>
            </w:r>
            <w:r>
              <w:rPr>
                <w:rFonts w:ascii="Wingdings" w:hAnsi="Wingdings"/>
                <w:sz w:val="18"/>
              </w:rPr>
              <w:t></w:t>
            </w:r>
          </w:p>
        </w:tc>
        <w:tc>
          <w:tcPr>
            <w:tcW w:w="1430" w:type="dxa"/>
            <w:gridSpan w:val="3"/>
            <w:tcBorders>
              <w:top w:val="single" w:color="000000" w:sz="4" w:space="0"/>
              <w:left w:val="single" w:color="000000" w:sz="4" w:space="0"/>
              <w:bottom w:val="single" w:color="000000" w:sz="4" w:space="0"/>
            </w:tcBorders>
          </w:tcPr>
          <w:p w14:paraId="0DF0488C">
            <w:pPr>
              <w:pStyle w:val="17"/>
              <w:spacing w:before="108"/>
              <w:ind w:left="376"/>
              <w:jc w:val="left"/>
              <w:rPr>
                <w:rFonts w:ascii="Segoe UI Symbol" w:hAnsi="Segoe UI Symbol" w:eastAsia="Segoe UI Symbol"/>
                <w:sz w:val="18"/>
              </w:rPr>
            </w:pPr>
            <w:r>
              <w:rPr>
                <w:sz w:val="18"/>
              </w:rPr>
              <w:t>无监测</w:t>
            </w:r>
            <w:r>
              <w:rPr>
                <w:rFonts w:ascii="Segoe UI Symbol" w:hAnsi="Segoe UI Symbol" w:eastAsia="Segoe UI Symbol"/>
                <w:sz w:val="18"/>
              </w:rPr>
              <w:t>☐</w:t>
            </w:r>
          </w:p>
        </w:tc>
      </w:tr>
      <w:tr w14:paraId="4B4B10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continue"/>
            <w:tcBorders>
              <w:top w:val="nil"/>
              <w:bottom w:val="single" w:color="000000" w:sz="4" w:space="0"/>
              <w:right w:val="single" w:color="000000" w:sz="4" w:space="0"/>
            </w:tcBorders>
          </w:tcPr>
          <w:p w14:paraId="62A58458">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1ACE6612">
            <w:pPr>
              <w:pStyle w:val="17"/>
              <w:spacing w:before="82"/>
              <w:ind w:left="88" w:right="59"/>
              <w:rPr>
                <w:sz w:val="18"/>
              </w:rPr>
            </w:pPr>
            <w:r>
              <w:rPr>
                <w:sz w:val="18"/>
              </w:rPr>
              <w:t>环境质量监测</w:t>
            </w:r>
          </w:p>
        </w:tc>
        <w:tc>
          <w:tcPr>
            <w:tcW w:w="3273" w:type="dxa"/>
            <w:gridSpan w:val="9"/>
            <w:tcBorders>
              <w:top w:val="single" w:color="000000" w:sz="4" w:space="0"/>
              <w:left w:val="single" w:color="000000" w:sz="4" w:space="0"/>
              <w:bottom w:val="single" w:color="000000" w:sz="4" w:space="0"/>
              <w:right w:val="single" w:color="000000" w:sz="4" w:space="0"/>
            </w:tcBorders>
          </w:tcPr>
          <w:p w14:paraId="30F77F66">
            <w:pPr>
              <w:pStyle w:val="17"/>
              <w:spacing w:before="82"/>
              <w:ind w:left="1034"/>
              <w:jc w:val="left"/>
              <w:rPr>
                <w:sz w:val="18"/>
              </w:rPr>
            </w:pPr>
            <w:r>
              <w:rPr>
                <w:spacing w:val="-18"/>
                <w:sz w:val="18"/>
              </w:rPr>
              <w:t>监测因子：</w:t>
            </w:r>
            <w:r>
              <w:rPr>
                <w:sz w:val="18"/>
              </w:rPr>
              <w:t>（</w:t>
            </w:r>
            <w:r>
              <w:rPr>
                <w:rFonts w:ascii="Times New Roman" w:eastAsia="Times New Roman"/>
                <w:sz w:val="18"/>
              </w:rPr>
              <w:t>/</w:t>
            </w:r>
            <w:r>
              <w:rPr>
                <w:sz w:val="18"/>
              </w:rPr>
              <w:t>）</w:t>
            </w:r>
          </w:p>
        </w:tc>
        <w:tc>
          <w:tcPr>
            <w:tcW w:w="2490" w:type="dxa"/>
            <w:gridSpan w:val="10"/>
            <w:tcBorders>
              <w:top w:val="single" w:color="000000" w:sz="4" w:space="0"/>
              <w:left w:val="single" w:color="000000" w:sz="4" w:space="0"/>
              <w:bottom w:val="single" w:color="000000" w:sz="4" w:space="0"/>
              <w:right w:val="single" w:color="000000" w:sz="4" w:space="0"/>
            </w:tcBorders>
          </w:tcPr>
          <w:p w14:paraId="01682B62">
            <w:pPr>
              <w:pStyle w:val="17"/>
              <w:spacing w:before="82"/>
              <w:ind w:left="598"/>
              <w:jc w:val="left"/>
              <w:rPr>
                <w:sz w:val="18"/>
              </w:rPr>
            </w:pPr>
            <w:r>
              <w:rPr>
                <w:sz w:val="18"/>
              </w:rPr>
              <w:t>监测点位数（</w:t>
            </w:r>
            <w:r>
              <w:rPr>
                <w:rFonts w:ascii="Times New Roman" w:eastAsia="Times New Roman"/>
                <w:sz w:val="18"/>
              </w:rPr>
              <w:t>/</w:t>
            </w:r>
            <w:r>
              <w:rPr>
                <w:sz w:val="18"/>
              </w:rPr>
              <w:t>）</w:t>
            </w:r>
          </w:p>
        </w:tc>
        <w:tc>
          <w:tcPr>
            <w:tcW w:w="1430" w:type="dxa"/>
            <w:gridSpan w:val="3"/>
            <w:tcBorders>
              <w:top w:val="single" w:color="000000" w:sz="4" w:space="0"/>
              <w:left w:val="single" w:color="000000" w:sz="4" w:space="0"/>
              <w:bottom w:val="single" w:color="000000" w:sz="4" w:space="0"/>
            </w:tcBorders>
          </w:tcPr>
          <w:p w14:paraId="21B44ECA">
            <w:pPr>
              <w:pStyle w:val="17"/>
              <w:spacing w:before="75"/>
              <w:ind w:left="376"/>
              <w:jc w:val="left"/>
              <w:rPr>
                <w:rFonts w:ascii="Segoe UI Symbol" w:hAnsi="Segoe UI Symbol" w:eastAsia="Segoe UI Symbol"/>
                <w:sz w:val="18"/>
              </w:rPr>
            </w:pPr>
            <w:r>
              <w:rPr>
                <w:sz w:val="18"/>
              </w:rPr>
              <w:t>无监测</w:t>
            </w:r>
            <w:r>
              <w:rPr>
                <w:rFonts w:ascii="Segoe UI Symbol" w:hAnsi="Segoe UI Symbol" w:eastAsia="Segoe UI Symbol"/>
                <w:sz w:val="18"/>
              </w:rPr>
              <w:t>☐</w:t>
            </w:r>
          </w:p>
        </w:tc>
      </w:tr>
      <w:tr w14:paraId="7A3E96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restart"/>
            <w:tcBorders>
              <w:top w:val="single" w:color="000000" w:sz="4" w:space="0"/>
              <w:bottom w:val="single" w:color="000000" w:sz="4" w:space="0"/>
              <w:right w:val="single" w:color="000000" w:sz="4" w:space="0"/>
            </w:tcBorders>
          </w:tcPr>
          <w:p w14:paraId="455B1B00">
            <w:pPr>
              <w:pStyle w:val="17"/>
              <w:jc w:val="left"/>
              <w:rPr>
                <w:b/>
                <w:sz w:val="18"/>
              </w:rPr>
            </w:pPr>
          </w:p>
          <w:p w14:paraId="49982B66">
            <w:pPr>
              <w:pStyle w:val="17"/>
              <w:spacing w:before="10"/>
              <w:jc w:val="left"/>
              <w:rPr>
                <w:b/>
                <w:sz w:val="13"/>
              </w:rPr>
            </w:pPr>
          </w:p>
          <w:p w14:paraId="23A1BDF8">
            <w:pPr>
              <w:pStyle w:val="17"/>
              <w:spacing w:line="242" w:lineRule="auto"/>
              <w:ind w:left="119" w:right="98"/>
              <w:jc w:val="left"/>
              <w:rPr>
                <w:sz w:val="18"/>
              </w:rPr>
            </w:pPr>
            <w:r>
              <w:rPr>
                <w:sz w:val="18"/>
              </w:rPr>
              <w:t>评价结论</w:t>
            </w:r>
          </w:p>
        </w:tc>
        <w:tc>
          <w:tcPr>
            <w:tcW w:w="1493" w:type="dxa"/>
            <w:tcBorders>
              <w:top w:val="single" w:color="000000" w:sz="4" w:space="0"/>
              <w:left w:val="single" w:color="000000" w:sz="4" w:space="0"/>
              <w:bottom w:val="single" w:color="000000" w:sz="4" w:space="0"/>
              <w:right w:val="single" w:color="000000" w:sz="4" w:space="0"/>
            </w:tcBorders>
          </w:tcPr>
          <w:p w14:paraId="77520B2B">
            <w:pPr>
              <w:pStyle w:val="17"/>
              <w:spacing w:before="84"/>
              <w:ind w:left="88" w:right="59"/>
              <w:rPr>
                <w:sz w:val="18"/>
              </w:rPr>
            </w:pPr>
            <w:r>
              <w:rPr>
                <w:sz w:val="18"/>
              </w:rPr>
              <w:t>环境影响</w:t>
            </w:r>
          </w:p>
        </w:tc>
        <w:tc>
          <w:tcPr>
            <w:tcW w:w="7193" w:type="dxa"/>
            <w:gridSpan w:val="22"/>
            <w:tcBorders>
              <w:top w:val="single" w:color="000000" w:sz="4" w:space="0"/>
              <w:left w:val="single" w:color="000000" w:sz="4" w:space="0"/>
              <w:bottom w:val="single" w:color="000000" w:sz="4" w:space="0"/>
            </w:tcBorders>
          </w:tcPr>
          <w:p w14:paraId="657DCEAA">
            <w:pPr>
              <w:pStyle w:val="17"/>
              <w:tabs>
                <w:tab w:val="left" w:pos="4192"/>
              </w:tabs>
              <w:spacing w:before="76"/>
              <w:ind w:left="1963"/>
              <w:jc w:val="left"/>
              <w:rPr>
                <w:rFonts w:ascii="Segoe UI Symbol" w:hAnsi="Segoe UI Symbol" w:eastAsia="Segoe UI Symbol"/>
                <w:sz w:val="18"/>
              </w:rPr>
            </w:pPr>
            <w:r>
              <w:rPr>
                <w:sz w:val="18"/>
              </w:rPr>
              <w:t>可以接受</w:t>
            </w:r>
            <w:r>
              <w:rPr>
                <w:rFonts w:ascii="Wingdings" w:hAnsi="Wingdings" w:eastAsia="Wingdings"/>
                <w:sz w:val="18"/>
              </w:rPr>
              <w:t></w:t>
            </w:r>
            <w:r>
              <w:rPr>
                <w:rFonts w:ascii="Times New Roman" w:hAnsi="Times New Roman" w:eastAsia="Times New Roman"/>
                <w:sz w:val="18"/>
              </w:rPr>
              <w:tab/>
            </w:r>
            <w:r>
              <w:rPr>
                <w:sz w:val="18"/>
              </w:rPr>
              <w:t>不可以接受</w:t>
            </w:r>
            <w:r>
              <w:rPr>
                <w:rFonts w:ascii="Segoe UI Symbol" w:hAnsi="Segoe UI Symbol" w:eastAsia="Segoe UI Symbol"/>
                <w:sz w:val="18"/>
              </w:rPr>
              <w:t>☐</w:t>
            </w:r>
          </w:p>
        </w:tc>
      </w:tr>
      <w:tr w14:paraId="25E82C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600" w:type="dxa"/>
            <w:vMerge w:val="continue"/>
            <w:tcBorders>
              <w:top w:val="nil"/>
              <w:bottom w:val="single" w:color="000000" w:sz="4" w:space="0"/>
              <w:right w:val="single" w:color="000000" w:sz="4" w:space="0"/>
            </w:tcBorders>
          </w:tcPr>
          <w:p w14:paraId="2C67F674">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759C88BD">
            <w:pPr>
              <w:pStyle w:val="17"/>
              <w:spacing w:before="3" w:line="230" w:lineRule="atLeast"/>
              <w:ind w:left="665" w:right="97" w:hanging="540"/>
              <w:jc w:val="left"/>
              <w:rPr>
                <w:sz w:val="18"/>
              </w:rPr>
            </w:pPr>
            <w:r>
              <w:rPr>
                <w:sz w:val="18"/>
              </w:rPr>
              <w:t>大气环境防护距离</w:t>
            </w:r>
          </w:p>
        </w:tc>
        <w:tc>
          <w:tcPr>
            <w:tcW w:w="7193" w:type="dxa"/>
            <w:gridSpan w:val="22"/>
            <w:tcBorders>
              <w:top w:val="single" w:color="000000" w:sz="4" w:space="0"/>
              <w:left w:val="single" w:color="000000" w:sz="4" w:space="0"/>
              <w:bottom w:val="single" w:color="000000" w:sz="4" w:space="0"/>
            </w:tcBorders>
          </w:tcPr>
          <w:p w14:paraId="1CE03484">
            <w:pPr>
              <w:pStyle w:val="17"/>
              <w:spacing w:before="118"/>
              <w:ind w:left="2542" w:right="2505"/>
              <w:rPr>
                <w:rFonts w:ascii="Times New Roman" w:eastAsia="Times New Roman"/>
                <w:sz w:val="18"/>
              </w:rPr>
            </w:pPr>
            <w:r>
              <w:rPr>
                <w:sz w:val="18"/>
              </w:rPr>
              <w:t xml:space="preserve">距（ </w:t>
            </w:r>
            <w:r>
              <w:rPr>
                <w:rFonts w:ascii="Times New Roman" w:eastAsia="Times New Roman"/>
                <w:sz w:val="18"/>
              </w:rPr>
              <w:t xml:space="preserve">/ </w:t>
            </w:r>
            <w:r>
              <w:rPr>
                <w:sz w:val="18"/>
              </w:rPr>
              <w:t>）厂界最远（</w:t>
            </w:r>
            <w:r>
              <w:rPr>
                <w:rFonts w:ascii="Times New Roman" w:eastAsia="Times New Roman"/>
                <w:sz w:val="18"/>
              </w:rPr>
              <w:t xml:space="preserve">/  </w:t>
            </w:r>
            <w:r>
              <w:rPr>
                <w:sz w:val="18"/>
              </w:rPr>
              <w:t>）</w:t>
            </w:r>
            <w:r>
              <w:rPr>
                <w:rFonts w:ascii="Times New Roman" w:eastAsia="Times New Roman"/>
                <w:sz w:val="18"/>
              </w:rPr>
              <w:t>m</w:t>
            </w:r>
          </w:p>
        </w:tc>
      </w:tr>
      <w:tr w14:paraId="6C0256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00" w:type="dxa"/>
            <w:vMerge w:val="continue"/>
            <w:tcBorders>
              <w:top w:val="nil"/>
              <w:bottom w:val="single" w:color="000000" w:sz="4" w:space="0"/>
              <w:right w:val="single" w:color="000000" w:sz="4" w:space="0"/>
            </w:tcBorders>
          </w:tcPr>
          <w:p w14:paraId="29131AA1">
            <w:pPr>
              <w:rPr>
                <w:sz w:val="2"/>
                <w:szCs w:val="2"/>
              </w:rPr>
            </w:pPr>
          </w:p>
        </w:tc>
        <w:tc>
          <w:tcPr>
            <w:tcW w:w="1493" w:type="dxa"/>
            <w:tcBorders>
              <w:top w:val="single" w:color="000000" w:sz="4" w:space="0"/>
              <w:left w:val="single" w:color="000000" w:sz="4" w:space="0"/>
              <w:bottom w:val="single" w:color="000000" w:sz="4" w:space="0"/>
              <w:right w:val="single" w:color="000000" w:sz="4" w:space="0"/>
            </w:tcBorders>
          </w:tcPr>
          <w:p w14:paraId="6DB56D2E">
            <w:pPr>
              <w:pStyle w:val="17"/>
              <w:spacing w:before="83"/>
              <w:ind w:left="88" w:right="61"/>
              <w:rPr>
                <w:sz w:val="18"/>
              </w:rPr>
            </w:pPr>
            <w:r>
              <w:rPr>
                <w:sz w:val="18"/>
              </w:rPr>
              <w:t>污染源年排放量</w:t>
            </w:r>
          </w:p>
        </w:tc>
        <w:tc>
          <w:tcPr>
            <w:tcW w:w="1864" w:type="dxa"/>
            <w:gridSpan w:val="3"/>
            <w:tcBorders>
              <w:top w:val="single" w:color="000000" w:sz="4" w:space="0"/>
              <w:left w:val="single" w:color="000000" w:sz="4" w:space="0"/>
              <w:bottom w:val="single" w:color="000000" w:sz="4" w:space="0"/>
              <w:right w:val="single" w:color="000000" w:sz="4" w:space="0"/>
            </w:tcBorders>
          </w:tcPr>
          <w:p w14:paraId="7E0ED5C1">
            <w:pPr>
              <w:pStyle w:val="17"/>
              <w:spacing w:before="85"/>
              <w:ind w:left="458"/>
              <w:jc w:val="left"/>
              <w:rPr>
                <w:rFonts w:ascii="Times New Roman" w:eastAsia="Times New Roman"/>
                <w:sz w:val="18"/>
              </w:rPr>
            </w:pPr>
            <w:r>
              <w:rPr>
                <w:rFonts w:ascii="Times New Roman" w:eastAsia="Times New Roman"/>
                <w:position w:val="1"/>
                <w:sz w:val="18"/>
              </w:rPr>
              <w:t>S</w:t>
            </w:r>
            <w:r>
              <w:rPr>
                <w:rFonts w:ascii="Times New Roman" w:eastAsia="Times New Roman"/>
                <w:spacing w:val="-3"/>
                <w:position w:val="1"/>
                <w:sz w:val="18"/>
              </w:rPr>
              <w:t>O</w:t>
            </w:r>
            <w:r>
              <w:rPr>
                <w:rFonts w:ascii="Times New Roman" w:eastAsia="Times New Roman"/>
                <w:spacing w:val="1"/>
                <w:w w:val="106"/>
                <w:position w:val="1"/>
                <w:sz w:val="18"/>
                <w:vertAlign w:val="subscript"/>
              </w:rPr>
              <w:t>2</w:t>
            </w:r>
            <w:r>
              <w:rPr>
                <w:spacing w:val="-92"/>
                <w:position w:val="1"/>
                <w:sz w:val="18"/>
                <w:vertAlign w:val="baseline"/>
              </w:rPr>
              <w:t>：</w:t>
            </w:r>
            <w:r>
              <w:rPr>
                <w:position w:val="1"/>
                <w:sz w:val="18"/>
                <w:vertAlign w:val="baseline"/>
              </w:rPr>
              <w:t>（</w:t>
            </w:r>
            <w:r>
              <w:rPr>
                <w:rFonts w:ascii="Times New Roman" w:eastAsia="Times New Roman"/>
                <w:position w:val="1"/>
                <w:sz w:val="18"/>
                <w:vertAlign w:val="baseline"/>
              </w:rPr>
              <w:t>/</w:t>
            </w:r>
            <w:r>
              <w:rPr>
                <w:position w:val="1"/>
                <w:sz w:val="18"/>
                <w:vertAlign w:val="baseline"/>
              </w:rPr>
              <w:t>）</w:t>
            </w:r>
            <w:r>
              <w:rPr>
                <w:rFonts w:ascii="Times New Roman" w:eastAsia="Times New Roman"/>
                <w:position w:val="1"/>
                <w:sz w:val="18"/>
                <w:vertAlign w:val="baseline"/>
              </w:rPr>
              <w:t>t/a</w:t>
            </w:r>
          </w:p>
        </w:tc>
        <w:tc>
          <w:tcPr>
            <w:tcW w:w="1736" w:type="dxa"/>
            <w:gridSpan w:val="7"/>
            <w:tcBorders>
              <w:top w:val="single" w:color="000000" w:sz="4" w:space="0"/>
              <w:left w:val="single" w:color="000000" w:sz="4" w:space="0"/>
              <w:bottom w:val="single" w:color="000000" w:sz="4" w:space="0"/>
              <w:right w:val="single" w:color="000000" w:sz="4" w:space="0"/>
            </w:tcBorders>
          </w:tcPr>
          <w:p w14:paraId="577A4C55">
            <w:pPr>
              <w:pStyle w:val="17"/>
              <w:spacing w:before="85"/>
              <w:ind w:left="372"/>
              <w:jc w:val="left"/>
              <w:rPr>
                <w:rFonts w:ascii="Times New Roman" w:eastAsia="Times New Roman"/>
                <w:sz w:val="18"/>
              </w:rPr>
            </w:pPr>
            <w:r>
              <w:rPr>
                <w:rFonts w:ascii="Times New Roman" w:eastAsia="Times New Roman"/>
                <w:spacing w:val="-1"/>
                <w:position w:val="1"/>
                <w:sz w:val="18"/>
              </w:rPr>
              <w:t>NO</w:t>
            </w:r>
            <w:r>
              <w:rPr>
                <w:rFonts w:ascii="Times New Roman" w:eastAsia="Times New Roman"/>
                <w:w w:val="106"/>
                <w:position w:val="1"/>
                <w:sz w:val="18"/>
                <w:vertAlign w:val="subscript"/>
              </w:rPr>
              <w:t>x</w:t>
            </w:r>
            <w:r>
              <w:rPr>
                <w:spacing w:val="-92"/>
                <w:position w:val="1"/>
                <w:sz w:val="18"/>
                <w:vertAlign w:val="baseline"/>
              </w:rPr>
              <w:t>：</w:t>
            </w:r>
            <w:r>
              <w:rPr>
                <w:position w:val="1"/>
                <w:sz w:val="18"/>
                <w:vertAlign w:val="baseline"/>
              </w:rPr>
              <w:t>（</w:t>
            </w:r>
            <w:r>
              <w:rPr>
                <w:rFonts w:ascii="Times New Roman" w:eastAsia="Times New Roman"/>
                <w:position w:val="1"/>
                <w:sz w:val="18"/>
                <w:vertAlign w:val="baseline"/>
              </w:rPr>
              <w:t>/</w:t>
            </w:r>
            <w:r>
              <w:rPr>
                <w:position w:val="1"/>
                <w:sz w:val="18"/>
                <w:vertAlign w:val="baseline"/>
              </w:rPr>
              <w:t>）</w:t>
            </w:r>
            <w:r>
              <w:rPr>
                <w:rFonts w:ascii="Times New Roman" w:eastAsia="Times New Roman"/>
                <w:position w:val="1"/>
                <w:sz w:val="18"/>
                <w:vertAlign w:val="baseline"/>
              </w:rPr>
              <w:t>t/a</w:t>
            </w:r>
          </w:p>
        </w:tc>
        <w:tc>
          <w:tcPr>
            <w:tcW w:w="1916" w:type="dxa"/>
            <w:gridSpan w:val="8"/>
            <w:tcBorders>
              <w:top w:val="single" w:color="000000" w:sz="4" w:space="0"/>
              <w:left w:val="single" w:color="000000" w:sz="4" w:space="0"/>
              <w:bottom w:val="single" w:color="000000" w:sz="4" w:space="0"/>
              <w:right w:val="single" w:color="000000" w:sz="4" w:space="0"/>
            </w:tcBorders>
          </w:tcPr>
          <w:p w14:paraId="6FF11168">
            <w:pPr>
              <w:pStyle w:val="17"/>
              <w:spacing w:before="83"/>
              <w:ind w:left="151"/>
              <w:jc w:val="left"/>
              <w:rPr>
                <w:rFonts w:ascii="Times New Roman" w:eastAsia="Times New Roman"/>
                <w:sz w:val="18"/>
              </w:rPr>
            </w:pPr>
            <w:r>
              <w:rPr>
                <w:spacing w:val="-23"/>
                <w:sz w:val="18"/>
              </w:rPr>
              <w:t>颗粒物：</w:t>
            </w:r>
            <w:r>
              <w:rPr>
                <w:sz w:val="18"/>
              </w:rPr>
              <w:t>（</w:t>
            </w:r>
            <w:r>
              <w:rPr>
                <w:rFonts w:ascii="Times New Roman" w:eastAsia="Times New Roman"/>
                <w:spacing w:val="0"/>
                <w:sz w:val="18"/>
              </w:rPr>
              <w:t>0</w:t>
            </w:r>
            <w:r>
              <w:rPr>
                <w:rFonts w:ascii="Times New Roman" w:eastAsia="Times New Roman"/>
                <w:sz w:val="18"/>
              </w:rPr>
              <w:t>.</w:t>
            </w:r>
            <w:r>
              <w:rPr>
                <w:rFonts w:ascii="Times New Roman" w:eastAsia="Times New Roman"/>
                <w:spacing w:val="-2"/>
                <w:sz w:val="18"/>
              </w:rPr>
              <w:t>3</w:t>
            </w:r>
            <w:r>
              <w:rPr>
                <w:rFonts w:ascii="Times New Roman" w:eastAsia="Times New Roman"/>
                <w:spacing w:val="0"/>
                <w:sz w:val="18"/>
              </w:rPr>
              <w:t>3</w:t>
            </w:r>
            <w:r>
              <w:rPr>
                <w:rFonts w:ascii="Times New Roman" w:eastAsia="Times New Roman"/>
                <w:spacing w:val="-2"/>
                <w:sz w:val="18"/>
              </w:rPr>
              <w:t>1</w:t>
            </w:r>
            <w:r>
              <w:rPr>
                <w:sz w:val="18"/>
              </w:rPr>
              <w:t>）</w:t>
            </w:r>
            <w:r>
              <w:rPr>
                <w:rFonts w:ascii="Times New Roman" w:eastAsia="Times New Roman"/>
                <w:sz w:val="18"/>
              </w:rPr>
              <w:t>t/a</w:t>
            </w:r>
          </w:p>
        </w:tc>
        <w:tc>
          <w:tcPr>
            <w:tcW w:w="1677" w:type="dxa"/>
            <w:gridSpan w:val="4"/>
            <w:tcBorders>
              <w:top w:val="single" w:color="000000" w:sz="4" w:space="0"/>
              <w:left w:val="single" w:color="000000" w:sz="4" w:space="0"/>
              <w:bottom w:val="single" w:color="000000" w:sz="4" w:space="0"/>
            </w:tcBorders>
          </w:tcPr>
          <w:p w14:paraId="3A712C86">
            <w:pPr>
              <w:pStyle w:val="17"/>
              <w:spacing w:before="85"/>
              <w:ind w:left="92"/>
              <w:jc w:val="left"/>
              <w:rPr>
                <w:rFonts w:ascii="Times New Roman" w:eastAsia="Times New Roman"/>
                <w:sz w:val="18"/>
              </w:rPr>
            </w:pPr>
            <w:r>
              <w:rPr>
                <w:rFonts w:ascii="Times New Roman" w:eastAsia="Times New Roman"/>
                <w:spacing w:val="1"/>
                <w:position w:val="1"/>
                <w:sz w:val="18"/>
              </w:rPr>
              <w:t>V</w:t>
            </w:r>
            <w:r>
              <w:rPr>
                <w:rFonts w:ascii="Times New Roman" w:eastAsia="Times New Roman"/>
                <w:spacing w:val="-1"/>
                <w:position w:val="1"/>
                <w:sz w:val="18"/>
              </w:rPr>
              <w:t>OC</w:t>
            </w:r>
            <w:r>
              <w:rPr>
                <w:rFonts w:ascii="Times New Roman" w:eastAsia="Times New Roman"/>
                <w:spacing w:val="-2"/>
                <w:w w:val="106"/>
                <w:position w:val="1"/>
                <w:sz w:val="18"/>
                <w:vertAlign w:val="subscript"/>
              </w:rPr>
              <w:t>s</w:t>
            </w:r>
            <w:r>
              <w:rPr>
                <w:spacing w:val="-89"/>
                <w:position w:val="1"/>
                <w:sz w:val="18"/>
                <w:vertAlign w:val="baseline"/>
              </w:rPr>
              <w:t>：</w:t>
            </w:r>
            <w:r>
              <w:rPr>
                <w:position w:val="1"/>
                <w:sz w:val="18"/>
                <w:vertAlign w:val="baseline"/>
              </w:rPr>
              <w:t>（</w:t>
            </w:r>
            <w:r>
              <w:rPr>
                <w:rFonts w:ascii="Times New Roman" w:eastAsia="Times New Roman"/>
                <w:spacing w:val="0"/>
                <w:position w:val="1"/>
                <w:sz w:val="18"/>
                <w:vertAlign w:val="baseline"/>
              </w:rPr>
              <w:t>5</w:t>
            </w:r>
            <w:r>
              <w:rPr>
                <w:rFonts w:ascii="Times New Roman" w:eastAsia="Times New Roman"/>
                <w:position w:val="1"/>
                <w:sz w:val="18"/>
                <w:vertAlign w:val="baseline"/>
              </w:rPr>
              <w:t>.</w:t>
            </w:r>
            <w:r>
              <w:rPr>
                <w:rFonts w:ascii="Times New Roman" w:eastAsia="Times New Roman"/>
                <w:spacing w:val="-2"/>
                <w:position w:val="1"/>
                <w:sz w:val="18"/>
                <w:vertAlign w:val="baseline"/>
              </w:rPr>
              <w:t>4</w:t>
            </w:r>
            <w:r>
              <w:rPr>
                <w:rFonts w:ascii="Times New Roman" w:eastAsia="Times New Roman"/>
                <w:spacing w:val="0"/>
                <w:position w:val="1"/>
                <w:sz w:val="18"/>
                <w:vertAlign w:val="baseline"/>
              </w:rPr>
              <w:t>4</w:t>
            </w:r>
            <w:r>
              <w:rPr>
                <w:rFonts w:ascii="Times New Roman" w:eastAsia="Times New Roman"/>
                <w:spacing w:val="-2"/>
                <w:position w:val="1"/>
                <w:sz w:val="18"/>
                <w:vertAlign w:val="baseline"/>
              </w:rPr>
              <w:t>4</w:t>
            </w:r>
            <w:r>
              <w:rPr>
                <w:position w:val="1"/>
                <w:sz w:val="18"/>
                <w:vertAlign w:val="baseline"/>
              </w:rPr>
              <w:t>）</w:t>
            </w:r>
            <w:r>
              <w:rPr>
                <w:rFonts w:ascii="Times New Roman" w:eastAsia="Times New Roman"/>
                <w:position w:val="1"/>
                <w:sz w:val="18"/>
                <w:vertAlign w:val="baseline"/>
              </w:rPr>
              <w:t>t/a</w:t>
            </w:r>
          </w:p>
        </w:tc>
      </w:tr>
      <w:tr w14:paraId="358E0F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9286" w:type="dxa"/>
            <w:gridSpan w:val="24"/>
            <w:tcBorders>
              <w:top w:val="single" w:color="000000" w:sz="4" w:space="0"/>
            </w:tcBorders>
          </w:tcPr>
          <w:p w14:paraId="6F7BFA04">
            <w:pPr>
              <w:pStyle w:val="17"/>
              <w:spacing w:before="74"/>
              <w:ind w:left="107"/>
              <w:jc w:val="left"/>
              <w:rPr>
                <w:sz w:val="18"/>
              </w:rPr>
            </w:pPr>
            <w:r>
              <w:rPr>
                <w:sz w:val="18"/>
              </w:rPr>
              <w:t>注：“</w:t>
            </w:r>
            <w:r>
              <w:rPr>
                <w:rFonts w:ascii="Segoe UI Symbol" w:hAnsi="Segoe UI Symbol" w:eastAsia="Segoe UI Symbol"/>
                <w:sz w:val="18"/>
              </w:rPr>
              <w:t>☐</w:t>
            </w:r>
            <w:r>
              <w:rPr>
                <w:sz w:val="18"/>
              </w:rPr>
              <w:t>”为勾选项，填“</w:t>
            </w:r>
            <w:r>
              <w:rPr>
                <w:rFonts w:ascii="Times New Roman" w:hAnsi="Times New Roman" w:eastAsia="Times New Roman"/>
                <w:sz w:val="18"/>
              </w:rPr>
              <w:t>√</w:t>
            </w:r>
            <w:r>
              <w:rPr>
                <w:sz w:val="18"/>
              </w:rPr>
              <w:t>”；“（</w:t>
            </w:r>
            <w:r>
              <w:rPr>
                <w:spacing w:val="88"/>
                <w:sz w:val="18"/>
              </w:rPr>
              <w:t xml:space="preserve"> </w:t>
            </w:r>
            <w:r>
              <w:rPr>
                <w:sz w:val="18"/>
              </w:rPr>
              <w:t>）”为内容填写项</w:t>
            </w:r>
          </w:p>
        </w:tc>
      </w:tr>
    </w:tbl>
    <w:p w14:paraId="415EC641">
      <w:pPr>
        <w:spacing w:after="0"/>
        <w:jc w:val="left"/>
        <w:rPr>
          <w:sz w:val="18"/>
        </w:rPr>
        <w:sectPr>
          <w:footerReference r:id="rId43" w:type="default"/>
          <w:pgSz w:w="11910" w:h="16840"/>
          <w:pgMar w:top="1340" w:right="0" w:bottom="280" w:left="1120" w:header="0" w:footer="0" w:gutter="0"/>
          <w:cols w:space="720" w:num="1"/>
        </w:sectPr>
      </w:pPr>
    </w:p>
    <w:p w14:paraId="35F0414D">
      <w:pPr>
        <w:pStyle w:val="9"/>
        <w:tabs>
          <w:tab w:val="left" w:pos="3498"/>
        </w:tabs>
        <w:spacing w:before="55"/>
        <w:ind w:left="2596"/>
      </w:pPr>
      <w:r>
        <w:pict>
          <v:shape id="_x0000_s3929" o:spid="_x0000_s3929" o:spt="202" type="#_x0000_t202" style="position:absolute;left:0pt;margin-left:66.55pt;margin-top:29.75pt;height:582.6pt;width:463.1pt;mso-position-horizontal-relative:page;z-index:251661312;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1"/>
                    <w:gridCol w:w="1362"/>
                    <w:gridCol w:w="2352"/>
                    <w:gridCol w:w="1296"/>
                    <w:gridCol w:w="2161"/>
                    <w:gridCol w:w="299"/>
                    <w:gridCol w:w="1407"/>
                  </w:tblGrid>
                  <w:tr w14:paraId="25093C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703" w:type="dxa"/>
                        <w:gridSpan w:val="2"/>
                        <w:tcBorders>
                          <w:bottom w:val="single" w:color="000000" w:sz="4" w:space="0"/>
                          <w:right w:val="single" w:color="000000" w:sz="4" w:space="0"/>
                        </w:tcBorders>
                      </w:tcPr>
                      <w:p w14:paraId="298C790F">
                        <w:pPr>
                          <w:pStyle w:val="17"/>
                          <w:spacing w:before="39"/>
                          <w:ind w:left="494"/>
                          <w:jc w:val="left"/>
                          <w:rPr>
                            <w:sz w:val="18"/>
                          </w:rPr>
                        </w:pPr>
                        <w:r>
                          <w:rPr>
                            <w:sz w:val="18"/>
                          </w:rPr>
                          <w:t>工作内容</w:t>
                        </w:r>
                      </w:p>
                    </w:tc>
                    <w:tc>
                      <w:tcPr>
                        <w:tcW w:w="7515" w:type="dxa"/>
                        <w:gridSpan w:val="5"/>
                        <w:tcBorders>
                          <w:left w:val="single" w:color="000000" w:sz="4" w:space="0"/>
                          <w:bottom w:val="single" w:color="000000" w:sz="4" w:space="0"/>
                        </w:tcBorders>
                      </w:tcPr>
                      <w:p w14:paraId="7619BBD6">
                        <w:pPr>
                          <w:pStyle w:val="17"/>
                          <w:spacing w:before="39"/>
                          <w:ind w:left="3382" w:right="3353"/>
                          <w:rPr>
                            <w:sz w:val="18"/>
                          </w:rPr>
                        </w:pPr>
                        <w:r>
                          <w:rPr>
                            <w:sz w:val="18"/>
                          </w:rPr>
                          <w:t>自查项目</w:t>
                        </w:r>
                      </w:p>
                    </w:tc>
                  </w:tr>
                  <w:tr w14:paraId="191824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41" w:type="dxa"/>
                        <w:vMerge w:val="restart"/>
                        <w:tcBorders>
                          <w:top w:val="single" w:color="000000" w:sz="4" w:space="0"/>
                          <w:bottom w:val="single" w:color="000000" w:sz="4" w:space="0"/>
                          <w:right w:val="single" w:color="000000" w:sz="4" w:space="0"/>
                        </w:tcBorders>
                      </w:tcPr>
                      <w:p w14:paraId="622DA366">
                        <w:pPr>
                          <w:pStyle w:val="17"/>
                          <w:jc w:val="left"/>
                          <w:rPr>
                            <w:sz w:val="18"/>
                          </w:rPr>
                        </w:pPr>
                      </w:p>
                      <w:p w14:paraId="7094E62A">
                        <w:pPr>
                          <w:pStyle w:val="17"/>
                          <w:jc w:val="left"/>
                          <w:rPr>
                            <w:sz w:val="18"/>
                          </w:rPr>
                        </w:pPr>
                      </w:p>
                      <w:p w14:paraId="7D7971BC">
                        <w:pPr>
                          <w:pStyle w:val="17"/>
                          <w:spacing w:before="5"/>
                          <w:jc w:val="left"/>
                          <w:rPr>
                            <w:sz w:val="23"/>
                          </w:rPr>
                        </w:pPr>
                      </w:p>
                      <w:p w14:paraId="3FA5416C">
                        <w:pPr>
                          <w:pStyle w:val="17"/>
                          <w:spacing w:line="242" w:lineRule="auto"/>
                          <w:ind w:left="83" w:right="55"/>
                          <w:jc w:val="both"/>
                          <w:rPr>
                            <w:sz w:val="18"/>
                          </w:rPr>
                        </w:pPr>
                        <w:r>
                          <w:rPr>
                            <w:sz w:val="18"/>
                          </w:rPr>
                          <w:t>影响识别</w:t>
                        </w:r>
                      </w:p>
                    </w:tc>
                    <w:tc>
                      <w:tcPr>
                        <w:tcW w:w="1362" w:type="dxa"/>
                        <w:tcBorders>
                          <w:top w:val="single" w:color="000000" w:sz="4" w:space="0"/>
                          <w:left w:val="single" w:color="000000" w:sz="4" w:space="0"/>
                          <w:bottom w:val="single" w:color="000000" w:sz="4" w:space="0"/>
                          <w:right w:val="single" w:color="000000" w:sz="4" w:space="0"/>
                        </w:tcBorders>
                      </w:tcPr>
                      <w:p w14:paraId="4547656D">
                        <w:pPr>
                          <w:pStyle w:val="17"/>
                          <w:spacing w:before="41"/>
                          <w:ind w:left="42" w:right="12"/>
                          <w:rPr>
                            <w:sz w:val="18"/>
                          </w:rPr>
                        </w:pPr>
                        <w:r>
                          <w:rPr>
                            <w:sz w:val="18"/>
                          </w:rPr>
                          <w:t>影响类型</w:t>
                        </w:r>
                      </w:p>
                    </w:tc>
                    <w:tc>
                      <w:tcPr>
                        <w:tcW w:w="7515" w:type="dxa"/>
                        <w:gridSpan w:val="5"/>
                        <w:tcBorders>
                          <w:top w:val="single" w:color="000000" w:sz="4" w:space="0"/>
                          <w:left w:val="single" w:color="000000" w:sz="4" w:space="0"/>
                          <w:bottom w:val="single" w:color="000000" w:sz="4" w:space="0"/>
                        </w:tcBorders>
                      </w:tcPr>
                      <w:p w14:paraId="0525ACE3">
                        <w:pPr>
                          <w:pStyle w:val="17"/>
                          <w:spacing w:before="31"/>
                          <w:ind w:left="13"/>
                          <w:jc w:val="left"/>
                          <w:rPr>
                            <w:rFonts w:ascii="Segoe UI Symbol" w:hAnsi="Segoe UI Symbol" w:eastAsia="Segoe UI Symbol"/>
                            <w:sz w:val="18"/>
                          </w:rPr>
                        </w:pPr>
                        <w:r>
                          <w:rPr>
                            <w:sz w:val="18"/>
                          </w:rPr>
                          <w:t>水污染影响型</w:t>
                        </w:r>
                        <w:r>
                          <w:rPr>
                            <w:rFonts w:ascii="Wingdings" w:hAnsi="Wingdings" w:eastAsia="Wingdings"/>
                            <w:sz w:val="18"/>
                          </w:rPr>
                          <w:t></w:t>
                        </w:r>
                        <w:r>
                          <w:rPr>
                            <w:sz w:val="18"/>
                          </w:rPr>
                          <w:t>；水文要素影响型</w:t>
                        </w:r>
                        <w:r>
                          <w:rPr>
                            <w:rFonts w:ascii="Segoe UI Symbol" w:hAnsi="Segoe UI Symbol" w:eastAsia="Segoe UI Symbol"/>
                            <w:sz w:val="18"/>
                          </w:rPr>
                          <w:t>☐</w:t>
                        </w:r>
                      </w:p>
                    </w:tc>
                  </w:tr>
                  <w:tr w14:paraId="2C6BF3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9" w:hRule="atLeast"/>
                    </w:trPr>
                    <w:tc>
                      <w:tcPr>
                        <w:tcW w:w="341" w:type="dxa"/>
                        <w:vMerge w:val="continue"/>
                        <w:tcBorders>
                          <w:top w:val="nil"/>
                          <w:bottom w:val="single" w:color="000000" w:sz="4" w:space="0"/>
                          <w:right w:val="single" w:color="000000" w:sz="4" w:space="0"/>
                        </w:tcBorders>
                      </w:tcPr>
                      <w:p w14:paraId="5BE6AB86">
                        <w:pPr>
                          <w:rPr>
                            <w:sz w:val="2"/>
                            <w:szCs w:val="2"/>
                          </w:rPr>
                        </w:pPr>
                      </w:p>
                    </w:tc>
                    <w:tc>
                      <w:tcPr>
                        <w:tcW w:w="1362" w:type="dxa"/>
                        <w:tcBorders>
                          <w:top w:val="single" w:color="000000" w:sz="4" w:space="0"/>
                          <w:left w:val="single" w:color="000000" w:sz="4" w:space="0"/>
                          <w:bottom w:val="single" w:color="000000" w:sz="4" w:space="0"/>
                          <w:right w:val="single" w:color="000000" w:sz="4" w:space="0"/>
                        </w:tcBorders>
                      </w:tcPr>
                      <w:p w14:paraId="2440194A">
                        <w:pPr>
                          <w:pStyle w:val="17"/>
                          <w:spacing w:before="8"/>
                          <w:jc w:val="left"/>
                          <w:rPr>
                            <w:sz w:val="19"/>
                          </w:rPr>
                        </w:pPr>
                      </w:p>
                      <w:p w14:paraId="0B9B362C">
                        <w:pPr>
                          <w:pStyle w:val="17"/>
                          <w:ind w:left="40" w:right="12"/>
                          <w:rPr>
                            <w:sz w:val="18"/>
                          </w:rPr>
                        </w:pPr>
                        <w:r>
                          <w:rPr>
                            <w:sz w:val="18"/>
                          </w:rPr>
                          <w:t>水环境保护目标</w:t>
                        </w:r>
                      </w:p>
                    </w:tc>
                    <w:tc>
                      <w:tcPr>
                        <w:tcW w:w="7515" w:type="dxa"/>
                        <w:gridSpan w:val="5"/>
                        <w:tcBorders>
                          <w:top w:val="single" w:color="000000" w:sz="4" w:space="0"/>
                          <w:left w:val="single" w:color="000000" w:sz="4" w:space="0"/>
                          <w:bottom w:val="single" w:color="000000" w:sz="4" w:space="0"/>
                        </w:tcBorders>
                      </w:tcPr>
                      <w:p w14:paraId="67AA3613">
                        <w:pPr>
                          <w:pStyle w:val="17"/>
                          <w:ind w:left="13"/>
                          <w:jc w:val="left"/>
                          <w:rPr>
                            <w:sz w:val="18"/>
                          </w:rPr>
                        </w:pPr>
                        <w:r>
                          <w:rPr>
                            <w:sz w:val="18"/>
                          </w:rPr>
                          <w:t>饮用水水源保护区</w:t>
                        </w:r>
                        <w:r>
                          <w:rPr>
                            <w:rFonts w:ascii="Segoe UI Symbol" w:hAnsi="Segoe UI Symbol" w:eastAsia="Segoe UI Symbol"/>
                            <w:sz w:val="18"/>
                          </w:rPr>
                          <w:t>☐</w:t>
                        </w:r>
                        <w:r>
                          <w:rPr>
                            <w:sz w:val="18"/>
                          </w:rPr>
                          <w:t>；饮用水取水口</w:t>
                        </w:r>
                        <w:r>
                          <w:rPr>
                            <w:rFonts w:ascii="Segoe UI Symbol" w:hAnsi="Segoe UI Symbol" w:eastAsia="Segoe UI Symbol"/>
                            <w:sz w:val="18"/>
                          </w:rPr>
                          <w:t>☐</w:t>
                        </w:r>
                        <w:r>
                          <w:rPr>
                            <w:sz w:val="18"/>
                          </w:rPr>
                          <w:t>；涉水的自然保护区</w:t>
                        </w:r>
                        <w:r>
                          <w:rPr>
                            <w:rFonts w:ascii="Segoe UI Symbol" w:hAnsi="Segoe UI Symbol" w:eastAsia="Segoe UI Symbol"/>
                            <w:sz w:val="18"/>
                          </w:rPr>
                          <w:t>☐</w:t>
                        </w:r>
                        <w:r>
                          <w:rPr>
                            <w:sz w:val="18"/>
                          </w:rPr>
                          <w:t>；重要湿地</w:t>
                        </w:r>
                        <w:r>
                          <w:rPr>
                            <w:rFonts w:ascii="Segoe UI Symbol" w:hAnsi="Segoe UI Symbol" w:eastAsia="Segoe UI Symbol"/>
                            <w:sz w:val="18"/>
                          </w:rPr>
                          <w:t>☐</w:t>
                        </w:r>
                        <w:r>
                          <w:rPr>
                            <w:sz w:val="18"/>
                          </w:rPr>
                          <w:t>；</w:t>
                        </w:r>
                      </w:p>
                      <w:p w14:paraId="6C5D2922">
                        <w:pPr>
                          <w:pStyle w:val="17"/>
                          <w:ind w:left="13"/>
                          <w:jc w:val="left"/>
                          <w:rPr>
                            <w:sz w:val="18"/>
                          </w:rPr>
                        </w:pPr>
                        <w:r>
                          <w:rPr>
                            <w:sz w:val="18"/>
                          </w:rPr>
                          <w:t>重点保护与珍稀水生生物的栖息地</w:t>
                        </w:r>
                        <w:r>
                          <w:rPr>
                            <w:rFonts w:ascii="Segoe UI Symbol" w:hAnsi="Segoe UI Symbol" w:eastAsia="Segoe UI Symbol"/>
                            <w:spacing w:val="-33"/>
                            <w:sz w:val="18"/>
                          </w:rPr>
                          <w:t>☐</w:t>
                        </w:r>
                        <w:r>
                          <w:rPr>
                            <w:spacing w:val="-10"/>
                            <w:sz w:val="18"/>
                          </w:rPr>
                          <w:t>；重要水生生物的自然产卵场及索饵场、越冬场和洄游通道</w:t>
                        </w:r>
                      </w:p>
                      <w:p w14:paraId="0B496188">
                        <w:pPr>
                          <w:pStyle w:val="17"/>
                          <w:spacing w:before="2" w:line="227" w:lineRule="exact"/>
                          <w:ind w:left="13"/>
                          <w:jc w:val="left"/>
                          <w:rPr>
                            <w:rFonts w:ascii="Wingdings" w:hAnsi="Wingdings"/>
                            <w:sz w:val="18"/>
                          </w:rPr>
                        </w:pPr>
                        <w:r>
                          <w:rPr>
                            <w:sz w:val="18"/>
                          </w:rPr>
                          <w:t>天然渔场等渔业水体</w:t>
                        </w:r>
                        <w:r>
                          <w:rPr>
                            <w:rFonts w:ascii="Segoe UI Symbol" w:hAnsi="Segoe UI Symbol"/>
                            <w:sz w:val="18"/>
                          </w:rPr>
                          <w:t>☐</w:t>
                        </w:r>
                        <w:r>
                          <w:rPr>
                            <w:sz w:val="18"/>
                          </w:rPr>
                          <w:t>；涉水的风景名胜区</w:t>
                        </w:r>
                        <w:r>
                          <w:rPr>
                            <w:rFonts w:ascii="Segoe UI Symbol" w:hAnsi="Segoe UI Symbol"/>
                            <w:sz w:val="18"/>
                          </w:rPr>
                          <w:t>☐</w:t>
                        </w:r>
                        <w:r>
                          <w:rPr>
                            <w:sz w:val="18"/>
                          </w:rPr>
                          <w:t>；其他</w:t>
                        </w:r>
                        <w:r>
                          <w:rPr>
                            <w:rFonts w:ascii="Wingdings" w:hAnsi="Wingdings"/>
                            <w:sz w:val="18"/>
                          </w:rPr>
                          <w:t></w:t>
                        </w:r>
                      </w:p>
                    </w:tc>
                  </w:tr>
                  <w:tr w14:paraId="300678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41" w:type="dxa"/>
                        <w:vMerge w:val="continue"/>
                        <w:tcBorders>
                          <w:top w:val="nil"/>
                          <w:bottom w:val="single" w:color="000000" w:sz="4" w:space="0"/>
                          <w:right w:val="single" w:color="000000" w:sz="4" w:space="0"/>
                        </w:tcBorders>
                      </w:tcPr>
                      <w:p w14:paraId="38660368">
                        <w:pPr>
                          <w:rPr>
                            <w:sz w:val="2"/>
                            <w:szCs w:val="2"/>
                          </w:rPr>
                        </w:pPr>
                      </w:p>
                    </w:tc>
                    <w:tc>
                      <w:tcPr>
                        <w:tcW w:w="1362" w:type="dxa"/>
                        <w:vMerge w:val="restart"/>
                        <w:tcBorders>
                          <w:top w:val="single" w:color="000000" w:sz="4" w:space="0"/>
                          <w:left w:val="single" w:color="000000" w:sz="4" w:space="0"/>
                          <w:bottom w:val="single" w:color="000000" w:sz="4" w:space="0"/>
                          <w:right w:val="single" w:color="000000" w:sz="4" w:space="0"/>
                        </w:tcBorders>
                      </w:tcPr>
                      <w:p w14:paraId="58DBDE3A">
                        <w:pPr>
                          <w:pStyle w:val="17"/>
                          <w:spacing w:before="9"/>
                          <w:jc w:val="left"/>
                          <w:rPr>
                            <w:sz w:val="15"/>
                          </w:rPr>
                        </w:pPr>
                      </w:p>
                      <w:p w14:paraId="671E83EE">
                        <w:pPr>
                          <w:pStyle w:val="17"/>
                          <w:ind w:left="331"/>
                          <w:jc w:val="left"/>
                          <w:rPr>
                            <w:sz w:val="18"/>
                          </w:rPr>
                        </w:pPr>
                        <w:r>
                          <w:rPr>
                            <w:sz w:val="18"/>
                          </w:rPr>
                          <w:t>影响途径</w:t>
                        </w:r>
                      </w:p>
                    </w:tc>
                    <w:tc>
                      <w:tcPr>
                        <w:tcW w:w="3648" w:type="dxa"/>
                        <w:gridSpan w:val="2"/>
                        <w:tcBorders>
                          <w:top w:val="single" w:color="000000" w:sz="4" w:space="0"/>
                          <w:left w:val="single" w:color="000000" w:sz="4" w:space="0"/>
                          <w:bottom w:val="single" w:color="000000" w:sz="4" w:space="0"/>
                          <w:right w:val="single" w:color="000000" w:sz="4" w:space="0"/>
                        </w:tcBorders>
                      </w:tcPr>
                      <w:p w14:paraId="16C42641">
                        <w:pPr>
                          <w:pStyle w:val="17"/>
                          <w:spacing w:before="40"/>
                          <w:ind w:left="1272" w:right="1246"/>
                          <w:rPr>
                            <w:sz w:val="18"/>
                          </w:rPr>
                        </w:pPr>
                        <w:r>
                          <w:rPr>
                            <w:sz w:val="18"/>
                          </w:rPr>
                          <w:t>水污染影响型</w:t>
                        </w:r>
                      </w:p>
                    </w:tc>
                    <w:tc>
                      <w:tcPr>
                        <w:tcW w:w="3867" w:type="dxa"/>
                        <w:gridSpan w:val="3"/>
                        <w:tcBorders>
                          <w:top w:val="single" w:color="000000" w:sz="4" w:space="0"/>
                          <w:left w:val="single" w:color="000000" w:sz="4" w:space="0"/>
                          <w:bottom w:val="single" w:color="000000" w:sz="4" w:space="0"/>
                        </w:tcBorders>
                      </w:tcPr>
                      <w:p w14:paraId="00FF6635">
                        <w:pPr>
                          <w:pStyle w:val="17"/>
                          <w:spacing w:before="40"/>
                          <w:ind w:left="1306"/>
                          <w:jc w:val="left"/>
                          <w:rPr>
                            <w:sz w:val="18"/>
                          </w:rPr>
                        </w:pPr>
                        <w:r>
                          <w:rPr>
                            <w:sz w:val="18"/>
                          </w:rPr>
                          <w:t>水文要素影响型</w:t>
                        </w:r>
                      </w:p>
                    </w:tc>
                  </w:tr>
                  <w:tr w14:paraId="58AAF4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41" w:type="dxa"/>
                        <w:vMerge w:val="continue"/>
                        <w:tcBorders>
                          <w:top w:val="nil"/>
                          <w:bottom w:val="single" w:color="000000" w:sz="4" w:space="0"/>
                          <w:right w:val="single" w:color="000000" w:sz="4" w:space="0"/>
                        </w:tcBorders>
                      </w:tcPr>
                      <w:p w14:paraId="386845EF">
                        <w:pPr>
                          <w:rPr>
                            <w:sz w:val="2"/>
                            <w:szCs w:val="2"/>
                          </w:rPr>
                        </w:pPr>
                      </w:p>
                    </w:tc>
                    <w:tc>
                      <w:tcPr>
                        <w:tcW w:w="1362" w:type="dxa"/>
                        <w:vMerge w:val="continue"/>
                        <w:tcBorders>
                          <w:top w:val="nil"/>
                          <w:left w:val="single" w:color="000000" w:sz="4" w:space="0"/>
                          <w:bottom w:val="single" w:color="000000" w:sz="4" w:space="0"/>
                          <w:right w:val="single" w:color="000000" w:sz="4" w:space="0"/>
                        </w:tcBorders>
                      </w:tcPr>
                      <w:p w14:paraId="5265708C">
                        <w:pPr>
                          <w:rPr>
                            <w:sz w:val="2"/>
                            <w:szCs w:val="2"/>
                          </w:rPr>
                        </w:pPr>
                      </w:p>
                    </w:tc>
                    <w:tc>
                      <w:tcPr>
                        <w:tcW w:w="3648" w:type="dxa"/>
                        <w:gridSpan w:val="2"/>
                        <w:tcBorders>
                          <w:top w:val="single" w:color="000000" w:sz="4" w:space="0"/>
                          <w:left w:val="single" w:color="000000" w:sz="4" w:space="0"/>
                          <w:bottom w:val="single" w:color="000000" w:sz="4" w:space="0"/>
                          <w:right w:val="single" w:color="000000" w:sz="4" w:space="0"/>
                        </w:tcBorders>
                      </w:tcPr>
                      <w:p w14:paraId="0A1E545E">
                        <w:pPr>
                          <w:pStyle w:val="17"/>
                          <w:spacing w:before="30"/>
                          <w:ind w:left="13"/>
                          <w:jc w:val="left"/>
                          <w:rPr>
                            <w:rFonts w:ascii="Segoe UI Symbol" w:hAnsi="Segoe UI Symbol" w:eastAsia="Segoe UI Symbol"/>
                            <w:sz w:val="18"/>
                          </w:rPr>
                        </w:pPr>
                        <w:r>
                          <w:rPr>
                            <w:sz w:val="18"/>
                          </w:rPr>
                          <w:t>直接排放</w:t>
                        </w:r>
                        <w:r>
                          <w:rPr>
                            <w:rFonts w:ascii="Wingdings" w:hAnsi="Wingdings" w:eastAsia="Wingdings"/>
                            <w:sz w:val="18"/>
                          </w:rPr>
                          <w:t></w:t>
                        </w:r>
                        <w:r>
                          <w:rPr>
                            <w:sz w:val="18"/>
                          </w:rPr>
                          <w:t>；间接排放</w:t>
                        </w:r>
                        <w:r>
                          <w:rPr>
                            <w:rFonts w:ascii="Wingdings" w:hAnsi="Wingdings" w:eastAsia="Wingdings"/>
                            <w:sz w:val="18"/>
                          </w:rPr>
                          <w:t></w:t>
                        </w:r>
                        <w:r>
                          <w:rPr>
                            <w:sz w:val="18"/>
                          </w:rPr>
                          <w:t>；其他</w:t>
                        </w:r>
                        <w:r>
                          <w:rPr>
                            <w:rFonts w:ascii="Segoe UI Symbol" w:hAnsi="Segoe UI Symbol" w:eastAsia="Segoe UI Symbol"/>
                            <w:sz w:val="18"/>
                          </w:rPr>
                          <w:t>☐</w:t>
                        </w:r>
                      </w:p>
                    </w:tc>
                    <w:tc>
                      <w:tcPr>
                        <w:tcW w:w="3867" w:type="dxa"/>
                        <w:gridSpan w:val="3"/>
                        <w:tcBorders>
                          <w:top w:val="single" w:color="000000" w:sz="4" w:space="0"/>
                          <w:left w:val="single" w:color="000000" w:sz="4" w:space="0"/>
                          <w:bottom w:val="single" w:color="000000" w:sz="4" w:space="0"/>
                        </w:tcBorders>
                      </w:tcPr>
                      <w:p w14:paraId="694AB7DB">
                        <w:pPr>
                          <w:pStyle w:val="17"/>
                          <w:spacing w:before="30"/>
                          <w:ind w:left="13"/>
                          <w:jc w:val="left"/>
                          <w:rPr>
                            <w:rFonts w:ascii="Segoe UI Symbol" w:hAnsi="Segoe UI Symbol" w:eastAsia="Segoe UI Symbol"/>
                            <w:sz w:val="18"/>
                          </w:rPr>
                        </w:pPr>
                        <w:r>
                          <w:rPr>
                            <w:sz w:val="18"/>
                          </w:rPr>
                          <w:t>水温</w:t>
                        </w:r>
                        <w:r>
                          <w:rPr>
                            <w:rFonts w:ascii="Segoe UI Symbol" w:hAnsi="Segoe UI Symbol" w:eastAsia="Segoe UI Symbol"/>
                            <w:sz w:val="18"/>
                          </w:rPr>
                          <w:t>☐</w:t>
                        </w:r>
                        <w:r>
                          <w:rPr>
                            <w:sz w:val="18"/>
                          </w:rPr>
                          <w:t>；径流</w:t>
                        </w:r>
                        <w:r>
                          <w:rPr>
                            <w:rFonts w:ascii="Segoe UI Symbol" w:hAnsi="Segoe UI Symbol" w:eastAsia="Segoe UI Symbol"/>
                            <w:sz w:val="18"/>
                          </w:rPr>
                          <w:t>☐</w:t>
                        </w:r>
                        <w:r>
                          <w:rPr>
                            <w:sz w:val="18"/>
                          </w:rPr>
                          <w:t>；水域面积</w:t>
                        </w:r>
                        <w:r>
                          <w:rPr>
                            <w:rFonts w:ascii="Segoe UI Symbol" w:hAnsi="Segoe UI Symbol" w:eastAsia="Segoe UI Symbol"/>
                            <w:sz w:val="18"/>
                          </w:rPr>
                          <w:t>☐</w:t>
                        </w:r>
                      </w:p>
                    </w:tc>
                  </w:tr>
                  <w:tr w14:paraId="16C198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7" w:hRule="atLeast"/>
                    </w:trPr>
                    <w:tc>
                      <w:tcPr>
                        <w:tcW w:w="341" w:type="dxa"/>
                        <w:vMerge w:val="continue"/>
                        <w:tcBorders>
                          <w:top w:val="nil"/>
                          <w:bottom w:val="single" w:color="000000" w:sz="4" w:space="0"/>
                          <w:right w:val="single" w:color="000000" w:sz="4" w:space="0"/>
                        </w:tcBorders>
                      </w:tcPr>
                      <w:p w14:paraId="1382E54E">
                        <w:pPr>
                          <w:rPr>
                            <w:sz w:val="2"/>
                            <w:szCs w:val="2"/>
                          </w:rPr>
                        </w:pPr>
                      </w:p>
                    </w:tc>
                    <w:tc>
                      <w:tcPr>
                        <w:tcW w:w="1362" w:type="dxa"/>
                        <w:tcBorders>
                          <w:top w:val="single" w:color="000000" w:sz="4" w:space="0"/>
                          <w:left w:val="single" w:color="000000" w:sz="4" w:space="0"/>
                          <w:bottom w:val="single" w:color="000000" w:sz="4" w:space="0"/>
                          <w:right w:val="single" w:color="000000" w:sz="4" w:space="0"/>
                        </w:tcBorders>
                      </w:tcPr>
                      <w:p w14:paraId="21ACDAC7">
                        <w:pPr>
                          <w:pStyle w:val="17"/>
                          <w:spacing w:before="9"/>
                          <w:jc w:val="left"/>
                          <w:rPr>
                            <w:sz w:val="19"/>
                          </w:rPr>
                        </w:pPr>
                      </w:p>
                      <w:p w14:paraId="62F0CB55">
                        <w:pPr>
                          <w:pStyle w:val="17"/>
                          <w:spacing w:before="1"/>
                          <w:ind w:left="42" w:right="12"/>
                          <w:rPr>
                            <w:sz w:val="18"/>
                          </w:rPr>
                        </w:pPr>
                        <w:r>
                          <w:rPr>
                            <w:sz w:val="18"/>
                          </w:rPr>
                          <w:t>影响因子</w:t>
                        </w:r>
                      </w:p>
                    </w:tc>
                    <w:tc>
                      <w:tcPr>
                        <w:tcW w:w="3648" w:type="dxa"/>
                        <w:gridSpan w:val="2"/>
                        <w:tcBorders>
                          <w:top w:val="single" w:color="000000" w:sz="4" w:space="0"/>
                          <w:left w:val="single" w:color="000000" w:sz="4" w:space="0"/>
                          <w:bottom w:val="single" w:color="000000" w:sz="4" w:space="0"/>
                          <w:right w:val="single" w:color="000000" w:sz="4" w:space="0"/>
                        </w:tcBorders>
                      </w:tcPr>
                      <w:p w14:paraId="1B22DCE6">
                        <w:pPr>
                          <w:pStyle w:val="17"/>
                          <w:spacing w:line="244" w:lineRule="exact"/>
                          <w:ind w:left="13" w:right="-29"/>
                          <w:jc w:val="left"/>
                          <w:rPr>
                            <w:sz w:val="18"/>
                          </w:rPr>
                        </w:pPr>
                        <w:r>
                          <w:rPr>
                            <w:sz w:val="18"/>
                          </w:rPr>
                          <w:t>持久性污染物</w:t>
                        </w:r>
                        <w:r>
                          <w:rPr>
                            <w:rFonts w:ascii="Segoe UI Symbol" w:hAnsi="Segoe UI Symbol" w:eastAsia="Segoe UI Symbol"/>
                            <w:sz w:val="18"/>
                          </w:rPr>
                          <w:t>☐</w:t>
                        </w:r>
                        <w:r>
                          <w:rPr>
                            <w:sz w:val="18"/>
                          </w:rPr>
                          <w:t>；有毒有害污染物</w:t>
                        </w:r>
                        <w:r>
                          <w:rPr>
                            <w:rFonts w:ascii="Segoe UI Symbol" w:hAnsi="Segoe UI Symbol" w:eastAsia="Segoe UI Symbol"/>
                            <w:sz w:val="18"/>
                          </w:rPr>
                          <w:t>☐</w:t>
                        </w:r>
                        <w:r>
                          <w:rPr>
                            <w:sz w:val="18"/>
                          </w:rPr>
                          <w:t>；非持久</w:t>
                        </w:r>
                      </w:p>
                      <w:p w14:paraId="46D1BDDD">
                        <w:pPr>
                          <w:pStyle w:val="17"/>
                          <w:spacing w:before="2" w:line="240" w:lineRule="atLeast"/>
                          <w:ind w:left="13" w:right="-29"/>
                          <w:jc w:val="left"/>
                          <w:rPr>
                            <w:rFonts w:ascii="Segoe UI Symbol" w:hAnsi="Segoe UI Symbol" w:eastAsia="Segoe UI Symbol"/>
                            <w:sz w:val="18"/>
                          </w:rPr>
                        </w:pPr>
                        <w:r>
                          <w:rPr>
                            <w:sz w:val="18"/>
                          </w:rPr>
                          <w:t>性污染物</w:t>
                        </w:r>
                        <w:r>
                          <w:rPr>
                            <w:rFonts w:ascii="Wingdings" w:hAnsi="Wingdings" w:eastAsia="Wingdings"/>
                            <w:w w:val="101"/>
                            <w:sz w:val="18"/>
                          </w:rPr>
                          <w:t></w:t>
                        </w:r>
                        <w:r>
                          <w:rPr>
                            <w:spacing w:val="-15"/>
                            <w:sz w:val="18"/>
                          </w:rPr>
                          <w:t>；</w:t>
                        </w:r>
                        <w:r>
                          <w:rPr>
                            <w:rFonts w:ascii="Times New Roman" w:hAnsi="Times New Roman" w:eastAsia="Times New Roman"/>
                            <w:spacing w:val="0"/>
                            <w:sz w:val="18"/>
                          </w:rPr>
                          <w:t>p</w:t>
                        </w:r>
                        <w:r>
                          <w:rPr>
                            <w:rFonts w:ascii="Times New Roman" w:hAnsi="Times New Roman" w:eastAsia="Times New Roman"/>
                            <w:sz w:val="18"/>
                          </w:rPr>
                          <w:t>H</w:t>
                        </w:r>
                        <w:r>
                          <w:rPr>
                            <w:rFonts w:ascii="Times New Roman" w:hAnsi="Times New Roman" w:eastAsia="Times New Roman"/>
                            <w:spacing w:val="-3"/>
                            <w:sz w:val="18"/>
                          </w:rPr>
                          <w:t xml:space="preserve"> </w:t>
                        </w:r>
                        <w:r>
                          <w:rPr>
                            <w:sz w:val="18"/>
                          </w:rPr>
                          <w:t>值</w:t>
                        </w:r>
                        <w:r>
                          <w:rPr>
                            <w:rFonts w:ascii="Segoe UI Symbol" w:hAnsi="Segoe UI Symbol" w:eastAsia="Segoe UI Symbol"/>
                            <w:sz w:val="18"/>
                          </w:rPr>
                          <w:t>☐</w:t>
                        </w:r>
                        <w:r>
                          <w:rPr>
                            <w:spacing w:val="-5"/>
                            <w:sz w:val="18"/>
                          </w:rPr>
                          <w:t>；热污染</w:t>
                        </w:r>
                        <w:r>
                          <w:rPr>
                            <w:rFonts w:ascii="Segoe UI Symbol" w:hAnsi="Segoe UI Symbol" w:eastAsia="Segoe UI Symbol"/>
                            <w:sz w:val="18"/>
                          </w:rPr>
                          <w:t>☐</w:t>
                        </w:r>
                        <w:r>
                          <w:rPr>
                            <w:spacing w:val="-4"/>
                            <w:sz w:val="18"/>
                          </w:rPr>
                          <w:t>；富营养化</w:t>
                        </w:r>
                        <w:r>
                          <w:rPr>
                            <w:rFonts w:ascii="Segoe UI Symbol" w:hAnsi="Segoe UI Symbol" w:eastAsia="Segoe UI Symbol"/>
                            <w:sz w:val="18"/>
                          </w:rPr>
                          <w:t>☐</w:t>
                        </w:r>
                        <w:r>
                          <w:rPr>
                            <w:spacing w:val="-82"/>
                            <w:sz w:val="18"/>
                          </w:rPr>
                          <w:t>；</w:t>
                        </w:r>
                        <w:r>
                          <w:rPr>
                            <w:sz w:val="18"/>
                          </w:rPr>
                          <w:t>其他</w:t>
                        </w:r>
                        <w:r>
                          <w:rPr>
                            <w:rFonts w:ascii="Segoe UI Symbol" w:hAnsi="Segoe UI Symbol" w:eastAsia="Segoe UI Symbol"/>
                            <w:sz w:val="18"/>
                          </w:rPr>
                          <w:t>☐</w:t>
                        </w:r>
                      </w:p>
                    </w:tc>
                    <w:tc>
                      <w:tcPr>
                        <w:tcW w:w="3867" w:type="dxa"/>
                        <w:gridSpan w:val="3"/>
                        <w:tcBorders>
                          <w:top w:val="single" w:color="000000" w:sz="4" w:space="0"/>
                          <w:left w:val="single" w:color="000000" w:sz="4" w:space="0"/>
                          <w:bottom w:val="single" w:color="000000" w:sz="4" w:space="0"/>
                        </w:tcBorders>
                      </w:tcPr>
                      <w:p w14:paraId="78D4A8B4">
                        <w:pPr>
                          <w:pStyle w:val="17"/>
                          <w:jc w:val="left"/>
                          <w:rPr>
                            <w:sz w:val="19"/>
                          </w:rPr>
                        </w:pPr>
                      </w:p>
                      <w:p w14:paraId="74AEBED1">
                        <w:pPr>
                          <w:pStyle w:val="17"/>
                          <w:ind w:left="13"/>
                          <w:jc w:val="left"/>
                          <w:rPr>
                            <w:rFonts w:ascii="Segoe UI Symbol" w:hAnsi="Segoe UI Symbol" w:eastAsia="Segoe UI Symbol"/>
                            <w:sz w:val="18"/>
                          </w:rPr>
                        </w:pPr>
                        <w:r>
                          <w:rPr>
                            <w:sz w:val="18"/>
                          </w:rPr>
                          <w:t>水温</w:t>
                        </w:r>
                        <w:r>
                          <w:rPr>
                            <w:rFonts w:ascii="Segoe UI Symbol" w:hAnsi="Segoe UI Symbol" w:eastAsia="Segoe UI Symbol"/>
                            <w:sz w:val="18"/>
                          </w:rPr>
                          <w:t>☐</w:t>
                        </w:r>
                        <w:r>
                          <w:rPr>
                            <w:sz w:val="18"/>
                          </w:rPr>
                          <w:t>；水位</w:t>
                        </w:r>
                        <w:r>
                          <w:rPr>
                            <w:rFonts w:ascii="Times New Roman" w:hAnsi="Times New Roman" w:eastAsia="Times New Roman"/>
                            <w:sz w:val="18"/>
                          </w:rPr>
                          <w:t>(</w:t>
                        </w:r>
                        <w:r>
                          <w:rPr>
                            <w:sz w:val="18"/>
                          </w:rPr>
                          <w:t>水深</w:t>
                        </w:r>
                        <w:r>
                          <w:rPr>
                            <w:rFonts w:ascii="Times New Roman" w:hAnsi="Times New Roman" w:eastAsia="Times New Roman"/>
                            <w:sz w:val="18"/>
                          </w:rPr>
                          <w:t>)</w:t>
                        </w:r>
                        <w:r>
                          <w:rPr>
                            <w:rFonts w:ascii="Segoe UI Symbol" w:hAnsi="Segoe UI Symbol" w:eastAsia="Segoe UI Symbol"/>
                            <w:sz w:val="18"/>
                          </w:rPr>
                          <w:t>☐</w:t>
                        </w:r>
                        <w:r>
                          <w:rPr>
                            <w:sz w:val="18"/>
                          </w:rPr>
                          <w:t>；流速</w:t>
                        </w:r>
                        <w:r>
                          <w:rPr>
                            <w:rFonts w:ascii="Segoe UI Symbol" w:hAnsi="Segoe UI Symbol" w:eastAsia="Segoe UI Symbol"/>
                            <w:sz w:val="18"/>
                          </w:rPr>
                          <w:t>☐</w:t>
                        </w:r>
                        <w:r>
                          <w:rPr>
                            <w:sz w:val="18"/>
                          </w:rPr>
                          <w:t>；流量</w:t>
                        </w:r>
                        <w:r>
                          <w:rPr>
                            <w:rFonts w:ascii="Segoe UI Symbol" w:hAnsi="Segoe UI Symbol" w:eastAsia="Segoe UI Symbol"/>
                            <w:sz w:val="18"/>
                          </w:rPr>
                          <w:t>☐</w:t>
                        </w:r>
                        <w:r>
                          <w:rPr>
                            <w:sz w:val="18"/>
                          </w:rPr>
                          <w:t>；其他</w:t>
                        </w:r>
                        <w:r>
                          <w:rPr>
                            <w:rFonts w:ascii="Segoe UI Symbol" w:hAnsi="Segoe UI Symbol" w:eastAsia="Segoe UI Symbol"/>
                            <w:sz w:val="18"/>
                          </w:rPr>
                          <w:t>☐</w:t>
                        </w:r>
                      </w:p>
                    </w:tc>
                  </w:tr>
                  <w:tr w14:paraId="2027F6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703" w:type="dxa"/>
                        <w:gridSpan w:val="2"/>
                        <w:vMerge w:val="restart"/>
                        <w:tcBorders>
                          <w:top w:val="single" w:color="000000" w:sz="4" w:space="0"/>
                          <w:bottom w:val="single" w:color="000000" w:sz="4" w:space="0"/>
                          <w:right w:val="single" w:color="000000" w:sz="4" w:space="0"/>
                        </w:tcBorders>
                      </w:tcPr>
                      <w:p w14:paraId="34531850">
                        <w:pPr>
                          <w:pStyle w:val="17"/>
                          <w:spacing w:before="9"/>
                          <w:jc w:val="left"/>
                          <w:rPr>
                            <w:sz w:val="15"/>
                          </w:rPr>
                        </w:pPr>
                      </w:p>
                      <w:p w14:paraId="54CD8C8A">
                        <w:pPr>
                          <w:pStyle w:val="17"/>
                          <w:ind w:left="494"/>
                          <w:jc w:val="left"/>
                          <w:rPr>
                            <w:sz w:val="18"/>
                          </w:rPr>
                        </w:pPr>
                        <w:r>
                          <w:rPr>
                            <w:sz w:val="18"/>
                          </w:rPr>
                          <w:t>评价等级</w:t>
                        </w:r>
                      </w:p>
                    </w:tc>
                    <w:tc>
                      <w:tcPr>
                        <w:tcW w:w="3648" w:type="dxa"/>
                        <w:gridSpan w:val="2"/>
                        <w:tcBorders>
                          <w:top w:val="single" w:color="000000" w:sz="4" w:space="0"/>
                          <w:left w:val="single" w:color="000000" w:sz="4" w:space="0"/>
                          <w:bottom w:val="single" w:color="000000" w:sz="4" w:space="0"/>
                          <w:right w:val="single" w:color="000000" w:sz="4" w:space="0"/>
                        </w:tcBorders>
                      </w:tcPr>
                      <w:p w14:paraId="3968D8F3">
                        <w:pPr>
                          <w:pStyle w:val="17"/>
                          <w:spacing w:before="40"/>
                          <w:ind w:left="1272" w:right="1246"/>
                          <w:rPr>
                            <w:sz w:val="18"/>
                          </w:rPr>
                        </w:pPr>
                        <w:r>
                          <w:rPr>
                            <w:sz w:val="18"/>
                          </w:rPr>
                          <w:t>水污染影响型</w:t>
                        </w:r>
                      </w:p>
                    </w:tc>
                    <w:tc>
                      <w:tcPr>
                        <w:tcW w:w="3867" w:type="dxa"/>
                        <w:gridSpan w:val="3"/>
                        <w:tcBorders>
                          <w:top w:val="single" w:color="000000" w:sz="4" w:space="0"/>
                          <w:left w:val="single" w:color="000000" w:sz="4" w:space="0"/>
                          <w:bottom w:val="single" w:color="000000" w:sz="4" w:space="0"/>
                        </w:tcBorders>
                      </w:tcPr>
                      <w:p w14:paraId="6D7C74A3">
                        <w:pPr>
                          <w:pStyle w:val="17"/>
                          <w:spacing w:before="40"/>
                          <w:ind w:left="1306"/>
                          <w:jc w:val="left"/>
                          <w:rPr>
                            <w:sz w:val="18"/>
                          </w:rPr>
                        </w:pPr>
                        <w:r>
                          <w:rPr>
                            <w:sz w:val="18"/>
                          </w:rPr>
                          <w:t>水文要素影响型</w:t>
                        </w:r>
                      </w:p>
                    </w:tc>
                  </w:tr>
                  <w:tr w14:paraId="3845CF7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703" w:type="dxa"/>
                        <w:gridSpan w:val="2"/>
                        <w:vMerge w:val="continue"/>
                        <w:tcBorders>
                          <w:top w:val="nil"/>
                          <w:bottom w:val="single" w:color="000000" w:sz="4" w:space="0"/>
                          <w:right w:val="single" w:color="000000" w:sz="4" w:space="0"/>
                        </w:tcBorders>
                      </w:tcPr>
                      <w:p w14:paraId="0C8ADF20">
                        <w:pPr>
                          <w:rPr>
                            <w:sz w:val="2"/>
                            <w:szCs w:val="2"/>
                          </w:rPr>
                        </w:pPr>
                      </w:p>
                    </w:tc>
                    <w:tc>
                      <w:tcPr>
                        <w:tcW w:w="3648" w:type="dxa"/>
                        <w:gridSpan w:val="2"/>
                        <w:tcBorders>
                          <w:top w:val="single" w:color="000000" w:sz="4" w:space="0"/>
                          <w:left w:val="single" w:color="000000" w:sz="4" w:space="0"/>
                          <w:bottom w:val="single" w:color="000000" w:sz="4" w:space="0"/>
                          <w:right w:val="single" w:color="000000" w:sz="4" w:space="0"/>
                        </w:tcBorders>
                      </w:tcPr>
                      <w:p w14:paraId="5862350C">
                        <w:pPr>
                          <w:pStyle w:val="17"/>
                          <w:spacing w:before="33"/>
                          <w:ind w:left="13"/>
                          <w:jc w:val="left"/>
                          <w:rPr>
                            <w:rFonts w:ascii="Wingdings" w:hAnsi="Wingdings"/>
                            <w:sz w:val="18"/>
                          </w:rPr>
                        </w:pPr>
                        <w:r>
                          <w:rPr>
                            <w:sz w:val="18"/>
                          </w:rPr>
                          <w:t>一级</w:t>
                        </w:r>
                        <w:r>
                          <w:rPr>
                            <w:rFonts w:ascii="Segoe UI Symbol" w:hAnsi="Segoe UI Symbol"/>
                            <w:sz w:val="18"/>
                          </w:rPr>
                          <w:t>☐</w:t>
                        </w:r>
                        <w:r>
                          <w:rPr>
                            <w:sz w:val="18"/>
                          </w:rPr>
                          <w:t>；二级</w:t>
                        </w:r>
                        <w:r>
                          <w:rPr>
                            <w:rFonts w:ascii="Segoe UI Symbol" w:hAnsi="Segoe UI Symbol"/>
                            <w:sz w:val="18"/>
                          </w:rPr>
                          <w:t>☐</w:t>
                        </w:r>
                        <w:r>
                          <w:rPr>
                            <w:sz w:val="18"/>
                          </w:rPr>
                          <w:t xml:space="preserve">；三级 </w:t>
                        </w:r>
                        <w:r>
                          <w:rPr>
                            <w:rFonts w:ascii="Times New Roman" w:hAnsi="Times New Roman"/>
                            <w:sz w:val="18"/>
                          </w:rPr>
                          <w:t>A</w:t>
                        </w:r>
                        <w:r>
                          <w:rPr>
                            <w:rFonts w:ascii="Wingdings" w:hAnsi="Wingdings"/>
                            <w:sz w:val="18"/>
                          </w:rPr>
                          <w:t></w:t>
                        </w:r>
                        <w:r>
                          <w:rPr>
                            <w:sz w:val="18"/>
                          </w:rPr>
                          <w:t xml:space="preserve">；三级 </w:t>
                        </w:r>
                        <w:r>
                          <w:rPr>
                            <w:rFonts w:ascii="Times New Roman" w:hAnsi="Times New Roman"/>
                            <w:sz w:val="18"/>
                          </w:rPr>
                          <w:t>B</w:t>
                        </w:r>
                        <w:r>
                          <w:rPr>
                            <w:rFonts w:ascii="Wingdings" w:hAnsi="Wingdings"/>
                            <w:sz w:val="18"/>
                          </w:rPr>
                          <w:t></w:t>
                        </w:r>
                      </w:p>
                    </w:tc>
                    <w:tc>
                      <w:tcPr>
                        <w:tcW w:w="3867" w:type="dxa"/>
                        <w:gridSpan w:val="3"/>
                        <w:tcBorders>
                          <w:top w:val="single" w:color="000000" w:sz="4" w:space="0"/>
                          <w:left w:val="single" w:color="000000" w:sz="4" w:space="0"/>
                          <w:bottom w:val="single" w:color="000000" w:sz="4" w:space="0"/>
                        </w:tcBorders>
                      </w:tcPr>
                      <w:p w14:paraId="6217A0B8">
                        <w:pPr>
                          <w:pStyle w:val="17"/>
                          <w:spacing w:before="33"/>
                          <w:ind w:left="985"/>
                          <w:jc w:val="left"/>
                          <w:rPr>
                            <w:rFonts w:ascii="Segoe UI Symbol" w:hAnsi="Segoe UI Symbol" w:eastAsia="Segoe UI Symbol"/>
                            <w:sz w:val="18"/>
                          </w:rPr>
                        </w:pPr>
                        <w:r>
                          <w:rPr>
                            <w:sz w:val="18"/>
                          </w:rPr>
                          <w:t>一级</w:t>
                        </w:r>
                        <w:r>
                          <w:rPr>
                            <w:rFonts w:ascii="Segoe UI Symbol" w:hAnsi="Segoe UI Symbol" w:eastAsia="Segoe UI Symbol"/>
                            <w:sz w:val="18"/>
                          </w:rPr>
                          <w:t>☐</w:t>
                        </w:r>
                        <w:r>
                          <w:rPr>
                            <w:sz w:val="18"/>
                          </w:rPr>
                          <w:t>；二级</w:t>
                        </w:r>
                        <w:r>
                          <w:rPr>
                            <w:rFonts w:ascii="Segoe UI Symbol" w:hAnsi="Segoe UI Symbol" w:eastAsia="Segoe UI Symbol"/>
                            <w:sz w:val="18"/>
                          </w:rPr>
                          <w:t>☐</w:t>
                        </w:r>
                        <w:r>
                          <w:rPr>
                            <w:sz w:val="18"/>
                          </w:rPr>
                          <w:t>；三级</w:t>
                        </w:r>
                        <w:r>
                          <w:rPr>
                            <w:rFonts w:ascii="Segoe UI Symbol" w:hAnsi="Segoe UI Symbol" w:eastAsia="Segoe UI Symbol"/>
                            <w:sz w:val="18"/>
                          </w:rPr>
                          <w:t>☐</w:t>
                        </w:r>
                      </w:p>
                    </w:tc>
                  </w:tr>
                  <w:tr w14:paraId="0B3AE4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341" w:type="dxa"/>
                        <w:vMerge w:val="restart"/>
                        <w:tcBorders>
                          <w:top w:val="single" w:color="000000" w:sz="4" w:space="0"/>
                          <w:bottom w:val="single" w:color="000000" w:sz="6" w:space="0"/>
                          <w:right w:val="single" w:color="000000" w:sz="4" w:space="0"/>
                        </w:tcBorders>
                      </w:tcPr>
                      <w:p w14:paraId="6FC75628">
                        <w:pPr>
                          <w:pStyle w:val="17"/>
                          <w:jc w:val="left"/>
                          <w:rPr>
                            <w:sz w:val="18"/>
                          </w:rPr>
                        </w:pPr>
                      </w:p>
                      <w:p w14:paraId="4E264000">
                        <w:pPr>
                          <w:pStyle w:val="17"/>
                          <w:jc w:val="left"/>
                          <w:rPr>
                            <w:sz w:val="18"/>
                          </w:rPr>
                        </w:pPr>
                      </w:p>
                      <w:p w14:paraId="5B88C3E8">
                        <w:pPr>
                          <w:pStyle w:val="17"/>
                          <w:jc w:val="left"/>
                          <w:rPr>
                            <w:sz w:val="18"/>
                          </w:rPr>
                        </w:pPr>
                      </w:p>
                      <w:p w14:paraId="27405B6A">
                        <w:pPr>
                          <w:pStyle w:val="17"/>
                          <w:jc w:val="left"/>
                          <w:rPr>
                            <w:sz w:val="18"/>
                          </w:rPr>
                        </w:pPr>
                      </w:p>
                      <w:p w14:paraId="5C47BA6B">
                        <w:pPr>
                          <w:pStyle w:val="17"/>
                          <w:jc w:val="left"/>
                          <w:rPr>
                            <w:sz w:val="18"/>
                          </w:rPr>
                        </w:pPr>
                      </w:p>
                      <w:p w14:paraId="7263750A">
                        <w:pPr>
                          <w:pStyle w:val="17"/>
                          <w:spacing w:before="11"/>
                          <w:jc w:val="left"/>
                          <w:rPr>
                            <w:sz w:val="22"/>
                          </w:rPr>
                        </w:pPr>
                      </w:p>
                      <w:p w14:paraId="3F8E8F68">
                        <w:pPr>
                          <w:pStyle w:val="17"/>
                          <w:spacing w:line="242" w:lineRule="auto"/>
                          <w:ind w:left="83" w:right="55"/>
                          <w:jc w:val="both"/>
                          <w:rPr>
                            <w:sz w:val="18"/>
                          </w:rPr>
                        </w:pPr>
                        <w:r>
                          <w:rPr>
                            <w:sz w:val="18"/>
                          </w:rPr>
                          <w:t>现状调查</w:t>
                        </w:r>
                      </w:p>
                    </w:tc>
                    <w:tc>
                      <w:tcPr>
                        <w:tcW w:w="1362" w:type="dxa"/>
                        <w:vMerge w:val="restart"/>
                        <w:tcBorders>
                          <w:top w:val="single" w:color="000000" w:sz="4" w:space="0"/>
                          <w:left w:val="single" w:color="000000" w:sz="4" w:space="0"/>
                          <w:bottom w:val="single" w:color="000000" w:sz="4" w:space="0"/>
                          <w:right w:val="single" w:color="000000" w:sz="4" w:space="0"/>
                        </w:tcBorders>
                      </w:tcPr>
                      <w:p w14:paraId="24399DF2">
                        <w:pPr>
                          <w:pStyle w:val="17"/>
                          <w:spacing w:before="9"/>
                          <w:jc w:val="left"/>
                          <w:rPr>
                            <w:sz w:val="22"/>
                          </w:rPr>
                        </w:pPr>
                      </w:p>
                      <w:p w14:paraId="36D87DD6">
                        <w:pPr>
                          <w:pStyle w:val="17"/>
                          <w:spacing w:before="1"/>
                          <w:ind w:left="240"/>
                          <w:jc w:val="left"/>
                          <w:rPr>
                            <w:sz w:val="18"/>
                          </w:rPr>
                        </w:pPr>
                        <w:r>
                          <w:rPr>
                            <w:sz w:val="18"/>
                          </w:rPr>
                          <w:t>区域污染源</w:t>
                        </w:r>
                      </w:p>
                    </w:tc>
                    <w:tc>
                      <w:tcPr>
                        <w:tcW w:w="3648" w:type="dxa"/>
                        <w:gridSpan w:val="2"/>
                        <w:tcBorders>
                          <w:top w:val="single" w:color="000000" w:sz="4" w:space="0"/>
                          <w:left w:val="single" w:color="000000" w:sz="4" w:space="0"/>
                          <w:bottom w:val="single" w:color="000000" w:sz="4" w:space="0"/>
                          <w:right w:val="single" w:color="000000" w:sz="4" w:space="0"/>
                        </w:tcBorders>
                      </w:tcPr>
                      <w:p w14:paraId="76211EF3">
                        <w:pPr>
                          <w:pStyle w:val="17"/>
                          <w:spacing w:before="42"/>
                          <w:ind w:left="1272" w:right="1246"/>
                          <w:rPr>
                            <w:sz w:val="18"/>
                          </w:rPr>
                        </w:pPr>
                        <w:r>
                          <w:rPr>
                            <w:sz w:val="18"/>
                          </w:rPr>
                          <w:t>调查项目</w:t>
                        </w:r>
                      </w:p>
                    </w:tc>
                    <w:tc>
                      <w:tcPr>
                        <w:tcW w:w="3867" w:type="dxa"/>
                        <w:gridSpan w:val="3"/>
                        <w:tcBorders>
                          <w:top w:val="single" w:color="000000" w:sz="4" w:space="0"/>
                          <w:left w:val="single" w:color="000000" w:sz="4" w:space="0"/>
                          <w:bottom w:val="single" w:color="000000" w:sz="4" w:space="0"/>
                        </w:tcBorders>
                      </w:tcPr>
                      <w:p w14:paraId="6E3E3AEF">
                        <w:pPr>
                          <w:pStyle w:val="17"/>
                          <w:spacing w:before="42"/>
                          <w:ind w:left="90" w:right="61"/>
                          <w:rPr>
                            <w:sz w:val="18"/>
                          </w:rPr>
                        </w:pPr>
                        <w:r>
                          <w:rPr>
                            <w:sz w:val="18"/>
                          </w:rPr>
                          <w:t>数据来源</w:t>
                        </w:r>
                      </w:p>
                    </w:tc>
                  </w:tr>
                  <w:tr w14:paraId="354303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341" w:type="dxa"/>
                        <w:vMerge w:val="continue"/>
                        <w:tcBorders>
                          <w:top w:val="nil"/>
                          <w:bottom w:val="single" w:color="000000" w:sz="6" w:space="0"/>
                          <w:right w:val="single" w:color="000000" w:sz="4" w:space="0"/>
                        </w:tcBorders>
                      </w:tcPr>
                      <w:p w14:paraId="4B0F6F59">
                        <w:pPr>
                          <w:rPr>
                            <w:sz w:val="2"/>
                            <w:szCs w:val="2"/>
                          </w:rPr>
                        </w:pPr>
                      </w:p>
                    </w:tc>
                    <w:tc>
                      <w:tcPr>
                        <w:tcW w:w="1362" w:type="dxa"/>
                        <w:vMerge w:val="continue"/>
                        <w:tcBorders>
                          <w:top w:val="nil"/>
                          <w:left w:val="single" w:color="000000" w:sz="4" w:space="0"/>
                          <w:bottom w:val="single" w:color="000000" w:sz="4" w:space="0"/>
                          <w:right w:val="single" w:color="000000" w:sz="4" w:space="0"/>
                        </w:tcBorders>
                      </w:tcPr>
                      <w:p w14:paraId="09F11544">
                        <w:pPr>
                          <w:rPr>
                            <w:sz w:val="2"/>
                            <w:szCs w:val="2"/>
                          </w:rPr>
                        </w:pPr>
                      </w:p>
                    </w:tc>
                    <w:tc>
                      <w:tcPr>
                        <w:tcW w:w="2352" w:type="dxa"/>
                        <w:tcBorders>
                          <w:top w:val="single" w:color="000000" w:sz="4" w:space="0"/>
                          <w:left w:val="single" w:color="000000" w:sz="4" w:space="0"/>
                          <w:bottom w:val="single" w:color="000000" w:sz="4" w:space="0"/>
                          <w:right w:val="single" w:color="000000" w:sz="4" w:space="0"/>
                        </w:tcBorders>
                      </w:tcPr>
                      <w:p w14:paraId="64026C19">
                        <w:pPr>
                          <w:pStyle w:val="17"/>
                          <w:spacing w:line="243" w:lineRule="exact"/>
                          <w:ind w:left="13"/>
                          <w:jc w:val="left"/>
                          <w:rPr>
                            <w:sz w:val="18"/>
                          </w:rPr>
                        </w:pPr>
                        <w:r>
                          <w:rPr>
                            <w:sz w:val="18"/>
                          </w:rPr>
                          <w:t>已建</w:t>
                        </w:r>
                        <w:r>
                          <w:rPr>
                            <w:rFonts w:ascii="Segoe UI Symbol" w:hAnsi="Segoe UI Symbol" w:eastAsia="Segoe UI Symbol"/>
                            <w:sz w:val="18"/>
                          </w:rPr>
                          <w:t>☐</w:t>
                        </w:r>
                        <w:r>
                          <w:rPr>
                            <w:sz w:val="18"/>
                          </w:rPr>
                          <w:t>；在建</w:t>
                        </w:r>
                        <w:r>
                          <w:rPr>
                            <w:rFonts w:ascii="Segoe UI Symbol" w:hAnsi="Segoe UI Symbol" w:eastAsia="Segoe UI Symbol"/>
                            <w:sz w:val="18"/>
                          </w:rPr>
                          <w:t>☐</w:t>
                        </w:r>
                        <w:r>
                          <w:rPr>
                            <w:sz w:val="18"/>
                          </w:rPr>
                          <w:t>；拟建</w:t>
                        </w:r>
                        <w:r>
                          <w:rPr>
                            <w:rFonts w:ascii="Segoe UI Symbol" w:hAnsi="Segoe UI Symbol" w:eastAsia="Segoe UI Symbol"/>
                            <w:sz w:val="18"/>
                          </w:rPr>
                          <w:t>☐</w:t>
                        </w:r>
                        <w:r>
                          <w:rPr>
                            <w:sz w:val="18"/>
                          </w:rPr>
                          <w:t>；其</w:t>
                        </w:r>
                      </w:p>
                      <w:p w14:paraId="1997445E">
                        <w:pPr>
                          <w:pStyle w:val="17"/>
                          <w:spacing w:line="225" w:lineRule="exact"/>
                          <w:ind w:left="13"/>
                          <w:jc w:val="left"/>
                          <w:rPr>
                            <w:rFonts w:ascii="Segoe UI Symbol" w:hAnsi="Segoe UI Symbol" w:eastAsia="Segoe UI Symbol"/>
                            <w:sz w:val="18"/>
                          </w:rPr>
                        </w:pPr>
                        <w:r>
                          <w:rPr>
                            <w:sz w:val="18"/>
                          </w:rPr>
                          <w:t>他</w:t>
                        </w:r>
                        <w:r>
                          <w:rPr>
                            <w:rFonts w:ascii="Segoe UI Symbol" w:hAnsi="Segoe UI Symbol" w:eastAsia="Segoe UI Symbol"/>
                            <w:sz w:val="18"/>
                          </w:rPr>
                          <w:t>☐</w:t>
                        </w:r>
                      </w:p>
                    </w:tc>
                    <w:tc>
                      <w:tcPr>
                        <w:tcW w:w="1296" w:type="dxa"/>
                        <w:tcBorders>
                          <w:top w:val="single" w:color="000000" w:sz="4" w:space="0"/>
                          <w:left w:val="single" w:color="000000" w:sz="4" w:space="0"/>
                          <w:bottom w:val="single" w:color="000000" w:sz="4" w:space="0"/>
                          <w:right w:val="single" w:color="000000" w:sz="4" w:space="0"/>
                        </w:tcBorders>
                      </w:tcPr>
                      <w:p w14:paraId="0366F876">
                        <w:pPr>
                          <w:pStyle w:val="17"/>
                          <w:spacing w:before="8"/>
                          <w:ind w:left="27" w:right="-15"/>
                          <w:rPr>
                            <w:sz w:val="18"/>
                          </w:rPr>
                        </w:pPr>
                        <w:r>
                          <w:rPr>
                            <w:sz w:val="18"/>
                          </w:rPr>
                          <w:t>拟替代的污染源</w:t>
                        </w:r>
                      </w:p>
                      <w:p w14:paraId="6C2BA858">
                        <w:pPr>
                          <w:pStyle w:val="17"/>
                          <w:spacing w:line="229" w:lineRule="exact"/>
                          <w:ind w:left="28"/>
                          <w:rPr>
                            <w:rFonts w:ascii="Segoe UI Symbol" w:hAnsi="Segoe UI Symbol"/>
                            <w:sz w:val="18"/>
                          </w:rPr>
                        </w:pPr>
                        <w:r>
                          <w:rPr>
                            <w:rFonts w:ascii="Segoe UI Symbol" w:hAnsi="Segoe UI Symbol"/>
                            <w:sz w:val="18"/>
                          </w:rPr>
                          <w:t>☐</w:t>
                        </w:r>
                      </w:p>
                    </w:tc>
                    <w:tc>
                      <w:tcPr>
                        <w:tcW w:w="3867" w:type="dxa"/>
                        <w:gridSpan w:val="3"/>
                        <w:tcBorders>
                          <w:top w:val="single" w:color="000000" w:sz="4" w:space="0"/>
                          <w:left w:val="single" w:color="000000" w:sz="4" w:space="0"/>
                          <w:bottom w:val="single" w:color="000000" w:sz="4" w:space="0"/>
                        </w:tcBorders>
                      </w:tcPr>
                      <w:p w14:paraId="60D6EC9C">
                        <w:pPr>
                          <w:pStyle w:val="17"/>
                          <w:spacing w:line="243" w:lineRule="exact"/>
                          <w:ind w:right="61"/>
                          <w:rPr>
                            <w:rFonts w:ascii="Segoe UI Symbol" w:hAnsi="Segoe UI Symbol" w:eastAsia="Segoe UI Symbol"/>
                            <w:sz w:val="18"/>
                          </w:rPr>
                        </w:pPr>
                        <w:r>
                          <w:rPr>
                            <w:sz w:val="18"/>
                          </w:rPr>
                          <w:t>排污许可证</w:t>
                        </w:r>
                        <w:r>
                          <w:rPr>
                            <w:rFonts w:ascii="Segoe UI Symbol" w:hAnsi="Segoe UI Symbol" w:eastAsia="Segoe UI Symbol"/>
                            <w:spacing w:val="-18"/>
                            <w:sz w:val="18"/>
                          </w:rPr>
                          <w:t>☐</w:t>
                        </w:r>
                        <w:r>
                          <w:rPr>
                            <w:spacing w:val="-6"/>
                            <w:sz w:val="18"/>
                          </w:rPr>
                          <w:t>；环评</w:t>
                        </w:r>
                        <w:r>
                          <w:rPr>
                            <w:rFonts w:ascii="Segoe UI Symbol" w:hAnsi="Segoe UI Symbol" w:eastAsia="Segoe UI Symbol"/>
                            <w:spacing w:val="-17"/>
                            <w:sz w:val="18"/>
                          </w:rPr>
                          <w:t>☐</w:t>
                        </w:r>
                        <w:r>
                          <w:rPr>
                            <w:spacing w:val="-4"/>
                            <w:sz w:val="18"/>
                          </w:rPr>
                          <w:t>；环保验收</w:t>
                        </w:r>
                        <w:r>
                          <w:rPr>
                            <w:rFonts w:ascii="Segoe UI Symbol" w:hAnsi="Segoe UI Symbol" w:eastAsia="Segoe UI Symbol"/>
                            <w:spacing w:val="-18"/>
                            <w:sz w:val="18"/>
                          </w:rPr>
                          <w:t>☐</w:t>
                        </w:r>
                        <w:r>
                          <w:rPr>
                            <w:spacing w:val="-4"/>
                            <w:sz w:val="18"/>
                          </w:rPr>
                          <w:t>；既有实测</w:t>
                        </w:r>
                        <w:r>
                          <w:rPr>
                            <w:rFonts w:ascii="Segoe UI Symbol" w:hAnsi="Segoe UI Symbol" w:eastAsia="Segoe UI Symbol"/>
                            <w:sz w:val="18"/>
                          </w:rPr>
                          <w:t>☐</w:t>
                        </w:r>
                      </w:p>
                      <w:p w14:paraId="3296998B">
                        <w:pPr>
                          <w:pStyle w:val="17"/>
                          <w:spacing w:line="225" w:lineRule="exact"/>
                          <w:ind w:left="91" w:right="61"/>
                          <w:rPr>
                            <w:rFonts w:ascii="Segoe UI Symbol" w:hAnsi="Segoe UI Symbol" w:eastAsia="Segoe UI Symbol"/>
                            <w:sz w:val="18"/>
                          </w:rPr>
                        </w:pPr>
                        <w:r>
                          <w:rPr>
                            <w:sz w:val="18"/>
                          </w:rPr>
                          <w:t>现场监测</w:t>
                        </w:r>
                        <w:r>
                          <w:rPr>
                            <w:rFonts w:ascii="Segoe UI Symbol" w:hAnsi="Segoe UI Symbol" w:eastAsia="Segoe UI Symbol"/>
                            <w:sz w:val="18"/>
                          </w:rPr>
                          <w:t>☐</w:t>
                        </w:r>
                        <w:r>
                          <w:rPr>
                            <w:sz w:val="18"/>
                          </w:rPr>
                          <w:t>；入河排放口数据</w:t>
                        </w:r>
                        <w:r>
                          <w:rPr>
                            <w:rFonts w:ascii="Segoe UI Symbol" w:hAnsi="Segoe UI Symbol" w:eastAsia="Segoe UI Symbol"/>
                            <w:sz w:val="18"/>
                          </w:rPr>
                          <w:t>☐</w:t>
                        </w:r>
                        <w:r>
                          <w:rPr>
                            <w:sz w:val="18"/>
                          </w:rPr>
                          <w:t>；其他</w:t>
                        </w:r>
                        <w:r>
                          <w:rPr>
                            <w:rFonts w:ascii="Segoe UI Symbol" w:hAnsi="Segoe UI Symbol" w:eastAsia="Segoe UI Symbol"/>
                            <w:sz w:val="18"/>
                          </w:rPr>
                          <w:t>☐</w:t>
                        </w:r>
                      </w:p>
                    </w:tc>
                  </w:tr>
                  <w:tr w14:paraId="436557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341" w:type="dxa"/>
                        <w:vMerge w:val="continue"/>
                        <w:tcBorders>
                          <w:top w:val="nil"/>
                          <w:bottom w:val="single" w:color="000000" w:sz="6" w:space="0"/>
                          <w:right w:val="single" w:color="000000" w:sz="4" w:space="0"/>
                        </w:tcBorders>
                      </w:tcPr>
                      <w:p w14:paraId="5A5806FD">
                        <w:pPr>
                          <w:rPr>
                            <w:sz w:val="2"/>
                            <w:szCs w:val="2"/>
                          </w:rPr>
                        </w:pPr>
                      </w:p>
                    </w:tc>
                    <w:tc>
                      <w:tcPr>
                        <w:tcW w:w="1362" w:type="dxa"/>
                        <w:vMerge w:val="restart"/>
                        <w:tcBorders>
                          <w:top w:val="single" w:color="000000" w:sz="4" w:space="0"/>
                          <w:left w:val="single" w:color="000000" w:sz="4" w:space="0"/>
                          <w:bottom w:val="single" w:color="000000" w:sz="4" w:space="0"/>
                          <w:right w:val="single" w:color="000000" w:sz="4" w:space="0"/>
                        </w:tcBorders>
                      </w:tcPr>
                      <w:p w14:paraId="435DA696">
                        <w:pPr>
                          <w:pStyle w:val="17"/>
                          <w:jc w:val="left"/>
                          <w:rPr>
                            <w:sz w:val="13"/>
                          </w:rPr>
                        </w:pPr>
                      </w:p>
                      <w:p w14:paraId="02153471">
                        <w:pPr>
                          <w:pStyle w:val="17"/>
                          <w:spacing w:before="1" w:line="242" w:lineRule="auto"/>
                          <w:ind w:left="420" w:right="31" w:hanging="360"/>
                          <w:jc w:val="left"/>
                          <w:rPr>
                            <w:sz w:val="18"/>
                          </w:rPr>
                        </w:pPr>
                        <w:r>
                          <w:rPr>
                            <w:sz w:val="18"/>
                          </w:rPr>
                          <w:t>受影响水体水环境质量</w:t>
                        </w:r>
                      </w:p>
                    </w:tc>
                    <w:tc>
                      <w:tcPr>
                        <w:tcW w:w="3648" w:type="dxa"/>
                        <w:gridSpan w:val="2"/>
                        <w:tcBorders>
                          <w:top w:val="single" w:color="000000" w:sz="4" w:space="0"/>
                          <w:left w:val="single" w:color="000000" w:sz="4" w:space="0"/>
                          <w:bottom w:val="single" w:color="000000" w:sz="4" w:space="0"/>
                          <w:right w:val="single" w:color="000000" w:sz="4" w:space="0"/>
                        </w:tcBorders>
                      </w:tcPr>
                      <w:p w14:paraId="7AF6FBD1">
                        <w:pPr>
                          <w:pStyle w:val="17"/>
                          <w:spacing w:before="38"/>
                          <w:ind w:left="1272" w:right="1246"/>
                          <w:rPr>
                            <w:sz w:val="18"/>
                          </w:rPr>
                        </w:pPr>
                        <w:r>
                          <w:rPr>
                            <w:sz w:val="18"/>
                          </w:rPr>
                          <w:t>调查时期</w:t>
                        </w:r>
                      </w:p>
                    </w:tc>
                    <w:tc>
                      <w:tcPr>
                        <w:tcW w:w="3867" w:type="dxa"/>
                        <w:gridSpan w:val="3"/>
                        <w:tcBorders>
                          <w:top w:val="single" w:color="000000" w:sz="4" w:space="0"/>
                          <w:left w:val="single" w:color="000000" w:sz="4" w:space="0"/>
                          <w:bottom w:val="single" w:color="000000" w:sz="4" w:space="0"/>
                        </w:tcBorders>
                      </w:tcPr>
                      <w:p w14:paraId="35985A09">
                        <w:pPr>
                          <w:pStyle w:val="17"/>
                          <w:spacing w:before="38"/>
                          <w:ind w:left="90" w:right="61"/>
                          <w:rPr>
                            <w:sz w:val="18"/>
                          </w:rPr>
                        </w:pPr>
                        <w:r>
                          <w:rPr>
                            <w:sz w:val="18"/>
                          </w:rPr>
                          <w:t>数据来源</w:t>
                        </w:r>
                      </w:p>
                    </w:tc>
                  </w:tr>
                  <w:tr w14:paraId="2DEAA9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5" w:hRule="atLeast"/>
                    </w:trPr>
                    <w:tc>
                      <w:tcPr>
                        <w:tcW w:w="341" w:type="dxa"/>
                        <w:vMerge w:val="continue"/>
                        <w:tcBorders>
                          <w:top w:val="nil"/>
                          <w:bottom w:val="single" w:color="000000" w:sz="6" w:space="0"/>
                          <w:right w:val="single" w:color="000000" w:sz="4" w:space="0"/>
                        </w:tcBorders>
                      </w:tcPr>
                      <w:p w14:paraId="4C0433D9">
                        <w:pPr>
                          <w:rPr>
                            <w:sz w:val="2"/>
                            <w:szCs w:val="2"/>
                          </w:rPr>
                        </w:pPr>
                      </w:p>
                    </w:tc>
                    <w:tc>
                      <w:tcPr>
                        <w:tcW w:w="1362" w:type="dxa"/>
                        <w:vMerge w:val="continue"/>
                        <w:tcBorders>
                          <w:top w:val="nil"/>
                          <w:left w:val="single" w:color="000000" w:sz="4" w:space="0"/>
                          <w:bottom w:val="single" w:color="000000" w:sz="4" w:space="0"/>
                          <w:right w:val="single" w:color="000000" w:sz="4" w:space="0"/>
                        </w:tcBorders>
                      </w:tcPr>
                      <w:p w14:paraId="510EE6F6">
                        <w:pPr>
                          <w:rPr>
                            <w:sz w:val="2"/>
                            <w:szCs w:val="2"/>
                          </w:rPr>
                        </w:pPr>
                      </w:p>
                    </w:tc>
                    <w:tc>
                      <w:tcPr>
                        <w:tcW w:w="3648" w:type="dxa"/>
                        <w:gridSpan w:val="2"/>
                        <w:tcBorders>
                          <w:top w:val="single" w:color="000000" w:sz="4" w:space="0"/>
                          <w:left w:val="single" w:color="000000" w:sz="4" w:space="0"/>
                          <w:bottom w:val="single" w:color="000000" w:sz="4" w:space="0"/>
                          <w:right w:val="single" w:color="000000" w:sz="4" w:space="0"/>
                        </w:tcBorders>
                      </w:tcPr>
                      <w:p w14:paraId="329F64F2">
                        <w:pPr>
                          <w:pStyle w:val="17"/>
                          <w:spacing w:before="8" w:line="232" w:lineRule="exact"/>
                          <w:ind w:left="13" w:right="292"/>
                          <w:jc w:val="left"/>
                          <w:rPr>
                            <w:rFonts w:ascii="Wingdings" w:hAnsi="Wingdings"/>
                            <w:sz w:val="18"/>
                          </w:rPr>
                        </w:pPr>
                        <w:r>
                          <w:rPr>
                            <w:sz w:val="18"/>
                          </w:rPr>
                          <w:t>丰水期</w:t>
                        </w:r>
                        <w:r>
                          <w:rPr>
                            <w:rFonts w:ascii="Segoe UI Symbol" w:hAnsi="Segoe UI Symbol"/>
                            <w:sz w:val="18"/>
                          </w:rPr>
                          <w:t>☐</w:t>
                        </w:r>
                        <w:r>
                          <w:rPr>
                            <w:sz w:val="18"/>
                          </w:rPr>
                          <w:t>；平水期</w:t>
                        </w:r>
                        <w:r>
                          <w:rPr>
                            <w:rFonts w:ascii="Wingdings" w:hAnsi="Wingdings"/>
                            <w:sz w:val="18"/>
                          </w:rPr>
                          <w:t></w:t>
                        </w:r>
                        <w:r>
                          <w:rPr>
                            <w:sz w:val="18"/>
                          </w:rPr>
                          <w:t>；枯水期</w:t>
                        </w:r>
                        <w:r>
                          <w:rPr>
                            <w:rFonts w:ascii="Wingdings" w:hAnsi="Wingdings"/>
                            <w:sz w:val="18"/>
                          </w:rPr>
                          <w:t></w:t>
                        </w:r>
                        <w:r>
                          <w:rPr>
                            <w:sz w:val="18"/>
                          </w:rPr>
                          <w:t>；冰封期</w:t>
                        </w:r>
                        <w:r>
                          <w:rPr>
                            <w:rFonts w:ascii="Segoe UI Symbol" w:hAnsi="Segoe UI Symbol"/>
                            <w:sz w:val="18"/>
                          </w:rPr>
                          <w:t xml:space="preserve">☐ </w:t>
                        </w:r>
                        <w:r>
                          <w:rPr>
                            <w:sz w:val="18"/>
                          </w:rPr>
                          <w:t>春季</w:t>
                        </w:r>
                        <w:r>
                          <w:rPr>
                            <w:rFonts w:ascii="Wingdings" w:hAnsi="Wingdings"/>
                            <w:sz w:val="18"/>
                          </w:rPr>
                          <w:t></w:t>
                        </w:r>
                        <w:r>
                          <w:rPr>
                            <w:sz w:val="18"/>
                          </w:rPr>
                          <w:t>；夏季</w:t>
                        </w:r>
                        <w:r>
                          <w:rPr>
                            <w:rFonts w:ascii="Wingdings" w:hAnsi="Wingdings"/>
                            <w:sz w:val="18"/>
                          </w:rPr>
                          <w:t></w:t>
                        </w:r>
                        <w:r>
                          <w:rPr>
                            <w:sz w:val="18"/>
                          </w:rPr>
                          <w:t>；秋季</w:t>
                        </w:r>
                        <w:r>
                          <w:rPr>
                            <w:rFonts w:ascii="Wingdings" w:hAnsi="Wingdings"/>
                            <w:sz w:val="18"/>
                          </w:rPr>
                          <w:t></w:t>
                        </w:r>
                        <w:r>
                          <w:rPr>
                            <w:sz w:val="18"/>
                          </w:rPr>
                          <w:t>；冬季</w:t>
                        </w:r>
                        <w:r>
                          <w:rPr>
                            <w:rFonts w:ascii="Wingdings" w:hAnsi="Wingdings"/>
                            <w:sz w:val="18"/>
                          </w:rPr>
                          <w:t></w:t>
                        </w:r>
                      </w:p>
                    </w:tc>
                    <w:tc>
                      <w:tcPr>
                        <w:tcW w:w="3867" w:type="dxa"/>
                        <w:gridSpan w:val="3"/>
                        <w:tcBorders>
                          <w:top w:val="single" w:color="000000" w:sz="4" w:space="0"/>
                          <w:left w:val="single" w:color="000000" w:sz="4" w:space="0"/>
                          <w:bottom w:val="single" w:color="000000" w:sz="4" w:space="0"/>
                        </w:tcBorders>
                      </w:tcPr>
                      <w:p w14:paraId="65FD5624">
                        <w:pPr>
                          <w:pStyle w:val="17"/>
                          <w:spacing w:before="121"/>
                          <w:ind w:left="13"/>
                          <w:jc w:val="left"/>
                          <w:rPr>
                            <w:rFonts w:ascii="Wingdings" w:hAnsi="Wingdings"/>
                            <w:sz w:val="18"/>
                          </w:rPr>
                        </w:pPr>
                        <w:r>
                          <w:rPr>
                            <w:sz w:val="18"/>
                          </w:rPr>
                          <w:t>生态环境保护主管部门</w:t>
                        </w:r>
                        <w:r>
                          <w:rPr>
                            <w:rFonts w:ascii="Wingdings" w:hAnsi="Wingdings"/>
                            <w:sz w:val="18"/>
                          </w:rPr>
                          <w:t></w:t>
                        </w:r>
                        <w:r>
                          <w:rPr>
                            <w:sz w:val="18"/>
                          </w:rPr>
                          <w:t>；补充监测</w:t>
                        </w:r>
                        <w:r>
                          <w:rPr>
                            <w:rFonts w:ascii="Wingdings" w:hAnsi="Wingdings"/>
                            <w:sz w:val="18"/>
                          </w:rPr>
                          <w:t></w:t>
                        </w:r>
                        <w:r>
                          <w:rPr>
                            <w:sz w:val="18"/>
                          </w:rPr>
                          <w:t>；其他</w:t>
                        </w:r>
                        <w:r>
                          <w:rPr>
                            <w:rFonts w:ascii="Wingdings" w:hAnsi="Wingdings"/>
                            <w:sz w:val="18"/>
                          </w:rPr>
                          <w:t></w:t>
                        </w:r>
                      </w:p>
                    </w:tc>
                  </w:tr>
                  <w:tr w14:paraId="5266E0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2" w:hRule="atLeast"/>
                    </w:trPr>
                    <w:tc>
                      <w:tcPr>
                        <w:tcW w:w="341" w:type="dxa"/>
                        <w:vMerge w:val="continue"/>
                        <w:tcBorders>
                          <w:top w:val="nil"/>
                          <w:bottom w:val="single" w:color="000000" w:sz="6" w:space="0"/>
                          <w:right w:val="single" w:color="000000" w:sz="4" w:space="0"/>
                        </w:tcBorders>
                      </w:tcPr>
                      <w:p w14:paraId="288A7CC3">
                        <w:pPr>
                          <w:rPr>
                            <w:sz w:val="2"/>
                            <w:szCs w:val="2"/>
                          </w:rPr>
                        </w:pPr>
                      </w:p>
                    </w:tc>
                    <w:tc>
                      <w:tcPr>
                        <w:tcW w:w="1362" w:type="dxa"/>
                        <w:tcBorders>
                          <w:top w:val="single" w:color="000000" w:sz="4" w:space="0"/>
                          <w:left w:val="single" w:color="000000" w:sz="4" w:space="0"/>
                          <w:bottom w:val="single" w:color="000000" w:sz="4" w:space="0"/>
                          <w:right w:val="single" w:color="000000" w:sz="4" w:space="0"/>
                        </w:tcBorders>
                      </w:tcPr>
                      <w:p w14:paraId="1495D33E">
                        <w:pPr>
                          <w:pStyle w:val="17"/>
                          <w:spacing w:line="229" w:lineRule="exact"/>
                          <w:ind w:left="40" w:right="12"/>
                          <w:rPr>
                            <w:sz w:val="18"/>
                          </w:rPr>
                        </w:pPr>
                        <w:r>
                          <w:rPr>
                            <w:sz w:val="18"/>
                          </w:rPr>
                          <w:t>区域水资源开发</w:t>
                        </w:r>
                      </w:p>
                      <w:p w14:paraId="0986EEA0">
                        <w:pPr>
                          <w:pStyle w:val="17"/>
                          <w:spacing w:before="2" w:line="210" w:lineRule="exact"/>
                          <w:ind w:left="42" w:right="12"/>
                          <w:rPr>
                            <w:sz w:val="18"/>
                          </w:rPr>
                        </w:pPr>
                        <w:r>
                          <w:rPr>
                            <w:sz w:val="18"/>
                          </w:rPr>
                          <w:t>利用状况</w:t>
                        </w:r>
                      </w:p>
                    </w:tc>
                    <w:tc>
                      <w:tcPr>
                        <w:tcW w:w="7515" w:type="dxa"/>
                        <w:gridSpan w:val="5"/>
                        <w:tcBorders>
                          <w:top w:val="single" w:color="000000" w:sz="4" w:space="0"/>
                          <w:left w:val="single" w:color="000000" w:sz="4" w:space="0"/>
                          <w:bottom w:val="single" w:color="000000" w:sz="4" w:space="0"/>
                        </w:tcBorders>
                      </w:tcPr>
                      <w:p w14:paraId="7787E3D7">
                        <w:pPr>
                          <w:pStyle w:val="17"/>
                          <w:spacing w:before="107"/>
                          <w:ind w:left="13"/>
                          <w:jc w:val="left"/>
                          <w:rPr>
                            <w:rFonts w:ascii="Segoe UI Symbol" w:hAnsi="Segoe UI Symbol" w:eastAsia="Segoe UI Symbol"/>
                            <w:sz w:val="18"/>
                          </w:rPr>
                        </w:pPr>
                        <w:r>
                          <w:rPr>
                            <w:sz w:val="18"/>
                          </w:rPr>
                          <w:t>未开发</w:t>
                        </w:r>
                        <w:r>
                          <w:rPr>
                            <w:rFonts w:ascii="Segoe UI Symbol" w:hAnsi="Segoe UI Symbol" w:eastAsia="Segoe UI Symbol"/>
                            <w:sz w:val="18"/>
                          </w:rPr>
                          <w:t>☐</w:t>
                        </w:r>
                        <w:r>
                          <w:rPr>
                            <w:sz w:val="18"/>
                          </w:rPr>
                          <w:t xml:space="preserve">；开发量 </w:t>
                        </w:r>
                        <w:r>
                          <w:rPr>
                            <w:rFonts w:ascii="Times New Roman" w:hAnsi="Times New Roman" w:eastAsia="Times New Roman"/>
                            <w:sz w:val="18"/>
                          </w:rPr>
                          <w:t>40%</w:t>
                        </w:r>
                        <w:r>
                          <w:rPr>
                            <w:sz w:val="18"/>
                          </w:rPr>
                          <w:t>以下</w:t>
                        </w:r>
                        <w:r>
                          <w:rPr>
                            <w:rFonts w:ascii="Wingdings" w:hAnsi="Wingdings" w:eastAsia="Wingdings"/>
                            <w:sz w:val="18"/>
                          </w:rPr>
                          <w:t></w:t>
                        </w:r>
                        <w:r>
                          <w:rPr>
                            <w:sz w:val="18"/>
                          </w:rPr>
                          <w:t xml:space="preserve">；开发量 </w:t>
                        </w:r>
                        <w:r>
                          <w:rPr>
                            <w:rFonts w:ascii="Times New Roman" w:hAnsi="Times New Roman" w:eastAsia="Times New Roman"/>
                            <w:sz w:val="18"/>
                          </w:rPr>
                          <w:t>40%</w:t>
                        </w:r>
                        <w:r>
                          <w:rPr>
                            <w:sz w:val="18"/>
                          </w:rPr>
                          <w:t>以上</w:t>
                        </w:r>
                        <w:r>
                          <w:rPr>
                            <w:rFonts w:ascii="Segoe UI Symbol" w:hAnsi="Segoe UI Symbol" w:eastAsia="Segoe UI Symbol"/>
                            <w:sz w:val="18"/>
                          </w:rPr>
                          <w:t>☐</w:t>
                        </w:r>
                      </w:p>
                    </w:tc>
                  </w:tr>
                  <w:tr w14:paraId="50899C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7" w:hRule="atLeast"/>
                    </w:trPr>
                    <w:tc>
                      <w:tcPr>
                        <w:tcW w:w="341" w:type="dxa"/>
                        <w:vMerge w:val="continue"/>
                        <w:tcBorders>
                          <w:top w:val="nil"/>
                          <w:bottom w:val="single" w:color="000000" w:sz="6" w:space="0"/>
                          <w:right w:val="single" w:color="000000" w:sz="4" w:space="0"/>
                        </w:tcBorders>
                      </w:tcPr>
                      <w:p w14:paraId="783176FC">
                        <w:pPr>
                          <w:rPr>
                            <w:sz w:val="2"/>
                            <w:szCs w:val="2"/>
                          </w:rPr>
                        </w:pPr>
                      </w:p>
                    </w:tc>
                    <w:tc>
                      <w:tcPr>
                        <w:tcW w:w="1362" w:type="dxa"/>
                        <w:vMerge w:val="restart"/>
                        <w:tcBorders>
                          <w:top w:val="single" w:color="000000" w:sz="4" w:space="0"/>
                          <w:left w:val="single" w:color="000000" w:sz="4" w:space="0"/>
                          <w:bottom w:val="single" w:color="000000" w:sz="4" w:space="0"/>
                          <w:right w:val="single" w:color="000000" w:sz="4" w:space="0"/>
                        </w:tcBorders>
                      </w:tcPr>
                      <w:p w14:paraId="240406FE">
                        <w:pPr>
                          <w:pStyle w:val="17"/>
                          <w:spacing w:before="7"/>
                          <w:jc w:val="left"/>
                          <w:rPr>
                            <w:sz w:val="22"/>
                          </w:rPr>
                        </w:pPr>
                      </w:p>
                      <w:p w14:paraId="64D1A37A">
                        <w:pPr>
                          <w:pStyle w:val="17"/>
                          <w:spacing w:before="1"/>
                          <w:ind w:left="151"/>
                          <w:jc w:val="left"/>
                          <w:rPr>
                            <w:sz w:val="18"/>
                          </w:rPr>
                        </w:pPr>
                        <w:r>
                          <w:rPr>
                            <w:sz w:val="18"/>
                          </w:rPr>
                          <w:t>水文情势调查</w:t>
                        </w:r>
                      </w:p>
                    </w:tc>
                    <w:tc>
                      <w:tcPr>
                        <w:tcW w:w="3648" w:type="dxa"/>
                        <w:gridSpan w:val="2"/>
                        <w:tcBorders>
                          <w:top w:val="single" w:color="000000" w:sz="4" w:space="0"/>
                          <w:left w:val="single" w:color="000000" w:sz="4" w:space="0"/>
                          <w:bottom w:val="single" w:color="000000" w:sz="4" w:space="0"/>
                          <w:right w:val="single" w:color="000000" w:sz="4" w:space="0"/>
                        </w:tcBorders>
                      </w:tcPr>
                      <w:p w14:paraId="1EA5B11F">
                        <w:pPr>
                          <w:pStyle w:val="17"/>
                          <w:spacing w:before="37"/>
                          <w:ind w:left="1272" w:right="1246"/>
                          <w:rPr>
                            <w:sz w:val="18"/>
                          </w:rPr>
                        </w:pPr>
                        <w:r>
                          <w:rPr>
                            <w:sz w:val="18"/>
                          </w:rPr>
                          <w:t>调查时期</w:t>
                        </w:r>
                      </w:p>
                    </w:tc>
                    <w:tc>
                      <w:tcPr>
                        <w:tcW w:w="3867" w:type="dxa"/>
                        <w:gridSpan w:val="3"/>
                        <w:tcBorders>
                          <w:top w:val="single" w:color="000000" w:sz="4" w:space="0"/>
                          <w:left w:val="single" w:color="000000" w:sz="4" w:space="0"/>
                          <w:bottom w:val="single" w:color="000000" w:sz="4" w:space="0"/>
                        </w:tcBorders>
                      </w:tcPr>
                      <w:p w14:paraId="23175A22">
                        <w:pPr>
                          <w:pStyle w:val="17"/>
                          <w:spacing w:before="37"/>
                          <w:ind w:left="90" w:right="61"/>
                          <w:rPr>
                            <w:sz w:val="18"/>
                          </w:rPr>
                        </w:pPr>
                        <w:r>
                          <w:rPr>
                            <w:sz w:val="18"/>
                          </w:rPr>
                          <w:t>数据来源</w:t>
                        </w:r>
                      </w:p>
                    </w:tc>
                  </w:tr>
                  <w:tr w14:paraId="2E58FC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6" w:hRule="atLeast"/>
                    </w:trPr>
                    <w:tc>
                      <w:tcPr>
                        <w:tcW w:w="341" w:type="dxa"/>
                        <w:vMerge w:val="continue"/>
                        <w:tcBorders>
                          <w:top w:val="nil"/>
                          <w:bottom w:val="single" w:color="000000" w:sz="6" w:space="0"/>
                          <w:right w:val="single" w:color="000000" w:sz="4" w:space="0"/>
                        </w:tcBorders>
                      </w:tcPr>
                      <w:p w14:paraId="7B65CA3F">
                        <w:pPr>
                          <w:rPr>
                            <w:sz w:val="2"/>
                            <w:szCs w:val="2"/>
                          </w:rPr>
                        </w:pPr>
                      </w:p>
                    </w:tc>
                    <w:tc>
                      <w:tcPr>
                        <w:tcW w:w="1362" w:type="dxa"/>
                        <w:vMerge w:val="continue"/>
                        <w:tcBorders>
                          <w:top w:val="nil"/>
                          <w:left w:val="single" w:color="000000" w:sz="4" w:space="0"/>
                          <w:bottom w:val="single" w:color="000000" w:sz="4" w:space="0"/>
                          <w:right w:val="single" w:color="000000" w:sz="4" w:space="0"/>
                        </w:tcBorders>
                      </w:tcPr>
                      <w:p w14:paraId="62FC1CF9">
                        <w:pPr>
                          <w:rPr>
                            <w:sz w:val="2"/>
                            <w:szCs w:val="2"/>
                          </w:rPr>
                        </w:pPr>
                      </w:p>
                    </w:tc>
                    <w:tc>
                      <w:tcPr>
                        <w:tcW w:w="3648" w:type="dxa"/>
                        <w:gridSpan w:val="2"/>
                        <w:tcBorders>
                          <w:top w:val="single" w:color="000000" w:sz="4" w:space="0"/>
                          <w:left w:val="single" w:color="000000" w:sz="4" w:space="0"/>
                          <w:bottom w:val="single" w:color="000000" w:sz="4" w:space="0"/>
                          <w:right w:val="single" w:color="000000" w:sz="4" w:space="0"/>
                        </w:tcBorders>
                      </w:tcPr>
                      <w:p w14:paraId="1DE774D6">
                        <w:pPr>
                          <w:pStyle w:val="17"/>
                          <w:spacing w:line="242" w:lineRule="exact"/>
                          <w:ind w:left="13"/>
                          <w:jc w:val="left"/>
                          <w:rPr>
                            <w:rFonts w:ascii="Segoe UI Symbol" w:hAnsi="Segoe UI Symbol" w:eastAsia="Segoe UI Symbol"/>
                            <w:sz w:val="18"/>
                          </w:rPr>
                        </w:pPr>
                        <w:r>
                          <w:rPr>
                            <w:sz w:val="18"/>
                          </w:rPr>
                          <w:t>丰水期</w:t>
                        </w:r>
                        <w:r>
                          <w:rPr>
                            <w:rFonts w:ascii="Segoe UI Symbol" w:hAnsi="Segoe UI Symbol" w:eastAsia="Segoe UI Symbol"/>
                            <w:sz w:val="18"/>
                          </w:rPr>
                          <w:t>☐</w:t>
                        </w:r>
                        <w:r>
                          <w:rPr>
                            <w:sz w:val="18"/>
                          </w:rPr>
                          <w:t>；平水期</w:t>
                        </w:r>
                        <w:r>
                          <w:rPr>
                            <w:rFonts w:ascii="Segoe UI Symbol" w:hAnsi="Segoe UI Symbol" w:eastAsia="Segoe UI Symbol"/>
                            <w:sz w:val="18"/>
                          </w:rPr>
                          <w:t>☐</w:t>
                        </w:r>
                        <w:r>
                          <w:rPr>
                            <w:sz w:val="18"/>
                          </w:rPr>
                          <w:t>；枯水期</w:t>
                        </w:r>
                        <w:r>
                          <w:rPr>
                            <w:rFonts w:ascii="Segoe UI Symbol" w:hAnsi="Segoe UI Symbol" w:eastAsia="Segoe UI Symbol"/>
                            <w:sz w:val="18"/>
                          </w:rPr>
                          <w:t>☐</w:t>
                        </w:r>
                        <w:r>
                          <w:rPr>
                            <w:sz w:val="18"/>
                          </w:rPr>
                          <w:t>；冰封期</w:t>
                        </w:r>
                        <w:r>
                          <w:rPr>
                            <w:rFonts w:ascii="Segoe UI Symbol" w:hAnsi="Segoe UI Symbol" w:eastAsia="Segoe UI Symbol"/>
                            <w:sz w:val="18"/>
                          </w:rPr>
                          <w:t>☐</w:t>
                        </w:r>
                      </w:p>
                      <w:p w14:paraId="50371963">
                        <w:pPr>
                          <w:pStyle w:val="17"/>
                          <w:spacing w:before="2" w:line="223" w:lineRule="exact"/>
                          <w:ind w:left="13"/>
                          <w:jc w:val="left"/>
                          <w:rPr>
                            <w:rFonts w:ascii="Segoe UI Symbol" w:hAnsi="Segoe UI Symbol" w:eastAsia="Segoe UI Symbol"/>
                            <w:sz w:val="18"/>
                          </w:rPr>
                        </w:pPr>
                        <w:r>
                          <w:rPr>
                            <w:sz w:val="18"/>
                          </w:rPr>
                          <w:t>春季</w:t>
                        </w:r>
                        <w:r>
                          <w:rPr>
                            <w:rFonts w:ascii="Segoe UI Symbol" w:hAnsi="Segoe UI Symbol" w:eastAsia="Segoe UI Symbol"/>
                            <w:sz w:val="18"/>
                          </w:rPr>
                          <w:t>☐</w:t>
                        </w:r>
                        <w:r>
                          <w:rPr>
                            <w:sz w:val="18"/>
                          </w:rPr>
                          <w:t>；夏季</w:t>
                        </w:r>
                        <w:r>
                          <w:rPr>
                            <w:rFonts w:ascii="Segoe UI Symbol" w:hAnsi="Segoe UI Symbol" w:eastAsia="Segoe UI Symbol"/>
                            <w:sz w:val="18"/>
                          </w:rPr>
                          <w:t>☐</w:t>
                        </w:r>
                        <w:r>
                          <w:rPr>
                            <w:sz w:val="18"/>
                          </w:rPr>
                          <w:t>；秋季</w:t>
                        </w:r>
                        <w:r>
                          <w:rPr>
                            <w:rFonts w:ascii="Segoe UI Symbol" w:hAnsi="Segoe UI Symbol" w:eastAsia="Segoe UI Symbol"/>
                            <w:sz w:val="18"/>
                          </w:rPr>
                          <w:t>☐</w:t>
                        </w:r>
                        <w:r>
                          <w:rPr>
                            <w:sz w:val="18"/>
                          </w:rPr>
                          <w:t>；冬季</w:t>
                        </w:r>
                        <w:r>
                          <w:rPr>
                            <w:rFonts w:ascii="Segoe UI Symbol" w:hAnsi="Segoe UI Symbol" w:eastAsia="Segoe UI Symbol"/>
                            <w:sz w:val="18"/>
                          </w:rPr>
                          <w:t>☐</w:t>
                        </w:r>
                      </w:p>
                    </w:tc>
                    <w:tc>
                      <w:tcPr>
                        <w:tcW w:w="3867" w:type="dxa"/>
                        <w:gridSpan w:val="3"/>
                        <w:tcBorders>
                          <w:top w:val="single" w:color="000000" w:sz="4" w:space="0"/>
                          <w:left w:val="single" w:color="000000" w:sz="4" w:space="0"/>
                          <w:bottom w:val="single" w:color="000000" w:sz="4" w:space="0"/>
                        </w:tcBorders>
                      </w:tcPr>
                      <w:p w14:paraId="34CAAB25">
                        <w:pPr>
                          <w:pStyle w:val="17"/>
                          <w:spacing w:before="119"/>
                          <w:ind w:left="13"/>
                          <w:jc w:val="left"/>
                          <w:rPr>
                            <w:rFonts w:ascii="Segoe UI Symbol" w:hAnsi="Segoe UI Symbol" w:eastAsia="Segoe UI Symbol"/>
                            <w:sz w:val="18"/>
                          </w:rPr>
                        </w:pPr>
                        <w:r>
                          <w:rPr>
                            <w:sz w:val="18"/>
                          </w:rPr>
                          <w:t>水行政主管部门</w:t>
                        </w:r>
                        <w:r>
                          <w:rPr>
                            <w:rFonts w:ascii="Segoe UI Symbol" w:hAnsi="Segoe UI Symbol" w:eastAsia="Segoe UI Symbol"/>
                            <w:sz w:val="18"/>
                          </w:rPr>
                          <w:t>☐</w:t>
                        </w:r>
                        <w:r>
                          <w:rPr>
                            <w:sz w:val="18"/>
                          </w:rPr>
                          <w:t>；补充监测</w:t>
                        </w:r>
                        <w:r>
                          <w:rPr>
                            <w:rFonts w:ascii="Segoe UI Symbol" w:hAnsi="Segoe UI Symbol" w:eastAsia="Segoe UI Symbol"/>
                            <w:sz w:val="18"/>
                          </w:rPr>
                          <w:t>☐</w:t>
                        </w:r>
                        <w:r>
                          <w:rPr>
                            <w:sz w:val="18"/>
                          </w:rPr>
                          <w:t>；其他</w:t>
                        </w:r>
                        <w:r>
                          <w:rPr>
                            <w:rFonts w:ascii="Segoe UI Symbol" w:hAnsi="Segoe UI Symbol" w:eastAsia="Segoe UI Symbol"/>
                            <w:sz w:val="18"/>
                          </w:rPr>
                          <w:t>☐</w:t>
                        </w:r>
                      </w:p>
                    </w:tc>
                  </w:tr>
                  <w:tr w14:paraId="02DE8FD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7" w:hRule="atLeast"/>
                    </w:trPr>
                    <w:tc>
                      <w:tcPr>
                        <w:tcW w:w="341" w:type="dxa"/>
                        <w:vMerge w:val="continue"/>
                        <w:tcBorders>
                          <w:top w:val="nil"/>
                          <w:bottom w:val="single" w:color="000000" w:sz="6" w:space="0"/>
                          <w:right w:val="single" w:color="000000" w:sz="4" w:space="0"/>
                        </w:tcBorders>
                      </w:tcPr>
                      <w:p w14:paraId="41A7C594">
                        <w:pPr>
                          <w:rPr>
                            <w:sz w:val="2"/>
                            <w:szCs w:val="2"/>
                          </w:rPr>
                        </w:pPr>
                      </w:p>
                    </w:tc>
                    <w:tc>
                      <w:tcPr>
                        <w:tcW w:w="1362" w:type="dxa"/>
                        <w:vMerge w:val="restart"/>
                        <w:tcBorders>
                          <w:top w:val="single" w:color="000000" w:sz="4" w:space="0"/>
                          <w:left w:val="single" w:color="000000" w:sz="4" w:space="0"/>
                          <w:bottom w:val="single" w:color="000000" w:sz="6" w:space="0"/>
                          <w:right w:val="single" w:color="000000" w:sz="4" w:space="0"/>
                        </w:tcBorders>
                      </w:tcPr>
                      <w:p w14:paraId="19C54748">
                        <w:pPr>
                          <w:pStyle w:val="17"/>
                          <w:spacing w:before="4"/>
                          <w:jc w:val="left"/>
                          <w:rPr>
                            <w:sz w:val="25"/>
                          </w:rPr>
                        </w:pPr>
                      </w:p>
                      <w:p w14:paraId="786093D2">
                        <w:pPr>
                          <w:pStyle w:val="17"/>
                          <w:ind w:left="331"/>
                          <w:jc w:val="left"/>
                          <w:rPr>
                            <w:sz w:val="18"/>
                          </w:rPr>
                        </w:pPr>
                        <w:r>
                          <w:rPr>
                            <w:sz w:val="18"/>
                          </w:rPr>
                          <w:t>补充监测</w:t>
                        </w:r>
                      </w:p>
                    </w:tc>
                    <w:tc>
                      <w:tcPr>
                        <w:tcW w:w="3648" w:type="dxa"/>
                        <w:gridSpan w:val="2"/>
                        <w:tcBorders>
                          <w:top w:val="single" w:color="000000" w:sz="4" w:space="0"/>
                          <w:left w:val="single" w:color="000000" w:sz="4" w:space="0"/>
                          <w:bottom w:val="single" w:color="000000" w:sz="4" w:space="0"/>
                          <w:right w:val="single" w:color="000000" w:sz="4" w:space="0"/>
                        </w:tcBorders>
                      </w:tcPr>
                      <w:p w14:paraId="6D887FB7">
                        <w:pPr>
                          <w:pStyle w:val="17"/>
                          <w:spacing w:before="39"/>
                          <w:ind w:left="1272" w:right="1246"/>
                          <w:rPr>
                            <w:sz w:val="18"/>
                          </w:rPr>
                        </w:pPr>
                        <w:r>
                          <w:rPr>
                            <w:sz w:val="18"/>
                          </w:rPr>
                          <w:t>监测时期</w:t>
                        </w:r>
                      </w:p>
                    </w:tc>
                    <w:tc>
                      <w:tcPr>
                        <w:tcW w:w="2161" w:type="dxa"/>
                        <w:tcBorders>
                          <w:top w:val="single" w:color="000000" w:sz="4" w:space="0"/>
                          <w:left w:val="single" w:color="000000" w:sz="4" w:space="0"/>
                          <w:bottom w:val="single" w:color="000000" w:sz="4" w:space="0"/>
                          <w:right w:val="single" w:color="000000" w:sz="4" w:space="0"/>
                        </w:tcBorders>
                      </w:tcPr>
                      <w:p w14:paraId="3E568B63">
                        <w:pPr>
                          <w:pStyle w:val="17"/>
                          <w:spacing w:before="39"/>
                          <w:ind w:left="25"/>
                          <w:rPr>
                            <w:sz w:val="18"/>
                          </w:rPr>
                        </w:pPr>
                        <w:r>
                          <w:rPr>
                            <w:sz w:val="18"/>
                          </w:rPr>
                          <w:t>监测因子</w:t>
                        </w:r>
                      </w:p>
                    </w:tc>
                    <w:tc>
                      <w:tcPr>
                        <w:tcW w:w="1706" w:type="dxa"/>
                        <w:gridSpan w:val="2"/>
                        <w:tcBorders>
                          <w:top w:val="single" w:color="000000" w:sz="4" w:space="0"/>
                          <w:left w:val="single" w:color="000000" w:sz="4" w:space="0"/>
                          <w:bottom w:val="single" w:color="000000" w:sz="4" w:space="0"/>
                        </w:tcBorders>
                      </w:tcPr>
                      <w:p w14:paraId="045591BE">
                        <w:pPr>
                          <w:pStyle w:val="17"/>
                          <w:spacing w:before="39"/>
                          <w:ind w:left="228"/>
                          <w:jc w:val="left"/>
                          <w:rPr>
                            <w:sz w:val="18"/>
                          </w:rPr>
                        </w:pPr>
                        <w:r>
                          <w:rPr>
                            <w:sz w:val="18"/>
                          </w:rPr>
                          <w:t>监测断面或点位</w:t>
                        </w:r>
                      </w:p>
                    </w:tc>
                  </w:tr>
                  <w:tr w14:paraId="4B110E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9" w:hRule="atLeast"/>
                    </w:trPr>
                    <w:tc>
                      <w:tcPr>
                        <w:tcW w:w="341" w:type="dxa"/>
                        <w:vMerge w:val="continue"/>
                        <w:tcBorders>
                          <w:top w:val="nil"/>
                          <w:bottom w:val="single" w:color="000000" w:sz="6" w:space="0"/>
                          <w:right w:val="single" w:color="000000" w:sz="4" w:space="0"/>
                        </w:tcBorders>
                      </w:tcPr>
                      <w:p w14:paraId="2D418600">
                        <w:pPr>
                          <w:rPr>
                            <w:sz w:val="2"/>
                            <w:szCs w:val="2"/>
                          </w:rPr>
                        </w:pPr>
                      </w:p>
                    </w:tc>
                    <w:tc>
                      <w:tcPr>
                        <w:tcW w:w="1362" w:type="dxa"/>
                        <w:vMerge w:val="continue"/>
                        <w:tcBorders>
                          <w:top w:val="nil"/>
                          <w:left w:val="single" w:color="000000" w:sz="4" w:space="0"/>
                          <w:bottom w:val="single" w:color="000000" w:sz="6" w:space="0"/>
                          <w:right w:val="single" w:color="000000" w:sz="4" w:space="0"/>
                        </w:tcBorders>
                      </w:tcPr>
                      <w:p w14:paraId="2E78C858">
                        <w:pPr>
                          <w:rPr>
                            <w:sz w:val="2"/>
                            <w:szCs w:val="2"/>
                          </w:rPr>
                        </w:pPr>
                      </w:p>
                    </w:tc>
                    <w:tc>
                      <w:tcPr>
                        <w:tcW w:w="3648" w:type="dxa"/>
                        <w:gridSpan w:val="2"/>
                        <w:tcBorders>
                          <w:top w:val="single" w:color="000000" w:sz="4" w:space="0"/>
                          <w:left w:val="single" w:color="000000" w:sz="4" w:space="0"/>
                          <w:bottom w:val="single" w:color="000000" w:sz="6" w:space="0"/>
                          <w:right w:val="single" w:color="000000" w:sz="4" w:space="0"/>
                        </w:tcBorders>
                      </w:tcPr>
                      <w:p w14:paraId="0E353B2E">
                        <w:pPr>
                          <w:pStyle w:val="17"/>
                          <w:spacing w:before="32" w:line="242" w:lineRule="auto"/>
                          <w:ind w:left="13" w:right="297"/>
                          <w:jc w:val="left"/>
                          <w:rPr>
                            <w:rFonts w:ascii="Wingdings" w:hAnsi="Wingdings"/>
                            <w:sz w:val="18"/>
                          </w:rPr>
                        </w:pPr>
                        <w:r>
                          <w:rPr>
                            <w:sz w:val="18"/>
                          </w:rPr>
                          <w:t>丰水期</w:t>
                        </w:r>
                        <w:r>
                          <w:rPr>
                            <w:rFonts w:ascii="Segoe UI Symbol" w:hAnsi="Segoe UI Symbol"/>
                            <w:sz w:val="18"/>
                          </w:rPr>
                          <w:t>☐</w:t>
                        </w:r>
                        <w:r>
                          <w:rPr>
                            <w:sz w:val="18"/>
                          </w:rPr>
                          <w:t>；平水期</w:t>
                        </w:r>
                        <w:r>
                          <w:rPr>
                            <w:rFonts w:ascii="Segoe UI Symbol" w:hAnsi="Segoe UI Symbol"/>
                            <w:sz w:val="18"/>
                          </w:rPr>
                          <w:t>☐</w:t>
                        </w:r>
                        <w:r>
                          <w:rPr>
                            <w:sz w:val="18"/>
                          </w:rPr>
                          <w:t>；枯水期</w:t>
                        </w:r>
                        <w:r>
                          <w:rPr>
                            <w:rFonts w:ascii="Wingdings" w:hAnsi="Wingdings"/>
                            <w:sz w:val="18"/>
                          </w:rPr>
                          <w:t></w:t>
                        </w:r>
                        <w:r>
                          <w:rPr>
                            <w:sz w:val="18"/>
                          </w:rPr>
                          <w:t>；冰封期</w:t>
                        </w:r>
                        <w:r>
                          <w:rPr>
                            <w:rFonts w:ascii="Segoe UI Symbol" w:hAnsi="Segoe UI Symbol"/>
                            <w:sz w:val="18"/>
                          </w:rPr>
                          <w:t xml:space="preserve">☐ </w:t>
                        </w:r>
                        <w:r>
                          <w:rPr>
                            <w:sz w:val="18"/>
                          </w:rPr>
                          <w:t>春季</w:t>
                        </w:r>
                        <w:r>
                          <w:rPr>
                            <w:rFonts w:ascii="Wingdings" w:hAnsi="Wingdings"/>
                            <w:sz w:val="18"/>
                          </w:rPr>
                          <w:t></w:t>
                        </w:r>
                        <w:r>
                          <w:rPr>
                            <w:sz w:val="18"/>
                          </w:rPr>
                          <w:t>；夏季</w:t>
                        </w:r>
                        <w:r>
                          <w:rPr>
                            <w:rFonts w:ascii="Segoe UI Symbol" w:hAnsi="Segoe UI Symbol"/>
                            <w:sz w:val="18"/>
                          </w:rPr>
                          <w:t>☐</w:t>
                        </w:r>
                        <w:r>
                          <w:rPr>
                            <w:sz w:val="18"/>
                          </w:rPr>
                          <w:t>；秋季</w:t>
                        </w:r>
                        <w:r>
                          <w:rPr>
                            <w:rFonts w:ascii="Segoe UI Symbol" w:hAnsi="Segoe UI Symbol"/>
                            <w:sz w:val="18"/>
                          </w:rPr>
                          <w:t>☐</w:t>
                        </w:r>
                        <w:r>
                          <w:rPr>
                            <w:sz w:val="18"/>
                          </w:rPr>
                          <w:t>；冬季</w:t>
                        </w:r>
                        <w:r>
                          <w:rPr>
                            <w:rFonts w:ascii="Wingdings" w:hAnsi="Wingdings"/>
                            <w:sz w:val="18"/>
                          </w:rPr>
                          <w:t></w:t>
                        </w:r>
                      </w:p>
                    </w:tc>
                    <w:tc>
                      <w:tcPr>
                        <w:tcW w:w="2161" w:type="dxa"/>
                        <w:tcBorders>
                          <w:top w:val="single" w:color="000000" w:sz="4" w:space="0"/>
                          <w:left w:val="single" w:color="000000" w:sz="4" w:space="0"/>
                          <w:bottom w:val="single" w:color="000000" w:sz="6" w:space="0"/>
                          <w:right w:val="single" w:color="000000" w:sz="4" w:space="0"/>
                        </w:tcBorders>
                      </w:tcPr>
                      <w:p w14:paraId="7710F637">
                        <w:pPr>
                          <w:pStyle w:val="17"/>
                          <w:tabs>
                            <w:tab w:val="left" w:pos="354"/>
                          </w:tabs>
                          <w:spacing w:before="175"/>
                          <w:ind w:left="25"/>
                          <w:rPr>
                            <w:rFonts w:ascii="Times New Roman"/>
                            <w:sz w:val="18"/>
                          </w:rPr>
                        </w:pPr>
                        <w:r>
                          <w:rPr>
                            <w:rFonts w:ascii="Times New Roman"/>
                            <w:sz w:val="18"/>
                          </w:rPr>
                          <w:t>(</w:t>
                        </w:r>
                        <w:r>
                          <w:rPr>
                            <w:rFonts w:ascii="Times New Roman"/>
                            <w:sz w:val="18"/>
                          </w:rPr>
                          <w:tab/>
                        </w:r>
                        <w:r>
                          <w:rPr>
                            <w:rFonts w:ascii="Times New Roman"/>
                            <w:sz w:val="18"/>
                          </w:rPr>
                          <w:t>)</w:t>
                        </w:r>
                      </w:p>
                    </w:tc>
                    <w:tc>
                      <w:tcPr>
                        <w:tcW w:w="1706" w:type="dxa"/>
                        <w:gridSpan w:val="2"/>
                        <w:tcBorders>
                          <w:top w:val="single" w:color="000000" w:sz="4" w:space="0"/>
                          <w:left w:val="single" w:color="000000" w:sz="4" w:space="0"/>
                          <w:bottom w:val="single" w:color="000000" w:sz="6" w:space="0"/>
                        </w:tcBorders>
                      </w:tcPr>
                      <w:p w14:paraId="1EF8BB48">
                        <w:pPr>
                          <w:pStyle w:val="17"/>
                          <w:spacing w:before="46"/>
                          <w:ind w:left="30"/>
                          <w:rPr>
                            <w:sz w:val="18"/>
                          </w:rPr>
                        </w:pPr>
                        <w:r>
                          <w:rPr>
                            <w:sz w:val="18"/>
                          </w:rPr>
                          <w:t>监测断面或点位个数</w:t>
                        </w:r>
                      </w:p>
                      <w:p w14:paraId="0A001F34">
                        <w:pPr>
                          <w:pStyle w:val="17"/>
                          <w:tabs>
                            <w:tab w:val="left" w:pos="354"/>
                          </w:tabs>
                          <w:spacing w:before="2"/>
                          <w:ind w:left="25"/>
                          <w:rPr>
                            <w:sz w:val="18"/>
                          </w:rPr>
                        </w:pPr>
                        <w:r>
                          <w:rPr>
                            <w:rFonts w:ascii="Times New Roman" w:eastAsia="Times New Roman"/>
                            <w:sz w:val="18"/>
                          </w:rPr>
                          <w:t>(</w:t>
                        </w:r>
                        <w:r>
                          <w:rPr>
                            <w:rFonts w:ascii="Times New Roman" w:eastAsia="Times New Roman"/>
                            <w:sz w:val="18"/>
                          </w:rPr>
                          <w:tab/>
                        </w:r>
                        <w:r>
                          <w:rPr>
                            <w:rFonts w:ascii="Times New Roman" w:eastAsia="Times New Roman"/>
                            <w:sz w:val="18"/>
                          </w:rPr>
                          <w:t>)</w:t>
                        </w:r>
                        <w:r>
                          <w:rPr>
                            <w:sz w:val="18"/>
                          </w:rPr>
                          <w:t>个</w:t>
                        </w:r>
                      </w:p>
                    </w:tc>
                  </w:tr>
                  <w:tr w14:paraId="6F1984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341" w:type="dxa"/>
                        <w:vMerge w:val="restart"/>
                        <w:tcBorders>
                          <w:top w:val="single" w:color="000000" w:sz="6" w:space="0"/>
                          <w:right w:val="single" w:color="000000" w:sz="6" w:space="0"/>
                        </w:tcBorders>
                      </w:tcPr>
                      <w:p w14:paraId="7DA95145">
                        <w:pPr>
                          <w:pStyle w:val="17"/>
                          <w:jc w:val="left"/>
                          <w:rPr>
                            <w:sz w:val="18"/>
                          </w:rPr>
                        </w:pPr>
                      </w:p>
                      <w:p w14:paraId="73872D12">
                        <w:pPr>
                          <w:pStyle w:val="17"/>
                          <w:jc w:val="left"/>
                          <w:rPr>
                            <w:sz w:val="18"/>
                          </w:rPr>
                        </w:pPr>
                      </w:p>
                      <w:p w14:paraId="6AB3BE22">
                        <w:pPr>
                          <w:pStyle w:val="17"/>
                          <w:jc w:val="left"/>
                          <w:rPr>
                            <w:sz w:val="18"/>
                          </w:rPr>
                        </w:pPr>
                      </w:p>
                      <w:p w14:paraId="4D43490E">
                        <w:pPr>
                          <w:pStyle w:val="17"/>
                          <w:jc w:val="left"/>
                          <w:rPr>
                            <w:sz w:val="18"/>
                          </w:rPr>
                        </w:pPr>
                      </w:p>
                      <w:p w14:paraId="5FAC97F2">
                        <w:pPr>
                          <w:pStyle w:val="17"/>
                          <w:jc w:val="left"/>
                          <w:rPr>
                            <w:sz w:val="18"/>
                          </w:rPr>
                        </w:pPr>
                      </w:p>
                      <w:p w14:paraId="30AEAB57">
                        <w:pPr>
                          <w:pStyle w:val="17"/>
                          <w:jc w:val="left"/>
                          <w:rPr>
                            <w:sz w:val="18"/>
                          </w:rPr>
                        </w:pPr>
                      </w:p>
                      <w:p w14:paraId="1D5965B7">
                        <w:pPr>
                          <w:pStyle w:val="17"/>
                          <w:spacing w:before="7"/>
                          <w:jc w:val="left"/>
                          <w:rPr>
                            <w:sz w:val="24"/>
                          </w:rPr>
                        </w:pPr>
                      </w:p>
                      <w:p w14:paraId="7C935CB4">
                        <w:pPr>
                          <w:pStyle w:val="17"/>
                          <w:spacing w:line="242" w:lineRule="auto"/>
                          <w:ind w:left="83" w:right="52"/>
                          <w:jc w:val="both"/>
                          <w:rPr>
                            <w:sz w:val="18"/>
                          </w:rPr>
                        </w:pPr>
                        <w:r>
                          <w:rPr>
                            <w:sz w:val="18"/>
                          </w:rPr>
                          <w:t>现状评价</w:t>
                        </w:r>
                      </w:p>
                    </w:tc>
                    <w:tc>
                      <w:tcPr>
                        <w:tcW w:w="1362" w:type="dxa"/>
                        <w:tcBorders>
                          <w:top w:val="single" w:color="000000" w:sz="6" w:space="0"/>
                          <w:left w:val="single" w:color="000000" w:sz="6" w:space="0"/>
                          <w:bottom w:val="single" w:color="000000" w:sz="6" w:space="0"/>
                          <w:right w:val="single" w:color="000000" w:sz="6" w:space="0"/>
                        </w:tcBorders>
                      </w:tcPr>
                      <w:p w14:paraId="4272F723">
                        <w:pPr>
                          <w:pStyle w:val="17"/>
                          <w:spacing w:before="40"/>
                          <w:ind w:left="308" w:right="278"/>
                          <w:rPr>
                            <w:sz w:val="18"/>
                          </w:rPr>
                        </w:pPr>
                        <w:r>
                          <w:rPr>
                            <w:sz w:val="18"/>
                          </w:rPr>
                          <w:t>评价范围</w:t>
                        </w:r>
                      </w:p>
                    </w:tc>
                    <w:tc>
                      <w:tcPr>
                        <w:tcW w:w="7515" w:type="dxa"/>
                        <w:gridSpan w:val="5"/>
                        <w:tcBorders>
                          <w:top w:val="single" w:color="000000" w:sz="6" w:space="0"/>
                          <w:left w:val="single" w:color="000000" w:sz="6" w:space="0"/>
                          <w:bottom w:val="single" w:color="000000" w:sz="6" w:space="0"/>
                        </w:tcBorders>
                      </w:tcPr>
                      <w:p w14:paraId="176C76EE">
                        <w:pPr>
                          <w:pStyle w:val="17"/>
                          <w:tabs>
                            <w:tab w:val="left" w:pos="1241"/>
                            <w:tab w:val="left" w:pos="4472"/>
                          </w:tabs>
                          <w:spacing w:before="47"/>
                          <w:ind w:left="13"/>
                          <w:jc w:val="left"/>
                          <w:rPr>
                            <w:rFonts w:ascii="Times New Roman" w:eastAsia="Times New Roman"/>
                            <w:sz w:val="18"/>
                          </w:rPr>
                        </w:pPr>
                        <w:r>
                          <w:rPr>
                            <w:sz w:val="18"/>
                          </w:rPr>
                          <w:t>河流：长度</w:t>
                        </w:r>
                        <w:r>
                          <w:rPr>
                            <w:rFonts w:ascii="Times New Roman" w:eastAsia="Times New Roman"/>
                            <w:sz w:val="18"/>
                          </w:rPr>
                          <w:t>(</w:t>
                        </w:r>
                        <w:r>
                          <w:rPr>
                            <w:rFonts w:ascii="Times New Roman" w:eastAsia="Times New Roman"/>
                            <w:sz w:val="18"/>
                          </w:rPr>
                          <w:tab/>
                        </w:r>
                        <w:r>
                          <w:rPr>
                            <w:rFonts w:ascii="Times New Roman" w:eastAsia="Times New Roman"/>
                            <w:sz w:val="18"/>
                          </w:rPr>
                          <w:t>)km</w:t>
                        </w:r>
                        <w:r>
                          <w:rPr>
                            <w:sz w:val="18"/>
                          </w:rPr>
                          <w:t>；湖库、河口及近岸海域：面积</w:t>
                        </w:r>
                        <w:r>
                          <w:rPr>
                            <w:rFonts w:ascii="Times New Roman" w:eastAsia="Times New Roman"/>
                            <w:sz w:val="18"/>
                          </w:rPr>
                          <w:t>(</w:t>
                        </w:r>
                        <w:r>
                          <w:rPr>
                            <w:rFonts w:ascii="Times New Roman" w:eastAsia="Times New Roman"/>
                            <w:sz w:val="18"/>
                          </w:rPr>
                          <w:tab/>
                        </w:r>
                        <w:r>
                          <w:rPr>
                            <w:rFonts w:ascii="Times New Roman" w:eastAsia="Times New Roman"/>
                            <w:sz w:val="18"/>
                          </w:rPr>
                          <w:t>)km</w:t>
                        </w:r>
                        <w:r>
                          <w:rPr>
                            <w:rFonts w:ascii="Times New Roman" w:eastAsia="Times New Roman"/>
                            <w:sz w:val="18"/>
                            <w:vertAlign w:val="superscript"/>
                          </w:rPr>
                          <w:t>2</w:t>
                        </w:r>
                      </w:p>
                    </w:tc>
                  </w:tr>
                  <w:tr w14:paraId="483293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341" w:type="dxa"/>
                        <w:vMerge w:val="continue"/>
                        <w:tcBorders>
                          <w:top w:val="nil"/>
                          <w:right w:val="single" w:color="000000" w:sz="6" w:space="0"/>
                        </w:tcBorders>
                      </w:tcPr>
                      <w:p w14:paraId="0B77E2A5">
                        <w:pPr>
                          <w:rPr>
                            <w:sz w:val="2"/>
                            <w:szCs w:val="2"/>
                          </w:rPr>
                        </w:pPr>
                      </w:p>
                    </w:tc>
                    <w:tc>
                      <w:tcPr>
                        <w:tcW w:w="1362" w:type="dxa"/>
                        <w:tcBorders>
                          <w:top w:val="single" w:color="000000" w:sz="6" w:space="0"/>
                          <w:left w:val="single" w:color="000000" w:sz="6" w:space="0"/>
                          <w:bottom w:val="single" w:color="000000" w:sz="6" w:space="0"/>
                          <w:right w:val="single" w:color="000000" w:sz="6" w:space="0"/>
                        </w:tcBorders>
                      </w:tcPr>
                      <w:p w14:paraId="70A48477">
                        <w:pPr>
                          <w:pStyle w:val="17"/>
                          <w:spacing w:before="34"/>
                          <w:ind w:left="308" w:right="278"/>
                          <w:rPr>
                            <w:sz w:val="18"/>
                          </w:rPr>
                        </w:pPr>
                        <w:r>
                          <w:rPr>
                            <w:sz w:val="18"/>
                          </w:rPr>
                          <w:t>评价因子</w:t>
                        </w:r>
                      </w:p>
                    </w:tc>
                    <w:tc>
                      <w:tcPr>
                        <w:tcW w:w="7515" w:type="dxa"/>
                        <w:gridSpan w:val="5"/>
                        <w:tcBorders>
                          <w:top w:val="single" w:color="000000" w:sz="6" w:space="0"/>
                          <w:left w:val="single" w:color="000000" w:sz="6" w:space="0"/>
                          <w:bottom w:val="single" w:color="000000" w:sz="6" w:space="0"/>
                        </w:tcBorders>
                      </w:tcPr>
                      <w:p w14:paraId="1C96F0C2">
                        <w:pPr>
                          <w:pStyle w:val="17"/>
                          <w:spacing w:before="34"/>
                          <w:ind w:left="13"/>
                          <w:jc w:val="left"/>
                          <w:rPr>
                            <w:rFonts w:ascii="Times New Roman" w:eastAsia="Times New Roman"/>
                            <w:sz w:val="18"/>
                          </w:rPr>
                        </w:pPr>
                        <w:r>
                          <w:rPr>
                            <w:rFonts w:ascii="Times New Roman" w:eastAsia="Times New Roman"/>
                            <w:sz w:val="18"/>
                          </w:rPr>
                          <w:t>( pH</w:t>
                        </w:r>
                        <w:r>
                          <w:rPr>
                            <w:sz w:val="18"/>
                          </w:rPr>
                          <w:t>、溶解氧、高锰酸盐指数、</w:t>
                        </w:r>
                        <w:r>
                          <w:rPr>
                            <w:rFonts w:ascii="Times New Roman" w:eastAsia="Times New Roman"/>
                            <w:sz w:val="18"/>
                          </w:rPr>
                          <w:t>COD</w:t>
                        </w:r>
                        <w:r>
                          <w:rPr>
                            <w:sz w:val="18"/>
                          </w:rPr>
                          <w:t>、</w:t>
                        </w:r>
                        <w:r>
                          <w:rPr>
                            <w:rFonts w:ascii="Times New Roman" w:eastAsia="Times New Roman"/>
                            <w:sz w:val="18"/>
                          </w:rPr>
                          <w:t>BOD5</w:t>
                        </w:r>
                        <w:r>
                          <w:rPr>
                            <w:sz w:val="18"/>
                          </w:rPr>
                          <w:t>、氨氮、总磷等</w:t>
                        </w:r>
                        <w:r>
                          <w:rPr>
                            <w:rFonts w:ascii="Times New Roman" w:eastAsia="Times New Roman"/>
                            <w:sz w:val="18"/>
                          </w:rPr>
                          <w:t>)</w:t>
                        </w:r>
                      </w:p>
                    </w:tc>
                  </w:tr>
                  <w:tr w14:paraId="250EE7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1" w:hRule="atLeast"/>
                    </w:trPr>
                    <w:tc>
                      <w:tcPr>
                        <w:tcW w:w="341" w:type="dxa"/>
                        <w:vMerge w:val="continue"/>
                        <w:tcBorders>
                          <w:top w:val="nil"/>
                          <w:right w:val="single" w:color="000000" w:sz="6" w:space="0"/>
                        </w:tcBorders>
                      </w:tcPr>
                      <w:p w14:paraId="3B651F88">
                        <w:pPr>
                          <w:rPr>
                            <w:sz w:val="2"/>
                            <w:szCs w:val="2"/>
                          </w:rPr>
                        </w:pPr>
                      </w:p>
                    </w:tc>
                    <w:tc>
                      <w:tcPr>
                        <w:tcW w:w="1362" w:type="dxa"/>
                        <w:tcBorders>
                          <w:top w:val="single" w:color="000000" w:sz="6" w:space="0"/>
                          <w:left w:val="single" w:color="000000" w:sz="6" w:space="0"/>
                          <w:bottom w:val="single" w:color="000000" w:sz="6" w:space="0"/>
                          <w:right w:val="single" w:color="000000" w:sz="6" w:space="0"/>
                        </w:tcBorders>
                      </w:tcPr>
                      <w:p w14:paraId="7F06F4D1">
                        <w:pPr>
                          <w:pStyle w:val="17"/>
                          <w:spacing w:before="9"/>
                          <w:jc w:val="left"/>
                          <w:rPr>
                            <w:sz w:val="18"/>
                          </w:rPr>
                        </w:pPr>
                      </w:p>
                      <w:p w14:paraId="0E912F02">
                        <w:pPr>
                          <w:pStyle w:val="17"/>
                          <w:spacing w:before="1"/>
                          <w:ind w:left="308" w:right="278"/>
                          <w:rPr>
                            <w:sz w:val="18"/>
                          </w:rPr>
                        </w:pPr>
                        <w:r>
                          <w:rPr>
                            <w:sz w:val="18"/>
                          </w:rPr>
                          <w:t>评价标准</w:t>
                        </w:r>
                      </w:p>
                    </w:tc>
                    <w:tc>
                      <w:tcPr>
                        <w:tcW w:w="7515" w:type="dxa"/>
                        <w:gridSpan w:val="5"/>
                        <w:tcBorders>
                          <w:top w:val="single" w:color="000000" w:sz="6" w:space="0"/>
                          <w:left w:val="single" w:color="000000" w:sz="6" w:space="0"/>
                          <w:bottom w:val="single" w:color="000000" w:sz="6" w:space="0"/>
                        </w:tcBorders>
                      </w:tcPr>
                      <w:p w14:paraId="4A02A425">
                        <w:pPr>
                          <w:pStyle w:val="17"/>
                          <w:ind w:left="13" w:right="2783"/>
                          <w:jc w:val="left"/>
                          <w:rPr>
                            <w:rFonts w:ascii="Segoe UI Symbol" w:hAnsi="Segoe UI Symbol" w:eastAsia="Segoe UI Symbol"/>
                            <w:sz w:val="18"/>
                          </w:rPr>
                        </w:pPr>
                        <w:r>
                          <w:rPr>
                            <w:sz w:val="18"/>
                          </w:rPr>
                          <w:t>河流、湖库、河口：</w:t>
                        </w:r>
                        <w:r>
                          <w:rPr>
                            <w:rFonts w:ascii="Times New Roman" w:hAnsi="Times New Roman" w:eastAsia="Times New Roman"/>
                            <w:sz w:val="18"/>
                          </w:rPr>
                          <w:t>Ⅰ</w:t>
                        </w:r>
                        <w:r>
                          <w:rPr>
                            <w:sz w:val="18"/>
                          </w:rPr>
                          <w:t>类</w:t>
                        </w:r>
                        <w:r>
                          <w:rPr>
                            <w:rFonts w:ascii="Segoe UI Symbol" w:hAnsi="Segoe UI Symbol" w:eastAsia="Segoe UI Symbol"/>
                            <w:sz w:val="18"/>
                          </w:rPr>
                          <w:t>☐</w:t>
                        </w:r>
                        <w:r>
                          <w:rPr>
                            <w:sz w:val="18"/>
                          </w:rPr>
                          <w:t>；</w:t>
                        </w:r>
                        <w:r>
                          <w:rPr>
                            <w:rFonts w:ascii="Times New Roman" w:hAnsi="Times New Roman" w:eastAsia="Times New Roman"/>
                            <w:sz w:val="18"/>
                          </w:rPr>
                          <w:t>Ⅱ</w:t>
                        </w:r>
                        <w:r>
                          <w:rPr>
                            <w:sz w:val="18"/>
                          </w:rPr>
                          <w:t>类</w:t>
                        </w:r>
                        <w:r>
                          <w:rPr>
                            <w:rFonts w:ascii="Segoe UI Symbol" w:hAnsi="Segoe UI Symbol" w:eastAsia="Segoe UI Symbol"/>
                            <w:sz w:val="18"/>
                          </w:rPr>
                          <w:t>☐</w:t>
                        </w:r>
                        <w:r>
                          <w:rPr>
                            <w:sz w:val="18"/>
                          </w:rPr>
                          <w:t>；</w:t>
                        </w:r>
                        <w:r>
                          <w:rPr>
                            <w:rFonts w:ascii="Times New Roman" w:hAnsi="Times New Roman" w:eastAsia="Times New Roman"/>
                            <w:sz w:val="18"/>
                          </w:rPr>
                          <w:t>Ⅲ</w:t>
                        </w:r>
                        <w:r>
                          <w:rPr>
                            <w:sz w:val="18"/>
                          </w:rPr>
                          <w:t>类</w:t>
                        </w:r>
                        <w:r>
                          <w:rPr>
                            <w:rFonts w:ascii="Wingdings" w:hAnsi="Wingdings" w:eastAsia="Wingdings"/>
                            <w:sz w:val="18"/>
                          </w:rPr>
                          <w:t></w:t>
                        </w:r>
                        <w:r>
                          <w:rPr>
                            <w:sz w:val="18"/>
                          </w:rPr>
                          <w:t>；</w:t>
                        </w:r>
                        <w:r>
                          <w:rPr>
                            <w:rFonts w:ascii="Times New Roman" w:hAnsi="Times New Roman" w:eastAsia="Times New Roman"/>
                            <w:sz w:val="18"/>
                          </w:rPr>
                          <w:t>Ⅳ</w:t>
                        </w:r>
                        <w:r>
                          <w:rPr>
                            <w:sz w:val="18"/>
                          </w:rPr>
                          <w:t>类</w:t>
                        </w:r>
                        <w:r>
                          <w:rPr>
                            <w:rFonts w:ascii="Wingdings" w:hAnsi="Wingdings" w:eastAsia="Wingdings"/>
                            <w:sz w:val="18"/>
                          </w:rPr>
                          <w:t></w:t>
                        </w:r>
                        <w:r>
                          <w:rPr>
                            <w:sz w:val="18"/>
                          </w:rPr>
                          <w:t>；</w:t>
                        </w:r>
                        <w:r>
                          <w:rPr>
                            <w:rFonts w:ascii="Times New Roman" w:hAnsi="Times New Roman" w:eastAsia="Times New Roman"/>
                            <w:sz w:val="18"/>
                          </w:rPr>
                          <w:t>Ⅴ</w:t>
                        </w:r>
                        <w:r>
                          <w:rPr>
                            <w:sz w:val="18"/>
                          </w:rPr>
                          <w:t>类</w:t>
                        </w:r>
                        <w:r>
                          <w:rPr>
                            <w:rFonts w:ascii="Segoe UI Symbol" w:hAnsi="Segoe UI Symbol" w:eastAsia="Segoe UI Symbol"/>
                            <w:sz w:val="18"/>
                          </w:rPr>
                          <w:t xml:space="preserve">☐ </w:t>
                        </w:r>
                        <w:r>
                          <w:rPr>
                            <w:sz w:val="18"/>
                          </w:rPr>
                          <w:t>近岸海域：第一类</w:t>
                        </w:r>
                        <w:r>
                          <w:rPr>
                            <w:rFonts w:ascii="Segoe UI Symbol" w:hAnsi="Segoe UI Symbol" w:eastAsia="Segoe UI Symbol"/>
                            <w:sz w:val="18"/>
                          </w:rPr>
                          <w:t>☐</w:t>
                        </w:r>
                        <w:r>
                          <w:rPr>
                            <w:sz w:val="18"/>
                          </w:rPr>
                          <w:t>；第二类</w:t>
                        </w:r>
                        <w:r>
                          <w:rPr>
                            <w:rFonts w:ascii="Segoe UI Symbol" w:hAnsi="Segoe UI Symbol" w:eastAsia="Segoe UI Symbol"/>
                            <w:sz w:val="18"/>
                          </w:rPr>
                          <w:t>☐</w:t>
                        </w:r>
                        <w:r>
                          <w:rPr>
                            <w:sz w:val="18"/>
                          </w:rPr>
                          <w:t>；第三类</w:t>
                        </w:r>
                        <w:r>
                          <w:rPr>
                            <w:rFonts w:ascii="Segoe UI Symbol" w:hAnsi="Segoe UI Symbol" w:eastAsia="Segoe UI Symbol"/>
                            <w:sz w:val="18"/>
                          </w:rPr>
                          <w:t>☐</w:t>
                        </w:r>
                        <w:r>
                          <w:rPr>
                            <w:sz w:val="18"/>
                          </w:rPr>
                          <w:t>；第四类</w:t>
                        </w:r>
                        <w:r>
                          <w:rPr>
                            <w:rFonts w:ascii="Segoe UI Symbol" w:hAnsi="Segoe UI Symbol" w:eastAsia="Segoe UI Symbol"/>
                            <w:sz w:val="18"/>
                          </w:rPr>
                          <w:t>☐</w:t>
                        </w:r>
                      </w:p>
                      <w:p w14:paraId="2149E4C2">
                        <w:pPr>
                          <w:pStyle w:val="17"/>
                          <w:tabs>
                            <w:tab w:val="left" w:pos="1692"/>
                          </w:tabs>
                          <w:spacing w:line="203" w:lineRule="exact"/>
                          <w:ind w:left="13"/>
                          <w:jc w:val="left"/>
                          <w:rPr>
                            <w:rFonts w:ascii="Times New Roman" w:eastAsia="Times New Roman"/>
                            <w:sz w:val="18"/>
                          </w:rPr>
                        </w:pPr>
                        <w:r>
                          <w:rPr>
                            <w:sz w:val="18"/>
                          </w:rPr>
                          <w:t>规划年评价标准</w:t>
                        </w:r>
                        <w:r>
                          <w:rPr>
                            <w:rFonts w:ascii="Times New Roman" w:eastAsia="Times New Roman"/>
                            <w:sz w:val="18"/>
                          </w:rPr>
                          <w:t>(</w:t>
                        </w:r>
                        <w:r>
                          <w:rPr>
                            <w:rFonts w:ascii="Times New Roman" w:eastAsia="Times New Roman"/>
                            <w:sz w:val="18"/>
                          </w:rPr>
                          <w:tab/>
                        </w:r>
                        <w:r>
                          <w:rPr>
                            <w:rFonts w:ascii="Times New Roman" w:eastAsia="Times New Roman"/>
                            <w:sz w:val="18"/>
                          </w:rPr>
                          <w:t>)</w:t>
                        </w:r>
                      </w:p>
                    </w:tc>
                  </w:tr>
                  <w:tr w14:paraId="64E6E4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1" w:hRule="atLeast"/>
                    </w:trPr>
                    <w:tc>
                      <w:tcPr>
                        <w:tcW w:w="341" w:type="dxa"/>
                        <w:vMerge w:val="continue"/>
                        <w:tcBorders>
                          <w:top w:val="nil"/>
                          <w:right w:val="single" w:color="000000" w:sz="6" w:space="0"/>
                        </w:tcBorders>
                      </w:tcPr>
                      <w:p w14:paraId="114FBE5E">
                        <w:pPr>
                          <w:rPr>
                            <w:sz w:val="2"/>
                            <w:szCs w:val="2"/>
                          </w:rPr>
                        </w:pPr>
                      </w:p>
                    </w:tc>
                    <w:tc>
                      <w:tcPr>
                        <w:tcW w:w="1362" w:type="dxa"/>
                        <w:tcBorders>
                          <w:top w:val="single" w:color="000000" w:sz="6" w:space="0"/>
                          <w:left w:val="single" w:color="000000" w:sz="6" w:space="0"/>
                          <w:bottom w:val="single" w:color="000000" w:sz="6" w:space="0"/>
                          <w:right w:val="single" w:color="000000" w:sz="6" w:space="0"/>
                        </w:tcBorders>
                      </w:tcPr>
                      <w:p w14:paraId="556F08D1">
                        <w:pPr>
                          <w:pStyle w:val="17"/>
                          <w:spacing w:before="111"/>
                          <w:ind w:left="308" w:right="278"/>
                          <w:rPr>
                            <w:sz w:val="18"/>
                          </w:rPr>
                        </w:pPr>
                        <w:r>
                          <w:rPr>
                            <w:sz w:val="18"/>
                          </w:rPr>
                          <w:t>评价时期</w:t>
                        </w:r>
                      </w:p>
                    </w:tc>
                    <w:tc>
                      <w:tcPr>
                        <w:tcW w:w="7515" w:type="dxa"/>
                        <w:gridSpan w:val="5"/>
                        <w:tcBorders>
                          <w:top w:val="single" w:color="000000" w:sz="6" w:space="0"/>
                          <w:left w:val="single" w:color="000000" w:sz="6" w:space="0"/>
                          <w:bottom w:val="single" w:color="000000" w:sz="6" w:space="0"/>
                        </w:tcBorders>
                      </w:tcPr>
                      <w:p w14:paraId="24E0009E">
                        <w:pPr>
                          <w:pStyle w:val="17"/>
                          <w:spacing w:line="225" w:lineRule="exact"/>
                          <w:ind w:left="13"/>
                          <w:jc w:val="left"/>
                          <w:rPr>
                            <w:rFonts w:ascii="Wingdings" w:hAnsi="Wingdings"/>
                            <w:sz w:val="18"/>
                          </w:rPr>
                        </w:pPr>
                        <w:r>
                          <w:rPr>
                            <w:sz w:val="18"/>
                          </w:rPr>
                          <w:t>丰水期</w:t>
                        </w:r>
                        <w:r>
                          <w:rPr>
                            <w:rFonts w:ascii="Wingdings" w:hAnsi="Wingdings"/>
                            <w:sz w:val="18"/>
                          </w:rPr>
                          <w:t></w:t>
                        </w:r>
                        <w:r>
                          <w:rPr>
                            <w:sz w:val="18"/>
                          </w:rPr>
                          <w:t>；平水期</w:t>
                        </w:r>
                        <w:r>
                          <w:rPr>
                            <w:rFonts w:ascii="Wingdings" w:hAnsi="Wingdings"/>
                            <w:sz w:val="18"/>
                          </w:rPr>
                          <w:t></w:t>
                        </w:r>
                        <w:r>
                          <w:rPr>
                            <w:sz w:val="18"/>
                          </w:rPr>
                          <w:t>；枯水期</w:t>
                        </w:r>
                        <w:r>
                          <w:rPr>
                            <w:rFonts w:ascii="Wingdings" w:hAnsi="Wingdings"/>
                            <w:sz w:val="18"/>
                          </w:rPr>
                          <w:t></w:t>
                        </w:r>
                        <w:r>
                          <w:rPr>
                            <w:sz w:val="18"/>
                          </w:rPr>
                          <w:t>；冰封期</w:t>
                        </w:r>
                        <w:r>
                          <w:rPr>
                            <w:rFonts w:ascii="Wingdings" w:hAnsi="Wingdings"/>
                            <w:sz w:val="18"/>
                          </w:rPr>
                          <w:t></w:t>
                        </w:r>
                      </w:p>
                      <w:p w14:paraId="1EED99D2">
                        <w:pPr>
                          <w:pStyle w:val="17"/>
                          <w:spacing w:before="2" w:line="205" w:lineRule="exact"/>
                          <w:ind w:left="13"/>
                          <w:jc w:val="left"/>
                          <w:rPr>
                            <w:rFonts w:ascii="Wingdings" w:hAnsi="Wingdings"/>
                            <w:sz w:val="18"/>
                          </w:rPr>
                        </w:pPr>
                        <w:r>
                          <w:rPr>
                            <w:sz w:val="18"/>
                          </w:rPr>
                          <w:t>春季</w:t>
                        </w:r>
                        <w:r>
                          <w:rPr>
                            <w:rFonts w:ascii="Wingdings" w:hAnsi="Wingdings"/>
                            <w:sz w:val="18"/>
                          </w:rPr>
                          <w:t></w:t>
                        </w:r>
                        <w:r>
                          <w:rPr>
                            <w:sz w:val="18"/>
                          </w:rPr>
                          <w:t>；夏季</w:t>
                        </w:r>
                        <w:r>
                          <w:rPr>
                            <w:rFonts w:ascii="Wingdings" w:hAnsi="Wingdings"/>
                            <w:sz w:val="18"/>
                          </w:rPr>
                          <w:t></w:t>
                        </w:r>
                        <w:r>
                          <w:rPr>
                            <w:sz w:val="18"/>
                          </w:rPr>
                          <w:t>；秋季</w:t>
                        </w:r>
                        <w:r>
                          <w:rPr>
                            <w:rFonts w:ascii="Wingdings" w:hAnsi="Wingdings"/>
                            <w:sz w:val="18"/>
                          </w:rPr>
                          <w:t></w:t>
                        </w:r>
                        <w:r>
                          <w:rPr>
                            <w:sz w:val="18"/>
                          </w:rPr>
                          <w:t>；冬季</w:t>
                        </w:r>
                        <w:r>
                          <w:rPr>
                            <w:rFonts w:ascii="Wingdings" w:hAnsi="Wingdings"/>
                            <w:sz w:val="18"/>
                          </w:rPr>
                          <w:t></w:t>
                        </w:r>
                      </w:p>
                    </w:tc>
                  </w:tr>
                  <w:tr w14:paraId="0968AE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42" w:hRule="atLeast"/>
                    </w:trPr>
                    <w:tc>
                      <w:tcPr>
                        <w:tcW w:w="341" w:type="dxa"/>
                        <w:vMerge w:val="continue"/>
                        <w:tcBorders>
                          <w:top w:val="nil"/>
                          <w:right w:val="single" w:color="000000" w:sz="6" w:space="0"/>
                        </w:tcBorders>
                      </w:tcPr>
                      <w:p w14:paraId="15DAE578">
                        <w:pPr>
                          <w:rPr>
                            <w:sz w:val="2"/>
                            <w:szCs w:val="2"/>
                          </w:rPr>
                        </w:pPr>
                      </w:p>
                    </w:tc>
                    <w:tc>
                      <w:tcPr>
                        <w:tcW w:w="1362" w:type="dxa"/>
                        <w:tcBorders>
                          <w:top w:val="single" w:color="000000" w:sz="6" w:space="0"/>
                          <w:left w:val="single" w:color="000000" w:sz="6" w:space="0"/>
                          <w:right w:val="single" w:color="000000" w:sz="6" w:space="0"/>
                        </w:tcBorders>
                      </w:tcPr>
                      <w:p w14:paraId="5E03668F">
                        <w:pPr>
                          <w:pStyle w:val="17"/>
                          <w:jc w:val="left"/>
                          <w:rPr>
                            <w:sz w:val="18"/>
                          </w:rPr>
                        </w:pPr>
                      </w:p>
                      <w:p w14:paraId="25E5C68A">
                        <w:pPr>
                          <w:pStyle w:val="17"/>
                          <w:jc w:val="left"/>
                          <w:rPr>
                            <w:sz w:val="18"/>
                          </w:rPr>
                        </w:pPr>
                      </w:p>
                      <w:p w14:paraId="09BF0A72">
                        <w:pPr>
                          <w:pStyle w:val="17"/>
                          <w:jc w:val="left"/>
                          <w:rPr>
                            <w:sz w:val="18"/>
                          </w:rPr>
                        </w:pPr>
                      </w:p>
                      <w:p w14:paraId="08783B02">
                        <w:pPr>
                          <w:pStyle w:val="17"/>
                          <w:jc w:val="left"/>
                          <w:rPr>
                            <w:sz w:val="18"/>
                          </w:rPr>
                        </w:pPr>
                      </w:p>
                      <w:p w14:paraId="5D5F5D06">
                        <w:pPr>
                          <w:pStyle w:val="17"/>
                          <w:spacing w:before="11"/>
                          <w:jc w:val="left"/>
                          <w:rPr>
                            <w:sz w:val="13"/>
                          </w:rPr>
                        </w:pPr>
                      </w:p>
                      <w:p w14:paraId="34C1CBC8">
                        <w:pPr>
                          <w:pStyle w:val="17"/>
                          <w:ind w:left="308" w:right="278"/>
                          <w:rPr>
                            <w:sz w:val="18"/>
                          </w:rPr>
                        </w:pPr>
                        <w:r>
                          <w:rPr>
                            <w:sz w:val="18"/>
                          </w:rPr>
                          <w:t>评价结论</w:t>
                        </w:r>
                      </w:p>
                    </w:tc>
                    <w:tc>
                      <w:tcPr>
                        <w:tcW w:w="6108" w:type="dxa"/>
                        <w:gridSpan w:val="4"/>
                        <w:tcBorders>
                          <w:top w:val="single" w:color="000000" w:sz="6" w:space="0"/>
                          <w:left w:val="single" w:color="000000" w:sz="6" w:space="0"/>
                          <w:right w:val="single" w:color="000000" w:sz="6" w:space="0"/>
                        </w:tcBorders>
                      </w:tcPr>
                      <w:p w14:paraId="68335263">
                        <w:pPr>
                          <w:pStyle w:val="17"/>
                          <w:spacing w:line="242" w:lineRule="auto"/>
                          <w:ind w:left="13" w:right="-15"/>
                          <w:jc w:val="left"/>
                          <w:rPr>
                            <w:rFonts w:ascii="Segoe UI Symbol" w:hAnsi="Segoe UI Symbol" w:eastAsia="Segoe UI Symbol"/>
                            <w:sz w:val="18"/>
                          </w:rPr>
                        </w:pPr>
                        <w:r>
                          <w:rPr>
                            <w:sz w:val="18"/>
                          </w:rPr>
                          <w:t>水环境功能区或水功能区、近岸海域环境功能区水质达标状况</w:t>
                        </w:r>
                        <w:r>
                          <w:rPr>
                            <w:rFonts w:ascii="Segoe UI Symbol" w:hAnsi="Segoe UI Symbol" w:eastAsia="Segoe UI Symbol"/>
                            <w:sz w:val="18"/>
                          </w:rPr>
                          <w:t>☐</w:t>
                        </w:r>
                        <w:r>
                          <w:rPr>
                            <w:sz w:val="18"/>
                          </w:rPr>
                          <w:t>：达标</w:t>
                        </w:r>
                        <w:r>
                          <w:rPr>
                            <w:rFonts w:ascii="Wingdings" w:hAnsi="Wingdings" w:eastAsia="Wingdings"/>
                            <w:sz w:val="18"/>
                          </w:rPr>
                          <w:t></w:t>
                        </w:r>
                        <w:r>
                          <w:rPr>
                            <w:sz w:val="18"/>
                          </w:rPr>
                          <w:t>；不达标</w:t>
                        </w:r>
                        <w:r>
                          <w:rPr>
                            <w:rFonts w:ascii="Segoe UI Symbol" w:hAnsi="Segoe UI Symbol" w:eastAsia="Segoe UI Symbol"/>
                            <w:sz w:val="18"/>
                          </w:rPr>
                          <w:t>☐</w:t>
                        </w:r>
                      </w:p>
                      <w:p w14:paraId="39DE378D">
                        <w:pPr>
                          <w:pStyle w:val="17"/>
                          <w:spacing w:line="242" w:lineRule="auto"/>
                          <w:ind w:left="13" w:right="1466"/>
                          <w:jc w:val="left"/>
                          <w:rPr>
                            <w:rFonts w:ascii="Segoe UI Symbol" w:hAnsi="Segoe UI Symbol" w:eastAsia="Segoe UI Symbol"/>
                            <w:sz w:val="18"/>
                          </w:rPr>
                        </w:pPr>
                        <w:r>
                          <w:rPr>
                            <w:sz w:val="18"/>
                          </w:rPr>
                          <w:t>水环境控制单元或断面水质达标状况</w:t>
                        </w:r>
                        <w:r>
                          <w:rPr>
                            <w:rFonts w:ascii="Segoe UI Symbol" w:hAnsi="Segoe UI Symbol" w:eastAsia="Segoe UI Symbol"/>
                            <w:sz w:val="18"/>
                          </w:rPr>
                          <w:t>☐</w:t>
                        </w:r>
                        <w:r>
                          <w:rPr>
                            <w:sz w:val="18"/>
                          </w:rPr>
                          <w:t>：达标</w:t>
                        </w:r>
                        <w:r>
                          <w:rPr>
                            <w:rFonts w:ascii="Wingdings" w:hAnsi="Wingdings" w:eastAsia="Wingdings"/>
                            <w:sz w:val="18"/>
                          </w:rPr>
                          <w:t></w:t>
                        </w:r>
                        <w:r>
                          <w:rPr>
                            <w:sz w:val="18"/>
                          </w:rPr>
                          <w:t>；不达标</w:t>
                        </w:r>
                        <w:r>
                          <w:rPr>
                            <w:rFonts w:ascii="Segoe UI Symbol" w:hAnsi="Segoe UI Symbol" w:eastAsia="Segoe UI Symbol"/>
                            <w:sz w:val="18"/>
                          </w:rPr>
                          <w:t xml:space="preserve">☐ </w:t>
                        </w:r>
                        <w:r>
                          <w:rPr>
                            <w:sz w:val="18"/>
                          </w:rPr>
                          <w:t>水环境保护目标质量状况</w:t>
                        </w:r>
                        <w:r>
                          <w:rPr>
                            <w:rFonts w:ascii="Segoe UI Symbol" w:hAnsi="Segoe UI Symbol" w:eastAsia="Segoe UI Symbol"/>
                            <w:sz w:val="18"/>
                          </w:rPr>
                          <w:t>☐</w:t>
                        </w:r>
                        <w:r>
                          <w:rPr>
                            <w:sz w:val="18"/>
                          </w:rPr>
                          <w:t>：达标</w:t>
                        </w:r>
                        <w:r>
                          <w:rPr>
                            <w:rFonts w:ascii="Segoe UI Symbol" w:hAnsi="Segoe UI Symbol" w:eastAsia="Segoe UI Symbol"/>
                            <w:sz w:val="18"/>
                          </w:rPr>
                          <w:t>☐</w:t>
                        </w:r>
                        <w:r>
                          <w:rPr>
                            <w:sz w:val="18"/>
                          </w:rPr>
                          <w:t>；不达标</w:t>
                        </w:r>
                        <w:r>
                          <w:rPr>
                            <w:rFonts w:ascii="Segoe UI Symbol" w:hAnsi="Segoe UI Symbol" w:eastAsia="Segoe UI Symbol"/>
                            <w:sz w:val="18"/>
                          </w:rPr>
                          <w:t>☐</w:t>
                        </w:r>
                      </w:p>
                      <w:p w14:paraId="44103F22">
                        <w:pPr>
                          <w:pStyle w:val="17"/>
                          <w:ind w:left="13" w:right="753"/>
                          <w:jc w:val="left"/>
                          <w:rPr>
                            <w:rFonts w:ascii="Segoe UI Symbol" w:hAnsi="Segoe UI Symbol" w:eastAsia="Segoe UI Symbol"/>
                            <w:sz w:val="18"/>
                          </w:rPr>
                        </w:pPr>
                        <w:r>
                          <w:rPr>
                            <w:sz w:val="18"/>
                          </w:rPr>
                          <w:t>对照断面、控制断面等代表性断面的水质状况</w:t>
                        </w:r>
                        <w:r>
                          <w:rPr>
                            <w:rFonts w:ascii="Segoe UI Symbol" w:hAnsi="Segoe UI Symbol" w:eastAsia="Segoe UI Symbol"/>
                            <w:sz w:val="18"/>
                          </w:rPr>
                          <w:t>☐</w:t>
                        </w:r>
                        <w:r>
                          <w:rPr>
                            <w:sz w:val="18"/>
                          </w:rPr>
                          <w:t>：达标</w:t>
                        </w:r>
                        <w:r>
                          <w:rPr>
                            <w:rFonts w:ascii="Segoe UI Symbol" w:hAnsi="Segoe UI Symbol" w:eastAsia="Segoe UI Symbol"/>
                            <w:sz w:val="18"/>
                          </w:rPr>
                          <w:t>☐</w:t>
                        </w:r>
                        <w:r>
                          <w:rPr>
                            <w:sz w:val="18"/>
                          </w:rPr>
                          <w:t>；不达标</w:t>
                        </w:r>
                        <w:r>
                          <w:rPr>
                            <w:rFonts w:ascii="Segoe UI Symbol" w:hAnsi="Segoe UI Symbol" w:eastAsia="Segoe UI Symbol"/>
                            <w:sz w:val="18"/>
                          </w:rPr>
                          <w:t>☐</w:t>
                        </w:r>
                        <w:r>
                          <w:rPr>
                            <w:sz w:val="18"/>
                          </w:rPr>
                          <w:t>底泥污染评价</w:t>
                        </w:r>
                        <w:r>
                          <w:rPr>
                            <w:rFonts w:ascii="Segoe UI Symbol" w:hAnsi="Segoe UI Symbol" w:eastAsia="Segoe UI Symbol"/>
                            <w:sz w:val="18"/>
                          </w:rPr>
                          <w:t>☐</w:t>
                        </w:r>
                      </w:p>
                      <w:p w14:paraId="2BC8147A">
                        <w:pPr>
                          <w:pStyle w:val="17"/>
                          <w:ind w:left="13" w:right="2682"/>
                          <w:jc w:val="left"/>
                          <w:rPr>
                            <w:rFonts w:ascii="Segoe UI Symbol" w:hAnsi="Segoe UI Symbol" w:eastAsia="Segoe UI Symbol"/>
                            <w:sz w:val="18"/>
                          </w:rPr>
                        </w:pPr>
                        <w:r>
                          <w:rPr>
                            <w:sz w:val="18"/>
                          </w:rPr>
                          <w:t>水资源与开发利用程度及其水文情势评价</w:t>
                        </w:r>
                        <w:r>
                          <w:rPr>
                            <w:rFonts w:ascii="Segoe UI Symbol" w:hAnsi="Segoe UI Symbol" w:eastAsia="Segoe UI Symbol"/>
                            <w:sz w:val="18"/>
                          </w:rPr>
                          <w:t xml:space="preserve">☐ </w:t>
                        </w:r>
                        <w:r>
                          <w:rPr>
                            <w:sz w:val="18"/>
                          </w:rPr>
                          <w:t>水环境质量回顾评价</w:t>
                        </w:r>
                        <w:r>
                          <w:rPr>
                            <w:rFonts w:ascii="Segoe UI Symbol" w:hAnsi="Segoe UI Symbol" w:eastAsia="Segoe UI Symbol"/>
                            <w:sz w:val="18"/>
                          </w:rPr>
                          <w:t>☐</w:t>
                        </w:r>
                      </w:p>
                      <w:p w14:paraId="413F0280">
                        <w:pPr>
                          <w:pStyle w:val="17"/>
                          <w:ind w:left="13" w:right="-15"/>
                          <w:jc w:val="left"/>
                          <w:rPr>
                            <w:sz w:val="18"/>
                          </w:rPr>
                        </w:pPr>
                        <w:r>
                          <w:rPr>
                            <w:sz w:val="18"/>
                          </w:rPr>
                          <w:t>流域</w:t>
                        </w:r>
                        <w:r>
                          <w:rPr>
                            <w:rFonts w:ascii="Times New Roman" w:eastAsia="Times New Roman"/>
                            <w:sz w:val="18"/>
                          </w:rPr>
                          <w:t>(</w:t>
                        </w:r>
                        <w:r>
                          <w:rPr>
                            <w:sz w:val="18"/>
                          </w:rPr>
                          <w:t>区域</w:t>
                        </w:r>
                        <w:r>
                          <w:rPr>
                            <w:rFonts w:ascii="Times New Roman" w:eastAsia="Times New Roman"/>
                            <w:sz w:val="18"/>
                          </w:rPr>
                          <w:t>)</w:t>
                        </w:r>
                        <w:r>
                          <w:rPr>
                            <w:sz w:val="18"/>
                          </w:rPr>
                          <w:t>水资源</w:t>
                        </w:r>
                        <w:r>
                          <w:rPr>
                            <w:rFonts w:ascii="Times New Roman" w:eastAsia="Times New Roman"/>
                            <w:sz w:val="18"/>
                          </w:rPr>
                          <w:t>(</w:t>
                        </w:r>
                        <w:r>
                          <w:rPr>
                            <w:sz w:val="18"/>
                          </w:rPr>
                          <w:t>包括水能资源</w:t>
                        </w:r>
                        <w:r>
                          <w:rPr>
                            <w:rFonts w:ascii="Times New Roman" w:eastAsia="Times New Roman"/>
                            <w:sz w:val="18"/>
                          </w:rPr>
                          <w:t>)</w:t>
                        </w:r>
                        <w:r>
                          <w:rPr>
                            <w:spacing w:val="-9"/>
                            <w:sz w:val="18"/>
                          </w:rPr>
                          <w:t>与开发利用总体状况、生态流量管理要求与现</w:t>
                        </w:r>
                      </w:p>
                      <w:p w14:paraId="2610682A">
                        <w:pPr>
                          <w:pStyle w:val="17"/>
                          <w:spacing w:line="227" w:lineRule="exact"/>
                          <w:ind w:left="13"/>
                          <w:jc w:val="left"/>
                          <w:rPr>
                            <w:rFonts w:ascii="Segoe UI Symbol" w:hAnsi="Segoe UI Symbol" w:eastAsia="Segoe UI Symbol"/>
                            <w:sz w:val="18"/>
                          </w:rPr>
                        </w:pPr>
                        <w:r>
                          <w:rPr>
                            <w:sz w:val="18"/>
                          </w:rPr>
                          <w:t>状满足程度、建设项目占用水域空间的水流状况与河湖演变状况</w:t>
                        </w:r>
                        <w:r>
                          <w:rPr>
                            <w:rFonts w:ascii="Segoe UI Symbol" w:hAnsi="Segoe UI Symbol" w:eastAsia="Segoe UI Symbol"/>
                            <w:sz w:val="18"/>
                          </w:rPr>
                          <w:t>☐</w:t>
                        </w:r>
                      </w:p>
                    </w:tc>
                    <w:tc>
                      <w:tcPr>
                        <w:tcW w:w="1407" w:type="dxa"/>
                        <w:tcBorders>
                          <w:top w:val="single" w:color="000000" w:sz="6" w:space="0"/>
                          <w:left w:val="single" w:color="000000" w:sz="6" w:space="0"/>
                        </w:tcBorders>
                      </w:tcPr>
                      <w:p w14:paraId="68F2E144">
                        <w:pPr>
                          <w:pStyle w:val="17"/>
                          <w:jc w:val="left"/>
                          <w:rPr>
                            <w:sz w:val="24"/>
                          </w:rPr>
                        </w:pPr>
                      </w:p>
                      <w:p w14:paraId="56A98F0B">
                        <w:pPr>
                          <w:pStyle w:val="17"/>
                          <w:jc w:val="left"/>
                          <w:rPr>
                            <w:sz w:val="24"/>
                          </w:rPr>
                        </w:pPr>
                      </w:p>
                      <w:p w14:paraId="665F5892">
                        <w:pPr>
                          <w:pStyle w:val="17"/>
                          <w:spacing w:before="4"/>
                          <w:jc w:val="left"/>
                          <w:rPr>
                            <w:sz w:val="28"/>
                          </w:rPr>
                        </w:pPr>
                      </w:p>
                      <w:p w14:paraId="434E61C5">
                        <w:pPr>
                          <w:pStyle w:val="17"/>
                          <w:ind w:left="13" w:right="494"/>
                          <w:jc w:val="left"/>
                          <w:rPr>
                            <w:rFonts w:ascii="Segoe UI Symbol" w:hAnsi="Segoe UI Symbol" w:eastAsia="Segoe UI Symbol"/>
                            <w:sz w:val="18"/>
                          </w:rPr>
                        </w:pPr>
                        <w:r>
                          <w:rPr>
                            <w:sz w:val="18"/>
                          </w:rPr>
                          <w:t>达标区</w:t>
                        </w:r>
                        <w:r>
                          <w:rPr>
                            <w:rFonts w:ascii="Wingdings" w:hAnsi="Wingdings" w:eastAsia="Wingdings"/>
                            <w:sz w:val="18"/>
                          </w:rPr>
                          <w:t></w:t>
                        </w:r>
                        <w:r>
                          <w:rPr>
                            <w:rFonts w:ascii="Times New Roman" w:hAnsi="Times New Roman" w:eastAsia="Times New Roman"/>
                            <w:sz w:val="18"/>
                          </w:rPr>
                          <w:t xml:space="preserve"> </w:t>
                        </w:r>
                        <w:r>
                          <w:rPr>
                            <w:sz w:val="18"/>
                          </w:rPr>
                          <w:t>不达标区</w:t>
                        </w:r>
                        <w:r>
                          <w:rPr>
                            <w:rFonts w:ascii="Segoe UI Symbol" w:hAnsi="Segoe UI Symbol" w:eastAsia="Segoe UI Symbol"/>
                            <w:sz w:val="18"/>
                          </w:rPr>
                          <w:t>☐</w:t>
                        </w:r>
                      </w:p>
                    </w:tc>
                  </w:tr>
                </w:tbl>
                <w:p w14:paraId="3CC217D3">
                  <w:pPr>
                    <w:pStyle w:val="10"/>
                  </w:pPr>
                </w:p>
              </w:txbxContent>
            </v:textbox>
          </v:shape>
        </w:pict>
      </w:r>
      <w:r>
        <w:t>附表</w:t>
      </w:r>
      <w:r>
        <w:rPr>
          <w:spacing w:val="-60"/>
        </w:rPr>
        <w:t xml:space="preserve"> </w:t>
      </w:r>
      <w:r>
        <w:rPr>
          <w:rFonts w:ascii="Times New Roman" w:eastAsia="Times New Roman"/>
        </w:rPr>
        <w:t>2</w:t>
      </w:r>
      <w:r>
        <w:rPr>
          <w:rFonts w:ascii="Times New Roman" w:eastAsia="Times New Roman"/>
        </w:rPr>
        <w:tab/>
      </w:r>
      <w:r>
        <w:t>项目地表水环境影响评价自查表</w:t>
      </w:r>
    </w:p>
    <w:p w14:paraId="644BCC27">
      <w:pPr>
        <w:pStyle w:val="10"/>
        <w:rPr>
          <w:b/>
          <w:sz w:val="26"/>
        </w:rPr>
      </w:pPr>
    </w:p>
    <w:p w14:paraId="23A6FB6A">
      <w:pPr>
        <w:pStyle w:val="10"/>
        <w:rPr>
          <w:b/>
          <w:sz w:val="26"/>
        </w:rPr>
      </w:pPr>
    </w:p>
    <w:p w14:paraId="2EC9750D">
      <w:pPr>
        <w:pStyle w:val="10"/>
        <w:rPr>
          <w:b/>
          <w:sz w:val="26"/>
        </w:rPr>
      </w:pPr>
    </w:p>
    <w:p w14:paraId="6BBE80BF">
      <w:pPr>
        <w:spacing w:before="167"/>
        <w:ind w:left="0" w:right="208" w:firstLine="0"/>
        <w:jc w:val="right"/>
        <w:rPr>
          <w:sz w:val="18"/>
        </w:rPr>
      </w:pPr>
      <w:r>
        <w:rPr>
          <w:sz w:val="18"/>
        </w:rPr>
        <w:t>、</w:t>
      </w:r>
    </w:p>
    <w:p w14:paraId="5D23514A">
      <w:pPr>
        <w:pStyle w:val="10"/>
        <w:rPr>
          <w:sz w:val="18"/>
        </w:rPr>
      </w:pPr>
    </w:p>
    <w:p w14:paraId="0A7F87B1">
      <w:pPr>
        <w:pStyle w:val="10"/>
        <w:rPr>
          <w:sz w:val="18"/>
        </w:rPr>
      </w:pPr>
    </w:p>
    <w:p w14:paraId="3737D203">
      <w:pPr>
        <w:pStyle w:val="10"/>
        <w:rPr>
          <w:sz w:val="18"/>
        </w:rPr>
      </w:pPr>
    </w:p>
    <w:p w14:paraId="0E35960D">
      <w:pPr>
        <w:pStyle w:val="10"/>
        <w:rPr>
          <w:sz w:val="18"/>
        </w:rPr>
      </w:pPr>
    </w:p>
    <w:p w14:paraId="2901A619">
      <w:pPr>
        <w:pStyle w:val="10"/>
        <w:rPr>
          <w:sz w:val="18"/>
        </w:rPr>
      </w:pPr>
    </w:p>
    <w:p w14:paraId="71E11936">
      <w:pPr>
        <w:pStyle w:val="10"/>
        <w:rPr>
          <w:sz w:val="18"/>
        </w:rPr>
      </w:pPr>
    </w:p>
    <w:p w14:paraId="1D38533B">
      <w:pPr>
        <w:pStyle w:val="10"/>
        <w:rPr>
          <w:sz w:val="18"/>
        </w:rPr>
      </w:pPr>
    </w:p>
    <w:p w14:paraId="0E34C46A">
      <w:pPr>
        <w:pStyle w:val="10"/>
        <w:rPr>
          <w:sz w:val="18"/>
        </w:rPr>
      </w:pPr>
    </w:p>
    <w:p w14:paraId="6562A007">
      <w:pPr>
        <w:pStyle w:val="10"/>
        <w:rPr>
          <w:sz w:val="18"/>
        </w:rPr>
      </w:pPr>
    </w:p>
    <w:p w14:paraId="17F7CCC6">
      <w:pPr>
        <w:pStyle w:val="10"/>
        <w:rPr>
          <w:sz w:val="18"/>
        </w:rPr>
      </w:pPr>
    </w:p>
    <w:p w14:paraId="10A132E5">
      <w:pPr>
        <w:pStyle w:val="10"/>
        <w:spacing w:before="6"/>
        <w:rPr>
          <w:sz w:val="25"/>
        </w:rPr>
      </w:pPr>
    </w:p>
    <w:p w14:paraId="54DDD734">
      <w:pPr>
        <w:spacing w:before="0"/>
        <w:ind w:left="0" w:right="208" w:firstLine="0"/>
        <w:jc w:val="right"/>
        <w:rPr>
          <w:sz w:val="18"/>
        </w:rPr>
      </w:pPr>
      <w:r>
        <w:rPr>
          <w:sz w:val="18"/>
        </w:rPr>
        <w:t>；</w:t>
      </w:r>
    </w:p>
    <w:p w14:paraId="1CF34F1A">
      <w:pPr>
        <w:spacing w:after="0"/>
        <w:jc w:val="right"/>
        <w:rPr>
          <w:sz w:val="18"/>
        </w:rPr>
        <w:sectPr>
          <w:footerReference r:id="rId44" w:type="default"/>
          <w:pgSz w:w="11910" w:h="16840"/>
          <w:pgMar w:top="1280" w:right="1060" w:bottom="280" w:left="1220" w:header="0" w:footer="0" w:gutter="0"/>
          <w:cols w:space="720" w:num="1"/>
        </w:sectPr>
      </w:pPr>
    </w:p>
    <w:tbl>
      <w:tblPr>
        <w:tblStyle w:val="13"/>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1"/>
        <w:gridCol w:w="1442"/>
        <w:gridCol w:w="1866"/>
        <w:gridCol w:w="425"/>
        <w:gridCol w:w="761"/>
        <w:gridCol w:w="441"/>
        <w:gridCol w:w="1246"/>
        <w:gridCol w:w="116"/>
        <w:gridCol w:w="460"/>
        <w:gridCol w:w="720"/>
        <w:gridCol w:w="200"/>
        <w:gridCol w:w="249"/>
        <w:gridCol w:w="340"/>
        <w:gridCol w:w="802"/>
      </w:tblGrid>
      <w:tr w14:paraId="303BF1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23" w:type="dxa"/>
            <w:gridSpan w:val="2"/>
            <w:tcBorders>
              <w:bottom w:val="single" w:color="000000" w:sz="4" w:space="0"/>
              <w:right w:val="single" w:color="000000" w:sz="4" w:space="0"/>
            </w:tcBorders>
          </w:tcPr>
          <w:p w14:paraId="397D4B63">
            <w:pPr>
              <w:pStyle w:val="17"/>
              <w:spacing w:before="47"/>
              <w:ind w:left="505"/>
              <w:jc w:val="left"/>
              <w:rPr>
                <w:sz w:val="18"/>
              </w:rPr>
            </w:pPr>
            <w:r>
              <w:rPr>
                <w:sz w:val="18"/>
              </w:rPr>
              <w:t>工作内容</w:t>
            </w:r>
          </w:p>
        </w:tc>
        <w:tc>
          <w:tcPr>
            <w:tcW w:w="7626" w:type="dxa"/>
            <w:gridSpan w:val="12"/>
            <w:tcBorders>
              <w:left w:val="single" w:color="000000" w:sz="4" w:space="0"/>
              <w:bottom w:val="single" w:color="000000" w:sz="4" w:space="0"/>
            </w:tcBorders>
          </w:tcPr>
          <w:p w14:paraId="60991B06">
            <w:pPr>
              <w:pStyle w:val="17"/>
              <w:spacing w:before="47"/>
              <w:ind w:left="3423" w:right="3422"/>
              <w:rPr>
                <w:sz w:val="18"/>
              </w:rPr>
            </w:pPr>
            <w:r>
              <w:rPr>
                <w:sz w:val="18"/>
              </w:rPr>
              <w:t>自查项目</w:t>
            </w:r>
          </w:p>
        </w:tc>
      </w:tr>
      <w:tr w14:paraId="7BA9A8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restart"/>
            <w:tcBorders>
              <w:top w:val="single" w:color="000000" w:sz="4" w:space="0"/>
              <w:bottom w:val="single" w:color="000000" w:sz="4" w:space="0"/>
              <w:right w:val="single" w:color="000000" w:sz="4" w:space="0"/>
            </w:tcBorders>
          </w:tcPr>
          <w:p w14:paraId="15E82A30">
            <w:pPr>
              <w:pStyle w:val="17"/>
              <w:jc w:val="left"/>
              <w:rPr>
                <w:sz w:val="18"/>
              </w:rPr>
            </w:pPr>
          </w:p>
          <w:p w14:paraId="1EE81D22">
            <w:pPr>
              <w:pStyle w:val="17"/>
              <w:jc w:val="left"/>
              <w:rPr>
                <w:sz w:val="18"/>
              </w:rPr>
            </w:pPr>
          </w:p>
          <w:p w14:paraId="41FD767F">
            <w:pPr>
              <w:pStyle w:val="17"/>
              <w:jc w:val="left"/>
              <w:rPr>
                <w:sz w:val="18"/>
              </w:rPr>
            </w:pPr>
          </w:p>
          <w:p w14:paraId="6196962D">
            <w:pPr>
              <w:pStyle w:val="17"/>
              <w:spacing w:before="9"/>
              <w:jc w:val="left"/>
              <w:rPr>
                <w:sz w:val="23"/>
              </w:rPr>
            </w:pPr>
          </w:p>
          <w:p w14:paraId="11DFB4E7">
            <w:pPr>
              <w:pStyle w:val="17"/>
              <w:spacing w:line="242" w:lineRule="auto"/>
              <w:ind w:left="54" w:right="24"/>
              <w:jc w:val="both"/>
              <w:rPr>
                <w:sz w:val="18"/>
              </w:rPr>
            </w:pPr>
            <w:r>
              <w:rPr>
                <w:sz w:val="18"/>
              </w:rPr>
              <w:t>影响预测</w:t>
            </w:r>
          </w:p>
        </w:tc>
        <w:tc>
          <w:tcPr>
            <w:tcW w:w="1442" w:type="dxa"/>
            <w:tcBorders>
              <w:top w:val="single" w:color="000000" w:sz="4" w:space="0"/>
              <w:left w:val="single" w:color="000000" w:sz="4" w:space="0"/>
              <w:bottom w:val="single" w:color="000000" w:sz="4" w:space="0"/>
              <w:right w:val="single" w:color="000000" w:sz="4" w:space="0"/>
            </w:tcBorders>
          </w:tcPr>
          <w:p w14:paraId="3C9273F0">
            <w:pPr>
              <w:pStyle w:val="17"/>
              <w:spacing w:before="47"/>
              <w:ind w:left="80" w:right="50"/>
              <w:rPr>
                <w:sz w:val="18"/>
              </w:rPr>
            </w:pPr>
            <w:r>
              <w:rPr>
                <w:sz w:val="18"/>
              </w:rPr>
              <w:t>预测范围</w:t>
            </w:r>
          </w:p>
        </w:tc>
        <w:tc>
          <w:tcPr>
            <w:tcW w:w="7626" w:type="dxa"/>
            <w:gridSpan w:val="12"/>
            <w:tcBorders>
              <w:top w:val="single" w:color="000000" w:sz="4" w:space="0"/>
              <w:left w:val="single" w:color="000000" w:sz="4" w:space="0"/>
              <w:bottom w:val="single" w:color="000000" w:sz="4" w:space="0"/>
            </w:tcBorders>
          </w:tcPr>
          <w:p w14:paraId="47D6B736">
            <w:pPr>
              <w:pStyle w:val="17"/>
              <w:tabs>
                <w:tab w:val="left" w:pos="4612"/>
              </w:tabs>
              <w:spacing w:before="47"/>
              <w:ind w:left="14"/>
              <w:jc w:val="left"/>
              <w:rPr>
                <w:rFonts w:ascii="Times New Roman" w:eastAsia="Times New Roman"/>
                <w:sz w:val="11"/>
              </w:rPr>
            </w:pPr>
            <w:r>
              <w:rPr>
                <w:sz w:val="18"/>
              </w:rPr>
              <w:t>河流：长度</w:t>
            </w:r>
            <w:r>
              <w:rPr>
                <w:rFonts w:ascii="Times New Roman" w:eastAsia="Times New Roman"/>
                <w:sz w:val="18"/>
              </w:rPr>
              <w:t xml:space="preserve">(  </w:t>
            </w:r>
            <w:r>
              <w:rPr>
                <w:rFonts w:ascii="Times New Roman" w:eastAsia="Times New Roman"/>
                <w:spacing w:val="43"/>
                <w:sz w:val="18"/>
              </w:rPr>
              <w:t xml:space="preserve"> </w:t>
            </w:r>
            <w:r>
              <w:rPr>
                <w:rFonts w:ascii="Times New Roman" w:eastAsia="Times New Roman"/>
                <w:sz w:val="18"/>
              </w:rPr>
              <w:t xml:space="preserve">/  </w:t>
            </w:r>
            <w:r>
              <w:rPr>
                <w:rFonts w:ascii="Times New Roman" w:eastAsia="Times New Roman"/>
                <w:spacing w:val="40"/>
                <w:sz w:val="18"/>
              </w:rPr>
              <w:t xml:space="preserve"> </w:t>
            </w:r>
            <w:r>
              <w:rPr>
                <w:rFonts w:ascii="Times New Roman" w:eastAsia="Times New Roman"/>
                <w:sz w:val="18"/>
              </w:rPr>
              <w:t>)km</w:t>
            </w:r>
            <w:r>
              <w:rPr>
                <w:sz w:val="18"/>
              </w:rPr>
              <w:t>；湖库、河口及近岸海域：面积</w:t>
            </w:r>
            <w:r>
              <w:rPr>
                <w:rFonts w:ascii="Times New Roman" w:eastAsia="Times New Roman"/>
                <w:sz w:val="18"/>
              </w:rPr>
              <w:t>(</w:t>
            </w:r>
            <w:r>
              <w:rPr>
                <w:rFonts w:ascii="Times New Roman" w:eastAsia="Times New Roman"/>
                <w:sz w:val="18"/>
              </w:rPr>
              <w:tab/>
            </w:r>
            <w:r>
              <w:rPr>
                <w:rFonts w:ascii="Times New Roman" w:eastAsia="Times New Roman"/>
                <w:sz w:val="18"/>
              </w:rPr>
              <w:t>)km</w:t>
            </w:r>
            <w:r>
              <w:rPr>
                <w:rFonts w:ascii="Times New Roman" w:eastAsia="Times New Roman"/>
                <w:position w:val="6"/>
                <w:sz w:val="11"/>
              </w:rPr>
              <w:t>2</w:t>
            </w:r>
          </w:p>
        </w:tc>
      </w:tr>
      <w:tr w14:paraId="233D5E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64FE112A">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291BB397">
            <w:pPr>
              <w:pStyle w:val="17"/>
              <w:spacing w:before="48"/>
              <w:ind w:left="80" w:right="50"/>
              <w:rPr>
                <w:sz w:val="18"/>
              </w:rPr>
            </w:pPr>
            <w:r>
              <w:rPr>
                <w:sz w:val="18"/>
              </w:rPr>
              <w:t>预测因子</w:t>
            </w:r>
          </w:p>
        </w:tc>
        <w:tc>
          <w:tcPr>
            <w:tcW w:w="7626" w:type="dxa"/>
            <w:gridSpan w:val="12"/>
            <w:tcBorders>
              <w:top w:val="single" w:color="000000" w:sz="4" w:space="0"/>
              <w:left w:val="single" w:color="000000" w:sz="4" w:space="0"/>
              <w:bottom w:val="single" w:color="000000" w:sz="4" w:space="0"/>
            </w:tcBorders>
          </w:tcPr>
          <w:p w14:paraId="7670FC74">
            <w:pPr>
              <w:pStyle w:val="17"/>
              <w:tabs>
                <w:tab w:val="left" w:pos="342"/>
                <w:tab w:val="left" w:pos="2954"/>
              </w:tabs>
              <w:spacing w:before="48"/>
              <w:ind w:left="14"/>
              <w:jc w:val="left"/>
              <w:rPr>
                <w:rFonts w:ascii="Times New Roman" w:eastAsia="Times New Roman"/>
                <w:sz w:val="18"/>
              </w:rPr>
            </w:pPr>
            <w:r>
              <w:rPr>
                <w:rFonts w:ascii="Times New Roman" w:eastAsia="Times New Roman"/>
                <w:sz w:val="18"/>
              </w:rPr>
              <w:t>(</w:t>
            </w:r>
            <w:r>
              <w:rPr>
                <w:rFonts w:ascii="Times New Roman" w:eastAsia="Times New Roman"/>
                <w:sz w:val="18"/>
              </w:rPr>
              <w:tab/>
            </w:r>
            <w:r>
              <w:rPr>
                <w:sz w:val="18"/>
              </w:rPr>
              <w:t>引用排污口论证报告中的结论</w:t>
            </w:r>
            <w:r>
              <w:rPr>
                <w:sz w:val="18"/>
              </w:rPr>
              <w:tab/>
            </w:r>
            <w:r>
              <w:rPr>
                <w:rFonts w:ascii="Times New Roman" w:eastAsia="Times New Roman"/>
                <w:sz w:val="18"/>
              </w:rPr>
              <w:t>)</w:t>
            </w:r>
          </w:p>
        </w:tc>
      </w:tr>
      <w:tr w14:paraId="7FC5A4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281" w:type="dxa"/>
            <w:vMerge w:val="continue"/>
            <w:tcBorders>
              <w:top w:val="nil"/>
              <w:bottom w:val="single" w:color="000000" w:sz="4" w:space="0"/>
              <w:right w:val="single" w:color="000000" w:sz="4" w:space="0"/>
            </w:tcBorders>
          </w:tcPr>
          <w:p w14:paraId="5D8E43FD">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01B3A243">
            <w:pPr>
              <w:pStyle w:val="17"/>
              <w:spacing w:before="4"/>
              <w:jc w:val="left"/>
              <w:rPr>
                <w:sz w:val="19"/>
              </w:rPr>
            </w:pPr>
          </w:p>
          <w:p w14:paraId="1B99F091">
            <w:pPr>
              <w:pStyle w:val="17"/>
              <w:ind w:left="80" w:right="50"/>
              <w:rPr>
                <w:sz w:val="18"/>
              </w:rPr>
            </w:pPr>
            <w:r>
              <w:rPr>
                <w:sz w:val="18"/>
              </w:rPr>
              <w:t>预测时期</w:t>
            </w:r>
          </w:p>
        </w:tc>
        <w:tc>
          <w:tcPr>
            <w:tcW w:w="7626" w:type="dxa"/>
            <w:gridSpan w:val="12"/>
            <w:tcBorders>
              <w:top w:val="single" w:color="000000" w:sz="4" w:space="0"/>
              <w:left w:val="single" w:color="000000" w:sz="4" w:space="0"/>
              <w:bottom w:val="single" w:color="000000" w:sz="4" w:space="0"/>
            </w:tcBorders>
          </w:tcPr>
          <w:p w14:paraId="3F89E00D">
            <w:pPr>
              <w:pStyle w:val="17"/>
              <w:spacing w:line="242" w:lineRule="auto"/>
              <w:ind w:left="14" w:right="4269"/>
              <w:jc w:val="left"/>
              <w:rPr>
                <w:rFonts w:ascii="Segoe UI Symbol" w:hAnsi="Segoe UI Symbol" w:eastAsia="Segoe UI Symbol"/>
                <w:sz w:val="18"/>
              </w:rPr>
            </w:pPr>
            <w:r>
              <w:rPr>
                <w:sz w:val="18"/>
              </w:rPr>
              <w:t>丰水期</w:t>
            </w:r>
            <w:r>
              <w:rPr>
                <w:rFonts w:ascii="Segoe UI Symbol" w:hAnsi="Segoe UI Symbol" w:eastAsia="Segoe UI Symbol"/>
                <w:sz w:val="18"/>
              </w:rPr>
              <w:t>☐</w:t>
            </w:r>
            <w:r>
              <w:rPr>
                <w:sz w:val="18"/>
              </w:rPr>
              <w:t>；平水期</w:t>
            </w:r>
            <w:r>
              <w:rPr>
                <w:rFonts w:ascii="Segoe UI Symbol" w:hAnsi="Segoe UI Symbol" w:eastAsia="Segoe UI Symbol"/>
                <w:sz w:val="18"/>
              </w:rPr>
              <w:t>☐</w:t>
            </w:r>
            <w:r>
              <w:rPr>
                <w:sz w:val="18"/>
              </w:rPr>
              <w:t>；枯水期</w:t>
            </w:r>
            <w:r>
              <w:rPr>
                <w:rFonts w:ascii="Segoe UI Symbol" w:hAnsi="Segoe UI Symbol" w:eastAsia="Segoe UI Symbol"/>
                <w:sz w:val="18"/>
              </w:rPr>
              <w:t>☐</w:t>
            </w:r>
            <w:r>
              <w:rPr>
                <w:sz w:val="18"/>
              </w:rPr>
              <w:t>；冰封期</w:t>
            </w:r>
            <w:r>
              <w:rPr>
                <w:rFonts w:ascii="Segoe UI Symbol" w:hAnsi="Segoe UI Symbol" w:eastAsia="Segoe UI Symbol"/>
                <w:sz w:val="18"/>
              </w:rPr>
              <w:t xml:space="preserve">☐ </w:t>
            </w:r>
            <w:r>
              <w:rPr>
                <w:sz w:val="18"/>
              </w:rPr>
              <w:t>春季</w:t>
            </w:r>
            <w:r>
              <w:rPr>
                <w:rFonts w:ascii="Segoe UI Symbol" w:hAnsi="Segoe UI Symbol" w:eastAsia="Segoe UI Symbol"/>
                <w:sz w:val="18"/>
              </w:rPr>
              <w:t>☐</w:t>
            </w:r>
            <w:r>
              <w:rPr>
                <w:sz w:val="18"/>
              </w:rPr>
              <w:t>；夏季</w:t>
            </w:r>
            <w:r>
              <w:rPr>
                <w:rFonts w:ascii="Segoe UI Symbol" w:hAnsi="Segoe UI Symbol" w:eastAsia="Segoe UI Symbol"/>
                <w:sz w:val="18"/>
              </w:rPr>
              <w:t>☐</w:t>
            </w:r>
            <w:r>
              <w:rPr>
                <w:sz w:val="18"/>
              </w:rPr>
              <w:t>；秋季</w:t>
            </w:r>
            <w:r>
              <w:rPr>
                <w:rFonts w:ascii="Segoe UI Symbol" w:hAnsi="Segoe UI Symbol" w:eastAsia="Segoe UI Symbol"/>
                <w:sz w:val="18"/>
              </w:rPr>
              <w:t>☐</w:t>
            </w:r>
            <w:r>
              <w:rPr>
                <w:sz w:val="18"/>
              </w:rPr>
              <w:t>；冬季</w:t>
            </w:r>
            <w:r>
              <w:rPr>
                <w:rFonts w:ascii="Segoe UI Symbol" w:hAnsi="Segoe UI Symbol" w:eastAsia="Segoe UI Symbol"/>
                <w:sz w:val="18"/>
              </w:rPr>
              <w:t>☐</w:t>
            </w:r>
          </w:p>
          <w:p w14:paraId="385D0853">
            <w:pPr>
              <w:pStyle w:val="17"/>
              <w:spacing w:line="231" w:lineRule="exact"/>
              <w:ind w:left="14"/>
              <w:jc w:val="left"/>
              <w:rPr>
                <w:rFonts w:ascii="Segoe UI Symbol" w:hAnsi="Segoe UI Symbol" w:eastAsia="Segoe UI Symbol"/>
                <w:sz w:val="18"/>
              </w:rPr>
            </w:pPr>
            <w:r>
              <w:rPr>
                <w:sz w:val="18"/>
              </w:rPr>
              <w:t>设计水文条件</w:t>
            </w:r>
            <w:r>
              <w:rPr>
                <w:rFonts w:ascii="Segoe UI Symbol" w:hAnsi="Segoe UI Symbol" w:eastAsia="Segoe UI Symbol"/>
                <w:sz w:val="18"/>
              </w:rPr>
              <w:t>☐</w:t>
            </w:r>
          </w:p>
        </w:tc>
      </w:tr>
      <w:tr w14:paraId="1F183D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5" w:hRule="atLeast"/>
        </w:trPr>
        <w:tc>
          <w:tcPr>
            <w:tcW w:w="281" w:type="dxa"/>
            <w:vMerge w:val="continue"/>
            <w:tcBorders>
              <w:top w:val="nil"/>
              <w:bottom w:val="single" w:color="000000" w:sz="4" w:space="0"/>
              <w:right w:val="single" w:color="000000" w:sz="4" w:space="0"/>
            </w:tcBorders>
          </w:tcPr>
          <w:p w14:paraId="599A449A">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055409BF">
            <w:pPr>
              <w:pStyle w:val="17"/>
              <w:jc w:val="left"/>
              <w:rPr>
                <w:sz w:val="18"/>
              </w:rPr>
            </w:pPr>
          </w:p>
          <w:p w14:paraId="5A8A5175">
            <w:pPr>
              <w:pStyle w:val="17"/>
              <w:spacing w:before="139"/>
              <w:ind w:left="80" w:right="50"/>
              <w:rPr>
                <w:sz w:val="18"/>
              </w:rPr>
            </w:pPr>
            <w:r>
              <w:rPr>
                <w:sz w:val="18"/>
              </w:rPr>
              <w:t>预测情景</w:t>
            </w:r>
          </w:p>
        </w:tc>
        <w:tc>
          <w:tcPr>
            <w:tcW w:w="7626" w:type="dxa"/>
            <w:gridSpan w:val="12"/>
            <w:tcBorders>
              <w:top w:val="single" w:color="000000" w:sz="4" w:space="0"/>
              <w:left w:val="single" w:color="000000" w:sz="4" w:space="0"/>
              <w:bottom w:val="single" w:color="000000" w:sz="4" w:space="0"/>
            </w:tcBorders>
          </w:tcPr>
          <w:p w14:paraId="1C8FB0E2">
            <w:pPr>
              <w:pStyle w:val="17"/>
              <w:spacing w:line="242" w:lineRule="auto"/>
              <w:ind w:left="14" w:right="4425"/>
              <w:jc w:val="left"/>
              <w:rPr>
                <w:rFonts w:ascii="Segoe UI Symbol" w:hAnsi="Segoe UI Symbol" w:eastAsia="Segoe UI Symbol"/>
                <w:sz w:val="18"/>
              </w:rPr>
            </w:pPr>
            <w:r>
              <w:rPr>
                <w:sz w:val="18"/>
              </w:rPr>
              <w:t>建设期</w:t>
            </w:r>
            <w:r>
              <w:rPr>
                <w:rFonts w:ascii="Segoe UI Symbol" w:hAnsi="Segoe UI Symbol" w:eastAsia="Segoe UI Symbol"/>
                <w:sz w:val="18"/>
              </w:rPr>
              <w:t>☐</w:t>
            </w:r>
            <w:r>
              <w:rPr>
                <w:sz w:val="18"/>
              </w:rPr>
              <w:t>；生产运行期</w:t>
            </w:r>
            <w:r>
              <w:rPr>
                <w:rFonts w:ascii="Segoe UI Symbol" w:hAnsi="Segoe UI Symbol" w:eastAsia="Segoe UI Symbol"/>
                <w:sz w:val="18"/>
              </w:rPr>
              <w:t>☐</w:t>
            </w:r>
            <w:r>
              <w:rPr>
                <w:sz w:val="18"/>
              </w:rPr>
              <w:t>；服务期满后</w:t>
            </w:r>
            <w:r>
              <w:rPr>
                <w:rFonts w:ascii="Segoe UI Symbol" w:hAnsi="Segoe UI Symbol" w:eastAsia="Segoe UI Symbol"/>
                <w:sz w:val="18"/>
              </w:rPr>
              <w:t>☐</w:t>
            </w:r>
            <w:r>
              <w:rPr>
                <w:sz w:val="18"/>
              </w:rPr>
              <w:t>正常工况</w:t>
            </w:r>
            <w:r>
              <w:rPr>
                <w:rFonts w:ascii="Segoe UI Symbol" w:hAnsi="Segoe UI Symbol" w:eastAsia="Segoe UI Symbol"/>
                <w:sz w:val="18"/>
              </w:rPr>
              <w:t>☐</w:t>
            </w:r>
            <w:r>
              <w:rPr>
                <w:sz w:val="18"/>
              </w:rPr>
              <w:t>；非正常工况</w:t>
            </w:r>
            <w:r>
              <w:rPr>
                <w:rFonts w:ascii="Segoe UI Symbol" w:hAnsi="Segoe UI Symbol" w:eastAsia="Segoe UI Symbol"/>
                <w:sz w:val="18"/>
              </w:rPr>
              <w:t>☐</w:t>
            </w:r>
          </w:p>
          <w:p w14:paraId="3427ED46">
            <w:pPr>
              <w:pStyle w:val="17"/>
              <w:spacing w:line="242" w:lineRule="exact"/>
              <w:ind w:left="14"/>
              <w:jc w:val="left"/>
              <w:rPr>
                <w:rFonts w:ascii="Segoe UI Symbol" w:hAnsi="Segoe UI Symbol" w:eastAsia="Segoe UI Symbol"/>
                <w:sz w:val="18"/>
              </w:rPr>
            </w:pPr>
            <w:r>
              <w:rPr>
                <w:sz w:val="18"/>
              </w:rPr>
              <w:t>污染控制和减缓措施方案</w:t>
            </w:r>
            <w:r>
              <w:rPr>
                <w:rFonts w:ascii="Segoe UI Symbol" w:hAnsi="Segoe UI Symbol" w:eastAsia="Segoe UI Symbol"/>
                <w:sz w:val="18"/>
              </w:rPr>
              <w:t>☐</w:t>
            </w:r>
          </w:p>
          <w:p w14:paraId="08C32133">
            <w:pPr>
              <w:pStyle w:val="17"/>
              <w:spacing w:line="233" w:lineRule="exact"/>
              <w:ind w:left="14"/>
              <w:jc w:val="left"/>
              <w:rPr>
                <w:rFonts w:ascii="Segoe UI Symbol" w:hAnsi="Segoe UI Symbol" w:eastAsia="Segoe UI Symbol"/>
                <w:sz w:val="18"/>
              </w:rPr>
            </w:pPr>
            <w:r>
              <w:rPr>
                <w:sz w:val="18"/>
              </w:rPr>
              <w:t>区</w:t>
            </w:r>
            <w:r>
              <w:rPr>
                <w:rFonts w:ascii="Times New Roman" w:hAnsi="Times New Roman" w:eastAsia="Times New Roman"/>
                <w:sz w:val="18"/>
              </w:rPr>
              <w:t>(</w:t>
            </w:r>
            <w:r>
              <w:rPr>
                <w:sz w:val="18"/>
              </w:rPr>
              <w:t>流</w:t>
            </w:r>
            <w:r>
              <w:rPr>
                <w:rFonts w:ascii="Times New Roman" w:hAnsi="Times New Roman" w:eastAsia="Times New Roman"/>
                <w:sz w:val="18"/>
              </w:rPr>
              <w:t>)</w:t>
            </w:r>
            <w:r>
              <w:rPr>
                <w:sz w:val="18"/>
              </w:rPr>
              <w:t>域环境质量改善目标要求情景</w:t>
            </w:r>
            <w:r>
              <w:rPr>
                <w:rFonts w:ascii="Segoe UI Symbol" w:hAnsi="Segoe UI Symbol" w:eastAsia="Segoe UI Symbol"/>
                <w:sz w:val="18"/>
              </w:rPr>
              <w:t>☐</w:t>
            </w:r>
          </w:p>
        </w:tc>
      </w:tr>
      <w:tr w14:paraId="76745C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2" w:hRule="atLeast"/>
        </w:trPr>
        <w:tc>
          <w:tcPr>
            <w:tcW w:w="281" w:type="dxa"/>
            <w:vMerge w:val="continue"/>
            <w:tcBorders>
              <w:top w:val="nil"/>
              <w:bottom w:val="single" w:color="000000" w:sz="4" w:space="0"/>
              <w:right w:val="single" w:color="000000" w:sz="4" w:space="0"/>
            </w:tcBorders>
          </w:tcPr>
          <w:p w14:paraId="63CA44D3">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3C94E54F">
            <w:pPr>
              <w:pStyle w:val="17"/>
              <w:spacing w:before="123"/>
              <w:ind w:left="80" w:right="50"/>
              <w:rPr>
                <w:sz w:val="18"/>
              </w:rPr>
            </w:pPr>
            <w:r>
              <w:rPr>
                <w:sz w:val="18"/>
              </w:rPr>
              <w:t>预测方法</w:t>
            </w:r>
          </w:p>
        </w:tc>
        <w:tc>
          <w:tcPr>
            <w:tcW w:w="7626" w:type="dxa"/>
            <w:gridSpan w:val="12"/>
            <w:tcBorders>
              <w:top w:val="single" w:color="000000" w:sz="4" w:space="0"/>
              <w:left w:val="single" w:color="000000" w:sz="4" w:space="0"/>
              <w:bottom w:val="single" w:color="000000" w:sz="4" w:space="0"/>
            </w:tcBorders>
          </w:tcPr>
          <w:p w14:paraId="62B49925">
            <w:pPr>
              <w:pStyle w:val="17"/>
              <w:spacing w:line="239" w:lineRule="exact"/>
              <w:ind w:left="14"/>
              <w:jc w:val="left"/>
              <w:rPr>
                <w:rFonts w:ascii="Segoe UI Symbol" w:hAnsi="Segoe UI Symbol" w:eastAsia="Segoe UI Symbol"/>
                <w:sz w:val="18"/>
              </w:rPr>
            </w:pPr>
            <w:r>
              <w:rPr>
                <w:sz w:val="18"/>
              </w:rPr>
              <w:t>数值解</w:t>
            </w:r>
            <w:r>
              <w:rPr>
                <w:rFonts w:ascii="Segoe UI Symbol" w:hAnsi="Segoe UI Symbol" w:eastAsia="Segoe UI Symbol"/>
                <w:sz w:val="18"/>
              </w:rPr>
              <w:t>☐</w:t>
            </w:r>
            <w:r>
              <w:rPr>
                <w:sz w:val="18"/>
              </w:rPr>
              <w:t>：解析解</w:t>
            </w:r>
            <w:r>
              <w:rPr>
                <w:rFonts w:ascii="Segoe UI Symbol" w:hAnsi="Segoe UI Symbol" w:eastAsia="Segoe UI Symbol"/>
                <w:sz w:val="18"/>
              </w:rPr>
              <w:t>☐</w:t>
            </w:r>
            <w:r>
              <w:rPr>
                <w:sz w:val="18"/>
              </w:rPr>
              <w:t>；其他</w:t>
            </w:r>
            <w:r>
              <w:rPr>
                <w:rFonts w:ascii="Segoe UI Symbol" w:hAnsi="Segoe UI Symbol" w:eastAsia="Segoe UI Symbol"/>
                <w:sz w:val="18"/>
              </w:rPr>
              <w:t>☐</w:t>
            </w:r>
          </w:p>
          <w:p w14:paraId="4B2AF0A6">
            <w:pPr>
              <w:pStyle w:val="17"/>
              <w:spacing w:line="233" w:lineRule="exact"/>
              <w:ind w:left="14"/>
              <w:jc w:val="left"/>
              <w:rPr>
                <w:rFonts w:ascii="Segoe UI Symbol" w:hAnsi="Segoe UI Symbol" w:eastAsia="Segoe UI Symbol"/>
                <w:sz w:val="18"/>
              </w:rPr>
            </w:pPr>
            <w:r>
              <w:rPr>
                <w:sz w:val="18"/>
              </w:rPr>
              <w:t>导则推荐模式</w:t>
            </w:r>
            <w:r>
              <w:rPr>
                <w:rFonts w:ascii="Segoe UI Symbol" w:hAnsi="Segoe UI Symbol" w:eastAsia="Segoe UI Symbol"/>
                <w:sz w:val="18"/>
              </w:rPr>
              <w:t>☐</w:t>
            </w:r>
            <w:r>
              <w:rPr>
                <w:sz w:val="18"/>
              </w:rPr>
              <w:t>：其他</w:t>
            </w:r>
            <w:r>
              <w:rPr>
                <w:rFonts w:ascii="Segoe UI Symbol" w:hAnsi="Segoe UI Symbol" w:eastAsia="Segoe UI Symbol"/>
                <w:sz w:val="18"/>
              </w:rPr>
              <w:t>☐</w:t>
            </w:r>
          </w:p>
        </w:tc>
      </w:tr>
      <w:tr w14:paraId="09A088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281" w:type="dxa"/>
            <w:vMerge w:val="restart"/>
            <w:tcBorders>
              <w:top w:val="single" w:color="000000" w:sz="4" w:space="0"/>
              <w:bottom w:val="single" w:color="000000" w:sz="4" w:space="0"/>
              <w:right w:val="single" w:color="000000" w:sz="4" w:space="0"/>
            </w:tcBorders>
          </w:tcPr>
          <w:p w14:paraId="47E63FBF">
            <w:pPr>
              <w:pStyle w:val="17"/>
              <w:jc w:val="left"/>
              <w:rPr>
                <w:sz w:val="18"/>
              </w:rPr>
            </w:pPr>
          </w:p>
          <w:p w14:paraId="036E6721">
            <w:pPr>
              <w:pStyle w:val="17"/>
              <w:jc w:val="left"/>
              <w:rPr>
                <w:sz w:val="18"/>
              </w:rPr>
            </w:pPr>
          </w:p>
          <w:p w14:paraId="45FE31D4">
            <w:pPr>
              <w:pStyle w:val="17"/>
              <w:jc w:val="left"/>
              <w:rPr>
                <w:sz w:val="18"/>
              </w:rPr>
            </w:pPr>
          </w:p>
          <w:p w14:paraId="4FF8E83C">
            <w:pPr>
              <w:pStyle w:val="17"/>
              <w:jc w:val="left"/>
              <w:rPr>
                <w:sz w:val="18"/>
              </w:rPr>
            </w:pPr>
          </w:p>
          <w:p w14:paraId="132677DD">
            <w:pPr>
              <w:pStyle w:val="17"/>
              <w:jc w:val="left"/>
              <w:rPr>
                <w:sz w:val="18"/>
              </w:rPr>
            </w:pPr>
          </w:p>
          <w:p w14:paraId="6E4478F4">
            <w:pPr>
              <w:pStyle w:val="17"/>
              <w:jc w:val="left"/>
              <w:rPr>
                <w:sz w:val="18"/>
              </w:rPr>
            </w:pPr>
          </w:p>
          <w:p w14:paraId="7A273DFB">
            <w:pPr>
              <w:pStyle w:val="17"/>
              <w:jc w:val="left"/>
              <w:rPr>
                <w:sz w:val="18"/>
              </w:rPr>
            </w:pPr>
          </w:p>
          <w:p w14:paraId="3474E851">
            <w:pPr>
              <w:pStyle w:val="17"/>
              <w:jc w:val="left"/>
              <w:rPr>
                <w:sz w:val="18"/>
              </w:rPr>
            </w:pPr>
          </w:p>
          <w:p w14:paraId="6B7FC88F">
            <w:pPr>
              <w:pStyle w:val="17"/>
              <w:jc w:val="left"/>
              <w:rPr>
                <w:sz w:val="18"/>
              </w:rPr>
            </w:pPr>
          </w:p>
          <w:p w14:paraId="48B64F9E">
            <w:pPr>
              <w:pStyle w:val="17"/>
              <w:spacing w:before="1"/>
              <w:jc w:val="left"/>
              <w:rPr>
                <w:sz w:val="23"/>
              </w:rPr>
            </w:pPr>
          </w:p>
          <w:p w14:paraId="7A1D4965">
            <w:pPr>
              <w:pStyle w:val="17"/>
              <w:spacing w:line="242" w:lineRule="auto"/>
              <w:ind w:left="54" w:right="24"/>
              <w:jc w:val="both"/>
              <w:rPr>
                <w:sz w:val="18"/>
              </w:rPr>
            </w:pPr>
            <w:r>
              <w:rPr>
                <w:sz w:val="18"/>
              </w:rPr>
              <w:t>影响评价</w:t>
            </w:r>
          </w:p>
        </w:tc>
        <w:tc>
          <w:tcPr>
            <w:tcW w:w="1442" w:type="dxa"/>
            <w:tcBorders>
              <w:top w:val="single" w:color="000000" w:sz="4" w:space="0"/>
              <w:left w:val="single" w:color="000000" w:sz="4" w:space="0"/>
              <w:bottom w:val="single" w:color="000000" w:sz="4" w:space="0"/>
              <w:right w:val="single" w:color="000000" w:sz="4" w:space="0"/>
            </w:tcBorders>
          </w:tcPr>
          <w:p w14:paraId="38781ECE">
            <w:pPr>
              <w:pStyle w:val="17"/>
              <w:spacing w:line="242" w:lineRule="auto"/>
              <w:ind w:left="100" w:right="69"/>
              <w:jc w:val="left"/>
              <w:rPr>
                <w:sz w:val="18"/>
              </w:rPr>
            </w:pPr>
            <w:r>
              <w:rPr>
                <w:sz w:val="18"/>
              </w:rPr>
              <w:t>水污染控制和水环境影响减缓措</w:t>
            </w:r>
          </w:p>
          <w:p w14:paraId="110B7DD9">
            <w:pPr>
              <w:pStyle w:val="17"/>
              <w:spacing w:line="218" w:lineRule="exact"/>
              <w:ind w:left="191"/>
              <w:jc w:val="left"/>
              <w:rPr>
                <w:sz w:val="18"/>
              </w:rPr>
            </w:pPr>
            <w:r>
              <w:rPr>
                <w:sz w:val="18"/>
              </w:rPr>
              <w:t>施有效性评价</w:t>
            </w:r>
          </w:p>
        </w:tc>
        <w:tc>
          <w:tcPr>
            <w:tcW w:w="7626" w:type="dxa"/>
            <w:gridSpan w:val="12"/>
            <w:tcBorders>
              <w:top w:val="single" w:color="000000" w:sz="4" w:space="0"/>
              <w:left w:val="single" w:color="000000" w:sz="4" w:space="0"/>
              <w:bottom w:val="single" w:color="000000" w:sz="4" w:space="0"/>
            </w:tcBorders>
          </w:tcPr>
          <w:p w14:paraId="5FF93759">
            <w:pPr>
              <w:pStyle w:val="17"/>
              <w:spacing w:before="3"/>
              <w:jc w:val="left"/>
              <w:rPr>
                <w:sz w:val="17"/>
              </w:rPr>
            </w:pPr>
          </w:p>
          <w:p w14:paraId="46FD0C40">
            <w:pPr>
              <w:pStyle w:val="17"/>
              <w:spacing w:before="1"/>
              <w:ind w:left="14"/>
              <w:jc w:val="left"/>
              <w:rPr>
                <w:rFonts w:ascii="Segoe UI Symbol" w:hAnsi="Segoe UI Symbol" w:eastAsia="Segoe UI Symbol"/>
                <w:sz w:val="18"/>
              </w:rPr>
            </w:pPr>
            <w:r>
              <w:rPr>
                <w:sz w:val="18"/>
              </w:rPr>
              <w:t>区</w:t>
            </w:r>
            <w:r>
              <w:rPr>
                <w:rFonts w:ascii="Times New Roman" w:hAnsi="Times New Roman" w:eastAsia="Times New Roman"/>
                <w:sz w:val="18"/>
              </w:rPr>
              <w:t>(</w:t>
            </w:r>
            <w:r>
              <w:rPr>
                <w:sz w:val="18"/>
              </w:rPr>
              <w:t>流</w:t>
            </w:r>
            <w:r>
              <w:rPr>
                <w:rFonts w:ascii="Times New Roman" w:hAnsi="Times New Roman" w:eastAsia="Times New Roman"/>
                <w:sz w:val="18"/>
              </w:rPr>
              <w:t>)</w:t>
            </w:r>
            <w:r>
              <w:rPr>
                <w:sz w:val="18"/>
              </w:rPr>
              <w:t>域水环境质量改善目标</w:t>
            </w:r>
            <w:r>
              <w:rPr>
                <w:rFonts w:ascii="Segoe UI Symbol" w:hAnsi="Segoe UI Symbol" w:eastAsia="Segoe UI Symbol"/>
                <w:sz w:val="18"/>
              </w:rPr>
              <w:t>☐</w:t>
            </w:r>
            <w:r>
              <w:rPr>
                <w:sz w:val="18"/>
              </w:rPr>
              <w:t>；替代削减源</w:t>
            </w:r>
            <w:r>
              <w:rPr>
                <w:rFonts w:ascii="Segoe UI Symbol" w:hAnsi="Segoe UI Symbol" w:eastAsia="Segoe UI Symbol"/>
                <w:sz w:val="18"/>
              </w:rPr>
              <w:t>☐</w:t>
            </w:r>
          </w:p>
        </w:tc>
      </w:tr>
      <w:tr w14:paraId="200F88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1" w:hRule="atLeast"/>
        </w:trPr>
        <w:tc>
          <w:tcPr>
            <w:tcW w:w="281" w:type="dxa"/>
            <w:vMerge w:val="continue"/>
            <w:tcBorders>
              <w:top w:val="nil"/>
              <w:bottom w:val="single" w:color="000000" w:sz="4" w:space="0"/>
              <w:right w:val="single" w:color="000000" w:sz="4" w:space="0"/>
            </w:tcBorders>
          </w:tcPr>
          <w:p w14:paraId="664C4320">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15DF7261">
            <w:pPr>
              <w:pStyle w:val="17"/>
              <w:jc w:val="left"/>
              <w:rPr>
                <w:sz w:val="18"/>
              </w:rPr>
            </w:pPr>
          </w:p>
          <w:p w14:paraId="7BD084C9">
            <w:pPr>
              <w:pStyle w:val="17"/>
              <w:jc w:val="left"/>
              <w:rPr>
                <w:sz w:val="18"/>
              </w:rPr>
            </w:pPr>
          </w:p>
          <w:p w14:paraId="406D9029">
            <w:pPr>
              <w:pStyle w:val="17"/>
              <w:jc w:val="left"/>
              <w:rPr>
                <w:sz w:val="18"/>
              </w:rPr>
            </w:pPr>
          </w:p>
          <w:p w14:paraId="2A3018C8">
            <w:pPr>
              <w:pStyle w:val="17"/>
              <w:jc w:val="left"/>
              <w:rPr>
                <w:sz w:val="18"/>
              </w:rPr>
            </w:pPr>
          </w:p>
          <w:p w14:paraId="16731531">
            <w:pPr>
              <w:pStyle w:val="17"/>
              <w:jc w:val="left"/>
              <w:rPr>
                <w:sz w:val="18"/>
              </w:rPr>
            </w:pPr>
          </w:p>
          <w:p w14:paraId="39473F3E">
            <w:pPr>
              <w:pStyle w:val="17"/>
              <w:spacing w:before="2"/>
              <w:jc w:val="left"/>
              <w:rPr>
                <w:sz w:val="21"/>
              </w:rPr>
            </w:pPr>
          </w:p>
          <w:p w14:paraId="0DA9465B">
            <w:pPr>
              <w:pStyle w:val="17"/>
              <w:ind w:left="80" w:right="52"/>
              <w:rPr>
                <w:sz w:val="18"/>
              </w:rPr>
            </w:pPr>
            <w:r>
              <w:rPr>
                <w:sz w:val="18"/>
              </w:rPr>
              <w:t>水环境影响评价</w:t>
            </w:r>
          </w:p>
        </w:tc>
        <w:tc>
          <w:tcPr>
            <w:tcW w:w="7626" w:type="dxa"/>
            <w:gridSpan w:val="12"/>
            <w:tcBorders>
              <w:top w:val="single" w:color="000000" w:sz="4" w:space="0"/>
              <w:left w:val="single" w:color="000000" w:sz="4" w:space="0"/>
              <w:bottom w:val="single" w:color="000000" w:sz="4" w:space="0"/>
            </w:tcBorders>
          </w:tcPr>
          <w:p w14:paraId="4A039F25">
            <w:pPr>
              <w:pStyle w:val="17"/>
              <w:spacing w:before="99"/>
              <w:ind w:left="14"/>
              <w:jc w:val="left"/>
              <w:rPr>
                <w:rFonts w:ascii="Segoe UI Symbol" w:hAnsi="Segoe UI Symbol" w:eastAsia="Segoe UI Symbol"/>
                <w:sz w:val="18"/>
              </w:rPr>
            </w:pPr>
            <w:r>
              <w:rPr>
                <w:sz w:val="18"/>
              </w:rPr>
              <w:t>排放口混合区外满足水环境管理要求</w:t>
            </w:r>
            <w:r>
              <w:rPr>
                <w:rFonts w:ascii="Segoe UI Symbol" w:hAnsi="Segoe UI Symbol" w:eastAsia="Segoe UI Symbol"/>
                <w:sz w:val="18"/>
              </w:rPr>
              <w:t>☐</w:t>
            </w:r>
          </w:p>
          <w:p w14:paraId="3D546B4D">
            <w:pPr>
              <w:pStyle w:val="17"/>
              <w:spacing w:before="5" w:line="242" w:lineRule="auto"/>
              <w:ind w:left="14" w:right="2929"/>
              <w:jc w:val="left"/>
              <w:rPr>
                <w:rFonts w:ascii="Wingdings" w:hAnsi="Wingdings"/>
                <w:sz w:val="18"/>
              </w:rPr>
            </w:pPr>
            <w:r>
              <w:rPr>
                <w:sz w:val="18"/>
              </w:rPr>
              <w:t>水环境功能区或水功能区、近岸海域环境功能区水质达标</w:t>
            </w:r>
            <w:r>
              <w:rPr>
                <w:rFonts w:ascii="Wingdings" w:hAnsi="Wingdings"/>
                <w:sz w:val="18"/>
              </w:rPr>
              <w:t></w:t>
            </w:r>
            <w:r>
              <w:rPr>
                <w:rFonts w:ascii="Times New Roman" w:hAnsi="Times New Roman"/>
                <w:sz w:val="18"/>
              </w:rPr>
              <w:t xml:space="preserve"> </w:t>
            </w:r>
            <w:r>
              <w:rPr>
                <w:sz w:val="18"/>
              </w:rPr>
              <w:t>满足水环境保护目标水域水环境质量要求</w:t>
            </w:r>
            <w:r>
              <w:rPr>
                <w:rFonts w:ascii="Wingdings" w:hAnsi="Wingdings"/>
                <w:sz w:val="18"/>
              </w:rPr>
              <w:t></w:t>
            </w:r>
          </w:p>
          <w:p w14:paraId="4D6CEE04">
            <w:pPr>
              <w:pStyle w:val="17"/>
              <w:ind w:left="14"/>
              <w:jc w:val="left"/>
              <w:rPr>
                <w:rFonts w:ascii="Segoe UI Symbol" w:hAnsi="Segoe UI Symbol" w:eastAsia="Segoe UI Symbol"/>
                <w:sz w:val="18"/>
              </w:rPr>
            </w:pPr>
            <w:r>
              <w:rPr>
                <w:sz w:val="18"/>
              </w:rPr>
              <w:t>水环境控制单元或断面水质达标</w:t>
            </w:r>
            <w:r>
              <w:rPr>
                <w:rFonts w:ascii="Segoe UI Symbol" w:hAnsi="Segoe UI Symbol" w:eastAsia="Segoe UI Symbol"/>
                <w:sz w:val="18"/>
              </w:rPr>
              <w:t>☐</w:t>
            </w:r>
          </w:p>
          <w:p w14:paraId="7D0D6C7F">
            <w:pPr>
              <w:pStyle w:val="17"/>
              <w:spacing w:before="2"/>
              <w:ind w:left="14" w:right="-29"/>
              <w:jc w:val="left"/>
              <w:rPr>
                <w:rFonts w:ascii="Segoe UI Symbol" w:hAnsi="Segoe UI Symbol" w:eastAsia="Segoe UI Symbol"/>
                <w:sz w:val="18"/>
              </w:rPr>
            </w:pPr>
            <w:r>
              <w:rPr>
                <w:sz w:val="18"/>
              </w:rPr>
              <w:t>满足重点水污染物排放总量控制指标要求，重点行业建设项目，主要污染物排放满足等量或减量替代要求</w:t>
            </w:r>
            <w:r>
              <w:rPr>
                <w:rFonts w:ascii="Segoe UI Symbol" w:hAnsi="Segoe UI Symbol" w:eastAsia="Segoe UI Symbol"/>
                <w:sz w:val="18"/>
              </w:rPr>
              <w:t>☐</w:t>
            </w:r>
          </w:p>
          <w:p w14:paraId="7A995DBF">
            <w:pPr>
              <w:pStyle w:val="17"/>
              <w:spacing w:before="2"/>
              <w:ind w:left="14"/>
              <w:jc w:val="left"/>
              <w:rPr>
                <w:rFonts w:ascii="Segoe UI Symbol" w:hAnsi="Segoe UI Symbol" w:eastAsia="Segoe UI Symbol"/>
                <w:sz w:val="18"/>
              </w:rPr>
            </w:pPr>
            <w:r>
              <w:rPr>
                <w:sz w:val="18"/>
              </w:rPr>
              <w:t>满足区</w:t>
            </w:r>
            <w:r>
              <w:rPr>
                <w:rFonts w:ascii="Times New Roman" w:hAnsi="Times New Roman" w:eastAsia="Times New Roman"/>
                <w:sz w:val="18"/>
              </w:rPr>
              <w:t>(</w:t>
            </w:r>
            <w:r>
              <w:rPr>
                <w:sz w:val="18"/>
              </w:rPr>
              <w:t>流</w:t>
            </w:r>
            <w:r>
              <w:rPr>
                <w:rFonts w:ascii="Times New Roman" w:hAnsi="Times New Roman" w:eastAsia="Times New Roman"/>
                <w:sz w:val="18"/>
              </w:rPr>
              <w:t>)</w:t>
            </w:r>
            <w:r>
              <w:rPr>
                <w:sz w:val="18"/>
              </w:rPr>
              <w:t>域水环境质量改善目标要求</w:t>
            </w:r>
            <w:r>
              <w:rPr>
                <w:rFonts w:ascii="Segoe UI Symbol" w:hAnsi="Segoe UI Symbol" w:eastAsia="Segoe UI Symbol"/>
                <w:sz w:val="18"/>
              </w:rPr>
              <w:t>☐</w:t>
            </w:r>
          </w:p>
          <w:p w14:paraId="16C5F13F">
            <w:pPr>
              <w:pStyle w:val="17"/>
              <w:spacing w:before="3" w:line="242" w:lineRule="auto"/>
              <w:ind w:left="14" w:right="-29"/>
              <w:jc w:val="left"/>
              <w:rPr>
                <w:rFonts w:ascii="Segoe UI Symbol" w:hAnsi="Segoe UI Symbol" w:eastAsia="Segoe UI Symbol"/>
                <w:sz w:val="18"/>
              </w:rPr>
            </w:pPr>
            <w:r>
              <w:rPr>
                <w:sz w:val="18"/>
              </w:rPr>
              <w:t>水文要素影响型建设项目同时应包括水文情势变化评价、主要水文特征值影响评价、生态流量符合性评价</w:t>
            </w:r>
            <w:r>
              <w:rPr>
                <w:rFonts w:ascii="Segoe UI Symbol" w:hAnsi="Segoe UI Symbol" w:eastAsia="Segoe UI Symbol"/>
                <w:sz w:val="18"/>
              </w:rPr>
              <w:t>☐</w:t>
            </w:r>
          </w:p>
          <w:p w14:paraId="7D695C3D">
            <w:pPr>
              <w:pStyle w:val="17"/>
              <w:spacing w:line="242" w:lineRule="auto"/>
              <w:ind w:left="14" w:right="1889"/>
              <w:jc w:val="left"/>
              <w:rPr>
                <w:rFonts w:ascii="Segoe UI Symbol" w:hAnsi="Segoe UI Symbol" w:eastAsia="Segoe UI Symbol"/>
                <w:sz w:val="18"/>
              </w:rPr>
            </w:pPr>
            <w:r>
              <w:rPr>
                <w:sz w:val="18"/>
              </w:rPr>
              <w:t>对于新设或调整入河</w:t>
            </w:r>
            <w:r>
              <w:rPr>
                <w:rFonts w:ascii="Times New Roman" w:hAnsi="Times New Roman" w:eastAsia="Times New Roman"/>
                <w:sz w:val="18"/>
              </w:rPr>
              <w:t>(</w:t>
            </w:r>
            <w:r>
              <w:rPr>
                <w:sz w:val="18"/>
              </w:rPr>
              <w:t>湖库、近岸海域</w:t>
            </w:r>
            <w:r>
              <w:rPr>
                <w:rFonts w:ascii="Times New Roman" w:hAnsi="Times New Roman" w:eastAsia="Times New Roman"/>
                <w:sz w:val="18"/>
              </w:rPr>
              <w:t>)</w:t>
            </w:r>
            <w:r>
              <w:rPr>
                <w:sz w:val="18"/>
              </w:rPr>
              <w:t>排放口的建设项目，应包括排放口设置的环境合理性评价</w:t>
            </w:r>
            <w:r>
              <w:rPr>
                <w:rFonts w:ascii="Segoe UI Symbol" w:hAnsi="Segoe UI Symbol" w:eastAsia="Segoe UI Symbol"/>
                <w:sz w:val="18"/>
              </w:rPr>
              <w:t>☐</w:t>
            </w:r>
          </w:p>
          <w:p w14:paraId="2C82C7BE">
            <w:pPr>
              <w:pStyle w:val="17"/>
              <w:ind w:left="14"/>
              <w:jc w:val="left"/>
              <w:rPr>
                <w:sz w:val="18"/>
              </w:rPr>
            </w:pPr>
            <w:r>
              <w:rPr>
                <w:sz w:val="18"/>
              </w:rPr>
              <w:t>满足生态保护红线、水环境质量底线、资源利用上线和环境准入清单管理要求口</w:t>
            </w:r>
          </w:p>
        </w:tc>
      </w:tr>
      <w:tr w14:paraId="365A97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trPr>
        <w:tc>
          <w:tcPr>
            <w:tcW w:w="281" w:type="dxa"/>
            <w:vMerge w:val="continue"/>
            <w:tcBorders>
              <w:top w:val="nil"/>
              <w:bottom w:val="single" w:color="000000" w:sz="4" w:space="0"/>
              <w:right w:val="single" w:color="000000" w:sz="4" w:space="0"/>
            </w:tcBorders>
          </w:tcPr>
          <w:p w14:paraId="3B1CB108">
            <w:pPr>
              <w:rPr>
                <w:sz w:val="2"/>
                <w:szCs w:val="2"/>
              </w:rPr>
            </w:pPr>
          </w:p>
        </w:tc>
        <w:tc>
          <w:tcPr>
            <w:tcW w:w="1442" w:type="dxa"/>
            <w:vMerge w:val="restart"/>
            <w:tcBorders>
              <w:top w:val="single" w:color="000000" w:sz="4" w:space="0"/>
              <w:left w:val="single" w:color="000000" w:sz="4" w:space="0"/>
              <w:bottom w:val="single" w:color="000000" w:sz="4" w:space="0"/>
              <w:right w:val="single" w:color="000000" w:sz="4" w:space="0"/>
            </w:tcBorders>
          </w:tcPr>
          <w:p w14:paraId="0474CBED">
            <w:pPr>
              <w:pStyle w:val="17"/>
              <w:spacing w:line="242" w:lineRule="auto"/>
              <w:ind w:left="71" w:right="42" w:firstLine="2"/>
              <w:rPr>
                <w:sz w:val="18"/>
              </w:rPr>
            </w:pPr>
            <w:r>
              <w:rPr>
                <w:sz w:val="18"/>
              </w:rPr>
              <w:t>污染源排放量 核算</w:t>
            </w:r>
            <w:r>
              <w:rPr>
                <w:rFonts w:ascii="Times New Roman" w:eastAsia="Times New Roman"/>
                <w:spacing w:val="-3"/>
                <w:sz w:val="18"/>
              </w:rPr>
              <w:t>(</w:t>
            </w:r>
            <w:r>
              <w:rPr>
                <w:sz w:val="18"/>
              </w:rPr>
              <w:t>最终进入水</w:t>
            </w:r>
          </w:p>
          <w:p w14:paraId="47A009AD">
            <w:pPr>
              <w:pStyle w:val="17"/>
              <w:spacing w:line="218" w:lineRule="exact"/>
              <w:ind w:left="80" w:right="52"/>
              <w:rPr>
                <w:rFonts w:ascii="Times New Roman" w:eastAsia="Times New Roman"/>
                <w:sz w:val="18"/>
              </w:rPr>
            </w:pPr>
            <w:r>
              <w:rPr>
                <w:sz w:val="18"/>
              </w:rPr>
              <w:t>环境的量</w:t>
            </w:r>
            <w:r>
              <w:rPr>
                <w:rFonts w:ascii="Times New Roman" w:eastAsia="Times New Roman"/>
                <w:sz w:val="18"/>
              </w:rPr>
              <w:t>)</w:t>
            </w:r>
          </w:p>
        </w:tc>
        <w:tc>
          <w:tcPr>
            <w:tcW w:w="3052" w:type="dxa"/>
            <w:gridSpan w:val="3"/>
            <w:tcBorders>
              <w:top w:val="single" w:color="000000" w:sz="4" w:space="0"/>
              <w:left w:val="single" w:color="000000" w:sz="4" w:space="0"/>
              <w:bottom w:val="single" w:color="000000" w:sz="4" w:space="0"/>
              <w:right w:val="single" w:color="000000" w:sz="4" w:space="0"/>
            </w:tcBorders>
          </w:tcPr>
          <w:p w14:paraId="589B7A90">
            <w:pPr>
              <w:pStyle w:val="17"/>
              <w:spacing w:before="19"/>
              <w:ind w:left="107" w:right="80"/>
              <w:rPr>
                <w:sz w:val="18"/>
              </w:rPr>
            </w:pPr>
            <w:r>
              <w:rPr>
                <w:sz w:val="18"/>
              </w:rPr>
              <w:t>污染物名称</w:t>
            </w:r>
          </w:p>
        </w:tc>
        <w:tc>
          <w:tcPr>
            <w:tcW w:w="2263" w:type="dxa"/>
            <w:gridSpan w:val="4"/>
            <w:tcBorders>
              <w:top w:val="single" w:color="000000" w:sz="4" w:space="0"/>
              <w:left w:val="single" w:color="000000" w:sz="4" w:space="0"/>
              <w:bottom w:val="single" w:color="000000" w:sz="4" w:space="0"/>
              <w:right w:val="single" w:color="000000" w:sz="4" w:space="0"/>
            </w:tcBorders>
          </w:tcPr>
          <w:p w14:paraId="1743440B">
            <w:pPr>
              <w:pStyle w:val="17"/>
              <w:spacing w:before="19"/>
              <w:ind w:left="694"/>
              <w:jc w:val="left"/>
              <w:rPr>
                <w:rFonts w:ascii="Times New Roman" w:eastAsia="Times New Roman"/>
                <w:sz w:val="18"/>
              </w:rPr>
            </w:pPr>
            <w:r>
              <w:rPr>
                <w:sz w:val="18"/>
              </w:rPr>
              <w:t>排放量</w:t>
            </w:r>
            <w:r>
              <w:rPr>
                <w:rFonts w:ascii="Times New Roman" w:eastAsia="Times New Roman"/>
                <w:sz w:val="18"/>
              </w:rPr>
              <w:t>/(t/a)</w:t>
            </w:r>
          </w:p>
        </w:tc>
        <w:tc>
          <w:tcPr>
            <w:tcW w:w="2311" w:type="dxa"/>
            <w:gridSpan w:val="5"/>
            <w:tcBorders>
              <w:top w:val="single" w:color="000000" w:sz="4" w:space="0"/>
              <w:left w:val="single" w:color="000000" w:sz="4" w:space="0"/>
              <w:bottom w:val="single" w:color="000000" w:sz="4" w:space="0"/>
            </w:tcBorders>
          </w:tcPr>
          <w:p w14:paraId="02D69C8C">
            <w:pPr>
              <w:pStyle w:val="17"/>
              <w:spacing w:before="19"/>
              <w:ind w:left="519"/>
              <w:jc w:val="left"/>
              <w:rPr>
                <w:rFonts w:ascii="Times New Roman" w:eastAsia="Times New Roman"/>
                <w:sz w:val="18"/>
              </w:rPr>
            </w:pPr>
            <w:r>
              <w:rPr>
                <w:sz w:val="18"/>
              </w:rPr>
              <w:t>排放浓度</w:t>
            </w:r>
            <w:r>
              <w:rPr>
                <w:rFonts w:ascii="Times New Roman" w:eastAsia="Times New Roman"/>
                <w:sz w:val="18"/>
              </w:rPr>
              <w:t>/(mg/L)</w:t>
            </w:r>
          </w:p>
        </w:tc>
      </w:tr>
      <w:tr w14:paraId="1F2BF2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281" w:type="dxa"/>
            <w:vMerge w:val="continue"/>
            <w:tcBorders>
              <w:top w:val="nil"/>
              <w:bottom w:val="single" w:color="000000" w:sz="4" w:space="0"/>
              <w:right w:val="single" w:color="000000" w:sz="4" w:space="0"/>
            </w:tcBorders>
          </w:tcPr>
          <w:p w14:paraId="1D369426">
            <w:pPr>
              <w:rPr>
                <w:sz w:val="2"/>
                <w:szCs w:val="2"/>
              </w:rPr>
            </w:pPr>
          </w:p>
        </w:tc>
        <w:tc>
          <w:tcPr>
            <w:tcW w:w="1442" w:type="dxa"/>
            <w:vMerge w:val="continue"/>
            <w:tcBorders>
              <w:top w:val="nil"/>
              <w:left w:val="single" w:color="000000" w:sz="4" w:space="0"/>
              <w:bottom w:val="single" w:color="000000" w:sz="4" w:space="0"/>
              <w:right w:val="single" w:color="000000" w:sz="4" w:space="0"/>
            </w:tcBorders>
          </w:tcPr>
          <w:p w14:paraId="45AFC58E">
            <w:pPr>
              <w:rPr>
                <w:sz w:val="2"/>
                <w:szCs w:val="2"/>
              </w:rPr>
            </w:pPr>
          </w:p>
        </w:tc>
        <w:tc>
          <w:tcPr>
            <w:tcW w:w="3052" w:type="dxa"/>
            <w:gridSpan w:val="3"/>
            <w:tcBorders>
              <w:top w:val="single" w:color="000000" w:sz="4" w:space="0"/>
              <w:left w:val="single" w:color="000000" w:sz="4" w:space="0"/>
              <w:bottom w:val="single" w:color="000000" w:sz="4" w:space="0"/>
              <w:right w:val="single" w:color="000000" w:sz="4" w:space="0"/>
            </w:tcBorders>
          </w:tcPr>
          <w:p w14:paraId="26E05DDD">
            <w:pPr>
              <w:pStyle w:val="17"/>
              <w:spacing w:before="81"/>
              <w:ind w:left="1015"/>
              <w:jc w:val="left"/>
              <w:rPr>
                <w:rFonts w:ascii="Times New Roman" w:eastAsia="Times New Roman"/>
                <w:sz w:val="18"/>
              </w:rPr>
            </w:pPr>
            <w:r>
              <w:rPr>
                <w:rFonts w:ascii="Times New Roman" w:eastAsia="Times New Roman"/>
                <w:sz w:val="18"/>
              </w:rPr>
              <w:t>(COD</w:t>
            </w:r>
            <w:r>
              <w:rPr>
                <w:sz w:val="18"/>
              </w:rPr>
              <w:t>、氨氮</w:t>
            </w:r>
            <w:r>
              <w:rPr>
                <w:rFonts w:ascii="Times New Roman" w:eastAsia="Times New Roman"/>
                <w:sz w:val="18"/>
              </w:rPr>
              <w:t>)</w:t>
            </w:r>
          </w:p>
        </w:tc>
        <w:tc>
          <w:tcPr>
            <w:tcW w:w="2263" w:type="dxa"/>
            <w:gridSpan w:val="4"/>
            <w:tcBorders>
              <w:top w:val="single" w:color="000000" w:sz="4" w:space="0"/>
              <w:left w:val="single" w:color="000000" w:sz="4" w:space="0"/>
              <w:bottom w:val="single" w:color="000000" w:sz="4" w:space="0"/>
              <w:right w:val="single" w:color="000000" w:sz="4" w:space="0"/>
            </w:tcBorders>
          </w:tcPr>
          <w:p w14:paraId="7F940197">
            <w:pPr>
              <w:pStyle w:val="17"/>
              <w:spacing w:before="81"/>
              <w:ind w:left="607"/>
              <w:jc w:val="left"/>
              <w:rPr>
                <w:rFonts w:ascii="Times New Roman" w:eastAsia="Times New Roman"/>
                <w:sz w:val="18"/>
              </w:rPr>
            </w:pPr>
            <w:r>
              <w:rPr>
                <w:rFonts w:ascii="Times New Roman" w:eastAsia="Times New Roman"/>
                <w:sz w:val="18"/>
              </w:rPr>
              <w:t>(0.03</w:t>
            </w:r>
            <w:r>
              <w:rPr>
                <w:sz w:val="18"/>
              </w:rPr>
              <w:t>、</w:t>
            </w:r>
            <w:r>
              <w:rPr>
                <w:rFonts w:ascii="Times New Roman" w:eastAsia="Times New Roman"/>
                <w:sz w:val="18"/>
              </w:rPr>
              <w:t>0.003 )</w:t>
            </w:r>
          </w:p>
        </w:tc>
        <w:tc>
          <w:tcPr>
            <w:tcW w:w="2311" w:type="dxa"/>
            <w:gridSpan w:val="5"/>
            <w:tcBorders>
              <w:top w:val="single" w:color="000000" w:sz="4" w:space="0"/>
              <w:left w:val="single" w:color="000000" w:sz="4" w:space="0"/>
              <w:bottom w:val="single" w:color="000000" w:sz="4" w:space="0"/>
            </w:tcBorders>
          </w:tcPr>
          <w:p w14:paraId="17351B22">
            <w:pPr>
              <w:pStyle w:val="17"/>
              <w:spacing w:before="81"/>
              <w:ind w:left="853" w:right="827"/>
              <w:rPr>
                <w:rFonts w:ascii="Times New Roman" w:eastAsia="Times New Roman"/>
                <w:sz w:val="18"/>
              </w:rPr>
            </w:pPr>
            <w:r>
              <w:rPr>
                <w:rFonts w:ascii="Times New Roman" w:eastAsia="Times New Roman"/>
                <w:sz w:val="18"/>
              </w:rPr>
              <w:t>(50</w:t>
            </w:r>
            <w:r>
              <w:rPr>
                <w:sz w:val="18"/>
              </w:rPr>
              <w:t>、</w:t>
            </w:r>
            <w:r>
              <w:rPr>
                <w:rFonts w:ascii="Times New Roman" w:eastAsia="Times New Roman"/>
                <w:sz w:val="18"/>
              </w:rPr>
              <w:t>5)</w:t>
            </w:r>
          </w:p>
        </w:tc>
      </w:tr>
      <w:tr w14:paraId="35A522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3AFC8CDC">
            <w:pPr>
              <w:rPr>
                <w:sz w:val="2"/>
                <w:szCs w:val="2"/>
              </w:rPr>
            </w:pPr>
          </w:p>
        </w:tc>
        <w:tc>
          <w:tcPr>
            <w:tcW w:w="1442" w:type="dxa"/>
            <w:vMerge w:val="restart"/>
            <w:tcBorders>
              <w:top w:val="single" w:color="000000" w:sz="4" w:space="0"/>
              <w:left w:val="single" w:color="000000" w:sz="4" w:space="0"/>
              <w:bottom w:val="single" w:color="000000" w:sz="4" w:space="0"/>
              <w:right w:val="single" w:color="000000" w:sz="4" w:space="0"/>
            </w:tcBorders>
          </w:tcPr>
          <w:p w14:paraId="21CE1A60">
            <w:pPr>
              <w:pStyle w:val="17"/>
              <w:spacing w:before="4"/>
              <w:jc w:val="left"/>
              <w:rPr>
                <w:sz w:val="17"/>
              </w:rPr>
            </w:pPr>
          </w:p>
          <w:p w14:paraId="5A5D3013">
            <w:pPr>
              <w:pStyle w:val="17"/>
              <w:ind w:left="100"/>
              <w:jc w:val="left"/>
              <w:rPr>
                <w:sz w:val="18"/>
              </w:rPr>
            </w:pPr>
            <w:r>
              <w:rPr>
                <w:sz w:val="18"/>
              </w:rPr>
              <w:t>替代源排放情况</w:t>
            </w:r>
          </w:p>
        </w:tc>
        <w:tc>
          <w:tcPr>
            <w:tcW w:w="1866" w:type="dxa"/>
            <w:tcBorders>
              <w:top w:val="single" w:color="000000" w:sz="4" w:space="0"/>
              <w:left w:val="single" w:color="000000" w:sz="4" w:space="0"/>
              <w:bottom w:val="single" w:color="000000" w:sz="4" w:space="0"/>
              <w:right w:val="single" w:color="000000" w:sz="4" w:space="0"/>
            </w:tcBorders>
          </w:tcPr>
          <w:p w14:paraId="1C70F4D8">
            <w:pPr>
              <w:pStyle w:val="17"/>
              <w:spacing w:before="47"/>
              <w:ind w:left="27"/>
              <w:rPr>
                <w:sz w:val="18"/>
              </w:rPr>
            </w:pPr>
            <w:r>
              <w:rPr>
                <w:sz w:val="18"/>
              </w:rPr>
              <w:t>污染源名称</w:t>
            </w:r>
          </w:p>
        </w:tc>
        <w:tc>
          <w:tcPr>
            <w:tcW w:w="1627" w:type="dxa"/>
            <w:gridSpan w:val="3"/>
            <w:tcBorders>
              <w:top w:val="single" w:color="000000" w:sz="4" w:space="0"/>
              <w:left w:val="single" w:color="000000" w:sz="4" w:space="0"/>
              <w:bottom w:val="single" w:color="000000" w:sz="4" w:space="0"/>
              <w:right w:val="single" w:color="000000" w:sz="4" w:space="0"/>
            </w:tcBorders>
          </w:tcPr>
          <w:p w14:paraId="610DAFE0">
            <w:pPr>
              <w:pStyle w:val="17"/>
              <w:spacing w:before="47"/>
              <w:ind w:left="193"/>
              <w:jc w:val="left"/>
              <w:rPr>
                <w:sz w:val="18"/>
              </w:rPr>
            </w:pPr>
            <w:r>
              <w:rPr>
                <w:sz w:val="18"/>
              </w:rPr>
              <w:t>排污许可证编号</w:t>
            </w:r>
          </w:p>
        </w:tc>
        <w:tc>
          <w:tcPr>
            <w:tcW w:w="1246" w:type="dxa"/>
            <w:tcBorders>
              <w:top w:val="single" w:color="000000" w:sz="4" w:space="0"/>
              <w:left w:val="single" w:color="000000" w:sz="4" w:space="0"/>
              <w:bottom w:val="single" w:color="000000" w:sz="4" w:space="0"/>
              <w:right w:val="single" w:color="000000" w:sz="4" w:space="0"/>
            </w:tcBorders>
          </w:tcPr>
          <w:p w14:paraId="7DEEDECC">
            <w:pPr>
              <w:pStyle w:val="17"/>
              <w:spacing w:before="47"/>
              <w:ind w:left="26"/>
              <w:rPr>
                <w:sz w:val="18"/>
              </w:rPr>
            </w:pPr>
            <w:r>
              <w:rPr>
                <w:sz w:val="18"/>
              </w:rPr>
              <w:t>污染物名称</w:t>
            </w:r>
          </w:p>
        </w:tc>
        <w:tc>
          <w:tcPr>
            <w:tcW w:w="1296" w:type="dxa"/>
            <w:gridSpan w:val="3"/>
            <w:tcBorders>
              <w:top w:val="single" w:color="000000" w:sz="4" w:space="0"/>
              <w:left w:val="single" w:color="000000" w:sz="4" w:space="0"/>
              <w:bottom w:val="single" w:color="000000" w:sz="4" w:space="0"/>
              <w:right w:val="single" w:color="000000" w:sz="4" w:space="0"/>
            </w:tcBorders>
          </w:tcPr>
          <w:p w14:paraId="03F3C39E">
            <w:pPr>
              <w:pStyle w:val="17"/>
              <w:spacing w:before="47"/>
              <w:ind w:left="211"/>
              <w:jc w:val="left"/>
              <w:rPr>
                <w:rFonts w:ascii="Times New Roman" w:eastAsia="Times New Roman"/>
                <w:sz w:val="18"/>
              </w:rPr>
            </w:pPr>
            <w:r>
              <w:rPr>
                <w:sz w:val="18"/>
              </w:rPr>
              <w:t>排放量</w:t>
            </w:r>
            <w:r>
              <w:rPr>
                <w:rFonts w:ascii="Times New Roman" w:eastAsia="Times New Roman"/>
                <w:sz w:val="18"/>
              </w:rPr>
              <w:t>/(t/a)</w:t>
            </w:r>
          </w:p>
        </w:tc>
        <w:tc>
          <w:tcPr>
            <w:tcW w:w="1591" w:type="dxa"/>
            <w:gridSpan w:val="4"/>
            <w:tcBorders>
              <w:top w:val="single" w:color="000000" w:sz="4" w:space="0"/>
              <w:left w:val="single" w:color="000000" w:sz="4" w:space="0"/>
              <w:bottom w:val="single" w:color="000000" w:sz="4" w:space="0"/>
            </w:tcBorders>
          </w:tcPr>
          <w:p w14:paraId="3981E260">
            <w:pPr>
              <w:pStyle w:val="17"/>
              <w:spacing w:before="47"/>
              <w:ind w:left="159"/>
              <w:jc w:val="left"/>
              <w:rPr>
                <w:rFonts w:ascii="Times New Roman" w:eastAsia="Times New Roman"/>
                <w:sz w:val="18"/>
              </w:rPr>
            </w:pPr>
            <w:r>
              <w:rPr>
                <w:sz w:val="18"/>
              </w:rPr>
              <w:t>排放浓度</w:t>
            </w:r>
            <w:r>
              <w:rPr>
                <w:rFonts w:ascii="Times New Roman" w:eastAsia="Times New Roman"/>
                <w:sz w:val="18"/>
              </w:rPr>
              <w:t>/(mg/L)</w:t>
            </w:r>
          </w:p>
        </w:tc>
      </w:tr>
      <w:tr w14:paraId="4710E4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0683DA4E">
            <w:pPr>
              <w:rPr>
                <w:sz w:val="2"/>
                <w:szCs w:val="2"/>
              </w:rPr>
            </w:pPr>
          </w:p>
        </w:tc>
        <w:tc>
          <w:tcPr>
            <w:tcW w:w="1442" w:type="dxa"/>
            <w:vMerge w:val="continue"/>
            <w:tcBorders>
              <w:top w:val="nil"/>
              <w:left w:val="single" w:color="000000" w:sz="4" w:space="0"/>
              <w:bottom w:val="single" w:color="000000" w:sz="4" w:space="0"/>
              <w:right w:val="single" w:color="000000" w:sz="4" w:space="0"/>
            </w:tcBorders>
          </w:tcPr>
          <w:p w14:paraId="19842C3F">
            <w:pPr>
              <w:rPr>
                <w:sz w:val="2"/>
                <w:szCs w:val="2"/>
              </w:rPr>
            </w:pPr>
          </w:p>
        </w:tc>
        <w:tc>
          <w:tcPr>
            <w:tcW w:w="1866" w:type="dxa"/>
            <w:tcBorders>
              <w:top w:val="single" w:color="000000" w:sz="4" w:space="0"/>
              <w:left w:val="single" w:color="000000" w:sz="4" w:space="0"/>
              <w:bottom w:val="single" w:color="000000" w:sz="4" w:space="0"/>
              <w:right w:val="single" w:color="000000" w:sz="4" w:space="0"/>
            </w:tcBorders>
          </w:tcPr>
          <w:p w14:paraId="54F35D9B">
            <w:pPr>
              <w:pStyle w:val="17"/>
              <w:tabs>
                <w:tab w:val="left" w:pos="445"/>
              </w:tabs>
              <w:spacing w:before="59"/>
              <w:ind w:left="27"/>
              <w:rPr>
                <w:rFonts w:ascii="Times New Roman"/>
                <w:sz w:val="18"/>
              </w:rPr>
            </w:pPr>
            <w:r>
              <w:rPr>
                <w:rFonts w:ascii="Times New Roman"/>
                <w:sz w:val="18"/>
              </w:rPr>
              <w:t>(</w:t>
            </w:r>
            <w:r>
              <w:rPr>
                <w:rFonts w:ascii="Times New Roman"/>
                <w:sz w:val="18"/>
              </w:rPr>
              <w:tab/>
            </w:r>
            <w:r>
              <w:rPr>
                <w:rFonts w:ascii="Times New Roman"/>
                <w:sz w:val="18"/>
              </w:rPr>
              <w:t>)</w:t>
            </w:r>
          </w:p>
        </w:tc>
        <w:tc>
          <w:tcPr>
            <w:tcW w:w="1627" w:type="dxa"/>
            <w:gridSpan w:val="3"/>
            <w:tcBorders>
              <w:top w:val="single" w:color="000000" w:sz="4" w:space="0"/>
              <w:left w:val="single" w:color="000000" w:sz="4" w:space="0"/>
              <w:bottom w:val="single" w:color="000000" w:sz="4" w:space="0"/>
              <w:right w:val="single" w:color="000000" w:sz="4" w:space="0"/>
            </w:tcBorders>
          </w:tcPr>
          <w:p w14:paraId="4E00429C">
            <w:pPr>
              <w:pStyle w:val="17"/>
              <w:tabs>
                <w:tab w:val="left" w:pos="446"/>
              </w:tabs>
              <w:spacing w:before="59"/>
              <w:ind w:left="26"/>
              <w:rPr>
                <w:rFonts w:ascii="Times New Roman"/>
                <w:sz w:val="18"/>
              </w:rPr>
            </w:pPr>
            <w:r>
              <w:rPr>
                <w:rFonts w:ascii="Times New Roman"/>
                <w:sz w:val="18"/>
              </w:rPr>
              <w:t>(</w:t>
            </w:r>
            <w:r>
              <w:rPr>
                <w:rFonts w:ascii="Times New Roman"/>
                <w:sz w:val="18"/>
              </w:rPr>
              <w:tab/>
            </w:r>
            <w:r>
              <w:rPr>
                <w:rFonts w:ascii="Times New Roman"/>
                <w:sz w:val="18"/>
              </w:rPr>
              <w:t>)</w:t>
            </w:r>
          </w:p>
        </w:tc>
        <w:tc>
          <w:tcPr>
            <w:tcW w:w="1246" w:type="dxa"/>
            <w:tcBorders>
              <w:top w:val="single" w:color="000000" w:sz="4" w:space="0"/>
              <w:left w:val="single" w:color="000000" w:sz="4" w:space="0"/>
              <w:bottom w:val="single" w:color="000000" w:sz="4" w:space="0"/>
              <w:right w:val="single" w:color="000000" w:sz="4" w:space="0"/>
            </w:tcBorders>
          </w:tcPr>
          <w:p w14:paraId="5FE4DBF3">
            <w:pPr>
              <w:pStyle w:val="17"/>
              <w:tabs>
                <w:tab w:val="left" w:pos="448"/>
              </w:tabs>
              <w:spacing w:before="59"/>
              <w:ind w:left="28"/>
              <w:rPr>
                <w:rFonts w:ascii="Times New Roman"/>
                <w:sz w:val="18"/>
              </w:rPr>
            </w:pPr>
            <w:r>
              <w:rPr>
                <w:rFonts w:ascii="Times New Roman"/>
                <w:sz w:val="18"/>
              </w:rPr>
              <w:t>(</w:t>
            </w:r>
            <w:r>
              <w:rPr>
                <w:rFonts w:ascii="Times New Roman"/>
                <w:sz w:val="18"/>
              </w:rPr>
              <w:tab/>
            </w:r>
            <w:r>
              <w:rPr>
                <w:rFonts w:ascii="Times New Roman"/>
                <w:sz w:val="18"/>
              </w:rPr>
              <w:t>)</w:t>
            </w:r>
          </w:p>
        </w:tc>
        <w:tc>
          <w:tcPr>
            <w:tcW w:w="576" w:type="dxa"/>
            <w:gridSpan w:val="2"/>
            <w:tcBorders>
              <w:top w:val="single" w:color="000000" w:sz="4" w:space="0"/>
              <w:left w:val="single" w:color="000000" w:sz="4" w:space="0"/>
              <w:bottom w:val="single" w:color="000000" w:sz="4" w:space="0"/>
              <w:right w:val="nil"/>
            </w:tcBorders>
          </w:tcPr>
          <w:p w14:paraId="6EC2DA64">
            <w:pPr>
              <w:pStyle w:val="17"/>
              <w:spacing w:before="59"/>
              <w:ind w:right="90"/>
              <w:jc w:val="right"/>
              <w:rPr>
                <w:rFonts w:ascii="Times New Roman"/>
                <w:sz w:val="18"/>
              </w:rPr>
            </w:pPr>
            <w:r>
              <w:rPr>
                <w:rFonts w:ascii="Times New Roman"/>
                <w:sz w:val="18"/>
              </w:rPr>
              <w:t>(</w:t>
            </w:r>
          </w:p>
        </w:tc>
        <w:tc>
          <w:tcPr>
            <w:tcW w:w="720" w:type="dxa"/>
            <w:tcBorders>
              <w:top w:val="single" w:color="000000" w:sz="4" w:space="0"/>
              <w:left w:val="nil"/>
              <w:bottom w:val="single" w:color="000000" w:sz="4" w:space="0"/>
              <w:right w:val="single" w:color="000000" w:sz="4" w:space="0"/>
            </w:tcBorders>
          </w:tcPr>
          <w:p w14:paraId="2D9C3E20">
            <w:pPr>
              <w:pStyle w:val="17"/>
              <w:spacing w:before="59"/>
              <w:ind w:left="265"/>
              <w:jc w:val="left"/>
              <w:rPr>
                <w:rFonts w:ascii="Times New Roman"/>
                <w:sz w:val="18"/>
              </w:rPr>
            </w:pPr>
            <w:r>
              <w:rPr>
                <w:rFonts w:ascii="Times New Roman"/>
                <w:sz w:val="18"/>
              </w:rPr>
              <w:t>)</w:t>
            </w:r>
          </w:p>
        </w:tc>
        <w:tc>
          <w:tcPr>
            <w:tcW w:w="200" w:type="dxa"/>
            <w:tcBorders>
              <w:top w:val="single" w:color="000000" w:sz="4" w:space="0"/>
              <w:left w:val="single" w:color="000000" w:sz="4" w:space="0"/>
              <w:bottom w:val="single" w:color="000000" w:sz="4" w:space="0"/>
              <w:right w:val="nil"/>
            </w:tcBorders>
          </w:tcPr>
          <w:p w14:paraId="32652961">
            <w:pPr>
              <w:pStyle w:val="17"/>
              <w:jc w:val="left"/>
              <w:rPr>
                <w:rFonts w:ascii="Times New Roman"/>
                <w:sz w:val="16"/>
              </w:rPr>
            </w:pPr>
          </w:p>
        </w:tc>
        <w:tc>
          <w:tcPr>
            <w:tcW w:w="249" w:type="dxa"/>
            <w:tcBorders>
              <w:top w:val="single" w:color="000000" w:sz="4" w:space="0"/>
              <w:left w:val="nil"/>
              <w:bottom w:val="single" w:color="000000" w:sz="4" w:space="0"/>
              <w:right w:val="nil"/>
            </w:tcBorders>
          </w:tcPr>
          <w:p w14:paraId="3DC5A0AD">
            <w:pPr>
              <w:pStyle w:val="17"/>
              <w:jc w:val="left"/>
              <w:rPr>
                <w:rFonts w:ascii="Times New Roman"/>
                <w:sz w:val="16"/>
              </w:rPr>
            </w:pPr>
          </w:p>
        </w:tc>
        <w:tc>
          <w:tcPr>
            <w:tcW w:w="340" w:type="dxa"/>
            <w:tcBorders>
              <w:top w:val="single" w:color="000000" w:sz="4" w:space="0"/>
              <w:left w:val="nil"/>
              <w:bottom w:val="single" w:color="000000" w:sz="4" w:space="0"/>
              <w:right w:val="nil"/>
            </w:tcBorders>
          </w:tcPr>
          <w:p w14:paraId="303FBEF9">
            <w:pPr>
              <w:pStyle w:val="17"/>
              <w:spacing w:before="59"/>
              <w:ind w:right="46"/>
              <w:rPr>
                <w:rFonts w:ascii="Times New Roman"/>
                <w:sz w:val="18"/>
              </w:rPr>
            </w:pPr>
            <w:r>
              <w:rPr>
                <w:rFonts w:ascii="Times New Roman"/>
                <w:sz w:val="18"/>
              </w:rPr>
              <w:t>(</w:t>
            </w:r>
          </w:p>
        </w:tc>
        <w:tc>
          <w:tcPr>
            <w:tcW w:w="802" w:type="dxa"/>
            <w:tcBorders>
              <w:top w:val="single" w:color="000000" w:sz="4" w:space="0"/>
              <w:left w:val="nil"/>
              <w:bottom w:val="single" w:color="000000" w:sz="4" w:space="0"/>
            </w:tcBorders>
          </w:tcPr>
          <w:p w14:paraId="543A1A53">
            <w:pPr>
              <w:pStyle w:val="17"/>
              <w:spacing w:before="59"/>
              <w:ind w:left="196"/>
              <w:jc w:val="left"/>
              <w:rPr>
                <w:rFonts w:ascii="Times New Roman"/>
                <w:sz w:val="18"/>
              </w:rPr>
            </w:pPr>
            <w:r>
              <w:rPr>
                <w:rFonts w:ascii="Times New Roman"/>
                <w:sz w:val="18"/>
              </w:rPr>
              <w:t>)</w:t>
            </w:r>
          </w:p>
        </w:tc>
      </w:tr>
      <w:tr w14:paraId="1592A2B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281" w:type="dxa"/>
            <w:vMerge w:val="continue"/>
            <w:tcBorders>
              <w:top w:val="nil"/>
              <w:bottom w:val="single" w:color="000000" w:sz="4" w:space="0"/>
              <w:right w:val="single" w:color="000000" w:sz="4" w:space="0"/>
            </w:tcBorders>
          </w:tcPr>
          <w:p w14:paraId="6BADB0A7">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3887CD55">
            <w:pPr>
              <w:pStyle w:val="17"/>
              <w:spacing w:before="110"/>
              <w:ind w:left="80" w:right="50"/>
              <w:rPr>
                <w:sz w:val="18"/>
              </w:rPr>
            </w:pPr>
            <w:r>
              <w:rPr>
                <w:sz w:val="18"/>
              </w:rPr>
              <w:t>生态流量确定</w:t>
            </w:r>
          </w:p>
        </w:tc>
        <w:tc>
          <w:tcPr>
            <w:tcW w:w="5315" w:type="dxa"/>
            <w:gridSpan w:val="7"/>
            <w:tcBorders>
              <w:top w:val="single" w:color="000000" w:sz="4" w:space="0"/>
              <w:left w:val="single" w:color="000000" w:sz="4" w:space="0"/>
              <w:bottom w:val="single" w:color="000000" w:sz="4" w:space="0"/>
              <w:right w:val="nil"/>
            </w:tcBorders>
          </w:tcPr>
          <w:p w14:paraId="11F99901">
            <w:pPr>
              <w:pStyle w:val="17"/>
              <w:tabs>
                <w:tab w:val="left" w:pos="2054"/>
                <w:tab w:val="left" w:pos="4290"/>
              </w:tabs>
              <w:spacing w:line="226" w:lineRule="exact"/>
              <w:ind w:left="14"/>
              <w:jc w:val="left"/>
              <w:rPr>
                <w:rFonts w:ascii="Times New Roman" w:eastAsia="Times New Roman"/>
                <w:sz w:val="18"/>
              </w:rPr>
            </w:pPr>
            <w:r>
              <w:rPr>
                <w:sz w:val="18"/>
              </w:rPr>
              <w:t>生态流量：一般水期</w:t>
            </w:r>
            <w:r>
              <w:rPr>
                <w:rFonts w:ascii="Times New Roman" w:eastAsia="Times New Roman"/>
                <w:sz w:val="18"/>
              </w:rPr>
              <w:t>(</w:t>
            </w:r>
            <w:r>
              <w:rPr>
                <w:rFonts w:ascii="Times New Roman" w:eastAsia="Times New Roman"/>
                <w:sz w:val="18"/>
              </w:rPr>
              <w:tab/>
            </w:r>
            <w:r>
              <w:rPr>
                <w:rFonts w:ascii="Times New Roman" w:eastAsia="Times New Roman"/>
                <w:sz w:val="18"/>
              </w:rPr>
              <w:t>)m</w:t>
            </w:r>
            <w:r>
              <w:rPr>
                <w:rFonts w:ascii="Times New Roman" w:eastAsia="Times New Roman"/>
                <w:position w:val="6"/>
                <w:sz w:val="11"/>
              </w:rPr>
              <w:t>3</w:t>
            </w:r>
            <w:r>
              <w:rPr>
                <w:rFonts w:ascii="Times New Roman" w:eastAsia="Times New Roman"/>
                <w:sz w:val="18"/>
              </w:rPr>
              <w:t>/s</w:t>
            </w:r>
            <w:r>
              <w:rPr>
                <w:sz w:val="18"/>
              </w:rPr>
              <w:t>；鱼类繁殖期</w:t>
            </w:r>
            <w:r>
              <w:rPr>
                <w:rFonts w:ascii="Times New Roman" w:eastAsia="Times New Roman"/>
                <w:sz w:val="18"/>
              </w:rPr>
              <w:t>(</w:t>
            </w:r>
            <w:r>
              <w:rPr>
                <w:rFonts w:ascii="Times New Roman" w:eastAsia="Times New Roman"/>
                <w:sz w:val="18"/>
              </w:rPr>
              <w:tab/>
            </w:r>
            <w:r>
              <w:rPr>
                <w:rFonts w:ascii="Times New Roman" w:eastAsia="Times New Roman"/>
                <w:sz w:val="18"/>
              </w:rPr>
              <w:t>)m</w:t>
            </w:r>
            <w:r>
              <w:rPr>
                <w:rFonts w:ascii="Times New Roman" w:eastAsia="Times New Roman"/>
                <w:position w:val="6"/>
                <w:sz w:val="11"/>
              </w:rPr>
              <w:t>3</w:t>
            </w:r>
            <w:r>
              <w:rPr>
                <w:rFonts w:ascii="Times New Roman" w:eastAsia="Times New Roman"/>
                <w:sz w:val="18"/>
              </w:rPr>
              <w:t>/s</w:t>
            </w:r>
            <w:r>
              <w:rPr>
                <w:sz w:val="18"/>
              </w:rPr>
              <w:t>；其他</w:t>
            </w:r>
            <w:r>
              <w:rPr>
                <w:rFonts w:ascii="Times New Roman" w:eastAsia="Times New Roman"/>
                <w:sz w:val="18"/>
              </w:rPr>
              <w:t>(</w:t>
            </w:r>
          </w:p>
          <w:p w14:paraId="448A3F5D">
            <w:pPr>
              <w:pStyle w:val="17"/>
              <w:tabs>
                <w:tab w:val="left" w:pos="2054"/>
                <w:tab w:val="left" w:pos="3753"/>
                <w:tab w:val="left" w:pos="4912"/>
              </w:tabs>
              <w:spacing w:before="2" w:line="219" w:lineRule="exact"/>
              <w:ind w:left="14"/>
              <w:jc w:val="left"/>
              <w:rPr>
                <w:rFonts w:ascii="Times New Roman" w:eastAsia="Times New Roman"/>
                <w:sz w:val="18"/>
              </w:rPr>
            </w:pPr>
            <w:r>
              <w:rPr>
                <w:sz w:val="18"/>
              </w:rPr>
              <w:t>生态水位：一般水期</w:t>
            </w:r>
            <w:r>
              <w:rPr>
                <w:rFonts w:ascii="Times New Roman" w:eastAsia="Times New Roman"/>
                <w:sz w:val="18"/>
              </w:rPr>
              <w:t>(</w:t>
            </w:r>
            <w:r>
              <w:rPr>
                <w:rFonts w:ascii="Times New Roman" w:eastAsia="Times New Roman"/>
                <w:sz w:val="18"/>
              </w:rPr>
              <w:tab/>
            </w:r>
            <w:r>
              <w:rPr>
                <w:rFonts w:ascii="Times New Roman" w:eastAsia="Times New Roman"/>
                <w:sz w:val="18"/>
              </w:rPr>
              <w:t>)m</w:t>
            </w:r>
            <w:r>
              <w:rPr>
                <w:sz w:val="18"/>
              </w:rPr>
              <w:t>；鱼类繁殖期</w:t>
            </w:r>
            <w:r>
              <w:rPr>
                <w:rFonts w:ascii="Times New Roman" w:eastAsia="Times New Roman"/>
                <w:sz w:val="18"/>
              </w:rPr>
              <w:t>(</w:t>
            </w:r>
            <w:r>
              <w:rPr>
                <w:rFonts w:ascii="Times New Roman" w:eastAsia="Times New Roman"/>
                <w:sz w:val="18"/>
              </w:rPr>
              <w:tab/>
            </w:r>
            <w:r>
              <w:rPr>
                <w:rFonts w:ascii="Times New Roman" w:eastAsia="Times New Roman"/>
                <w:sz w:val="18"/>
              </w:rPr>
              <w:t>)m</w:t>
            </w:r>
            <w:r>
              <w:rPr>
                <w:sz w:val="18"/>
              </w:rPr>
              <w:t>；其他</w:t>
            </w:r>
            <w:r>
              <w:rPr>
                <w:rFonts w:ascii="Times New Roman" w:eastAsia="Times New Roman"/>
                <w:sz w:val="18"/>
              </w:rPr>
              <w:t>(</w:t>
            </w:r>
            <w:r>
              <w:rPr>
                <w:rFonts w:ascii="Times New Roman" w:eastAsia="Times New Roman"/>
                <w:sz w:val="18"/>
              </w:rPr>
              <w:tab/>
            </w:r>
            <w:r>
              <w:rPr>
                <w:rFonts w:ascii="Times New Roman" w:eastAsia="Times New Roman"/>
                <w:sz w:val="18"/>
              </w:rPr>
              <w:t>)m</w:t>
            </w:r>
          </w:p>
        </w:tc>
        <w:tc>
          <w:tcPr>
            <w:tcW w:w="720" w:type="dxa"/>
            <w:tcBorders>
              <w:top w:val="single" w:color="000000" w:sz="4" w:space="0"/>
              <w:left w:val="nil"/>
              <w:bottom w:val="single" w:color="000000" w:sz="4" w:space="0"/>
              <w:right w:val="nil"/>
            </w:tcBorders>
          </w:tcPr>
          <w:p w14:paraId="4C0B7CFF">
            <w:pPr>
              <w:pStyle w:val="17"/>
              <w:spacing w:before="5"/>
              <w:ind w:left="320"/>
              <w:jc w:val="left"/>
              <w:rPr>
                <w:rFonts w:ascii="Times New Roman"/>
                <w:sz w:val="18"/>
              </w:rPr>
            </w:pPr>
            <w:r>
              <w:rPr>
                <w:rFonts w:ascii="Times New Roman"/>
                <w:sz w:val="18"/>
              </w:rPr>
              <w:t>)m</w:t>
            </w:r>
            <w:r>
              <w:rPr>
                <w:rFonts w:ascii="Times New Roman"/>
                <w:position w:val="6"/>
                <w:sz w:val="11"/>
              </w:rPr>
              <w:t>3</w:t>
            </w:r>
            <w:r>
              <w:rPr>
                <w:rFonts w:ascii="Times New Roman"/>
                <w:sz w:val="18"/>
              </w:rPr>
              <w:t>/s</w:t>
            </w:r>
          </w:p>
        </w:tc>
        <w:tc>
          <w:tcPr>
            <w:tcW w:w="200" w:type="dxa"/>
            <w:tcBorders>
              <w:top w:val="single" w:color="000000" w:sz="4" w:space="0"/>
              <w:left w:val="nil"/>
              <w:bottom w:val="single" w:color="000000" w:sz="4" w:space="0"/>
              <w:right w:val="nil"/>
            </w:tcBorders>
          </w:tcPr>
          <w:p w14:paraId="62529B52">
            <w:pPr>
              <w:pStyle w:val="17"/>
              <w:jc w:val="left"/>
              <w:rPr>
                <w:rFonts w:ascii="Times New Roman"/>
                <w:sz w:val="16"/>
              </w:rPr>
            </w:pPr>
          </w:p>
        </w:tc>
        <w:tc>
          <w:tcPr>
            <w:tcW w:w="249" w:type="dxa"/>
            <w:tcBorders>
              <w:top w:val="single" w:color="000000" w:sz="4" w:space="0"/>
              <w:left w:val="nil"/>
              <w:bottom w:val="single" w:color="000000" w:sz="4" w:space="0"/>
              <w:right w:val="nil"/>
            </w:tcBorders>
          </w:tcPr>
          <w:p w14:paraId="6A5D07CE">
            <w:pPr>
              <w:pStyle w:val="17"/>
              <w:jc w:val="left"/>
              <w:rPr>
                <w:rFonts w:ascii="Times New Roman"/>
                <w:sz w:val="16"/>
              </w:rPr>
            </w:pPr>
          </w:p>
        </w:tc>
        <w:tc>
          <w:tcPr>
            <w:tcW w:w="340" w:type="dxa"/>
            <w:tcBorders>
              <w:top w:val="single" w:color="000000" w:sz="4" w:space="0"/>
              <w:left w:val="nil"/>
              <w:bottom w:val="single" w:color="000000" w:sz="4" w:space="0"/>
              <w:right w:val="nil"/>
            </w:tcBorders>
          </w:tcPr>
          <w:p w14:paraId="1773405F">
            <w:pPr>
              <w:pStyle w:val="17"/>
              <w:jc w:val="left"/>
              <w:rPr>
                <w:rFonts w:ascii="Times New Roman"/>
                <w:sz w:val="16"/>
              </w:rPr>
            </w:pPr>
          </w:p>
        </w:tc>
        <w:tc>
          <w:tcPr>
            <w:tcW w:w="802" w:type="dxa"/>
            <w:tcBorders>
              <w:top w:val="single" w:color="000000" w:sz="4" w:space="0"/>
              <w:left w:val="nil"/>
              <w:bottom w:val="single" w:color="000000" w:sz="4" w:space="0"/>
            </w:tcBorders>
          </w:tcPr>
          <w:p w14:paraId="2A25EB94">
            <w:pPr>
              <w:pStyle w:val="17"/>
              <w:jc w:val="left"/>
              <w:rPr>
                <w:rFonts w:ascii="Times New Roman"/>
                <w:sz w:val="16"/>
              </w:rPr>
            </w:pPr>
          </w:p>
        </w:tc>
      </w:tr>
      <w:tr w14:paraId="6F4804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2" w:hRule="atLeast"/>
        </w:trPr>
        <w:tc>
          <w:tcPr>
            <w:tcW w:w="281" w:type="dxa"/>
            <w:vMerge w:val="restart"/>
            <w:tcBorders>
              <w:top w:val="single" w:color="000000" w:sz="4" w:space="0"/>
              <w:bottom w:val="single" w:color="000000" w:sz="4" w:space="0"/>
              <w:right w:val="single" w:color="000000" w:sz="4" w:space="0"/>
            </w:tcBorders>
          </w:tcPr>
          <w:p w14:paraId="4DB01FB3">
            <w:pPr>
              <w:pStyle w:val="17"/>
              <w:jc w:val="left"/>
              <w:rPr>
                <w:sz w:val="18"/>
              </w:rPr>
            </w:pPr>
          </w:p>
          <w:p w14:paraId="3F6C9FA3">
            <w:pPr>
              <w:pStyle w:val="17"/>
              <w:jc w:val="left"/>
              <w:rPr>
                <w:sz w:val="18"/>
              </w:rPr>
            </w:pPr>
          </w:p>
          <w:p w14:paraId="6758F5CF">
            <w:pPr>
              <w:pStyle w:val="17"/>
              <w:spacing w:before="8"/>
              <w:jc w:val="left"/>
              <w:rPr>
                <w:sz w:val="14"/>
              </w:rPr>
            </w:pPr>
          </w:p>
          <w:p w14:paraId="4E5A671B">
            <w:pPr>
              <w:pStyle w:val="17"/>
              <w:spacing w:line="242" w:lineRule="auto"/>
              <w:ind w:left="54" w:right="24"/>
              <w:jc w:val="both"/>
              <w:rPr>
                <w:sz w:val="18"/>
              </w:rPr>
            </w:pPr>
            <w:r>
              <w:rPr>
                <w:sz w:val="18"/>
              </w:rPr>
              <w:t>防治措施</w:t>
            </w:r>
          </w:p>
        </w:tc>
        <w:tc>
          <w:tcPr>
            <w:tcW w:w="1442" w:type="dxa"/>
            <w:tcBorders>
              <w:top w:val="single" w:color="000000" w:sz="4" w:space="0"/>
              <w:left w:val="single" w:color="000000" w:sz="4" w:space="0"/>
              <w:bottom w:val="single" w:color="000000" w:sz="4" w:space="0"/>
              <w:right w:val="single" w:color="000000" w:sz="4" w:space="0"/>
            </w:tcBorders>
          </w:tcPr>
          <w:p w14:paraId="3695077E">
            <w:pPr>
              <w:pStyle w:val="17"/>
              <w:spacing w:before="123"/>
              <w:ind w:left="80" w:right="50"/>
              <w:rPr>
                <w:sz w:val="18"/>
              </w:rPr>
            </w:pPr>
            <w:r>
              <w:rPr>
                <w:sz w:val="18"/>
              </w:rPr>
              <w:t>环保措施</w:t>
            </w:r>
          </w:p>
        </w:tc>
        <w:tc>
          <w:tcPr>
            <w:tcW w:w="7626" w:type="dxa"/>
            <w:gridSpan w:val="12"/>
            <w:tcBorders>
              <w:top w:val="single" w:color="000000" w:sz="4" w:space="0"/>
              <w:left w:val="single" w:color="000000" w:sz="4" w:space="0"/>
              <w:bottom w:val="single" w:color="000000" w:sz="4" w:space="0"/>
            </w:tcBorders>
          </w:tcPr>
          <w:p w14:paraId="7DF5F640">
            <w:pPr>
              <w:pStyle w:val="17"/>
              <w:spacing w:line="239" w:lineRule="exact"/>
              <w:ind w:left="14" w:right="-29"/>
              <w:jc w:val="left"/>
              <w:rPr>
                <w:sz w:val="18"/>
              </w:rPr>
            </w:pPr>
            <w:r>
              <w:rPr>
                <w:sz w:val="18"/>
              </w:rPr>
              <w:t>污水处理设施</w:t>
            </w:r>
            <w:r>
              <w:rPr>
                <w:rFonts w:ascii="Wingdings" w:hAnsi="Wingdings" w:eastAsia="Wingdings"/>
                <w:spacing w:val="-3"/>
                <w:sz w:val="18"/>
              </w:rPr>
              <w:t></w:t>
            </w:r>
            <w:r>
              <w:rPr>
                <w:spacing w:val="-2"/>
                <w:sz w:val="18"/>
              </w:rPr>
              <w:t>；水文减缓设施</w:t>
            </w:r>
            <w:r>
              <w:rPr>
                <w:rFonts w:ascii="Segoe UI Symbol" w:hAnsi="Segoe UI Symbol" w:eastAsia="Segoe UI Symbol"/>
                <w:spacing w:val="-3"/>
                <w:sz w:val="18"/>
              </w:rPr>
              <w:t>☐</w:t>
            </w:r>
            <w:r>
              <w:rPr>
                <w:spacing w:val="-2"/>
                <w:sz w:val="18"/>
              </w:rPr>
              <w:t>；生态流量保障设施</w:t>
            </w:r>
            <w:r>
              <w:rPr>
                <w:rFonts w:ascii="Segoe UI Symbol" w:hAnsi="Segoe UI Symbol" w:eastAsia="Segoe UI Symbol"/>
                <w:spacing w:val="-3"/>
                <w:sz w:val="18"/>
              </w:rPr>
              <w:t>☐</w:t>
            </w:r>
            <w:r>
              <w:rPr>
                <w:spacing w:val="-2"/>
                <w:sz w:val="18"/>
              </w:rPr>
              <w:t>；区域削减</w:t>
            </w:r>
            <w:r>
              <w:rPr>
                <w:rFonts w:ascii="Segoe UI Symbol" w:hAnsi="Segoe UI Symbol" w:eastAsia="Segoe UI Symbol"/>
                <w:sz w:val="18"/>
              </w:rPr>
              <w:t>☐</w:t>
            </w:r>
            <w:r>
              <w:rPr>
                <w:sz w:val="18"/>
              </w:rPr>
              <w:t>；依托其他工程措施</w:t>
            </w:r>
            <w:r>
              <w:rPr>
                <w:rFonts w:ascii="Wingdings" w:hAnsi="Wingdings" w:eastAsia="Wingdings"/>
                <w:spacing w:val="-3"/>
                <w:sz w:val="18"/>
              </w:rPr>
              <w:t></w:t>
            </w:r>
            <w:r>
              <w:rPr>
                <w:spacing w:val="-2"/>
                <w:sz w:val="18"/>
              </w:rPr>
              <w:t>；其</w:t>
            </w:r>
          </w:p>
          <w:p w14:paraId="6121E004">
            <w:pPr>
              <w:pStyle w:val="17"/>
              <w:spacing w:before="2" w:line="231" w:lineRule="exact"/>
              <w:ind w:left="14"/>
              <w:jc w:val="left"/>
              <w:rPr>
                <w:rFonts w:ascii="Segoe UI Symbol" w:hAnsi="Segoe UI Symbol" w:eastAsia="Segoe UI Symbol"/>
                <w:sz w:val="18"/>
              </w:rPr>
            </w:pPr>
            <w:r>
              <w:rPr>
                <w:sz w:val="18"/>
              </w:rPr>
              <w:t>他</w:t>
            </w:r>
            <w:r>
              <w:rPr>
                <w:rFonts w:ascii="Segoe UI Symbol" w:hAnsi="Segoe UI Symbol" w:eastAsia="Segoe UI Symbol"/>
                <w:sz w:val="18"/>
              </w:rPr>
              <w:t>☐</w:t>
            </w:r>
          </w:p>
        </w:tc>
      </w:tr>
      <w:tr w14:paraId="740879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2EC2A88F">
            <w:pPr>
              <w:rPr>
                <w:sz w:val="2"/>
                <w:szCs w:val="2"/>
              </w:rPr>
            </w:pPr>
          </w:p>
        </w:tc>
        <w:tc>
          <w:tcPr>
            <w:tcW w:w="1442" w:type="dxa"/>
            <w:vMerge w:val="restart"/>
            <w:tcBorders>
              <w:top w:val="single" w:color="000000" w:sz="4" w:space="0"/>
              <w:left w:val="single" w:color="000000" w:sz="4" w:space="0"/>
              <w:bottom w:val="single" w:color="000000" w:sz="4" w:space="0"/>
              <w:right w:val="single" w:color="000000" w:sz="4" w:space="0"/>
            </w:tcBorders>
          </w:tcPr>
          <w:p w14:paraId="3C61C3C2">
            <w:pPr>
              <w:pStyle w:val="17"/>
              <w:jc w:val="left"/>
              <w:rPr>
                <w:sz w:val="18"/>
              </w:rPr>
            </w:pPr>
          </w:p>
          <w:p w14:paraId="1EC3AF25">
            <w:pPr>
              <w:pStyle w:val="17"/>
              <w:spacing w:before="10"/>
              <w:jc w:val="left"/>
              <w:rPr>
                <w:sz w:val="26"/>
              </w:rPr>
            </w:pPr>
          </w:p>
          <w:p w14:paraId="349D05B9">
            <w:pPr>
              <w:pStyle w:val="17"/>
              <w:ind w:left="371"/>
              <w:jc w:val="left"/>
              <w:rPr>
                <w:sz w:val="18"/>
              </w:rPr>
            </w:pPr>
            <w:r>
              <w:rPr>
                <w:sz w:val="18"/>
              </w:rPr>
              <w:t>监测计划</w:t>
            </w:r>
          </w:p>
        </w:tc>
        <w:tc>
          <w:tcPr>
            <w:tcW w:w="2291" w:type="dxa"/>
            <w:gridSpan w:val="2"/>
            <w:tcBorders>
              <w:top w:val="single" w:color="000000" w:sz="4" w:space="0"/>
              <w:left w:val="single" w:color="000000" w:sz="4" w:space="0"/>
              <w:bottom w:val="single" w:color="000000" w:sz="4" w:space="0"/>
              <w:right w:val="single" w:color="000000" w:sz="4" w:space="0"/>
            </w:tcBorders>
          </w:tcPr>
          <w:p w14:paraId="6784762F">
            <w:pPr>
              <w:pStyle w:val="17"/>
              <w:jc w:val="left"/>
              <w:rPr>
                <w:rFonts w:ascii="Times New Roman"/>
                <w:sz w:val="16"/>
              </w:rPr>
            </w:pPr>
          </w:p>
        </w:tc>
        <w:tc>
          <w:tcPr>
            <w:tcW w:w="2564" w:type="dxa"/>
            <w:gridSpan w:val="4"/>
            <w:tcBorders>
              <w:top w:val="single" w:color="000000" w:sz="4" w:space="0"/>
              <w:left w:val="single" w:color="000000" w:sz="4" w:space="0"/>
              <w:bottom w:val="single" w:color="000000" w:sz="4" w:space="0"/>
              <w:right w:val="single" w:color="000000" w:sz="4" w:space="0"/>
            </w:tcBorders>
          </w:tcPr>
          <w:p w14:paraId="072C8C3F">
            <w:pPr>
              <w:pStyle w:val="17"/>
              <w:spacing w:before="48"/>
              <w:ind w:left="30"/>
              <w:rPr>
                <w:sz w:val="18"/>
              </w:rPr>
            </w:pPr>
            <w:r>
              <w:rPr>
                <w:sz w:val="18"/>
              </w:rPr>
              <w:t>环境质量</w:t>
            </w:r>
          </w:p>
        </w:tc>
        <w:tc>
          <w:tcPr>
            <w:tcW w:w="2771" w:type="dxa"/>
            <w:gridSpan w:val="6"/>
            <w:tcBorders>
              <w:top w:val="single" w:color="000000" w:sz="4" w:space="0"/>
              <w:left w:val="single" w:color="000000" w:sz="4" w:space="0"/>
              <w:bottom w:val="single" w:color="000000" w:sz="4" w:space="0"/>
            </w:tcBorders>
          </w:tcPr>
          <w:p w14:paraId="2919C1BB">
            <w:pPr>
              <w:pStyle w:val="17"/>
              <w:spacing w:before="48"/>
              <w:ind w:left="1100" w:right="1070"/>
              <w:rPr>
                <w:sz w:val="18"/>
              </w:rPr>
            </w:pPr>
            <w:r>
              <w:rPr>
                <w:sz w:val="18"/>
              </w:rPr>
              <w:t>污染源</w:t>
            </w:r>
          </w:p>
        </w:tc>
      </w:tr>
      <w:tr w14:paraId="07E2AB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17180554">
            <w:pPr>
              <w:rPr>
                <w:sz w:val="2"/>
                <w:szCs w:val="2"/>
              </w:rPr>
            </w:pPr>
          </w:p>
        </w:tc>
        <w:tc>
          <w:tcPr>
            <w:tcW w:w="1442" w:type="dxa"/>
            <w:vMerge w:val="continue"/>
            <w:tcBorders>
              <w:top w:val="nil"/>
              <w:left w:val="single" w:color="000000" w:sz="4" w:space="0"/>
              <w:bottom w:val="single" w:color="000000" w:sz="4" w:space="0"/>
              <w:right w:val="single" w:color="000000" w:sz="4" w:space="0"/>
            </w:tcBorders>
          </w:tcPr>
          <w:p w14:paraId="7944F717">
            <w:pPr>
              <w:rPr>
                <w:sz w:val="2"/>
                <w:szCs w:val="2"/>
              </w:rPr>
            </w:pPr>
          </w:p>
        </w:tc>
        <w:tc>
          <w:tcPr>
            <w:tcW w:w="2291" w:type="dxa"/>
            <w:gridSpan w:val="2"/>
            <w:tcBorders>
              <w:top w:val="single" w:color="000000" w:sz="4" w:space="0"/>
              <w:left w:val="single" w:color="000000" w:sz="4" w:space="0"/>
              <w:bottom w:val="single" w:color="000000" w:sz="4" w:space="0"/>
              <w:right w:val="single" w:color="000000" w:sz="4" w:space="0"/>
            </w:tcBorders>
          </w:tcPr>
          <w:p w14:paraId="6AAA7D82">
            <w:pPr>
              <w:pStyle w:val="17"/>
              <w:spacing w:before="48"/>
              <w:ind w:left="774" w:right="747"/>
              <w:rPr>
                <w:sz w:val="18"/>
              </w:rPr>
            </w:pPr>
            <w:r>
              <w:rPr>
                <w:sz w:val="18"/>
              </w:rPr>
              <w:t>监测方式</w:t>
            </w:r>
          </w:p>
        </w:tc>
        <w:tc>
          <w:tcPr>
            <w:tcW w:w="2564" w:type="dxa"/>
            <w:gridSpan w:val="4"/>
            <w:tcBorders>
              <w:top w:val="single" w:color="000000" w:sz="4" w:space="0"/>
              <w:left w:val="single" w:color="000000" w:sz="4" w:space="0"/>
              <w:bottom w:val="single" w:color="000000" w:sz="4" w:space="0"/>
              <w:right w:val="single" w:color="000000" w:sz="4" w:space="0"/>
            </w:tcBorders>
          </w:tcPr>
          <w:p w14:paraId="545ACFFD">
            <w:pPr>
              <w:pStyle w:val="17"/>
              <w:spacing w:before="41"/>
              <w:ind w:left="248"/>
              <w:jc w:val="left"/>
              <w:rPr>
                <w:rFonts w:ascii="Segoe UI Symbol" w:hAnsi="Segoe UI Symbol" w:eastAsia="Segoe UI Symbol"/>
                <w:sz w:val="18"/>
              </w:rPr>
            </w:pPr>
            <w:r>
              <w:rPr>
                <w:sz w:val="18"/>
              </w:rPr>
              <w:t>手动</w:t>
            </w:r>
            <w:r>
              <w:rPr>
                <w:rFonts w:ascii="Segoe UI Symbol" w:hAnsi="Segoe UI Symbol" w:eastAsia="Segoe UI Symbol"/>
                <w:sz w:val="18"/>
              </w:rPr>
              <w:t>☐</w:t>
            </w:r>
            <w:r>
              <w:rPr>
                <w:sz w:val="18"/>
              </w:rPr>
              <w:t>；自动</w:t>
            </w:r>
            <w:r>
              <w:rPr>
                <w:rFonts w:ascii="Segoe UI Symbol" w:hAnsi="Segoe UI Symbol" w:eastAsia="Segoe UI Symbol"/>
                <w:sz w:val="18"/>
              </w:rPr>
              <w:t>☐</w:t>
            </w:r>
            <w:r>
              <w:rPr>
                <w:sz w:val="18"/>
              </w:rPr>
              <w:t>；无监测</w:t>
            </w:r>
            <w:r>
              <w:rPr>
                <w:rFonts w:ascii="Segoe UI Symbol" w:hAnsi="Segoe UI Symbol" w:eastAsia="Segoe UI Symbol"/>
                <w:sz w:val="18"/>
              </w:rPr>
              <w:t>☐</w:t>
            </w:r>
          </w:p>
        </w:tc>
        <w:tc>
          <w:tcPr>
            <w:tcW w:w="2771" w:type="dxa"/>
            <w:gridSpan w:val="6"/>
            <w:tcBorders>
              <w:top w:val="single" w:color="000000" w:sz="4" w:space="0"/>
              <w:left w:val="single" w:color="000000" w:sz="4" w:space="0"/>
              <w:bottom w:val="single" w:color="000000" w:sz="4" w:space="0"/>
            </w:tcBorders>
          </w:tcPr>
          <w:p w14:paraId="54CD3E53">
            <w:pPr>
              <w:pStyle w:val="17"/>
              <w:spacing w:before="48"/>
              <w:ind w:left="340"/>
              <w:jc w:val="left"/>
              <w:rPr>
                <w:rFonts w:ascii="Wingdings" w:hAnsi="Wingdings"/>
                <w:sz w:val="18"/>
              </w:rPr>
            </w:pPr>
            <w:r>
              <w:rPr>
                <w:sz w:val="18"/>
              </w:rPr>
              <w:t>手动</w:t>
            </w:r>
            <w:r>
              <w:rPr>
                <w:rFonts w:ascii="Wingdings" w:hAnsi="Wingdings"/>
                <w:sz w:val="18"/>
              </w:rPr>
              <w:t></w:t>
            </w:r>
            <w:r>
              <w:rPr>
                <w:sz w:val="18"/>
              </w:rPr>
              <w:t>；自动</w:t>
            </w:r>
            <w:r>
              <w:rPr>
                <w:rFonts w:ascii="Wingdings" w:hAnsi="Wingdings"/>
                <w:sz w:val="18"/>
              </w:rPr>
              <w:t></w:t>
            </w:r>
            <w:r>
              <w:rPr>
                <w:sz w:val="18"/>
              </w:rPr>
              <w:t>；无监测</w:t>
            </w:r>
            <w:r>
              <w:rPr>
                <w:rFonts w:ascii="Wingdings" w:hAnsi="Wingdings"/>
                <w:sz w:val="18"/>
              </w:rPr>
              <w:t></w:t>
            </w:r>
          </w:p>
        </w:tc>
      </w:tr>
      <w:tr w14:paraId="44E267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3D881B27">
            <w:pPr>
              <w:rPr>
                <w:sz w:val="2"/>
                <w:szCs w:val="2"/>
              </w:rPr>
            </w:pPr>
          </w:p>
        </w:tc>
        <w:tc>
          <w:tcPr>
            <w:tcW w:w="1442" w:type="dxa"/>
            <w:vMerge w:val="continue"/>
            <w:tcBorders>
              <w:top w:val="nil"/>
              <w:left w:val="single" w:color="000000" w:sz="4" w:space="0"/>
              <w:bottom w:val="single" w:color="000000" w:sz="4" w:space="0"/>
              <w:right w:val="single" w:color="000000" w:sz="4" w:space="0"/>
            </w:tcBorders>
          </w:tcPr>
          <w:p w14:paraId="3420E184">
            <w:pPr>
              <w:rPr>
                <w:sz w:val="2"/>
                <w:szCs w:val="2"/>
              </w:rPr>
            </w:pPr>
          </w:p>
        </w:tc>
        <w:tc>
          <w:tcPr>
            <w:tcW w:w="2291" w:type="dxa"/>
            <w:gridSpan w:val="2"/>
            <w:tcBorders>
              <w:top w:val="single" w:color="000000" w:sz="4" w:space="0"/>
              <w:left w:val="single" w:color="000000" w:sz="4" w:space="0"/>
              <w:bottom w:val="single" w:color="000000" w:sz="4" w:space="0"/>
              <w:right w:val="single" w:color="000000" w:sz="4" w:space="0"/>
            </w:tcBorders>
          </w:tcPr>
          <w:p w14:paraId="5E7333C8">
            <w:pPr>
              <w:pStyle w:val="17"/>
              <w:spacing w:before="49"/>
              <w:ind w:left="774" w:right="747"/>
              <w:rPr>
                <w:sz w:val="18"/>
              </w:rPr>
            </w:pPr>
            <w:r>
              <w:rPr>
                <w:sz w:val="18"/>
              </w:rPr>
              <w:t>监测点位</w:t>
            </w:r>
          </w:p>
        </w:tc>
        <w:tc>
          <w:tcPr>
            <w:tcW w:w="2564" w:type="dxa"/>
            <w:gridSpan w:val="4"/>
            <w:tcBorders>
              <w:top w:val="single" w:color="000000" w:sz="4" w:space="0"/>
              <w:left w:val="single" w:color="000000" w:sz="4" w:space="0"/>
              <w:bottom w:val="single" w:color="000000" w:sz="4" w:space="0"/>
              <w:right w:val="single" w:color="000000" w:sz="4" w:space="0"/>
            </w:tcBorders>
          </w:tcPr>
          <w:p w14:paraId="4DC0C6C4">
            <w:pPr>
              <w:pStyle w:val="17"/>
              <w:tabs>
                <w:tab w:val="left" w:pos="445"/>
              </w:tabs>
              <w:spacing w:before="61"/>
              <w:ind w:left="27"/>
              <w:rPr>
                <w:rFonts w:ascii="Times New Roman"/>
                <w:sz w:val="18"/>
              </w:rPr>
            </w:pPr>
            <w:r>
              <w:rPr>
                <w:rFonts w:ascii="Times New Roman"/>
                <w:sz w:val="18"/>
              </w:rPr>
              <w:t>(</w:t>
            </w:r>
            <w:r>
              <w:rPr>
                <w:rFonts w:ascii="Times New Roman"/>
                <w:sz w:val="18"/>
              </w:rPr>
              <w:tab/>
            </w:r>
            <w:r>
              <w:rPr>
                <w:rFonts w:ascii="Times New Roman"/>
                <w:sz w:val="18"/>
              </w:rPr>
              <w:t>)</w:t>
            </w:r>
          </w:p>
        </w:tc>
        <w:tc>
          <w:tcPr>
            <w:tcW w:w="460" w:type="dxa"/>
            <w:tcBorders>
              <w:top w:val="single" w:color="000000" w:sz="4" w:space="0"/>
              <w:left w:val="single" w:color="000000" w:sz="4" w:space="0"/>
              <w:bottom w:val="single" w:color="000000" w:sz="4" w:space="0"/>
              <w:right w:val="nil"/>
            </w:tcBorders>
          </w:tcPr>
          <w:p w14:paraId="62BBAF13">
            <w:pPr>
              <w:pStyle w:val="17"/>
              <w:jc w:val="left"/>
              <w:rPr>
                <w:rFonts w:ascii="Times New Roman"/>
                <w:sz w:val="16"/>
              </w:rPr>
            </w:pPr>
          </w:p>
        </w:tc>
        <w:tc>
          <w:tcPr>
            <w:tcW w:w="720" w:type="dxa"/>
            <w:tcBorders>
              <w:top w:val="single" w:color="000000" w:sz="4" w:space="0"/>
              <w:left w:val="nil"/>
              <w:bottom w:val="single" w:color="000000" w:sz="4" w:space="0"/>
              <w:right w:val="nil"/>
            </w:tcBorders>
          </w:tcPr>
          <w:p w14:paraId="04EC7944">
            <w:pPr>
              <w:pStyle w:val="17"/>
              <w:jc w:val="left"/>
              <w:rPr>
                <w:rFonts w:ascii="Times New Roman"/>
                <w:sz w:val="16"/>
              </w:rPr>
            </w:pPr>
          </w:p>
        </w:tc>
        <w:tc>
          <w:tcPr>
            <w:tcW w:w="200" w:type="dxa"/>
            <w:tcBorders>
              <w:top w:val="single" w:color="000000" w:sz="4" w:space="0"/>
              <w:left w:val="nil"/>
              <w:bottom w:val="single" w:color="000000" w:sz="4" w:space="0"/>
              <w:right w:val="nil"/>
            </w:tcBorders>
          </w:tcPr>
          <w:p w14:paraId="2B0CE30A">
            <w:pPr>
              <w:pStyle w:val="17"/>
              <w:spacing w:before="61"/>
              <w:ind w:right="6"/>
              <w:rPr>
                <w:rFonts w:ascii="Times New Roman"/>
                <w:sz w:val="18"/>
              </w:rPr>
            </w:pPr>
            <w:r>
              <w:rPr>
                <w:rFonts w:ascii="Times New Roman"/>
                <w:sz w:val="18"/>
              </w:rPr>
              <w:t>(</w:t>
            </w:r>
          </w:p>
        </w:tc>
        <w:tc>
          <w:tcPr>
            <w:tcW w:w="249" w:type="dxa"/>
            <w:tcBorders>
              <w:top w:val="single" w:color="000000" w:sz="4" w:space="0"/>
              <w:left w:val="nil"/>
              <w:bottom w:val="single" w:color="000000" w:sz="4" w:space="0"/>
              <w:right w:val="nil"/>
            </w:tcBorders>
          </w:tcPr>
          <w:p w14:paraId="56CB2E6C">
            <w:pPr>
              <w:pStyle w:val="17"/>
              <w:spacing w:before="61"/>
              <w:ind w:left="17"/>
              <w:rPr>
                <w:rFonts w:ascii="Times New Roman"/>
                <w:sz w:val="18"/>
              </w:rPr>
            </w:pPr>
            <w:r>
              <w:rPr>
                <w:rFonts w:ascii="Times New Roman"/>
                <w:sz w:val="18"/>
              </w:rPr>
              <w:t>)</w:t>
            </w:r>
          </w:p>
        </w:tc>
        <w:tc>
          <w:tcPr>
            <w:tcW w:w="340" w:type="dxa"/>
            <w:tcBorders>
              <w:top w:val="single" w:color="000000" w:sz="4" w:space="0"/>
              <w:left w:val="nil"/>
              <w:bottom w:val="single" w:color="000000" w:sz="4" w:space="0"/>
              <w:right w:val="nil"/>
            </w:tcBorders>
          </w:tcPr>
          <w:p w14:paraId="4ADC5730">
            <w:pPr>
              <w:pStyle w:val="17"/>
              <w:jc w:val="left"/>
              <w:rPr>
                <w:rFonts w:ascii="Times New Roman"/>
                <w:sz w:val="16"/>
              </w:rPr>
            </w:pPr>
          </w:p>
        </w:tc>
        <w:tc>
          <w:tcPr>
            <w:tcW w:w="802" w:type="dxa"/>
            <w:tcBorders>
              <w:top w:val="single" w:color="000000" w:sz="4" w:space="0"/>
              <w:left w:val="nil"/>
              <w:bottom w:val="single" w:color="000000" w:sz="4" w:space="0"/>
            </w:tcBorders>
          </w:tcPr>
          <w:p w14:paraId="4F2DF8C8">
            <w:pPr>
              <w:pStyle w:val="17"/>
              <w:jc w:val="left"/>
              <w:rPr>
                <w:rFonts w:ascii="Times New Roman"/>
                <w:sz w:val="16"/>
              </w:rPr>
            </w:pPr>
          </w:p>
        </w:tc>
      </w:tr>
      <w:tr w14:paraId="142C1CD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6A939F8B">
            <w:pPr>
              <w:rPr>
                <w:sz w:val="2"/>
                <w:szCs w:val="2"/>
              </w:rPr>
            </w:pPr>
          </w:p>
        </w:tc>
        <w:tc>
          <w:tcPr>
            <w:tcW w:w="1442" w:type="dxa"/>
            <w:vMerge w:val="continue"/>
            <w:tcBorders>
              <w:top w:val="nil"/>
              <w:left w:val="single" w:color="000000" w:sz="4" w:space="0"/>
              <w:bottom w:val="single" w:color="000000" w:sz="4" w:space="0"/>
              <w:right w:val="single" w:color="000000" w:sz="4" w:space="0"/>
            </w:tcBorders>
          </w:tcPr>
          <w:p w14:paraId="6EB0C988">
            <w:pPr>
              <w:rPr>
                <w:sz w:val="2"/>
                <w:szCs w:val="2"/>
              </w:rPr>
            </w:pPr>
          </w:p>
        </w:tc>
        <w:tc>
          <w:tcPr>
            <w:tcW w:w="2291" w:type="dxa"/>
            <w:gridSpan w:val="2"/>
            <w:tcBorders>
              <w:top w:val="single" w:color="000000" w:sz="4" w:space="0"/>
              <w:left w:val="single" w:color="000000" w:sz="4" w:space="0"/>
              <w:bottom w:val="single" w:color="000000" w:sz="4" w:space="0"/>
              <w:right w:val="single" w:color="000000" w:sz="4" w:space="0"/>
            </w:tcBorders>
          </w:tcPr>
          <w:p w14:paraId="2110EF2F">
            <w:pPr>
              <w:pStyle w:val="17"/>
              <w:spacing w:before="49"/>
              <w:ind w:left="774" w:right="747"/>
              <w:rPr>
                <w:sz w:val="18"/>
              </w:rPr>
            </w:pPr>
            <w:r>
              <w:rPr>
                <w:sz w:val="18"/>
              </w:rPr>
              <w:t>监测因子</w:t>
            </w:r>
          </w:p>
        </w:tc>
        <w:tc>
          <w:tcPr>
            <w:tcW w:w="2564" w:type="dxa"/>
            <w:gridSpan w:val="4"/>
            <w:tcBorders>
              <w:top w:val="single" w:color="000000" w:sz="4" w:space="0"/>
              <w:left w:val="single" w:color="000000" w:sz="4" w:space="0"/>
              <w:bottom w:val="single" w:color="000000" w:sz="4" w:space="0"/>
              <w:right w:val="single" w:color="000000" w:sz="4" w:space="0"/>
            </w:tcBorders>
          </w:tcPr>
          <w:p w14:paraId="60EAE709">
            <w:pPr>
              <w:pStyle w:val="17"/>
              <w:tabs>
                <w:tab w:val="left" w:pos="445"/>
              </w:tabs>
              <w:spacing w:before="59"/>
              <w:ind w:left="27"/>
              <w:rPr>
                <w:rFonts w:ascii="Times New Roman"/>
                <w:sz w:val="18"/>
              </w:rPr>
            </w:pPr>
            <w:r>
              <w:rPr>
                <w:rFonts w:ascii="Times New Roman"/>
                <w:sz w:val="18"/>
              </w:rPr>
              <w:t>(</w:t>
            </w:r>
            <w:r>
              <w:rPr>
                <w:rFonts w:ascii="Times New Roman"/>
                <w:sz w:val="18"/>
              </w:rPr>
              <w:tab/>
            </w:r>
            <w:r>
              <w:rPr>
                <w:rFonts w:ascii="Times New Roman"/>
                <w:sz w:val="18"/>
              </w:rPr>
              <w:t>)</w:t>
            </w:r>
          </w:p>
        </w:tc>
        <w:tc>
          <w:tcPr>
            <w:tcW w:w="460" w:type="dxa"/>
            <w:tcBorders>
              <w:top w:val="single" w:color="000000" w:sz="4" w:space="0"/>
              <w:left w:val="single" w:color="000000" w:sz="4" w:space="0"/>
              <w:bottom w:val="single" w:color="000000" w:sz="4" w:space="0"/>
              <w:right w:val="nil"/>
            </w:tcBorders>
          </w:tcPr>
          <w:p w14:paraId="5E5D4A85">
            <w:pPr>
              <w:pStyle w:val="17"/>
              <w:jc w:val="left"/>
              <w:rPr>
                <w:rFonts w:ascii="Times New Roman"/>
                <w:sz w:val="16"/>
              </w:rPr>
            </w:pPr>
          </w:p>
        </w:tc>
        <w:tc>
          <w:tcPr>
            <w:tcW w:w="720" w:type="dxa"/>
            <w:tcBorders>
              <w:top w:val="single" w:color="000000" w:sz="4" w:space="0"/>
              <w:left w:val="nil"/>
              <w:bottom w:val="single" w:color="000000" w:sz="4" w:space="0"/>
              <w:right w:val="nil"/>
            </w:tcBorders>
          </w:tcPr>
          <w:p w14:paraId="13F38A5A">
            <w:pPr>
              <w:pStyle w:val="17"/>
              <w:jc w:val="left"/>
              <w:rPr>
                <w:rFonts w:ascii="Times New Roman"/>
                <w:sz w:val="16"/>
              </w:rPr>
            </w:pPr>
          </w:p>
        </w:tc>
        <w:tc>
          <w:tcPr>
            <w:tcW w:w="200" w:type="dxa"/>
            <w:tcBorders>
              <w:top w:val="single" w:color="000000" w:sz="4" w:space="0"/>
              <w:left w:val="nil"/>
              <w:bottom w:val="single" w:color="000000" w:sz="4" w:space="0"/>
              <w:right w:val="nil"/>
            </w:tcBorders>
          </w:tcPr>
          <w:p w14:paraId="5D1E6D00">
            <w:pPr>
              <w:pStyle w:val="17"/>
              <w:spacing w:before="59"/>
              <w:ind w:right="6"/>
              <w:rPr>
                <w:rFonts w:ascii="Times New Roman"/>
                <w:sz w:val="18"/>
              </w:rPr>
            </w:pPr>
            <w:r>
              <w:rPr>
                <w:rFonts w:ascii="Times New Roman"/>
                <w:sz w:val="18"/>
              </w:rPr>
              <w:t>(</w:t>
            </w:r>
          </w:p>
        </w:tc>
        <w:tc>
          <w:tcPr>
            <w:tcW w:w="249" w:type="dxa"/>
            <w:tcBorders>
              <w:top w:val="single" w:color="000000" w:sz="4" w:space="0"/>
              <w:left w:val="nil"/>
              <w:bottom w:val="single" w:color="000000" w:sz="4" w:space="0"/>
              <w:right w:val="nil"/>
            </w:tcBorders>
          </w:tcPr>
          <w:p w14:paraId="048631DE">
            <w:pPr>
              <w:pStyle w:val="17"/>
              <w:spacing w:before="59"/>
              <w:ind w:left="17"/>
              <w:rPr>
                <w:rFonts w:ascii="Times New Roman"/>
                <w:sz w:val="18"/>
              </w:rPr>
            </w:pPr>
            <w:r>
              <w:rPr>
                <w:rFonts w:ascii="Times New Roman"/>
                <w:sz w:val="18"/>
              </w:rPr>
              <w:t>)</w:t>
            </w:r>
          </w:p>
        </w:tc>
        <w:tc>
          <w:tcPr>
            <w:tcW w:w="340" w:type="dxa"/>
            <w:tcBorders>
              <w:top w:val="single" w:color="000000" w:sz="4" w:space="0"/>
              <w:left w:val="nil"/>
              <w:bottom w:val="single" w:color="000000" w:sz="4" w:space="0"/>
              <w:right w:val="nil"/>
            </w:tcBorders>
          </w:tcPr>
          <w:p w14:paraId="2206CA28">
            <w:pPr>
              <w:pStyle w:val="17"/>
              <w:jc w:val="left"/>
              <w:rPr>
                <w:rFonts w:ascii="Times New Roman"/>
                <w:sz w:val="16"/>
              </w:rPr>
            </w:pPr>
          </w:p>
        </w:tc>
        <w:tc>
          <w:tcPr>
            <w:tcW w:w="802" w:type="dxa"/>
            <w:tcBorders>
              <w:top w:val="single" w:color="000000" w:sz="4" w:space="0"/>
              <w:left w:val="nil"/>
              <w:bottom w:val="single" w:color="000000" w:sz="4" w:space="0"/>
            </w:tcBorders>
          </w:tcPr>
          <w:p w14:paraId="17176E79">
            <w:pPr>
              <w:pStyle w:val="17"/>
              <w:jc w:val="left"/>
              <w:rPr>
                <w:rFonts w:ascii="Times New Roman"/>
                <w:sz w:val="16"/>
              </w:rPr>
            </w:pPr>
          </w:p>
        </w:tc>
      </w:tr>
      <w:tr w14:paraId="146D23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 w:type="dxa"/>
            <w:vMerge w:val="continue"/>
            <w:tcBorders>
              <w:top w:val="nil"/>
              <w:bottom w:val="single" w:color="000000" w:sz="4" w:space="0"/>
              <w:right w:val="single" w:color="000000" w:sz="4" w:space="0"/>
            </w:tcBorders>
          </w:tcPr>
          <w:p w14:paraId="64EA123F">
            <w:pPr>
              <w:rPr>
                <w:sz w:val="2"/>
                <w:szCs w:val="2"/>
              </w:rPr>
            </w:pPr>
          </w:p>
        </w:tc>
        <w:tc>
          <w:tcPr>
            <w:tcW w:w="1442" w:type="dxa"/>
            <w:tcBorders>
              <w:top w:val="single" w:color="000000" w:sz="4" w:space="0"/>
              <w:left w:val="single" w:color="000000" w:sz="4" w:space="0"/>
              <w:bottom w:val="single" w:color="000000" w:sz="4" w:space="0"/>
              <w:right w:val="single" w:color="000000" w:sz="4" w:space="0"/>
            </w:tcBorders>
          </w:tcPr>
          <w:p w14:paraId="7D1E7568">
            <w:pPr>
              <w:pStyle w:val="17"/>
              <w:spacing w:before="50"/>
              <w:ind w:left="80" w:right="52"/>
              <w:rPr>
                <w:sz w:val="18"/>
              </w:rPr>
            </w:pPr>
            <w:r>
              <w:rPr>
                <w:sz w:val="18"/>
              </w:rPr>
              <w:t>污染物排放清单</w:t>
            </w:r>
          </w:p>
        </w:tc>
        <w:tc>
          <w:tcPr>
            <w:tcW w:w="7626" w:type="dxa"/>
            <w:gridSpan w:val="12"/>
            <w:tcBorders>
              <w:top w:val="single" w:color="000000" w:sz="4" w:space="0"/>
              <w:left w:val="single" w:color="000000" w:sz="4" w:space="0"/>
              <w:bottom w:val="single" w:color="000000" w:sz="4" w:space="0"/>
            </w:tcBorders>
          </w:tcPr>
          <w:p w14:paraId="4E8F87DB">
            <w:pPr>
              <w:pStyle w:val="17"/>
              <w:spacing w:before="43"/>
              <w:ind w:left="14"/>
              <w:jc w:val="left"/>
              <w:rPr>
                <w:rFonts w:ascii="Segoe UI Symbol" w:hAnsi="Segoe UI Symbol"/>
                <w:sz w:val="18"/>
              </w:rPr>
            </w:pPr>
            <w:r>
              <w:rPr>
                <w:rFonts w:ascii="Segoe UI Symbol" w:hAnsi="Segoe UI Symbol"/>
                <w:sz w:val="18"/>
              </w:rPr>
              <w:t>☐</w:t>
            </w:r>
          </w:p>
        </w:tc>
      </w:tr>
      <w:tr w14:paraId="785F30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23" w:type="dxa"/>
            <w:gridSpan w:val="2"/>
            <w:tcBorders>
              <w:top w:val="single" w:color="000000" w:sz="4" w:space="0"/>
              <w:bottom w:val="single" w:color="000000" w:sz="4" w:space="0"/>
              <w:right w:val="single" w:color="000000" w:sz="4" w:space="0"/>
            </w:tcBorders>
          </w:tcPr>
          <w:p w14:paraId="72BC3CB5">
            <w:pPr>
              <w:pStyle w:val="17"/>
              <w:spacing w:before="48"/>
              <w:ind w:left="505"/>
              <w:jc w:val="left"/>
              <w:rPr>
                <w:sz w:val="18"/>
              </w:rPr>
            </w:pPr>
            <w:r>
              <w:rPr>
                <w:sz w:val="18"/>
              </w:rPr>
              <w:t>评价结论</w:t>
            </w:r>
          </w:p>
        </w:tc>
        <w:tc>
          <w:tcPr>
            <w:tcW w:w="7626" w:type="dxa"/>
            <w:gridSpan w:val="12"/>
            <w:tcBorders>
              <w:top w:val="single" w:color="000000" w:sz="4" w:space="0"/>
              <w:left w:val="single" w:color="000000" w:sz="4" w:space="0"/>
              <w:bottom w:val="single" w:color="000000" w:sz="4" w:space="0"/>
            </w:tcBorders>
          </w:tcPr>
          <w:p w14:paraId="5409882C">
            <w:pPr>
              <w:pStyle w:val="17"/>
              <w:spacing w:before="41"/>
              <w:ind w:left="14"/>
              <w:jc w:val="left"/>
              <w:rPr>
                <w:rFonts w:ascii="Segoe UI Symbol" w:hAnsi="Segoe UI Symbol" w:eastAsia="Segoe UI Symbol"/>
                <w:sz w:val="18"/>
              </w:rPr>
            </w:pPr>
            <w:r>
              <w:rPr>
                <w:sz w:val="18"/>
              </w:rPr>
              <w:t>可以接受</w:t>
            </w:r>
            <w:r>
              <w:rPr>
                <w:rFonts w:ascii="Wingdings" w:hAnsi="Wingdings" w:eastAsia="Wingdings"/>
                <w:sz w:val="18"/>
              </w:rPr>
              <w:t></w:t>
            </w:r>
            <w:r>
              <w:rPr>
                <w:sz w:val="18"/>
              </w:rPr>
              <w:t>；不可以接受</w:t>
            </w:r>
            <w:r>
              <w:rPr>
                <w:rFonts w:ascii="Segoe UI Symbol" w:hAnsi="Segoe UI Symbol" w:eastAsia="Segoe UI Symbol"/>
                <w:sz w:val="18"/>
              </w:rPr>
              <w:t>☐</w:t>
            </w:r>
          </w:p>
        </w:tc>
      </w:tr>
      <w:tr w14:paraId="12DFC3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49" w:type="dxa"/>
            <w:gridSpan w:val="14"/>
            <w:tcBorders>
              <w:top w:val="single" w:color="000000" w:sz="4" w:space="0"/>
            </w:tcBorders>
          </w:tcPr>
          <w:p w14:paraId="7F1953EC">
            <w:pPr>
              <w:pStyle w:val="17"/>
              <w:tabs>
                <w:tab w:val="left" w:pos="2847"/>
              </w:tabs>
              <w:spacing w:before="41"/>
              <w:ind w:left="13"/>
              <w:jc w:val="left"/>
              <w:rPr>
                <w:sz w:val="18"/>
              </w:rPr>
            </w:pPr>
            <w:r>
              <w:rPr>
                <w:sz w:val="18"/>
              </w:rPr>
              <w:t>注：“</w:t>
            </w:r>
            <w:r>
              <w:rPr>
                <w:rFonts w:ascii="Segoe UI Symbol" w:hAnsi="Segoe UI Symbol" w:eastAsia="Segoe UI Symbol"/>
                <w:sz w:val="18"/>
              </w:rPr>
              <w:t>☐</w:t>
            </w:r>
            <w:r>
              <w:rPr>
                <w:sz w:val="18"/>
              </w:rPr>
              <w:t>”为勾选项，可</w:t>
            </w:r>
            <w:r>
              <w:rPr>
                <w:rFonts w:ascii="Times New Roman" w:hAnsi="Times New Roman" w:eastAsia="Times New Roman"/>
                <w:sz w:val="18"/>
              </w:rPr>
              <w:t>√</w:t>
            </w:r>
            <w:r>
              <w:rPr>
                <w:sz w:val="18"/>
              </w:rPr>
              <w:t>；“</w:t>
            </w:r>
            <w:r>
              <w:rPr>
                <w:rFonts w:ascii="Times New Roman" w:hAnsi="Times New Roman" w:eastAsia="Times New Roman"/>
                <w:sz w:val="18"/>
              </w:rPr>
              <w:t>(</w:t>
            </w:r>
            <w:r>
              <w:rPr>
                <w:rFonts w:ascii="Times New Roman" w:hAnsi="Times New Roman" w:eastAsia="Times New Roman"/>
                <w:sz w:val="18"/>
              </w:rPr>
              <w:tab/>
            </w:r>
            <w:r>
              <w:rPr>
                <w:rFonts w:ascii="Times New Roman" w:hAnsi="Times New Roman" w:eastAsia="Times New Roman"/>
                <w:sz w:val="18"/>
              </w:rPr>
              <w:t>)</w:t>
            </w:r>
            <w:r>
              <w:rPr>
                <w:sz w:val="18"/>
              </w:rPr>
              <w:t>”为内容填写项；“备注”为其他补充内容。</w:t>
            </w:r>
          </w:p>
        </w:tc>
      </w:tr>
    </w:tbl>
    <w:p w14:paraId="50549184">
      <w:pPr>
        <w:spacing w:after="0"/>
        <w:jc w:val="left"/>
        <w:rPr>
          <w:sz w:val="18"/>
        </w:rPr>
        <w:sectPr>
          <w:footerReference r:id="rId45" w:type="default"/>
          <w:pgSz w:w="11910" w:h="16840"/>
          <w:pgMar w:top="1400" w:right="1060" w:bottom="280" w:left="1220" w:header="0" w:footer="0" w:gutter="0"/>
          <w:cols w:space="720" w:num="1"/>
        </w:sectPr>
      </w:pPr>
    </w:p>
    <w:p w14:paraId="0847AD11">
      <w:pPr>
        <w:pStyle w:val="9"/>
        <w:tabs>
          <w:tab w:val="left" w:pos="3938"/>
        </w:tabs>
        <w:spacing w:before="48"/>
        <w:ind w:left="3036"/>
      </w:pPr>
      <w:r>
        <w:pict>
          <v:shape id="_x0000_s3930" o:spid="_x0000_s3930" o:spt="202" type="#_x0000_t202" style="position:absolute;left:0pt;margin-left:62.1pt;margin-top:25.6pt;height:596.55pt;width:471.75pt;mso-position-horizontal-relative:page;z-index:251661312;mso-width-relative:page;mso-height-relative:page;" filled="f" stroked="f" coordsize="21600,21600">
            <v:path/>
            <v:fill on="f" focussize="0,0"/>
            <v:stroke on="f" joinstyle="miter"/>
            <v:imagedata o:title=""/>
            <o:lock v:ext="edit"/>
            <v:textbox inset="0mm,0mm,0mm,0mm">
              <w:txbxContent>
                <w:tbl>
                  <w:tblPr>
                    <w:tblStyle w:val="13"/>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70"/>
                    <w:gridCol w:w="1153"/>
                    <w:gridCol w:w="1202"/>
                    <w:gridCol w:w="317"/>
                    <w:gridCol w:w="511"/>
                    <w:gridCol w:w="918"/>
                    <w:gridCol w:w="640"/>
                    <w:gridCol w:w="935"/>
                    <w:gridCol w:w="687"/>
                    <w:gridCol w:w="186"/>
                    <w:gridCol w:w="1041"/>
                    <w:gridCol w:w="664"/>
                    <w:gridCol w:w="767"/>
                  </w:tblGrid>
                  <w:tr w14:paraId="03AA44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tcBorders>
                          <w:bottom w:val="single" w:color="000000" w:sz="4" w:space="0"/>
                          <w:right w:val="single" w:color="000000" w:sz="4" w:space="0"/>
                        </w:tcBorders>
                      </w:tcPr>
                      <w:p w14:paraId="63B1AABF">
                        <w:pPr>
                          <w:pStyle w:val="17"/>
                          <w:spacing w:before="53"/>
                          <w:ind w:left="405"/>
                          <w:jc w:val="left"/>
                          <w:rPr>
                            <w:sz w:val="18"/>
                          </w:rPr>
                        </w:pPr>
                        <w:r>
                          <w:rPr>
                            <w:sz w:val="18"/>
                          </w:rPr>
                          <w:t>工作内容</w:t>
                        </w:r>
                      </w:p>
                    </w:tc>
                    <w:tc>
                      <w:tcPr>
                        <w:tcW w:w="7868" w:type="dxa"/>
                        <w:gridSpan w:val="11"/>
                        <w:tcBorders>
                          <w:left w:val="single" w:color="000000" w:sz="4" w:space="0"/>
                          <w:bottom w:val="single" w:color="000000" w:sz="4" w:space="0"/>
                        </w:tcBorders>
                      </w:tcPr>
                      <w:p w14:paraId="504A585D">
                        <w:pPr>
                          <w:pStyle w:val="17"/>
                          <w:spacing w:before="53"/>
                          <w:ind w:left="2811" w:right="2785"/>
                          <w:rPr>
                            <w:sz w:val="18"/>
                          </w:rPr>
                        </w:pPr>
                        <w:r>
                          <w:rPr>
                            <w:sz w:val="18"/>
                          </w:rPr>
                          <w:t>完成情况</w:t>
                        </w:r>
                      </w:p>
                    </w:tc>
                  </w:tr>
                  <w:tr w14:paraId="4EB113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370" w:type="dxa"/>
                        <w:vMerge w:val="restart"/>
                        <w:tcBorders>
                          <w:top w:val="single" w:color="000000" w:sz="4" w:space="0"/>
                          <w:bottom w:val="single" w:color="000000" w:sz="4" w:space="0"/>
                          <w:right w:val="single" w:color="000000" w:sz="4" w:space="0"/>
                        </w:tcBorders>
                      </w:tcPr>
                      <w:p w14:paraId="3186E44C">
                        <w:pPr>
                          <w:pStyle w:val="17"/>
                          <w:jc w:val="left"/>
                          <w:rPr>
                            <w:sz w:val="18"/>
                          </w:rPr>
                        </w:pPr>
                      </w:p>
                      <w:p w14:paraId="39132695">
                        <w:pPr>
                          <w:pStyle w:val="17"/>
                          <w:jc w:val="left"/>
                          <w:rPr>
                            <w:sz w:val="18"/>
                          </w:rPr>
                        </w:pPr>
                      </w:p>
                      <w:p w14:paraId="798D2F9A">
                        <w:pPr>
                          <w:pStyle w:val="17"/>
                          <w:jc w:val="left"/>
                          <w:rPr>
                            <w:sz w:val="18"/>
                          </w:rPr>
                        </w:pPr>
                      </w:p>
                      <w:p w14:paraId="33EB4900">
                        <w:pPr>
                          <w:pStyle w:val="17"/>
                          <w:spacing w:before="5"/>
                          <w:jc w:val="left"/>
                          <w:rPr>
                            <w:sz w:val="26"/>
                          </w:rPr>
                        </w:pPr>
                      </w:p>
                      <w:p w14:paraId="578D736B">
                        <w:pPr>
                          <w:pStyle w:val="17"/>
                          <w:spacing w:line="242" w:lineRule="auto"/>
                          <w:ind w:left="98" w:right="69"/>
                          <w:jc w:val="both"/>
                          <w:rPr>
                            <w:sz w:val="18"/>
                          </w:rPr>
                        </w:pPr>
                        <w:r>
                          <w:rPr>
                            <w:sz w:val="18"/>
                          </w:rPr>
                          <w:t>风险调查</w:t>
                        </w:r>
                      </w:p>
                    </w:tc>
                    <w:tc>
                      <w:tcPr>
                        <w:tcW w:w="1153" w:type="dxa"/>
                        <w:vMerge w:val="restart"/>
                        <w:tcBorders>
                          <w:top w:val="single" w:color="000000" w:sz="4" w:space="0"/>
                          <w:left w:val="single" w:color="000000" w:sz="4" w:space="0"/>
                          <w:bottom w:val="single" w:color="000000" w:sz="4" w:space="0"/>
                          <w:right w:val="single" w:color="000000" w:sz="4" w:space="0"/>
                        </w:tcBorders>
                      </w:tcPr>
                      <w:p w14:paraId="7783003A">
                        <w:pPr>
                          <w:pStyle w:val="17"/>
                          <w:spacing w:before="11"/>
                          <w:jc w:val="left"/>
                          <w:rPr>
                            <w:sz w:val="25"/>
                          </w:rPr>
                        </w:pPr>
                      </w:p>
                      <w:p w14:paraId="4A819CCB">
                        <w:pPr>
                          <w:pStyle w:val="17"/>
                          <w:ind w:left="225"/>
                          <w:jc w:val="left"/>
                          <w:rPr>
                            <w:sz w:val="18"/>
                          </w:rPr>
                        </w:pPr>
                        <w:r>
                          <w:rPr>
                            <w:sz w:val="18"/>
                          </w:rPr>
                          <w:t>危险物质</w:t>
                        </w:r>
                      </w:p>
                    </w:tc>
                    <w:tc>
                      <w:tcPr>
                        <w:tcW w:w="1202" w:type="dxa"/>
                        <w:tcBorders>
                          <w:top w:val="single" w:color="000000" w:sz="4" w:space="0"/>
                          <w:left w:val="single" w:color="000000" w:sz="4" w:space="0"/>
                          <w:bottom w:val="single" w:color="000000" w:sz="4" w:space="0"/>
                          <w:right w:val="single" w:color="000000" w:sz="4" w:space="0"/>
                        </w:tcBorders>
                      </w:tcPr>
                      <w:p w14:paraId="7A838F5E">
                        <w:pPr>
                          <w:pStyle w:val="17"/>
                          <w:spacing w:before="156"/>
                          <w:ind w:left="180" w:right="150"/>
                          <w:rPr>
                            <w:sz w:val="18"/>
                          </w:rPr>
                        </w:pPr>
                        <w:r>
                          <w:rPr>
                            <w:sz w:val="18"/>
                          </w:rPr>
                          <w:t>名称</w:t>
                        </w:r>
                      </w:p>
                    </w:tc>
                    <w:tc>
                      <w:tcPr>
                        <w:tcW w:w="828" w:type="dxa"/>
                        <w:gridSpan w:val="2"/>
                        <w:tcBorders>
                          <w:top w:val="single" w:color="000000" w:sz="4" w:space="0"/>
                          <w:left w:val="single" w:color="000000" w:sz="4" w:space="0"/>
                          <w:bottom w:val="single" w:color="000000" w:sz="4" w:space="0"/>
                          <w:right w:val="single" w:color="000000" w:sz="4" w:space="0"/>
                        </w:tcBorders>
                      </w:tcPr>
                      <w:p w14:paraId="6E909B7D">
                        <w:pPr>
                          <w:pStyle w:val="17"/>
                          <w:spacing w:line="268" w:lineRule="exact"/>
                          <w:ind w:left="86" w:right="61"/>
                          <w:rPr>
                            <w:sz w:val="21"/>
                          </w:rPr>
                        </w:pPr>
                        <w:r>
                          <w:rPr>
                            <w:sz w:val="21"/>
                          </w:rPr>
                          <w:t>废润滑</w:t>
                        </w:r>
                      </w:p>
                      <w:p w14:paraId="3E91993C">
                        <w:pPr>
                          <w:pStyle w:val="17"/>
                          <w:spacing w:before="4" w:line="252" w:lineRule="exact"/>
                          <w:ind w:left="28"/>
                          <w:rPr>
                            <w:sz w:val="21"/>
                          </w:rPr>
                        </w:pPr>
                        <w:r>
                          <w:rPr>
                            <w:w w:val="99"/>
                            <w:sz w:val="21"/>
                          </w:rPr>
                          <w:t>油</w:t>
                        </w:r>
                      </w:p>
                    </w:tc>
                    <w:tc>
                      <w:tcPr>
                        <w:tcW w:w="918" w:type="dxa"/>
                        <w:tcBorders>
                          <w:top w:val="single" w:color="000000" w:sz="4" w:space="0"/>
                          <w:left w:val="single" w:color="000000" w:sz="4" w:space="0"/>
                          <w:bottom w:val="single" w:color="000000" w:sz="4" w:space="0"/>
                          <w:right w:val="single" w:color="000000" w:sz="4" w:space="0"/>
                        </w:tcBorders>
                      </w:tcPr>
                      <w:p w14:paraId="4277C10D">
                        <w:pPr>
                          <w:pStyle w:val="17"/>
                          <w:spacing w:before="136"/>
                          <w:ind w:left="26" w:right="2"/>
                          <w:rPr>
                            <w:sz w:val="21"/>
                          </w:rPr>
                        </w:pPr>
                        <w:r>
                          <w:rPr>
                            <w:sz w:val="21"/>
                          </w:rPr>
                          <w:t>废活性炭</w:t>
                        </w:r>
                      </w:p>
                    </w:tc>
                    <w:tc>
                      <w:tcPr>
                        <w:tcW w:w="640" w:type="dxa"/>
                        <w:tcBorders>
                          <w:top w:val="single" w:color="000000" w:sz="4" w:space="0"/>
                          <w:left w:val="single" w:color="000000" w:sz="4" w:space="0"/>
                          <w:bottom w:val="single" w:color="000000" w:sz="4" w:space="0"/>
                          <w:right w:val="single" w:color="000000" w:sz="4" w:space="0"/>
                        </w:tcBorders>
                      </w:tcPr>
                      <w:p w14:paraId="629903B5">
                        <w:pPr>
                          <w:pStyle w:val="17"/>
                          <w:spacing w:line="268" w:lineRule="exact"/>
                          <w:ind w:left="15" w:right="-15"/>
                          <w:rPr>
                            <w:sz w:val="21"/>
                          </w:rPr>
                        </w:pPr>
                        <w:r>
                          <w:rPr>
                            <w:spacing w:val="-1"/>
                            <w:w w:val="95"/>
                            <w:sz w:val="21"/>
                          </w:rPr>
                          <w:t>废过滤</w:t>
                        </w:r>
                      </w:p>
                      <w:p w14:paraId="7B240F0E">
                        <w:pPr>
                          <w:pStyle w:val="17"/>
                          <w:spacing w:before="4" w:line="252" w:lineRule="exact"/>
                          <w:ind w:left="26"/>
                          <w:rPr>
                            <w:sz w:val="21"/>
                          </w:rPr>
                        </w:pPr>
                        <w:r>
                          <w:rPr>
                            <w:w w:val="99"/>
                            <w:sz w:val="21"/>
                          </w:rPr>
                          <w:t>棉</w:t>
                        </w:r>
                      </w:p>
                    </w:tc>
                    <w:tc>
                      <w:tcPr>
                        <w:tcW w:w="935" w:type="dxa"/>
                        <w:tcBorders>
                          <w:top w:val="single" w:color="000000" w:sz="4" w:space="0"/>
                          <w:left w:val="single" w:color="000000" w:sz="4" w:space="0"/>
                          <w:bottom w:val="single" w:color="000000" w:sz="4" w:space="0"/>
                          <w:right w:val="single" w:color="000000" w:sz="4" w:space="0"/>
                        </w:tcBorders>
                      </w:tcPr>
                      <w:p w14:paraId="0A66AB3D">
                        <w:pPr>
                          <w:pStyle w:val="17"/>
                          <w:spacing w:line="268" w:lineRule="exact"/>
                          <w:ind w:left="35" w:right="10"/>
                          <w:rPr>
                            <w:sz w:val="21"/>
                          </w:rPr>
                        </w:pPr>
                        <w:r>
                          <w:rPr>
                            <w:sz w:val="21"/>
                          </w:rPr>
                          <w:t>含油废抹</w:t>
                        </w:r>
                      </w:p>
                      <w:p w14:paraId="3915A918">
                        <w:pPr>
                          <w:pStyle w:val="17"/>
                          <w:spacing w:before="4" w:line="252" w:lineRule="exact"/>
                          <w:ind w:left="35" w:right="7"/>
                          <w:rPr>
                            <w:sz w:val="21"/>
                          </w:rPr>
                        </w:pPr>
                        <w:r>
                          <w:rPr>
                            <w:sz w:val="21"/>
                          </w:rPr>
                          <w:t>布手套</w:t>
                        </w:r>
                      </w:p>
                    </w:tc>
                    <w:tc>
                      <w:tcPr>
                        <w:tcW w:w="873" w:type="dxa"/>
                        <w:gridSpan w:val="2"/>
                        <w:tcBorders>
                          <w:top w:val="single" w:color="000000" w:sz="4" w:space="0"/>
                          <w:left w:val="single" w:color="000000" w:sz="4" w:space="0"/>
                          <w:bottom w:val="single" w:color="000000" w:sz="4" w:space="0"/>
                          <w:right w:val="single" w:color="000000" w:sz="4" w:space="0"/>
                        </w:tcBorders>
                      </w:tcPr>
                      <w:p w14:paraId="23BE571B">
                        <w:pPr>
                          <w:pStyle w:val="17"/>
                          <w:spacing w:line="268" w:lineRule="exact"/>
                          <w:ind w:left="26" w:right="-15"/>
                          <w:rPr>
                            <w:sz w:val="21"/>
                          </w:rPr>
                        </w:pPr>
                        <w:r>
                          <w:rPr>
                            <w:sz w:val="21"/>
                          </w:rPr>
                          <w:t>挥发性有</w:t>
                        </w:r>
                      </w:p>
                      <w:p w14:paraId="01AE3C66">
                        <w:pPr>
                          <w:pStyle w:val="17"/>
                          <w:spacing w:before="4" w:line="252" w:lineRule="exact"/>
                          <w:ind w:left="26" w:right="1"/>
                          <w:rPr>
                            <w:sz w:val="21"/>
                          </w:rPr>
                        </w:pPr>
                        <w:r>
                          <w:rPr>
                            <w:sz w:val="21"/>
                          </w:rPr>
                          <w:t>机物</w:t>
                        </w:r>
                      </w:p>
                    </w:tc>
                    <w:tc>
                      <w:tcPr>
                        <w:tcW w:w="1041" w:type="dxa"/>
                        <w:tcBorders>
                          <w:top w:val="single" w:color="000000" w:sz="4" w:space="0"/>
                          <w:left w:val="single" w:color="000000" w:sz="4" w:space="0"/>
                          <w:bottom w:val="single" w:color="000000" w:sz="4" w:space="0"/>
                          <w:right w:val="single" w:color="000000" w:sz="4" w:space="0"/>
                        </w:tcBorders>
                      </w:tcPr>
                      <w:p w14:paraId="76E3DC43">
                        <w:pPr>
                          <w:pStyle w:val="17"/>
                          <w:jc w:val="left"/>
                          <w:rPr>
                            <w:rFonts w:ascii="Times New Roman"/>
                            <w:sz w:val="18"/>
                          </w:rPr>
                        </w:pPr>
                      </w:p>
                    </w:tc>
                    <w:tc>
                      <w:tcPr>
                        <w:tcW w:w="664" w:type="dxa"/>
                        <w:tcBorders>
                          <w:top w:val="single" w:color="000000" w:sz="4" w:space="0"/>
                          <w:left w:val="single" w:color="000000" w:sz="4" w:space="0"/>
                          <w:bottom w:val="single" w:color="000000" w:sz="4" w:space="0"/>
                          <w:right w:val="single" w:color="000000" w:sz="4" w:space="0"/>
                        </w:tcBorders>
                      </w:tcPr>
                      <w:p w14:paraId="762D0E0E">
                        <w:pPr>
                          <w:pStyle w:val="17"/>
                          <w:jc w:val="left"/>
                          <w:rPr>
                            <w:rFonts w:ascii="Times New Roman"/>
                            <w:sz w:val="18"/>
                          </w:rPr>
                        </w:pPr>
                      </w:p>
                    </w:tc>
                    <w:tc>
                      <w:tcPr>
                        <w:tcW w:w="767" w:type="dxa"/>
                        <w:tcBorders>
                          <w:top w:val="single" w:color="000000" w:sz="4" w:space="0"/>
                          <w:left w:val="single" w:color="000000" w:sz="4" w:space="0"/>
                          <w:bottom w:val="single" w:color="000000" w:sz="4" w:space="0"/>
                        </w:tcBorders>
                      </w:tcPr>
                      <w:p w14:paraId="5FEA4B4A">
                        <w:pPr>
                          <w:pStyle w:val="17"/>
                          <w:jc w:val="left"/>
                          <w:rPr>
                            <w:rFonts w:ascii="Times New Roman"/>
                            <w:sz w:val="18"/>
                          </w:rPr>
                        </w:pPr>
                      </w:p>
                    </w:tc>
                  </w:tr>
                  <w:tr w14:paraId="52BA6A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6F2EE1AC">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0950B469">
                        <w:pPr>
                          <w:rPr>
                            <w:sz w:val="2"/>
                            <w:szCs w:val="2"/>
                          </w:rPr>
                        </w:pPr>
                      </w:p>
                    </w:tc>
                    <w:tc>
                      <w:tcPr>
                        <w:tcW w:w="1202" w:type="dxa"/>
                        <w:tcBorders>
                          <w:top w:val="single" w:color="000000" w:sz="4" w:space="0"/>
                          <w:left w:val="single" w:color="000000" w:sz="4" w:space="0"/>
                          <w:bottom w:val="single" w:color="000000" w:sz="4" w:space="0"/>
                          <w:right w:val="single" w:color="000000" w:sz="4" w:space="0"/>
                        </w:tcBorders>
                      </w:tcPr>
                      <w:p w14:paraId="2D117DBC">
                        <w:pPr>
                          <w:pStyle w:val="17"/>
                          <w:spacing w:before="55"/>
                          <w:ind w:left="180" w:right="151"/>
                          <w:rPr>
                            <w:rFonts w:ascii="Times New Roman" w:eastAsia="Times New Roman"/>
                            <w:sz w:val="18"/>
                          </w:rPr>
                        </w:pPr>
                        <w:r>
                          <w:rPr>
                            <w:sz w:val="18"/>
                          </w:rPr>
                          <w:t>存在总量</w:t>
                        </w:r>
                        <w:r>
                          <w:rPr>
                            <w:rFonts w:ascii="Times New Roman" w:eastAsia="Times New Roman"/>
                            <w:sz w:val="18"/>
                          </w:rPr>
                          <w:t>/t</w:t>
                        </w:r>
                      </w:p>
                    </w:tc>
                    <w:tc>
                      <w:tcPr>
                        <w:tcW w:w="828" w:type="dxa"/>
                        <w:gridSpan w:val="2"/>
                        <w:tcBorders>
                          <w:top w:val="single" w:color="000000" w:sz="4" w:space="0"/>
                          <w:left w:val="single" w:color="000000" w:sz="4" w:space="0"/>
                          <w:bottom w:val="single" w:color="000000" w:sz="4" w:space="0"/>
                          <w:right w:val="single" w:color="000000" w:sz="4" w:space="0"/>
                        </w:tcBorders>
                      </w:tcPr>
                      <w:p w14:paraId="2201D5D8">
                        <w:pPr>
                          <w:pStyle w:val="17"/>
                          <w:spacing w:before="64"/>
                          <w:ind w:left="265"/>
                          <w:jc w:val="left"/>
                          <w:rPr>
                            <w:rFonts w:ascii="Times New Roman"/>
                            <w:sz w:val="18"/>
                          </w:rPr>
                        </w:pPr>
                        <w:r>
                          <w:rPr>
                            <w:rFonts w:ascii="Times New Roman"/>
                            <w:sz w:val="18"/>
                          </w:rPr>
                          <w:t>0.01</w:t>
                        </w:r>
                      </w:p>
                    </w:tc>
                    <w:tc>
                      <w:tcPr>
                        <w:tcW w:w="918" w:type="dxa"/>
                        <w:tcBorders>
                          <w:top w:val="single" w:color="000000" w:sz="4" w:space="0"/>
                          <w:left w:val="single" w:color="000000" w:sz="4" w:space="0"/>
                          <w:bottom w:val="single" w:color="000000" w:sz="4" w:space="0"/>
                          <w:right w:val="single" w:color="000000" w:sz="4" w:space="0"/>
                        </w:tcBorders>
                      </w:tcPr>
                      <w:p w14:paraId="18FED6F0">
                        <w:pPr>
                          <w:pStyle w:val="17"/>
                          <w:spacing w:before="64"/>
                          <w:ind w:left="32" w:right="2"/>
                          <w:rPr>
                            <w:rFonts w:ascii="Times New Roman"/>
                            <w:sz w:val="18"/>
                          </w:rPr>
                        </w:pPr>
                        <w:r>
                          <w:rPr>
                            <w:rFonts w:ascii="Times New Roman"/>
                            <w:sz w:val="18"/>
                          </w:rPr>
                          <w:t>17</w:t>
                        </w:r>
                      </w:p>
                    </w:tc>
                    <w:tc>
                      <w:tcPr>
                        <w:tcW w:w="640" w:type="dxa"/>
                        <w:tcBorders>
                          <w:top w:val="single" w:color="000000" w:sz="4" w:space="0"/>
                          <w:left w:val="single" w:color="000000" w:sz="4" w:space="0"/>
                          <w:bottom w:val="single" w:color="000000" w:sz="4" w:space="0"/>
                          <w:right w:val="single" w:color="000000" w:sz="4" w:space="0"/>
                        </w:tcBorders>
                      </w:tcPr>
                      <w:p w14:paraId="1502A304">
                        <w:pPr>
                          <w:pStyle w:val="17"/>
                          <w:spacing w:before="64"/>
                          <w:ind w:left="171"/>
                          <w:jc w:val="left"/>
                          <w:rPr>
                            <w:rFonts w:ascii="Times New Roman"/>
                            <w:sz w:val="18"/>
                          </w:rPr>
                        </w:pPr>
                        <w:r>
                          <w:rPr>
                            <w:rFonts w:ascii="Times New Roman"/>
                            <w:sz w:val="18"/>
                          </w:rPr>
                          <w:t>0.06</w:t>
                        </w:r>
                      </w:p>
                    </w:tc>
                    <w:tc>
                      <w:tcPr>
                        <w:tcW w:w="935" w:type="dxa"/>
                        <w:tcBorders>
                          <w:top w:val="single" w:color="000000" w:sz="4" w:space="0"/>
                          <w:left w:val="single" w:color="000000" w:sz="4" w:space="0"/>
                          <w:bottom w:val="single" w:color="000000" w:sz="4" w:space="0"/>
                          <w:right w:val="single" w:color="000000" w:sz="4" w:space="0"/>
                        </w:tcBorders>
                      </w:tcPr>
                      <w:p w14:paraId="60C05A73">
                        <w:pPr>
                          <w:pStyle w:val="17"/>
                          <w:spacing w:before="64"/>
                          <w:ind w:left="318"/>
                          <w:jc w:val="left"/>
                          <w:rPr>
                            <w:rFonts w:ascii="Times New Roman"/>
                            <w:sz w:val="18"/>
                          </w:rPr>
                        </w:pPr>
                        <w:r>
                          <w:rPr>
                            <w:rFonts w:ascii="Times New Roman"/>
                            <w:sz w:val="18"/>
                          </w:rPr>
                          <w:t>0.01</w:t>
                        </w:r>
                      </w:p>
                    </w:tc>
                    <w:tc>
                      <w:tcPr>
                        <w:tcW w:w="873" w:type="dxa"/>
                        <w:gridSpan w:val="2"/>
                        <w:tcBorders>
                          <w:top w:val="single" w:color="000000" w:sz="4" w:space="0"/>
                          <w:left w:val="single" w:color="000000" w:sz="4" w:space="0"/>
                          <w:bottom w:val="single" w:color="000000" w:sz="4" w:space="0"/>
                          <w:right w:val="single" w:color="000000" w:sz="4" w:space="0"/>
                        </w:tcBorders>
                      </w:tcPr>
                      <w:p w14:paraId="36F98967">
                        <w:pPr>
                          <w:pStyle w:val="17"/>
                          <w:spacing w:before="64"/>
                          <w:ind w:left="107"/>
                          <w:jc w:val="left"/>
                          <w:rPr>
                            <w:rFonts w:ascii="Times New Roman"/>
                            <w:sz w:val="18"/>
                          </w:rPr>
                        </w:pPr>
                        <w:r>
                          <w:rPr>
                            <w:rFonts w:ascii="Times New Roman"/>
                            <w:sz w:val="18"/>
                          </w:rPr>
                          <w:t>0.003141</w:t>
                        </w:r>
                      </w:p>
                    </w:tc>
                    <w:tc>
                      <w:tcPr>
                        <w:tcW w:w="1041" w:type="dxa"/>
                        <w:tcBorders>
                          <w:top w:val="single" w:color="000000" w:sz="4" w:space="0"/>
                          <w:left w:val="single" w:color="000000" w:sz="4" w:space="0"/>
                          <w:bottom w:val="single" w:color="000000" w:sz="4" w:space="0"/>
                          <w:right w:val="single" w:color="000000" w:sz="4" w:space="0"/>
                        </w:tcBorders>
                      </w:tcPr>
                      <w:p w14:paraId="2FB13F25">
                        <w:pPr>
                          <w:pStyle w:val="17"/>
                          <w:jc w:val="left"/>
                          <w:rPr>
                            <w:rFonts w:ascii="Times New Roman"/>
                            <w:sz w:val="18"/>
                          </w:rPr>
                        </w:pPr>
                      </w:p>
                    </w:tc>
                    <w:tc>
                      <w:tcPr>
                        <w:tcW w:w="664" w:type="dxa"/>
                        <w:tcBorders>
                          <w:top w:val="single" w:color="000000" w:sz="4" w:space="0"/>
                          <w:left w:val="single" w:color="000000" w:sz="4" w:space="0"/>
                          <w:bottom w:val="single" w:color="000000" w:sz="4" w:space="0"/>
                          <w:right w:val="single" w:color="000000" w:sz="4" w:space="0"/>
                        </w:tcBorders>
                      </w:tcPr>
                      <w:p w14:paraId="2A257F2E">
                        <w:pPr>
                          <w:pStyle w:val="17"/>
                          <w:jc w:val="left"/>
                          <w:rPr>
                            <w:rFonts w:ascii="Times New Roman"/>
                            <w:sz w:val="18"/>
                          </w:rPr>
                        </w:pPr>
                      </w:p>
                    </w:tc>
                    <w:tc>
                      <w:tcPr>
                        <w:tcW w:w="767" w:type="dxa"/>
                        <w:tcBorders>
                          <w:top w:val="single" w:color="000000" w:sz="4" w:space="0"/>
                          <w:left w:val="single" w:color="000000" w:sz="4" w:space="0"/>
                          <w:bottom w:val="single" w:color="000000" w:sz="4" w:space="0"/>
                        </w:tcBorders>
                      </w:tcPr>
                      <w:p w14:paraId="4B8D12A0">
                        <w:pPr>
                          <w:pStyle w:val="17"/>
                          <w:jc w:val="left"/>
                          <w:rPr>
                            <w:rFonts w:ascii="Times New Roman"/>
                            <w:sz w:val="18"/>
                          </w:rPr>
                        </w:pPr>
                      </w:p>
                    </w:tc>
                  </w:tr>
                  <w:tr w14:paraId="46C9D1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2B1CECD4">
                        <w:pPr>
                          <w:rPr>
                            <w:sz w:val="2"/>
                            <w:szCs w:val="2"/>
                          </w:rPr>
                        </w:pPr>
                      </w:p>
                    </w:tc>
                    <w:tc>
                      <w:tcPr>
                        <w:tcW w:w="1153" w:type="dxa"/>
                        <w:vMerge w:val="restart"/>
                        <w:tcBorders>
                          <w:top w:val="single" w:color="000000" w:sz="4" w:space="0"/>
                          <w:left w:val="single" w:color="000000" w:sz="4" w:space="0"/>
                          <w:bottom w:val="single" w:color="000000" w:sz="4" w:space="0"/>
                          <w:right w:val="single" w:color="000000" w:sz="4" w:space="0"/>
                        </w:tcBorders>
                      </w:tcPr>
                      <w:p w14:paraId="5E9A2BCC">
                        <w:pPr>
                          <w:pStyle w:val="17"/>
                          <w:jc w:val="left"/>
                          <w:rPr>
                            <w:sz w:val="18"/>
                          </w:rPr>
                        </w:pPr>
                      </w:p>
                      <w:p w14:paraId="58F09A6C">
                        <w:pPr>
                          <w:pStyle w:val="17"/>
                          <w:jc w:val="left"/>
                          <w:rPr>
                            <w:sz w:val="18"/>
                          </w:rPr>
                        </w:pPr>
                      </w:p>
                      <w:p w14:paraId="51F8846E">
                        <w:pPr>
                          <w:pStyle w:val="17"/>
                          <w:jc w:val="left"/>
                          <w:rPr>
                            <w:sz w:val="18"/>
                          </w:rPr>
                        </w:pPr>
                      </w:p>
                      <w:p w14:paraId="51245B6F">
                        <w:pPr>
                          <w:pStyle w:val="17"/>
                          <w:spacing w:before="6"/>
                          <w:jc w:val="left"/>
                          <w:rPr>
                            <w:sz w:val="18"/>
                          </w:rPr>
                        </w:pPr>
                      </w:p>
                      <w:p w14:paraId="60BB839A">
                        <w:pPr>
                          <w:pStyle w:val="17"/>
                          <w:ind w:left="134"/>
                          <w:jc w:val="left"/>
                          <w:rPr>
                            <w:sz w:val="18"/>
                          </w:rPr>
                        </w:pPr>
                        <w:r>
                          <w:rPr>
                            <w:sz w:val="18"/>
                          </w:rPr>
                          <w:t>环境敏感性</w:t>
                        </w:r>
                      </w:p>
                    </w:tc>
                    <w:tc>
                      <w:tcPr>
                        <w:tcW w:w="1202" w:type="dxa"/>
                        <w:vMerge w:val="restart"/>
                        <w:tcBorders>
                          <w:top w:val="single" w:color="000000" w:sz="4" w:space="0"/>
                          <w:left w:val="single" w:color="000000" w:sz="4" w:space="0"/>
                          <w:bottom w:val="single" w:color="000000" w:sz="4" w:space="0"/>
                          <w:right w:val="single" w:color="000000" w:sz="4" w:space="0"/>
                        </w:tcBorders>
                      </w:tcPr>
                      <w:p w14:paraId="5EAC60D1">
                        <w:pPr>
                          <w:pStyle w:val="17"/>
                          <w:spacing w:before="10"/>
                          <w:jc w:val="left"/>
                          <w:rPr>
                            <w:sz w:val="17"/>
                          </w:rPr>
                        </w:pPr>
                      </w:p>
                      <w:p w14:paraId="1E5751A1">
                        <w:pPr>
                          <w:pStyle w:val="17"/>
                          <w:ind w:left="180" w:right="150"/>
                          <w:rPr>
                            <w:sz w:val="18"/>
                          </w:rPr>
                        </w:pPr>
                        <w:r>
                          <w:rPr>
                            <w:sz w:val="18"/>
                          </w:rPr>
                          <w:t>大气</w:t>
                        </w:r>
                      </w:p>
                    </w:tc>
                    <w:tc>
                      <w:tcPr>
                        <w:tcW w:w="3321" w:type="dxa"/>
                        <w:gridSpan w:val="5"/>
                        <w:tcBorders>
                          <w:top w:val="single" w:color="000000" w:sz="4" w:space="0"/>
                          <w:left w:val="single" w:color="000000" w:sz="4" w:space="0"/>
                          <w:bottom w:val="single" w:color="000000" w:sz="4" w:space="0"/>
                          <w:right w:val="single" w:color="000000" w:sz="4" w:space="0"/>
                        </w:tcBorders>
                      </w:tcPr>
                      <w:p w14:paraId="639B2A65">
                        <w:pPr>
                          <w:pStyle w:val="17"/>
                          <w:spacing w:before="53"/>
                          <w:ind w:left="719"/>
                          <w:jc w:val="left"/>
                          <w:rPr>
                            <w:sz w:val="18"/>
                          </w:rPr>
                        </w:pPr>
                        <w:r>
                          <w:rPr>
                            <w:rFonts w:ascii="Times New Roman" w:eastAsia="Times New Roman"/>
                            <w:sz w:val="18"/>
                          </w:rPr>
                          <w:t>500m</w:t>
                        </w:r>
                        <w:r>
                          <w:rPr>
                            <w:sz w:val="18"/>
                          </w:rPr>
                          <w:t>范围内人口数</w:t>
                        </w:r>
                        <w:r>
                          <w:rPr>
                            <w:sz w:val="18"/>
                            <w:u w:val="single"/>
                          </w:rPr>
                          <w:t xml:space="preserve"> </w:t>
                        </w:r>
                        <w:r>
                          <w:rPr>
                            <w:rFonts w:ascii="Times New Roman" w:eastAsia="Times New Roman"/>
                            <w:sz w:val="18"/>
                            <w:u w:val="single"/>
                          </w:rPr>
                          <w:t>/</w:t>
                        </w:r>
                        <w:r>
                          <w:rPr>
                            <w:rFonts w:ascii="Times New Roman" w:eastAsia="Times New Roman"/>
                            <w:sz w:val="18"/>
                          </w:rPr>
                          <w:t xml:space="preserve"> </w:t>
                        </w:r>
                        <w:r>
                          <w:rPr>
                            <w:sz w:val="18"/>
                          </w:rPr>
                          <w:t>人</w:t>
                        </w:r>
                      </w:p>
                    </w:tc>
                    <w:tc>
                      <w:tcPr>
                        <w:tcW w:w="3345" w:type="dxa"/>
                        <w:gridSpan w:val="5"/>
                        <w:tcBorders>
                          <w:top w:val="single" w:color="000000" w:sz="4" w:space="0"/>
                          <w:left w:val="single" w:color="000000" w:sz="4" w:space="0"/>
                          <w:bottom w:val="single" w:color="000000" w:sz="4" w:space="0"/>
                        </w:tcBorders>
                      </w:tcPr>
                      <w:p w14:paraId="5DF81752">
                        <w:pPr>
                          <w:pStyle w:val="17"/>
                          <w:spacing w:before="53"/>
                          <w:ind w:left="681"/>
                          <w:jc w:val="left"/>
                          <w:rPr>
                            <w:sz w:val="18"/>
                          </w:rPr>
                        </w:pPr>
                        <w:r>
                          <w:rPr>
                            <w:rFonts w:ascii="Times New Roman" w:eastAsia="Times New Roman"/>
                            <w:sz w:val="18"/>
                          </w:rPr>
                          <w:t>5km</w:t>
                        </w:r>
                        <w:r>
                          <w:rPr>
                            <w:sz w:val="18"/>
                          </w:rPr>
                          <w:t>范围内人口数</w:t>
                        </w:r>
                        <w:r>
                          <w:rPr>
                            <w:spacing w:val="87"/>
                            <w:sz w:val="18"/>
                            <w:u w:val="single"/>
                          </w:rPr>
                          <w:t xml:space="preserve"> </w:t>
                        </w:r>
                        <w:r>
                          <w:rPr>
                            <w:rFonts w:ascii="Times New Roman" w:eastAsia="Times New Roman"/>
                            <w:sz w:val="18"/>
                            <w:u w:val="single"/>
                          </w:rPr>
                          <w:t xml:space="preserve">/ </w:t>
                        </w:r>
                        <w:r>
                          <w:rPr>
                            <w:sz w:val="18"/>
                          </w:rPr>
                          <w:t>人</w:t>
                        </w:r>
                      </w:p>
                    </w:tc>
                  </w:tr>
                  <w:tr w14:paraId="0F91EE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0940E8D4">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0FAD4378">
                        <w:pPr>
                          <w:rPr>
                            <w:sz w:val="2"/>
                            <w:szCs w:val="2"/>
                          </w:rPr>
                        </w:pPr>
                      </w:p>
                    </w:tc>
                    <w:tc>
                      <w:tcPr>
                        <w:tcW w:w="1202" w:type="dxa"/>
                        <w:vMerge w:val="continue"/>
                        <w:tcBorders>
                          <w:top w:val="nil"/>
                          <w:left w:val="single" w:color="000000" w:sz="4" w:space="0"/>
                          <w:bottom w:val="single" w:color="000000" w:sz="4" w:space="0"/>
                          <w:right w:val="single" w:color="000000" w:sz="4" w:space="0"/>
                        </w:tcBorders>
                      </w:tcPr>
                      <w:p w14:paraId="049A44CC">
                        <w:pPr>
                          <w:rPr>
                            <w:sz w:val="2"/>
                            <w:szCs w:val="2"/>
                          </w:rPr>
                        </w:pPr>
                      </w:p>
                    </w:tc>
                    <w:tc>
                      <w:tcPr>
                        <w:tcW w:w="5235" w:type="dxa"/>
                        <w:gridSpan w:val="8"/>
                        <w:tcBorders>
                          <w:top w:val="single" w:color="000000" w:sz="4" w:space="0"/>
                          <w:left w:val="single" w:color="000000" w:sz="4" w:space="0"/>
                          <w:bottom w:val="single" w:color="000000" w:sz="4" w:space="0"/>
                          <w:right w:val="single" w:color="000000" w:sz="4" w:space="0"/>
                        </w:tcBorders>
                      </w:tcPr>
                      <w:p w14:paraId="7BA2C434">
                        <w:pPr>
                          <w:pStyle w:val="17"/>
                          <w:spacing w:before="53"/>
                          <w:ind w:left="846"/>
                          <w:jc w:val="left"/>
                          <w:rPr>
                            <w:sz w:val="18"/>
                          </w:rPr>
                        </w:pPr>
                        <w:r>
                          <w:rPr>
                            <w:sz w:val="18"/>
                          </w:rPr>
                          <w:t>每公里管段周边</w:t>
                        </w:r>
                        <w:r>
                          <w:rPr>
                            <w:rFonts w:ascii="Times New Roman" w:eastAsia="Times New Roman"/>
                            <w:sz w:val="18"/>
                          </w:rPr>
                          <w:t>200m</w:t>
                        </w:r>
                        <w:r>
                          <w:rPr>
                            <w:sz w:val="18"/>
                          </w:rPr>
                          <w:t>范围内人口数（ 最大）</w:t>
                        </w:r>
                      </w:p>
                    </w:tc>
                    <w:tc>
                      <w:tcPr>
                        <w:tcW w:w="1431" w:type="dxa"/>
                        <w:gridSpan w:val="2"/>
                        <w:tcBorders>
                          <w:top w:val="single" w:color="000000" w:sz="4" w:space="0"/>
                          <w:left w:val="single" w:color="000000" w:sz="4" w:space="0"/>
                          <w:bottom w:val="single" w:color="000000" w:sz="4" w:space="0"/>
                        </w:tcBorders>
                      </w:tcPr>
                      <w:p w14:paraId="32E7FA2A">
                        <w:pPr>
                          <w:pStyle w:val="17"/>
                          <w:spacing w:before="53"/>
                          <w:ind w:left="29"/>
                          <w:rPr>
                            <w:sz w:val="18"/>
                          </w:rPr>
                        </w:pPr>
                        <w:r>
                          <w:rPr>
                            <w:sz w:val="18"/>
                          </w:rPr>
                          <w:t>人</w:t>
                        </w:r>
                      </w:p>
                    </w:tc>
                  </w:tr>
                  <w:tr w14:paraId="381173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3F79B0FE">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53D53D97">
                        <w:pPr>
                          <w:rPr>
                            <w:sz w:val="2"/>
                            <w:szCs w:val="2"/>
                          </w:rPr>
                        </w:pPr>
                      </w:p>
                    </w:tc>
                    <w:tc>
                      <w:tcPr>
                        <w:tcW w:w="1202" w:type="dxa"/>
                        <w:vMerge w:val="restart"/>
                        <w:tcBorders>
                          <w:top w:val="single" w:color="000000" w:sz="4" w:space="0"/>
                          <w:left w:val="single" w:color="000000" w:sz="4" w:space="0"/>
                          <w:bottom w:val="single" w:color="000000" w:sz="4" w:space="0"/>
                          <w:right w:val="single" w:color="000000" w:sz="4" w:space="0"/>
                        </w:tcBorders>
                      </w:tcPr>
                      <w:p w14:paraId="3A3A5C66">
                        <w:pPr>
                          <w:pStyle w:val="17"/>
                          <w:spacing w:before="11"/>
                          <w:jc w:val="left"/>
                          <w:rPr>
                            <w:sz w:val="17"/>
                          </w:rPr>
                        </w:pPr>
                      </w:p>
                      <w:p w14:paraId="57A3233C">
                        <w:pPr>
                          <w:pStyle w:val="17"/>
                          <w:ind w:left="339"/>
                          <w:jc w:val="left"/>
                          <w:rPr>
                            <w:sz w:val="18"/>
                          </w:rPr>
                        </w:pPr>
                        <w:r>
                          <w:rPr>
                            <w:sz w:val="18"/>
                          </w:rPr>
                          <w:t>地表水</w:t>
                        </w:r>
                      </w:p>
                    </w:tc>
                    <w:tc>
                      <w:tcPr>
                        <w:tcW w:w="1746" w:type="dxa"/>
                        <w:gridSpan w:val="3"/>
                        <w:tcBorders>
                          <w:top w:val="single" w:color="000000" w:sz="4" w:space="0"/>
                          <w:left w:val="single" w:color="000000" w:sz="4" w:space="0"/>
                          <w:bottom w:val="single" w:color="000000" w:sz="4" w:space="0"/>
                          <w:right w:val="single" w:color="000000" w:sz="4" w:space="0"/>
                        </w:tcBorders>
                      </w:tcPr>
                      <w:p w14:paraId="7E5D8E3B">
                        <w:pPr>
                          <w:pStyle w:val="17"/>
                          <w:spacing w:before="54"/>
                          <w:ind w:left="162"/>
                          <w:jc w:val="left"/>
                          <w:rPr>
                            <w:sz w:val="18"/>
                          </w:rPr>
                        </w:pPr>
                        <w:r>
                          <w:rPr>
                            <w:sz w:val="18"/>
                          </w:rPr>
                          <w:t>地表水功能敏感性</w:t>
                        </w:r>
                      </w:p>
                    </w:tc>
                    <w:tc>
                      <w:tcPr>
                        <w:tcW w:w="1575" w:type="dxa"/>
                        <w:gridSpan w:val="2"/>
                        <w:tcBorders>
                          <w:top w:val="single" w:color="000000" w:sz="4" w:space="0"/>
                          <w:left w:val="single" w:color="000000" w:sz="4" w:space="0"/>
                          <w:bottom w:val="single" w:color="000000" w:sz="4" w:space="0"/>
                          <w:right w:val="single" w:color="000000" w:sz="4" w:space="0"/>
                        </w:tcBorders>
                      </w:tcPr>
                      <w:p w14:paraId="15366DBC">
                        <w:pPr>
                          <w:pStyle w:val="17"/>
                          <w:spacing w:before="49"/>
                          <w:ind w:left="549" w:right="523"/>
                          <w:rPr>
                            <w:rFonts w:ascii="Segoe UI Symbol" w:hAnsi="Segoe UI Symbol"/>
                            <w:sz w:val="18"/>
                          </w:rPr>
                        </w:pPr>
                        <w:r>
                          <w:rPr>
                            <w:rFonts w:ascii="Times New Roman" w:hAnsi="Times New Roman"/>
                            <w:sz w:val="18"/>
                          </w:rPr>
                          <w:t xml:space="preserve">F1 </w:t>
                        </w:r>
                        <w:r>
                          <w:rPr>
                            <w:rFonts w:ascii="Segoe UI Symbol" w:hAnsi="Segoe UI Symbol"/>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2D21A77E">
                        <w:pPr>
                          <w:pStyle w:val="17"/>
                          <w:spacing w:before="66"/>
                          <w:ind w:left="642" w:right="615"/>
                          <w:rPr>
                            <w:rFonts w:ascii="Wingdings" w:hAnsi="Wingdings"/>
                            <w:sz w:val="18"/>
                          </w:rPr>
                        </w:pPr>
                        <w:r>
                          <w:rPr>
                            <w:rFonts w:ascii="Times New Roman" w:hAnsi="Times New Roman"/>
                            <w:sz w:val="18"/>
                          </w:rPr>
                          <w:t xml:space="preserve">F2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18B6F6D1">
                        <w:pPr>
                          <w:pStyle w:val="17"/>
                          <w:spacing w:before="49"/>
                          <w:ind w:left="80" w:right="52"/>
                          <w:rPr>
                            <w:rFonts w:ascii="Segoe UI Symbol" w:hAnsi="Segoe UI Symbol"/>
                            <w:sz w:val="18"/>
                          </w:rPr>
                        </w:pPr>
                        <w:r>
                          <w:rPr>
                            <w:rFonts w:ascii="Times New Roman" w:hAnsi="Times New Roman"/>
                            <w:sz w:val="18"/>
                          </w:rPr>
                          <w:t xml:space="preserve">F3 </w:t>
                        </w:r>
                        <w:r>
                          <w:rPr>
                            <w:rFonts w:ascii="Segoe UI Symbol" w:hAnsi="Segoe UI Symbol"/>
                            <w:sz w:val="18"/>
                          </w:rPr>
                          <w:t>☐</w:t>
                        </w:r>
                      </w:p>
                    </w:tc>
                  </w:tr>
                  <w:tr w14:paraId="010BD5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1F56DF36">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2069EA30">
                        <w:pPr>
                          <w:rPr>
                            <w:sz w:val="2"/>
                            <w:szCs w:val="2"/>
                          </w:rPr>
                        </w:pPr>
                      </w:p>
                    </w:tc>
                    <w:tc>
                      <w:tcPr>
                        <w:tcW w:w="1202" w:type="dxa"/>
                        <w:vMerge w:val="continue"/>
                        <w:tcBorders>
                          <w:top w:val="nil"/>
                          <w:left w:val="single" w:color="000000" w:sz="4" w:space="0"/>
                          <w:bottom w:val="single" w:color="000000" w:sz="4" w:space="0"/>
                          <w:right w:val="single" w:color="000000" w:sz="4" w:space="0"/>
                        </w:tcBorders>
                      </w:tcPr>
                      <w:p w14:paraId="2DACA82D">
                        <w:pPr>
                          <w:rPr>
                            <w:sz w:val="2"/>
                            <w:szCs w:val="2"/>
                          </w:rPr>
                        </w:pPr>
                      </w:p>
                    </w:tc>
                    <w:tc>
                      <w:tcPr>
                        <w:tcW w:w="1746" w:type="dxa"/>
                        <w:gridSpan w:val="3"/>
                        <w:tcBorders>
                          <w:top w:val="single" w:color="000000" w:sz="4" w:space="0"/>
                          <w:left w:val="single" w:color="000000" w:sz="4" w:space="0"/>
                          <w:bottom w:val="single" w:color="000000" w:sz="4" w:space="0"/>
                          <w:right w:val="single" w:color="000000" w:sz="4" w:space="0"/>
                        </w:tcBorders>
                      </w:tcPr>
                      <w:p w14:paraId="0206EAC0">
                        <w:pPr>
                          <w:pStyle w:val="17"/>
                          <w:spacing w:before="54"/>
                          <w:ind w:left="162"/>
                          <w:jc w:val="left"/>
                          <w:rPr>
                            <w:sz w:val="18"/>
                          </w:rPr>
                        </w:pPr>
                        <w:r>
                          <w:rPr>
                            <w:sz w:val="18"/>
                          </w:rPr>
                          <w:t>环境敏感目标分级</w:t>
                        </w:r>
                      </w:p>
                    </w:tc>
                    <w:tc>
                      <w:tcPr>
                        <w:tcW w:w="1575" w:type="dxa"/>
                        <w:gridSpan w:val="2"/>
                        <w:tcBorders>
                          <w:top w:val="single" w:color="000000" w:sz="4" w:space="0"/>
                          <w:left w:val="single" w:color="000000" w:sz="4" w:space="0"/>
                          <w:bottom w:val="single" w:color="000000" w:sz="4" w:space="0"/>
                          <w:right w:val="single" w:color="000000" w:sz="4" w:space="0"/>
                        </w:tcBorders>
                      </w:tcPr>
                      <w:p w14:paraId="598F472A">
                        <w:pPr>
                          <w:pStyle w:val="17"/>
                          <w:spacing w:before="64"/>
                          <w:ind w:left="550" w:right="523"/>
                          <w:rPr>
                            <w:rFonts w:ascii="Wingdings" w:hAnsi="Wingdings"/>
                            <w:sz w:val="18"/>
                          </w:rPr>
                        </w:pPr>
                        <w:r>
                          <w:rPr>
                            <w:rFonts w:ascii="Times New Roman" w:hAnsi="Times New Roman"/>
                            <w:sz w:val="18"/>
                          </w:rPr>
                          <w:t xml:space="preserve">S1 </w:t>
                        </w:r>
                        <w:r>
                          <w:rPr>
                            <w:rFonts w:ascii="Wingdings" w:hAnsi="Wingdings"/>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31ACEF3E">
                        <w:pPr>
                          <w:pStyle w:val="17"/>
                          <w:spacing w:before="49"/>
                          <w:ind w:left="642" w:right="615"/>
                          <w:rPr>
                            <w:rFonts w:ascii="Segoe UI Symbol" w:hAnsi="Segoe UI Symbol"/>
                            <w:sz w:val="18"/>
                          </w:rPr>
                        </w:pPr>
                        <w:r>
                          <w:rPr>
                            <w:rFonts w:ascii="Times New Roman" w:hAnsi="Times New Roman"/>
                            <w:sz w:val="18"/>
                          </w:rPr>
                          <w:t xml:space="preserve">S2 </w:t>
                        </w:r>
                        <w:r>
                          <w:rPr>
                            <w:rFonts w:ascii="Segoe UI Symbol" w:hAnsi="Segoe UI Symbol"/>
                            <w:sz w:val="18"/>
                          </w:rPr>
                          <w:t>☐</w:t>
                        </w:r>
                      </w:p>
                    </w:tc>
                    <w:tc>
                      <w:tcPr>
                        <w:tcW w:w="1431" w:type="dxa"/>
                        <w:gridSpan w:val="2"/>
                        <w:tcBorders>
                          <w:top w:val="single" w:color="000000" w:sz="4" w:space="0"/>
                          <w:left w:val="single" w:color="000000" w:sz="4" w:space="0"/>
                          <w:bottom w:val="single" w:color="000000" w:sz="4" w:space="0"/>
                        </w:tcBorders>
                      </w:tcPr>
                      <w:p w14:paraId="3CCDC883">
                        <w:pPr>
                          <w:pStyle w:val="17"/>
                          <w:spacing w:before="64"/>
                          <w:ind w:left="80" w:right="52"/>
                          <w:rPr>
                            <w:rFonts w:ascii="Wingdings" w:hAnsi="Wingdings"/>
                            <w:sz w:val="18"/>
                          </w:rPr>
                        </w:pPr>
                        <w:r>
                          <w:rPr>
                            <w:rFonts w:ascii="Times New Roman" w:hAnsi="Times New Roman"/>
                            <w:sz w:val="18"/>
                          </w:rPr>
                          <w:t xml:space="preserve">S3 </w:t>
                        </w:r>
                        <w:r>
                          <w:rPr>
                            <w:rFonts w:ascii="Wingdings" w:hAnsi="Wingdings"/>
                            <w:sz w:val="18"/>
                          </w:rPr>
                          <w:t></w:t>
                        </w:r>
                      </w:p>
                    </w:tc>
                  </w:tr>
                  <w:tr w14:paraId="206950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4D4BF273">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23E6730B">
                        <w:pPr>
                          <w:rPr>
                            <w:sz w:val="2"/>
                            <w:szCs w:val="2"/>
                          </w:rPr>
                        </w:pPr>
                      </w:p>
                    </w:tc>
                    <w:tc>
                      <w:tcPr>
                        <w:tcW w:w="1202" w:type="dxa"/>
                        <w:vMerge w:val="restart"/>
                        <w:tcBorders>
                          <w:top w:val="single" w:color="000000" w:sz="4" w:space="0"/>
                          <w:left w:val="single" w:color="000000" w:sz="4" w:space="0"/>
                          <w:bottom w:val="single" w:color="000000" w:sz="4" w:space="0"/>
                          <w:right w:val="single" w:color="000000" w:sz="4" w:space="0"/>
                        </w:tcBorders>
                      </w:tcPr>
                      <w:p w14:paraId="3E5DD32F">
                        <w:pPr>
                          <w:pStyle w:val="17"/>
                          <w:spacing w:before="12"/>
                          <w:jc w:val="left"/>
                          <w:rPr>
                            <w:sz w:val="17"/>
                          </w:rPr>
                        </w:pPr>
                      </w:p>
                      <w:p w14:paraId="7AAC0398">
                        <w:pPr>
                          <w:pStyle w:val="17"/>
                          <w:ind w:left="339"/>
                          <w:jc w:val="left"/>
                          <w:rPr>
                            <w:sz w:val="18"/>
                          </w:rPr>
                        </w:pPr>
                        <w:r>
                          <w:rPr>
                            <w:sz w:val="18"/>
                          </w:rPr>
                          <w:t>地下水</w:t>
                        </w:r>
                      </w:p>
                    </w:tc>
                    <w:tc>
                      <w:tcPr>
                        <w:tcW w:w="1746" w:type="dxa"/>
                        <w:gridSpan w:val="3"/>
                        <w:tcBorders>
                          <w:top w:val="single" w:color="000000" w:sz="4" w:space="0"/>
                          <w:left w:val="single" w:color="000000" w:sz="4" w:space="0"/>
                          <w:bottom w:val="single" w:color="000000" w:sz="4" w:space="0"/>
                          <w:right w:val="single" w:color="000000" w:sz="4" w:space="0"/>
                        </w:tcBorders>
                      </w:tcPr>
                      <w:p w14:paraId="1045577B">
                        <w:pPr>
                          <w:pStyle w:val="17"/>
                          <w:spacing w:before="55"/>
                          <w:ind w:left="162"/>
                          <w:jc w:val="left"/>
                          <w:rPr>
                            <w:sz w:val="18"/>
                          </w:rPr>
                        </w:pPr>
                        <w:r>
                          <w:rPr>
                            <w:sz w:val="18"/>
                          </w:rPr>
                          <w:t>地下水功能敏感性</w:t>
                        </w:r>
                      </w:p>
                    </w:tc>
                    <w:tc>
                      <w:tcPr>
                        <w:tcW w:w="1575" w:type="dxa"/>
                        <w:gridSpan w:val="2"/>
                        <w:tcBorders>
                          <w:top w:val="single" w:color="000000" w:sz="4" w:space="0"/>
                          <w:left w:val="single" w:color="000000" w:sz="4" w:space="0"/>
                          <w:bottom w:val="single" w:color="000000" w:sz="4" w:space="0"/>
                          <w:right w:val="single" w:color="000000" w:sz="4" w:space="0"/>
                        </w:tcBorders>
                      </w:tcPr>
                      <w:p w14:paraId="2B614FC8">
                        <w:pPr>
                          <w:pStyle w:val="17"/>
                          <w:spacing w:before="47"/>
                          <w:ind w:left="549" w:right="523"/>
                          <w:rPr>
                            <w:rFonts w:ascii="Segoe UI Symbol" w:hAnsi="Segoe UI Symbol"/>
                            <w:sz w:val="18"/>
                          </w:rPr>
                        </w:pPr>
                        <w:r>
                          <w:rPr>
                            <w:rFonts w:ascii="Times New Roman" w:hAnsi="Times New Roman"/>
                            <w:sz w:val="18"/>
                          </w:rPr>
                          <w:t xml:space="preserve">G1 </w:t>
                        </w:r>
                        <w:r>
                          <w:rPr>
                            <w:rFonts w:ascii="Segoe UI Symbol" w:hAnsi="Segoe UI Symbol"/>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7FE55577">
                        <w:pPr>
                          <w:pStyle w:val="17"/>
                          <w:spacing w:before="64"/>
                          <w:ind w:left="642" w:right="615"/>
                          <w:rPr>
                            <w:rFonts w:ascii="Wingdings" w:hAnsi="Wingdings"/>
                            <w:sz w:val="18"/>
                          </w:rPr>
                        </w:pPr>
                        <w:r>
                          <w:rPr>
                            <w:rFonts w:ascii="Times New Roman" w:hAnsi="Times New Roman"/>
                            <w:sz w:val="18"/>
                          </w:rPr>
                          <w:t xml:space="preserve">G2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09E937EB">
                        <w:pPr>
                          <w:pStyle w:val="17"/>
                          <w:spacing w:before="64"/>
                          <w:ind w:left="80" w:right="52"/>
                          <w:rPr>
                            <w:rFonts w:ascii="Wingdings" w:hAnsi="Wingdings"/>
                            <w:sz w:val="18"/>
                          </w:rPr>
                        </w:pPr>
                        <w:r>
                          <w:rPr>
                            <w:rFonts w:ascii="Times New Roman" w:hAnsi="Times New Roman"/>
                            <w:sz w:val="18"/>
                          </w:rPr>
                          <w:t xml:space="preserve">G3 </w:t>
                        </w:r>
                        <w:r>
                          <w:rPr>
                            <w:rFonts w:ascii="Wingdings" w:hAnsi="Wingdings"/>
                            <w:sz w:val="18"/>
                          </w:rPr>
                          <w:t></w:t>
                        </w:r>
                      </w:p>
                    </w:tc>
                  </w:tr>
                  <w:tr w14:paraId="4C9C2A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62727355">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778ACD02">
                        <w:pPr>
                          <w:rPr>
                            <w:sz w:val="2"/>
                            <w:szCs w:val="2"/>
                          </w:rPr>
                        </w:pPr>
                      </w:p>
                    </w:tc>
                    <w:tc>
                      <w:tcPr>
                        <w:tcW w:w="1202" w:type="dxa"/>
                        <w:vMerge w:val="continue"/>
                        <w:tcBorders>
                          <w:top w:val="nil"/>
                          <w:left w:val="single" w:color="000000" w:sz="4" w:space="0"/>
                          <w:bottom w:val="single" w:color="000000" w:sz="4" w:space="0"/>
                          <w:right w:val="single" w:color="000000" w:sz="4" w:space="0"/>
                        </w:tcBorders>
                      </w:tcPr>
                      <w:p w14:paraId="02237CC1">
                        <w:pPr>
                          <w:rPr>
                            <w:sz w:val="2"/>
                            <w:szCs w:val="2"/>
                          </w:rPr>
                        </w:pPr>
                      </w:p>
                    </w:tc>
                    <w:tc>
                      <w:tcPr>
                        <w:tcW w:w="1746" w:type="dxa"/>
                        <w:gridSpan w:val="3"/>
                        <w:tcBorders>
                          <w:top w:val="single" w:color="000000" w:sz="4" w:space="0"/>
                          <w:left w:val="single" w:color="000000" w:sz="4" w:space="0"/>
                          <w:bottom w:val="single" w:color="000000" w:sz="4" w:space="0"/>
                          <w:right w:val="single" w:color="000000" w:sz="4" w:space="0"/>
                        </w:tcBorders>
                      </w:tcPr>
                      <w:p w14:paraId="658EA88D">
                        <w:pPr>
                          <w:pStyle w:val="17"/>
                          <w:spacing w:before="55"/>
                          <w:ind w:left="251"/>
                          <w:jc w:val="left"/>
                          <w:rPr>
                            <w:sz w:val="18"/>
                          </w:rPr>
                        </w:pPr>
                        <w:r>
                          <w:rPr>
                            <w:sz w:val="18"/>
                          </w:rPr>
                          <w:t>包气带防污性能</w:t>
                        </w:r>
                      </w:p>
                    </w:tc>
                    <w:tc>
                      <w:tcPr>
                        <w:tcW w:w="1575" w:type="dxa"/>
                        <w:gridSpan w:val="2"/>
                        <w:tcBorders>
                          <w:top w:val="single" w:color="000000" w:sz="4" w:space="0"/>
                          <w:left w:val="single" w:color="000000" w:sz="4" w:space="0"/>
                          <w:bottom w:val="single" w:color="000000" w:sz="4" w:space="0"/>
                          <w:right w:val="single" w:color="000000" w:sz="4" w:space="0"/>
                        </w:tcBorders>
                      </w:tcPr>
                      <w:p w14:paraId="524C7FFB">
                        <w:pPr>
                          <w:pStyle w:val="17"/>
                          <w:spacing w:before="64"/>
                          <w:ind w:left="550" w:right="523"/>
                          <w:rPr>
                            <w:rFonts w:ascii="Wingdings" w:hAnsi="Wingdings"/>
                            <w:sz w:val="18"/>
                          </w:rPr>
                        </w:pPr>
                        <w:r>
                          <w:rPr>
                            <w:rFonts w:ascii="Times New Roman" w:hAnsi="Times New Roman"/>
                            <w:sz w:val="18"/>
                          </w:rPr>
                          <w:t xml:space="preserve">D1 </w:t>
                        </w:r>
                        <w:r>
                          <w:rPr>
                            <w:rFonts w:ascii="Wingdings" w:hAnsi="Wingdings"/>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60D289AC">
                        <w:pPr>
                          <w:pStyle w:val="17"/>
                          <w:spacing w:before="64"/>
                          <w:ind w:left="642" w:right="615"/>
                          <w:rPr>
                            <w:rFonts w:ascii="Wingdings" w:hAnsi="Wingdings"/>
                            <w:sz w:val="18"/>
                          </w:rPr>
                        </w:pPr>
                        <w:r>
                          <w:rPr>
                            <w:rFonts w:ascii="Times New Roman" w:hAnsi="Times New Roman"/>
                            <w:sz w:val="18"/>
                          </w:rPr>
                          <w:t xml:space="preserve">D2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0A3F649D">
                        <w:pPr>
                          <w:pStyle w:val="17"/>
                          <w:spacing w:before="48"/>
                          <w:ind w:left="80" w:right="52"/>
                          <w:rPr>
                            <w:rFonts w:ascii="Segoe UI Symbol" w:hAnsi="Segoe UI Symbol"/>
                            <w:sz w:val="18"/>
                          </w:rPr>
                        </w:pPr>
                        <w:r>
                          <w:rPr>
                            <w:rFonts w:ascii="Times New Roman" w:hAnsi="Times New Roman"/>
                            <w:sz w:val="18"/>
                          </w:rPr>
                          <w:t xml:space="preserve">D3 </w:t>
                        </w:r>
                        <w:r>
                          <w:rPr>
                            <w:rFonts w:ascii="Segoe UI Symbol" w:hAnsi="Segoe UI Symbol"/>
                            <w:sz w:val="18"/>
                          </w:rPr>
                          <w:t>☐</w:t>
                        </w:r>
                      </w:p>
                    </w:tc>
                  </w:tr>
                  <w:tr w14:paraId="115E0F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vMerge w:val="restart"/>
                        <w:tcBorders>
                          <w:top w:val="single" w:color="000000" w:sz="4" w:space="0"/>
                          <w:bottom w:val="single" w:color="000000" w:sz="4" w:space="0"/>
                          <w:right w:val="single" w:color="000000" w:sz="4" w:space="0"/>
                        </w:tcBorders>
                      </w:tcPr>
                      <w:p w14:paraId="26EE07E2">
                        <w:pPr>
                          <w:pStyle w:val="17"/>
                          <w:spacing w:before="4"/>
                          <w:jc w:val="left"/>
                          <w:rPr>
                            <w:sz w:val="22"/>
                          </w:rPr>
                        </w:pPr>
                      </w:p>
                      <w:p w14:paraId="469108E6">
                        <w:pPr>
                          <w:pStyle w:val="17"/>
                          <w:spacing w:line="244" w:lineRule="auto"/>
                          <w:ind w:left="494" w:right="106" w:hanging="360"/>
                          <w:jc w:val="left"/>
                          <w:rPr>
                            <w:sz w:val="18"/>
                          </w:rPr>
                        </w:pPr>
                        <w:r>
                          <w:rPr>
                            <w:sz w:val="18"/>
                          </w:rPr>
                          <w:t>物质及工艺系统危险性</w:t>
                        </w:r>
                      </w:p>
                    </w:tc>
                    <w:tc>
                      <w:tcPr>
                        <w:tcW w:w="1202" w:type="dxa"/>
                        <w:tcBorders>
                          <w:top w:val="single" w:color="000000" w:sz="4" w:space="0"/>
                          <w:left w:val="single" w:color="000000" w:sz="4" w:space="0"/>
                          <w:bottom w:val="single" w:color="000000" w:sz="4" w:space="0"/>
                          <w:right w:val="single" w:color="000000" w:sz="4" w:space="0"/>
                        </w:tcBorders>
                      </w:tcPr>
                      <w:p w14:paraId="4FE6C8D7">
                        <w:pPr>
                          <w:pStyle w:val="17"/>
                          <w:spacing w:before="53"/>
                          <w:ind w:left="178" w:right="151"/>
                          <w:rPr>
                            <w:sz w:val="18"/>
                          </w:rPr>
                        </w:pPr>
                        <w:r>
                          <w:rPr>
                            <w:rFonts w:ascii="Times New Roman" w:eastAsia="Times New Roman"/>
                            <w:i/>
                            <w:sz w:val="18"/>
                          </w:rPr>
                          <w:t xml:space="preserve">Q  </w:t>
                        </w:r>
                        <w:r>
                          <w:rPr>
                            <w:sz w:val="18"/>
                          </w:rPr>
                          <w:t>值</w:t>
                        </w:r>
                      </w:p>
                    </w:tc>
                    <w:tc>
                      <w:tcPr>
                        <w:tcW w:w="1746" w:type="dxa"/>
                        <w:gridSpan w:val="3"/>
                        <w:tcBorders>
                          <w:top w:val="single" w:color="000000" w:sz="4" w:space="0"/>
                          <w:left w:val="single" w:color="000000" w:sz="4" w:space="0"/>
                          <w:bottom w:val="single" w:color="000000" w:sz="4" w:space="0"/>
                          <w:right w:val="single" w:color="000000" w:sz="4" w:space="0"/>
                        </w:tcBorders>
                      </w:tcPr>
                      <w:p w14:paraId="4F8AB137">
                        <w:pPr>
                          <w:pStyle w:val="17"/>
                          <w:spacing w:before="53"/>
                          <w:ind w:left="580"/>
                          <w:jc w:val="left"/>
                          <w:rPr>
                            <w:rFonts w:ascii="Wingdings" w:hAnsi="Wingdings"/>
                            <w:sz w:val="18"/>
                          </w:rPr>
                        </w:pPr>
                        <w:r>
                          <w:rPr>
                            <w:rFonts w:ascii="Times New Roman" w:hAnsi="Times New Roman"/>
                            <w:i/>
                            <w:sz w:val="18"/>
                          </w:rPr>
                          <w:t>Q</w:t>
                        </w:r>
                        <w:r>
                          <w:rPr>
                            <w:sz w:val="18"/>
                          </w:rPr>
                          <w:t>＜</w:t>
                        </w:r>
                        <w:r>
                          <w:rPr>
                            <w:rFonts w:ascii="Times New Roman" w:hAnsi="Times New Roman"/>
                            <w:sz w:val="18"/>
                          </w:rPr>
                          <w:t xml:space="preserve">1 </w:t>
                        </w:r>
                        <w:r>
                          <w:rPr>
                            <w:rFonts w:ascii="Wingdings" w:hAnsi="Wingdings"/>
                            <w:sz w:val="18"/>
                          </w:rPr>
                          <w:t></w:t>
                        </w:r>
                      </w:p>
                    </w:tc>
                    <w:tc>
                      <w:tcPr>
                        <w:tcW w:w="1575" w:type="dxa"/>
                        <w:gridSpan w:val="2"/>
                        <w:tcBorders>
                          <w:top w:val="single" w:color="000000" w:sz="4" w:space="0"/>
                          <w:left w:val="single" w:color="000000" w:sz="4" w:space="0"/>
                          <w:bottom w:val="single" w:color="000000" w:sz="4" w:space="0"/>
                          <w:right w:val="single" w:color="000000" w:sz="4" w:space="0"/>
                        </w:tcBorders>
                      </w:tcPr>
                      <w:p w14:paraId="26ADA6E5">
                        <w:pPr>
                          <w:pStyle w:val="17"/>
                          <w:spacing w:before="53"/>
                          <w:ind w:left="353"/>
                          <w:jc w:val="left"/>
                          <w:rPr>
                            <w:rFonts w:ascii="Wingdings" w:hAnsi="Wingdings"/>
                            <w:sz w:val="18"/>
                          </w:rPr>
                        </w:pPr>
                        <w:r>
                          <w:rPr>
                            <w:rFonts w:ascii="Times New Roman" w:hAnsi="Times New Roman"/>
                            <w:sz w:val="18"/>
                          </w:rPr>
                          <w:t>1≤</w:t>
                        </w:r>
                        <w:r>
                          <w:rPr>
                            <w:rFonts w:ascii="Times New Roman" w:hAnsi="Times New Roman"/>
                            <w:i/>
                            <w:sz w:val="18"/>
                          </w:rPr>
                          <w:t>Q</w:t>
                        </w:r>
                        <w:r>
                          <w:rPr>
                            <w:sz w:val="18"/>
                          </w:rPr>
                          <w:t>＜</w:t>
                        </w:r>
                        <w:r>
                          <w:rPr>
                            <w:rFonts w:ascii="Times New Roman" w:hAnsi="Times New Roman"/>
                            <w:sz w:val="18"/>
                          </w:rPr>
                          <w:t xml:space="preserve">10 </w:t>
                        </w:r>
                        <w:r>
                          <w:rPr>
                            <w:rFonts w:ascii="Wingdings" w:hAnsi="Wingdings"/>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034D8374">
                        <w:pPr>
                          <w:pStyle w:val="17"/>
                          <w:spacing w:before="53"/>
                          <w:ind w:left="434"/>
                          <w:jc w:val="left"/>
                          <w:rPr>
                            <w:rFonts w:ascii="Wingdings" w:hAnsi="Wingdings"/>
                            <w:sz w:val="18"/>
                          </w:rPr>
                        </w:pPr>
                        <w:r>
                          <w:rPr>
                            <w:rFonts w:ascii="Times New Roman" w:hAnsi="Times New Roman"/>
                            <w:sz w:val="18"/>
                          </w:rPr>
                          <w:t>10≤</w:t>
                        </w:r>
                        <w:r>
                          <w:rPr>
                            <w:rFonts w:ascii="Times New Roman" w:hAnsi="Times New Roman"/>
                            <w:i/>
                            <w:sz w:val="18"/>
                          </w:rPr>
                          <w:t>Q</w:t>
                        </w:r>
                        <w:r>
                          <w:rPr>
                            <w:sz w:val="18"/>
                          </w:rPr>
                          <w:t>＜</w:t>
                        </w:r>
                        <w:r>
                          <w:rPr>
                            <w:rFonts w:ascii="Times New Roman" w:hAnsi="Times New Roman"/>
                            <w:sz w:val="18"/>
                          </w:rPr>
                          <w:t xml:space="preserve">100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397FCF7D">
                        <w:pPr>
                          <w:pStyle w:val="17"/>
                          <w:spacing w:before="53"/>
                          <w:ind w:left="327"/>
                          <w:jc w:val="left"/>
                          <w:rPr>
                            <w:rFonts w:ascii="Wingdings" w:hAnsi="Wingdings"/>
                            <w:sz w:val="18"/>
                          </w:rPr>
                        </w:pPr>
                        <w:r>
                          <w:rPr>
                            <w:rFonts w:ascii="Times New Roman" w:hAnsi="Times New Roman"/>
                            <w:i/>
                            <w:sz w:val="18"/>
                          </w:rPr>
                          <w:t>Q</w:t>
                        </w:r>
                        <w:r>
                          <w:rPr>
                            <w:sz w:val="18"/>
                          </w:rPr>
                          <w:t>＞</w:t>
                        </w:r>
                        <w:r>
                          <w:rPr>
                            <w:rFonts w:ascii="Times New Roman" w:hAnsi="Times New Roman"/>
                            <w:sz w:val="18"/>
                          </w:rPr>
                          <w:t xml:space="preserve">100 </w:t>
                        </w:r>
                        <w:r>
                          <w:rPr>
                            <w:rFonts w:ascii="Wingdings" w:hAnsi="Wingdings"/>
                            <w:sz w:val="18"/>
                          </w:rPr>
                          <w:t></w:t>
                        </w:r>
                      </w:p>
                    </w:tc>
                  </w:tr>
                  <w:tr w14:paraId="2D05DF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vMerge w:val="continue"/>
                        <w:tcBorders>
                          <w:top w:val="nil"/>
                          <w:bottom w:val="single" w:color="000000" w:sz="4" w:space="0"/>
                          <w:right w:val="single" w:color="000000" w:sz="4" w:space="0"/>
                        </w:tcBorders>
                      </w:tcPr>
                      <w:p w14:paraId="4DFFEF4E">
                        <w:pPr>
                          <w:rPr>
                            <w:sz w:val="2"/>
                            <w:szCs w:val="2"/>
                          </w:rPr>
                        </w:pPr>
                      </w:p>
                    </w:tc>
                    <w:tc>
                      <w:tcPr>
                        <w:tcW w:w="1202" w:type="dxa"/>
                        <w:tcBorders>
                          <w:top w:val="single" w:color="000000" w:sz="4" w:space="0"/>
                          <w:left w:val="single" w:color="000000" w:sz="4" w:space="0"/>
                          <w:bottom w:val="single" w:color="000000" w:sz="4" w:space="0"/>
                          <w:right w:val="single" w:color="000000" w:sz="4" w:space="0"/>
                        </w:tcBorders>
                      </w:tcPr>
                      <w:p w14:paraId="32704D24">
                        <w:pPr>
                          <w:pStyle w:val="17"/>
                          <w:spacing w:before="53"/>
                          <w:ind w:left="178" w:right="151"/>
                          <w:rPr>
                            <w:sz w:val="18"/>
                          </w:rPr>
                        </w:pPr>
                        <w:r>
                          <w:rPr>
                            <w:rFonts w:ascii="Times New Roman" w:eastAsia="Times New Roman"/>
                            <w:sz w:val="18"/>
                          </w:rPr>
                          <w:t xml:space="preserve">M </w:t>
                        </w:r>
                        <w:r>
                          <w:rPr>
                            <w:sz w:val="18"/>
                          </w:rPr>
                          <w:t>值</w:t>
                        </w:r>
                      </w:p>
                    </w:tc>
                    <w:tc>
                      <w:tcPr>
                        <w:tcW w:w="1746" w:type="dxa"/>
                        <w:gridSpan w:val="3"/>
                        <w:tcBorders>
                          <w:top w:val="single" w:color="000000" w:sz="4" w:space="0"/>
                          <w:left w:val="single" w:color="000000" w:sz="4" w:space="0"/>
                          <w:bottom w:val="single" w:color="000000" w:sz="4" w:space="0"/>
                          <w:right w:val="single" w:color="000000" w:sz="4" w:space="0"/>
                        </w:tcBorders>
                      </w:tcPr>
                      <w:p w14:paraId="42B6CF78">
                        <w:pPr>
                          <w:pStyle w:val="17"/>
                          <w:spacing w:before="65"/>
                          <w:ind w:left="634" w:right="606"/>
                          <w:rPr>
                            <w:rFonts w:ascii="Wingdings" w:hAnsi="Wingdings"/>
                            <w:sz w:val="18"/>
                          </w:rPr>
                        </w:pPr>
                        <w:r>
                          <w:rPr>
                            <w:rFonts w:ascii="Times New Roman" w:hAnsi="Times New Roman"/>
                            <w:sz w:val="18"/>
                          </w:rPr>
                          <w:t xml:space="preserve">M1 </w:t>
                        </w:r>
                        <w:r>
                          <w:rPr>
                            <w:rFonts w:ascii="Wingdings" w:hAnsi="Wingdings"/>
                            <w:sz w:val="18"/>
                          </w:rPr>
                          <w:t></w:t>
                        </w:r>
                      </w:p>
                    </w:tc>
                    <w:tc>
                      <w:tcPr>
                        <w:tcW w:w="1575" w:type="dxa"/>
                        <w:gridSpan w:val="2"/>
                        <w:tcBorders>
                          <w:top w:val="single" w:color="000000" w:sz="4" w:space="0"/>
                          <w:left w:val="single" w:color="000000" w:sz="4" w:space="0"/>
                          <w:bottom w:val="single" w:color="000000" w:sz="4" w:space="0"/>
                          <w:right w:val="single" w:color="000000" w:sz="4" w:space="0"/>
                        </w:tcBorders>
                      </w:tcPr>
                      <w:p w14:paraId="24F3AD66">
                        <w:pPr>
                          <w:pStyle w:val="17"/>
                          <w:spacing w:before="49"/>
                          <w:ind w:left="551" w:right="523"/>
                          <w:rPr>
                            <w:rFonts w:ascii="Segoe UI Symbol" w:hAnsi="Segoe UI Symbol"/>
                            <w:sz w:val="18"/>
                          </w:rPr>
                        </w:pPr>
                        <w:r>
                          <w:rPr>
                            <w:rFonts w:ascii="Times New Roman" w:hAnsi="Times New Roman"/>
                            <w:sz w:val="18"/>
                          </w:rPr>
                          <w:t xml:space="preserve">M2 </w:t>
                        </w:r>
                        <w:r>
                          <w:rPr>
                            <w:rFonts w:ascii="Segoe UI Symbol" w:hAnsi="Segoe UI Symbol"/>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1B639979">
                        <w:pPr>
                          <w:pStyle w:val="17"/>
                          <w:spacing w:before="65"/>
                          <w:ind w:left="642" w:right="612"/>
                          <w:rPr>
                            <w:rFonts w:ascii="Wingdings" w:hAnsi="Wingdings"/>
                            <w:sz w:val="18"/>
                          </w:rPr>
                        </w:pPr>
                        <w:r>
                          <w:rPr>
                            <w:rFonts w:ascii="Times New Roman" w:hAnsi="Times New Roman"/>
                            <w:sz w:val="18"/>
                          </w:rPr>
                          <w:t xml:space="preserve">M3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2ACB7AC1">
                        <w:pPr>
                          <w:pStyle w:val="17"/>
                          <w:spacing w:before="65"/>
                          <w:ind w:left="493"/>
                          <w:jc w:val="left"/>
                          <w:rPr>
                            <w:rFonts w:ascii="Wingdings" w:hAnsi="Wingdings"/>
                            <w:sz w:val="18"/>
                          </w:rPr>
                        </w:pPr>
                        <w:r>
                          <w:rPr>
                            <w:rFonts w:ascii="Times New Roman" w:hAnsi="Times New Roman"/>
                            <w:sz w:val="18"/>
                          </w:rPr>
                          <w:t xml:space="preserve">M4 </w:t>
                        </w:r>
                        <w:r>
                          <w:rPr>
                            <w:rFonts w:ascii="Wingdings" w:hAnsi="Wingdings"/>
                            <w:sz w:val="18"/>
                          </w:rPr>
                          <w:t></w:t>
                        </w:r>
                      </w:p>
                    </w:tc>
                  </w:tr>
                  <w:tr w14:paraId="52996D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vMerge w:val="continue"/>
                        <w:tcBorders>
                          <w:top w:val="nil"/>
                          <w:bottom w:val="single" w:color="000000" w:sz="4" w:space="0"/>
                          <w:right w:val="single" w:color="000000" w:sz="4" w:space="0"/>
                        </w:tcBorders>
                      </w:tcPr>
                      <w:p w14:paraId="4A3BA4C4">
                        <w:pPr>
                          <w:rPr>
                            <w:sz w:val="2"/>
                            <w:szCs w:val="2"/>
                          </w:rPr>
                        </w:pPr>
                      </w:p>
                    </w:tc>
                    <w:tc>
                      <w:tcPr>
                        <w:tcW w:w="1202" w:type="dxa"/>
                        <w:tcBorders>
                          <w:top w:val="single" w:color="000000" w:sz="4" w:space="0"/>
                          <w:left w:val="single" w:color="000000" w:sz="4" w:space="0"/>
                          <w:bottom w:val="single" w:color="000000" w:sz="4" w:space="0"/>
                          <w:right w:val="single" w:color="000000" w:sz="4" w:space="0"/>
                        </w:tcBorders>
                      </w:tcPr>
                      <w:p w14:paraId="75F9101B">
                        <w:pPr>
                          <w:pStyle w:val="17"/>
                          <w:spacing w:before="54"/>
                          <w:ind w:left="180" w:right="150"/>
                          <w:rPr>
                            <w:sz w:val="18"/>
                          </w:rPr>
                        </w:pPr>
                        <w:r>
                          <w:rPr>
                            <w:rFonts w:ascii="Times New Roman" w:eastAsia="Times New Roman"/>
                            <w:sz w:val="18"/>
                          </w:rPr>
                          <w:t xml:space="preserve">P </w:t>
                        </w:r>
                        <w:r>
                          <w:rPr>
                            <w:sz w:val="18"/>
                          </w:rPr>
                          <w:t>值</w:t>
                        </w:r>
                      </w:p>
                    </w:tc>
                    <w:tc>
                      <w:tcPr>
                        <w:tcW w:w="1746" w:type="dxa"/>
                        <w:gridSpan w:val="3"/>
                        <w:tcBorders>
                          <w:top w:val="single" w:color="000000" w:sz="4" w:space="0"/>
                          <w:left w:val="single" w:color="000000" w:sz="4" w:space="0"/>
                          <w:bottom w:val="single" w:color="000000" w:sz="4" w:space="0"/>
                          <w:right w:val="single" w:color="000000" w:sz="4" w:space="0"/>
                        </w:tcBorders>
                      </w:tcPr>
                      <w:p w14:paraId="2C779F75">
                        <w:pPr>
                          <w:pStyle w:val="17"/>
                          <w:spacing w:before="49"/>
                          <w:ind w:left="634" w:right="604"/>
                          <w:rPr>
                            <w:rFonts w:ascii="Segoe UI Symbol" w:hAnsi="Segoe UI Symbol"/>
                            <w:sz w:val="18"/>
                          </w:rPr>
                        </w:pPr>
                        <w:r>
                          <w:rPr>
                            <w:rFonts w:ascii="Times New Roman" w:hAnsi="Times New Roman"/>
                            <w:sz w:val="18"/>
                          </w:rPr>
                          <w:t xml:space="preserve">P1 </w:t>
                        </w:r>
                        <w:r>
                          <w:rPr>
                            <w:rFonts w:ascii="Segoe UI Symbol" w:hAnsi="Segoe UI Symbol"/>
                            <w:sz w:val="18"/>
                          </w:rPr>
                          <w:t>☐</w:t>
                        </w:r>
                      </w:p>
                    </w:tc>
                    <w:tc>
                      <w:tcPr>
                        <w:tcW w:w="1575" w:type="dxa"/>
                        <w:gridSpan w:val="2"/>
                        <w:tcBorders>
                          <w:top w:val="single" w:color="000000" w:sz="4" w:space="0"/>
                          <w:left w:val="single" w:color="000000" w:sz="4" w:space="0"/>
                          <w:bottom w:val="single" w:color="000000" w:sz="4" w:space="0"/>
                          <w:right w:val="single" w:color="000000" w:sz="4" w:space="0"/>
                        </w:tcBorders>
                      </w:tcPr>
                      <w:p w14:paraId="0CEA0014">
                        <w:pPr>
                          <w:pStyle w:val="17"/>
                          <w:spacing w:before="49"/>
                          <w:ind w:left="549" w:right="523"/>
                          <w:rPr>
                            <w:rFonts w:ascii="Segoe UI Symbol" w:hAnsi="Segoe UI Symbol"/>
                            <w:sz w:val="18"/>
                          </w:rPr>
                        </w:pPr>
                        <w:r>
                          <w:rPr>
                            <w:rFonts w:ascii="Times New Roman" w:hAnsi="Times New Roman"/>
                            <w:sz w:val="18"/>
                          </w:rPr>
                          <w:t xml:space="preserve">P2 </w:t>
                        </w:r>
                        <w:r>
                          <w:rPr>
                            <w:rFonts w:ascii="Segoe UI Symbol" w:hAnsi="Segoe UI Symbol"/>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16DB89B7">
                        <w:pPr>
                          <w:pStyle w:val="17"/>
                          <w:spacing w:before="66"/>
                          <w:ind w:left="642" w:right="615"/>
                          <w:rPr>
                            <w:rFonts w:ascii="Wingdings" w:hAnsi="Wingdings"/>
                            <w:sz w:val="18"/>
                          </w:rPr>
                        </w:pPr>
                        <w:r>
                          <w:rPr>
                            <w:rFonts w:ascii="Times New Roman" w:hAnsi="Times New Roman"/>
                            <w:sz w:val="18"/>
                          </w:rPr>
                          <w:t xml:space="preserve">P3 </w:t>
                        </w:r>
                        <w:r>
                          <w:rPr>
                            <w:rFonts w:ascii="Wingdings" w:hAnsi="Wingdings"/>
                            <w:sz w:val="18"/>
                          </w:rPr>
                          <w:t></w:t>
                        </w:r>
                      </w:p>
                    </w:tc>
                    <w:tc>
                      <w:tcPr>
                        <w:tcW w:w="1431" w:type="dxa"/>
                        <w:gridSpan w:val="2"/>
                        <w:tcBorders>
                          <w:top w:val="single" w:color="000000" w:sz="4" w:space="0"/>
                          <w:left w:val="single" w:color="000000" w:sz="4" w:space="0"/>
                          <w:bottom w:val="single" w:color="000000" w:sz="4" w:space="0"/>
                        </w:tcBorders>
                      </w:tcPr>
                      <w:p w14:paraId="2190EF74">
                        <w:pPr>
                          <w:pStyle w:val="17"/>
                          <w:spacing w:before="66"/>
                          <w:ind w:left="80" w:right="52"/>
                          <w:rPr>
                            <w:rFonts w:ascii="Wingdings" w:hAnsi="Wingdings"/>
                            <w:sz w:val="18"/>
                          </w:rPr>
                        </w:pPr>
                        <w:r>
                          <w:rPr>
                            <w:rFonts w:ascii="Times New Roman" w:hAnsi="Times New Roman"/>
                            <w:sz w:val="18"/>
                          </w:rPr>
                          <w:t xml:space="preserve">P4 </w:t>
                        </w:r>
                        <w:r>
                          <w:rPr>
                            <w:rFonts w:ascii="Wingdings" w:hAnsi="Wingdings"/>
                            <w:sz w:val="18"/>
                          </w:rPr>
                          <w:t></w:t>
                        </w:r>
                      </w:p>
                    </w:tc>
                  </w:tr>
                  <w:tr w14:paraId="740598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vMerge w:val="restart"/>
                        <w:tcBorders>
                          <w:top w:val="single" w:color="000000" w:sz="4" w:space="0"/>
                          <w:bottom w:val="single" w:color="000000" w:sz="4" w:space="0"/>
                          <w:right w:val="single" w:color="000000" w:sz="4" w:space="0"/>
                        </w:tcBorders>
                      </w:tcPr>
                      <w:p w14:paraId="41D9CE24">
                        <w:pPr>
                          <w:pStyle w:val="17"/>
                          <w:jc w:val="left"/>
                          <w:rPr>
                            <w:sz w:val="18"/>
                          </w:rPr>
                        </w:pPr>
                      </w:p>
                      <w:p w14:paraId="0186332E">
                        <w:pPr>
                          <w:pStyle w:val="17"/>
                          <w:spacing w:before="7"/>
                          <w:jc w:val="left"/>
                          <w:rPr>
                            <w:sz w:val="13"/>
                          </w:rPr>
                        </w:pPr>
                      </w:p>
                      <w:p w14:paraId="2414C652">
                        <w:pPr>
                          <w:pStyle w:val="17"/>
                          <w:ind w:left="225"/>
                          <w:jc w:val="left"/>
                          <w:rPr>
                            <w:sz w:val="18"/>
                          </w:rPr>
                        </w:pPr>
                        <w:r>
                          <w:rPr>
                            <w:sz w:val="18"/>
                          </w:rPr>
                          <w:t>环境敏感程度</w:t>
                        </w:r>
                      </w:p>
                    </w:tc>
                    <w:tc>
                      <w:tcPr>
                        <w:tcW w:w="1202" w:type="dxa"/>
                        <w:tcBorders>
                          <w:top w:val="single" w:color="000000" w:sz="4" w:space="0"/>
                          <w:left w:val="single" w:color="000000" w:sz="4" w:space="0"/>
                          <w:bottom w:val="single" w:color="000000" w:sz="4" w:space="0"/>
                          <w:right w:val="single" w:color="000000" w:sz="4" w:space="0"/>
                        </w:tcBorders>
                      </w:tcPr>
                      <w:p w14:paraId="07F4ED1C">
                        <w:pPr>
                          <w:pStyle w:val="17"/>
                          <w:spacing w:before="54"/>
                          <w:ind w:left="180" w:right="150"/>
                          <w:rPr>
                            <w:sz w:val="18"/>
                          </w:rPr>
                        </w:pPr>
                        <w:r>
                          <w:rPr>
                            <w:sz w:val="18"/>
                          </w:rPr>
                          <w:t>大气</w:t>
                        </w:r>
                      </w:p>
                    </w:tc>
                    <w:tc>
                      <w:tcPr>
                        <w:tcW w:w="1746" w:type="dxa"/>
                        <w:gridSpan w:val="3"/>
                        <w:tcBorders>
                          <w:top w:val="single" w:color="000000" w:sz="4" w:space="0"/>
                          <w:left w:val="single" w:color="000000" w:sz="4" w:space="0"/>
                          <w:bottom w:val="single" w:color="000000" w:sz="4" w:space="0"/>
                          <w:right w:val="single" w:color="000000" w:sz="4" w:space="0"/>
                        </w:tcBorders>
                      </w:tcPr>
                      <w:p w14:paraId="54F76572">
                        <w:pPr>
                          <w:pStyle w:val="17"/>
                          <w:spacing w:before="64"/>
                          <w:ind w:left="632" w:right="606"/>
                          <w:rPr>
                            <w:rFonts w:ascii="Wingdings" w:hAnsi="Wingdings"/>
                            <w:sz w:val="18"/>
                          </w:rPr>
                        </w:pPr>
                        <w:r>
                          <w:rPr>
                            <w:rFonts w:ascii="Times New Roman" w:hAnsi="Times New Roman"/>
                            <w:sz w:val="18"/>
                          </w:rPr>
                          <w:t xml:space="preserve">E1 </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77E5F479">
                        <w:pPr>
                          <w:pStyle w:val="17"/>
                          <w:spacing w:before="64"/>
                          <w:ind w:left="916" w:right="890"/>
                          <w:rPr>
                            <w:rFonts w:ascii="Wingdings" w:hAnsi="Wingdings"/>
                            <w:sz w:val="18"/>
                          </w:rPr>
                        </w:pPr>
                        <w:r>
                          <w:rPr>
                            <w:rFonts w:ascii="Times New Roman" w:hAnsi="Times New Roman"/>
                            <w:sz w:val="18"/>
                          </w:rPr>
                          <w:t xml:space="preserve">E2 </w:t>
                        </w:r>
                        <w:r>
                          <w:rPr>
                            <w:rFonts w:ascii="Wingdings" w:hAnsi="Wingdings"/>
                            <w:sz w:val="18"/>
                          </w:rPr>
                          <w:t></w:t>
                        </w:r>
                      </w:p>
                    </w:tc>
                    <w:tc>
                      <w:tcPr>
                        <w:tcW w:w="2658" w:type="dxa"/>
                        <w:gridSpan w:val="4"/>
                        <w:tcBorders>
                          <w:top w:val="single" w:color="000000" w:sz="4" w:space="0"/>
                          <w:left w:val="single" w:color="000000" w:sz="4" w:space="0"/>
                          <w:bottom w:val="single" w:color="000000" w:sz="4" w:space="0"/>
                        </w:tcBorders>
                      </w:tcPr>
                      <w:p w14:paraId="3E794166">
                        <w:pPr>
                          <w:pStyle w:val="17"/>
                          <w:spacing w:before="49"/>
                          <w:ind w:left="916" w:right="890"/>
                          <w:rPr>
                            <w:rFonts w:ascii="Segoe UI Symbol" w:hAnsi="Segoe UI Symbol"/>
                            <w:sz w:val="18"/>
                          </w:rPr>
                        </w:pPr>
                        <w:r>
                          <w:rPr>
                            <w:rFonts w:ascii="Times New Roman" w:hAnsi="Times New Roman"/>
                            <w:sz w:val="18"/>
                          </w:rPr>
                          <w:t xml:space="preserve">E3 </w:t>
                        </w:r>
                        <w:r>
                          <w:rPr>
                            <w:rFonts w:ascii="Segoe UI Symbol" w:hAnsi="Segoe UI Symbol"/>
                            <w:sz w:val="18"/>
                          </w:rPr>
                          <w:t>☐</w:t>
                        </w:r>
                      </w:p>
                    </w:tc>
                  </w:tr>
                  <w:tr w14:paraId="6A3EC9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523" w:type="dxa"/>
                        <w:gridSpan w:val="2"/>
                        <w:vMerge w:val="continue"/>
                        <w:tcBorders>
                          <w:top w:val="nil"/>
                          <w:bottom w:val="single" w:color="000000" w:sz="4" w:space="0"/>
                          <w:right w:val="single" w:color="000000" w:sz="4" w:space="0"/>
                        </w:tcBorders>
                      </w:tcPr>
                      <w:p w14:paraId="4FDBC7FF">
                        <w:pPr>
                          <w:rPr>
                            <w:sz w:val="2"/>
                            <w:szCs w:val="2"/>
                          </w:rPr>
                        </w:pPr>
                      </w:p>
                    </w:tc>
                    <w:tc>
                      <w:tcPr>
                        <w:tcW w:w="1202" w:type="dxa"/>
                        <w:tcBorders>
                          <w:top w:val="single" w:color="000000" w:sz="4" w:space="0"/>
                          <w:left w:val="single" w:color="000000" w:sz="4" w:space="0"/>
                          <w:bottom w:val="single" w:color="000000" w:sz="4" w:space="0"/>
                          <w:right w:val="single" w:color="000000" w:sz="4" w:space="0"/>
                        </w:tcBorders>
                      </w:tcPr>
                      <w:p w14:paraId="2A466B5D">
                        <w:pPr>
                          <w:pStyle w:val="17"/>
                          <w:spacing w:before="55"/>
                          <w:ind w:left="178" w:right="151"/>
                          <w:rPr>
                            <w:sz w:val="18"/>
                          </w:rPr>
                        </w:pPr>
                        <w:r>
                          <w:rPr>
                            <w:sz w:val="18"/>
                          </w:rPr>
                          <w:t>地表水</w:t>
                        </w:r>
                      </w:p>
                    </w:tc>
                    <w:tc>
                      <w:tcPr>
                        <w:tcW w:w="1746" w:type="dxa"/>
                        <w:gridSpan w:val="3"/>
                        <w:tcBorders>
                          <w:top w:val="single" w:color="000000" w:sz="4" w:space="0"/>
                          <w:left w:val="single" w:color="000000" w:sz="4" w:space="0"/>
                          <w:bottom w:val="single" w:color="000000" w:sz="4" w:space="0"/>
                          <w:right w:val="single" w:color="000000" w:sz="4" w:space="0"/>
                        </w:tcBorders>
                      </w:tcPr>
                      <w:p w14:paraId="2EE9073E">
                        <w:pPr>
                          <w:pStyle w:val="17"/>
                          <w:spacing w:before="64"/>
                          <w:ind w:left="634" w:right="606"/>
                          <w:rPr>
                            <w:rFonts w:ascii="Wingdings" w:hAnsi="Wingdings"/>
                            <w:sz w:val="18"/>
                          </w:rPr>
                        </w:pPr>
                        <w:r>
                          <w:rPr>
                            <w:rFonts w:ascii="Times New Roman" w:hAnsi="Times New Roman"/>
                            <w:sz w:val="18"/>
                          </w:rPr>
                          <w:t>E1</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1EE52073">
                        <w:pPr>
                          <w:pStyle w:val="17"/>
                          <w:spacing w:before="47"/>
                          <w:ind w:left="916" w:right="888"/>
                          <w:rPr>
                            <w:rFonts w:ascii="Segoe UI Symbol" w:hAnsi="Segoe UI Symbol"/>
                            <w:sz w:val="18"/>
                          </w:rPr>
                        </w:pPr>
                        <w:r>
                          <w:rPr>
                            <w:rFonts w:ascii="Times New Roman" w:hAnsi="Times New Roman"/>
                            <w:sz w:val="18"/>
                          </w:rPr>
                          <w:t xml:space="preserve">E2 </w:t>
                        </w:r>
                        <w:r>
                          <w:rPr>
                            <w:rFonts w:ascii="Segoe UI Symbol" w:hAnsi="Segoe UI Symbol"/>
                            <w:sz w:val="18"/>
                          </w:rPr>
                          <w:t>☐</w:t>
                        </w:r>
                      </w:p>
                    </w:tc>
                    <w:tc>
                      <w:tcPr>
                        <w:tcW w:w="2658" w:type="dxa"/>
                        <w:gridSpan w:val="4"/>
                        <w:tcBorders>
                          <w:top w:val="single" w:color="000000" w:sz="4" w:space="0"/>
                          <w:left w:val="single" w:color="000000" w:sz="4" w:space="0"/>
                          <w:bottom w:val="single" w:color="000000" w:sz="4" w:space="0"/>
                        </w:tcBorders>
                      </w:tcPr>
                      <w:p w14:paraId="02F0C783">
                        <w:pPr>
                          <w:pStyle w:val="17"/>
                          <w:spacing w:before="64"/>
                          <w:ind w:left="916" w:right="890"/>
                          <w:rPr>
                            <w:rFonts w:ascii="Wingdings" w:hAnsi="Wingdings"/>
                            <w:sz w:val="18"/>
                          </w:rPr>
                        </w:pPr>
                        <w:r>
                          <w:rPr>
                            <w:rFonts w:ascii="Times New Roman" w:hAnsi="Times New Roman"/>
                            <w:sz w:val="18"/>
                          </w:rPr>
                          <w:t xml:space="preserve">E3 </w:t>
                        </w:r>
                        <w:r>
                          <w:rPr>
                            <w:rFonts w:ascii="Wingdings" w:hAnsi="Wingdings"/>
                            <w:sz w:val="18"/>
                          </w:rPr>
                          <w:t></w:t>
                        </w:r>
                      </w:p>
                    </w:tc>
                  </w:tr>
                  <w:tr w14:paraId="29305F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vMerge w:val="continue"/>
                        <w:tcBorders>
                          <w:top w:val="nil"/>
                          <w:bottom w:val="single" w:color="000000" w:sz="4" w:space="0"/>
                          <w:right w:val="single" w:color="000000" w:sz="4" w:space="0"/>
                        </w:tcBorders>
                      </w:tcPr>
                      <w:p w14:paraId="63849237">
                        <w:pPr>
                          <w:rPr>
                            <w:sz w:val="2"/>
                            <w:szCs w:val="2"/>
                          </w:rPr>
                        </w:pPr>
                      </w:p>
                    </w:tc>
                    <w:tc>
                      <w:tcPr>
                        <w:tcW w:w="1202" w:type="dxa"/>
                        <w:tcBorders>
                          <w:top w:val="single" w:color="000000" w:sz="4" w:space="0"/>
                          <w:left w:val="single" w:color="000000" w:sz="4" w:space="0"/>
                          <w:bottom w:val="single" w:color="000000" w:sz="4" w:space="0"/>
                          <w:right w:val="single" w:color="000000" w:sz="4" w:space="0"/>
                        </w:tcBorders>
                      </w:tcPr>
                      <w:p w14:paraId="38072289">
                        <w:pPr>
                          <w:pStyle w:val="17"/>
                          <w:spacing w:before="55"/>
                          <w:ind w:left="178" w:right="151"/>
                          <w:rPr>
                            <w:sz w:val="18"/>
                          </w:rPr>
                        </w:pPr>
                        <w:r>
                          <w:rPr>
                            <w:sz w:val="18"/>
                          </w:rPr>
                          <w:t>地下水</w:t>
                        </w:r>
                      </w:p>
                    </w:tc>
                    <w:tc>
                      <w:tcPr>
                        <w:tcW w:w="1746" w:type="dxa"/>
                        <w:gridSpan w:val="3"/>
                        <w:tcBorders>
                          <w:top w:val="single" w:color="000000" w:sz="4" w:space="0"/>
                          <w:left w:val="single" w:color="000000" w:sz="4" w:space="0"/>
                          <w:bottom w:val="single" w:color="000000" w:sz="4" w:space="0"/>
                          <w:right w:val="single" w:color="000000" w:sz="4" w:space="0"/>
                        </w:tcBorders>
                      </w:tcPr>
                      <w:p w14:paraId="227DB61B">
                        <w:pPr>
                          <w:pStyle w:val="17"/>
                          <w:spacing w:before="64"/>
                          <w:ind w:left="632" w:right="606"/>
                          <w:rPr>
                            <w:rFonts w:ascii="Wingdings" w:hAnsi="Wingdings"/>
                            <w:sz w:val="18"/>
                          </w:rPr>
                        </w:pPr>
                        <w:r>
                          <w:rPr>
                            <w:rFonts w:ascii="Times New Roman" w:hAnsi="Times New Roman"/>
                            <w:sz w:val="18"/>
                          </w:rPr>
                          <w:t xml:space="preserve">E1 </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4D82289C">
                        <w:pPr>
                          <w:pStyle w:val="17"/>
                          <w:spacing w:before="48"/>
                          <w:ind w:left="916" w:right="888"/>
                          <w:rPr>
                            <w:rFonts w:ascii="Segoe UI Symbol" w:hAnsi="Segoe UI Symbol"/>
                            <w:sz w:val="18"/>
                          </w:rPr>
                        </w:pPr>
                        <w:r>
                          <w:rPr>
                            <w:rFonts w:ascii="Times New Roman" w:hAnsi="Times New Roman"/>
                            <w:sz w:val="18"/>
                          </w:rPr>
                          <w:t xml:space="preserve">E2 </w:t>
                        </w:r>
                        <w:r>
                          <w:rPr>
                            <w:rFonts w:ascii="Segoe UI Symbol" w:hAnsi="Segoe UI Symbol"/>
                            <w:sz w:val="18"/>
                          </w:rPr>
                          <w:t>☐</w:t>
                        </w:r>
                      </w:p>
                    </w:tc>
                    <w:tc>
                      <w:tcPr>
                        <w:tcW w:w="2658" w:type="dxa"/>
                        <w:gridSpan w:val="4"/>
                        <w:tcBorders>
                          <w:top w:val="single" w:color="000000" w:sz="4" w:space="0"/>
                          <w:left w:val="single" w:color="000000" w:sz="4" w:space="0"/>
                          <w:bottom w:val="single" w:color="000000" w:sz="4" w:space="0"/>
                        </w:tcBorders>
                      </w:tcPr>
                      <w:p w14:paraId="593D0F98">
                        <w:pPr>
                          <w:pStyle w:val="17"/>
                          <w:spacing w:before="64"/>
                          <w:ind w:left="916" w:right="890"/>
                          <w:rPr>
                            <w:rFonts w:ascii="Wingdings" w:hAnsi="Wingdings"/>
                            <w:sz w:val="18"/>
                          </w:rPr>
                        </w:pPr>
                        <w:r>
                          <w:rPr>
                            <w:rFonts w:ascii="Times New Roman" w:hAnsi="Times New Roman"/>
                            <w:sz w:val="18"/>
                          </w:rPr>
                          <w:t xml:space="preserve">E3 </w:t>
                        </w:r>
                        <w:r>
                          <w:rPr>
                            <w:rFonts w:ascii="Wingdings" w:hAnsi="Wingdings"/>
                            <w:sz w:val="18"/>
                          </w:rPr>
                          <w:t></w:t>
                        </w:r>
                      </w:p>
                    </w:tc>
                  </w:tr>
                  <w:tr w14:paraId="24883E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523" w:type="dxa"/>
                        <w:gridSpan w:val="2"/>
                        <w:tcBorders>
                          <w:top w:val="single" w:color="000000" w:sz="4" w:space="0"/>
                          <w:bottom w:val="single" w:color="000000" w:sz="4" w:space="0"/>
                          <w:right w:val="single" w:color="000000" w:sz="4" w:space="0"/>
                        </w:tcBorders>
                      </w:tcPr>
                      <w:p w14:paraId="09F3B91C">
                        <w:pPr>
                          <w:pStyle w:val="17"/>
                          <w:ind w:left="385" w:right="357"/>
                          <w:rPr>
                            <w:sz w:val="18"/>
                          </w:rPr>
                        </w:pPr>
                        <w:r>
                          <w:rPr>
                            <w:sz w:val="18"/>
                          </w:rPr>
                          <w:t>环境风险</w:t>
                        </w:r>
                      </w:p>
                      <w:p w14:paraId="118C7FB0">
                        <w:pPr>
                          <w:pStyle w:val="17"/>
                          <w:spacing w:before="2" w:line="213" w:lineRule="exact"/>
                          <w:ind w:left="385" w:right="357"/>
                          <w:rPr>
                            <w:sz w:val="18"/>
                          </w:rPr>
                        </w:pPr>
                        <w:r>
                          <w:rPr>
                            <w:sz w:val="18"/>
                          </w:rPr>
                          <w:t>潜势</w:t>
                        </w:r>
                      </w:p>
                    </w:tc>
                    <w:tc>
                      <w:tcPr>
                        <w:tcW w:w="1519" w:type="dxa"/>
                        <w:gridSpan w:val="2"/>
                        <w:tcBorders>
                          <w:top w:val="single" w:color="000000" w:sz="4" w:space="0"/>
                          <w:left w:val="single" w:color="000000" w:sz="4" w:space="0"/>
                          <w:bottom w:val="single" w:color="000000" w:sz="4" w:space="0"/>
                          <w:right w:val="single" w:color="000000" w:sz="4" w:space="0"/>
                        </w:tcBorders>
                      </w:tcPr>
                      <w:p w14:paraId="09D96300">
                        <w:pPr>
                          <w:pStyle w:val="17"/>
                          <w:spacing w:before="111"/>
                          <w:ind w:left="477" w:right="449"/>
                          <w:rPr>
                            <w:rFonts w:ascii="Segoe UI Symbol" w:hAnsi="Segoe UI Symbol"/>
                            <w:sz w:val="18"/>
                          </w:rPr>
                        </w:pPr>
                        <w:r>
                          <w:rPr>
                            <w:rFonts w:ascii="Times New Roman" w:hAnsi="Times New Roman"/>
                            <w:sz w:val="18"/>
                          </w:rPr>
                          <w:t>Ⅳ</w:t>
                        </w:r>
                        <w:r>
                          <w:rPr>
                            <w:rFonts w:ascii="Times New Roman" w:hAnsi="Times New Roman"/>
                            <w:position w:val="6"/>
                            <w:sz w:val="11"/>
                          </w:rPr>
                          <w:t xml:space="preserve">+ </w:t>
                        </w:r>
                        <w:r>
                          <w:rPr>
                            <w:rFonts w:ascii="Segoe UI Symbol" w:hAnsi="Segoe UI Symbol"/>
                            <w:sz w:val="18"/>
                          </w:rPr>
                          <w:t>☐</w:t>
                        </w:r>
                      </w:p>
                    </w:tc>
                    <w:tc>
                      <w:tcPr>
                        <w:tcW w:w="1429" w:type="dxa"/>
                        <w:gridSpan w:val="2"/>
                        <w:tcBorders>
                          <w:top w:val="single" w:color="000000" w:sz="4" w:space="0"/>
                          <w:left w:val="single" w:color="000000" w:sz="4" w:space="0"/>
                          <w:bottom w:val="single" w:color="000000" w:sz="4" w:space="0"/>
                          <w:right w:val="single" w:color="000000" w:sz="4" w:space="0"/>
                        </w:tcBorders>
                      </w:tcPr>
                      <w:p w14:paraId="5AF20FDF">
                        <w:pPr>
                          <w:pStyle w:val="17"/>
                          <w:spacing w:before="127"/>
                          <w:ind w:left="271" w:right="243"/>
                          <w:rPr>
                            <w:rFonts w:ascii="Wingdings" w:hAnsi="Wingdings"/>
                            <w:sz w:val="18"/>
                          </w:rPr>
                        </w:pPr>
                        <w:r>
                          <w:rPr>
                            <w:rFonts w:ascii="Times New Roman" w:hAnsi="Times New Roman"/>
                            <w:sz w:val="18"/>
                          </w:rPr>
                          <w:t>Ⅳ</w:t>
                        </w:r>
                        <w:r>
                          <w:rPr>
                            <w:rFonts w:ascii="Wingdings" w:hAnsi="Wingdings"/>
                            <w:sz w:val="18"/>
                          </w:rPr>
                          <w:t></w:t>
                        </w:r>
                      </w:p>
                    </w:tc>
                    <w:tc>
                      <w:tcPr>
                        <w:tcW w:w="1575" w:type="dxa"/>
                        <w:gridSpan w:val="2"/>
                        <w:tcBorders>
                          <w:top w:val="single" w:color="000000" w:sz="4" w:space="0"/>
                          <w:left w:val="single" w:color="000000" w:sz="4" w:space="0"/>
                          <w:bottom w:val="single" w:color="000000" w:sz="4" w:space="0"/>
                          <w:right w:val="single" w:color="000000" w:sz="4" w:space="0"/>
                        </w:tcBorders>
                      </w:tcPr>
                      <w:p w14:paraId="23BF20BC">
                        <w:pPr>
                          <w:pStyle w:val="17"/>
                          <w:spacing w:before="127"/>
                          <w:ind w:left="550" w:right="523"/>
                          <w:rPr>
                            <w:rFonts w:ascii="Wingdings" w:hAnsi="Wingdings"/>
                            <w:sz w:val="18"/>
                          </w:rPr>
                        </w:pPr>
                        <w:r>
                          <w:rPr>
                            <w:rFonts w:ascii="Times New Roman" w:hAnsi="Times New Roman"/>
                            <w:sz w:val="18"/>
                          </w:rPr>
                          <w:t>Ⅲ</w:t>
                        </w:r>
                        <w:r>
                          <w:rPr>
                            <w:rFonts w:ascii="Wingdings" w:hAnsi="Wingdings"/>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6597D53B">
                        <w:pPr>
                          <w:pStyle w:val="17"/>
                          <w:spacing w:before="111"/>
                          <w:ind w:left="642" w:right="613"/>
                          <w:rPr>
                            <w:rFonts w:ascii="Segoe UI Symbol" w:hAnsi="Segoe UI Symbol"/>
                            <w:sz w:val="18"/>
                          </w:rPr>
                        </w:pPr>
                        <w:r>
                          <w:rPr>
                            <w:rFonts w:ascii="Times New Roman" w:hAnsi="Times New Roman"/>
                            <w:w w:val="140"/>
                            <w:sz w:val="18"/>
                          </w:rPr>
                          <w:t xml:space="preserve">" </w:t>
                        </w:r>
                        <w:r>
                          <w:rPr>
                            <w:rFonts w:ascii="Segoe UI Symbol" w:hAnsi="Segoe UI Symbol"/>
                            <w:w w:val="120"/>
                            <w:sz w:val="18"/>
                          </w:rPr>
                          <w:t>☐</w:t>
                        </w:r>
                      </w:p>
                    </w:tc>
                    <w:tc>
                      <w:tcPr>
                        <w:tcW w:w="1431" w:type="dxa"/>
                        <w:gridSpan w:val="2"/>
                        <w:tcBorders>
                          <w:top w:val="single" w:color="000000" w:sz="4" w:space="0"/>
                          <w:left w:val="single" w:color="000000" w:sz="4" w:space="0"/>
                          <w:bottom w:val="single" w:color="000000" w:sz="4" w:space="0"/>
                        </w:tcBorders>
                      </w:tcPr>
                      <w:p w14:paraId="75BA6BDB">
                        <w:pPr>
                          <w:pStyle w:val="17"/>
                          <w:spacing w:before="127"/>
                          <w:ind w:left="80" w:right="52"/>
                          <w:rPr>
                            <w:rFonts w:ascii="Wingdings" w:hAnsi="Wingdings"/>
                            <w:sz w:val="18"/>
                          </w:rPr>
                        </w:pPr>
                        <w:r>
                          <w:rPr>
                            <w:rFonts w:ascii="Times New Roman" w:hAnsi="Times New Roman"/>
                            <w:sz w:val="18"/>
                          </w:rPr>
                          <w:t xml:space="preserve">I </w:t>
                        </w:r>
                        <w:r>
                          <w:rPr>
                            <w:rFonts w:ascii="Wingdings" w:hAnsi="Wingdings"/>
                            <w:sz w:val="18"/>
                          </w:rPr>
                          <w:t></w:t>
                        </w:r>
                      </w:p>
                    </w:tc>
                  </w:tr>
                  <w:tr w14:paraId="7BCBFA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tcBorders>
                          <w:top w:val="single" w:color="000000" w:sz="4" w:space="0"/>
                          <w:bottom w:val="single" w:color="000000" w:sz="4" w:space="0"/>
                          <w:right w:val="single" w:color="000000" w:sz="4" w:space="0"/>
                        </w:tcBorders>
                      </w:tcPr>
                      <w:p w14:paraId="30D74623">
                        <w:pPr>
                          <w:pStyle w:val="17"/>
                          <w:spacing w:before="54"/>
                          <w:ind w:left="405"/>
                          <w:jc w:val="left"/>
                          <w:rPr>
                            <w:sz w:val="18"/>
                          </w:rPr>
                        </w:pPr>
                        <w:r>
                          <w:rPr>
                            <w:sz w:val="18"/>
                          </w:rPr>
                          <w:t>评价等级</w:t>
                        </w:r>
                      </w:p>
                    </w:tc>
                    <w:tc>
                      <w:tcPr>
                        <w:tcW w:w="2948" w:type="dxa"/>
                        <w:gridSpan w:val="4"/>
                        <w:tcBorders>
                          <w:top w:val="single" w:color="000000" w:sz="4" w:space="0"/>
                          <w:left w:val="single" w:color="000000" w:sz="4" w:space="0"/>
                          <w:bottom w:val="single" w:color="000000" w:sz="4" w:space="0"/>
                          <w:right w:val="single" w:color="000000" w:sz="4" w:space="0"/>
                        </w:tcBorders>
                      </w:tcPr>
                      <w:p w14:paraId="7CFB9A98">
                        <w:pPr>
                          <w:pStyle w:val="17"/>
                          <w:spacing w:before="54"/>
                          <w:ind w:left="1157" w:right="1129"/>
                          <w:rPr>
                            <w:rFonts w:ascii="Wingdings" w:hAnsi="Wingdings"/>
                            <w:sz w:val="18"/>
                          </w:rPr>
                        </w:pPr>
                        <w:r>
                          <w:rPr>
                            <w:sz w:val="18"/>
                          </w:rPr>
                          <w:t xml:space="preserve">一级 </w:t>
                        </w:r>
                        <w:r>
                          <w:rPr>
                            <w:rFonts w:ascii="Wingdings" w:hAnsi="Wingdings"/>
                            <w:sz w:val="18"/>
                          </w:rPr>
                          <w:t></w:t>
                        </w:r>
                      </w:p>
                    </w:tc>
                    <w:tc>
                      <w:tcPr>
                        <w:tcW w:w="1575" w:type="dxa"/>
                        <w:gridSpan w:val="2"/>
                        <w:tcBorders>
                          <w:top w:val="single" w:color="000000" w:sz="4" w:space="0"/>
                          <w:left w:val="single" w:color="000000" w:sz="4" w:space="0"/>
                          <w:bottom w:val="single" w:color="000000" w:sz="4" w:space="0"/>
                          <w:right w:val="single" w:color="000000" w:sz="4" w:space="0"/>
                        </w:tcBorders>
                      </w:tcPr>
                      <w:p w14:paraId="6045F355">
                        <w:pPr>
                          <w:pStyle w:val="17"/>
                          <w:spacing w:before="54"/>
                          <w:ind w:left="490"/>
                          <w:jc w:val="left"/>
                          <w:rPr>
                            <w:rFonts w:ascii="Wingdings" w:hAnsi="Wingdings"/>
                            <w:sz w:val="18"/>
                          </w:rPr>
                        </w:pPr>
                        <w:r>
                          <w:rPr>
                            <w:sz w:val="18"/>
                          </w:rPr>
                          <w:t xml:space="preserve">二级 </w:t>
                        </w:r>
                        <w:r>
                          <w:rPr>
                            <w:rFonts w:ascii="Wingdings" w:hAnsi="Wingdings"/>
                            <w:sz w:val="18"/>
                          </w:rPr>
                          <w:t></w:t>
                        </w:r>
                      </w:p>
                    </w:tc>
                    <w:tc>
                      <w:tcPr>
                        <w:tcW w:w="1914" w:type="dxa"/>
                        <w:gridSpan w:val="3"/>
                        <w:tcBorders>
                          <w:top w:val="single" w:color="000000" w:sz="4" w:space="0"/>
                          <w:left w:val="single" w:color="000000" w:sz="4" w:space="0"/>
                          <w:bottom w:val="single" w:color="000000" w:sz="4" w:space="0"/>
                          <w:right w:val="single" w:color="000000" w:sz="4" w:space="0"/>
                        </w:tcBorders>
                      </w:tcPr>
                      <w:p w14:paraId="7B5C5F54">
                        <w:pPr>
                          <w:pStyle w:val="17"/>
                          <w:spacing w:before="47"/>
                          <w:ind w:left="642" w:right="615"/>
                          <w:rPr>
                            <w:rFonts w:ascii="Segoe UI Symbol" w:hAnsi="Segoe UI Symbol" w:eastAsia="Segoe UI Symbol"/>
                            <w:sz w:val="18"/>
                          </w:rPr>
                        </w:pPr>
                        <w:r>
                          <w:rPr>
                            <w:sz w:val="18"/>
                          </w:rPr>
                          <w:t xml:space="preserve">三级 </w:t>
                        </w:r>
                        <w:r>
                          <w:rPr>
                            <w:rFonts w:ascii="Segoe UI Symbol" w:hAnsi="Segoe UI Symbol" w:eastAsia="Segoe UI Symbol"/>
                            <w:sz w:val="18"/>
                          </w:rPr>
                          <w:t>☐</w:t>
                        </w:r>
                      </w:p>
                    </w:tc>
                    <w:tc>
                      <w:tcPr>
                        <w:tcW w:w="1431" w:type="dxa"/>
                        <w:gridSpan w:val="2"/>
                        <w:tcBorders>
                          <w:top w:val="single" w:color="000000" w:sz="4" w:space="0"/>
                          <w:left w:val="single" w:color="000000" w:sz="4" w:space="0"/>
                          <w:bottom w:val="single" w:color="000000" w:sz="4" w:space="0"/>
                        </w:tcBorders>
                      </w:tcPr>
                      <w:p w14:paraId="5D0DF52B">
                        <w:pPr>
                          <w:pStyle w:val="17"/>
                          <w:spacing w:before="54"/>
                          <w:ind w:left="233"/>
                          <w:jc w:val="left"/>
                          <w:rPr>
                            <w:rFonts w:ascii="Wingdings" w:hAnsi="Wingdings"/>
                            <w:sz w:val="18"/>
                          </w:rPr>
                        </w:pPr>
                        <w:r>
                          <w:rPr>
                            <w:sz w:val="18"/>
                          </w:rPr>
                          <w:t xml:space="preserve">简单分析 </w:t>
                        </w:r>
                        <w:r>
                          <w:rPr>
                            <w:rFonts w:ascii="Wingdings" w:hAnsi="Wingdings"/>
                            <w:sz w:val="18"/>
                          </w:rPr>
                          <w:t></w:t>
                        </w:r>
                      </w:p>
                    </w:tc>
                  </w:tr>
                  <w:tr w14:paraId="718689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restart"/>
                        <w:tcBorders>
                          <w:top w:val="single" w:color="000000" w:sz="4" w:space="0"/>
                          <w:bottom w:val="single" w:color="000000" w:sz="4" w:space="0"/>
                          <w:right w:val="single" w:color="000000" w:sz="4" w:space="0"/>
                        </w:tcBorders>
                      </w:tcPr>
                      <w:p w14:paraId="5EFC53C5">
                        <w:pPr>
                          <w:pStyle w:val="17"/>
                          <w:spacing w:before="117" w:line="242" w:lineRule="auto"/>
                          <w:ind w:left="98" w:right="69"/>
                          <w:jc w:val="both"/>
                          <w:rPr>
                            <w:sz w:val="18"/>
                          </w:rPr>
                        </w:pPr>
                        <w:r>
                          <w:rPr>
                            <w:sz w:val="18"/>
                          </w:rPr>
                          <w:t>风险识别</w:t>
                        </w:r>
                      </w:p>
                    </w:tc>
                    <w:tc>
                      <w:tcPr>
                        <w:tcW w:w="1153" w:type="dxa"/>
                        <w:tcBorders>
                          <w:top w:val="single" w:color="000000" w:sz="4" w:space="0"/>
                          <w:left w:val="single" w:color="000000" w:sz="4" w:space="0"/>
                          <w:bottom w:val="single" w:color="000000" w:sz="4" w:space="0"/>
                          <w:right w:val="single" w:color="000000" w:sz="4" w:space="0"/>
                        </w:tcBorders>
                      </w:tcPr>
                      <w:p w14:paraId="370BF17B">
                        <w:pPr>
                          <w:pStyle w:val="17"/>
                          <w:spacing w:before="55"/>
                          <w:ind w:left="114" w:right="89"/>
                          <w:rPr>
                            <w:sz w:val="18"/>
                          </w:rPr>
                        </w:pPr>
                        <w:r>
                          <w:rPr>
                            <w:sz w:val="18"/>
                          </w:rPr>
                          <w:t>物质危险性</w:t>
                        </w:r>
                      </w:p>
                    </w:tc>
                    <w:tc>
                      <w:tcPr>
                        <w:tcW w:w="3588" w:type="dxa"/>
                        <w:gridSpan w:val="5"/>
                        <w:tcBorders>
                          <w:top w:val="single" w:color="000000" w:sz="4" w:space="0"/>
                          <w:left w:val="single" w:color="000000" w:sz="4" w:space="0"/>
                          <w:bottom w:val="single" w:color="000000" w:sz="4" w:space="0"/>
                          <w:right w:val="single" w:color="000000" w:sz="4" w:space="0"/>
                        </w:tcBorders>
                      </w:tcPr>
                      <w:p w14:paraId="3996E453">
                        <w:pPr>
                          <w:pStyle w:val="17"/>
                          <w:spacing w:before="55"/>
                          <w:ind w:left="1299" w:right="1270"/>
                          <w:rPr>
                            <w:rFonts w:ascii="Wingdings" w:hAnsi="Wingdings"/>
                            <w:sz w:val="18"/>
                          </w:rPr>
                        </w:pPr>
                        <w:r>
                          <w:rPr>
                            <w:sz w:val="18"/>
                          </w:rPr>
                          <w:t xml:space="preserve">有毒有害 </w:t>
                        </w:r>
                        <w:r>
                          <w:rPr>
                            <w:rFonts w:ascii="Wingdings" w:hAnsi="Wingdings"/>
                            <w:sz w:val="18"/>
                          </w:rPr>
                          <w:t></w:t>
                        </w:r>
                      </w:p>
                    </w:tc>
                    <w:tc>
                      <w:tcPr>
                        <w:tcW w:w="4280" w:type="dxa"/>
                        <w:gridSpan w:val="6"/>
                        <w:tcBorders>
                          <w:top w:val="single" w:color="000000" w:sz="4" w:space="0"/>
                          <w:left w:val="single" w:color="000000" w:sz="4" w:space="0"/>
                          <w:bottom w:val="single" w:color="000000" w:sz="4" w:space="0"/>
                        </w:tcBorders>
                      </w:tcPr>
                      <w:p w14:paraId="6F6D9C9D">
                        <w:pPr>
                          <w:pStyle w:val="17"/>
                          <w:spacing w:before="55"/>
                          <w:ind w:left="1638" w:right="1610"/>
                          <w:rPr>
                            <w:rFonts w:ascii="Wingdings" w:hAnsi="Wingdings"/>
                            <w:sz w:val="18"/>
                          </w:rPr>
                        </w:pPr>
                        <w:r>
                          <w:rPr>
                            <w:sz w:val="18"/>
                          </w:rPr>
                          <w:t xml:space="preserve">易燃易爆 </w:t>
                        </w:r>
                        <w:r>
                          <w:rPr>
                            <w:rFonts w:ascii="Wingdings" w:hAnsi="Wingdings"/>
                            <w:sz w:val="18"/>
                          </w:rPr>
                          <w:t></w:t>
                        </w:r>
                      </w:p>
                    </w:tc>
                  </w:tr>
                  <w:tr w14:paraId="1EC867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370" w:type="dxa"/>
                        <w:vMerge w:val="continue"/>
                        <w:tcBorders>
                          <w:top w:val="nil"/>
                          <w:bottom w:val="single" w:color="000000" w:sz="4" w:space="0"/>
                          <w:right w:val="single" w:color="000000" w:sz="4" w:space="0"/>
                        </w:tcBorders>
                      </w:tcPr>
                      <w:p w14:paraId="71BFB2E4">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59F5B681">
                        <w:pPr>
                          <w:pStyle w:val="17"/>
                          <w:spacing w:before="2" w:line="230" w:lineRule="atLeast"/>
                          <w:ind w:left="405" w:right="195" w:hanging="180"/>
                          <w:jc w:val="left"/>
                          <w:rPr>
                            <w:sz w:val="18"/>
                          </w:rPr>
                        </w:pPr>
                        <w:r>
                          <w:rPr>
                            <w:sz w:val="18"/>
                          </w:rPr>
                          <w:t>环境风险类型</w:t>
                        </w:r>
                      </w:p>
                    </w:tc>
                    <w:tc>
                      <w:tcPr>
                        <w:tcW w:w="2948" w:type="dxa"/>
                        <w:gridSpan w:val="4"/>
                        <w:tcBorders>
                          <w:top w:val="single" w:color="000000" w:sz="4" w:space="0"/>
                          <w:left w:val="single" w:color="000000" w:sz="4" w:space="0"/>
                          <w:bottom w:val="single" w:color="000000" w:sz="4" w:space="0"/>
                          <w:right w:val="single" w:color="000000" w:sz="4" w:space="0"/>
                        </w:tcBorders>
                      </w:tcPr>
                      <w:p w14:paraId="55CF8F58">
                        <w:pPr>
                          <w:pStyle w:val="17"/>
                          <w:spacing w:before="118"/>
                          <w:ind w:left="1157" w:right="1129"/>
                          <w:rPr>
                            <w:rFonts w:ascii="Wingdings" w:hAnsi="Wingdings"/>
                            <w:sz w:val="18"/>
                          </w:rPr>
                        </w:pPr>
                        <w:r>
                          <w:rPr>
                            <w:sz w:val="18"/>
                          </w:rPr>
                          <w:t xml:space="preserve">泄漏 </w:t>
                        </w:r>
                        <w:r>
                          <w:rPr>
                            <w:rFonts w:ascii="Wingdings" w:hAnsi="Wingdings"/>
                            <w:sz w:val="18"/>
                          </w:rPr>
                          <w:t></w:t>
                        </w:r>
                      </w:p>
                    </w:tc>
                    <w:tc>
                      <w:tcPr>
                        <w:tcW w:w="4920" w:type="dxa"/>
                        <w:gridSpan w:val="7"/>
                        <w:tcBorders>
                          <w:top w:val="single" w:color="000000" w:sz="4" w:space="0"/>
                          <w:left w:val="single" w:color="000000" w:sz="4" w:space="0"/>
                          <w:bottom w:val="single" w:color="000000" w:sz="4" w:space="0"/>
                        </w:tcBorders>
                      </w:tcPr>
                      <w:p w14:paraId="3217D558">
                        <w:pPr>
                          <w:pStyle w:val="17"/>
                          <w:spacing w:before="118"/>
                          <w:ind w:left="874"/>
                          <w:jc w:val="left"/>
                          <w:rPr>
                            <w:rFonts w:ascii="Wingdings" w:hAnsi="Wingdings"/>
                            <w:sz w:val="18"/>
                          </w:rPr>
                        </w:pPr>
                        <w:r>
                          <w:rPr>
                            <w:sz w:val="18"/>
                          </w:rPr>
                          <w:t>火灾、爆炸引发伴生</w:t>
                        </w:r>
                        <w:r>
                          <w:rPr>
                            <w:rFonts w:ascii="Times New Roman" w:hAnsi="Times New Roman"/>
                            <w:sz w:val="18"/>
                          </w:rPr>
                          <w:t>/</w:t>
                        </w:r>
                        <w:r>
                          <w:rPr>
                            <w:sz w:val="18"/>
                          </w:rPr>
                          <w:t xml:space="preserve">次生污染物排放 </w:t>
                        </w:r>
                        <w:r>
                          <w:rPr>
                            <w:rFonts w:ascii="Wingdings" w:hAnsi="Wingdings"/>
                            <w:sz w:val="18"/>
                          </w:rPr>
                          <w:t></w:t>
                        </w:r>
                      </w:p>
                    </w:tc>
                  </w:tr>
                  <w:tr w14:paraId="625697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15E342EC">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5A1255A2">
                        <w:pPr>
                          <w:pStyle w:val="17"/>
                          <w:spacing w:before="56"/>
                          <w:ind w:left="114" w:right="86"/>
                          <w:rPr>
                            <w:sz w:val="18"/>
                          </w:rPr>
                        </w:pPr>
                        <w:r>
                          <w:rPr>
                            <w:sz w:val="18"/>
                          </w:rPr>
                          <w:t>影响途径</w:t>
                        </w:r>
                      </w:p>
                    </w:tc>
                    <w:tc>
                      <w:tcPr>
                        <w:tcW w:w="2948" w:type="dxa"/>
                        <w:gridSpan w:val="4"/>
                        <w:tcBorders>
                          <w:top w:val="single" w:color="000000" w:sz="4" w:space="0"/>
                          <w:left w:val="single" w:color="000000" w:sz="4" w:space="0"/>
                          <w:bottom w:val="single" w:color="000000" w:sz="4" w:space="0"/>
                          <w:right w:val="single" w:color="000000" w:sz="4" w:space="0"/>
                        </w:tcBorders>
                      </w:tcPr>
                      <w:p w14:paraId="4C8A163F">
                        <w:pPr>
                          <w:pStyle w:val="17"/>
                          <w:spacing w:before="56"/>
                          <w:ind w:left="1157" w:right="1129"/>
                          <w:rPr>
                            <w:rFonts w:ascii="Wingdings" w:hAnsi="Wingdings"/>
                            <w:sz w:val="18"/>
                          </w:rPr>
                        </w:pPr>
                        <w:r>
                          <w:rPr>
                            <w:sz w:val="18"/>
                          </w:rPr>
                          <w:t xml:space="preserve">大气 </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66E5EDED">
                        <w:pPr>
                          <w:pStyle w:val="17"/>
                          <w:spacing w:before="56"/>
                          <w:ind w:left="744"/>
                          <w:jc w:val="left"/>
                          <w:rPr>
                            <w:rFonts w:ascii="Wingdings" w:hAnsi="Wingdings"/>
                            <w:sz w:val="18"/>
                          </w:rPr>
                        </w:pPr>
                        <w:r>
                          <w:rPr>
                            <w:sz w:val="18"/>
                          </w:rPr>
                          <w:t xml:space="preserve">地表水 </w:t>
                        </w:r>
                        <w:r>
                          <w:rPr>
                            <w:rFonts w:ascii="Wingdings" w:hAnsi="Wingdings"/>
                            <w:sz w:val="18"/>
                          </w:rPr>
                          <w:t></w:t>
                        </w:r>
                      </w:p>
                    </w:tc>
                    <w:tc>
                      <w:tcPr>
                        <w:tcW w:w="2658" w:type="dxa"/>
                        <w:gridSpan w:val="4"/>
                        <w:tcBorders>
                          <w:top w:val="single" w:color="000000" w:sz="4" w:space="0"/>
                          <w:left w:val="single" w:color="000000" w:sz="4" w:space="0"/>
                          <w:bottom w:val="single" w:color="000000" w:sz="4" w:space="0"/>
                        </w:tcBorders>
                      </w:tcPr>
                      <w:p w14:paraId="3AB470CF">
                        <w:pPr>
                          <w:pStyle w:val="17"/>
                          <w:spacing w:before="56"/>
                          <w:ind w:left="919" w:right="890"/>
                          <w:rPr>
                            <w:rFonts w:ascii="Wingdings" w:hAnsi="Wingdings"/>
                            <w:sz w:val="18"/>
                          </w:rPr>
                        </w:pPr>
                        <w:r>
                          <w:rPr>
                            <w:sz w:val="18"/>
                          </w:rPr>
                          <w:t xml:space="preserve">地下水 </w:t>
                        </w:r>
                        <w:r>
                          <w:rPr>
                            <w:rFonts w:ascii="Wingdings" w:hAnsi="Wingdings"/>
                            <w:sz w:val="18"/>
                          </w:rPr>
                          <w:t></w:t>
                        </w:r>
                      </w:p>
                    </w:tc>
                  </w:tr>
                  <w:tr w14:paraId="2DCDD0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23" w:type="dxa"/>
                        <w:gridSpan w:val="2"/>
                        <w:tcBorders>
                          <w:top w:val="single" w:color="000000" w:sz="4" w:space="0"/>
                          <w:bottom w:val="single" w:color="000000" w:sz="4" w:space="0"/>
                          <w:right w:val="single" w:color="000000" w:sz="4" w:space="0"/>
                        </w:tcBorders>
                      </w:tcPr>
                      <w:p w14:paraId="040AA269">
                        <w:pPr>
                          <w:pStyle w:val="17"/>
                          <w:spacing w:before="54"/>
                          <w:ind w:left="225"/>
                          <w:jc w:val="left"/>
                          <w:rPr>
                            <w:sz w:val="18"/>
                          </w:rPr>
                        </w:pPr>
                        <w:r>
                          <w:rPr>
                            <w:sz w:val="18"/>
                          </w:rPr>
                          <w:t>事故情形分析</w:t>
                        </w:r>
                      </w:p>
                    </w:tc>
                    <w:tc>
                      <w:tcPr>
                        <w:tcW w:w="1519" w:type="dxa"/>
                        <w:gridSpan w:val="2"/>
                        <w:tcBorders>
                          <w:top w:val="single" w:color="000000" w:sz="4" w:space="0"/>
                          <w:left w:val="single" w:color="000000" w:sz="4" w:space="0"/>
                          <w:bottom w:val="single" w:color="000000" w:sz="4" w:space="0"/>
                          <w:right w:val="single" w:color="000000" w:sz="4" w:space="0"/>
                        </w:tcBorders>
                      </w:tcPr>
                      <w:p w14:paraId="206C7D05">
                        <w:pPr>
                          <w:pStyle w:val="17"/>
                          <w:spacing w:before="54"/>
                          <w:ind w:left="229"/>
                          <w:jc w:val="left"/>
                          <w:rPr>
                            <w:sz w:val="18"/>
                          </w:rPr>
                        </w:pPr>
                        <w:r>
                          <w:rPr>
                            <w:sz w:val="18"/>
                          </w:rPr>
                          <w:t>源强设定方法</w:t>
                        </w:r>
                      </w:p>
                    </w:tc>
                    <w:tc>
                      <w:tcPr>
                        <w:tcW w:w="1429" w:type="dxa"/>
                        <w:gridSpan w:val="2"/>
                        <w:tcBorders>
                          <w:top w:val="single" w:color="000000" w:sz="4" w:space="0"/>
                          <w:left w:val="single" w:color="000000" w:sz="4" w:space="0"/>
                          <w:bottom w:val="single" w:color="000000" w:sz="4" w:space="0"/>
                          <w:right w:val="single" w:color="000000" w:sz="4" w:space="0"/>
                        </w:tcBorders>
                      </w:tcPr>
                      <w:p w14:paraId="316DBD98">
                        <w:pPr>
                          <w:pStyle w:val="17"/>
                          <w:spacing w:before="54"/>
                          <w:ind w:left="328"/>
                          <w:jc w:val="left"/>
                          <w:rPr>
                            <w:rFonts w:ascii="Wingdings" w:hAnsi="Wingdings"/>
                            <w:sz w:val="18"/>
                          </w:rPr>
                        </w:pPr>
                        <w:r>
                          <w:rPr>
                            <w:sz w:val="18"/>
                          </w:rPr>
                          <w:t xml:space="preserve">计算法 </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3484C107">
                        <w:pPr>
                          <w:pStyle w:val="17"/>
                          <w:spacing w:before="47"/>
                          <w:ind w:left="566"/>
                          <w:jc w:val="left"/>
                          <w:rPr>
                            <w:rFonts w:ascii="Segoe UI Symbol" w:hAnsi="Segoe UI Symbol" w:eastAsia="Segoe UI Symbol"/>
                            <w:sz w:val="18"/>
                          </w:rPr>
                        </w:pPr>
                        <w:r>
                          <w:rPr>
                            <w:sz w:val="18"/>
                          </w:rPr>
                          <w:t xml:space="preserve">经验估算法 </w:t>
                        </w:r>
                        <w:r>
                          <w:rPr>
                            <w:rFonts w:ascii="Segoe UI Symbol" w:hAnsi="Segoe UI Symbol" w:eastAsia="Segoe UI Symbol"/>
                            <w:sz w:val="18"/>
                          </w:rPr>
                          <w:t>☐</w:t>
                        </w:r>
                      </w:p>
                    </w:tc>
                    <w:tc>
                      <w:tcPr>
                        <w:tcW w:w="2658" w:type="dxa"/>
                        <w:gridSpan w:val="4"/>
                        <w:tcBorders>
                          <w:top w:val="single" w:color="000000" w:sz="4" w:space="0"/>
                          <w:left w:val="single" w:color="000000" w:sz="4" w:space="0"/>
                          <w:bottom w:val="single" w:color="000000" w:sz="4" w:space="0"/>
                        </w:tcBorders>
                      </w:tcPr>
                      <w:p w14:paraId="2434FD0D">
                        <w:pPr>
                          <w:pStyle w:val="17"/>
                          <w:spacing w:before="47"/>
                          <w:ind w:left="760"/>
                          <w:jc w:val="left"/>
                          <w:rPr>
                            <w:rFonts w:ascii="Segoe UI Symbol" w:hAnsi="Segoe UI Symbol" w:eastAsia="Segoe UI Symbol"/>
                            <w:sz w:val="18"/>
                          </w:rPr>
                        </w:pPr>
                        <w:r>
                          <w:rPr>
                            <w:sz w:val="18"/>
                          </w:rPr>
                          <w:t xml:space="preserve">其他估算法 </w:t>
                        </w:r>
                        <w:r>
                          <w:rPr>
                            <w:rFonts w:ascii="Segoe UI Symbol" w:hAnsi="Segoe UI Symbol" w:eastAsia="Segoe UI Symbol"/>
                            <w:sz w:val="18"/>
                          </w:rPr>
                          <w:t>☐</w:t>
                        </w:r>
                      </w:p>
                    </w:tc>
                  </w:tr>
                  <w:tr w14:paraId="51D543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restart"/>
                        <w:tcBorders>
                          <w:top w:val="single" w:color="000000" w:sz="4" w:space="0"/>
                          <w:bottom w:val="single" w:color="000000" w:sz="4" w:space="0"/>
                          <w:right w:val="single" w:color="000000" w:sz="4" w:space="0"/>
                        </w:tcBorders>
                      </w:tcPr>
                      <w:p w14:paraId="121B85C9">
                        <w:pPr>
                          <w:pStyle w:val="17"/>
                          <w:spacing w:before="8"/>
                          <w:jc w:val="left"/>
                          <w:rPr>
                            <w:sz w:val="16"/>
                          </w:rPr>
                        </w:pPr>
                      </w:p>
                      <w:p w14:paraId="15F68D36">
                        <w:pPr>
                          <w:pStyle w:val="17"/>
                          <w:spacing w:line="242" w:lineRule="auto"/>
                          <w:ind w:left="98" w:right="69"/>
                          <w:jc w:val="both"/>
                          <w:rPr>
                            <w:sz w:val="18"/>
                          </w:rPr>
                        </w:pPr>
                        <w:r>
                          <w:rPr>
                            <w:sz w:val="18"/>
                          </w:rPr>
                          <w:t>风险预测与评价</w:t>
                        </w:r>
                      </w:p>
                    </w:tc>
                    <w:tc>
                      <w:tcPr>
                        <w:tcW w:w="1153" w:type="dxa"/>
                        <w:vMerge w:val="restart"/>
                        <w:tcBorders>
                          <w:top w:val="single" w:color="000000" w:sz="4" w:space="0"/>
                          <w:left w:val="single" w:color="000000" w:sz="4" w:space="0"/>
                          <w:bottom w:val="single" w:color="000000" w:sz="4" w:space="0"/>
                          <w:right w:val="single" w:color="000000" w:sz="4" w:space="0"/>
                        </w:tcBorders>
                      </w:tcPr>
                      <w:p w14:paraId="58BB9A0A">
                        <w:pPr>
                          <w:pStyle w:val="17"/>
                          <w:jc w:val="left"/>
                          <w:rPr>
                            <w:sz w:val="18"/>
                          </w:rPr>
                        </w:pPr>
                      </w:p>
                      <w:p w14:paraId="3BBFC463">
                        <w:pPr>
                          <w:pStyle w:val="17"/>
                          <w:spacing w:before="160"/>
                          <w:ind w:left="405"/>
                          <w:jc w:val="left"/>
                          <w:rPr>
                            <w:sz w:val="18"/>
                          </w:rPr>
                        </w:pPr>
                        <w:r>
                          <w:rPr>
                            <w:sz w:val="18"/>
                          </w:rPr>
                          <w:t>大气</w:t>
                        </w:r>
                      </w:p>
                    </w:tc>
                    <w:tc>
                      <w:tcPr>
                        <w:tcW w:w="1519" w:type="dxa"/>
                        <w:gridSpan w:val="2"/>
                        <w:tcBorders>
                          <w:top w:val="single" w:color="000000" w:sz="4" w:space="0"/>
                          <w:left w:val="single" w:color="000000" w:sz="4" w:space="0"/>
                          <w:bottom w:val="single" w:color="000000" w:sz="4" w:space="0"/>
                          <w:right w:val="single" w:color="000000" w:sz="4" w:space="0"/>
                        </w:tcBorders>
                      </w:tcPr>
                      <w:p w14:paraId="716C183A">
                        <w:pPr>
                          <w:pStyle w:val="17"/>
                          <w:spacing w:before="54"/>
                          <w:ind w:left="409"/>
                          <w:jc w:val="left"/>
                          <w:rPr>
                            <w:sz w:val="18"/>
                          </w:rPr>
                        </w:pPr>
                        <w:r>
                          <w:rPr>
                            <w:sz w:val="18"/>
                          </w:rPr>
                          <w:t>预测模型</w:t>
                        </w:r>
                      </w:p>
                    </w:tc>
                    <w:tc>
                      <w:tcPr>
                        <w:tcW w:w="1429" w:type="dxa"/>
                        <w:gridSpan w:val="2"/>
                        <w:tcBorders>
                          <w:top w:val="single" w:color="000000" w:sz="4" w:space="0"/>
                          <w:left w:val="single" w:color="000000" w:sz="4" w:space="0"/>
                          <w:bottom w:val="single" w:color="000000" w:sz="4" w:space="0"/>
                          <w:right w:val="single" w:color="000000" w:sz="4" w:space="0"/>
                        </w:tcBorders>
                      </w:tcPr>
                      <w:p w14:paraId="7B906FF4">
                        <w:pPr>
                          <w:pStyle w:val="17"/>
                          <w:spacing w:before="66"/>
                          <w:ind w:left="390"/>
                          <w:jc w:val="left"/>
                          <w:rPr>
                            <w:rFonts w:ascii="Wingdings" w:hAnsi="Wingdings"/>
                            <w:sz w:val="18"/>
                          </w:rPr>
                        </w:pPr>
                        <w:r>
                          <w:rPr>
                            <w:rFonts w:ascii="Times New Roman" w:hAnsi="Times New Roman"/>
                            <w:sz w:val="18"/>
                          </w:rPr>
                          <w:t xml:space="preserve">SLAB </w:t>
                        </w:r>
                        <w:r>
                          <w:rPr>
                            <w:rFonts w:ascii="Wingdings" w:hAnsi="Wingdings"/>
                            <w:sz w:val="18"/>
                          </w:rPr>
                          <w:t></w:t>
                        </w:r>
                      </w:p>
                    </w:tc>
                    <w:tc>
                      <w:tcPr>
                        <w:tcW w:w="2262" w:type="dxa"/>
                        <w:gridSpan w:val="3"/>
                        <w:tcBorders>
                          <w:top w:val="single" w:color="000000" w:sz="4" w:space="0"/>
                          <w:left w:val="single" w:color="000000" w:sz="4" w:space="0"/>
                          <w:bottom w:val="single" w:color="000000" w:sz="4" w:space="0"/>
                          <w:right w:val="single" w:color="000000" w:sz="4" w:space="0"/>
                        </w:tcBorders>
                      </w:tcPr>
                      <w:p w14:paraId="0FA2BD02">
                        <w:pPr>
                          <w:pStyle w:val="17"/>
                          <w:spacing w:before="66"/>
                          <w:ind w:left="737"/>
                          <w:jc w:val="left"/>
                          <w:rPr>
                            <w:rFonts w:ascii="Wingdings" w:hAnsi="Wingdings"/>
                            <w:sz w:val="18"/>
                          </w:rPr>
                        </w:pPr>
                        <w:r>
                          <w:rPr>
                            <w:rFonts w:ascii="Times New Roman" w:hAnsi="Times New Roman"/>
                            <w:sz w:val="18"/>
                          </w:rPr>
                          <w:t xml:space="preserve">AFTOX </w:t>
                        </w:r>
                        <w:r>
                          <w:rPr>
                            <w:rFonts w:ascii="Wingdings" w:hAnsi="Wingdings"/>
                            <w:sz w:val="18"/>
                          </w:rPr>
                          <w:t></w:t>
                        </w:r>
                      </w:p>
                    </w:tc>
                    <w:tc>
                      <w:tcPr>
                        <w:tcW w:w="2658" w:type="dxa"/>
                        <w:gridSpan w:val="4"/>
                        <w:tcBorders>
                          <w:top w:val="single" w:color="000000" w:sz="4" w:space="0"/>
                          <w:left w:val="single" w:color="000000" w:sz="4" w:space="0"/>
                          <w:bottom w:val="single" w:color="000000" w:sz="4" w:space="0"/>
                        </w:tcBorders>
                      </w:tcPr>
                      <w:p w14:paraId="7BC7D790">
                        <w:pPr>
                          <w:pStyle w:val="17"/>
                          <w:spacing w:before="54"/>
                          <w:ind w:left="919" w:right="890"/>
                          <w:rPr>
                            <w:rFonts w:ascii="Wingdings" w:hAnsi="Wingdings"/>
                            <w:sz w:val="18"/>
                          </w:rPr>
                        </w:pPr>
                        <w:r>
                          <w:rPr>
                            <w:sz w:val="18"/>
                          </w:rPr>
                          <w:t xml:space="preserve">其他 </w:t>
                        </w:r>
                        <w:r>
                          <w:rPr>
                            <w:rFonts w:ascii="Wingdings" w:hAnsi="Wingdings"/>
                            <w:sz w:val="18"/>
                          </w:rPr>
                          <w:t></w:t>
                        </w:r>
                      </w:p>
                    </w:tc>
                  </w:tr>
                  <w:tr w14:paraId="5B79A2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0" w:hRule="atLeast"/>
                    </w:trPr>
                    <w:tc>
                      <w:tcPr>
                        <w:tcW w:w="370" w:type="dxa"/>
                        <w:vMerge w:val="continue"/>
                        <w:tcBorders>
                          <w:top w:val="nil"/>
                          <w:bottom w:val="single" w:color="000000" w:sz="4" w:space="0"/>
                          <w:right w:val="single" w:color="000000" w:sz="4" w:space="0"/>
                        </w:tcBorders>
                      </w:tcPr>
                      <w:p w14:paraId="3AC6FFEF">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669D4D8C">
                        <w:pPr>
                          <w:rPr>
                            <w:sz w:val="2"/>
                            <w:szCs w:val="2"/>
                          </w:rPr>
                        </w:pPr>
                      </w:p>
                    </w:tc>
                    <w:tc>
                      <w:tcPr>
                        <w:tcW w:w="1519" w:type="dxa"/>
                        <w:gridSpan w:val="2"/>
                        <w:tcBorders>
                          <w:top w:val="single" w:color="000000" w:sz="4" w:space="0"/>
                          <w:left w:val="single" w:color="000000" w:sz="4" w:space="0"/>
                          <w:bottom w:val="single" w:color="000000" w:sz="4" w:space="0"/>
                          <w:right w:val="single" w:color="000000" w:sz="4" w:space="0"/>
                        </w:tcBorders>
                      </w:tcPr>
                      <w:p w14:paraId="3560F118">
                        <w:pPr>
                          <w:pStyle w:val="17"/>
                          <w:spacing w:before="10"/>
                          <w:jc w:val="left"/>
                          <w:rPr>
                            <w:sz w:val="16"/>
                          </w:rPr>
                        </w:pPr>
                      </w:p>
                      <w:p w14:paraId="57268B67">
                        <w:pPr>
                          <w:pStyle w:val="17"/>
                          <w:ind w:left="409"/>
                          <w:jc w:val="left"/>
                          <w:rPr>
                            <w:sz w:val="18"/>
                          </w:rPr>
                        </w:pPr>
                        <w:r>
                          <w:rPr>
                            <w:sz w:val="18"/>
                          </w:rPr>
                          <w:t>预测结果</w:t>
                        </w:r>
                      </w:p>
                    </w:tc>
                    <w:tc>
                      <w:tcPr>
                        <w:tcW w:w="6349" w:type="dxa"/>
                        <w:gridSpan w:val="9"/>
                        <w:tcBorders>
                          <w:top w:val="single" w:color="000000" w:sz="4" w:space="0"/>
                          <w:left w:val="single" w:color="000000" w:sz="4" w:space="0"/>
                          <w:bottom w:val="single" w:color="000000" w:sz="4" w:space="0"/>
                        </w:tcBorders>
                      </w:tcPr>
                      <w:p w14:paraId="20EABEB8">
                        <w:pPr>
                          <w:pStyle w:val="17"/>
                          <w:spacing w:before="7"/>
                          <w:jc w:val="left"/>
                          <w:rPr>
                            <w:sz w:val="17"/>
                          </w:rPr>
                        </w:pPr>
                      </w:p>
                      <w:p w14:paraId="252742CC">
                        <w:pPr>
                          <w:pStyle w:val="17"/>
                          <w:ind w:left="26"/>
                          <w:rPr>
                            <w:rFonts w:ascii="Times New Roman"/>
                            <w:sz w:val="18"/>
                          </w:rPr>
                        </w:pPr>
                        <w:r>
                          <w:rPr>
                            <w:rFonts w:ascii="Times New Roman"/>
                            <w:sz w:val="18"/>
                          </w:rPr>
                          <w:t>/</w:t>
                        </w:r>
                      </w:p>
                    </w:tc>
                  </w:tr>
                  <w:tr w14:paraId="6C066B0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134CB41F">
                        <w:pPr>
                          <w:rPr>
                            <w:sz w:val="2"/>
                            <w:szCs w:val="2"/>
                          </w:rPr>
                        </w:pPr>
                      </w:p>
                    </w:tc>
                    <w:tc>
                      <w:tcPr>
                        <w:tcW w:w="1153" w:type="dxa"/>
                        <w:tcBorders>
                          <w:top w:val="single" w:color="000000" w:sz="4" w:space="0"/>
                          <w:left w:val="single" w:color="000000" w:sz="4" w:space="0"/>
                          <w:bottom w:val="single" w:color="000000" w:sz="4" w:space="0"/>
                          <w:right w:val="single" w:color="000000" w:sz="4" w:space="0"/>
                        </w:tcBorders>
                      </w:tcPr>
                      <w:p w14:paraId="111CFB08">
                        <w:pPr>
                          <w:pStyle w:val="17"/>
                          <w:spacing w:before="54"/>
                          <w:ind w:left="114" w:right="89"/>
                          <w:rPr>
                            <w:sz w:val="18"/>
                          </w:rPr>
                        </w:pPr>
                        <w:r>
                          <w:rPr>
                            <w:sz w:val="18"/>
                          </w:rPr>
                          <w:t>地表水</w:t>
                        </w:r>
                      </w:p>
                    </w:tc>
                    <w:tc>
                      <w:tcPr>
                        <w:tcW w:w="7868" w:type="dxa"/>
                        <w:gridSpan w:val="11"/>
                        <w:tcBorders>
                          <w:top w:val="single" w:color="000000" w:sz="4" w:space="0"/>
                          <w:left w:val="single" w:color="000000" w:sz="4" w:space="0"/>
                          <w:bottom w:val="single" w:color="000000" w:sz="4" w:space="0"/>
                        </w:tcBorders>
                      </w:tcPr>
                      <w:p w14:paraId="07C2708B">
                        <w:pPr>
                          <w:pStyle w:val="17"/>
                          <w:tabs>
                            <w:tab w:val="left" w:pos="5473"/>
                          </w:tabs>
                          <w:spacing w:before="54"/>
                          <w:ind w:left="2312"/>
                          <w:jc w:val="left"/>
                          <w:rPr>
                            <w:rFonts w:ascii="Times New Roman" w:eastAsia="Times New Roman"/>
                            <w:sz w:val="18"/>
                          </w:rPr>
                        </w:pPr>
                        <w:r>
                          <w:rPr>
                            <w:sz w:val="18"/>
                          </w:rPr>
                          <w:t>最近环境敏感目标</w:t>
                        </w:r>
                        <w:r>
                          <w:rPr>
                            <w:spacing w:val="88"/>
                            <w:sz w:val="18"/>
                            <w:u w:val="single"/>
                          </w:rPr>
                          <w:t xml:space="preserve"> </w:t>
                        </w:r>
                        <w:r>
                          <w:rPr>
                            <w:rFonts w:ascii="Times New Roman" w:eastAsia="Times New Roman"/>
                            <w:sz w:val="18"/>
                            <w:u w:val="single"/>
                          </w:rPr>
                          <w:t xml:space="preserve">/  </w:t>
                        </w:r>
                        <w:r>
                          <w:rPr>
                            <w:rFonts w:ascii="Times New Roman" w:eastAsia="Times New Roman"/>
                            <w:spacing w:val="42"/>
                            <w:sz w:val="18"/>
                            <w:u w:val="single"/>
                          </w:rPr>
                          <w:t xml:space="preserve"> </w:t>
                        </w:r>
                        <w:r>
                          <w:rPr>
                            <w:sz w:val="18"/>
                          </w:rPr>
                          <w:t>，到达时间</w:t>
                        </w:r>
                        <w:r>
                          <w:rPr>
                            <w:sz w:val="18"/>
                            <w:u w:val="single"/>
                          </w:rPr>
                          <w:t xml:space="preserve"> </w:t>
                        </w:r>
                        <w:r>
                          <w:rPr>
                            <w:rFonts w:ascii="Times New Roman" w:eastAsia="Times New Roman"/>
                            <w:sz w:val="18"/>
                            <w:u w:val="single"/>
                          </w:rPr>
                          <w:t>/</w:t>
                        </w:r>
                        <w:r>
                          <w:rPr>
                            <w:rFonts w:ascii="Times New Roman" w:eastAsia="Times New Roman"/>
                            <w:sz w:val="18"/>
                            <w:u w:val="single"/>
                          </w:rPr>
                          <w:tab/>
                        </w:r>
                        <w:r>
                          <w:rPr>
                            <w:rFonts w:ascii="Times New Roman" w:eastAsia="Times New Roman"/>
                            <w:sz w:val="18"/>
                          </w:rPr>
                          <w:t>h</w:t>
                        </w:r>
                      </w:p>
                    </w:tc>
                  </w:tr>
                  <w:tr w14:paraId="3EE364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36BB06B2">
                        <w:pPr>
                          <w:rPr>
                            <w:sz w:val="2"/>
                            <w:szCs w:val="2"/>
                          </w:rPr>
                        </w:pPr>
                      </w:p>
                    </w:tc>
                    <w:tc>
                      <w:tcPr>
                        <w:tcW w:w="1153" w:type="dxa"/>
                        <w:vMerge w:val="restart"/>
                        <w:tcBorders>
                          <w:top w:val="single" w:color="000000" w:sz="4" w:space="0"/>
                          <w:left w:val="single" w:color="000000" w:sz="4" w:space="0"/>
                          <w:bottom w:val="single" w:color="000000" w:sz="4" w:space="0"/>
                          <w:right w:val="single" w:color="000000" w:sz="4" w:space="0"/>
                        </w:tcBorders>
                      </w:tcPr>
                      <w:p w14:paraId="60EDC94B">
                        <w:pPr>
                          <w:pStyle w:val="17"/>
                          <w:spacing w:before="12"/>
                          <w:jc w:val="left"/>
                          <w:rPr>
                            <w:sz w:val="17"/>
                          </w:rPr>
                        </w:pPr>
                      </w:p>
                      <w:p w14:paraId="67501B94">
                        <w:pPr>
                          <w:pStyle w:val="17"/>
                          <w:ind w:left="314"/>
                          <w:jc w:val="left"/>
                          <w:rPr>
                            <w:sz w:val="18"/>
                          </w:rPr>
                        </w:pPr>
                        <w:r>
                          <w:rPr>
                            <w:sz w:val="18"/>
                          </w:rPr>
                          <w:t>地下水</w:t>
                        </w:r>
                      </w:p>
                    </w:tc>
                    <w:tc>
                      <w:tcPr>
                        <w:tcW w:w="7868" w:type="dxa"/>
                        <w:gridSpan w:val="11"/>
                        <w:tcBorders>
                          <w:top w:val="single" w:color="000000" w:sz="4" w:space="0"/>
                          <w:left w:val="single" w:color="000000" w:sz="4" w:space="0"/>
                          <w:bottom w:val="single" w:color="000000" w:sz="4" w:space="0"/>
                        </w:tcBorders>
                      </w:tcPr>
                      <w:p w14:paraId="01E90782">
                        <w:pPr>
                          <w:pStyle w:val="17"/>
                          <w:spacing w:before="55"/>
                          <w:ind w:left="2812" w:right="2785"/>
                          <w:rPr>
                            <w:rFonts w:ascii="Times New Roman" w:eastAsia="Times New Roman"/>
                            <w:sz w:val="18"/>
                          </w:rPr>
                        </w:pPr>
                        <w:r>
                          <w:rPr>
                            <w:sz w:val="18"/>
                          </w:rPr>
                          <w:t>下游厂区边界到达时间</w:t>
                        </w:r>
                        <w:r>
                          <w:rPr>
                            <w:sz w:val="18"/>
                            <w:u w:val="single"/>
                          </w:rPr>
                          <w:t xml:space="preserve"> </w:t>
                        </w:r>
                        <w:r>
                          <w:rPr>
                            <w:rFonts w:ascii="Times New Roman" w:eastAsia="Times New Roman"/>
                            <w:sz w:val="18"/>
                            <w:u w:val="single"/>
                          </w:rPr>
                          <w:t xml:space="preserve">/    </w:t>
                        </w:r>
                        <w:r>
                          <w:rPr>
                            <w:rFonts w:ascii="Times New Roman" w:eastAsia="Times New Roman"/>
                            <w:sz w:val="18"/>
                          </w:rPr>
                          <w:t>d</w:t>
                        </w:r>
                      </w:p>
                    </w:tc>
                  </w:tr>
                  <w:tr w14:paraId="5B4B89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70" w:type="dxa"/>
                        <w:vMerge w:val="continue"/>
                        <w:tcBorders>
                          <w:top w:val="nil"/>
                          <w:bottom w:val="single" w:color="000000" w:sz="4" w:space="0"/>
                          <w:right w:val="single" w:color="000000" w:sz="4" w:space="0"/>
                        </w:tcBorders>
                      </w:tcPr>
                      <w:p w14:paraId="12CCBC70">
                        <w:pPr>
                          <w:rPr>
                            <w:sz w:val="2"/>
                            <w:szCs w:val="2"/>
                          </w:rPr>
                        </w:pPr>
                      </w:p>
                    </w:tc>
                    <w:tc>
                      <w:tcPr>
                        <w:tcW w:w="1153" w:type="dxa"/>
                        <w:vMerge w:val="continue"/>
                        <w:tcBorders>
                          <w:top w:val="nil"/>
                          <w:left w:val="single" w:color="000000" w:sz="4" w:space="0"/>
                          <w:bottom w:val="single" w:color="000000" w:sz="4" w:space="0"/>
                          <w:right w:val="single" w:color="000000" w:sz="4" w:space="0"/>
                        </w:tcBorders>
                      </w:tcPr>
                      <w:p w14:paraId="13B8C34F">
                        <w:pPr>
                          <w:rPr>
                            <w:sz w:val="2"/>
                            <w:szCs w:val="2"/>
                          </w:rPr>
                        </w:pPr>
                      </w:p>
                    </w:tc>
                    <w:tc>
                      <w:tcPr>
                        <w:tcW w:w="7868" w:type="dxa"/>
                        <w:gridSpan w:val="11"/>
                        <w:tcBorders>
                          <w:top w:val="single" w:color="000000" w:sz="4" w:space="0"/>
                          <w:left w:val="single" w:color="000000" w:sz="4" w:space="0"/>
                          <w:bottom w:val="single" w:color="000000" w:sz="4" w:space="0"/>
                        </w:tcBorders>
                      </w:tcPr>
                      <w:p w14:paraId="5427F5AA">
                        <w:pPr>
                          <w:pStyle w:val="17"/>
                          <w:spacing w:before="55"/>
                          <w:ind w:left="2312"/>
                          <w:jc w:val="left"/>
                          <w:rPr>
                            <w:rFonts w:ascii="Times New Roman" w:eastAsia="Times New Roman"/>
                            <w:sz w:val="18"/>
                          </w:rPr>
                        </w:pPr>
                        <w:r>
                          <w:rPr>
                            <w:sz w:val="18"/>
                          </w:rPr>
                          <w:t>最近环境敏感目标</w:t>
                        </w:r>
                        <w:r>
                          <w:rPr>
                            <w:spacing w:val="87"/>
                            <w:sz w:val="18"/>
                            <w:u w:val="single"/>
                          </w:rPr>
                          <w:t xml:space="preserve"> </w:t>
                        </w:r>
                        <w:r>
                          <w:rPr>
                            <w:rFonts w:ascii="Times New Roman" w:eastAsia="Times New Roman"/>
                            <w:sz w:val="18"/>
                            <w:u w:val="single"/>
                          </w:rPr>
                          <w:t xml:space="preserve">/ </w:t>
                        </w:r>
                        <w:r>
                          <w:rPr>
                            <w:sz w:val="18"/>
                          </w:rPr>
                          <w:t>，到达时间</w:t>
                        </w:r>
                        <w:r>
                          <w:rPr>
                            <w:spacing w:val="87"/>
                            <w:sz w:val="18"/>
                            <w:u w:val="single"/>
                          </w:rPr>
                          <w:t xml:space="preserve"> </w:t>
                        </w:r>
                        <w:r>
                          <w:rPr>
                            <w:rFonts w:ascii="Times New Roman" w:eastAsia="Times New Roman"/>
                            <w:sz w:val="18"/>
                            <w:u w:val="single"/>
                          </w:rPr>
                          <w:t xml:space="preserve">/ </w:t>
                        </w:r>
                        <w:r>
                          <w:rPr>
                            <w:rFonts w:ascii="Times New Roman" w:eastAsia="Times New Roman"/>
                            <w:sz w:val="18"/>
                          </w:rPr>
                          <w:t>d</w:t>
                        </w:r>
                      </w:p>
                    </w:tc>
                  </w:tr>
                  <w:tr w14:paraId="57044EA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523" w:type="dxa"/>
                        <w:gridSpan w:val="2"/>
                        <w:tcBorders>
                          <w:top w:val="single" w:color="000000" w:sz="4" w:space="0"/>
                          <w:bottom w:val="single" w:color="000000" w:sz="4" w:space="0"/>
                          <w:right w:val="single" w:color="000000" w:sz="4" w:space="0"/>
                        </w:tcBorders>
                      </w:tcPr>
                      <w:p w14:paraId="52B1617D">
                        <w:pPr>
                          <w:pStyle w:val="17"/>
                          <w:spacing w:before="3" w:line="230" w:lineRule="atLeast"/>
                          <w:ind w:left="585" w:right="195" w:hanging="360"/>
                          <w:jc w:val="left"/>
                          <w:rPr>
                            <w:sz w:val="18"/>
                          </w:rPr>
                        </w:pPr>
                        <w:r>
                          <w:rPr>
                            <w:sz w:val="18"/>
                          </w:rPr>
                          <w:t>重点风险防范措施</w:t>
                        </w:r>
                      </w:p>
                    </w:tc>
                    <w:tc>
                      <w:tcPr>
                        <w:tcW w:w="7868" w:type="dxa"/>
                        <w:gridSpan w:val="11"/>
                        <w:tcBorders>
                          <w:top w:val="single" w:color="000000" w:sz="4" w:space="0"/>
                          <w:left w:val="single" w:color="000000" w:sz="4" w:space="0"/>
                          <w:bottom w:val="single" w:color="000000" w:sz="4" w:space="0"/>
                        </w:tcBorders>
                      </w:tcPr>
                      <w:p w14:paraId="34C7BC9E">
                        <w:pPr>
                          <w:pStyle w:val="17"/>
                          <w:spacing w:before="3" w:line="230" w:lineRule="atLeast"/>
                          <w:ind w:left="13" w:right="-15" w:firstLine="360"/>
                          <w:jc w:val="left"/>
                          <w:rPr>
                            <w:sz w:val="18"/>
                          </w:rPr>
                        </w:pPr>
                        <w:r>
                          <w:rPr>
                            <w:spacing w:val="-5"/>
                            <w:sz w:val="18"/>
                          </w:rPr>
                          <w:t>采取环保设施风险防范措施，总图布置、建筑安全、工艺技术设计安全防范措施，火灾事故风险防范措施，编制突发环境事件应急预案等。</w:t>
                        </w:r>
                      </w:p>
                    </w:tc>
                  </w:tr>
                  <w:tr w14:paraId="5A0F64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67" w:hRule="atLeast"/>
                    </w:trPr>
                    <w:tc>
                      <w:tcPr>
                        <w:tcW w:w="1523" w:type="dxa"/>
                        <w:gridSpan w:val="2"/>
                        <w:tcBorders>
                          <w:top w:val="single" w:color="000000" w:sz="4" w:space="0"/>
                          <w:bottom w:val="single" w:color="000000" w:sz="4" w:space="0"/>
                          <w:right w:val="single" w:color="000000" w:sz="4" w:space="0"/>
                        </w:tcBorders>
                      </w:tcPr>
                      <w:p w14:paraId="7B55C9DC">
                        <w:pPr>
                          <w:pStyle w:val="17"/>
                          <w:jc w:val="left"/>
                          <w:rPr>
                            <w:sz w:val="18"/>
                          </w:rPr>
                        </w:pPr>
                      </w:p>
                      <w:p w14:paraId="1FE2B704">
                        <w:pPr>
                          <w:pStyle w:val="17"/>
                          <w:spacing w:before="7"/>
                          <w:jc w:val="left"/>
                          <w:rPr>
                            <w:sz w:val="18"/>
                          </w:rPr>
                        </w:pPr>
                      </w:p>
                      <w:p w14:paraId="63761D03">
                        <w:pPr>
                          <w:pStyle w:val="17"/>
                          <w:spacing w:before="1"/>
                          <w:ind w:left="134"/>
                          <w:jc w:val="left"/>
                          <w:rPr>
                            <w:sz w:val="18"/>
                          </w:rPr>
                        </w:pPr>
                        <w:r>
                          <w:rPr>
                            <w:sz w:val="18"/>
                          </w:rPr>
                          <w:t>评价结论与建议</w:t>
                        </w:r>
                      </w:p>
                    </w:tc>
                    <w:tc>
                      <w:tcPr>
                        <w:tcW w:w="7868" w:type="dxa"/>
                        <w:gridSpan w:val="11"/>
                        <w:tcBorders>
                          <w:top w:val="single" w:color="000000" w:sz="4" w:space="0"/>
                          <w:left w:val="single" w:color="000000" w:sz="4" w:space="0"/>
                          <w:bottom w:val="single" w:color="000000" w:sz="4" w:space="0"/>
                        </w:tcBorders>
                      </w:tcPr>
                      <w:p w14:paraId="6189A3E9">
                        <w:pPr>
                          <w:pStyle w:val="17"/>
                          <w:spacing w:before="1" w:line="242" w:lineRule="auto"/>
                          <w:ind w:left="13" w:right="-15" w:firstLine="360"/>
                          <w:jc w:val="left"/>
                          <w:rPr>
                            <w:sz w:val="18"/>
                          </w:rPr>
                        </w:pPr>
                        <w:r>
                          <w:rPr>
                            <w:sz w:val="18"/>
                          </w:rPr>
                          <w:t>项目涉及的主要风险物质为危险废物和工艺废气等。项目位于汨罗高新技术产业开发区新市片区，不涉及自然保护区、风景名称区、饮用水源保护区等环境敏感区。周边敏感目标主要是居民点</w:t>
                        </w:r>
                        <w:r>
                          <w:rPr>
                            <w:spacing w:val="-5"/>
                            <w:sz w:val="18"/>
                          </w:rPr>
                          <w:t>项目环境风险潜势为Ⅰ，仅作简单分析，项目不涉及危险化工工艺，液态风险物质泄漏量很小，各风</w:t>
                        </w:r>
                        <w:r>
                          <w:rPr>
                            <w:spacing w:val="-8"/>
                            <w:sz w:val="18"/>
                          </w:rPr>
                          <w:t>险事故在落实环境风险防范措施前提下均较可控制，不会对厂区外环境造成不良影响，环境风险影响</w:t>
                        </w:r>
                      </w:p>
                      <w:p w14:paraId="5617EC67">
                        <w:pPr>
                          <w:pStyle w:val="17"/>
                          <w:spacing w:before="2" w:line="212" w:lineRule="exact"/>
                          <w:ind w:left="13"/>
                          <w:jc w:val="left"/>
                          <w:rPr>
                            <w:sz w:val="18"/>
                          </w:rPr>
                        </w:pPr>
                        <w:r>
                          <w:rPr>
                            <w:sz w:val="18"/>
                          </w:rPr>
                          <w:t>可接受。</w:t>
                        </w:r>
                      </w:p>
                    </w:tc>
                  </w:tr>
                  <w:tr w14:paraId="60E3FC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91" w:type="dxa"/>
                        <w:gridSpan w:val="13"/>
                        <w:tcBorders>
                          <w:top w:val="single" w:color="000000" w:sz="4" w:space="0"/>
                        </w:tcBorders>
                      </w:tcPr>
                      <w:p w14:paraId="43F58F1A">
                        <w:pPr>
                          <w:pStyle w:val="17"/>
                          <w:tabs>
                            <w:tab w:val="left" w:pos="2212"/>
                          </w:tabs>
                          <w:spacing w:before="38"/>
                          <w:ind w:left="14"/>
                          <w:jc w:val="left"/>
                          <w:rPr>
                            <w:sz w:val="18"/>
                          </w:rPr>
                        </w:pPr>
                        <w:r>
                          <w:rPr>
                            <w:sz w:val="18"/>
                          </w:rPr>
                          <w:t>注：</w:t>
                        </w:r>
                        <w:r>
                          <w:rPr>
                            <w:rFonts w:hint="eastAsia" w:ascii="等线" w:hAnsi="等线" w:eastAsia="等线"/>
                            <w:sz w:val="18"/>
                          </w:rPr>
                          <w:t>“</w:t>
                        </w:r>
                        <w:r>
                          <w:rPr>
                            <w:rFonts w:ascii="Segoe UI Symbol" w:hAnsi="Segoe UI Symbol" w:eastAsia="Segoe UI Symbol"/>
                            <w:sz w:val="18"/>
                          </w:rPr>
                          <w:t>☐</w:t>
                        </w:r>
                        <w:r>
                          <w:rPr>
                            <w:sz w:val="18"/>
                          </w:rPr>
                          <w:t>”为勾选项，“</w:t>
                        </w:r>
                        <w:r>
                          <w:rPr>
                            <w:sz w:val="18"/>
                            <w:u w:val="single"/>
                          </w:rPr>
                          <w:t xml:space="preserve"> </w:t>
                        </w:r>
                        <w:r>
                          <w:rPr>
                            <w:sz w:val="18"/>
                            <w:u w:val="single"/>
                          </w:rPr>
                          <w:tab/>
                        </w:r>
                        <w:r>
                          <w:rPr>
                            <w:rFonts w:hint="eastAsia" w:ascii="等线" w:hAnsi="等线" w:eastAsia="等线"/>
                            <w:sz w:val="18"/>
                          </w:rPr>
                          <w:t>”</w:t>
                        </w:r>
                        <w:r>
                          <w:rPr>
                            <w:sz w:val="18"/>
                          </w:rPr>
                          <w:t>为填写项。</w:t>
                        </w:r>
                      </w:p>
                    </w:tc>
                  </w:tr>
                </w:tbl>
                <w:p w14:paraId="467CB2C4">
                  <w:pPr>
                    <w:pStyle w:val="10"/>
                  </w:pPr>
                </w:p>
              </w:txbxContent>
            </v:textbox>
          </v:shape>
        </w:pict>
      </w:r>
      <w:r>
        <w:t>附表</w:t>
      </w:r>
      <w:r>
        <w:rPr>
          <w:spacing w:val="-60"/>
        </w:rPr>
        <w:t xml:space="preserve"> </w:t>
      </w:r>
      <w:r>
        <w:rPr>
          <w:rFonts w:ascii="Times New Roman" w:eastAsia="Times New Roman"/>
        </w:rPr>
        <w:t>3</w:t>
      </w:r>
      <w:r>
        <w:rPr>
          <w:rFonts w:ascii="Times New Roman" w:eastAsia="Times New Roman"/>
        </w:rPr>
        <w:tab/>
      </w:r>
      <w:r>
        <w:t>项目环境风险评价自查表</w:t>
      </w:r>
    </w:p>
    <w:p w14:paraId="2C47CDE4">
      <w:pPr>
        <w:pStyle w:val="10"/>
        <w:rPr>
          <w:b/>
          <w:sz w:val="26"/>
        </w:rPr>
      </w:pPr>
    </w:p>
    <w:p w14:paraId="5A649249">
      <w:pPr>
        <w:pStyle w:val="10"/>
        <w:rPr>
          <w:b/>
          <w:sz w:val="26"/>
        </w:rPr>
      </w:pPr>
    </w:p>
    <w:p w14:paraId="5A2DFA08">
      <w:pPr>
        <w:pStyle w:val="10"/>
        <w:rPr>
          <w:b/>
          <w:sz w:val="26"/>
        </w:rPr>
      </w:pPr>
    </w:p>
    <w:p w14:paraId="4285BCBF">
      <w:pPr>
        <w:pStyle w:val="10"/>
        <w:rPr>
          <w:b/>
          <w:sz w:val="26"/>
        </w:rPr>
      </w:pPr>
    </w:p>
    <w:p w14:paraId="7C6B4E20">
      <w:pPr>
        <w:pStyle w:val="10"/>
        <w:rPr>
          <w:b/>
          <w:sz w:val="26"/>
        </w:rPr>
      </w:pPr>
    </w:p>
    <w:p w14:paraId="34B5B9AD">
      <w:pPr>
        <w:pStyle w:val="10"/>
        <w:rPr>
          <w:b/>
          <w:sz w:val="26"/>
        </w:rPr>
      </w:pPr>
    </w:p>
    <w:p w14:paraId="17BACC2D">
      <w:pPr>
        <w:pStyle w:val="10"/>
        <w:rPr>
          <w:b/>
          <w:sz w:val="26"/>
        </w:rPr>
      </w:pPr>
    </w:p>
    <w:p w14:paraId="6FEC6C74">
      <w:pPr>
        <w:pStyle w:val="10"/>
        <w:rPr>
          <w:b/>
          <w:sz w:val="26"/>
        </w:rPr>
      </w:pPr>
    </w:p>
    <w:p w14:paraId="732424D6">
      <w:pPr>
        <w:pStyle w:val="10"/>
        <w:rPr>
          <w:b/>
          <w:sz w:val="26"/>
        </w:rPr>
      </w:pPr>
    </w:p>
    <w:p w14:paraId="0D2546EF">
      <w:pPr>
        <w:pStyle w:val="10"/>
        <w:rPr>
          <w:b/>
          <w:sz w:val="26"/>
        </w:rPr>
      </w:pPr>
    </w:p>
    <w:p w14:paraId="4E3DC690">
      <w:pPr>
        <w:pStyle w:val="10"/>
        <w:rPr>
          <w:b/>
          <w:sz w:val="26"/>
        </w:rPr>
      </w:pPr>
    </w:p>
    <w:p w14:paraId="7ED1EE49">
      <w:pPr>
        <w:pStyle w:val="10"/>
        <w:rPr>
          <w:b/>
          <w:sz w:val="26"/>
        </w:rPr>
      </w:pPr>
    </w:p>
    <w:p w14:paraId="21281554">
      <w:pPr>
        <w:pStyle w:val="10"/>
        <w:rPr>
          <w:b/>
          <w:sz w:val="26"/>
        </w:rPr>
      </w:pPr>
    </w:p>
    <w:p w14:paraId="5BA18AC6">
      <w:pPr>
        <w:pStyle w:val="10"/>
        <w:rPr>
          <w:b/>
          <w:sz w:val="26"/>
        </w:rPr>
      </w:pPr>
    </w:p>
    <w:p w14:paraId="0A954541">
      <w:pPr>
        <w:pStyle w:val="10"/>
        <w:rPr>
          <w:b/>
          <w:sz w:val="26"/>
        </w:rPr>
      </w:pPr>
    </w:p>
    <w:p w14:paraId="325FA381">
      <w:pPr>
        <w:pStyle w:val="10"/>
        <w:rPr>
          <w:b/>
          <w:sz w:val="26"/>
        </w:rPr>
      </w:pPr>
    </w:p>
    <w:p w14:paraId="5D43E249">
      <w:pPr>
        <w:pStyle w:val="10"/>
        <w:rPr>
          <w:b/>
          <w:sz w:val="26"/>
        </w:rPr>
      </w:pPr>
    </w:p>
    <w:p w14:paraId="69F66FC8">
      <w:pPr>
        <w:pStyle w:val="10"/>
        <w:rPr>
          <w:b/>
          <w:sz w:val="26"/>
        </w:rPr>
      </w:pPr>
    </w:p>
    <w:p w14:paraId="2A9F3B63">
      <w:pPr>
        <w:pStyle w:val="10"/>
        <w:rPr>
          <w:b/>
          <w:sz w:val="26"/>
        </w:rPr>
      </w:pPr>
    </w:p>
    <w:p w14:paraId="7B3F670A">
      <w:pPr>
        <w:pStyle w:val="10"/>
        <w:rPr>
          <w:b/>
          <w:sz w:val="26"/>
        </w:rPr>
      </w:pPr>
    </w:p>
    <w:p w14:paraId="1F153E63">
      <w:pPr>
        <w:pStyle w:val="10"/>
        <w:rPr>
          <w:b/>
          <w:sz w:val="26"/>
        </w:rPr>
      </w:pPr>
    </w:p>
    <w:p w14:paraId="0B6F56CE">
      <w:pPr>
        <w:pStyle w:val="10"/>
        <w:rPr>
          <w:b/>
          <w:sz w:val="26"/>
        </w:rPr>
      </w:pPr>
    </w:p>
    <w:p w14:paraId="6F7BA573">
      <w:pPr>
        <w:pStyle w:val="10"/>
        <w:rPr>
          <w:b/>
          <w:sz w:val="26"/>
        </w:rPr>
      </w:pPr>
    </w:p>
    <w:p w14:paraId="73A1E3F9">
      <w:pPr>
        <w:pStyle w:val="10"/>
        <w:rPr>
          <w:b/>
          <w:sz w:val="26"/>
        </w:rPr>
      </w:pPr>
    </w:p>
    <w:p w14:paraId="4C370079">
      <w:pPr>
        <w:pStyle w:val="10"/>
        <w:rPr>
          <w:b/>
          <w:sz w:val="26"/>
        </w:rPr>
      </w:pPr>
    </w:p>
    <w:p w14:paraId="41A364DB">
      <w:pPr>
        <w:pStyle w:val="10"/>
        <w:rPr>
          <w:b/>
          <w:sz w:val="26"/>
        </w:rPr>
      </w:pPr>
    </w:p>
    <w:p w14:paraId="2ED289C0">
      <w:pPr>
        <w:pStyle w:val="10"/>
        <w:rPr>
          <w:b/>
          <w:sz w:val="26"/>
        </w:rPr>
      </w:pPr>
    </w:p>
    <w:p w14:paraId="160442F4">
      <w:pPr>
        <w:pStyle w:val="10"/>
        <w:rPr>
          <w:b/>
          <w:sz w:val="26"/>
        </w:rPr>
      </w:pPr>
    </w:p>
    <w:p w14:paraId="2BC55DFF">
      <w:pPr>
        <w:pStyle w:val="10"/>
        <w:rPr>
          <w:b/>
          <w:sz w:val="26"/>
        </w:rPr>
      </w:pPr>
    </w:p>
    <w:p w14:paraId="005E81F1">
      <w:pPr>
        <w:pStyle w:val="10"/>
        <w:rPr>
          <w:b/>
          <w:sz w:val="26"/>
        </w:rPr>
      </w:pPr>
    </w:p>
    <w:p w14:paraId="7FCAE28D">
      <w:pPr>
        <w:pStyle w:val="10"/>
        <w:rPr>
          <w:b/>
          <w:sz w:val="26"/>
        </w:rPr>
      </w:pPr>
    </w:p>
    <w:p w14:paraId="6E765269">
      <w:pPr>
        <w:pStyle w:val="10"/>
        <w:rPr>
          <w:b/>
          <w:sz w:val="35"/>
        </w:rPr>
      </w:pPr>
    </w:p>
    <w:p w14:paraId="241D052B">
      <w:pPr>
        <w:spacing w:before="1"/>
        <w:ind w:left="0" w:right="101" w:firstLine="0"/>
        <w:jc w:val="right"/>
        <w:rPr>
          <w:sz w:val="18"/>
        </w:rPr>
      </w:pPr>
      <w:r>
        <w:rPr>
          <w:sz w:val="18"/>
        </w:rPr>
        <w:t>。</w:t>
      </w:r>
    </w:p>
    <w:p w14:paraId="0306BE63">
      <w:pPr>
        <w:spacing w:after="0"/>
        <w:jc w:val="right"/>
        <w:rPr>
          <w:sz w:val="18"/>
        </w:rPr>
        <w:sectPr>
          <w:footerReference r:id="rId46" w:type="default"/>
          <w:pgSz w:w="11910" w:h="16840"/>
          <w:pgMar w:top="1240" w:right="1100" w:bottom="280" w:left="1140" w:header="0" w:footer="0" w:gutter="0"/>
          <w:cols w:space="720" w:num="1"/>
        </w:sectPr>
      </w:pPr>
    </w:p>
    <w:p w14:paraId="557CA08B">
      <w:pPr>
        <w:pStyle w:val="9"/>
        <w:spacing w:before="48"/>
        <w:ind w:left="2976"/>
      </w:pPr>
      <w:r>
        <w:rPr>
          <w:spacing w:val="-21"/>
        </w:rPr>
        <w:t xml:space="preserve">附表 </w:t>
      </w:r>
      <w:r>
        <w:rPr>
          <w:rFonts w:ascii="Times New Roman" w:eastAsia="Times New Roman"/>
        </w:rPr>
        <w:t>4</w:t>
      </w:r>
      <w:r>
        <w:rPr>
          <w:rFonts w:ascii="Times New Roman" w:eastAsia="Times New Roman"/>
          <w:spacing w:val="58"/>
        </w:rPr>
        <w:t xml:space="preserve"> </w:t>
      </w:r>
      <w:r>
        <w:t>项目声环境影响评价自查表</w:t>
      </w:r>
    </w:p>
    <w:p w14:paraId="2C47C04D">
      <w:pPr>
        <w:pStyle w:val="10"/>
        <w:spacing w:before="3"/>
        <w:rPr>
          <w:b/>
          <w:sz w:val="12"/>
        </w:rPr>
      </w:pPr>
    </w:p>
    <w:tbl>
      <w:tblPr>
        <w:tblStyle w:val="13"/>
        <w:tblW w:w="0" w:type="auto"/>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1410"/>
        <w:gridCol w:w="1090"/>
        <w:gridCol w:w="548"/>
        <w:gridCol w:w="90"/>
        <w:gridCol w:w="226"/>
        <w:gridCol w:w="235"/>
        <w:gridCol w:w="1070"/>
        <w:gridCol w:w="679"/>
        <w:gridCol w:w="446"/>
        <w:gridCol w:w="335"/>
        <w:gridCol w:w="217"/>
        <w:gridCol w:w="510"/>
        <w:gridCol w:w="1129"/>
      </w:tblGrid>
      <w:tr w14:paraId="67412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11" w:type="dxa"/>
            <w:gridSpan w:val="2"/>
          </w:tcPr>
          <w:p w14:paraId="1A64D3C8">
            <w:pPr>
              <w:pStyle w:val="17"/>
              <w:spacing w:before="19"/>
              <w:ind w:left="784"/>
              <w:jc w:val="left"/>
              <w:rPr>
                <w:sz w:val="21"/>
              </w:rPr>
            </w:pPr>
            <w:r>
              <w:rPr>
                <w:sz w:val="21"/>
              </w:rPr>
              <w:t>工作内容</w:t>
            </w:r>
          </w:p>
        </w:tc>
        <w:tc>
          <w:tcPr>
            <w:tcW w:w="6575" w:type="dxa"/>
            <w:gridSpan w:val="12"/>
          </w:tcPr>
          <w:p w14:paraId="1C92DE44">
            <w:pPr>
              <w:pStyle w:val="17"/>
              <w:spacing w:before="19"/>
              <w:ind w:right="6"/>
              <w:rPr>
                <w:sz w:val="21"/>
              </w:rPr>
            </w:pPr>
            <w:r>
              <w:rPr>
                <w:sz w:val="21"/>
              </w:rPr>
              <w:t>自查项目</w:t>
            </w:r>
          </w:p>
        </w:tc>
      </w:tr>
      <w:tr w14:paraId="5275D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restart"/>
          </w:tcPr>
          <w:p w14:paraId="6C412CDD">
            <w:pPr>
              <w:pStyle w:val="17"/>
              <w:spacing w:before="26"/>
              <w:ind w:left="58" w:right="53"/>
              <w:rPr>
                <w:sz w:val="21"/>
              </w:rPr>
            </w:pPr>
            <w:r>
              <w:rPr>
                <w:sz w:val="21"/>
              </w:rPr>
              <w:t>评价等级</w:t>
            </w:r>
          </w:p>
          <w:p w14:paraId="5D69A646">
            <w:pPr>
              <w:pStyle w:val="17"/>
              <w:spacing w:before="42"/>
              <w:ind w:left="69" w:right="62"/>
              <w:rPr>
                <w:sz w:val="21"/>
              </w:rPr>
            </w:pPr>
            <w:r>
              <w:rPr>
                <w:sz w:val="21"/>
              </w:rPr>
              <w:t>与范围</w:t>
            </w:r>
          </w:p>
        </w:tc>
        <w:tc>
          <w:tcPr>
            <w:tcW w:w="1410" w:type="dxa"/>
          </w:tcPr>
          <w:p w14:paraId="0548AEB1">
            <w:pPr>
              <w:pStyle w:val="17"/>
              <w:spacing w:before="21"/>
              <w:ind w:left="53" w:right="45"/>
              <w:rPr>
                <w:sz w:val="21"/>
              </w:rPr>
            </w:pPr>
            <w:r>
              <w:rPr>
                <w:sz w:val="21"/>
              </w:rPr>
              <w:t>评价等级</w:t>
            </w:r>
          </w:p>
        </w:tc>
        <w:tc>
          <w:tcPr>
            <w:tcW w:w="1728" w:type="dxa"/>
            <w:gridSpan w:val="3"/>
            <w:tcBorders>
              <w:right w:val="nil"/>
            </w:tcBorders>
          </w:tcPr>
          <w:p w14:paraId="721841F4">
            <w:pPr>
              <w:pStyle w:val="17"/>
              <w:spacing w:before="21"/>
              <w:ind w:right="14"/>
              <w:jc w:val="right"/>
              <w:rPr>
                <w:rFonts w:ascii="Times New Roman" w:hAnsi="Times New Roman" w:eastAsia="Times New Roman"/>
                <w:sz w:val="21"/>
              </w:rPr>
            </w:pPr>
            <w:r>
              <w:rPr>
                <w:w w:val="95"/>
                <w:sz w:val="21"/>
              </w:rPr>
              <w:t>一级</w:t>
            </w:r>
            <w:r>
              <w:rPr>
                <w:rFonts w:ascii="Times New Roman" w:hAnsi="Times New Roman" w:eastAsia="Times New Roman"/>
                <w:w w:val="95"/>
                <w:sz w:val="21"/>
              </w:rPr>
              <w:t>□</w:t>
            </w:r>
          </w:p>
        </w:tc>
        <w:tc>
          <w:tcPr>
            <w:tcW w:w="2991" w:type="dxa"/>
            <w:gridSpan w:val="6"/>
            <w:tcBorders>
              <w:left w:val="nil"/>
              <w:right w:val="nil"/>
            </w:tcBorders>
          </w:tcPr>
          <w:p w14:paraId="6A92BED4">
            <w:pPr>
              <w:pStyle w:val="17"/>
              <w:spacing w:before="21"/>
              <w:ind w:left="1539"/>
              <w:jc w:val="left"/>
              <w:rPr>
                <w:rFonts w:ascii="Times New Roman" w:hAnsi="Times New Roman" w:eastAsia="Times New Roman"/>
                <w:sz w:val="21"/>
              </w:rPr>
            </w:pPr>
            <w:r>
              <w:rPr>
                <w:sz w:val="21"/>
              </w:rPr>
              <w:t>二级</w:t>
            </w:r>
            <w:r>
              <w:rPr>
                <w:rFonts w:ascii="Times New Roman" w:hAnsi="Times New Roman" w:eastAsia="Times New Roman"/>
                <w:sz w:val="21"/>
              </w:rPr>
              <w:t>□</w:t>
            </w:r>
          </w:p>
        </w:tc>
        <w:tc>
          <w:tcPr>
            <w:tcW w:w="1856" w:type="dxa"/>
            <w:gridSpan w:val="3"/>
            <w:tcBorders>
              <w:left w:val="nil"/>
            </w:tcBorders>
          </w:tcPr>
          <w:p w14:paraId="30858B43">
            <w:pPr>
              <w:pStyle w:val="17"/>
              <w:spacing w:before="21"/>
              <w:ind w:left="79"/>
              <w:jc w:val="left"/>
              <w:rPr>
                <w:rFonts w:ascii="Wingdings" w:hAnsi="Wingdings"/>
                <w:sz w:val="21"/>
              </w:rPr>
            </w:pPr>
            <w:r>
              <w:rPr>
                <w:sz w:val="21"/>
              </w:rPr>
              <w:t>三级</w:t>
            </w:r>
            <w:r>
              <w:rPr>
                <w:rFonts w:ascii="Wingdings" w:hAnsi="Wingdings"/>
                <w:sz w:val="21"/>
              </w:rPr>
              <w:t></w:t>
            </w:r>
          </w:p>
        </w:tc>
      </w:tr>
      <w:tr w14:paraId="11B58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continue"/>
            <w:tcBorders>
              <w:top w:val="nil"/>
            </w:tcBorders>
          </w:tcPr>
          <w:p w14:paraId="71BCB8EB">
            <w:pPr>
              <w:rPr>
                <w:sz w:val="2"/>
                <w:szCs w:val="2"/>
              </w:rPr>
            </w:pPr>
          </w:p>
        </w:tc>
        <w:tc>
          <w:tcPr>
            <w:tcW w:w="1410" w:type="dxa"/>
          </w:tcPr>
          <w:p w14:paraId="60F5E2C7">
            <w:pPr>
              <w:pStyle w:val="17"/>
              <w:spacing w:before="20"/>
              <w:ind w:left="53" w:right="45"/>
              <w:rPr>
                <w:sz w:val="21"/>
              </w:rPr>
            </w:pPr>
            <w:r>
              <w:rPr>
                <w:sz w:val="21"/>
              </w:rPr>
              <w:t>评价范围</w:t>
            </w:r>
          </w:p>
        </w:tc>
        <w:tc>
          <w:tcPr>
            <w:tcW w:w="1728" w:type="dxa"/>
            <w:gridSpan w:val="3"/>
            <w:tcBorders>
              <w:right w:val="nil"/>
            </w:tcBorders>
          </w:tcPr>
          <w:p w14:paraId="3485EB4C">
            <w:pPr>
              <w:pStyle w:val="17"/>
              <w:spacing w:before="34"/>
              <w:ind w:left="80"/>
              <w:jc w:val="left"/>
              <w:rPr>
                <w:rFonts w:ascii="Wingdings" w:hAnsi="Wingdings"/>
                <w:sz w:val="21"/>
              </w:rPr>
            </w:pPr>
            <w:r>
              <w:rPr>
                <w:rFonts w:ascii="Times New Roman" w:hAnsi="Times New Roman"/>
                <w:sz w:val="21"/>
              </w:rPr>
              <w:t>200 m</w:t>
            </w:r>
            <w:r>
              <w:rPr>
                <w:rFonts w:ascii="Wingdings" w:hAnsi="Wingdings"/>
                <w:sz w:val="21"/>
              </w:rPr>
              <w:t></w:t>
            </w:r>
          </w:p>
        </w:tc>
        <w:tc>
          <w:tcPr>
            <w:tcW w:w="2991" w:type="dxa"/>
            <w:gridSpan w:val="6"/>
            <w:tcBorders>
              <w:left w:val="nil"/>
              <w:right w:val="nil"/>
            </w:tcBorders>
          </w:tcPr>
          <w:p w14:paraId="23EE437D">
            <w:pPr>
              <w:pStyle w:val="17"/>
              <w:spacing w:before="20"/>
              <w:ind w:left="740"/>
              <w:jc w:val="left"/>
              <w:rPr>
                <w:rFonts w:ascii="Times New Roman" w:hAnsi="Times New Roman" w:eastAsia="Times New Roman"/>
                <w:sz w:val="21"/>
              </w:rPr>
            </w:pPr>
            <w:r>
              <w:rPr>
                <w:sz w:val="21"/>
              </w:rPr>
              <w:t>大于</w:t>
            </w:r>
            <w:r>
              <w:rPr>
                <w:rFonts w:ascii="Times New Roman" w:hAnsi="Times New Roman" w:eastAsia="Times New Roman"/>
                <w:sz w:val="21"/>
              </w:rPr>
              <w:t>200 m□</w:t>
            </w:r>
          </w:p>
        </w:tc>
        <w:tc>
          <w:tcPr>
            <w:tcW w:w="1856" w:type="dxa"/>
            <w:gridSpan w:val="3"/>
            <w:tcBorders>
              <w:left w:val="nil"/>
            </w:tcBorders>
          </w:tcPr>
          <w:p w14:paraId="285AC796">
            <w:pPr>
              <w:pStyle w:val="17"/>
              <w:spacing w:before="20"/>
              <w:ind w:left="679"/>
              <w:jc w:val="left"/>
              <w:rPr>
                <w:rFonts w:ascii="Times New Roman" w:hAnsi="Times New Roman" w:eastAsia="Times New Roman"/>
                <w:sz w:val="21"/>
              </w:rPr>
            </w:pPr>
            <w:r>
              <w:rPr>
                <w:sz w:val="21"/>
              </w:rPr>
              <w:t>小于</w:t>
            </w:r>
            <w:r>
              <w:rPr>
                <w:rFonts w:ascii="Times New Roman" w:hAnsi="Times New Roman" w:eastAsia="Times New Roman"/>
                <w:sz w:val="21"/>
              </w:rPr>
              <w:t>200 m□</w:t>
            </w:r>
          </w:p>
        </w:tc>
      </w:tr>
      <w:tr w14:paraId="175F5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01" w:type="dxa"/>
          </w:tcPr>
          <w:p w14:paraId="7BBC3387">
            <w:pPr>
              <w:pStyle w:val="17"/>
              <w:spacing w:before="99"/>
              <w:ind w:left="58" w:right="53"/>
              <w:rPr>
                <w:sz w:val="21"/>
              </w:rPr>
            </w:pPr>
            <w:r>
              <w:rPr>
                <w:sz w:val="21"/>
              </w:rPr>
              <w:t>评价因子</w:t>
            </w:r>
          </w:p>
        </w:tc>
        <w:tc>
          <w:tcPr>
            <w:tcW w:w="1410" w:type="dxa"/>
          </w:tcPr>
          <w:p w14:paraId="232580E3">
            <w:pPr>
              <w:pStyle w:val="17"/>
              <w:spacing w:before="99"/>
              <w:ind w:left="53" w:right="45"/>
              <w:rPr>
                <w:sz w:val="21"/>
              </w:rPr>
            </w:pPr>
            <w:r>
              <w:rPr>
                <w:sz w:val="21"/>
              </w:rPr>
              <w:t>评价因子</w:t>
            </w:r>
          </w:p>
        </w:tc>
        <w:tc>
          <w:tcPr>
            <w:tcW w:w="2189" w:type="dxa"/>
            <w:gridSpan w:val="5"/>
          </w:tcPr>
          <w:p w14:paraId="21CE64B1">
            <w:pPr>
              <w:pStyle w:val="17"/>
              <w:spacing w:before="99"/>
              <w:ind w:left="188"/>
              <w:jc w:val="left"/>
              <w:rPr>
                <w:rFonts w:ascii="Wingdings" w:hAnsi="Wingdings"/>
                <w:sz w:val="21"/>
              </w:rPr>
            </w:pPr>
            <w:r>
              <w:rPr>
                <w:sz w:val="21"/>
              </w:rPr>
              <w:t xml:space="preserve">等效连续 </w:t>
            </w:r>
            <w:r>
              <w:rPr>
                <w:rFonts w:ascii="Times New Roman" w:hAnsi="Times New Roman"/>
                <w:sz w:val="21"/>
              </w:rPr>
              <w:t>A</w:t>
            </w:r>
            <w:r>
              <w:rPr>
                <w:rFonts w:ascii="Times New Roman" w:hAnsi="Times New Roman"/>
                <w:spacing w:val="50"/>
                <w:sz w:val="21"/>
              </w:rPr>
              <w:t xml:space="preserve"> </w:t>
            </w:r>
            <w:r>
              <w:rPr>
                <w:sz w:val="21"/>
              </w:rPr>
              <w:t>声级</w:t>
            </w:r>
            <w:r>
              <w:rPr>
                <w:rFonts w:ascii="Wingdings" w:hAnsi="Wingdings"/>
                <w:sz w:val="21"/>
              </w:rPr>
              <w:t></w:t>
            </w:r>
          </w:p>
        </w:tc>
        <w:tc>
          <w:tcPr>
            <w:tcW w:w="1749" w:type="dxa"/>
            <w:gridSpan w:val="2"/>
          </w:tcPr>
          <w:p w14:paraId="0DC77982">
            <w:pPr>
              <w:pStyle w:val="17"/>
              <w:spacing w:before="99"/>
              <w:ind w:left="207"/>
              <w:jc w:val="left"/>
              <w:rPr>
                <w:rFonts w:ascii="Times New Roman" w:hAnsi="Times New Roman" w:eastAsia="Times New Roman"/>
                <w:sz w:val="21"/>
              </w:rPr>
            </w:pPr>
            <w:r>
              <w:rPr>
                <w:spacing w:val="-1"/>
                <w:sz w:val="21"/>
              </w:rPr>
              <w:t xml:space="preserve">最大 </w:t>
            </w:r>
            <w:r>
              <w:rPr>
                <w:rFonts w:ascii="Times New Roman" w:hAnsi="Times New Roman" w:eastAsia="Times New Roman"/>
                <w:sz w:val="21"/>
              </w:rPr>
              <w:t>A</w:t>
            </w:r>
            <w:r>
              <w:rPr>
                <w:rFonts w:ascii="Times New Roman" w:hAnsi="Times New Roman" w:eastAsia="Times New Roman"/>
                <w:spacing w:val="50"/>
                <w:sz w:val="21"/>
              </w:rPr>
              <w:t xml:space="preserve"> </w:t>
            </w:r>
            <w:r>
              <w:rPr>
                <w:sz w:val="21"/>
              </w:rPr>
              <w:t>声级</w:t>
            </w:r>
            <w:r>
              <w:rPr>
                <w:rFonts w:ascii="Times New Roman" w:hAnsi="Times New Roman" w:eastAsia="Times New Roman"/>
                <w:sz w:val="21"/>
              </w:rPr>
              <w:t>□</w:t>
            </w:r>
          </w:p>
        </w:tc>
        <w:tc>
          <w:tcPr>
            <w:tcW w:w="2637" w:type="dxa"/>
            <w:gridSpan w:val="5"/>
          </w:tcPr>
          <w:p w14:paraId="2267BC3E">
            <w:pPr>
              <w:pStyle w:val="17"/>
              <w:spacing w:before="99"/>
              <w:ind w:left="92"/>
              <w:jc w:val="left"/>
              <w:rPr>
                <w:rFonts w:ascii="Times New Roman" w:hAnsi="Times New Roman" w:eastAsia="Times New Roman"/>
                <w:sz w:val="21"/>
              </w:rPr>
            </w:pPr>
            <w:r>
              <w:rPr>
                <w:sz w:val="21"/>
              </w:rPr>
              <w:t>计权等效连续感觉噪声级</w:t>
            </w:r>
            <w:r>
              <w:rPr>
                <w:rFonts w:ascii="Times New Roman" w:hAnsi="Times New Roman" w:eastAsia="Times New Roman"/>
                <w:sz w:val="21"/>
              </w:rPr>
              <w:t>□</w:t>
            </w:r>
          </w:p>
        </w:tc>
      </w:tr>
      <w:tr w14:paraId="5A7E4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01" w:type="dxa"/>
          </w:tcPr>
          <w:p w14:paraId="2CE5EAE3">
            <w:pPr>
              <w:pStyle w:val="17"/>
              <w:spacing w:before="100"/>
              <w:ind w:left="58" w:right="53"/>
              <w:rPr>
                <w:sz w:val="21"/>
              </w:rPr>
            </w:pPr>
            <w:r>
              <w:rPr>
                <w:sz w:val="21"/>
              </w:rPr>
              <w:t>评价标准</w:t>
            </w:r>
          </w:p>
        </w:tc>
        <w:tc>
          <w:tcPr>
            <w:tcW w:w="1410" w:type="dxa"/>
          </w:tcPr>
          <w:p w14:paraId="6FB525DE">
            <w:pPr>
              <w:pStyle w:val="17"/>
              <w:spacing w:before="100"/>
              <w:ind w:left="53" w:right="45"/>
              <w:rPr>
                <w:sz w:val="21"/>
              </w:rPr>
            </w:pPr>
            <w:r>
              <w:rPr>
                <w:sz w:val="21"/>
              </w:rPr>
              <w:t>评价标准</w:t>
            </w:r>
          </w:p>
        </w:tc>
        <w:tc>
          <w:tcPr>
            <w:tcW w:w="2189" w:type="dxa"/>
            <w:gridSpan w:val="5"/>
          </w:tcPr>
          <w:p w14:paraId="0E4E55CA">
            <w:pPr>
              <w:pStyle w:val="17"/>
              <w:spacing w:before="100"/>
              <w:ind w:left="579"/>
              <w:jc w:val="left"/>
              <w:rPr>
                <w:rFonts w:ascii="Wingdings" w:hAnsi="Wingdings"/>
                <w:sz w:val="21"/>
              </w:rPr>
            </w:pPr>
            <w:r>
              <w:rPr>
                <w:sz w:val="21"/>
              </w:rPr>
              <w:t>国家标准</w:t>
            </w:r>
            <w:r>
              <w:rPr>
                <w:rFonts w:ascii="Wingdings" w:hAnsi="Wingdings"/>
                <w:sz w:val="21"/>
              </w:rPr>
              <w:t></w:t>
            </w:r>
          </w:p>
        </w:tc>
        <w:tc>
          <w:tcPr>
            <w:tcW w:w="1749" w:type="dxa"/>
            <w:gridSpan w:val="2"/>
          </w:tcPr>
          <w:p w14:paraId="387F74A0">
            <w:pPr>
              <w:pStyle w:val="17"/>
              <w:spacing w:before="100"/>
              <w:ind w:left="387"/>
              <w:jc w:val="left"/>
              <w:rPr>
                <w:rFonts w:ascii="Times New Roman" w:hAnsi="Times New Roman" w:eastAsia="Times New Roman"/>
                <w:sz w:val="21"/>
              </w:rPr>
            </w:pPr>
            <w:r>
              <w:rPr>
                <w:sz w:val="21"/>
              </w:rPr>
              <w:t>地方标准</w:t>
            </w:r>
            <w:r>
              <w:rPr>
                <w:rFonts w:ascii="Times New Roman" w:hAnsi="Times New Roman" w:eastAsia="Times New Roman"/>
                <w:sz w:val="21"/>
              </w:rPr>
              <w:t>□</w:t>
            </w:r>
          </w:p>
        </w:tc>
        <w:tc>
          <w:tcPr>
            <w:tcW w:w="2637" w:type="dxa"/>
            <w:gridSpan w:val="5"/>
          </w:tcPr>
          <w:p w14:paraId="76503D72">
            <w:pPr>
              <w:pStyle w:val="17"/>
              <w:spacing w:before="100"/>
              <w:ind w:left="827"/>
              <w:jc w:val="left"/>
              <w:rPr>
                <w:rFonts w:ascii="Times New Roman" w:hAnsi="Times New Roman" w:eastAsia="Times New Roman"/>
                <w:sz w:val="21"/>
              </w:rPr>
            </w:pPr>
            <w:r>
              <w:rPr>
                <w:sz w:val="21"/>
              </w:rPr>
              <w:t>国外标准</w:t>
            </w:r>
            <w:r>
              <w:rPr>
                <w:rFonts w:ascii="Times New Roman" w:hAnsi="Times New Roman" w:eastAsia="Times New Roman"/>
                <w:sz w:val="21"/>
              </w:rPr>
              <w:t>□</w:t>
            </w:r>
          </w:p>
        </w:tc>
      </w:tr>
      <w:tr w14:paraId="0FE09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restart"/>
          </w:tcPr>
          <w:p w14:paraId="4027DBE7">
            <w:pPr>
              <w:pStyle w:val="17"/>
              <w:jc w:val="left"/>
              <w:rPr>
                <w:b/>
                <w:sz w:val="20"/>
              </w:rPr>
            </w:pPr>
          </w:p>
          <w:p w14:paraId="399870E3">
            <w:pPr>
              <w:pStyle w:val="17"/>
              <w:jc w:val="left"/>
              <w:rPr>
                <w:b/>
                <w:sz w:val="20"/>
              </w:rPr>
            </w:pPr>
          </w:p>
          <w:p w14:paraId="29AD24EC">
            <w:pPr>
              <w:pStyle w:val="17"/>
              <w:jc w:val="left"/>
              <w:rPr>
                <w:b/>
                <w:sz w:val="20"/>
              </w:rPr>
            </w:pPr>
          </w:p>
          <w:p w14:paraId="08960AFB">
            <w:pPr>
              <w:pStyle w:val="17"/>
              <w:spacing w:before="130"/>
              <w:ind w:left="79"/>
              <w:jc w:val="left"/>
              <w:rPr>
                <w:sz w:val="21"/>
              </w:rPr>
            </w:pPr>
            <w:r>
              <w:rPr>
                <w:sz w:val="21"/>
              </w:rPr>
              <w:t>现状评价</w:t>
            </w:r>
          </w:p>
        </w:tc>
        <w:tc>
          <w:tcPr>
            <w:tcW w:w="1410" w:type="dxa"/>
          </w:tcPr>
          <w:p w14:paraId="69745B22">
            <w:pPr>
              <w:pStyle w:val="17"/>
              <w:spacing w:before="20"/>
              <w:ind w:left="53" w:right="45"/>
              <w:rPr>
                <w:sz w:val="21"/>
              </w:rPr>
            </w:pPr>
            <w:r>
              <w:rPr>
                <w:sz w:val="21"/>
              </w:rPr>
              <w:t>环境功能区</w:t>
            </w:r>
          </w:p>
        </w:tc>
        <w:tc>
          <w:tcPr>
            <w:tcW w:w="1090" w:type="dxa"/>
          </w:tcPr>
          <w:p w14:paraId="0B2A48AE">
            <w:pPr>
              <w:pStyle w:val="17"/>
              <w:spacing w:before="20"/>
              <w:ind w:left="166"/>
              <w:jc w:val="left"/>
              <w:rPr>
                <w:rFonts w:ascii="Times New Roman" w:hAnsi="Times New Roman" w:eastAsia="Times New Roman"/>
                <w:sz w:val="21"/>
              </w:rPr>
            </w:pPr>
            <w:r>
              <w:rPr>
                <w:rFonts w:ascii="Times New Roman" w:hAnsi="Times New Roman" w:eastAsia="Times New Roman"/>
                <w:sz w:val="21"/>
              </w:rPr>
              <w:t xml:space="preserve">0 </w:t>
            </w:r>
            <w:r>
              <w:rPr>
                <w:sz w:val="21"/>
              </w:rPr>
              <w:t>类区</w:t>
            </w:r>
            <w:r>
              <w:rPr>
                <w:rFonts w:ascii="Times New Roman" w:hAnsi="Times New Roman" w:eastAsia="Times New Roman"/>
                <w:sz w:val="21"/>
              </w:rPr>
              <w:t>□</w:t>
            </w:r>
          </w:p>
        </w:tc>
        <w:tc>
          <w:tcPr>
            <w:tcW w:w="1099" w:type="dxa"/>
            <w:gridSpan w:val="4"/>
          </w:tcPr>
          <w:p w14:paraId="6210A333">
            <w:pPr>
              <w:pStyle w:val="17"/>
              <w:spacing w:before="20"/>
              <w:ind w:left="168"/>
              <w:jc w:val="left"/>
              <w:rPr>
                <w:rFonts w:ascii="Times New Roman" w:hAnsi="Times New Roman" w:eastAsia="Times New Roman"/>
                <w:sz w:val="21"/>
              </w:rPr>
            </w:pPr>
            <w:r>
              <w:rPr>
                <w:rFonts w:ascii="Times New Roman" w:hAnsi="Times New Roman" w:eastAsia="Times New Roman"/>
                <w:sz w:val="21"/>
              </w:rPr>
              <w:t xml:space="preserve">1 </w:t>
            </w:r>
            <w:r>
              <w:rPr>
                <w:sz w:val="21"/>
              </w:rPr>
              <w:t>类区</w:t>
            </w:r>
            <w:r>
              <w:rPr>
                <w:rFonts w:ascii="Times New Roman" w:hAnsi="Times New Roman" w:eastAsia="Times New Roman"/>
                <w:sz w:val="21"/>
              </w:rPr>
              <w:t>□</w:t>
            </w:r>
          </w:p>
        </w:tc>
        <w:tc>
          <w:tcPr>
            <w:tcW w:w="1070" w:type="dxa"/>
          </w:tcPr>
          <w:p w14:paraId="4B7543BB">
            <w:pPr>
              <w:pStyle w:val="17"/>
              <w:spacing w:before="20"/>
              <w:ind w:left="154"/>
              <w:jc w:val="left"/>
              <w:rPr>
                <w:rFonts w:ascii="Times New Roman" w:hAnsi="Times New Roman" w:eastAsia="Times New Roman"/>
                <w:sz w:val="21"/>
              </w:rPr>
            </w:pPr>
            <w:r>
              <w:rPr>
                <w:rFonts w:ascii="Times New Roman" w:hAnsi="Times New Roman" w:eastAsia="Times New Roman"/>
                <w:sz w:val="21"/>
              </w:rPr>
              <w:t xml:space="preserve">2 </w:t>
            </w:r>
            <w:r>
              <w:rPr>
                <w:sz w:val="21"/>
              </w:rPr>
              <w:t>类区</w:t>
            </w:r>
            <w:r>
              <w:rPr>
                <w:rFonts w:ascii="Times New Roman" w:hAnsi="Times New Roman" w:eastAsia="Times New Roman"/>
                <w:sz w:val="21"/>
              </w:rPr>
              <w:t>□</w:t>
            </w:r>
          </w:p>
        </w:tc>
        <w:tc>
          <w:tcPr>
            <w:tcW w:w="1125" w:type="dxa"/>
            <w:gridSpan w:val="2"/>
          </w:tcPr>
          <w:p w14:paraId="73D9E577">
            <w:pPr>
              <w:pStyle w:val="17"/>
              <w:spacing w:before="20"/>
              <w:ind w:left="150"/>
              <w:jc w:val="left"/>
              <w:rPr>
                <w:rFonts w:ascii="Wingdings" w:hAnsi="Wingdings"/>
                <w:sz w:val="21"/>
              </w:rPr>
            </w:pPr>
            <w:r>
              <w:rPr>
                <w:rFonts w:ascii="Times New Roman" w:hAnsi="Times New Roman"/>
                <w:sz w:val="21"/>
              </w:rPr>
              <w:t>3</w:t>
            </w:r>
            <w:r>
              <w:rPr>
                <w:rFonts w:ascii="Times New Roman" w:hAnsi="Times New Roman"/>
                <w:spacing w:val="50"/>
                <w:sz w:val="21"/>
              </w:rPr>
              <w:t xml:space="preserve"> </w:t>
            </w:r>
            <w:r>
              <w:rPr>
                <w:sz w:val="21"/>
              </w:rPr>
              <w:t>类区</w:t>
            </w:r>
            <w:r>
              <w:rPr>
                <w:rFonts w:ascii="Wingdings" w:hAnsi="Wingdings"/>
                <w:sz w:val="21"/>
              </w:rPr>
              <w:t></w:t>
            </w:r>
          </w:p>
        </w:tc>
        <w:tc>
          <w:tcPr>
            <w:tcW w:w="1062" w:type="dxa"/>
            <w:gridSpan w:val="3"/>
          </w:tcPr>
          <w:p w14:paraId="5A584142">
            <w:pPr>
              <w:pStyle w:val="17"/>
              <w:spacing w:before="20"/>
              <w:ind w:left="97"/>
              <w:jc w:val="left"/>
              <w:rPr>
                <w:rFonts w:ascii="Times New Roman" w:hAnsi="Times New Roman" w:eastAsia="Times New Roman"/>
                <w:sz w:val="21"/>
              </w:rPr>
            </w:pPr>
            <w:r>
              <w:rPr>
                <w:rFonts w:ascii="Times New Roman" w:hAnsi="Times New Roman" w:eastAsia="Times New Roman"/>
                <w:sz w:val="21"/>
              </w:rPr>
              <w:t xml:space="preserve">4a </w:t>
            </w:r>
            <w:r>
              <w:rPr>
                <w:sz w:val="21"/>
              </w:rPr>
              <w:t>类区</w:t>
            </w:r>
            <w:r>
              <w:rPr>
                <w:rFonts w:ascii="Times New Roman" w:hAnsi="Times New Roman" w:eastAsia="Times New Roman"/>
                <w:sz w:val="21"/>
              </w:rPr>
              <w:t>□</w:t>
            </w:r>
          </w:p>
        </w:tc>
        <w:tc>
          <w:tcPr>
            <w:tcW w:w="1129" w:type="dxa"/>
          </w:tcPr>
          <w:p w14:paraId="5279B4DE">
            <w:pPr>
              <w:pStyle w:val="17"/>
              <w:spacing w:before="20"/>
              <w:ind w:left="120"/>
              <w:jc w:val="left"/>
              <w:rPr>
                <w:rFonts w:ascii="Times New Roman" w:hAnsi="Times New Roman" w:eastAsia="Times New Roman"/>
                <w:sz w:val="21"/>
              </w:rPr>
            </w:pPr>
            <w:r>
              <w:rPr>
                <w:rFonts w:ascii="Times New Roman" w:hAnsi="Times New Roman" w:eastAsia="Times New Roman"/>
                <w:sz w:val="21"/>
              </w:rPr>
              <w:t xml:space="preserve">4b </w:t>
            </w:r>
            <w:r>
              <w:rPr>
                <w:sz w:val="21"/>
              </w:rPr>
              <w:t>类区</w:t>
            </w:r>
            <w:r>
              <w:rPr>
                <w:rFonts w:ascii="Times New Roman" w:hAnsi="Times New Roman" w:eastAsia="Times New Roman"/>
                <w:sz w:val="21"/>
              </w:rPr>
              <w:t>□</w:t>
            </w:r>
          </w:p>
        </w:tc>
      </w:tr>
      <w:tr w14:paraId="111B9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continue"/>
            <w:tcBorders>
              <w:top w:val="nil"/>
            </w:tcBorders>
          </w:tcPr>
          <w:p w14:paraId="6625D11C">
            <w:pPr>
              <w:rPr>
                <w:sz w:val="2"/>
                <w:szCs w:val="2"/>
              </w:rPr>
            </w:pPr>
          </w:p>
        </w:tc>
        <w:tc>
          <w:tcPr>
            <w:tcW w:w="1410" w:type="dxa"/>
          </w:tcPr>
          <w:p w14:paraId="59BAD340">
            <w:pPr>
              <w:pStyle w:val="17"/>
              <w:spacing w:before="20"/>
              <w:ind w:left="53" w:right="45"/>
              <w:rPr>
                <w:sz w:val="21"/>
              </w:rPr>
            </w:pPr>
            <w:r>
              <w:rPr>
                <w:sz w:val="21"/>
              </w:rPr>
              <w:t>评价年度</w:t>
            </w:r>
          </w:p>
        </w:tc>
        <w:tc>
          <w:tcPr>
            <w:tcW w:w="1638" w:type="dxa"/>
            <w:gridSpan w:val="2"/>
          </w:tcPr>
          <w:p w14:paraId="6C01497B">
            <w:pPr>
              <w:pStyle w:val="17"/>
              <w:spacing w:before="20"/>
              <w:ind w:left="543"/>
              <w:jc w:val="left"/>
              <w:rPr>
                <w:rFonts w:ascii="Times New Roman" w:hAnsi="Times New Roman" w:eastAsia="Times New Roman"/>
                <w:sz w:val="21"/>
              </w:rPr>
            </w:pPr>
            <w:r>
              <w:rPr>
                <w:sz w:val="21"/>
              </w:rPr>
              <w:t>初期</w:t>
            </w:r>
            <w:r>
              <w:rPr>
                <w:rFonts w:ascii="Times New Roman" w:hAnsi="Times New Roman" w:eastAsia="Times New Roman"/>
                <w:sz w:val="21"/>
              </w:rPr>
              <w:t>□</w:t>
            </w:r>
          </w:p>
        </w:tc>
        <w:tc>
          <w:tcPr>
            <w:tcW w:w="1621" w:type="dxa"/>
            <w:gridSpan w:val="4"/>
          </w:tcPr>
          <w:p w14:paraId="7BE62753">
            <w:pPr>
              <w:pStyle w:val="17"/>
              <w:spacing w:before="20"/>
              <w:ind w:left="535"/>
              <w:jc w:val="left"/>
              <w:rPr>
                <w:rFonts w:ascii="Times New Roman" w:hAnsi="Times New Roman" w:eastAsia="Times New Roman"/>
                <w:sz w:val="21"/>
              </w:rPr>
            </w:pPr>
            <w:r>
              <w:rPr>
                <w:sz w:val="21"/>
              </w:rPr>
              <w:t>近期</w:t>
            </w:r>
            <w:r>
              <w:rPr>
                <w:rFonts w:ascii="Times New Roman" w:hAnsi="Times New Roman" w:eastAsia="Times New Roman"/>
                <w:sz w:val="21"/>
              </w:rPr>
              <w:t>□</w:t>
            </w:r>
          </w:p>
        </w:tc>
        <w:tc>
          <w:tcPr>
            <w:tcW w:w="1677" w:type="dxa"/>
            <w:gridSpan w:val="4"/>
          </w:tcPr>
          <w:p w14:paraId="57F00284">
            <w:pPr>
              <w:pStyle w:val="17"/>
              <w:spacing w:before="20"/>
              <w:ind w:left="539" w:right="541"/>
              <w:rPr>
                <w:rFonts w:ascii="Times New Roman" w:hAnsi="Times New Roman" w:eastAsia="Times New Roman"/>
                <w:sz w:val="21"/>
              </w:rPr>
            </w:pPr>
            <w:r>
              <w:rPr>
                <w:sz w:val="21"/>
              </w:rPr>
              <w:t>中期</w:t>
            </w:r>
            <w:r>
              <w:rPr>
                <w:rFonts w:ascii="Times New Roman" w:hAnsi="Times New Roman" w:eastAsia="Times New Roman"/>
                <w:sz w:val="21"/>
              </w:rPr>
              <w:t>□</w:t>
            </w:r>
          </w:p>
        </w:tc>
        <w:tc>
          <w:tcPr>
            <w:tcW w:w="1639" w:type="dxa"/>
            <w:gridSpan w:val="2"/>
          </w:tcPr>
          <w:p w14:paraId="3B1427E6">
            <w:pPr>
              <w:pStyle w:val="17"/>
              <w:spacing w:before="20"/>
              <w:ind w:left="534"/>
              <w:jc w:val="left"/>
              <w:rPr>
                <w:rFonts w:ascii="Times New Roman" w:hAnsi="Times New Roman" w:eastAsia="Times New Roman"/>
                <w:sz w:val="21"/>
              </w:rPr>
            </w:pPr>
            <w:r>
              <w:rPr>
                <w:sz w:val="21"/>
              </w:rPr>
              <w:t>远期</w:t>
            </w:r>
            <w:r>
              <w:rPr>
                <w:rFonts w:ascii="Times New Roman" w:hAnsi="Times New Roman" w:eastAsia="Times New Roman"/>
                <w:sz w:val="21"/>
              </w:rPr>
              <w:t>□</w:t>
            </w:r>
          </w:p>
        </w:tc>
      </w:tr>
      <w:tr w14:paraId="57738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001" w:type="dxa"/>
            <w:vMerge w:val="continue"/>
            <w:tcBorders>
              <w:top w:val="nil"/>
            </w:tcBorders>
          </w:tcPr>
          <w:p w14:paraId="5D4AD1CC">
            <w:pPr>
              <w:rPr>
                <w:sz w:val="2"/>
                <w:szCs w:val="2"/>
              </w:rPr>
            </w:pPr>
          </w:p>
        </w:tc>
        <w:tc>
          <w:tcPr>
            <w:tcW w:w="1410" w:type="dxa"/>
          </w:tcPr>
          <w:p w14:paraId="0A08036C">
            <w:pPr>
              <w:pStyle w:val="17"/>
              <w:spacing w:before="106"/>
              <w:ind w:left="53" w:right="47"/>
              <w:rPr>
                <w:sz w:val="21"/>
              </w:rPr>
            </w:pPr>
            <w:r>
              <w:rPr>
                <w:sz w:val="21"/>
              </w:rPr>
              <w:t>现状调查方法</w:t>
            </w:r>
          </w:p>
        </w:tc>
        <w:tc>
          <w:tcPr>
            <w:tcW w:w="2189" w:type="dxa"/>
            <w:gridSpan w:val="5"/>
          </w:tcPr>
          <w:p w14:paraId="1AD259A8">
            <w:pPr>
              <w:pStyle w:val="17"/>
              <w:spacing w:before="106"/>
              <w:ind w:left="473"/>
              <w:jc w:val="left"/>
              <w:rPr>
                <w:rFonts w:ascii="Wingdings" w:hAnsi="Wingdings"/>
                <w:sz w:val="21"/>
              </w:rPr>
            </w:pPr>
            <w:r>
              <w:rPr>
                <w:sz w:val="21"/>
              </w:rPr>
              <w:t>现场实测法</w:t>
            </w:r>
            <w:r>
              <w:rPr>
                <w:rFonts w:ascii="Wingdings" w:hAnsi="Wingdings"/>
                <w:sz w:val="21"/>
              </w:rPr>
              <w:t></w:t>
            </w:r>
          </w:p>
        </w:tc>
        <w:tc>
          <w:tcPr>
            <w:tcW w:w="2747" w:type="dxa"/>
            <w:gridSpan w:val="5"/>
          </w:tcPr>
          <w:p w14:paraId="6AD04C29">
            <w:pPr>
              <w:pStyle w:val="17"/>
              <w:spacing w:before="106"/>
              <w:ind w:left="255"/>
              <w:jc w:val="left"/>
              <w:rPr>
                <w:rFonts w:ascii="Times New Roman" w:hAnsi="Times New Roman" w:eastAsia="Times New Roman"/>
                <w:sz w:val="21"/>
              </w:rPr>
            </w:pPr>
            <w:r>
              <w:rPr>
                <w:sz w:val="21"/>
              </w:rPr>
              <w:t>现场实测加模型计算法</w:t>
            </w:r>
            <w:r>
              <w:rPr>
                <w:rFonts w:ascii="Times New Roman" w:hAnsi="Times New Roman" w:eastAsia="Times New Roman"/>
                <w:sz w:val="21"/>
              </w:rPr>
              <w:t>□</w:t>
            </w:r>
          </w:p>
        </w:tc>
        <w:tc>
          <w:tcPr>
            <w:tcW w:w="1639" w:type="dxa"/>
            <w:gridSpan w:val="2"/>
          </w:tcPr>
          <w:p w14:paraId="3F6B75F7">
            <w:pPr>
              <w:pStyle w:val="17"/>
              <w:spacing w:before="106"/>
              <w:ind w:left="294"/>
              <w:jc w:val="left"/>
              <w:rPr>
                <w:rFonts w:ascii="Wingdings" w:hAnsi="Wingdings"/>
                <w:sz w:val="21"/>
              </w:rPr>
            </w:pPr>
            <w:r>
              <w:rPr>
                <w:sz w:val="21"/>
              </w:rPr>
              <w:t>收集资料</w:t>
            </w:r>
            <w:r>
              <w:rPr>
                <w:rFonts w:ascii="Wingdings" w:hAnsi="Wingdings"/>
                <w:sz w:val="21"/>
              </w:rPr>
              <w:t></w:t>
            </w:r>
          </w:p>
        </w:tc>
      </w:tr>
      <w:tr w14:paraId="2D911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continue"/>
            <w:tcBorders>
              <w:top w:val="nil"/>
            </w:tcBorders>
          </w:tcPr>
          <w:p w14:paraId="26CE32EB">
            <w:pPr>
              <w:rPr>
                <w:sz w:val="2"/>
                <w:szCs w:val="2"/>
              </w:rPr>
            </w:pPr>
          </w:p>
        </w:tc>
        <w:tc>
          <w:tcPr>
            <w:tcW w:w="1410" w:type="dxa"/>
          </w:tcPr>
          <w:p w14:paraId="65249B59">
            <w:pPr>
              <w:pStyle w:val="17"/>
              <w:spacing w:before="20"/>
              <w:ind w:left="53" w:right="45"/>
              <w:rPr>
                <w:sz w:val="21"/>
              </w:rPr>
            </w:pPr>
            <w:r>
              <w:rPr>
                <w:sz w:val="21"/>
              </w:rPr>
              <w:t>现状评价</w:t>
            </w:r>
          </w:p>
        </w:tc>
        <w:tc>
          <w:tcPr>
            <w:tcW w:w="1954" w:type="dxa"/>
            <w:gridSpan w:val="4"/>
          </w:tcPr>
          <w:p w14:paraId="04EE8509">
            <w:pPr>
              <w:pStyle w:val="17"/>
              <w:spacing w:before="20"/>
              <w:ind w:left="449"/>
              <w:jc w:val="left"/>
              <w:rPr>
                <w:sz w:val="21"/>
              </w:rPr>
            </w:pPr>
            <w:r>
              <w:rPr>
                <w:sz w:val="21"/>
              </w:rPr>
              <w:t>达标百分比</w:t>
            </w:r>
          </w:p>
        </w:tc>
        <w:tc>
          <w:tcPr>
            <w:tcW w:w="4621" w:type="dxa"/>
            <w:gridSpan w:val="8"/>
          </w:tcPr>
          <w:p w14:paraId="3D5675EB">
            <w:pPr>
              <w:pStyle w:val="17"/>
              <w:spacing w:before="33"/>
              <w:ind w:left="2128" w:right="2128"/>
              <w:rPr>
                <w:rFonts w:ascii="Times New Roman"/>
                <w:sz w:val="21"/>
              </w:rPr>
            </w:pPr>
            <w:r>
              <w:rPr>
                <w:rFonts w:ascii="Times New Roman"/>
                <w:sz w:val="21"/>
              </w:rPr>
              <w:t>100</w:t>
            </w:r>
          </w:p>
        </w:tc>
      </w:tr>
      <w:tr w14:paraId="6D8A3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001" w:type="dxa"/>
          </w:tcPr>
          <w:p w14:paraId="0071331C">
            <w:pPr>
              <w:pStyle w:val="17"/>
              <w:spacing w:before="77" w:line="278" w:lineRule="auto"/>
              <w:ind w:left="393" w:right="71" w:hanging="315"/>
              <w:jc w:val="left"/>
              <w:rPr>
                <w:sz w:val="21"/>
              </w:rPr>
            </w:pPr>
            <w:r>
              <w:rPr>
                <w:w w:val="95"/>
                <w:sz w:val="21"/>
              </w:rPr>
              <w:t>噪声源调</w:t>
            </w:r>
            <w:r>
              <w:rPr>
                <w:sz w:val="21"/>
              </w:rPr>
              <w:t>查</w:t>
            </w:r>
          </w:p>
        </w:tc>
        <w:tc>
          <w:tcPr>
            <w:tcW w:w="1410" w:type="dxa"/>
          </w:tcPr>
          <w:p w14:paraId="6CD1111D">
            <w:pPr>
              <w:pStyle w:val="17"/>
              <w:spacing w:before="77" w:line="278" w:lineRule="auto"/>
              <w:ind w:left="599" w:right="65" w:hanging="526"/>
              <w:jc w:val="left"/>
              <w:rPr>
                <w:sz w:val="21"/>
              </w:rPr>
            </w:pPr>
            <w:r>
              <w:rPr>
                <w:w w:val="95"/>
                <w:sz w:val="21"/>
              </w:rPr>
              <w:t>噪声源调查方</w:t>
            </w:r>
            <w:r>
              <w:rPr>
                <w:sz w:val="21"/>
              </w:rPr>
              <w:t>法</w:t>
            </w:r>
          </w:p>
        </w:tc>
        <w:tc>
          <w:tcPr>
            <w:tcW w:w="1954" w:type="dxa"/>
            <w:gridSpan w:val="4"/>
          </w:tcPr>
          <w:p w14:paraId="3E0786C3">
            <w:pPr>
              <w:pStyle w:val="17"/>
              <w:spacing w:before="2"/>
              <w:jc w:val="left"/>
              <w:rPr>
                <w:b/>
                <w:sz w:val="18"/>
              </w:rPr>
            </w:pPr>
          </w:p>
          <w:p w14:paraId="2B37D914">
            <w:pPr>
              <w:pStyle w:val="17"/>
              <w:ind w:left="493"/>
              <w:jc w:val="left"/>
              <w:rPr>
                <w:rFonts w:ascii="Times New Roman" w:hAnsi="Times New Roman" w:eastAsia="Times New Roman"/>
                <w:sz w:val="21"/>
              </w:rPr>
            </w:pPr>
            <w:r>
              <w:rPr>
                <w:sz w:val="21"/>
              </w:rPr>
              <w:t>现场实测</w:t>
            </w:r>
            <w:r>
              <w:rPr>
                <w:rFonts w:ascii="Times New Roman" w:hAnsi="Times New Roman" w:eastAsia="Times New Roman"/>
                <w:sz w:val="21"/>
              </w:rPr>
              <w:t>□</w:t>
            </w:r>
          </w:p>
        </w:tc>
        <w:tc>
          <w:tcPr>
            <w:tcW w:w="1984" w:type="dxa"/>
            <w:gridSpan w:val="3"/>
          </w:tcPr>
          <w:p w14:paraId="200974A0">
            <w:pPr>
              <w:pStyle w:val="17"/>
              <w:spacing w:before="2"/>
              <w:jc w:val="left"/>
              <w:rPr>
                <w:b/>
                <w:sz w:val="18"/>
              </w:rPr>
            </w:pPr>
          </w:p>
          <w:p w14:paraId="17FFCB25">
            <w:pPr>
              <w:pStyle w:val="17"/>
              <w:ind w:left="475"/>
              <w:jc w:val="left"/>
              <w:rPr>
                <w:rFonts w:ascii="Wingdings" w:hAnsi="Wingdings"/>
                <w:sz w:val="21"/>
              </w:rPr>
            </w:pPr>
            <w:r>
              <w:rPr>
                <w:sz w:val="21"/>
              </w:rPr>
              <w:t>已有资料</w:t>
            </w:r>
            <w:r>
              <w:rPr>
                <w:rFonts w:ascii="Wingdings" w:hAnsi="Wingdings"/>
                <w:sz w:val="21"/>
              </w:rPr>
              <w:t></w:t>
            </w:r>
          </w:p>
        </w:tc>
        <w:tc>
          <w:tcPr>
            <w:tcW w:w="2637" w:type="dxa"/>
            <w:gridSpan w:val="5"/>
          </w:tcPr>
          <w:p w14:paraId="5EF6CC56">
            <w:pPr>
              <w:pStyle w:val="17"/>
              <w:spacing w:before="2"/>
              <w:jc w:val="left"/>
              <w:rPr>
                <w:b/>
                <w:sz w:val="18"/>
              </w:rPr>
            </w:pPr>
          </w:p>
          <w:p w14:paraId="65B4A830">
            <w:pPr>
              <w:pStyle w:val="17"/>
              <w:ind w:left="827"/>
              <w:jc w:val="left"/>
              <w:rPr>
                <w:rFonts w:ascii="Times New Roman" w:hAnsi="Times New Roman" w:eastAsia="Times New Roman"/>
                <w:sz w:val="21"/>
              </w:rPr>
            </w:pPr>
            <w:r>
              <w:rPr>
                <w:sz w:val="21"/>
              </w:rPr>
              <w:t>研究成果</w:t>
            </w:r>
            <w:r>
              <w:rPr>
                <w:rFonts w:ascii="Times New Roman" w:hAnsi="Times New Roman" w:eastAsia="Times New Roman"/>
                <w:sz w:val="21"/>
              </w:rPr>
              <w:t>□</w:t>
            </w:r>
          </w:p>
        </w:tc>
      </w:tr>
      <w:tr w14:paraId="4A850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01" w:type="dxa"/>
            <w:vMerge w:val="restart"/>
          </w:tcPr>
          <w:p w14:paraId="357C61D3">
            <w:pPr>
              <w:pStyle w:val="17"/>
              <w:jc w:val="left"/>
              <w:rPr>
                <w:b/>
                <w:sz w:val="20"/>
              </w:rPr>
            </w:pPr>
          </w:p>
          <w:p w14:paraId="096BC0E4">
            <w:pPr>
              <w:pStyle w:val="17"/>
              <w:jc w:val="left"/>
              <w:rPr>
                <w:b/>
                <w:sz w:val="20"/>
              </w:rPr>
            </w:pPr>
          </w:p>
          <w:p w14:paraId="3ABDC4D5">
            <w:pPr>
              <w:pStyle w:val="17"/>
              <w:jc w:val="left"/>
              <w:rPr>
                <w:b/>
                <w:sz w:val="20"/>
              </w:rPr>
            </w:pPr>
          </w:p>
          <w:p w14:paraId="42969361">
            <w:pPr>
              <w:pStyle w:val="17"/>
              <w:jc w:val="left"/>
              <w:rPr>
                <w:b/>
                <w:sz w:val="20"/>
              </w:rPr>
            </w:pPr>
          </w:p>
          <w:p w14:paraId="51B85192">
            <w:pPr>
              <w:pStyle w:val="17"/>
              <w:spacing w:before="11"/>
              <w:jc w:val="left"/>
              <w:rPr>
                <w:b/>
                <w:sz w:val="22"/>
              </w:rPr>
            </w:pPr>
          </w:p>
          <w:p w14:paraId="3129FB5F">
            <w:pPr>
              <w:pStyle w:val="17"/>
              <w:spacing w:line="278" w:lineRule="auto"/>
              <w:ind w:left="79" w:right="71"/>
              <w:rPr>
                <w:sz w:val="21"/>
              </w:rPr>
            </w:pPr>
            <w:r>
              <w:rPr>
                <w:w w:val="95"/>
                <w:sz w:val="21"/>
              </w:rPr>
              <w:t>声环境影响预测与</w:t>
            </w:r>
            <w:r>
              <w:rPr>
                <w:sz w:val="21"/>
              </w:rPr>
              <w:t>评价</w:t>
            </w:r>
          </w:p>
        </w:tc>
        <w:tc>
          <w:tcPr>
            <w:tcW w:w="1410" w:type="dxa"/>
          </w:tcPr>
          <w:p w14:paraId="464FD73C">
            <w:pPr>
              <w:pStyle w:val="17"/>
              <w:spacing w:before="4"/>
              <w:jc w:val="left"/>
              <w:rPr>
                <w:b/>
                <w:sz w:val="28"/>
              </w:rPr>
            </w:pPr>
          </w:p>
          <w:p w14:paraId="708DD67B">
            <w:pPr>
              <w:pStyle w:val="17"/>
              <w:ind w:left="53" w:right="45"/>
              <w:rPr>
                <w:sz w:val="21"/>
              </w:rPr>
            </w:pPr>
            <w:r>
              <w:rPr>
                <w:sz w:val="21"/>
              </w:rPr>
              <w:t>预测模型</w:t>
            </w:r>
          </w:p>
        </w:tc>
        <w:tc>
          <w:tcPr>
            <w:tcW w:w="1954" w:type="dxa"/>
            <w:gridSpan w:val="4"/>
          </w:tcPr>
          <w:p w14:paraId="41EFB93B">
            <w:pPr>
              <w:pStyle w:val="17"/>
              <w:spacing w:before="1"/>
              <w:jc w:val="left"/>
              <w:rPr>
                <w:b/>
                <w:sz w:val="16"/>
              </w:rPr>
            </w:pPr>
          </w:p>
          <w:p w14:paraId="7D652902">
            <w:pPr>
              <w:pStyle w:val="17"/>
              <w:spacing w:before="1"/>
              <w:ind w:left="253"/>
              <w:jc w:val="left"/>
              <w:rPr>
                <w:rFonts w:ascii="Wingdings" w:hAnsi="Wingdings"/>
                <w:sz w:val="21"/>
              </w:rPr>
            </w:pPr>
            <w:r>
              <w:rPr>
                <w:sz w:val="21"/>
              </w:rPr>
              <w:t>导则推荐模型</w:t>
            </w:r>
            <w:r>
              <w:rPr>
                <w:rFonts w:ascii="Wingdings" w:hAnsi="Wingdings"/>
                <w:sz w:val="21"/>
              </w:rPr>
              <w:t></w:t>
            </w:r>
          </w:p>
        </w:tc>
        <w:tc>
          <w:tcPr>
            <w:tcW w:w="4621" w:type="dxa"/>
            <w:gridSpan w:val="8"/>
          </w:tcPr>
          <w:p w14:paraId="6C2D0EAE">
            <w:pPr>
              <w:pStyle w:val="17"/>
              <w:spacing w:before="1"/>
              <w:jc w:val="left"/>
              <w:rPr>
                <w:b/>
                <w:sz w:val="16"/>
              </w:rPr>
            </w:pPr>
          </w:p>
          <w:p w14:paraId="3FA9E692">
            <w:pPr>
              <w:pStyle w:val="17"/>
              <w:tabs>
                <w:tab w:val="left" w:pos="3172"/>
              </w:tabs>
              <w:spacing w:before="1"/>
              <w:ind w:left="1486"/>
              <w:jc w:val="left"/>
              <w:rPr>
                <w:rFonts w:ascii="Times New Roman" w:hAnsi="Times New Roman" w:eastAsia="Times New Roman"/>
                <w:sz w:val="21"/>
              </w:rPr>
            </w:pPr>
            <w:r>
              <w:rPr>
                <w:w w:val="95"/>
                <w:sz w:val="21"/>
              </w:rPr>
              <w:t>其他</w:t>
            </w:r>
            <w:r>
              <w:rPr>
                <w:rFonts w:ascii="Times New Roman" w:hAnsi="Times New Roman" w:eastAsia="Times New Roman"/>
                <w:w w:val="95"/>
                <w:sz w:val="21"/>
              </w:rPr>
              <w:t>□</w:t>
            </w:r>
            <w:r>
              <w:rPr>
                <w:rFonts w:ascii="Times New Roman" w:hAnsi="Times New Roman" w:eastAsia="Times New Roman"/>
                <w:w w:val="95"/>
                <w:sz w:val="21"/>
                <w:u w:val="single"/>
              </w:rPr>
              <w:t xml:space="preserve"> </w:t>
            </w:r>
            <w:r>
              <w:rPr>
                <w:rFonts w:ascii="Times New Roman" w:hAnsi="Times New Roman" w:eastAsia="Times New Roman"/>
                <w:sz w:val="21"/>
                <w:u w:val="single"/>
              </w:rPr>
              <w:tab/>
            </w:r>
          </w:p>
        </w:tc>
      </w:tr>
      <w:tr w14:paraId="4CA21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vMerge w:val="continue"/>
            <w:tcBorders>
              <w:top w:val="nil"/>
            </w:tcBorders>
          </w:tcPr>
          <w:p w14:paraId="434322AF">
            <w:pPr>
              <w:rPr>
                <w:sz w:val="2"/>
                <w:szCs w:val="2"/>
              </w:rPr>
            </w:pPr>
          </w:p>
        </w:tc>
        <w:tc>
          <w:tcPr>
            <w:tcW w:w="1410" w:type="dxa"/>
          </w:tcPr>
          <w:p w14:paraId="1C89EC34">
            <w:pPr>
              <w:pStyle w:val="17"/>
              <w:spacing w:before="19"/>
              <w:ind w:left="53" w:right="45"/>
              <w:rPr>
                <w:sz w:val="21"/>
              </w:rPr>
            </w:pPr>
            <w:r>
              <w:rPr>
                <w:sz w:val="21"/>
              </w:rPr>
              <w:t>预测范围</w:t>
            </w:r>
          </w:p>
        </w:tc>
        <w:tc>
          <w:tcPr>
            <w:tcW w:w="1954" w:type="dxa"/>
            <w:gridSpan w:val="4"/>
          </w:tcPr>
          <w:p w14:paraId="259129C4">
            <w:pPr>
              <w:pStyle w:val="17"/>
              <w:spacing w:before="33"/>
              <w:ind w:left="615"/>
              <w:jc w:val="left"/>
              <w:rPr>
                <w:rFonts w:ascii="Wingdings" w:hAnsi="Wingdings"/>
                <w:sz w:val="21"/>
              </w:rPr>
            </w:pPr>
            <w:r>
              <w:rPr>
                <w:rFonts w:ascii="Times New Roman" w:hAnsi="Times New Roman"/>
                <w:sz w:val="21"/>
              </w:rPr>
              <w:t>200 m</w:t>
            </w:r>
            <w:r>
              <w:rPr>
                <w:rFonts w:ascii="Wingdings" w:hAnsi="Wingdings"/>
                <w:sz w:val="21"/>
              </w:rPr>
              <w:t></w:t>
            </w:r>
          </w:p>
        </w:tc>
        <w:tc>
          <w:tcPr>
            <w:tcW w:w="1984" w:type="dxa"/>
            <w:gridSpan w:val="3"/>
          </w:tcPr>
          <w:p w14:paraId="1C250AF7">
            <w:pPr>
              <w:pStyle w:val="17"/>
              <w:spacing w:before="19"/>
              <w:ind w:left="396"/>
              <w:jc w:val="left"/>
              <w:rPr>
                <w:rFonts w:ascii="Times New Roman" w:hAnsi="Times New Roman" w:eastAsia="Times New Roman"/>
                <w:sz w:val="21"/>
              </w:rPr>
            </w:pPr>
            <w:r>
              <w:rPr>
                <w:sz w:val="21"/>
              </w:rPr>
              <w:t xml:space="preserve">大于 </w:t>
            </w:r>
            <w:r>
              <w:rPr>
                <w:rFonts w:ascii="Times New Roman" w:hAnsi="Times New Roman" w:eastAsia="Times New Roman"/>
                <w:sz w:val="21"/>
              </w:rPr>
              <w:t>200 m□</w:t>
            </w:r>
          </w:p>
        </w:tc>
        <w:tc>
          <w:tcPr>
            <w:tcW w:w="2637" w:type="dxa"/>
            <w:gridSpan w:val="5"/>
          </w:tcPr>
          <w:p w14:paraId="24F1D4D3">
            <w:pPr>
              <w:pStyle w:val="17"/>
              <w:spacing w:before="19"/>
              <w:ind w:left="719"/>
              <w:jc w:val="left"/>
              <w:rPr>
                <w:rFonts w:ascii="Times New Roman" w:hAnsi="Times New Roman" w:eastAsia="Times New Roman"/>
                <w:sz w:val="21"/>
              </w:rPr>
            </w:pPr>
            <w:r>
              <w:rPr>
                <w:sz w:val="21"/>
              </w:rPr>
              <w:t xml:space="preserve">小于 </w:t>
            </w:r>
            <w:r>
              <w:rPr>
                <w:rFonts w:ascii="Times New Roman" w:hAnsi="Times New Roman" w:eastAsia="Times New Roman"/>
                <w:sz w:val="21"/>
              </w:rPr>
              <w:t>200 m□</w:t>
            </w:r>
          </w:p>
        </w:tc>
      </w:tr>
      <w:tr w14:paraId="3C401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 w:type="dxa"/>
            <w:vMerge w:val="continue"/>
            <w:tcBorders>
              <w:top w:val="nil"/>
            </w:tcBorders>
          </w:tcPr>
          <w:p w14:paraId="20DF0099">
            <w:pPr>
              <w:rPr>
                <w:sz w:val="2"/>
                <w:szCs w:val="2"/>
              </w:rPr>
            </w:pPr>
          </w:p>
        </w:tc>
        <w:tc>
          <w:tcPr>
            <w:tcW w:w="1410" w:type="dxa"/>
          </w:tcPr>
          <w:p w14:paraId="269BAB53">
            <w:pPr>
              <w:pStyle w:val="17"/>
              <w:spacing w:before="19"/>
              <w:ind w:left="53" w:right="45"/>
              <w:rPr>
                <w:sz w:val="21"/>
              </w:rPr>
            </w:pPr>
            <w:r>
              <w:rPr>
                <w:sz w:val="21"/>
              </w:rPr>
              <w:t>预测因子</w:t>
            </w:r>
          </w:p>
        </w:tc>
        <w:tc>
          <w:tcPr>
            <w:tcW w:w="1954" w:type="dxa"/>
            <w:gridSpan w:val="4"/>
          </w:tcPr>
          <w:p w14:paraId="6547BEF7">
            <w:pPr>
              <w:pStyle w:val="17"/>
              <w:spacing w:before="19"/>
              <w:ind w:left="70"/>
              <w:jc w:val="left"/>
              <w:rPr>
                <w:rFonts w:ascii="Wingdings" w:hAnsi="Wingdings"/>
                <w:sz w:val="21"/>
              </w:rPr>
            </w:pPr>
            <w:r>
              <w:rPr>
                <w:sz w:val="21"/>
              </w:rPr>
              <w:t xml:space="preserve">等效连续 </w:t>
            </w:r>
            <w:r>
              <w:rPr>
                <w:rFonts w:ascii="Times New Roman" w:hAnsi="Times New Roman"/>
                <w:sz w:val="21"/>
              </w:rPr>
              <w:t xml:space="preserve">A </w:t>
            </w:r>
            <w:r>
              <w:rPr>
                <w:sz w:val="21"/>
              </w:rPr>
              <w:t>声级</w:t>
            </w:r>
            <w:r>
              <w:rPr>
                <w:rFonts w:ascii="Wingdings" w:hAnsi="Wingdings"/>
                <w:sz w:val="21"/>
              </w:rPr>
              <w:t></w:t>
            </w:r>
          </w:p>
        </w:tc>
        <w:tc>
          <w:tcPr>
            <w:tcW w:w="1984" w:type="dxa"/>
            <w:gridSpan w:val="3"/>
          </w:tcPr>
          <w:p w14:paraId="4280F43D">
            <w:pPr>
              <w:pStyle w:val="17"/>
              <w:spacing w:before="19"/>
              <w:ind w:left="324"/>
              <w:jc w:val="left"/>
              <w:rPr>
                <w:rFonts w:ascii="Times New Roman" w:hAnsi="Times New Roman" w:eastAsia="Times New Roman"/>
                <w:sz w:val="21"/>
              </w:rPr>
            </w:pPr>
            <w:r>
              <w:rPr>
                <w:sz w:val="21"/>
              </w:rPr>
              <w:t xml:space="preserve">最大 </w:t>
            </w:r>
            <w:r>
              <w:rPr>
                <w:rFonts w:ascii="Times New Roman" w:hAnsi="Times New Roman" w:eastAsia="Times New Roman"/>
                <w:sz w:val="21"/>
              </w:rPr>
              <w:t xml:space="preserve">A </w:t>
            </w:r>
            <w:r>
              <w:rPr>
                <w:sz w:val="21"/>
              </w:rPr>
              <w:t>声级</w:t>
            </w:r>
            <w:r>
              <w:rPr>
                <w:rFonts w:ascii="Times New Roman" w:hAnsi="Times New Roman" w:eastAsia="Times New Roman"/>
                <w:sz w:val="21"/>
              </w:rPr>
              <w:t>□</w:t>
            </w:r>
          </w:p>
        </w:tc>
        <w:tc>
          <w:tcPr>
            <w:tcW w:w="2637" w:type="dxa"/>
            <w:gridSpan w:val="5"/>
          </w:tcPr>
          <w:p w14:paraId="38A42826">
            <w:pPr>
              <w:pStyle w:val="17"/>
              <w:spacing w:before="19"/>
              <w:ind w:left="92"/>
              <w:jc w:val="left"/>
              <w:rPr>
                <w:rFonts w:ascii="Times New Roman" w:hAnsi="Times New Roman" w:eastAsia="Times New Roman"/>
                <w:sz w:val="21"/>
              </w:rPr>
            </w:pPr>
            <w:r>
              <w:rPr>
                <w:sz w:val="21"/>
              </w:rPr>
              <w:t>计权等效连续感觉噪声级</w:t>
            </w:r>
            <w:r>
              <w:rPr>
                <w:rFonts w:ascii="Times New Roman" w:hAnsi="Times New Roman" w:eastAsia="Times New Roman"/>
                <w:sz w:val="21"/>
              </w:rPr>
              <w:t>□</w:t>
            </w:r>
          </w:p>
        </w:tc>
      </w:tr>
      <w:tr w14:paraId="63658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 w:type="dxa"/>
            <w:vMerge w:val="continue"/>
            <w:tcBorders>
              <w:top w:val="nil"/>
            </w:tcBorders>
          </w:tcPr>
          <w:p w14:paraId="4A983D63">
            <w:pPr>
              <w:rPr>
                <w:sz w:val="2"/>
                <w:szCs w:val="2"/>
              </w:rPr>
            </w:pPr>
          </w:p>
        </w:tc>
        <w:tc>
          <w:tcPr>
            <w:tcW w:w="1410" w:type="dxa"/>
          </w:tcPr>
          <w:p w14:paraId="71743E54">
            <w:pPr>
              <w:pStyle w:val="17"/>
              <w:spacing w:before="21"/>
              <w:ind w:left="53" w:right="47"/>
              <w:rPr>
                <w:sz w:val="21"/>
              </w:rPr>
            </w:pPr>
            <w:r>
              <w:rPr>
                <w:sz w:val="21"/>
              </w:rPr>
              <w:t>厂界噪声贡献</w:t>
            </w:r>
          </w:p>
          <w:p w14:paraId="2DD925F9">
            <w:pPr>
              <w:pStyle w:val="17"/>
              <w:spacing w:before="43"/>
              <w:ind w:left="8"/>
              <w:rPr>
                <w:sz w:val="21"/>
              </w:rPr>
            </w:pPr>
            <w:r>
              <w:rPr>
                <w:w w:val="99"/>
                <w:sz w:val="21"/>
              </w:rPr>
              <w:t>值</w:t>
            </w:r>
          </w:p>
        </w:tc>
        <w:tc>
          <w:tcPr>
            <w:tcW w:w="3259" w:type="dxa"/>
            <w:gridSpan w:val="6"/>
          </w:tcPr>
          <w:p w14:paraId="681094B1">
            <w:pPr>
              <w:pStyle w:val="17"/>
              <w:spacing w:before="177"/>
              <w:ind w:left="1251" w:right="1247"/>
              <w:rPr>
                <w:rFonts w:ascii="Wingdings" w:hAnsi="Wingdings"/>
                <w:sz w:val="21"/>
              </w:rPr>
            </w:pPr>
            <w:r>
              <w:rPr>
                <w:sz w:val="21"/>
              </w:rPr>
              <w:t xml:space="preserve">达标 </w:t>
            </w:r>
            <w:r>
              <w:rPr>
                <w:rFonts w:ascii="Wingdings" w:hAnsi="Wingdings"/>
                <w:sz w:val="21"/>
              </w:rPr>
              <w:t></w:t>
            </w:r>
          </w:p>
        </w:tc>
        <w:tc>
          <w:tcPr>
            <w:tcW w:w="3316" w:type="dxa"/>
            <w:gridSpan w:val="6"/>
          </w:tcPr>
          <w:p w14:paraId="68B38A24">
            <w:pPr>
              <w:pStyle w:val="17"/>
              <w:spacing w:before="177"/>
              <w:ind w:left="1252" w:right="1256"/>
              <w:rPr>
                <w:rFonts w:ascii="Times New Roman" w:hAnsi="Times New Roman" w:eastAsia="Times New Roman"/>
                <w:sz w:val="21"/>
              </w:rPr>
            </w:pPr>
            <w:r>
              <w:rPr>
                <w:sz w:val="21"/>
              </w:rPr>
              <w:t>不达标</w:t>
            </w:r>
            <w:r>
              <w:rPr>
                <w:rFonts w:ascii="Times New Roman" w:hAnsi="Times New Roman" w:eastAsia="Times New Roman"/>
                <w:sz w:val="21"/>
              </w:rPr>
              <w:t>□</w:t>
            </w:r>
          </w:p>
        </w:tc>
      </w:tr>
      <w:tr w14:paraId="4BF38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01" w:type="dxa"/>
            <w:vMerge w:val="continue"/>
            <w:tcBorders>
              <w:top w:val="nil"/>
            </w:tcBorders>
          </w:tcPr>
          <w:p w14:paraId="1B36C5B0">
            <w:pPr>
              <w:rPr>
                <w:sz w:val="2"/>
                <w:szCs w:val="2"/>
              </w:rPr>
            </w:pPr>
          </w:p>
        </w:tc>
        <w:tc>
          <w:tcPr>
            <w:tcW w:w="1410" w:type="dxa"/>
          </w:tcPr>
          <w:p w14:paraId="61F29F4A">
            <w:pPr>
              <w:pStyle w:val="17"/>
              <w:spacing w:before="21"/>
              <w:ind w:left="53" w:right="47"/>
              <w:rPr>
                <w:sz w:val="21"/>
              </w:rPr>
            </w:pPr>
            <w:r>
              <w:rPr>
                <w:sz w:val="21"/>
              </w:rPr>
              <w:t>声环境保护目</w:t>
            </w:r>
          </w:p>
          <w:p w14:paraId="78B4E5F1">
            <w:pPr>
              <w:pStyle w:val="17"/>
              <w:spacing w:before="42"/>
              <w:ind w:left="53" w:right="45"/>
              <w:rPr>
                <w:sz w:val="21"/>
              </w:rPr>
            </w:pPr>
            <w:r>
              <w:rPr>
                <w:sz w:val="21"/>
              </w:rPr>
              <w:t>标处噪声值</w:t>
            </w:r>
          </w:p>
        </w:tc>
        <w:tc>
          <w:tcPr>
            <w:tcW w:w="3259" w:type="dxa"/>
            <w:gridSpan w:val="6"/>
          </w:tcPr>
          <w:p w14:paraId="0AAED5F9">
            <w:pPr>
              <w:pStyle w:val="17"/>
              <w:spacing w:before="176"/>
              <w:ind w:left="1251" w:right="1247"/>
              <w:rPr>
                <w:rFonts w:ascii="Wingdings" w:hAnsi="Wingdings"/>
                <w:sz w:val="21"/>
              </w:rPr>
            </w:pPr>
            <w:r>
              <w:rPr>
                <w:sz w:val="21"/>
              </w:rPr>
              <w:t>达标</w:t>
            </w:r>
            <w:r>
              <w:rPr>
                <w:rFonts w:ascii="Wingdings" w:hAnsi="Wingdings"/>
                <w:sz w:val="21"/>
              </w:rPr>
              <w:t></w:t>
            </w:r>
          </w:p>
        </w:tc>
        <w:tc>
          <w:tcPr>
            <w:tcW w:w="3316" w:type="dxa"/>
            <w:gridSpan w:val="6"/>
          </w:tcPr>
          <w:p w14:paraId="16535BC1">
            <w:pPr>
              <w:pStyle w:val="17"/>
              <w:spacing w:before="176"/>
              <w:ind w:left="1252" w:right="1256"/>
              <w:rPr>
                <w:rFonts w:ascii="Times New Roman" w:hAnsi="Times New Roman" w:eastAsia="Times New Roman"/>
                <w:sz w:val="21"/>
              </w:rPr>
            </w:pPr>
            <w:r>
              <w:rPr>
                <w:sz w:val="21"/>
              </w:rPr>
              <w:t>不达标</w:t>
            </w:r>
            <w:r>
              <w:rPr>
                <w:rFonts w:ascii="Times New Roman" w:hAnsi="Times New Roman" w:eastAsia="Times New Roman"/>
                <w:sz w:val="21"/>
              </w:rPr>
              <w:t>□</w:t>
            </w:r>
          </w:p>
        </w:tc>
      </w:tr>
      <w:tr w14:paraId="0E1C8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1" w:type="dxa"/>
            <w:vMerge w:val="restart"/>
          </w:tcPr>
          <w:p w14:paraId="7B5FB7FB">
            <w:pPr>
              <w:pStyle w:val="17"/>
              <w:spacing w:before="1"/>
              <w:jc w:val="left"/>
              <w:rPr>
                <w:b/>
                <w:sz w:val="23"/>
              </w:rPr>
            </w:pPr>
          </w:p>
          <w:p w14:paraId="7002B5BA">
            <w:pPr>
              <w:pStyle w:val="17"/>
              <w:spacing w:line="310" w:lineRule="atLeast"/>
              <w:ind w:left="290" w:right="71" w:hanging="212"/>
              <w:jc w:val="left"/>
              <w:rPr>
                <w:sz w:val="21"/>
              </w:rPr>
            </w:pPr>
            <w:r>
              <w:rPr>
                <w:w w:val="95"/>
                <w:sz w:val="21"/>
              </w:rPr>
              <w:t>环境监测</w:t>
            </w:r>
            <w:r>
              <w:rPr>
                <w:sz w:val="21"/>
              </w:rPr>
              <w:t>计划</w:t>
            </w:r>
          </w:p>
        </w:tc>
        <w:tc>
          <w:tcPr>
            <w:tcW w:w="1410" w:type="dxa"/>
          </w:tcPr>
          <w:p w14:paraId="57A20EF9">
            <w:pPr>
              <w:pStyle w:val="17"/>
              <w:spacing w:before="20"/>
              <w:ind w:left="53" w:right="45"/>
              <w:rPr>
                <w:sz w:val="21"/>
              </w:rPr>
            </w:pPr>
            <w:r>
              <w:rPr>
                <w:sz w:val="21"/>
              </w:rPr>
              <w:t>排放监测</w:t>
            </w:r>
          </w:p>
        </w:tc>
        <w:tc>
          <w:tcPr>
            <w:tcW w:w="1728" w:type="dxa"/>
            <w:gridSpan w:val="3"/>
            <w:tcBorders>
              <w:right w:val="nil"/>
            </w:tcBorders>
          </w:tcPr>
          <w:p w14:paraId="6DED490D">
            <w:pPr>
              <w:pStyle w:val="17"/>
              <w:spacing w:before="20"/>
              <w:ind w:left="125"/>
              <w:jc w:val="left"/>
              <w:rPr>
                <w:rFonts w:ascii="Wingdings" w:hAnsi="Wingdings"/>
                <w:sz w:val="21"/>
              </w:rPr>
            </w:pPr>
            <w:r>
              <w:rPr>
                <w:sz w:val="21"/>
              </w:rPr>
              <w:t>厂界监测</w:t>
            </w:r>
            <w:r>
              <w:rPr>
                <w:rFonts w:ascii="Wingdings" w:hAnsi="Wingdings"/>
                <w:sz w:val="21"/>
              </w:rPr>
              <w:t></w:t>
            </w:r>
          </w:p>
        </w:tc>
        <w:tc>
          <w:tcPr>
            <w:tcW w:w="1531" w:type="dxa"/>
            <w:gridSpan w:val="3"/>
            <w:tcBorders>
              <w:left w:val="nil"/>
            </w:tcBorders>
          </w:tcPr>
          <w:p w14:paraId="59B046DA">
            <w:pPr>
              <w:pStyle w:val="17"/>
              <w:spacing w:before="20"/>
              <w:ind w:left="25"/>
              <w:jc w:val="left"/>
              <w:rPr>
                <w:rFonts w:ascii="Times New Roman" w:hAnsi="Times New Roman" w:eastAsia="Times New Roman"/>
                <w:sz w:val="21"/>
              </w:rPr>
            </w:pPr>
            <w:r>
              <w:rPr>
                <w:sz w:val="21"/>
              </w:rPr>
              <w:t>固定位置监测</w:t>
            </w:r>
            <w:r>
              <w:rPr>
                <w:rFonts w:ascii="Times New Roman" w:hAnsi="Times New Roman" w:eastAsia="Times New Roman"/>
                <w:sz w:val="21"/>
              </w:rPr>
              <w:t>□</w:t>
            </w:r>
          </w:p>
        </w:tc>
        <w:tc>
          <w:tcPr>
            <w:tcW w:w="2187" w:type="dxa"/>
            <w:gridSpan w:val="5"/>
          </w:tcPr>
          <w:p w14:paraId="3C558AD3">
            <w:pPr>
              <w:pStyle w:val="17"/>
              <w:spacing w:before="20"/>
              <w:ind w:left="37"/>
              <w:jc w:val="left"/>
              <w:rPr>
                <w:rFonts w:ascii="Wingdings" w:hAnsi="Wingdings"/>
                <w:sz w:val="21"/>
              </w:rPr>
            </w:pPr>
            <w:r>
              <w:rPr>
                <w:sz w:val="21"/>
              </w:rPr>
              <w:t>自动监测</w:t>
            </w:r>
            <w:r>
              <w:rPr>
                <w:rFonts w:ascii="Times New Roman" w:hAnsi="Times New Roman"/>
                <w:sz w:val="21"/>
              </w:rPr>
              <w:t xml:space="preserve">□ </w:t>
            </w:r>
            <w:r>
              <w:rPr>
                <w:sz w:val="21"/>
              </w:rPr>
              <w:t>手动监测</w:t>
            </w:r>
            <w:r>
              <w:rPr>
                <w:rFonts w:ascii="Wingdings" w:hAnsi="Wingdings"/>
                <w:sz w:val="21"/>
              </w:rPr>
              <w:t></w:t>
            </w:r>
          </w:p>
        </w:tc>
        <w:tc>
          <w:tcPr>
            <w:tcW w:w="1129" w:type="dxa"/>
          </w:tcPr>
          <w:p w14:paraId="0CDCF777">
            <w:pPr>
              <w:pStyle w:val="17"/>
              <w:spacing w:before="20"/>
              <w:ind w:left="173"/>
              <w:jc w:val="left"/>
              <w:rPr>
                <w:rFonts w:ascii="Times New Roman" w:hAnsi="Times New Roman" w:eastAsia="Times New Roman"/>
                <w:sz w:val="21"/>
              </w:rPr>
            </w:pPr>
            <w:r>
              <w:rPr>
                <w:sz w:val="21"/>
              </w:rPr>
              <w:t>无监测</w:t>
            </w:r>
            <w:r>
              <w:rPr>
                <w:rFonts w:ascii="Times New Roman" w:hAnsi="Times New Roman" w:eastAsia="Times New Roman"/>
                <w:sz w:val="21"/>
              </w:rPr>
              <w:t>□</w:t>
            </w:r>
          </w:p>
        </w:tc>
      </w:tr>
      <w:tr w14:paraId="70FA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1" w:type="dxa"/>
            <w:vMerge w:val="continue"/>
            <w:tcBorders>
              <w:top w:val="nil"/>
            </w:tcBorders>
          </w:tcPr>
          <w:p w14:paraId="5FA99AC8">
            <w:pPr>
              <w:rPr>
                <w:sz w:val="2"/>
                <w:szCs w:val="2"/>
              </w:rPr>
            </w:pPr>
          </w:p>
        </w:tc>
        <w:tc>
          <w:tcPr>
            <w:tcW w:w="1410" w:type="dxa"/>
          </w:tcPr>
          <w:p w14:paraId="2302786F">
            <w:pPr>
              <w:pStyle w:val="17"/>
              <w:spacing w:before="20"/>
              <w:ind w:left="74"/>
              <w:jc w:val="left"/>
              <w:rPr>
                <w:sz w:val="21"/>
              </w:rPr>
            </w:pPr>
            <w:r>
              <w:rPr>
                <w:w w:val="95"/>
                <w:sz w:val="21"/>
              </w:rPr>
              <w:t>声环境保护目</w:t>
            </w:r>
          </w:p>
          <w:p w14:paraId="768DB5B4">
            <w:pPr>
              <w:pStyle w:val="17"/>
              <w:spacing w:before="43"/>
              <w:ind w:left="74"/>
              <w:jc w:val="left"/>
              <w:rPr>
                <w:sz w:val="21"/>
              </w:rPr>
            </w:pPr>
            <w:r>
              <w:rPr>
                <w:w w:val="95"/>
                <w:sz w:val="21"/>
              </w:rPr>
              <w:t>标处噪声监测</w:t>
            </w:r>
          </w:p>
        </w:tc>
        <w:tc>
          <w:tcPr>
            <w:tcW w:w="1728" w:type="dxa"/>
            <w:gridSpan w:val="3"/>
            <w:tcBorders>
              <w:right w:val="nil"/>
            </w:tcBorders>
          </w:tcPr>
          <w:p w14:paraId="1F7B46B2">
            <w:pPr>
              <w:pStyle w:val="17"/>
              <w:spacing w:before="176"/>
              <w:ind w:left="397"/>
              <w:jc w:val="left"/>
              <w:rPr>
                <w:sz w:val="21"/>
              </w:rPr>
            </w:pPr>
            <w:r>
              <w:rPr>
                <w:spacing w:val="-1"/>
                <w:w w:val="99"/>
                <w:sz w:val="21"/>
              </w:rPr>
              <w:t>监测因子</w:t>
            </w:r>
            <w:r>
              <w:rPr>
                <w:spacing w:val="-183"/>
                <w:w w:val="99"/>
                <w:sz w:val="21"/>
              </w:rPr>
              <w:t>：</w:t>
            </w:r>
            <w:r>
              <w:rPr>
                <w:w w:val="99"/>
                <w:sz w:val="21"/>
              </w:rPr>
              <w:t>（</w:t>
            </w:r>
          </w:p>
        </w:tc>
        <w:tc>
          <w:tcPr>
            <w:tcW w:w="1531" w:type="dxa"/>
            <w:gridSpan w:val="3"/>
            <w:tcBorders>
              <w:left w:val="nil"/>
            </w:tcBorders>
          </w:tcPr>
          <w:p w14:paraId="56E194BD">
            <w:pPr>
              <w:pStyle w:val="17"/>
              <w:spacing w:before="176"/>
              <w:ind w:left="925"/>
              <w:jc w:val="left"/>
              <w:rPr>
                <w:sz w:val="21"/>
              </w:rPr>
            </w:pPr>
            <w:r>
              <w:rPr>
                <w:w w:val="99"/>
                <w:sz w:val="21"/>
              </w:rPr>
              <w:t>）</w:t>
            </w:r>
          </w:p>
        </w:tc>
        <w:tc>
          <w:tcPr>
            <w:tcW w:w="1460" w:type="dxa"/>
            <w:gridSpan w:val="3"/>
            <w:tcBorders>
              <w:right w:val="nil"/>
            </w:tcBorders>
          </w:tcPr>
          <w:p w14:paraId="20FBE507">
            <w:pPr>
              <w:pStyle w:val="17"/>
              <w:spacing w:before="176"/>
              <w:ind w:left="114"/>
              <w:jc w:val="left"/>
              <w:rPr>
                <w:sz w:val="21"/>
              </w:rPr>
            </w:pPr>
            <w:r>
              <w:rPr>
                <w:sz w:val="21"/>
              </w:rPr>
              <w:t>监测点位数（</w:t>
            </w:r>
          </w:p>
        </w:tc>
        <w:tc>
          <w:tcPr>
            <w:tcW w:w="727" w:type="dxa"/>
            <w:gridSpan w:val="2"/>
            <w:tcBorders>
              <w:left w:val="nil"/>
            </w:tcBorders>
          </w:tcPr>
          <w:p w14:paraId="647CF407">
            <w:pPr>
              <w:pStyle w:val="17"/>
              <w:spacing w:before="176"/>
              <w:ind w:left="394"/>
              <w:jc w:val="left"/>
              <w:rPr>
                <w:sz w:val="21"/>
              </w:rPr>
            </w:pPr>
            <w:r>
              <w:rPr>
                <w:w w:val="99"/>
                <w:sz w:val="21"/>
              </w:rPr>
              <w:t>）</w:t>
            </w:r>
          </w:p>
        </w:tc>
        <w:tc>
          <w:tcPr>
            <w:tcW w:w="1129" w:type="dxa"/>
          </w:tcPr>
          <w:p w14:paraId="13CF1BE3">
            <w:pPr>
              <w:pStyle w:val="17"/>
              <w:spacing w:before="176"/>
              <w:ind w:left="144"/>
              <w:jc w:val="left"/>
              <w:rPr>
                <w:rFonts w:ascii="Wingdings" w:hAnsi="Wingdings"/>
                <w:sz w:val="21"/>
              </w:rPr>
            </w:pPr>
            <w:r>
              <w:rPr>
                <w:sz w:val="21"/>
              </w:rPr>
              <w:t>无监测</w:t>
            </w:r>
            <w:r>
              <w:rPr>
                <w:rFonts w:ascii="Wingdings" w:hAnsi="Wingdings"/>
                <w:sz w:val="21"/>
              </w:rPr>
              <w:t></w:t>
            </w:r>
          </w:p>
        </w:tc>
      </w:tr>
      <w:tr w14:paraId="51517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1" w:type="dxa"/>
          </w:tcPr>
          <w:p w14:paraId="46E65EDF">
            <w:pPr>
              <w:pStyle w:val="17"/>
              <w:spacing w:before="19"/>
              <w:ind w:left="58" w:right="53"/>
              <w:rPr>
                <w:sz w:val="21"/>
              </w:rPr>
            </w:pPr>
            <w:r>
              <w:rPr>
                <w:sz w:val="21"/>
              </w:rPr>
              <w:t>评价结论</w:t>
            </w:r>
          </w:p>
        </w:tc>
        <w:tc>
          <w:tcPr>
            <w:tcW w:w="1410" w:type="dxa"/>
          </w:tcPr>
          <w:p w14:paraId="0527B82C">
            <w:pPr>
              <w:pStyle w:val="17"/>
              <w:spacing w:before="19"/>
              <w:ind w:left="53" w:right="45"/>
              <w:rPr>
                <w:sz w:val="21"/>
              </w:rPr>
            </w:pPr>
            <w:r>
              <w:rPr>
                <w:sz w:val="21"/>
              </w:rPr>
              <w:t>环境影响</w:t>
            </w:r>
          </w:p>
        </w:tc>
        <w:tc>
          <w:tcPr>
            <w:tcW w:w="6575" w:type="dxa"/>
            <w:gridSpan w:val="12"/>
          </w:tcPr>
          <w:p w14:paraId="4440DD91">
            <w:pPr>
              <w:pStyle w:val="17"/>
              <w:tabs>
                <w:tab w:val="left" w:pos="1199"/>
              </w:tabs>
              <w:spacing w:before="19"/>
              <w:ind w:right="1"/>
              <w:rPr>
                <w:rFonts w:ascii="Times New Roman" w:hAnsi="Times New Roman" w:eastAsia="Times New Roman"/>
                <w:sz w:val="21"/>
              </w:rPr>
            </w:pPr>
            <w:r>
              <w:rPr>
                <w:sz w:val="21"/>
              </w:rPr>
              <w:t>可行</w:t>
            </w:r>
            <w:r>
              <w:rPr>
                <w:rFonts w:ascii="Wingdings" w:hAnsi="Wingdings" w:eastAsia="Wingdings"/>
                <w:sz w:val="21"/>
              </w:rPr>
              <w:t></w:t>
            </w:r>
            <w:r>
              <w:rPr>
                <w:rFonts w:ascii="Times New Roman" w:hAnsi="Times New Roman" w:eastAsia="Times New Roman"/>
                <w:sz w:val="21"/>
              </w:rPr>
              <w:tab/>
            </w:r>
            <w:r>
              <w:rPr>
                <w:sz w:val="21"/>
              </w:rPr>
              <w:t>不可行</w:t>
            </w:r>
            <w:r>
              <w:rPr>
                <w:rFonts w:ascii="Times New Roman" w:hAnsi="Times New Roman" w:eastAsia="Times New Roman"/>
                <w:sz w:val="21"/>
              </w:rPr>
              <w:t>□</w:t>
            </w:r>
          </w:p>
        </w:tc>
      </w:tr>
      <w:tr w14:paraId="6B3CA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986" w:type="dxa"/>
            <w:gridSpan w:val="14"/>
          </w:tcPr>
          <w:p w14:paraId="79EE8856">
            <w:pPr>
              <w:pStyle w:val="17"/>
              <w:spacing w:before="19"/>
              <w:ind w:left="2193"/>
              <w:jc w:val="left"/>
              <w:rPr>
                <w:sz w:val="21"/>
              </w:rPr>
            </w:pPr>
            <w:r>
              <w:rPr>
                <w:sz w:val="21"/>
              </w:rPr>
              <w:t>注：</w:t>
            </w:r>
            <w:r>
              <w:rPr>
                <w:rFonts w:ascii="Times New Roman" w:hAnsi="Times New Roman" w:eastAsia="Times New Roman"/>
                <w:sz w:val="21"/>
              </w:rPr>
              <w:t>“</w:t>
            </w:r>
            <w:r>
              <w:rPr>
                <w:rFonts w:hint="eastAsia" w:ascii="MS UI Gothic" w:hAnsi="MS UI Gothic" w:eastAsia="MS UI Gothic"/>
                <w:sz w:val="21"/>
              </w:rPr>
              <w:t>☐</w:t>
            </w:r>
            <w:r>
              <w:rPr>
                <w:rFonts w:ascii="Times New Roman" w:hAnsi="Times New Roman" w:eastAsia="Times New Roman"/>
                <w:sz w:val="21"/>
              </w:rPr>
              <w:t>”</w:t>
            </w:r>
            <w:r>
              <w:rPr>
                <w:sz w:val="21"/>
              </w:rPr>
              <w:t>为勾选项，可</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 ）</w:t>
            </w:r>
            <w:r>
              <w:rPr>
                <w:rFonts w:ascii="Times New Roman" w:hAnsi="Times New Roman" w:eastAsia="Times New Roman"/>
                <w:sz w:val="21"/>
              </w:rPr>
              <w:t>”</w:t>
            </w:r>
            <w:r>
              <w:rPr>
                <w:sz w:val="21"/>
              </w:rPr>
              <w:t>为内容填写项。</w:t>
            </w:r>
          </w:p>
        </w:tc>
      </w:tr>
    </w:tbl>
    <w:p w14:paraId="152FC61F">
      <w:pPr>
        <w:spacing w:after="0"/>
        <w:jc w:val="left"/>
        <w:rPr>
          <w:sz w:val="21"/>
        </w:rPr>
        <w:sectPr>
          <w:footerReference r:id="rId47" w:type="default"/>
          <w:pgSz w:w="11910" w:h="16840"/>
          <w:pgMar w:top="1240" w:right="1100" w:bottom="280" w:left="1140" w:header="0" w:footer="0" w:gutter="0"/>
          <w:cols w:space="720" w:num="1"/>
        </w:sectPr>
      </w:pPr>
    </w:p>
    <w:p w14:paraId="303B89B8">
      <w:pPr>
        <w:spacing w:before="17"/>
        <w:ind w:left="7154" w:right="0" w:firstLine="0"/>
        <w:jc w:val="left"/>
        <w:rPr>
          <w:sz w:val="49"/>
        </w:rPr>
      </w:pPr>
      <w:r>
        <w:rPr>
          <w:sz w:val="49"/>
        </w:rPr>
        <w:t>建设项目环境影响报告书审批基础信息表</w:t>
      </w:r>
    </w:p>
    <w:p w14:paraId="227FFCD2">
      <w:pPr>
        <w:pStyle w:val="10"/>
        <w:spacing w:before="8"/>
        <w:rPr>
          <w:sz w:val="72"/>
        </w:rPr>
      </w:pPr>
    </w:p>
    <w:p w14:paraId="4EF0F986">
      <w:pPr>
        <w:tabs>
          <w:tab w:val="left" w:pos="5964"/>
          <w:tab w:val="left" w:pos="10166"/>
          <w:tab w:val="left" w:pos="13089"/>
          <w:tab w:val="left" w:pos="15916"/>
          <w:tab w:val="left" w:pos="20721"/>
        </w:tabs>
        <w:spacing w:before="0"/>
        <w:ind w:left="1250" w:right="0" w:firstLine="0"/>
        <w:jc w:val="left"/>
        <w:rPr>
          <w:sz w:val="18"/>
        </w:rPr>
      </w:pPr>
      <w:r>
        <w:rPr>
          <w:rFonts w:hint="eastAsia" w:ascii="黑体" w:eastAsia="黑体"/>
          <w:sz w:val="18"/>
        </w:rPr>
        <w:t>填表单位（盖章）：</w:t>
      </w:r>
      <w:r>
        <w:rPr>
          <w:rFonts w:hint="eastAsia" w:ascii="黑体" w:eastAsia="黑体"/>
          <w:sz w:val="18"/>
        </w:rPr>
        <w:tab/>
      </w:r>
      <w:r>
        <w:rPr>
          <w:sz w:val="18"/>
        </w:rPr>
        <w:t>湖南鑫诚复合材料有限公司</w:t>
      </w:r>
      <w:r>
        <w:rPr>
          <w:sz w:val="18"/>
        </w:rPr>
        <w:tab/>
      </w:r>
      <w:r>
        <w:rPr>
          <w:rFonts w:hint="eastAsia" w:ascii="黑体" w:eastAsia="黑体"/>
          <w:position w:val="1"/>
          <w:sz w:val="18"/>
        </w:rPr>
        <w:t>填表人（签字）：</w:t>
      </w:r>
      <w:r>
        <w:rPr>
          <w:rFonts w:hint="eastAsia" w:ascii="黑体" w:eastAsia="黑体"/>
          <w:position w:val="1"/>
          <w:sz w:val="18"/>
        </w:rPr>
        <w:tab/>
      </w:r>
      <w:r>
        <w:rPr>
          <w:sz w:val="18"/>
        </w:rPr>
        <w:t>刘坤</w:t>
      </w:r>
      <w:r>
        <w:rPr>
          <w:sz w:val="18"/>
        </w:rPr>
        <w:tab/>
      </w:r>
      <w:r>
        <w:rPr>
          <w:rFonts w:hint="eastAsia" w:ascii="黑体" w:eastAsia="黑体"/>
          <w:position w:val="1"/>
          <w:sz w:val="18"/>
        </w:rPr>
        <w:t>项目经办人（签字）：</w:t>
      </w:r>
      <w:r>
        <w:rPr>
          <w:rFonts w:hint="eastAsia" w:ascii="黑体" w:eastAsia="黑体"/>
          <w:position w:val="1"/>
          <w:sz w:val="18"/>
        </w:rPr>
        <w:tab/>
      </w:r>
      <w:r>
        <w:rPr>
          <w:sz w:val="18"/>
        </w:rPr>
        <w:t>刘坤</w:t>
      </w:r>
    </w:p>
    <w:p w14:paraId="5DAD4D4A">
      <w:pPr>
        <w:pStyle w:val="10"/>
        <w:rPr>
          <w:sz w:val="20"/>
        </w:rPr>
      </w:pPr>
    </w:p>
    <w:p w14:paraId="1B1D7C85">
      <w:pPr>
        <w:pStyle w:val="10"/>
        <w:spacing w:before="9"/>
        <w:rPr>
          <w:sz w:val="22"/>
        </w:rPr>
      </w:pPr>
    </w:p>
    <w:p w14:paraId="69066E32">
      <w:pPr>
        <w:tabs>
          <w:tab w:val="left" w:pos="5464"/>
        </w:tabs>
        <w:spacing w:before="74"/>
        <w:ind w:left="2147" w:right="0" w:firstLine="0"/>
        <w:jc w:val="left"/>
        <w:rPr>
          <w:sz w:val="18"/>
        </w:rPr>
      </w:pPr>
      <w:r>
        <w:rPr>
          <w:rFonts w:hint="eastAsia" w:ascii="黑体" w:eastAsia="黑体"/>
          <w:sz w:val="18"/>
        </w:rPr>
        <w:t>项目名称</w:t>
      </w:r>
      <w:r>
        <w:rPr>
          <w:rFonts w:hint="eastAsia" w:ascii="黑体" w:eastAsia="黑体"/>
          <w:sz w:val="18"/>
        </w:rPr>
        <w:tab/>
      </w:r>
      <w:r>
        <w:rPr>
          <w:sz w:val="18"/>
        </w:rPr>
        <w:t>年产1万吨塑料排水板系列产品建设项目</w:t>
      </w:r>
    </w:p>
    <w:p w14:paraId="7FD5B648">
      <w:pPr>
        <w:pStyle w:val="10"/>
        <w:spacing w:before="4"/>
        <w:rPr>
          <w:sz w:val="25"/>
        </w:rPr>
      </w:pPr>
    </w:p>
    <w:p w14:paraId="4CAF5C50">
      <w:pPr>
        <w:spacing w:after="0"/>
        <w:rPr>
          <w:sz w:val="25"/>
        </w:rPr>
        <w:sectPr>
          <w:footerReference r:id="rId48" w:type="default"/>
          <w:pgSz w:w="23820" w:h="16840" w:orient="landscape"/>
          <w:pgMar w:top="1540" w:right="420" w:bottom="280" w:left="240" w:header="0" w:footer="0" w:gutter="0"/>
          <w:cols w:space="720" w:num="1"/>
        </w:sectPr>
      </w:pPr>
    </w:p>
    <w:p w14:paraId="608D5F23">
      <w:pPr>
        <w:pStyle w:val="10"/>
        <w:spacing w:before="7"/>
        <w:rPr>
          <w:sz w:val="14"/>
        </w:rPr>
      </w:pPr>
    </w:p>
    <w:p w14:paraId="7787A7E3">
      <w:pPr>
        <w:tabs>
          <w:tab w:val="left" w:pos="6033"/>
        </w:tabs>
        <w:spacing w:before="0"/>
        <w:ind w:left="2147" w:right="0" w:firstLine="0"/>
        <w:jc w:val="left"/>
        <w:rPr>
          <w:rFonts w:ascii="Times New Roman" w:eastAsia="Times New Roman"/>
          <w:sz w:val="18"/>
        </w:rPr>
      </w:pPr>
      <w:r>
        <w:rPr>
          <w:rFonts w:hint="eastAsia" w:ascii="黑体" w:eastAsia="黑体"/>
          <w:sz w:val="18"/>
        </w:rPr>
        <w:t>项目代码</w:t>
      </w:r>
      <w:r>
        <w:rPr>
          <w:rFonts w:hint="eastAsia" w:ascii="黑体" w:eastAsia="黑体"/>
          <w:sz w:val="18"/>
        </w:rPr>
        <w:tab/>
      </w:r>
      <w:r>
        <w:rPr>
          <w:rFonts w:ascii="Times New Roman" w:eastAsia="Times New Roman"/>
          <w:position w:val="1"/>
          <w:sz w:val="18"/>
        </w:rPr>
        <w:t>2408-430600-04-01-783437</w:t>
      </w:r>
    </w:p>
    <w:p w14:paraId="3F9BA78C">
      <w:pPr>
        <w:pStyle w:val="10"/>
        <w:rPr>
          <w:rFonts w:ascii="Times New Roman"/>
          <w:sz w:val="20"/>
        </w:rPr>
      </w:pPr>
    </w:p>
    <w:p w14:paraId="764D87A0">
      <w:pPr>
        <w:pStyle w:val="10"/>
        <w:spacing w:before="6"/>
        <w:rPr>
          <w:rFonts w:ascii="Times New Roman"/>
        </w:rPr>
      </w:pPr>
    </w:p>
    <w:p w14:paraId="5357138B">
      <w:pPr>
        <w:tabs>
          <w:tab w:val="left" w:pos="6789"/>
        </w:tabs>
        <w:spacing w:before="0"/>
        <w:ind w:left="1603" w:right="0" w:firstLine="0"/>
        <w:jc w:val="left"/>
        <w:rPr>
          <w:rFonts w:ascii="Times New Roman" w:eastAsia="Times New Roman"/>
          <w:sz w:val="18"/>
        </w:rPr>
      </w:pPr>
      <w:r>
        <w:rPr>
          <w:rFonts w:hint="eastAsia" w:ascii="黑体" w:eastAsia="黑体"/>
          <w:sz w:val="18"/>
        </w:rPr>
        <w:t>环评信用平台项目编号</w:t>
      </w:r>
      <w:r>
        <w:rPr>
          <w:rFonts w:hint="eastAsia" w:ascii="黑体" w:eastAsia="黑体"/>
          <w:sz w:val="18"/>
        </w:rPr>
        <w:tab/>
      </w:r>
      <w:r>
        <w:rPr>
          <w:rFonts w:ascii="Times New Roman" w:eastAsia="Times New Roman"/>
          <w:position w:val="1"/>
          <w:sz w:val="18"/>
        </w:rPr>
        <w:t>bp6aa0</w:t>
      </w:r>
    </w:p>
    <w:p w14:paraId="52046FCE">
      <w:pPr>
        <w:pStyle w:val="10"/>
        <w:rPr>
          <w:rFonts w:ascii="Times New Roman"/>
          <w:sz w:val="20"/>
        </w:rPr>
      </w:pPr>
    </w:p>
    <w:p w14:paraId="70CD47B9">
      <w:pPr>
        <w:pStyle w:val="10"/>
        <w:spacing w:before="8"/>
        <w:rPr>
          <w:rFonts w:ascii="Times New Roman"/>
          <w:sz w:val="16"/>
        </w:rPr>
      </w:pPr>
    </w:p>
    <w:p w14:paraId="1C6C5F1C">
      <w:pPr>
        <w:tabs>
          <w:tab w:val="left" w:pos="4060"/>
        </w:tabs>
        <w:spacing w:before="0" w:line="151" w:lineRule="auto"/>
        <w:ind w:left="2147" w:right="0" w:firstLine="0"/>
        <w:jc w:val="left"/>
        <w:rPr>
          <w:sz w:val="18"/>
        </w:rPr>
      </w:pPr>
      <w:r>
        <w:rPr>
          <w:rFonts w:hint="eastAsia" w:ascii="黑体" w:eastAsia="黑体"/>
          <w:position w:val="-10"/>
          <w:sz w:val="18"/>
        </w:rPr>
        <w:t>建设地点</w:t>
      </w:r>
      <w:r>
        <w:rPr>
          <w:rFonts w:hint="eastAsia" w:ascii="黑体" w:eastAsia="黑体"/>
          <w:position w:val="-10"/>
          <w:sz w:val="18"/>
        </w:rPr>
        <w:tab/>
      </w:r>
      <w:r>
        <w:rPr>
          <w:sz w:val="18"/>
        </w:rPr>
        <w:t>湖南省岳阳市汨罗市湖南汨罗高新技术产业开发区新市片区中塑新材料公司</w:t>
      </w:r>
    </w:p>
    <w:p w14:paraId="4AB7EA52">
      <w:pPr>
        <w:spacing w:before="0" w:line="172" w:lineRule="exact"/>
        <w:ind w:left="6597" w:right="0" w:firstLine="0"/>
        <w:jc w:val="left"/>
        <w:rPr>
          <w:sz w:val="18"/>
        </w:rPr>
      </w:pPr>
      <w:r>
        <w:rPr>
          <w:sz w:val="18"/>
        </w:rPr>
        <w:t>内16栋厂房</w:t>
      </w:r>
    </w:p>
    <w:p w14:paraId="52218018">
      <w:pPr>
        <w:tabs>
          <w:tab w:val="left" w:pos="3518"/>
        </w:tabs>
        <w:spacing w:before="100" w:line="151" w:lineRule="auto"/>
        <w:ind w:left="1351" w:right="0" w:firstLine="0"/>
        <w:jc w:val="left"/>
        <w:rPr>
          <w:sz w:val="18"/>
        </w:rPr>
      </w:pPr>
      <w:r>
        <w:br w:type="column"/>
      </w:r>
      <w:r>
        <w:rPr>
          <w:rFonts w:hint="eastAsia" w:ascii="黑体" w:eastAsia="黑体"/>
          <w:position w:val="-10"/>
          <w:sz w:val="18"/>
        </w:rPr>
        <w:t>建设内容</w:t>
      </w:r>
      <w:r>
        <w:rPr>
          <w:rFonts w:hint="eastAsia" w:ascii="黑体" w:eastAsia="黑体"/>
          <w:position w:val="-10"/>
          <w:sz w:val="18"/>
        </w:rPr>
        <w:tab/>
      </w:r>
      <w:r>
        <w:rPr>
          <w:sz w:val="18"/>
        </w:rPr>
        <w:t>项目租赁厂房面积3200m2，新建2条挤出造粒生产线、4条挤出注塑生产线，年产1万吨塑料排水板系列产品，年产再生</w:t>
      </w:r>
    </w:p>
    <w:p w14:paraId="063F0D3D">
      <w:pPr>
        <w:spacing w:before="0" w:line="172" w:lineRule="exact"/>
        <w:ind w:left="6646" w:right="0" w:firstLine="0"/>
        <w:jc w:val="left"/>
        <w:rPr>
          <w:sz w:val="18"/>
        </w:rPr>
      </w:pPr>
      <w:r>
        <w:rPr>
          <w:sz w:val="18"/>
        </w:rPr>
        <w:t>塑料PE料5000吨（全部自用，不外售）</w:t>
      </w:r>
    </w:p>
    <w:p w14:paraId="55A6BD77">
      <w:pPr>
        <w:pStyle w:val="10"/>
        <w:rPr>
          <w:sz w:val="18"/>
        </w:rPr>
      </w:pPr>
    </w:p>
    <w:p w14:paraId="26EBC582">
      <w:pPr>
        <w:pStyle w:val="10"/>
        <w:rPr>
          <w:sz w:val="18"/>
        </w:rPr>
      </w:pPr>
    </w:p>
    <w:p w14:paraId="76747241">
      <w:pPr>
        <w:pStyle w:val="10"/>
        <w:rPr>
          <w:sz w:val="18"/>
        </w:rPr>
      </w:pPr>
    </w:p>
    <w:p w14:paraId="6065A469">
      <w:pPr>
        <w:pStyle w:val="10"/>
        <w:rPr>
          <w:sz w:val="18"/>
        </w:rPr>
      </w:pPr>
    </w:p>
    <w:p w14:paraId="5B4655AF">
      <w:pPr>
        <w:pStyle w:val="10"/>
        <w:spacing w:before="2"/>
        <w:rPr>
          <w:sz w:val="17"/>
        </w:rPr>
      </w:pPr>
    </w:p>
    <w:p w14:paraId="510B6BBC">
      <w:pPr>
        <w:tabs>
          <w:tab w:val="left" w:pos="4968"/>
        </w:tabs>
        <w:spacing w:before="0"/>
        <w:ind w:left="1351" w:right="0" w:firstLine="0"/>
        <w:jc w:val="left"/>
        <w:rPr>
          <w:sz w:val="18"/>
        </w:rPr>
      </w:pPr>
      <w:r>
        <w:rPr>
          <w:rFonts w:hint="eastAsia" w:ascii="黑体" w:eastAsia="黑体"/>
          <w:sz w:val="18"/>
        </w:rPr>
        <w:t>建设规模</w:t>
      </w:r>
      <w:r>
        <w:rPr>
          <w:rFonts w:hint="eastAsia" w:ascii="黑体" w:eastAsia="黑体"/>
          <w:sz w:val="18"/>
        </w:rPr>
        <w:tab/>
      </w:r>
      <w:r>
        <w:rPr>
          <w:sz w:val="18"/>
        </w:rPr>
        <w:t>年产1万吨塑料排水板系列产品，年产再生塑料PE料5000吨（全部自用，不外售）</w:t>
      </w:r>
    </w:p>
    <w:p w14:paraId="795B21BE">
      <w:pPr>
        <w:spacing w:after="0"/>
        <w:jc w:val="left"/>
        <w:rPr>
          <w:sz w:val="18"/>
        </w:rPr>
        <w:sectPr>
          <w:type w:val="continuous"/>
          <w:pgSz w:w="23820" w:h="16840" w:orient="landscape"/>
          <w:pgMar w:top="1600" w:right="420" w:bottom="280" w:left="240" w:header="720" w:footer="720" w:gutter="0"/>
          <w:cols w:equalWidth="0" w:num="2">
            <w:col w:w="10040" w:space="40"/>
            <w:col w:w="13080"/>
          </w:cols>
        </w:sectPr>
      </w:pPr>
    </w:p>
    <w:p w14:paraId="07BD80A3">
      <w:pPr>
        <w:pStyle w:val="10"/>
        <w:spacing w:before="12"/>
        <w:rPr>
          <w:sz w:val="23"/>
        </w:rPr>
      </w:pPr>
    </w:p>
    <w:p w14:paraId="10A7A729">
      <w:pPr>
        <w:tabs>
          <w:tab w:val="left" w:pos="6916"/>
          <w:tab w:val="left" w:pos="11248"/>
          <w:tab w:val="left" w:pos="17858"/>
        </w:tabs>
        <w:spacing w:before="84"/>
        <w:ind w:left="1694" w:right="0" w:firstLine="0"/>
        <w:jc w:val="left"/>
        <w:rPr>
          <w:sz w:val="18"/>
        </w:rPr>
      </w:pPr>
      <w:r>
        <w:rPr>
          <w:rFonts w:hint="eastAsia" w:ascii="黑体" w:eastAsia="黑体"/>
          <w:sz w:val="18"/>
        </w:rPr>
        <w:t>项目建设周期（月）</w:t>
      </w:r>
      <w:r>
        <w:rPr>
          <w:rFonts w:hint="eastAsia" w:ascii="黑体" w:eastAsia="黑体"/>
          <w:sz w:val="18"/>
        </w:rPr>
        <w:tab/>
      </w:r>
      <w:r>
        <w:rPr>
          <w:rFonts w:ascii="Times New Roman" w:eastAsia="Times New Roman"/>
          <w:position w:val="1"/>
          <w:sz w:val="18"/>
        </w:rPr>
        <w:t>3.0</w:t>
      </w:r>
      <w:r>
        <w:rPr>
          <w:rFonts w:ascii="Times New Roman" w:eastAsia="Times New Roman"/>
          <w:position w:val="1"/>
          <w:sz w:val="18"/>
        </w:rPr>
        <w:tab/>
      </w:r>
      <w:r>
        <w:rPr>
          <w:rFonts w:hint="eastAsia" w:ascii="黑体" w:eastAsia="黑体"/>
          <w:sz w:val="18"/>
        </w:rPr>
        <w:t>计划开工时间</w:t>
      </w:r>
      <w:r>
        <w:rPr>
          <w:rFonts w:hint="eastAsia" w:ascii="黑体" w:eastAsia="黑体"/>
          <w:sz w:val="18"/>
        </w:rPr>
        <w:tab/>
      </w:r>
      <w:r>
        <w:rPr>
          <w:rFonts w:ascii="Times New Roman" w:eastAsia="Times New Roman"/>
          <w:position w:val="1"/>
          <w:sz w:val="18"/>
        </w:rPr>
        <w:t>2024</w:t>
      </w:r>
      <w:r>
        <w:rPr>
          <w:position w:val="1"/>
          <w:sz w:val="18"/>
        </w:rPr>
        <w:t>年</w:t>
      </w:r>
      <w:r>
        <w:rPr>
          <w:rFonts w:ascii="Times New Roman" w:eastAsia="Times New Roman"/>
          <w:position w:val="1"/>
          <w:sz w:val="18"/>
        </w:rPr>
        <w:t>9</w:t>
      </w:r>
      <w:r>
        <w:rPr>
          <w:position w:val="1"/>
          <w:sz w:val="18"/>
        </w:rPr>
        <w:t>月</w:t>
      </w:r>
    </w:p>
    <w:p w14:paraId="40D0DCAD">
      <w:pPr>
        <w:pStyle w:val="10"/>
        <w:rPr>
          <w:sz w:val="20"/>
        </w:rPr>
      </w:pPr>
    </w:p>
    <w:p w14:paraId="250C893A">
      <w:pPr>
        <w:pStyle w:val="10"/>
        <w:spacing w:before="1"/>
        <w:rPr>
          <w:sz w:val="19"/>
        </w:rPr>
      </w:pPr>
    </w:p>
    <w:p w14:paraId="745B01F0">
      <w:pPr>
        <w:tabs>
          <w:tab w:val="left" w:pos="6568"/>
          <w:tab w:val="left" w:pos="11248"/>
          <w:tab w:val="left" w:pos="17813"/>
        </w:tabs>
        <w:spacing w:before="1"/>
        <w:ind w:left="2147" w:right="0" w:firstLine="0"/>
        <w:jc w:val="left"/>
        <w:rPr>
          <w:sz w:val="18"/>
        </w:rPr>
      </w:pPr>
      <w:r>
        <w:rPr>
          <w:rFonts w:hint="eastAsia" w:ascii="黑体" w:eastAsia="黑体"/>
          <w:sz w:val="18"/>
        </w:rPr>
        <w:t>建设性质</w:t>
      </w:r>
      <w:r>
        <w:rPr>
          <w:rFonts w:hint="eastAsia" w:ascii="黑体" w:eastAsia="黑体"/>
          <w:sz w:val="18"/>
        </w:rPr>
        <w:tab/>
      </w:r>
      <w:r>
        <w:rPr>
          <w:position w:val="1"/>
          <w:sz w:val="18"/>
        </w:rPr>
        <w:t>新建</w:t>
      </w:r>
      <w:r>
        <w:rPr>
          <w:rFonts w:ascii="Times New Roman" w:eastAsia="Times New Roman"/>
          <w:position w:val="1"/>
          <w:sz w:val="18"/>
        </w:rPr>
        <w:t>(</w:t>
      </w:r>
      <w:r>
        <w:rPr>
          <w:position w:val="1"/>
          <w:sz w:val="18"/>
        </w:rPr>
        <w:t>迁建）</w:t>
      </w:r>
      <w:r>
        <w:rPr>
          <w:position w:val="1"/>
          <w:sz w:val="18"/>
        </w:rPr>
        <w:tab/>
      </w:r>
      <w:r>
        <w:rPr>
          <w:rFonts w:hint="eastAsia" w:ascii="黑体" w:eastAsia="黑体"/>
          <w:sz w:val="18"/>
        </w:rPr>
        <w:t>预计投产时间</w:t>
      </w:r>
      <w:r>
        <w:rPr>
          <w:rFonts w:hint="eastAsia" w:ascii="黑体" w:eastAsia="黑体"/>
          <w:sz w:val="18"/>
        </w:rPr>
        <w:tab/>
      </w:r>
      <w:r>
        <w:rPr>
          <w:rFonts w:ascii="Times New Roman" w:eastAsia="Times New Roman"/>
          <w:position w:val="1"/>
          <w:sz w:val="18"/>
        </w:rPr>
        <w:t>2024</w:t>
      </w:r>
      <w:r>
        <w:rPr>
          <w:position w:val="1"/>
          <w:sz w:val="18"/>
        </w:rPr>
        <w:t>年</w:t>
      </w:r>
      <w:r>
        <w:rPr>
          <w:rFonts w:ascii="Times New Roman" w:eastAsia="Times New Roman"/>
          <w:position w:val="1"/>
          <w:sz w:val="18"/>
        </w:rPr>
        <w:t>11</w:t>
      </w:r>
      <w:r>
        <w:rPr>
          <w:position w:val="1"/>
          <w:sz w:val="18"/>
        </w:rPr>
        <w:t>月</w:t>
      </w:r>
    </w:p>
    <w:p w14:paraId="31EAD772">
      <w:pPr>
        <w:pStyle w:val="10"/>
        <w:spacing w:before="1"/>
      </w:pPr>
    </w:p>
    <w:p w14:paraId="63D51023">
      <w:pPr>
        <w:tabs>
          <w:tab w:val="left" w:pos="1603"/>
          <w:tab w:val="left" w:pos="5255"/>
          <w:tab w:val="left" w:pos="10797"/>
          <w:tab w:val="left" w:pos="17116"/>
        </w:tabs>
        <w:spacing w:before="72" w:line="296" w:lineRule="exact"/>
        <w:ind w:left="366" w:right="0" w:firstLine="0"/>
        <w:jc w:val="left"/>
        <w:rPr>
          <w:sz w:val="18"/>
        </w:rPr>
      </w:pPr>
      <w:r>
        <w:rPr>
          <w:rFonts w:hint="eastAsia" w:ascii="黑体" w:eastAsia="黑体"/>
          <w:position w:val="13"/>
          <w:sz w:val="18"/>
        </w:rPr>
        <w:t>建</w:t>
      </w:r>
      <w:r>
        <w:rPr>
          <w:rFonts w:hint="eastAsia" w:ascii="黑体" w:eastAsia="黑体"/>
          <w:spacing w:val="-45"/>
          <w:position w:val="13"/>
          <w:sz w:val="18"/>
        </w:rPr>
        <w:t xml:space="preserve"> </w:t>
      </w:r>
      <w:r>
        <w:rPr>
          <w:rFonts w:hint="eastAsia" w:ascii="黑体" w:eastAsia="黑体"/>
          <w:position w:val="13"/>
          <w:sz w:val="18"/>
        </w:rPr>
        <w:t>设</w:t>
      </w:r>
      <w:r>
        <w:rPr>
          <w:rFonts w:hint="eastAsia" w:ascii="黑体" w:eastAsia="黑体"/>
          <w:position w:val="13"/>
          <w:sz w:val="18"/>
        </w:rPr>
        <w:tab/>
      </w:r>
      <w:r>
        <w:rPr>
          <w:rFonts w:hint="eastAsia" w:ascii="黑体" w:eastAsia="黑体"/>
          <w:sz w:val="18"/>
        </w:rPr>
        <w:t>环境影响评价行业类别</w:t>
      </w:r>
      <w:r>
        <w:rPr>
          <w:rFonts w:hint="eastAsia" w:ascii="黑体" w:eastAsia="黑体"/>
          <w:sz w:val="18"/>
        </w:rPr>
        <w:tab/>
      </w:r>
      <w:r>
        <w:rPr>
          <w:position w:val="1"/>
          <w:sz w:val="18"/>
        </w:rPr>
        <w:t>二十六、橡胶和塑料制品业</w:t>
      </w:r>
      <w:r>
        <w:rPr>
          <w:rFonts w:ascii="Times New Roman" w:eastAsia="Times New Roman"/>
          <w:position w:val="1"/>
          <w:sz w:val="18"/>
        </w:rPr>
        <w:t>-53</w:t>
      </w:r>
      <w:r>
        <w:rPr>
          <w:position w:val="1"/>
          <w:sz w:val="18"/>
        </w:rPr>
        <w:t>塑料制品业292</w:t>
      </w:r>
      <w:r>
        <w:rPr>
          <w:position w:val="1"/>
          <w:sz w:val="18"/>
        </w:rPr>
        <w:tab/>
      </w:r>
      <w:r>
        <w:rPr>
          <w:rFonts w:hint="eastAsia" w:ascii="黑体" w:eastAsia="黑体"/>
          <w:sz w:val="18"/>
        </w:rPr>
        <w:t>国民经济行业类型及代码</w:t>
      </w:r>
      <w:r>
        <w:rPr>
          <w:rFonts w:hint="eastAsia" w:ascii="黑体" w:eastAsia="黑体"/>
          <w:sz w:val="18"/>
        </w:rPr>
        <w:tab/>
      </w:r>
      <w:r>
        <w:rPr>
          <w:rFonts w:ascii="Times New Roman" w:eastAsia="Times New Roman"/>
          <w:position w:val="1"/>
          <w:sz w:val="18"/>
        </w:rPr>
        <w:t>C2922</w:t>
      </w:r>
      <w:r>
        <w:rPr>
          <w:position w:val="1"/>
          <w:sz w:val="18"/>
        </w:rPr>
        <w:t>塑料板、管、型材制造</w:t>
      </w:r>
    </w:p>
    <w:p w14:paraId="5C921BC8">
      <w:pPr>
        <w:spacing w:before="0" w:line="166" w:lineRule="exact"/>
        <w:ind w:left="366" w:right="0" w:firstLine="0"/>
        <w:jc w:val="left"/>
        <w:rPr>
          <w:rFonts w:hint="eastAsia" w:ascii="黑体" w:eastAsia="黑体"/>
          <w:sz w:val="18"/>
        </w:rPr>
      </w:pPr>
      <w:r>
        <w:rPr>
          <w:rFonts w:hint="eastAsia" w:ascii="黑体" w:eastAsia="黑体"/>
          <w:sz w:val="18"/>
        </w:rPr>
        <w:t>项 目</w:t>
      </w:r>
    </w:p>
    <w:p w14:paraId="2C05F6C4">
      <w:pPr>
        <w:pStyle w:val="10"/>
        <w:spacing w:before="5"/>
        <w:rPr>
          <w:rFonts w:ascii="黑体"/>
          <w:sz w:val="17"/>
        </w:rPr>
      </w:pPr>
    </w:p>
    <w:p w14:paraId="28086291">
      <w:pPr>
        <w:spacing w:after="0"/>
        <w:rPr>
          <w:rFonts w:ascii="黑体"/>
          <w:sz w:val="17"/>
        </w:rPr>
        <w:sectPr>
          <w:type w:val="continuous"/>
          <w:pgSz w:w="23820" w:h="16840" w:orient="landscape"/>
          <w:pgMar w:top="1600" w:right="420" w:bottom="280" w:left="240" w:header="720" w:footer="720" w:gutter="0"/>
          <w:cols w:space="720" w:num="1"/>
        </w:sectPr>
      </w:pPr>
    </w:p>
    <w:p w14:paraId="1B9BF0C5">
      <w:pPr>
        <w:spacing w:before="80" w:line="232" w:lineRule="auto"/>
        <w:ind w:left="1694" w:right="38" w:hanging="634"/>
        <w:jc w:val="left"/>
        <w:rPr>
          <w:rFonts w:hint="eastAsia" w:ascii="黑体" w:eastAsia="黑体"/>
          <w:sz w:val="18"/>
        </w:rPr>
      </w:pPr>
      <w:r>
        <w:rPr>
          <w:rFonts w:hint="eastAsia" w:ascii="黑体" w:eastAsia="黑体"/>
          <w:sz w:val="18"/>
        </w:rPr>
        <w:t>现有工程排污许可证或排污登记表编号（改、扩建项目）</w:t>
      </w:r>
    </w:p>
    <w:p w14:paraId="70FEF582">
      <w:pPr>
        <w:spacing w:before="80" w:line="232" w:lineRule="auto"/>
        <w:ind w:left="1060" w:right="38" w:firstLine="0"/>
        <w:jc w:val="left"/>
        <w:rPr>
          <w:rFonts w:hint="eastAsia" w:ascii="黑体" w:eastAsia="黑体"/>
          <w:sz w:val="18"/>
        </w:rPr>
      </w:pPr>
      <w:r>
        <w:br w:type="column"/>
      </w:r>
      <w:r>
        <w:rPr>
          <w:rFonts w:hint="eastAsia" w:ascii="黑体" w:eastAsia="黑体"/>
          <w:sz w:val="18"/>
        </w:rPr>
        <w:t>现有工程排污许可管理类别（改、扩建项目）</w:t>
      </w:r>
    </w:p>
    <w:p w14:paraId="0130B9E7">
      <w:pPr>
        <w:pStyle w:val="10"/>
        <w:spacing w:before="7"/>
        <w:rPr>
          <w:rFonts w:ascii="黑体"/>
          <w:sz w:val="14"/>
        </w:rPr>
      </w:pPr>
      <w:r>
        <w:br w:type="column"/>
      </w:r>
    </w:p>
    <w:p w14:paraId="5D1B5F44">
      <w:pPr>
        <w:tabs>
          <w:tab w:val="left" w:pos="7619"/>
        </w:tabs>
        <w:spacing w:before="0"/>
        <w:ind w:left="1060" w:right="0" w:firstLine="0"/>
        <w:jc w:val="left"/>
        <w:rPr>
          <w:sz w:val="18"/>
        </w:rPr>
      </w:pPr>
      <w:r>
        <w:rPr>
          <w:rFonts w:hint="eastAsia" w:ascii="黑体" w:eastAsia="黑体"/>
          <w:sz w:val="18"/>
        </w:rPr>
        <w:t>项目申请类别</w:t>
      </w:r>
      <w:r>
        <w:rPr>
          <w:rFonts w:hint="eastAsia" w:ascii="黑体" w:eastAsia="黑体"/>
          <w:sz w:val="18"/>
        </w:rPr>
        <w:tab/>
      </w:r>
      <w:r>
        <w:rPr>
          <w:sz w:val="18"/>
        </w:rPr>
        <w:t>新申报项目</w:t>
      </w:r>
    </w:p>
    <w:p w14:paraId="177BA3B3">
      <w:pPr>
        <w:spacing w:after="0"/>
        <w:jc w:val="left"/>
        <w:rPr>
          <w:sz w:val="18"/>
        </w:rPr>
        <w:sectPr>
          <w:type w:val="continuous"/>
          <w:pgSz w:w="23820" w:h="16840" w:orient="landscape"/>
          <w:pgMar w:top="1600" w:right="420" w:bottom="280" w:left="240" w:header="720" w:footer="720" w:gutter="0"/>
          <w:cols w:equalWidth="0" w:num="3">
            <w:col w:w="3999" w:space="1749"/>
            <w:col w:w="2912" w:space="1531"/>
            <w:col w:w="12969"/>
          </w:cols>
        </w:sectPr>
      </w:pPr>
    </w:p>
    <w:p w14:paraId="21D9F8A9">
      <w:pPr>
        <w:pStyle w:val="10"/>
        <w:spacing w:before="7"/>
        <w:rPr>
          <w:sz w:val="25"/>
        </w:rPr>
      </w:pPr>
    </w:p>
    <w:p w14:paraId="17A0812F">
      <w:pPr>
        <w:tabs>
          <w:tab w:val="left" w:pos="6779"/>
          <w:tab w:val="left" w:pos="11159"/>
          <w:tab w:val="left" w:pos="16269"/>
        </w:tabs>
        <w:spacing w:before="74"/>
        <w:ind w:left="1785" w:right="0" w:firstLine="0"/>
        <w:jc w:val="left"/>
        <w:rPr>
          <w:sz w:val="18"/>
        </w:rPr>
      </w:pPr>
      <w:r>
        <w:rPr>
          <w:rFonts w:hint="eastAsia" w:ascii="黑体" w:eastAsia="黑体"/>
          <w:sz w:val="18"/>
        </w:rPr>
        <w:t>规划环评开展情况</w:t>
      </w:r>
      <w:r>
        <w:rPr>
          <w:rFonts w:hint="eastAsia" w:ascii="黑体" w:eastAsia="黑体"/>
          <w:sz w:val="18"/>
        </w:rPr>
        <w:tab/>
      </w:r>
      <w:r>
        <w:rPr>
          <w:sz w:val="18"/>
        </w:rPr>
        <w:t>已开展</w:t>
      </w:r>
      <w:r>
        <w:rPr>
          <w:sz w:val="18"/>
        </w:rPr>
        <w:tab/>
      </w:r>
      <w:r>
        <w:rPr>
          <w:rFonts w:hint="eastAsia" w:ascii="黑体" w:eastAsia="黑体"/>
          <w:sz w:val="18"/>
        </w:rPr>
        <w:t>规划环评文件名</w:t>
      </w:r>
      <w:r>
        <w:rPr>
          <w:rFonts w:hint="eastAsia" w:ascii="黑体" w:eastAsia="黑体"/>
          <w:sz w:val="18"/>
        </w:rPr>
        <w:tab/>
      </w:r>
      <w:r>
        <w:rPr>
          <w:sz w:val="18"/>
        </w:rPr>
        <w:t>汨罗高新技术产业开发区扩区规划环境影响报告书</w:t>
      </w:r>
    </w:p>
    <w:p w14:paraId="44684546">
      <w:pPr>
        <w:pStyle w:val="10"/>
        <w:rPr>
          <w:sz w:val="18"/>
        </w:rPr>
      </w:pPr>
    </w:p>
    <w:p w14:paraId="6DD8C4FF">
      <w:pPr>
        <w:pStyle w:val="10"/>
        <w:spacing w:before="11"/>
        <w:rPr>
          <w:sz w:val="21"/>
        </w:rPr>
      </w:pPr>
    </w:p>
    <w:p w14:paraId="3312551F">
      <w:pPr>
        <w:tabs>
          <w:tab w:val="left" w:pos="6326"/>
          <w:tab w:val="left" w:pos="10886"/>
          <w:tab w:val="left" w:pos="17358"/>
        </w:tabs>
        <w:spacing w:before="0"/>
        <w:ind w:left="1785" w:right="0" w:firstLine="0"/>
        <w:jc w:val="left"/>
        <w:rPr>
          <w:sz w:val="18"/>
        </w:rPr>
      </w:pPr>
      <w:r>
        <w:rPr>
          <w:rFonts w:hint="eastAsia" w:ascii="黑体" w:eastAsia="黑体"/>
          <w:sz w:val="18"/>
        </w:rPr>
        <w:t>规划环评审查机关</w:t>
      </w:r>
      <w:r>
        <w:rPr>
          <w:rFonts w:hint="eastAsia" w:ascii="黑体" w:eastAsia="黑体"/>
          <w:sz w:val="18"/>
        </w:rPr>
        <w:tab/>
      </w:r>
      <w:r>
        <w:rPr>
          <w:sz w:val="18"/>
        </w:rPr>
        <w:t>湖南省生态环境厅</w:t>
      </w:r>
      <w:r>
        <w:rPr>
          <w:sz w:val="18"/>
        </w:rPr>
        <w:tab/>
      </w:r>
      <w:r>
        <w:rPr>
          <w:rFonts w:hint="eastAsia" w:ascii="黑体" w:eastAsia="黑体"/>
          <w:sz w:val="18"/>
        </w:rPr>
        <w:t>规划环评审查意见文号</w:t>
      </w:r>
      <w:r>
        <w:rPr>
          <w:rFonts w:hint="eastAsia" w:ascii="黑体" w:eastAsia="黑体"/>
          <w:sz w:val="18"/>
        </w:rPr>
        <w:tab/>
      </w:r>
      <w:r>
        <w:rPr>
          <w:sz w:val="18"/>
        </w:rPr>
        <w:t>湘环评函【2024】41号</w:t>
      </w:r>
    </w:p>
    <w:p w14:paraId="005DB192">
      <w:pPr>
        <w:pStyle w:val="10"/>
        <w:spacing w:before="3"/>
        <w:rPr>
          <w:sz w:val="25"/>
        </w:rPr>
      </w:pPr>
    </w:p>
    <w:p w14:paraId="09827018">
      <w:pPr>
        <w:spacing w:after="0"/>
        <w:rPr>
          <w:sz w:val="25"/>
        </w:rPr>
        <w:sectPr>
          <w:type w:val="continuous"/>
          <w:pgSz w:w="23820" w:h="16840" w:orient="landscape"/>
          <w:pgMar w:top="1600" w:right="420" w:bottom="280" w:left="240" w:header="720" w:footer="720" w:gutter="0"/>
          <w:cols w:space="720" w:num="1"/>
        </w:sectPr>
      </w:pPr>
    </w:p>
    <w:p w14:paraId="25A2E638">
      <w:pPr>
        <w:spacing w:before="77"/>
        <w:ind w:left="1785" w:right="0" w:firstLine="0"/>
        <w:jc w:val="left"/>
        <w:rPr>
          <w:rFonts w:hint="eastAsia" w:ascii="黑体" w:eastAsia="黑体"/>
          <w:sz w:val="18"/>
        </w:rPr>
      </w:pPr>
      <w:r>
        <w:rPr>
          <w:rFonts w:hint="eastAsia" w:ascii="黑体" w:eastAsia="黑体"/>
          <w:sz w:val="18"/>
        </w:rPr>
        <w:t>建设地点中心坐标</w:t>
      </w:r>
    </w:p>
    <w:p w14:paraId="744646F3">
      <w:pPr>
        <w:spacing w:before="8"/>
        <w:ind w:left="1876" w:right="0" w:firstLine="0"/>
        <w:jc w:val="left"/>
        <w:rPr>
          <w:rFonts w:hint="eastAsia" w:ascii="黑体" w:eastAsia="黑体"/>
          <w:sz w:val="18"/>
        </w:rPr>
      </w:pPr>
      <w:r>
        <w:rPr>
          <w:rFonts w:hint="eastAsia" w:ascii="黑体" w:eastAsia="黑体"/>
          <w:sz w:val="18"/>
        </w:rPr>
        <w:t>（非线性工程）</w:t>
      </w:r>
    </w:p>
    <w:p w14:paraId="4820A040">
      <w:pPr>
        <w:tabs>
          <w:tab w:val="left" w:pos="2289"/>
          <w:tab w:val="left" w:pos="4259"/>
          <w:tab w:val="left" w:pos="5723"/>
          <w:tab w:val="left" w:pos="6993"/>
        </w:tabs>
        <w:spacing w:before="78" w:line="280" w:lineRule="exact"/>
        <w:ind w:left="1159" w:right="0" w:firstLine="0"/>
        <w:jc w:val="left"/>
        <w:rPr>
          <w:rFonts w:hint="eastAsia" w:ascii="黑体" w:eastAsia="黑体"/>
          <w:sz w:val="18"/>
        </w:rPr>
      </w:pPr>
      <w:r>
        <w:br w:type="column"/>
      </w:r>
      <w:r>
        <w:rPr>
          <w:rFonts w:hint="eastAsia" w:ascii="黑体" w:eastAsia="黑体"/>
          <w:sz w:val="18"/>
        </w:rPr>
        <w:t>经度</w:t>
      </w:r>
      <w:r>
        <w:rPr>
          <w:rFonts w:hint="eastAsia" w:ascii="黑体" w:eastAsia="黑体"/>
          <w:sz w:val="18"/>
        </w:rPr>
        <w:tab/>
      </w:r>
      <w:r>
        <w:rPr>
          <w:rFonts w:ascii="Times New Roman" w:eastAsia="Times New Roman"/>
          <w:position w:val="1"/>
          <w:sz w:val="18"/>
        </w:rPr>
        <w:t>113.177232</w:t>
      </w:r>
      <w:r>
        <w:rPr>
          <w:rFonts w:ascii="Times New Roman" w:eastAsia="Times New Roman"/>
          <w:position w:val="1"/>
          <w:sz w:val="18"/>
        </w:rPr>
        <w:tab/>
      </w:r>
      <w:r>
        <w:rPr>
          <w:rFonts w:hint="eastAsia" w:ascii="黑体" w:eastAsia="黑体"/>
          <w:sz w:val="18"/>
        </w:rPr>
        <w:t>纬度</w:t>
      </w:r>
      <w:r>
        <w:rPr>
          <w:rFonts w:hint="eastAsia" w:ascii="黑体" w:eastAsia="黑体"/>
          <w:sz w:val="18"/>
        </w:rPr>
        <w:tab/>
      </w:r>
      <w:r>
        <w:rPr>
          <w:rFonts w:ascii="Times New Roman" w:eastAsia="Times New Roman"/>
          <w:position w:val="1"/>
          <w:sz w:val="18"/>
        </w:rPr>
        <w:t>28.762591</w:t>
      </w:r>
      <w:r>
        <w:rPr>
          <w:rFonts w:ascii="Times New Roman" w:eastAsia="Times New Roman"/>
          <w:position w:val="1"/>
          <w:sz w:val="18"/>
        </w:rPr>
        <w:tab/>
      </w:r>
      <w:r>
        <w:rPr>
          <w:rFonts w:hint="eastAsia" w:ascii="黑体" w:eastAsia="黑体"/>
          <w:position w:val="11"/>
          <w:sz w:val="18"/>
        </w:rPr>
        <w:t>占地面积（平方</w:t>
      </w:r>
    </w:p>
    <w:p w14:paraId="455CF9BC">
      <w:pPr>
        <w:spacing w:before="0" w:line="170" w:lineRule="exact"/>
        <w:ind w:left="0" w:right="450" w:firstLine="0"/>
        <w:jc w:val="right"/>
        <w:rPr>
          <w:rFonts w:hint="eastAsia" w:ascii="黑体" w:eastAsia="黑体"/>
          <w:sz w:val="18"/>
        </w:rPr>
      </w:pPr>
      <w:r>
        <w:rPr>
          <w:rFonts w:hint="eastAsia" w:ascii="黑体" w:eastAsia="黑体"/>
          <w:sz w:val="18"/>
        </w:rPr>
        <w:t>米）</w:t>
      </w:r>
    </w:p>
    <w:p w14:paraId="5FDD900E">
      <w:pPr>
        <w:pStyle w:val="10"/>
        <w:spacing w:before="9"/>
        <w:rPr>
          <w:rFonts w:ascii="黑体"/>
          <w:sz w:val="14"/>
        </w:rPr>
      </w:pPr>
      <w:r>
        <w:br w:type="column"/>
      </w:r>
    </w:p>
    <w:p w14:paraId="6ED2A7E8">
      <w:pPr>
        <w:tabs>
          <w:tab w:val="left" w:pos="2042"/>
          <w:tab w:val="left" w:pos="6724"/>
        </w:tabs>
        <w:spacing w:before="0"/>
        <w:ind w:left="844" w:right="0" w:firstLine="0"/>
        <w:jc w:val="left"/>
        <w:rPr>
          <w:sz w:val="18"/>
        </w:rPr>
      </w:pPr>
      <w:r>
        <w:rPr>
          <w:rFonts w:ascii="Times New Roman" w:eastAsia="Times New Roman"/>
          <w:position w:val="1"/>
          <w:sz w:val="18"/>
        </w:rPr>
        <w:t>3200</w:t>
      </w:r>
      <w:r>
        <w:rPr>
          <w:rFonts w:ascii="Times New Roman" w:eastAsia="Times New Roman"/>
          <w:position w:val="1"/>
          <w:sz w:val="18"/>
        </w:rPr>
        <w:tab/>
      </w:r>
      <w:r>
        <w:rPr>
          <w:rFonts w:hint="eastAsia" w:ascii="黑体" w:eastAsia="黑体"/>
          <w:sz w:val="18"/>
        </w:rPr>
        <w:t>环评文件类别</w:t>
      </w:r>
      <w:r>
        <w:rPr>
          <w:rFonts w:hint="eastAsia" w:ascii="黑体" w:eastAsia="黑体"/>
          <w:sz w:val="18"/>
        </w:rPr>
        <w:tab/>
      </w:r>
      <w:r>
        <w:rPr>
          <w:sz w:val="18"/>
        </w:rPr>
        <w:t>环境影响报告书</w:t>
      </w:r>
    </w:p>
    <w:p w14:paraId="56E7CC9E">
      <w:pPr>
        <w:spacing w:after="0"/>
        <w:jc w:val="left"/>
        <w:rPr>
          <w:sz w:val="18"/>
        </w:rPr>
        <w:sectPr>
          <w:type w:val="continuous"/>
          <w:pgSz w:w="23820" w:h="16840" w:orient="landscape"/>
          <w:pgMar w:top="1600" w:right="420" w:bottom="280" w:left="240" w:header="720" w:footer="720" w:gutter="0"/>
          <w:cols w:equalWidth="0" w:num="3">
            <w:col w:w="3234" w:space="40"/>
            <w:col w:w="8262" w:space="39"/>
            <w:col w:w="11585"/>
          </w:cols>
        </w:sectPr>
      </w:pPr>
    </w:p>
    <w:p w14:paraId="2C0C9DAC">
      <w:pPr>
        <w:pStyle w:val="10"/>
        <w:spacing w:before="6"/>
        <w:rPr>
          <w:sz w:val="15"/>
        </w:rPr>
      </w:pPr>
    </w:p>
    <w:p w14:paraId="3CA840DA">
      <w:pPr>
        <w:tabs>
          <w:tab w:val="left" w:pos="2829"/>
          <w:tab w:val="left" w:pos="5928"/>
          <w:tab w:val="left" w:pos="9117"/>
          <w:tab w:val="left" w:pos="12374"/>
          <w:tab w:val="left" w:pos="16274"/>
        </w:tabs>
        <w:spacing w:before="75" w:line="281" w:lineRule="exact"/>
        <w:ind w:left="0" w:right="4728" w:firstLine="0"/>
        <w:jc w:val="right"/>
        <w:rPr>
          <w:rFonts w:hint="eastAsia" w:ascii="黑体" w:eastAsia="黑体"/>
          <w:sz w:val="18"/>
        </w:rPr>
      </w:pPr>
      <w:r>
        <w:rPr>
          <w:rFonts w:hint="eastAsia" w:ascii="黑体" w:eastAsia="黑体"/>
          <w:sz w:val="18"/>
        </w:rPr>
        <w:t>建设地点坐标（线性工程）</w:t>
      </w:r>
      <w:r>
        <w:rPr>
          <w:rFonts w:hint="eastAsia" w:ascii="黑体" w:eastAsia="黑体"/>
          <w:sz w:val="18"/>
        </w:rPr>
        <w:tab/>
      </w:r>
      <w:r>
        <w:rPr>
          <w:rFonts w:hint="eastAsia" w:ascii="黑体" w:eastAsia="黑体"/>
          <w:sz w:val="18"/>
        </w:rPr>
        <w:t>起点经度</w:t>
      </w:r>
      <w:r>
        <w:rPr>
          <w:rFonts w:hint="eastAsia" w:ascii="黑体" w:eastAsia="黑体"/>
          <w:sz w:val="18"/>
        </w:rPr>
        <w:tab/>
      </w:r>
      <w:r>
        <w:rPr>
          <w:rFonts w:hint="eastAsia" w:ascii="黑体" w:eastAsia="黑体"/>
          <w:sz w:val="18"/>
        </w:rPr>
        <w:t>起点纬度</w:t>
      </w:r>
      <w:r>
        <w:rPr>
          <w:rFonts w:hint="eastAsia" w:ascii="黑体" w:eastAsia="黑体"/>
          <w:sz w:val="18"/>
        </w:rPr>
        <w:tab/>
      </w:r>
      <w:r>
        <w:rPr>
          <w:rFonts w:hint="eastAsia" w:ascii="黑体" w:eastAsia="黑体"/>
          <w:sz w:val="18"/>
        </w:rPr>
        <w:t>终点经度</w:t>
      </w:r>
      <w:r>
        <w:rPr>
          <w:rFonts w:hint="eastAsia" w:ascii="黑体" w:eastAsia="黑体"/>
          <w:sz w:val="18"/>
        </w:rPr>
        <w:tab/>
      </w:r>
      <w:r>
        <w:rPr>
          <w:rFonts w:hint="eastAsia" w:ascii="黑体" w:eastAsia="黑体"/>
          <w:sz w:val="18"/>
        </w:rPr>
        <w:t>终点纬度</w:t>
      </w:r>
      <w:r>
        <w:rPr>
          <w:rFonts w:hint="eastAsia" w:ascii="黑体" w:eastAsia="黑体"/>
          <w:sz w:val="18"/>
        </w:rPr>
        <w:tab/>
      </w:r>
      <w:r>
        <w:rPr>
          <w:rFonts w:hint="eastAsia" w:ascii="黑体" w:eastAsia="黑体"/>
          <w:position w:val="11"/>
          <w:sz w:val="18"/>
        </w:rPr>
        <w:t>工程长度</w:t>
      </w:r>
    </w:p>
    <w:p w14:paraId="30DB95CA">
      <w:pPr>
        <w:spacing w:before="0" w:line="171" w:lineRule="exact"/>
        <w:ind w:left="0" w:right="4729" w:firstLine="0"/>
        <w:jc w:val="right"/>
        <w:rPr>
          <w:rFonts w:hint="eastAsia" w:ascii="黑体" w:eastAsia="黑体"/>
          <w:sz w:val="18"/>
        </w:rPr>
      </w:pPr>
      <w:r>
        <w:rPr>
          <w:rFonts w:hint="eastAsia" w:ascii="黑体" w:eastAsia="黑体"/>
          <w:sz w:val="18"/>
        </w:rPr>
        <w:t>（千米）</w:t>
      </w:r>
    </w:p>
    <w:p w14:paraId="7E3D5439">
      <w:pPr>
        <w:pStyle w:val="10"/>
        <w:rPr>
          <w:rFonts w:ascii="黑体"/>
          <w:sz w:val="18"/>
        </w:rPr>
      </w:pPr>
    </w:p>
    <w:p w14:paraId="16EF2841">
      <w:pPr>
        <w:tabs>
          <w:tab w:val="left" w:pos="6736"/>
          <w:tab w:val="left" w:pos="11068"/>
          <w:tab w:val="left" w:pos="15196"/>
          <w:tab w:val="left" w:pos="17440"/>
          <w:tab w:val="left" w:pos="20781"/>
        </w:tabs>
        <w:spacing w:before="159"/>
        <w:ind w:left="1876" w:right="0" w:firstLine="0"/>
        <w:jc w:val="left"/>
        <w:rPr>
          <w:rFonts w:ascii="Times New Roman" w:eastAsia="Times New Roman"/>
          <w:sz w:val="18"/>
        </w:rPr>
      </w:pPr>
      <w:r>
        <w:rPr>
          <w:rFonts w:hint="eastAsia" w:ascii="黑体" w:eastAsia="黑体"/>
          <w:sz w:val="18"/>
        </w:rPr>
        <w:t>总投资（万元）</w:t>
      </w:r>
      <w:r>
        <w:rPr>
          <w:rFonts w:hint="eastAsia" w:ascii="黑体" w:eastAsia="黑体"/>
          <w:sz w:val="18"/>
        </w:rPr>
        <w:tab/>
      </w:r>
      <w:r>
        <w:rPr>
          <w:rFonts w:ascii="Times New Roman" w:eastAsia="Times New Roman"/>
          <w:position w:val="1"/>
          <w:sz w:val="18"/>
        </w:rPr>
        <w:t>2000.00</w:t>
      </w:r>
      <w:r>
        <w:rPr>
          <w:rFonts w:ascii="Times New Roman" w:eastAsia="Times New Roman"/>
          <w:position w:val="1"/>
          <w:sz w:val="18"/>
        </w:rPr>
        <w:tab/>
      </w:r>
      <w:r>
        <w:rPr>
          <w:rFonts w:hint="eastAsia" w:ascii="黑体" w:eastAsia="黑体"/>
          <w:sz w:val="18"/>
        </w:rPr>
        <w:t>环保投资（万元）</w:t>
      </w:r>
      <w:r>
        <w:rPr>
          <w:rFonts w:hint="eastAsia" w:ascii="黑体" w:eastAsia="黑体"/>
          <w:sz w:val="18"/>
        </w:rPr>
        <w:tab/>
      </w:r>
      <w:r>
        <w:rPr>
          <w:rFonts w:ascii="Times New Roman" w:eastAsia="Times New Roman"/>
          <w:position w:val="1"/>
          <w:sz w:val="18"/>
        </w:rPr>
        <w:t>59.00</w:t>
      </w:r>
      <w:r>
        <w:rPr>
          <w:rFonts w:ascii="Times New Roman" w:eastAsia="Times New Roman"/>
          <w:position w:val="1"/>
          <w:sz w:val="18"/>
        </w:rPr>
        <w:tab/>
      </w:r>
      <w:r>
        <w:rPr>
          <w:rFonts w:hint="eastAsia" w:ascii="黑体" w:eastAsia="黑体"/>
          <w:position w:val="1"/>
          <w:sz w:val="18"/>
        </w:rPr>
        <w:t>所占比例（</w:t>
      </w:r>
      <w:r>
        <w:rPr>
          <w:rFonts w:ascii="Times New Roman" w:eastAsia="Times New Roman"/>
          <w:position w:val="1"/>
          <w:sz w:val="18"/>
        </w:rPr>
        <w:t>%</w:t>
      </w:r>
      <w:r>
        <w:rPr>
          <w:rFonts w:hint="eastAsia" w:ascii="黑体" w:eastAsia="黑体"/>
          <w:position w:val="1"/>
          <w:sz w:val="18"/>
        </w:rPr>
        <w:t>）</w:t>
      </w:r>
      <w:r>
        <w:rPr>
          <w:rFonts w:hint="eastAsia" w:ascii="黑体" w:eastAsia="黑体"/>
          <w:position w:val="1"/>
          <w:sz w:val="18"/>
        </w:rPr>
        <w:tab/>
      </w:r>
      <w:r>
        <w:rPr>
          <w:rFonts w:ascii="Times New Roman" w:eastAsia="Times New Roman"/>
          <w:position w:val="1"/>
          <w:sz w:val="18"/>
        </w:rPr>
        <w:t>3%</w:t>
      </w:r>
    </w:p>
    <w:p w14:paraId="1B39BD49">
      <w:pPr>
        <w:pStyle w:val="10"/>
        <w:spacing w:before="2"/>
        <w:rPr>
          <w:rFonts w:ascii="Times New Roman"/>
          <w:sz w:val="28"/>
        </w:rPr>
      </w:pPr>
    </w:p>
    <w:p w14:paraId="04BA3F72">
      <w:pPr>
        <w:spacing w:after="0"/>
        <w:rPr>
          <w:rFonts w:ascii="Times New Roman"/>
          <w:sz w:val="28"/>
        </w:rPr>
        <w:sectPr>
          <w:type w:val="continuous"/>
          <w:pgSz w:w="23820" w:h="16840" w:orient="landscape"/>
          <w:pgMar w:top="1600" w:right="420" w:bottom="280" w:left="240" w:header="720" w:footer="720" w:gutter="0"/>
          <w:cols w:space="720" w:num="1"/>
        </w:sectPr>
      </w:pPr>
    </w:p>
    <w:p w14:paraId="4D7CAE9D">
      <w:pPr>
        <w:pStyle w:val="10"/>
        <w:spacing w:before="4"/>
        <w:rPr>
          <w:rFonts w:ascii="Times New Roman"/>
          <w:sz w:val="16"/>
        </w:rPr>
      </w:pPr>
    </w:p>
    <w:p w14:paraId="253716DF">
      <w:pPr>
        <w:tabs>
          <w:tab w:val="left" w:pos="1939"/>
        </w:tabs>
        <w:spacing w:before="0"/>
        <w:ind w:left="0" w:right="0" w:firstLine="0"/>
        <w:jc w:val="right"/>
        <w:rPr>
          <w:sz w:val="18"/>
        </w:rPr>
      </w:pPr>
      <w:r>
        <w:rPr>
          <w:rFonts w:hint="eastAsia" w:ascii="黑体" w:eastAsia="黑体"/>
          <w:sz w:val="18"/>
        </w:rPr>
        <w:t>法定代表人</w:t>
      </w:r>
      <w:r>
        <w:rPr>
          <w:rFonts w:hint="eastAsia" w:ascii="黑体" w:eastAsia="黑体"/>
          <w:sz w:val="18"/>
        </w:rPr>
        <w:tab/>
      </w:r>
      <w:r>
        <w:rPr>
          <w:sz w:val="18"/>
        </w:rPr>
        <w:t>刘坤</w:t>
      </w:r>
    </w:p>
    <w:p w14:paraId="2521C0BD">
      <w:pPr>
        <w:pStyle w:val="10"/>
        <w:spacing w:before="5"/>
        <w:rPr>
          <w:sz w:val="13"/>
        </w:rPr>
      </w:pPr>
      <w:r>
        <w:br w:type="column"/>
      </w:r>
    </w:p>
    <w:p w14:paraId="211A3A98">
      <w:pPr>
        <w:tabs>
          <w:tab w:val="left" w:pos="4733"/>
          <w:tab w:val="left" w:pos="7823"/>
        </w:tabs>
        <w:spacing w:before="0" w:line="115" w:lineRule="auto"/>
        <w:ind w:left="8366" w:right="0" w:hanging="5731"/>
        <w:jc w:val="left"/>
        <w:rPr>
          <w:rFonts w:hint="eastAsia" w:ascii="黑体" w:eastAsia="黑体"/>
          <w:sz w:val="18"/>
        </w:rPr>
      </w:pPr>
      <w:r>
        <w:rPr>
          <w:rFonts w:hint="eastAsia" w:ascii="黑体" w:eastAsia="黑体"/>
          <w:sz w:val="18"/>
        </w:rPr>
        <w:t>单位名称</w:t>
      </w:r>
      <w:r>
        <w:rPr>
          <w:rFonts w:hint="eastAsia" w:ascii="黑体" w:eastAsia="黑体"/>
          <w:sz w:val="18"/>
        </w:rPr>
        <w:tab/>
      </w:r>
      <w:r>
        <w:rPr>
          <w:sz w:val="18"/>
        </w:rPr>
        <w:t>湖南隆宇环保科技有限公司</w:t>
      </w:r>
      <w:r>
        <w:rPr>
          <w:sz w:val="18"/>
        </w:rPr>
        <w:tab/>
      </w:r>
      <w:r>
        <w:rPr>
          <w:rFonts w:hint="eastAsia" w:ascii="黑体" w:eastAsia="黑体"/>
          <w:position w:val="11"/>
          <w:sz w:val="18"/>
        </w:rPr>
        <w:t>统一社会信用代</w:t>
      </w:r>
      <w:r>
        <w:rPr>
          <w:rFonts w:hint="eastAsia" w:ascii="黑体" w:eastAsia="黑体"/>
          <w:sz w:val="18"/>
        </w:rPr>
        <w:t>码</w:t>
      </w:r>
    </w:p>
    <w:p w14:paraId="7AEA5320">
      <w:pPr>
        <w:pStyle w:val="10"/>
        <w:spacing w:before="5"/>
        <w:rPr>
          <w:rFonts w:ascii="黑体"/>
          <w:sz w:val="14"/>
        </w:rPr>
      </w:pPr>
      <w:r>
        <w:br w:type="column"/>
      </w:r>
    </w:p>
    <w:p w14:paraId="699C3D7A">
      <w:pPr>
        <w:spacing w:before="1"/>
        <w:ind w:left="1201" w:right="0" w:firstLine="0"/>
        <w:jc w:val="left"/>
        <w:rPr>
          <w:rFonts w:ascii="Times New Roman"/>
          <w:sz w:val="18"/>
        </w:rPr>
      </w:pPr>
      <w:r>
        <w:rPr>
          <w:rFonts w:ascii="Times New Roman"/>
          <w:sz w:val="18"/>
        </w:rPr>
        <w:t>91430600MABTTBGG4L</w:t>
      </w:r>
    </w:p>
    <w:p w14:paraId="67B2E45F">
      <w:pPr>
        <w:spacing w:after="0"/>
        <w:jc w:val="left"/>
        <w:rPr>
          <w:rFonts w:ascii="Times New Roman"/>
          <w:sz w:val="18"/>
        </w:rPr>
        <w:sectPr>
          <w:type w:val="continuous"/>
          <w:pgSz w:w="23820" w:h="16840" w:orient="landscape"/>
          <w:pgMar w:top="1600" w:right="420" w:bottom="280" w:left="240" w:header="720" w:footer="720" w:gutter="0"/>
          <w:cols w:equalWidth="0" w:num="3">
            <w:col w:w="9563" w:space="40"/>
            <w:col w:w="9091" w:space="39"/>
            <w:col w:w="4427"/>
          </w:cols>
        </w:sectPr>
      </w:pPr>
    </w:p>
    <w:p w14:paraId="07C0994A">
      <w:pPr>
        <w:pStyle w:val="10"/>
        <w:rPr>
          <w:rFonts w:ascii="Times New Roman"/>
          <w:sz w:val="20"/>
        </w:rPr>
      </w:pPr>
    </w:p>
    <w:p w14:paraId="4D078F52">
      <w:pPr>
        <w:pStyle w:val="10"/>
        <w:spacing w:before="1"/>
        <w:rPr>
          <w:rFonts w:ascii="Times New Roman"/>
          <w:sz w:val="17"/>
        </w:rPr>
      </w:pPr>
    </w:p>
    <w:p w14:paraId="7D08A5F0">
      <w:pPr>
        <w:tabs>
          <w:tab w:val="left" w:pos="4296"/>
          <w:tab w:val="left" w:pos="13979"/>
          <w:tab w:val="left" w:pos="15817"/>
        </w:tabs>
        <w:spacing w:before="0"/>
        <w:ind w:left="2147" w:right="0" w:firstLine="0"/>
        <w:jc w:val="left"/>
        <w:rPr>
          <w:sz w:val="18"/>
        </w:rPr>
      </w:pPr>
      <w:r>
        <w:rPr>
          <w:rFonts w:hint="eastAsia" w:ascii="黑体" w:eastAsia="黑体"/>
          <w:sz w:val="18"/>
        </w:rPr>
        <w:t>单位名称</w:t>
      </w:r>
      <w:r>
        <w:rPr>
          <w:rFonts w:hint="eastAsia" w:ascii="黑体" w:eastAsia="黑体"/>
          <w:sz w:val="18"/>
        </w:rPr>
        <w:tab/>
      </w:r>
      <w:r>
        <w:rPr>
          <w:sz w:val="18"/>
        </w:rPr>
        <w:t>湖南鑫诚复合材料有限公司</w:t>
      </w:r>
      <w:r>
        <w:rPr>
          <w:sz w:val="18"/>
        </w:rPr>
        <w:tab/>
      </w:r>
      <w:r>
        <w:rPr>
          <w:rFonts w:hint="eastAsia" w:ascii="黑体" w:eastAsia="黑体"/>
          <w:sz w:val="18"/>
        </w:rPr>
        <w:t>姓名</w:t>
      </w:r>
      <w:r>
        <w:rPr>
          <w:rFonts w:hint="eastAsia" w:ascii="黑体" w:eastAsia="黑体"/>
          <w:sz w:val="18"/>
        </w:rPr>
        <w:tab/>
      </w:r>
      <w:r>
        <w:rPr>
          <w:sz w:val="18"/>
        </w:rPr>
        <w:t>陈一丁</w:t>
      </w:r>
    </w:p>
    <w:p w14:paraId="1F48284E">
      <w:pPr>
        <w:spacing w:after="0"/>
        <w:jc w:val="left"/>
        <w:rPr>
          <w:sz w:val="18"/>
        </w:rPr>
        <w:sectPr>
          <w:type w:val="continuous"/>
          <w:pgSz w:w="23820" w:h="16840" w:orient="landscape"/>
          <w:pgMar w:top="1600" w:right="420" w:bottom="280" w:left="240" w:header="720" w:footer="720" w:gutter="0"/>
          <w:cols w:space="720" w:num="1"/>
        </w:sectPr>
      </w:pPr>
    </w:p>
    <w:p w14:paraId="48856E98">
      <w:pPr>
        <w:tabs>
          <w:tab w:val="left" w:pos="1939"/>
        </w:tabs>
        <w:spacing w:before="139"/>
        <w:ind w:left="0" w:right="38" w:firstLine="0"/>
        <w:jc w:val="right"/>
        <w:rPr>
          <w:sz w:val="18"/>
        </w:rPr>
      </w:pPr>
      <w:r>
        <w:pict>
          <v:group id="_x0000_s3931" o:spid="_x0000_s3931" o:spt="203" style="position:absolute;left:0pt;margin-left:17.75pt;margin-top:39.05pt;height:740.95pt;width:1146.15pt;mso-position-horizontal-relative:page;mso-position-vertical-relative:page;z-index:-251646976;mso-width-relative:page;mso-height-relative:page;" coordorigin="355,781" coordsize="22923,14819">
            <o:lock v:ext="edit"/>
            <v:shape id="_x0000_s3932" o:spid="_x0000_s3932" style="position:absolute;left:367;top:3732;height:11868;width:14705;" fillcolor="#BEBEBE" filled="t" stroked="f" coordorigin="367,3732" coordsize="14705,11868" path="m5465,11148l4246,11148,4246,10409,4246,10406,4246,9667,4246,9665,4246,8926,4246,8923,4246,8184,4246,8182,4246,7442,4246,7440,4246,6701,4246,6698,4246,5959,4246,5957,4246,5218,4246,5215,4246,4476,4246,4474,4246,3732,1255,3732,1253,3732,367,3732,367,13375,370,13375,370,15600,1253,15600,1253,15600,4246,15600,4246,13375,4246,13373,4246,12634,5465,12634,5465,11892,5465,11890,5465,11148m15072,11148l13733,11148,13733,10409,13733,10406,13733,9667,13733,9665,13733,8926,13733,8923,13733,8184,13733,8182,13733,7442,13733,7440,13733,6701,13733,6698,13733,5959,13733,5957,13733,3732,13730,3732,13730,11150,13730,11890,13730,11892,13730,12631,11950,12631,11950,11892,11950,11890,11950,11150,13730,11150,13730,3732,10334,3732,10334,5957,10334,5959,10334,6698,10334,6701,10334,7440,10334,7442,10334,8182,10334,8184,10334,8923,10334,8926,10334,9665,10334,9667,10334,10406,10334,10409,10334,11148,10334,11150,10334,11890,10334,11892,10334,12631,10334,12634,10334,13373,10334,13375,10334,15600,11947,15600,11950,15600,13730,15600,13730,15600,15072,15600,15072,14858,15072,14856,15072,14114,13733,14114,13733,13375,13733,13373,13733,12634,15072,12634,15072,11892,15072,11890,15072,11148e">
              <v:path arrowok="t"/>
              <v:fill on="t" focussize="0,0"/>
              <v:stroke on="f"/>
              <v:imagedata o:title=""/>
              <o:lock v:ext="edit"/>
            </v:shape>
            <v:line id="_x0000_s3933" o:spid="_x0000_s3933" o:spt="20" style="position:absolute;left:355;top:3727;height:0;width:22923;" stroked="t" coordsize="21600,21600">
              <v:path arrowok="t"/>
              <v:fill focussize="0,0"/>
              <v:stroke weight="0.72pt" color="#000000"/>
              <v:imagedata o:title=""/>
              <o:lock v:ext="edit"/>
            </v:line>
            <v:line id="_x0000_s3934" o:spid="_x0000_s3934" o:spt="20" style="position:absolute;left:1241;top:4469;height:0;width:9096;" stroked="t" coordsize="21600,21600">
              <v:path arrowok="t"/>
              <v:fill focussize="0,0"/>
              <v:stroke weight="0.72pt" color="#000000"/>
              <v:imagedata o:title=""/>
              <o:lock v:ext="edit"/>
            </v:line>
            <v:line id="_x0000_s3935" o:spid="_x0000_s3935" o:spt="20" style="position:absolute;left:1241;top:5210;height:0;width:9096;" stroked="t" coordsize="21600,21600">
              <v:path arrowok="t"/>
              <v:fill focussize="0,0"/>
              <v:stroke weight="0.72pt" color="#000000"/>
              <v:imagedata o:title=""/>
              <o:lock v:ext="edit"/>
            </v:line>
            <v:line id="_x0000_s3936" o:spid="_x0000_s3936" o:spt="20" style="position:absolute;left:1241;top:5952;height:0;width:22037;" stroked="t" coordsize="21600,21600">
              <v:path arrowok="t"/>
              <v:fill focussize="0,0"/>
              <v:stroke weight="0.72pt" color="#000000"/>
              <v:imagedata o:title=""/>
              <o:lock v:ext="edit"/>
            </v:line>
            <v:line id="_x0000_s3937" o:spid="_x0000_s3937" o:spt="20" style="position:absolute;left:1241;top:6694;height:0;width:22037;" stroked="t" coordsize="21600,21600">
              <v:path arrowok="t"/>
              <v:fill focussize="0,0"/>
              <v:stroke weight="0.72pt" color="#000000"/>
              <v:imagedata o:title=""/>
              <o:lock v:ext="edit"/>
            </v:line>
            <v:line id="_x0000_s3938" o:spid="_x0000_s3938" o:spt="20" style="position:absolute;left:1241;top:7435;height:0;width:22037;" stroked="t" coordsize="21600,21600">
              <v:path arrowok="t"/>
              <v:fill focussize="0,0"/>
              <v:stroke weight="0.72pt" color="#000000"/>
              <v:imagedata o:title=""/>
              <o:lock v:ext="edit"/>
            </v:line>
            <v:line id="_x0000_s3939" o:spid="_x0000_s3939" o:spt="20" style="position:absolute;left:1241;top:8177;height:0;width:22037;" stroked="t" coordsize="21600,21600">
              <v:path arrowok="t"/>
              <v:fill focussize="0,0"/>
              <v:stroke weight="0.72pt" color="#000000"/>
              <v:imagedata o:title=""/>
              <o:lock v:ext="edit"/>
            </v:line>
            <v:rect id="_x0000_s3940" o:spid="_x0000_s3940" o:spt="1" style="position:absolute;left:6998;top:8923;height:744;width:1911;" fillcolor="#BEBEBE" filled="t" stroked="f" coordsize="21600,21600">
              <v:path/>
              <v:fill on="t" focussize="0,0"/>
              <v:stroke on="f"/>
              <v:imagedata o:title=""/>
              <o:lock v:ext="edit"/>
            </v:rect>
            <v:line id="_x0000_s3941" o:spid="_x0000_s3941" o:spt="20" style="position:absolute;left:1241;top:8918;height:0;width:22037;" stroked="t" coordsize="21600,21600">
              <v:path arrowok="t"/>
              <v:fill focussize="0,0"/>
              <v:stroke weight="0.72pt" color="#000000"/>
              <v:imagedata o:title=""/>
              <o:lock v:ext="edit"/>
            </v:line>
            <v:line id="_x0000_s3942" o:spid="_x0000_s3942" o:spt="20" style="position:absolute;left:1241;top:9660;height:0;width:22037;" stroked="t" coordsize="21600,21600">
              <v:path arrowok="t"/>
              <v:fill focussize="0,0"/>
              <v:stroke weight="0.72pt" color="#000000"/>
              <v:imagedata o:title=""/>
              <o:lock v:ext="edit"/>
            </v:line>
            <v:line id="_x0000_s3943" o:spid="_x0000_s3943" o:spt="20" style="position:absolute;left:1241;top:10402;height:0;width:22037;" stroked="t" coordsize="21600,21600">
              <v:path arrowok="t"/>
              <v:fill focussize="0,0"/>
              <v:stroke weight="0.72pt" color="#000000"/>
              <v:imagedata o:title=""/>
              <o:lock v:ext="edit"/>
            </v:line>
            <v:shape id="_x0000_s3944" o:spid="_x0000_s3944" style="position:absolute;left:6998;top:11148;height:1486;width:1911;" fillcolor="#BEBEBE" filled="t" stroked="f" coordorigin="6998,11148" coordsize="1911,1486" path="m8909,11148l6998,11148,6998,11890,6998,11892,6998,12634,8909,12634,8909,11892,8909,11890,8909,11148e">
              <v:path arrowok="t"/>
              <v:fill on="t" focussize="0,0"/>
              <v:stroke on="f"/>
              <v:imagedata o:title=""/>
              <o:lock v:ext="edit"/>
            </v:shape>
            <v:line id="_x0000_s3945" o:spid="_x0000_s3945" o:spt="20" style="position:absolute;left:1241;top:11143;height:0;width:22037;" stroked="t" coordsize="21600,21600">
              <v:path arrowok="t"/>
              <v:fill focussize="0,0"/>
              <v:stroke weight="0.72pt" color="#000000"/>
              <v:imagedata o:title=""/>
              <o:lock v:ext="edit"/>
            </v:line>
            <v:shape id="_x0000_s3946" o:spid="_x0000_s3946" style="position:absolute;left:17589;top:11889;height:3711;width:1419;" fillcolor="#BEBEBE" filled="t" stroked="f" coordorigin="17590,11890" coordsize="1419,3711" path="m19008,11890l17590,11890,17590,12631,17590,12634,17590,15600,19008,15600,19008,12631,19008,11890e">
              <v:path arrowok="t"/>
              <v:fill on="t" focussize="0,0"/>
              <v:stroke on="f"/>
              <v:imagedata o:title=""/>
              <o:lock v:ext="edit"/>
            </v:shape>
            <v:line id="_x0000_s3947" o:spid="_x0000_s3947" o:spt="20" style="position:absolute;left:1241;top:11885;height:0;width:22037;" stroked="t" coordsize="21600,21600">
              <v:path arrowok="t"/>
              <v:fill focussize="0,0"/>
              <v:stroke weight="0.72pt" color="#000000"/>
              <v:imagedata o:title=""/>
              <o:lock v:ext="edit"/>
            </v:line>
            <v:line id="_x0000_s3948" o:spid="_x0000_s3948" o:spt="20" style="position:absolute;left:1241;top:12626;height:0;width:22037;" stroked="t" coordsize="21600,21600">
              <v:path arrowok="t"/>
              <v:fill focussize="0,0"/>
              <v:stroke weight="0.72pt" color="#000000"/>
              <v:imagedata o:title=""/>
              <o:lock v:ext="edit"/>
            </v:line>
            <v:shape id="_x0000_s3949" o:spid="_x0000_s3949" style="position:absolute;left:6998;top:13372;height:2228;width:1911;" fillcolor="#BEBEBE" filled="t" stroked="f" coordorigin="6998,13373" coordsize="1911,2228" path="m8909,13373l6998,13373,6998,14114,6998,14117,6998,15600,8909,15600,8909,14117,8909,14114,8909,13373e">
              <v:path arrowok="t"/>
              <v:fill on="t" focussize="0,0"/>
              <v:stroke on="f"/>
              <v:imagedata o:title=""/>
              <o:lock v:ext="edit"/>
            </v:shape>
            <v:line id="_x0000_s3950" o:spid="_x0000_s3950" o:spt="20" style="position:absolute;left:355;top:13368;height:0;width:22923;" stroked="t" coordsize="21600,21600">
              <v:path arrowok="t"/>
              <v:fill focussize="0,0"/>
              <v:stroke weight="0.72pt" color="#000000"/>
              <v:imagedata o:title=""/>
              <o:lock v:ext="edit"/>
            </v:line>
            <v:line id="_x0000_s3951" o:spid="_x0000_s3951" o:spt="20" style="position:absolute;left:6986;top:14110;height:0;width:3351;" stroked="t" coordsize="21600,21600">
              <v:path arrowok="t"/>
              <v:fill focussize="0,0"/>
              <v:stroke weight="0.72pt" color="#000000"/>
              <v:imagedata o:title=""/>
              <o:lock v:ext="edit"/>
            </v:line>
            <v:line id="_x0000_s3952" o:spid="_x0000_s3952" o:spt="20" style="position:absolute;left:11935;top:14110;height:0;width:11343;" stroked="t" coordsize="21600,21600">
              <v:path arrowok="t"/>
              <v:fill focussize="0,0"/>
              <v:stroke weight="0.72pt" color="#000000"/>
              <v:imagedata o:title=""/>
              <o:lock v:ext="edit"/>
            </v:line>
            <v:line id="_x0000_s3953" o:spid="_x0000_s3953" o:spt="20" style="position:absolute;left:13718;top:14851;height:0;width:3874;" stroked="t" coordsize="21600,21600">
              <v:path arrowok="t"/>
              <v:fill focussize="0,0"/>
              <v:stroke weight="0.72pt" color="#000000"/>
              <v:imagedata o:title=""/>
              <o:lock v:ext="edit"/>
            </v:line>
            <v:line id="_x0000_s3954" o:spid="_x0000_s3954" o:spt="20" style="position:absolute;left:1241;top:15593;height:0;width:9096;" stroked="t" coordsize="21600,21600">
              <v:path arrowok="t"/>
              <v:fill focussize="0,0"/>
              <v:stroke weight="0.72pt" color="#000000"/>
              <v:imagedata o:title=""/>
              <o:lock v:ext="edit"/>
            </v:line>
            <v:line id="_x0000_s3955" o:spid="_x0000_s3955" o:spt="20" style="position:absolute;left:13718;top:15593;height:0;width:3874;" stroked="t" coordsize="21600,21600">
              <v:path arrowok="t"/>
              <v:fill focussize="0,0"/>
              <v:stroke weight="0.72pt" color="#000000"/>
              <v:imagedata o:title=""/>
              <o:lock v:ext="edit"/>
            </v:line>
            <v:line id="_x0000_s3956" o:spid="_x0000_s3956" o:spt="20" style="position:absolute;left:362;top:3720;height:11880;width:0;" stroked="t" coordsize="21600,21600">
              <v:path arrowok="t"/>
              <v:fill focussize="0,0"/>
              <v:stroke weight="0.72pt" color="#000000"/>
              <v:imagedata o:title=""/>
              <o:lock v:ext="edit"/>
            </v:line>
            <v:line id="_x0000_s3957" o:spid="_x0000_s3957" o:spt="20" style="position:absolute;left:1248;top:3720;height:11880;width:0;" stroked="t" coordsize="21600,21600">
              <v:path arrowok="t"/>
              <v:fill focussize="0,0"/>
              <v:stroke weight="0.72pt" color="#000000"/>
              <v:imagedata o:title=""/>
              <o:lock v:ext="edit"/>
            </v:line>
            <v:line id="_x0000_s3958" o:spid="_x0000_s3958" o:spt="20" style="position:absolute;left:4238;top:3720;height:11880;width:0;" stroked="t" coordsize="21600,21600">
              <v:path arrowok="t"/>
              <v:fill focussize="0,0"/>
              <v:stroke weight="0.72pt" color="#000000"/>
              <v:imagedata o:title=""/>
              <o:lock v:ext="edit"/>
            </v:line>
            <v:line id="_x0000_s3959" o:spid="_x0000_s3959" o:spt="20" style="position:absolute;left:5458;top:11136;height:1498;width:0;" stroked="t" coordsize="21600,21600">
              <v:path arrowok="t"/>
              <v:fill focussize="0,0"/>
              <v:stroke weight="0.72pt" color="#000000"/>
              <v:imagedata o:title=""/>
              <o:lock v:ext="edit"/>
            </v:line>
            <v:line id="_x0000_s3960" o:spid="_x0000_s3960" o:spt="20" style="position:absolute;left:6994;top:8911;height:756;width:0;" stroked="t" coordsize="21600,21600">
              <v:path arrowok="t"/>
              <v:fill focussize="0,0"/>
              <v:stroke weight="0.72pt" color="#000000"/>
              <v:imagedata o:title=""/>
              <o:lock v:ext="edit"/>
            </v:line>
            <v:line id="_x0000_s3961" o:spid="_x0000_s3961" o:spt="20" style="position:absolute;left:6994;top:11136;height:1498;width:0;" stroked="t" coordsize="21600,21600">
              <v:path arrowok="t"/>
              <v:fill focussize="0,0"/>
              <v:stroke weight="0.72pt" color="#000000"/>
              <v:imagedata o:title=""/>
              <o:lock v:ext="edit"/>
            </v:line>
            <v:line id="_x0000_s3962" o:spid="_x0000_s3962" o:spt="20" style="position:absolute;left:6994;top:13361;height:2239;width:0;" stroked="t" coordsize="21600,21600">
              <v:path arrowok="t"/>
              <v:fill focussize="0,0"/>
              <v:stroke weight="0.72pt" color="#000000"/>
              <v:imagedata o:title=""/>
              <o:lock v:ext="edit"/>
            </v:line>
            <v:line id="_x0000_s3963" o:spid="_x0000_s3963" o:spt="20" style="position:absolute;left:8902;top:8911;height:756;width:0;" stroked="t" coordsize="21600,21600">
              <v:path arrowok="t"/>
              <v:fill focussize="0,0"/>
              <v:stroke weight="0.72pt" color="#000000"/>
              <v:imagedata o:title=""/>
              <o:lock v:ext="edit"/>
            </v:line>
            <v:line id="_x0000_s3964" o:spid="_x0000_s3964" o:spt="20" style="position:absolute;left:8902;top:11136;height:1498;width:0;" stroked="t" coordsize="21600,21600">
              <v:path arrowok="t"/>
              <v:fill focussize="0,0"/>
              <v:stroke weight="0.72pt" color="#000000"/>
              <v:imagedata o:title=""/>
              <o:lock v:ext="edit"/>
            </v:line>
            <v:line id="_x0000_s3965" o:spid="_x0000_s3965" o:spt="20" style="position:absolute;left:8902;top:13361;height:2239;width:0;" stroked="t" coordsize="21600,21600">
              <v:path arrowok="t"/>
              <v:fill focussize="0,0"/>
              <v:stroke weight="0.72pt" color="#000000"/>
              <v:imagedata o:title=""/>
              <o:lock v:ext="edit"/>
            </v:line>
            <v:line id="_x0000_s3966" o:spid="_x0000_s3966" o:spt="20" style="position:absolute;left:10330;top:3720;height:11880;width:0;" stroked="t" coordsize="21600,21600">
              <v:path arrowok="t"/>
              <v:fill focussize="0,0"/>
              <v:stroke weight="0.72pt" color="#000000"/>
              <v:imagedata o:title=""/>
              <o:lock v:ext="edit"/>
            </v:line>
            <v:line id="_x0000_s3967" o:spid="_x0000_s3967" o:spt="20" style="position:absolute;left:11942;top:11136;height:1498;width:0;" stroked="t" coordsize="21600,21600">
              <v:path arrowok="t"/>
              <v:fill focussize="0,0"/>
              <v:stroke weight="0.72pt" color="#000000"/>
              <v:imagedata o:title=""/>
              <o:lock v:ext="edit"/>
            </v:line>
            <v:line id="_x0000_s3968" o:spid="_x0000_s3968" o:spt="20" style="position:absolute;left:11942;top:13361;height:2239;width:0;" stroked="t" coordsize="21600,21600">
              <v:path arrowok="t"/>
              <v:fill focussize="0,0"/>
              <v:stroke weight="0.72pt" color="#000000"/>
              <v:imagedata o:title=""/>
              <o:lock v:ext="edit"/>
            </v:line>
            <v:line id="_x0000_s3969" o:spid="_x0000_s3969" o:spt="20" style="position:absolute;left:13726;top:3720;height:11880;width:0;" stroked="t" coordsize="21600,21600">
              <v:path arrowok="t"/>
              <v:fill focussize="0,0"/>
              <v:stroke weight="0.72pt" color="#000000"/>
              <v:imagedata o:title=""/>
              <o:lock v:ext="edit"/>
            </v:line>
            <v:line id="_x0000_s3970" o:spid="_x0000_s3970" o:spt="20" style="position:absolute;left:15065;top:11136;height:1498;width:0;" stroked="t" coordsize="21600,21600">
              <v:path arrowok="t"/>
              <v:fill focussize="0,0"/>
              <v:stroke weight="0.72pt" color="#000000"/>
              <v:imagedata o:title=""/>
              <o:lock v:ext="edit"/>
            </v:line>
            <v:line id="_x0000_s3971" o:spid="_x0000_s3971" o:spt="20" style="position:absolute;left:15065;top:14102;height:1498;width:0;" stroked="t" coordsize="21600,21600">
              <v:path arrowok="t"/>
              <v:fill focussize="0,0"/>
              <v:stroke weight="0.72pt" color="#000000"/>
              <v:imagedata o:title=""/>
              <o:lock v:ext="edit"/>
            </v:line>
            <v:line id="_x0000_s3972" o:spid="_x0000_s3972" o:spt="20" style="position:absolute;left:17585;top:11878;height:3722;width:0;" stroked="t" coordsize="21600,21600">
              <v:path arrowok="t"/>
              <v:fill focussize="0,0"/>
              <v:stroke weight="0.72pt" color="#000000"/>
              <v:imagedata o:title=""/>
              <o:lock v:ext="edit"/>
            </v:line>
            <v:line id="_x0000_s3973" o:spid="_x0000_s3973" o:spt="20" style="position:absolute;left:19001;top:11878;height:3722;width:0;" stroked="t" coordsize="21600,21600">
              <v:path arrowok="t"/>
              <v:fill focussize="0,0"/>
              <v:stroke weight="0.72pt" color="#000000"/>
              <v:imagedata o:title=""/>
              <o:lock v:ext="edit"/>
            </v:line>
            <v:line id="_x0000_s3974" o:spid="_x0000_s3974" o:spt="20" style="position:absolute;left:23270;top:3720;height:11880;width:0;" stroked="t" coordsize="21600,21600">
              <v:path arrowok="t"/>
              <v:fill focussize="0,0"/>
              <v:stroke weight="0.72pt" color="#000000"/>
              <v:imagedata o:title=""/>
              <o:lock v:ext="edit"/>
            </v:line>
            <v:shape id="_x0000_s3975" o:spid="_x0000_s3975" o:spt="75" type="#_x0000_t75" style="position:absolute;left:911;top:781;height:4312;width:4318;" filled="f" stroked="f" coordsize="21600,21600">
              <v:path/>
              <v:fill on="f" focussize="0,0"/>
              <v:stroke on="f"/>
              <v:imagedata r:id="rId151" o:title=""/>
              <o:lock v:ext="edit" aspectratio="t"/>
            </v:shape>
          </v:group>
        </w:pict>
      </w:r>
      <w:r>
        <w:rPr>
          <w:rFonts w:hint="eastAsia" w:ascii="黑体" w:eastAsia="黑体"/>
          <w:sz w:val="18"/>
        </w:rPr>
        <w:t>主要负责人</w:t>
      </w:r>
      <w:r>
        <w:rPr>
          <w:rFonts w:hint="eastAsia" w:ascii="黑体" w:eastAsia="黑体"/>
          <w:sz w:val="18"/>
        </w:rPr>
        <w:tab/>
      </w:r>
      <w:r>
        <w:rPr>
          <w:sz w:val="18"/>
        </w:rPr>
        <w:t>刘坤</w:t>
      </w:r>
    </w:p>
    <w:p w14:paraId="3AAA80D6">
      <w:pPr>
        <w:spacing w:before="14" w:line="237" w:lineRule="auto"/>
        <w:ind w:left="366" w:right="8766" w:firstLine="0"/>
        <w:jc w:val="left"/>
        <w:rPr>
          <w:rFonts w:hint="eastAsia" w:ascii="黑体" w:eastAsia="黑体"/>
          <w:sz w:val="18"/>
        </w:rPr>
      </w:pPr>
      <w:r>
        <w:rPr>
          <w:rFonts w:hint="eastAsia" w:ascii="黑体" w:eastAsia="黑体"/>
          <w:sz w:val="18"/>
        </w:rPr>
        <w:t>建 设单 位</w:t>
      </w:r>
    </w:p>
    <w:p w14:paraId="5AC64B28">
      <w:pPr>
        <w:pStyle w:val="10"/>
        <w:spacing w:before="5"/>
        <w:rPr>
          <w:rFonts w:ascii="黑体"/>
          <w:sz w:val="22"/>
        </w:rPr>
      </w:pPr>
      <w:r>
        <w:br w:type="column"/>
      </w:r>
    </w:p>
    <w:p w14:paraId="6CA9DDD1">
      <w:pPr>
        <w:spacing w:before="0" w:line="227" w:lineRule="exact"/>
        <w:ind w:left="366" w:right="0" w:firstLine="0"/>
        <w:jc w:val="left"/>
        <w:rPr>
          <w:rFonts w:hint="eastAsia" w:ascii="黑体" w:eastAsia="黑体"/>
          <w:sz w:val="18"/>
        </w:rPr>
      </w:pPr>
      <w:r>
        <w:rPr>
          <w:rFonts w:hint="eastAsia" w:ascii="黑体" w:eastAsia="黑体"/>
          <w:sz w:val="18"/>
        </w:rPr>
        <w:t>环评</w:t>
      </w:r>
    </w:p>
    <w:p w14:paraId="6116CABB">
      <w:pPr>
        <w:tabs>
          <w:tab w:val="left" w:pos="1794"/>
        </w:tabs>
        <w:spacing w:before="4" w:line="230" w:lineRule="auto"/>
        <w:ind w:left="366" w:right="38" w:firstLine="0"/>
        <w:jc w:val="left"/>
        <w:rPr>
          <w:rFonts w:hint="eastAsia" w:ascii="黑体" w:eastAsia="黑体"/>
          <w:sz w:val="18"/>
        </w:rPr>
      </w:pPr>
      <w:r>
        <w:rPr>
          <w:rFonts w:hint="eastAsia" w:ascii="黑体" w:eastAsia="黑体"/>
          <w:sz w:val="18"/>
        </w:rPr>
        <w:t>编制</w:t>
      </w:r>
      <w:r>
        <w:rPr>
          <w:rFonts w:hint="eastAsia" w:ascii="黑体" w:eastAsia="黑体"/>
          <w:sz w:val="18"/>
        </w:rPr>
        <w:tab/>
      </w:r>
      <w:r>
        <w:rPr>
          <w:rFonts w:hint="eastAsia" w:ascii="黑体" w:eastAsia="黑体"/>
          <w:sz w:val="18"/>
        </w:rPr>
        <w:t>编制主持人单位</w:t>
      </w:r>
    </w:p>
    <w:p w14:paraId="1142630B">
      <w:pPr>
        <w:pStyle w:val="10"/>
        <w:rPr>
          <w:rFonts w:ascii="黑体"/>
          <w:sz w:val="20"/>
        </w:rPr>
      </w:pPr>
      <w:r>
        <w:br w:type="column"/>
      </w:r>
    </w:p>
    <w:p w14:paraId="4B728455">
      <w:pPr>
        <w:pStyle w:val="10"/>
        <w:spacing w:before="11"/>
        <w:rPr>
          <w:rFonts w:ascii="黑体"/>
          <w:sz w:val="19"/>
        </w:rPr>
      </w:pPr>
    </w:p>
    <w:p w14:paraId="65A15F6E">
      <w:pPr>
        <w:tabs>
          <w:tab w:val="left" w:pos="2265"/>
        </w:tabs>
        <w:spacing w:before="0"/>
        <w:ind w:left="366" w:right="0" w:firstLine="0"/>
        <w:jc w:val="left"/>
        <w:rPr>
          <w:rFonts w:ascii="Times New Roman" w:eastAsia="Times New Roman"/>
          <w:sz w:val="18"/>
        </w:rPr>
      </w:pPr>
      <w:r>
        <w:rPr>
          <w:rFonts w:hint="eastAsia" w:ascii="黑体" w:eastAsia="黑体"/>
          <w:sz w:val="18"/>
        </w:rPr>
        <w:t>信用编号</w:t>
      </w:r>
      <w:r>
        <w:rPr>
          <w:rFonts w:hint="eastAsia" w:ascii="黑体" w:eastAsia="黑体"/>
          <w:sz w:val="18"/>
        </w:rPr>
        <w:tab/>
      </w:r>
      <w:r>
        <w:rPr>
          <w:rFonts w:ascii="Times New Roman" w:eastAsia="Times New Roman"/>
          <w:position w:val="1"/>
          <w:sz w:val="18"/>
        </w:rPr>
        <w:t>BH003469</w:t>
      </w:r>
    </w:p>
    <w:p w14:paraId="5CA75439">
      <w:pPr>
        <w:pStyle w:val="10"/>
        <w:rPr>
          <w:rFonts w:ascii="Times New Roman"/>
          <w:sz w:val="20"/>
        </w:rPr>
      </w:pPr>
      <w:r>
        <w:br w:type="column"/>
      </w:r>
    </w:p>
    <w:p w14:paraId="6212ECB4">
      <w:pPr>
        <w:pStyle w:val="10"/>
        <w:spacing w:before="5"/>
        <w:rPr>
          <w:rFonts w:ascii="Times New Roman"/>
        </w:rPr>
      </w:pPr>
    </w:p>
    <w:p w14:paraId="33CD9EEF">
      <w:pPr>
        <w:tabs>
          <w:tab w:val="left" w:pos="3074"/>
        </w:tabs>
        <w:spacing w:before="0"/>
        <w:ind w:left="366" w:right="0" w:firstLine="0"/>
        <w:jc w:val="left"/>
        <w:rPr>
          <w:rFonts w:ascii="Times New Roman" w:eastAsia="Times New Roman"/>
          <w:sz w:val="18"/>
        </w:rPr>
      </w:pPr>
      <w:r>
        <w:rPr>
          <w:rFonts w:hint="eastAsia" w:ascii="黑体" w:eastAsia="黑体"/>
          <w:sz w:val="18"/>
        </w:rPr>
        <w:t>联系电话</w:t>
      </w:r>
      <w:r>
        <w:rPr>
          <w:rFonts w:hint="eastAsia" w:ascii="黑体" w:eastAsia="黑体"/>
          <w:sz w:val="18"/>
        </w:rPr>
        <w:tab/>
      </w:r>
      <w:r>
        <w:rPr>
          <w:rFonts w:ascii="Times New Roman" w:eastAsia="Times New Roman"/>
          <w:position w:val="1"/>
          <w:sz w:val="18"/>
        </w:rPr>
        <w:t>13973026532</w:t>
      </w:r>
    </w:p>
    <w:p w14:paraId="17C19F52">
      <w:pPr>
        <w:spacing w:after="0"/>
        <w:jc w:val="left"/>
        <w:rPr>
          <w:rFonts w:ascii="Times New Roman" w:eastAsia="Times New Roman"/>
          <w:sz w:val="18"/>
        </w:rPr>
        <w:sectPr>
          <w:type w:val="continuous"/>
          <w:pgSz w:w="23820" w:h="16840" w:orient="landscape"/>
          <w:pgMar w:top="1600" w:right="420" w:bottom="280" w:left="240" w:header="720" w:footer="720" w:gutter="0"/>
          <w:cols w:equalWidth="0" w:num="4">
            <w:col w:w="9603" w:space="751"/>
            <w:col w:w="2739" w:space="337"/>
            <w:col w:w="3096" w:space="805"/>
            <w:col w:w="5829"/>
          </w:cols>
        </w:sectPr>
      </w:pPr>
    </w:p>
    <w:p w14:paraId="1E61DC8E">
      <w:pPr>
        <w:tabs>
          <w:tab w:val="left" w:pos="4552"/>
          <w:tab w:val="left" w:pos="7351"/>
          <w:tab w:val="left" w:pos="8884"/>
        </w:tabs>
        <w:spacing w:before="62" w:line="281" w:lineRule="exact"/>
        <w:ind w:left="1785" w:right="0" w:firstLine="0"/>
        <w:jc w:val="left"/>
        <w:rPr>
          <w:rFonts w:ascii="Times New Roman" w:eastAsia="Times New Roman"/>
          <w:sz w:val="18"/>
        </w:rPr>
      </w:pPr>
      <w:r>
        <w:rPr>
          <w:rFonts w:hint="eastAsia" w:ascii="黑体" w:eastAsia="黑体"/>
          <w:position w:val="11"/>
          <w:sz w:val="18"/>
        </w:rPr>
        <w:t>统一社会信用代码</w:t>
      </w:r>
      <w:r>
        <w:rPr>
          <w:rFonts w:hint="eastAsia" w:ascii="黑体" w:eastAsia="黑体"/>
          <w:position w:val="11"/>
          <w:sz w:val="18"/>
        </w:rPr>
        <w:tab/>
      </w:r>
      <w:r>
        <w:rPr>
          <w:rFonts w:ascii="Times New Roman" w:eastAsia="Times New Roman"/>
          <w:position w:val="1"/>
          <w:sz w:val="18"/>
        </w:rPr>
        <w:t>91430111587036052G</w:t>
      </w:r>
      <w:r>
        <w:rPr>
          <w:rFonts w:ascii="Times New Roman" w:eastAsia="Times New Roman"/>
          <w:position w:val="1"/>
          <w:sz w:val="18"/>
        </w:rPr>
        <w:tab/>
      </w:r>
      <w:r>
        <w:rPr>
          <w:rFonts w:hint="eastAsia" w:ascii="黑体" w:eastAsia="黑体"/>
          <w:sz w:val="18"/>
        </w:rPr>
        <w:t>联系电话</w:t>
      </w:r>
      <w:r>
        <w:rPr>
          <w:rFonts w:hint="eastAsia" w:ascii="黑体" w:eastAsia="黑体"/>
          <w:sz w:val="18"/>
        </w:rPr>
        <w:tab/>
      </w:r>
      <w:r>
        <w:rPr>
          <w:rFonts w:ascii="Times New Roman" w:eastAsia="Times New Roman"/>
          <w:position w:val="1"/>
          <w:sz w:val="18"/>
        </w:rPr>
        <w:t>15802666668</w:t>
      </w:r>
    </w:p>
    <w:p w14:paraId="2E7C8931">
      <w:pPr>
        <w:spacing w:before="0" w:line="171" w:lineRule="exact"/>
        <w:ind w:left="1785" w:right="0" w:firstLine="0"/>
        <w:jc w:val="left"/>
        <w:rPr>
          <w:rFonts w:hint="eastAsia" w:ascii="黑体" w:eastAsia="黑体"/>
          <w:sz w:val="18"/>
        </w:rPr>
      </w:pPr>
      <w:r>
        <w:rPr>
          <w:rFonts w:hint="eastAsia" w:ascii="黑体" w:eastAsia="黑体"/>
          <w:sz w:val="18"/>
        </w:rPr>
        <w:t>（组织机构代码）</w:t>
      </w:r>
    </w:p>
    <w:p w14:paraId="2093DC2C">
      <w:pPr>
        <w:tabs>
          <w:tab w:val="left" w:pos="3490"/>
        </w:tabs>
        <w:spacing w:before="58" w:line="272" w:lineRule="exact"/>
        <w:ind w:left="1785" w:right="0" w:firstLine="0"/>
        <w:jc w:val="left"/>
        <w:rPr>
          <w:rFonts w:ascii="Times New Roman" w:eastAsia="Times New Roman"/>
          <w:sz w:val="18"/>
        </w:rPr>
      </w:pPr>
      <w:r>
        <w:br w:type="column"/>
      </w:r>
      <w:r>
        <w:rPr>
          <w:rFonts w:hint="eastAsia" w:ascii="黑体" w:eastAsia="黑体"/>
          <w:position w:val="10"/>
          <w:sz w:val="18"/>
        </w:rPr>
        <w:t>职业资格证书</w:t>
      </w:r>
      <w:r>
        <w:rPr>
          <w:rFonts w:hint="eastAsia" w:ascii="黑体" w:eastAsia="黑体"/>
          <w:position w:val="10"/>
          <w:sz w:val="18"/>
        </w:rPr>
        <w:tab/>
      </w:r>
      <w:r>
        <w:rPr>
          <w:rFonts w:ascii="Times New Roman" w:eastAsia="Times New Roman"/>
          <w:sz w:val="18"/>
        </w:rPr>
        <w:t>06354343505430052</w:t>
      </w:r>
    </w:p>
    <w:p w14:paraId="63964278">
      <w:pPr>
        <w:spacing w:before="0" w:line="183" w:lineRule="exact"/>
        <w:ind w:left="2055" w:right="0" w:firstLine="0"/>
        <w:jc w:val="left"/>
        <w:rPr>
          <w:rFonts w:hint="eastAsia" w:ascii="黑体" w:eastAsia="黑体"/>
          <w:sz w:val="18"/>
        </w:rPr>
      </w:pPr>
      <w:r>
        <w:rPr>
          <w:rFonts w:hint="eastAsia" w:ascii="黑体" w:eastAsia="黑体"/>
          <w:sz w:val="18"/>
        </w:rPr>
        <w:t>管理号</w:t>
      </w:r>
    </w:p>
    <w:p w14:paraId="2CA59342">
      <w:pPr>
        <w:spacing w:after="0" w:line="183" w:lineRule="exact"/>
        <w:jc w:val="left"/>
        <w:rPr>
          <w:rFonts w:hint="eastAsia" w:ascii="黑体" w:eastAsia="黑体"/>
          <w:sz w:val="18"/>
        </w:rPr>
        <w:sectPr>
          <w:footerReference r:id="rId49" w:type="default"/>
          <w:pgSz w:w="23820" w:h="16840" w:orient="landscape"/>
          <w:pgMar w:top="1160" w:right="420" w:bottom="280" w:left="240" w:header="0" w:footer="0" w:gutter="0"/>
          <w:cols w:equalWidth="0" w:num="2">
            <w:col w:w="9917" w:space="1915"/>
            <w:col w:w="11328"/>
          </w:cols>
        </w:sectPr>
      </w:pPr>
    </w:p>
    <w:p w14:paraId="49C8E3B2">
      <w:pPr>
        <w:pStyle w:val="10"/>
        <w:spacing w:before="6"/>
        <w:rPr>
          <w:rFonts w:ascii="黑体"/>
          <w:sz w:val="25"/>
        </w:rPr>
      </w:pPr>
    </w:p>
    <w:p w14:paraId="1C5D4D9C">
      <w:pPr>
        <w:tabs>
          <w:tab w:val="left" w:pos="4016"/>
          <w:tab w:val="left" w:pos="12237"/>
          <w:tab w:val="left" w:pos="15004"/>
        </w:tabs>
        <w:spacing w:before="74"/>
        <w:ind w:left="2147" w:right="0" w:firstLine="0"/>
        <w:jc w:val="left"/>
        <w:rPr>
          <w:sz w:val="18"/>
        </w:rPr>
      </w:pPr>
      <w:r>
        <w:rPr>
          <w:rFonts w:hint="eastAsia" w:ascii="黑体" w:eastAsia="黑体"/>
          <w:sz w:val="18"/>
        </w:rPr>
        <w:t>通讯地址</w:t>
      </w:r>
      <w:r>
        <w:rPr>
          <w:rFonts w:hint="eastAsia" w:ascii="黑体" w:eastAsia="黑体"/>
          <w:sz w:val="18"/>
        </w:rPr>
        <w:tab/>
      </w:r>
      <w:r>
        <w:rPr>
          <w:sz w:val="18"/>
        </w:rPr>
        <w:t>岳阳市汨罗市新市镇循环经济产业园创新大道东侧11栋（生产厂房）101室16</w:t>
      </w:r>
      <w:r>
        <w:rPr>
          <w:sz w:val="18"/>
        </w:rPr>
        <w:tab/>
      </w:r>
      <w:r>
        <w:rPr>
          <w:rFonts w:hint="eastAsia" w:ascii="黑体" w:eastAsia="黑体"/>
          <w:sz w:val="18"/>
        </w:rPr>
        <w:t>通讯地址</w:t>
      </w:r>
      <w:r>
        <w:rPr>
          <w:rFonts w:hint="eastAsia" w:ascii="黑体" w:eastAsia="黑体"/>
          <w:sz w:val="18"/>
        </w:rPr>
        <w:tab/>
      </w:r>
      <w:r>
        <w:rPr>
          <w:sz w:val="18"/>
        </w:rPr>
        <w:t>湖南省-岳阳市-南湖新区-南湖街道办事处刘山庙社区晋兴岳州帝苑3座住宅1902室</w:t>
      </w:r>
    </w:p>
    <w:p w14:paraId="36B6F6F0">
      <w:pPr>
        <w:pStyle w:val="10"/>
        <w:spacing w:before="3"/>
        <w:rPr>
          <w:sz w:val="23"/>
        </w:rPr>
      </w:pPr>
    </w:p>
    <w:p w14:paraId="1F59F08B">
      <w:pPr>
        <w:spacing w:after="0"/>
        <w:rPr>
          <w:sz w:val="23"/>
        </w:rPr>
        <w:sectPr>
          <w:type w:val="continuous"/>
          <w:pgSz w:w="23820" w:h="16840" w:orient="landscape"/>
          <w:pgMar w:top="1600" w:right="420" w:bottom="280" w:left="240" w:header="720" w:footer="720" w:gutter="0"/>
          <w:cols w:space="720" w:num="1"/>
        </w:sectPr>
      </w:pPr>
    </w:p>
    <w:p w14:paraId="6A2A6425">
      <w:pPr>
        <w:pStyle w:val="10"/>
        <w:rPr>
          <w:sz w:val="18"/>
        </w:rPr>
      </w:pPr>
    </w:p>
    <w:p w14:paraId="28B56B70">
      <w:pPr>
        <w:pStyle w:val="10"/>
        <w:spacing w:before="8"/>
        <w:rPr>
          <w:sz w:val="19"/>
        </w:rPr>
      </w:pPr>
    </w:p>
    <w:p w14:paraId="68E26B98">
      <w:pPr>
        <w:spacing w:before="0"/>
        <w:ind w:left="0" w:right="0" w:firstLine="0"/>
        <w:jc w:val="right"/>
        <w:rPr>
          <w:rFonts w:hint="eastAsia" w:ascii="黑体" w:eastAsia="黑体"/>
          <w:sz w:val="18"/>
        </w:rPr>
      </w:pPr>
      <w:r>
        <w:rPr>
          <w:rFonts w:hint="eastAsia" w:ascii="黑体" w:eastAsia="黑体"/>
          <w:sz w:val="18"/>
        </w:rPr>
        <w:t>污染物</w:t>
      </w:r>
    </w:p>
    <w:p w14:paraId="1BA27BBE">
      <w:pPr>
        <w:spacing w:before="74" w:line="221" w:lineRule="exact"/>
        <w:ind w:left="0" w:right="229" w:firstLine="0"/>
        <w:jc w:val="right"/>
        <w:rPr>
          <w:rFonts w:hint="eastAsia" w:ascii="黑体" w:eastAsia="黑体"/>
          <w:sz w:val="18"/>
        </w:rPr>
      </w:pPr>
      <w:r>
        <w:br w:type="column"/>
      </w:r>
      <w:r>
        <w:rPr>
          <w:rFonts w:hint="eastAsia" w:ascii="黑体" w:eastAsia="黑体"/>
          <w:sz w:val="18"/>
        </w:rPr>
        <w:t>现有工程</w:t>
      </w:r>
    </w:p>
    <w:p w14:paraId="34386339">
      <w:pPr>
        <w:spacing w:before="0" w:line="221" w:lineRule="exact"/>
        <w:ind w:left="1967" w:right="0" w:firstLine="0"/>
        <w:jc w:val="center"/>
        <w:rPr>
          <w:rFonts w:hint="eastAsia" w:ascii="黑体" w:eastAsia="黑体"/>
          <w:sz w:val="18"/>
        </w:rPr>
      </w:pPr>
      <w:r>
        <w:rPr>
          <w:rFonts w:hint="eastAsia" w:ascii="黑体" w:eastAsia="黑体"/>
          <w:sz w:val="18"/>
        </w:rPr>
        <w:t>（已建</w:t>
      </w:r>
      <w:r>
        <w:rPr>
          <w:rFonts w:ascii="Times New Roman" w:eastAsia="Times New Roman"/>
          <w:sz w:val="18"/>
        </w:rPr>
        <w:t>+</w:t>
      </w:r>
      <w:r>
        <w:rPr>
          <w:rFonts w:hint="eastAsia" w:ascii="黑体" w:eastAsia="黑体"/>
          <w:sz w:val="18"/>
        </w:rPr>
        <w:t>在建）</w:t>
      </w:r>
    </w:p>
    <w:p w14:paraId="02027A33">
      <w:pPr>
        <w:spacing w:before="76" w:line="227" w:lineRule="exact"/>
        <w:ind w:left="842" w:right="0" w:firstLine="0"/>
        <w:jc w:val="center"/>
        <w:rPr>
          <w:rFonts w:hint="eastAsia" w:ascii="黑体" w:eastAsia="黑体"/>
          <w:sz w:val="18"/>
        </w:rPr>
      </w:pPr>
      <w:r>
        <w:br w:type="column"/>
      </w:r>
      <w:r>
        <w:rPr>
          <w:rFonts w:hint="eastAsia" w:ascii="黑体" w:eastAsia="黑体"/>
          <w:sz w:val="18"/>
        </w:rPr>
        <w:t>本工程</w:t>
      </w:r>
    </w:p>
    <w:p w14:paraId="173A8F39">
      <w:pPr>
        <w:spacing w:before="0" w:line="227" w:lineRule="exact"/>
        <w:ind w:left="844" w:right="0" w:firstLine="0"/>
        <w:jc w:val="center"/>
        <w:rPr>
          <w:rFonts w:hint="eastAsia" w:ascii="黑体" w:eastAsia="黑体"/>
          <w:sz w:val="18"/>
        </w:rPr>
      </w:pPr>
      <w:r>
        <w:rPr>
          <w:rFonts w:hint="eastAsia" w:ascii="黑体" w:eastAsia="黑体"/>
          <w:sz w:val="18"/>
        </w:rPr>
        <w:t>（拟建或调整变更）</w:t>
      </w:r>
    </w:p>
    <w:p w14:paraId="6D079414">
      <w:pPr>
        <w:spacing w:before="74" w:line="221" w:lineRule="exact"/>
        <w:ind w:left="3158" w:right="0" w:firstLine="0"/>
        <w:jc w:val="left"/>
        <w:rPr>
          <w:rFonts w:hint="eastAsia" w:ascii="黑体" w:eastAsia="黑体"/>
          <w:sz w:val="18"/>
        </w:rPr>
      </w:pPr>
      <w:r>
        <w:br w:type="column"/>
      </w:r>
      <w:r>
        <w:rPr>
          <w:rFonts w:hint="eastAsia" w:ascii="黑体" w:eastAsia="黑体"/>
          <w:sz w:val="18"/>
        </w:rPr>
        <w:t>总体工程</w:t>
      </w:r>
    </w:p>
    <w:p w14:paraId="448A149C">
      <w:pPr>
        <w:tabs>
          <w:tab w:val="left" w:pos="9707"/>
        </w:tabs>
        <w:spacing w:before="0" w:line="225" w:lineRule="auto"/>
        <w:ind w:left="2238" w:right="0" w:firstLine="0"/>
        <w:jc w:val="left"/>
        <w:rPr>
          <w:rFonts w:hint="eastAsia" w:ascii="黑体" w:eastAsia="黑体"/>
          <w:sz w:val="18"/>
        </w:rPr>
      </w:pPr>
      <w:r>
        <w:rPr>
          <w:rFonts w:hint="eastAsia" w:ascii="黑体" w:eastAsia="黑体"/>
          <w:sz w:val="18"/>
        </w:rPr>
        <w:t>（已建</w:t>
      </w:r>
      <w:r>
        <w:rPr>
          <w:rFonts w:ascii="Times New Roman" w:eastAsia="Times New Roman"/>
          <w:sz w:val="18"/>
        </w:rPr>
        <w:t>+</w:t>
      </w:r>
      <w:r>
        <w:rPr>
          <w:rFonts w:hint="eastAsia" w:ascii="黑体" w:eastAsia="黑体"/>
          <w:sz w:val="18"/>
        </w:rPr>
        <w:t>在建</w:t>
      </w:r>
      <w:r>
        <w:rPr>
          <w:rFonts w:ascii="Times New Roman" w:eastAsia="Times New Roman"/>
          <w:sz w:val="18"/>
        </w:rPr>
        <w:t>+</w:t>
      </w:r>
      <w:r>
        <w:rPr>
          <w:rFonts w:hint="eastAsia" w:ascii="黑体" w:eastAsia="黑体"/>
          <w:sz w:val="18"/>
        </w:rPr>
        <w:t>拟建或调整变更）</w:t>
      </w:r>
      <w:r>
        <w:rPr>
          <w:rFonts w:hint="eastAsia" w:ascii="黑体" w:eastAsia="黑体"/>
          <w:sz w:val="18"/>
        </w:rPr>
        <w:tab/>
      </w:r>
      <w:r>
        <w:rPr>
          <w:rFonts w:hint="eastAsia" w:ascii="黑体" w:eastAsia="黑体"/>
          <w:position w:val="-8"/>
          <w:sz w:val="18"/>
        </w:rPr>
        <w:t>区域削减量来源（国家、</w:t>
      </w:r>
    </w:p>
    <w:p w14:paraId="750BFE70">
      <w:pPr>
        <w:spacing w:before="0" w:line="142" w:lineRule="exact"/>
        <w:ind w:left="0" w:right="507" w:firstLine="0"/>
        <w:jc w:val="right"/>
        <w:rPr>
          <w:rFonts w:hint="eastAsia" w:ascii="黑体" w:eastAsia="黑体"/>
          <w:sz w:val="18"/>
        </w:rPr>
      </w:pPr>
      <w:r>
        <w:rPr>
          <w:rFonts w:hint="eastAsia" w:ascii="黑体" w:eastAsia="黑体"/>
          <w:sz w:val="18"/>
        </w:rPr>
        <w:t>省级审批项目）</w:t>
      </w:r>
    </w:p>
    <w:p w14:paraId="2C416884">
      <w:pPr>
        <w:spacing w:after="0" w:line="142" w:lineRule="exact"/>
        <w:jc w:val="right"/>
        <w:rPr>
          <w:rFonts w:hint="eastAsia" w:ascii="黑体" w:eastAsia="黑体"/>
          <w:sz w:val="18"/>
        </w:rPr>
        <w:sectPr>
          <w:type w:val="continuous"/>
          <w:pgSz w:w="23820" w:h="16840" w:orient="landscape"/>
          <w:pgMar w:top="1600" w:right="420" w:bottom="280" w:left="240" w:header="720" w:footer="720" w:gutter="0"/>
          <w:cols w:equalWidth="0" w:num="4">
            <w:col w:w="2781" w:space="40"/>
            <w:col w:w="3155" w:space="39"/>
            <w:col w:w="2554" w:space="2736"/>
            <w:col w:w="11855"/>
          </w:cols>
        </w:sectPr>
      </w:pPr>
    </w:p>
    <w:p w14:paraId="34CD0FD9">
      <w:pPr>
        <w:spacing w:before="0" w:line="190" w:lineRule="exact"/>
        <w:ind w:left="0" w:right="24" w:firstLine="0"/>
        <w:jc w:val="right"/>
        <w:rPr>
          <w:rFonts w:hint="eastAsia" w:ascii="黑体" w:hAnsi="黑体" w:eastAsia="黑体"/>
          <w:sz w:val="18"/>
        </w:rPr>
      </w:pPr>
      <w:r>
        <w:rPr>
          <w:rFonts w:hint="eastAsia" w:ascii="黑体" w:hAnsi="黑体" w:eastAsia="黑体"/>
          <w:sz w:val="18"/>
        </w:rPr>
        <w:t>①排放量</w:t>
      </w:r>
    </w:p>
    <w:p w14:paraId="4B8DDBE4">
      <w:pPr>
        <w:spacing w:before="0" w:line="221" w:lineRule="exact"/>
        <w:ind w:left="0" w:right="0" w:firstLine="0"/>
        <w:jc w:val="right"/>
        <w:rPr>
          <w:rFonts w:hint="eastAsia" w:ascii="黑体" w:eastAsia="黑体"/>
          <w:sz w:val="18"/>
        </w:rPr>
      </w:pPr>
      <w:r>
        <w:rPr>
          <w:rFonts w:hint="eastAsia" w:ascii="黑体" w:eastAsia="黑体"/>
          <w:sz w:val="18"/>
        </w:rPr>
        <w:t>（吨</w:t>
      </w:r>
      <w:r>
        <w:rPr>
          <w:rFonts w:ascii="Times New Roman" w:eastAsia="Times New Roman"/>
          <w:sz w:val="18"/>
        </w:rPr>
        <w:t>/</w:t>
      </w:r>
      <w:r>
        <w:rPr>
          <w:rFonts w:hint="eastAsia" w:ascii="黑体" w:eastAsia="黑体"/>
          <w:sz w:val="18"/>
        </w:rPr>
        <w:t>年）</w:t>
      </w:r>
    </w:p>
    <w:p w14:paraId="220174F5">
      <w:pPr>
        <w:spacing w:before="0" w:line="190" w:lineRule="exact"/>
        <w:ind w:left="406" w:right="0" w:firstLine="0"/>
        <w:jc w:val="center"/>
        <w:rPr>
          <w:rFonts w:hint="eastAsia" w:ascii="黑体" w:hAnsi="黑体" w:eastAsia="黑体"/>
          <w:sz w:val="18"/>
        </w:rPr>
      </w:pPr>
      <w:r>
        <w:br w:type="column"/>
      </w:r>
      <w:r>
        <w:rPr>
          <w:rFonts w:hint="eastAsia" w:ascii="黑体" w:hAnsi="黑体" w:eastAsia="黑体"/>
          <w:sz w:val="18"/>
        </w:rPr>
        <w:t>②许可排放量</w:t>
      </w:r>
    </w:p>
    <w:p w14:paraId="32553176">
      <w:pPr>
        <w:spacing w:before="0" w:line="221" w:lineRule="exact"/>
        <w:ind w:left="406" w:right="0" w:firstLine="0"/>
        <w:jc w:val="center"/>
        <w:rPr>
          <w:rFonts w:hint="eastAsia" w:ascii="黑体" w:eastAsia="黑体"/>
          <w:sz w:val="18"/>
        </w:rPr>
      </w:pPr>
      <w:r>
        <w:rPr>
          <w:rFonts w:hint="eastAsia" w:ascii="黑体" w:eastAsia="黑体"/>
          <w:sz w:val="18"/>
        </w:rPr>
        <w:t>（吨</w:t>
      </w:r>
      <w:r>
        <w:rPr>
          <w:rFonts w:ascii="Times New Roman" w:eastAsia="Times New Roman"/>
          <w:sz w:val="18"/>
        </w:rPr>
        <w:t>/</w:t>
      </w:r>
      <w:r>
        <w:rPr>
          <w:rFonts w:hint="eastAsia" w:ascii="黑体" w:eastAsia="黑体"/>
          <w:sz w:val="18"/>
        </w:rPr>
        <w:t>年）</w:t>
      </w:r>
    </w:p>
    <w:p w14:paraId="4F7E32FA">
      <w:pPr>
        <w:tabs>
          <w:tab w:val="left" w:pos="2422"/>
        </w:tabs>
        <w:spacing w:before="0" w:line="241" w:lineRule="exact"/>
        <w:ind w:left="598" w:right="0" w:firstLine="0"/>
        <w:jc w:val="left"/>
        <w:rPr>
          <w:rFonts w:hint="eastAsia" w:ascii="黑体" w:hAnsi="黑体" w:eastAsia="黑体"/>
          <w:sz w:val="18"/>
        </w:rPr>
      </w:pPr>
      <w:r>
        <w:br w:type="column"/>
      </w:r>
      <w:r>
        <w:rPr>
          <w:rFonts w:hint="eastAsia" w:ascii="黑体" w:hAnsi="黑体" w:eastAsia="黑体"/>
          <w:position w:val="10"/>
          <w:sz w:val="18"/>
        </w:rPr>
        <w:t>③预测排放量</w:t>
      </w:r>
      <w:r>
        <w:rPr>
          <w:rFonts w:hint="eastAsia" w:ascii="黑体" w:hAnsi="黑体" w:eastAsia="黑体"/>
          <w:position w:val="10"/>
          <w:sz w:val="18"/>
        </w:rPr>
        <w:tab/>
      </w:r>
      <w:r>
        <w:rPr>
          <w:rFonts w:hint="eastAsia" w:ascii="黑体" w:hAnsi="黑体" w:eastAsia="黑体"/>
          <w:sz w:val="18"/>
        </w:rPr>
        <w:t>④</w:t>
      </w:r>
      <w:r>
        <w:rPr>
          <w:rFonts w:ascii="Times New Roman" w:hAnsi="Times New Roman" w:eastAsia="Times New Roman"/>
          <w:sz w:val="18"/>
        </w:rPr>
        <w:t>“</w:t>
      </w:r>
      <w:r>
        <w:rPr>
          <w:rFonts w:hint="eastAsia" w:ascii="黑体" w:hAnsi="黑体" w:eastAsia="黑体"/>
          <w:sz w:val="18"/>
        </w:rPr>
        <w:t>以新带老</w:t>
      </w:r>
      <w:r>
        <w:rPr>
          <w:rFonts w:ascii="Times New Roman" w:hAnsi="Times New Roman" w:eastAsia="Times New Roman"/>
          <w:sz w:val="18"/>
        </w:rPr>
        <w:t>”</w:t>
      </w:r>
      <w:r>
        <w:rPr>
          <w:rFonts w:hint="eastAsia" w:ascii="黑体" w:hAnsi="黑体" w:eastAsia="黑体"/>
          <w:sz w:val="18"/>
        </w:rPr>
        <w:t>削减量（吨</w:t>
      </w:r>
      <w:r>
        <w:rPr>
          <w:rFonts w:ascii="Times New Roman" w:hAnsi="Times New Roman" w:eastAsia="Times New Roman"/>
          <w:sz w:val="18"/>
        </w:rPr>
        <w:t>/</w:t>
      </w:r>
      <w:r>
        <w:rPr>
          <w:rFonts w:hint="eastAsia" w:ascii="黑体" w:hAnsi="黑体" w:eastAsia="黑体"/>
          <w:sz w:val="18"/>
        </w:rPr>
        <w:t>年）</w:t>
      </w:r>
    </w:p>
    <w:p w14:paraId="0A2EAD88">
      <w:pPr>
        <w:spacing w:before="0" w:line="170" w:lineRule="exact"/>
        <w:ind w:left="754" w:right="0" w:firstLine="0"/>
        <w:jc w:val="left"/>
        <w:rPr>
          <w:rFonts w:hint="eastAsia" w:ascii="黑体" w:eastAsia="黑体"/>
          <w:sz w:val="18"/>
        </w:rPr>
      </w:pPr>
      <w:r>
        <w:rPr>
          <w:rFonts w:hint="eastAsia" w:ascii="黑体" w:eastAsia="黑体"/>
          <w:sz w:val="18"/>
        </w:rPr>
        <w:t>（吨</w:t>
      </w:r>
      <w:r>
        <w:rPr>
          <w:rFonts w:ascii="Times New Roman" w:eastAsia="Times New Roman"/>
          <w:sz w:val="18"/>
        </w:rPr>
        <w:t>/</w:t>
      </w:r>
      <w:r>
        <w:rPr>
          <w:rFonts w:hint="eastAsia" w:ascii="黑体" w:eastAsia="黑体"/>
          <w:sz w:val="18"/>
        </w:rPr>
        <w:t>年）</w:t>
      </w:r>
    </w:p>
    <w:p w14:paraId="274114EA">
      <w:pPr>
        <w:spacing w:before="0" w:line="190" w:lineRule="exact"/>
        <w:ind w:left="491" w:right="0" w:firstLine="0"/>
        <w:jc w:val="center"/>
        <w:rPr>
          <w:rFonts w:hint="eastAsia" w:ascii="黑体" w:hAnsi="黑体" w:eastAsia="黑体"/>
          <w:sz w:val="18"/>
        </w:rPr>
      </w:pPr>
      <w:r>
        <w:br w:type="column"/>
      </w:r>
      <w:r>
        <w:rPr>
          <w:rFonts w:hint="eastAsia" w:ascii="黑体" w:hAnsi="黑体" w:eastAsia="黑体"/>
          <w:sz w:val="18"/>
        </w:rPr>
        <w:t>⑤区域平衡替代本工程削减量（吨</w:t>
      </w:r>
    </w:p>
    <w:p w14:paraId="33027B3E">
      <w:pPr>
        <w:spacing w:before="0" w:line="221" w:lineRule="exact"/>
        <w:ind w:left="490" w:right="0" w:firstLine="0"/>
        <w:jc w:val="center"/>
        <w:rPr>
          <w:rFonts w:hint="eastAsia" w:ascii="黑体" w:eastAsia="黑体"/>
          <w:sz w:val="18"/>
        </w:rPr>
      </w:pPr>
      <w:r>
        <w:rPr>
          <w:rFonts w:ascii="Times New Roman" w:eastAsia="Times New Roman"/>
          <w:sz w:val="18"/>
        </w:rPr>
        <w:t>/</w:t>
      </w:r>
      <w:r>
        <w:rPr>
          <w:rFonts w:hint="eastAsia" w:ascii="黑体" w:eastAsia="黑体"/>
          <w:sz w:val="18"/>
        </w:rPr>
        <w:t>年）</w:t>
      </w:r>
    </w:p>
    <w:p w14:paraId="103137FA">
      <w:pPr>
        <w:spacing w:before="0" w:line="190" w:lineRule="exact"/>
        <w:ind w:left="1496" w:right="0" w:firstLine="0"/>
        <w:jc w:val="center"/>
        <w:rPr>
          <w:rFonts w:hint="eastAsia" w:ascii="黑体" w:hAnsi="黑体" w:eastAsia="黑体"/>
          <w:sz w:val="18"/>
        </w:rPr>
      </w:pPr>
      <w:r>
        <w:br w:type="column"/>
      </w:r>
      <w:r>
        <w:rPr>
          <w:rFonts w:hint="eastAsia" w:ascii="黑体" w:hAnsi="黑体" w:eastAsia="黑体"/>
          <w:sz w:val="18"/>
        </w:rPr>
        <w:t>⑥预测排放总量</w:t>
      </w:r>
    </w:p>
    <w:p w14:paraId="6CDE45B1">
      <w:pPr>
        <w:spacing w:before="0" w:line="221" w:lineRule="exact"/>
        <w:ind w:left="1497" w:right="0" w:firstLine="0"/>
        <w:jc w:val="center"/>
        <w:rPr>
          <w:rFonts w:hint="eastAsia" w:ascii="黑体" w:eastAsia="黑体"/>
          <w:sz w:val="18"/>
        </w:rPr>
      </w:pPr>
      <w:r>
        <w:rPr>
          <w:rFonts w:hint="eastAsia" w:ascii="黑体" w:eastAsia="黑体"/>
          <w:sz w:val="18"/>
        </w:rPr>
        <w:t>（吨</w:t>
      </w:r>
      <w:r>
        <w:rPr>
          <w:rFonts w:ascii="Times New Roman" w:eastAsia="Times New Roman"/>
          <w:sz w:val="18"/>
        </w:rPr>
        <w:t>/</w:t>
      </w:r>
      <w:r>
        <w:rPr>
          <w:rFonts w:hint="eastAsia" w:ascii="黑体" w:eastAsia="黑体"/>
          <w:sz w:val="18"/>
        </w:rPr>
        <w:t>年）</w:t>
      </w:r>
    </w:p>
    <w:p w14:paraId="2AF113BB">
      <w:pPr>
        <w:spacing w:before="0" w:line="190" w:lineRule="exact"/>
        <w:ind w:left="1847" w:right="2721" w:firstLine="0"/>
        <w:jc w:val="center"/>
        <w:rPr>
          <w:rFonts w:hint="eastAsia" w:ascii="黑体" w:hAnsi="黑体" w:eastAsia="黑体"/>
          <w:sz w:val="18"/>
        </w:rPr>
      </w:pPr>
      <w:r>
        <w:br w:type="column"/>
      </w:r>
      <w:r>
        <w:rPr>
          <w:rFonts w:hint="eastAsia" w:ascii="黑体" w:hAnsi="黑体" w:eastAsia="黑体"/>
          <w:sz w:val="18"/>
        </w:rPr>
        <w:t>⑦排放增减量</w:t>
      </w:r>
    </w:p>
    <w:p w14:paraId="250291E1">
      <w:pPr>
        <w:spacing w:before="0" w:line="221" w:lineRule="exact"/>
        <w:ind w:left="1847" w:right="2721" w:firstLine="0"/>
        <w:jc w:val="center"/>
        <w:rPr>
          <w:rFonts w:hint="eastAsia" w:ascii="黑体" w:eastAsia="黑体"/>
          <w:sz w:val="18"/>
        </w:rPr>
      </w:pPr>
      <w:r>
        <w:rPr>
          <w:rFonts w:hint="eastAsia" w:ascii="黑体" w:eastAsia="黑体"/>
          <w:sz w:val="18"/>
        </w:rPr>
        <w:t>（吨</w:t>
      </w:r>
      <w:r>
        <w:rPr>
          <w:rFonts w:ascii="Times New Roman" w:eastAsia="Times New Roman"/>
          <w:sz w:val="18"/>
        </w:rPr>
        <w:t>/</w:t>
      </w:r>
      <w:r>
        <w:rPr>
          <w:rFonts w:hint="eastAsia" w:ascii="黑体" w:eastAsia="黑体"/>
          <w:sz w:val="18"/>
        </w:rPr>
        <w:t>年）</w:t>
      </w:r>
    </w:p>
    <w:p w14:paraId="062309DE">
      <w:pPr>
        <w:spacing w:after="0" w:line="221" w:lineRule="exact"/>
        <w:jc w:val="center"/>
        <w:rPr>
          <w:rFonts w:hint="eastAsia" w:ascii="黑体" w:eastAsia="黑体"/>
          <w:sz w:val="18"/>
        </w:rPr>
        <w:sectPr>
          <w:type w:val="continuous"/>
          <w:pgSz w:w="23820" w:h="16840" w:orient="landscape"/>
          <w:pgMar w:top="1600" w:right="420" w:bottom="280" w:left="240" w:header="720" w:footer="720" w:gutter="0"/>
          <w:cols w:equalWidth="0" w:num="6">
            <w:col w:w="5002" w:space="40"/>
            <w:col w:w="1491" w:space="39"/>
            <w:col w:w="4808" w:space="40"/>
            <w:col w:w="3208" w:space="40"/>
            <w:col w:w="2765" w:space="39"/>
            <w:col w:w="5688"/>
          </w:cols>
        </w:sectPr>
      </w:pPr>
    </w:p>
    <w:p w14:paraId="7C120C18">
      <w:pPr>
        <w:pStyle w:val="10"/>
        <w:rPr>
          <w:rFonts w:ascii="黑体"/>
          <w:sz w:val="18"/>
        </w:rPr>
      </w:pPr>
    </w:p>
    <w:p w14:paraId="4F457A52">
      <w:pPr>
        <w:pStyle w:val="10"/>
        <w:rPr>
          <w:rFonts w:ascii="黑体"/>
          <w:sz w:val="18"/>
        </w:rPr>
      </w:pPr>
    </w:p>
    <w:p w14:paraId="631A67C7">
      <w:pPr>
        <w:pStyle w:val="10"/>
        <w:rPr>
          <w:rFonts w:ascii="黑体"/>
          <w:sz w:val="18"/>
        </w:rPr>
      </w:pPr>
    </w:p>
    <w:p w14:paraId="3FBB3409">
      <w:pPr>
        <w:pStyle w:val="10"/>
        <w:rPr>
          <w:rFonts w:ascii="黑体"/>
          <w:sz w:val="18"/>
        </w:rPr>
      </w:pPr>
    </w:p>
    <w:p w14:paraId="63B1C19F">
      <w:pPr>
        <w:pStyle w:val="10"/>
        <w:rPr>
          <w:rFonts w:ascii="黑体"/>
          <w:sz w:val="18"/>
        </w:rPr>
      </w:pPr>
    </w:p>
    <w:p w14:paraId="5C8E1B1E">
      <w:pPr>
        <w:pStyle w:val="10"/>
        <w:rPr>
          <w:rFonts w:ascii="黑体"/>
          <w:sz w:val="18"/>
        </w:rPr>
      </w:pPr>
    </w:p>
    <w:p w14:paraId="0FB4A956">
      <w:pPr>
        <w:pStyle w:val="10"/>
        <w:rPr>
          <w:rFonts w:ascii="黑体"/>
          <w:sz w:val="18"/>
        </w:rPr>
      </w:pPr>
    </w:p>
    <w:p w14:paraId="1FF9E105">
      <w:pPr>
        <w:pStyle w:val="10"/>
        <w:rPr>
          <w:rFonts w:ascii="黑体"/>
          <w:sz w:val="18"/>
        </w:rPr>
      </w:pPr>
    </w:p>
    <w:p w14:paraId="0A5106CF">
      <w:pPr>
        <w:tabs>
          <w:tab w:val="left" w:pos="1207"/>
        </w:tabs>
        <w:spacing w:before="153" w:line="230" w:lineRule="exact"/>
        <w:ind w:left="479" w:right="0" w:firstLine="0"/>
        <w:jc w:val="left"/>
        <w:rPr>
          <w:rFonts w:hint="eastAsia" w:ascii="黑体" w:eastAsia="黑体"/>
          <w:sz w:val="18"/>
        </w:rPr>
      </w:pPr>
      <w:r>
        <w:rPr>
          <w:rFonts w:hint="eastAsia" w:ascii="黑体" w:eastAsia="黑体"/>
          <w:position w:val="1"/>
          <w:sz w:val="18"/>
        </w:rPr>
        <w:t>污</w:t>
      </w:r>
      <w:r>
        <w:rPr>
          <w:rFonts w:hint="eastAsia" w:ascii="黑体" w:eastAsia="黑体"/>
          <w:position w:val="1"/>
          <w:sz w:val="18"/>
        </w:rPr>
        <w:tab/>
      </w:r>
      <w:r>
        <w:rPr>
          <w:rFonts w:hint="eastAsia" w:ascii="黑体" w:eastAsia="黑体"/>
          <w:sz w:val="18"/>
        </w:rPr>
        <w:t>废水</w:t>
      </w:r>
    </w:p>
    <w:p w14:paraId="3495A435">
      <w:pPr>
        <w:spacing w:before="0" w:line="232" w:lineRule="auto"/>
        <w:ind w:left="479" w:right="946" w:firstLine="0"/>
        <w:jc w:val="both"/>
        <w:rPr>
          <w:rFonts w:hint="eastAsia" w:ascii="黑体" w:eastAsia="黑体"/>
          <w:sz w:val="18"/>
        </w:rPr>
      </w:pPr>
      <w:r>
        <w:rPr>
          <w:rFonts w:hint="eastAsia" w:ascii="黑体" w:eastAsia="黑体"/>
          <w:sz w:val="18"/>
        </w:rPr>
        <w:t>染物排放量</w:t>
      </w:r>
    </w:p>
    <w:p w14:paraId="679A733A">
      <w:pPr>
        <w:pStyle w:val="10"/>
        <w:rPr>
          <w:rFonts w:ascii="黑体"/>
          <w:sz w:val="18"/>
        </w:rPr>
      </w:pPr>
    </w:p>
    <w:p w14:paraId="035842BB">
      <w:pPr>
        <w:pStyle w:val="10"/>
        <w:rPr>
          <w:rFonts w:ascii="黑体"/>
          <w:sz w:val="18"/>
        </w:rPr>
      </w:pPr>
    </w:p>
    <w:p w14:paraId="3D70E271">
      <w:pPr>
        <w:pStyle w:val="10"/>
        <w:rPr>
          <w:rFonts w:ascii="黑体"/>
          <w:sz w:val="18"/>
        </w:rPr>
      </w:pPr>
    </w:p>
    <w:p w14:paraId="50A01C94">
      <w:pPr>
        <w:pStyle w:val="10"/>
        <w:rPr>
          <w:rFonts w:ascii="黑体"/>
          <w:sz w:val="18"/>
        </w:rPr>
      </w:pPr>
    </w:p>
    <w:p w14:paraId="06B81531">
      <w:pPr>
        <w:pStyle w:val="10"/>
        <w:rPr>
          <w:rFonts w:ascii="黑体"/>
          <w:sz w:val="18"/>
        </w:rPr>
      </w:pPr>
    </w:p>
    <w:p w14:paraId="324368F4">
      <w:pPr>
        <w:pStyle w:val="10"/>
        <w:rPr>
          <w:rFonts w:ascii="黑体"/>
          <w:sz w:val="18"/>
        </w:rPr>
      </w:pPr>
    </w:p>
    <w:p w14:paraId="5C952A94">
      <w:pPr>
        <w:pStyle w:val="10"/>
        <w:rPr>
          <w:rFonts w:ascii="黑体"/>
          <w:sz w:val="18"/>
        </w:rPr>
      </w:pPr>
    </w:p>
    <w:p w14:paraId="6BB14923">
      <w:pPr>
        <w:pStyle w:val="10"/>
        <w:spacing w:before="4"/>
        <w:rPr>
          <w:rFonts w:ascii="黑体"/>
          <w:sz w:val="21"/>
        </w:rPr>
      </w:pPr>
    </w:p>
    <w:p w14:paraId="268A1394">
      <w:pPr>
        <w:spacing w:before="1"/>
        <w:ind w:left="0" w:right="38" w:firstLine="0"/>
        <w:jc w:val="right"/>
        <w:rPr>
          <w:rFonts w:hint="eastAsia" w:ascii="黑体" w:eastAsia="黑体"/>
          <w:sz w:val="18"/>
        </w:rPr>
      </w:pPr>
      <w:r>
        <w:rPr>
          <w:rFonts w:hint="eastAsia" w:ascii="黑体" w:eastAsia="黑体"/>
          <w:sz w:val="18"/>
        </w:rPr>
        <w:t>废气</w:t>
      </w:r>
    </w:p>
    <w:p w14:paraId="4B146617">
      <w:pPr>
        <w:tabs>
          <w:tab w:val="left" w:pos="5858"/>
          <w:tab w:val="left" w:pos="14942"/>
          <w:tab w:val="left" w:pos="17995"/>
        </w:tabs>
        <w:spacing w:before="156"/>
        <w:ind w:left="599" w:right="0" w:firstLine="0"/>
        <w:jc w:val="left"/>
        <w:rPr>
          <w:rFonts w:ascii="Times New Roman" w:eastAsia="Times New Roman"/>
          <w:sz w:val="18"/>
        </w:rPr>
      </w:pPr>
      <w:r>
        <w:br w:type="column"/>
      </w:r>
      <w:r>
        <w:rPr>
          <w:rFonts w:hint="eastAsia" w:ascii="黑体" w:eastAsia="黑体"/>
          <w:sz w:val="18"/>
        </w:rPr>
        <w:t>废水量</w:t>
      </w:r>
      <w:r>
        <w:rPr>
          <w:rFonts w:ascii="Times New Roman" w:eastAsia="Times New Roman"/>
          <w:sz w:val="18"/>
        </w:rPr>
        <w:t>(</w:t>
      </w:r>
      <w:r>
        <w:rPr>
          <w:rFonts w:hint="eastAsia" w:ascii="黑体" w:eastAsia="黑体"/>
          <w:sz w:val="18"/>
        </w:rPr>
        <w:t>万吨</w:t>
      </w:r>
      <w:r>
        <w:rPr>
          <w:rFonts w:ascii="Times New Roman" w:eastAsia="Times New Roman"/>
          <w:sz w:val="18"/>
        </w:rPr>
        <w:t>/</w:t>
      </w:r>
      <w:r>
        <w:rPr>
          <w:rFonts w:hint="eastAsia" w:ascii="黑体" w:eastAsia="黑体"/>
          <w:sz w:val="18"/>
        </w:rPr>
        <w:t>年</w:t>
      </w:r>
      <w:r>
        <w:rPr>
          <w:rFonts w:ascii="Times New Roman" w:eastAsia="Times New Roman"/>
          <w:sz w:val="18"/>
        </w:rPr>
        <w:t>)</w:t>
      </w:r>
      <w:r>
        <w:rPr>
          <w:rFonts w:ascii="Times New Roman" w:eastAsia="Times New Roman"/>
          <w:sz w:val="18"/>
        </w:rPr>
        <w:tab/>
      </w:r>
      <w:r>
        <w:rPr>
          <w:rFonts w:ascii="Times New Roman" w:eastAsia="Times New Roman"/>
          <w:sz w:val="18"/>
        </w:rPr>
        <w:t>0.061</w:t>
      </w:r>
      <w:r>
        <w:rPr>
          <w:rFonts w:ascii="Times New Roman" w:eastAsia="Times New Roman"/>
          <w:sz w:val="18"/>
        </w:rPr>
        <w:tab/>
      </w:r>
      <w:r>
        <w:rPr>
          <w:rFonts w:ascii="Times New Roman" w:eastAsia="Times New Roman"/>
          <w:sz w:val="18"/>
        </w:rPr>
        <w:t>0.061</w:t>
      </w:r>
      <w:r>
        <w:rPr>
          <w:rFonts w:ascii="Times New Roman" w:eastAsia="Times New Roman"/>
          <w:sz w:val="18"/>
        </w:rPr>
        <w:tab/>
      </w:r>
      <w:r>
        <w:rPr>
          <w:rFonts w:ascii="Times New Roman" w:eastAsia="Times New Roman"/>
          <w:sz w:val="18"/>
        </w:rPr>
        <w:t>0.061</w:t>
      </w:r>
    </w:p>
    <w:p w14:paraId="1B66E5CD">
      <w:pPr>
        <w:tabs>
          <w:tab w:val="left" w:pos="5836"/>
          <w:tab w:val="left" w:pos="14942"/>
          <w:tab w:val="left" w:pos="17995"/>
        </w:tabs>
        <w:spacing w:before="158"/>
        <w:ind w:left="1041" w:right="0" w:firstLine="0"/>
        <w:jc w:val="left"/>
        <w:rPr>
          <w:rFonts w:ascii="Times New Roman"/>
          <w:sz w:val="18"/>
        </w:rPr>
      </w:pPr>
      <w:r>
        <w:rPr>
          <w:rFonts w:ascii="Times New Roman"/>
          <w:sz w:val="18"/>
        </w:rPr>
        <w:t>COD</w:t>
      </w:r>
      <w:r>
        <w:rPr>
          <w:rFonts w:ascii="Times New Roman"/>
          <w:sz w:val="18"/>
        </w:rPr>
        <w:tab/>
      </w:r>
      <w:r>
        <w:rPr>
          <w:rFonts w:ascii="Times New Roman"/>
          <w:sz w:val="18"/>
        </w:rPr>
        <w:t>0.030</w:t>
      </w:r>
      <w:r>
        <w:rPr>
          <w:rFonts w:ascii="Times New Roman"/>
          <w:sz w:val="18"/>
        </w:rPr>
        <w:tab/>
      </w:r>
      <w:r>
        <w:rPr>
          <w:rFonts w:ascii="Times New Roman"/>
          <w:sz w:val="18"/>
        </w:rPr>
        <w:t>0.030</w:t>
      </w:r>
      <w:r>
        <w:rPr>
          <w:rFonts w:ascii="Times New Roman"/>
          <w:sz w:val="18"/>
        </w:rPr>
        <w:tab/>
      </w:r>
      <w:r>
        <w:rPr>
          <w:rFonts w:ascii="Times New Roman"/>
          <w:sz w:val="18"/>
        </w:rPr>
        <w:t>0.030</w:t>
      </w:r>
    </w:p>
    <w:p w14:paraId="287E1140">
      <w:pPr>
        <w:tabs>
          <w:tab w:val="left" w:pos="5836"/>
          <w:tab w:val="left" w:pos="14942"/>
          <w:tab w:val="left" w:pos="17995"/>
        </w:tabs>
        <w:spacing w:before="148"/>
        <w:ind w:left="1048" w:right="0" w:firstLine="0"/>
        <w:jc w:val="left"/>
        <w:rPr>
          <w:rFonts w:ascii="Times New Roman" w:eastAsia="Times New Roman"/>
          <w:sz w:val="18"/>
        </w:rPr>
      </w:pPr>
      <w:r>
        <w:rPr>
          <w:rFonts w:hint="eastAsia" w:ascii="黑体" w:eastAsia="黑体"/>
          <w:sz w:val="18"/>
        </w:rPr>
        <w:t>氨氮</w:t>
      </w:r>
      <w:r>
        <w:rPr>
          <w:rFonts w:hint="eastAsia" w:ascii="黑体" w:eastAsia="黑体"/>
          <w:sz w:val="18"/>
        </w:rPr>
        <w:tab/>
      </w:r>
      <w:r>
        <w:rPr>
          <w:rFonts w:ascii="Times New Roman" w:eastAsia="Times New Roman"/>
          <w:position w:val="1"/>
          <w:sz w:val="18"/>
        </w:rPr>
        <w:t>0.003</w:t>
      </w:r>
      <w:r>
        <w:rPr>
          <w:rFonts w:ascii="Times New Roman" w:eastAsia="Times New Roman"/>
          <w:position w:val="1"/>
          <w:sz w:val="18"/>
        </w:rPr>
        <w:tab/>
      </w:r>
      <w:r>
        <w:rPr>
          <w:rFonts w:ascii="Times New Roman" w:eastAsia="Times New Roman"/>
          <w:position w:val="1"/>
          <w:sz w:val="18"/>
        </w:rPr>
        <w:t>0.003</w:t>
      </w:r>
      <w:r>
        <w:rPr>
          <w:rFonts w:ascii="Times New Roman" w:eastAsia="Times New Roman"/>
          <w:position w:val="1"/>
          <w:sz w:val="18"/>
        </w:rPr>
        <w:tab/>
      </w:r>
      <w:r>
        <w:rPr>
          <w:rFonts w:ascii="Times New Roman" w:eastAsia="Times New Roman"/>
          <w:position w:val="1"/>
          <w:sz w:val="18"/>
        </w:rPr>
        <w:t>0.003</w:t>
      </w:r>
    </w:p>
    <w:p w14:paraId="01C63B6C">
      <w:pPr>
        <w:tabs>
          <w:tab w:val="left" w:pos="14942"/>
          <w:tab w:val="left" w:pos="17995"/>
        </w:tabs>
        <w:spacing w:before="139"/>
        <w:ind w:left="1048" w:right="0" w:firstLine="0"/>
        <w:jc w:val="left"/>
        <w:rPr>
          <w:rFonts w:ascii="Times New Roman" w:eastAsia="Times New Roman"/>
          <w:sz w:val="18"/>
        </w:rPr>
      </w:pPr>
      <w:r>
        <w:rPr>
          <w:rFonts w:hint="eastAsia" w:ascii="黑体" w:eastAsia="黑体"/>
          <w:sz w:val="18"/>
        </w:rPr>
        <w:t>总磷</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6B8CDDDB">
      <w:pPr>
        <w:tabs>
          <w:tab w:val="left" w:pos="14942"/>
          <w:tab w:val="left" w:pos="17995"/>
        </w:tabs>
        <w:spacing w:before="158"/>
        <w:ind w:left="1048" w:right="0" w:firstLine="0"/>
        <w:jc w:val="left"/>
        <w:rPr>
          <w:rFonts w:ascii="Times New Roman" w:eastAsia="Times New Roman"/>
          <w:sz w:val="18"/>
        </w:rPr>
      </w:pPr>
      <w:r>
        <w:rPr>
          <w:rFonts w:hint="eastAsia" w:ascii="黑体" w:eastAsia="黑体"/>
          <w:sz w:val="18"/>
        </w:rPr>
        <w:t>总氮</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7384D874">
      <w:pPr>
        <w:tabs>
          <w:tab w:val="left" w:pos="14942"/>
          <w:tab w:val="left" w:pos="17995"/>
        </w:tabs>
        <w:spacing w:before="149"/>
        <w:ind w:left="1140" w:right="0" w:firstLine="0"/>
        <w:jc w:val="left"/>
        <w:rPr>
          <w:rFonts w:ascii="Times New Roman" w:eastAsia="Times New Roman"/>
          <w:sz w:val="18"/>
        </w:rPr>
      </w:pPr>
      <w:r>
        <w:rPr>
          <w:rFonts w:hint="eastAsia" w:ascii="黑体" w:eastAsia="黑体"/>
          <w:sz w:val="18"/>
        </w:rPr>
        <w:t>铅</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3F261131">
      <w:pPr>
        <w:tabs>
          <w:tab w:val="left" w:pos="14942"/>
          <w:tab w:val="left" w:pos="17995"/>
        </w:tabs>
        <w:spacing w:before="154"/>
        <w:ind w:left="1140" w:right="0" w:firstLine="0"/>
        <w:jc w:val="left"/>
        <w:rPr>
          <w:rFonts w:ascii="Times New Roman" w:eastAsia="Times New Roman"/>
          <w:sz w:val="18"/>
        </w:rPr>
      </w:pPr>
      <w:r>
        <w:rPr>
          <w:rFonts w:hint="eastAsia" w:ascii="黑体" w:eastAsia="黑体"/>
          <w:sz w:val="18"/>
        </w:rPr>
        <w:t>汞</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65741330">
      <w:pPr>
        <w:tabs>
          <w:tab w:val="left" w:pos="14942"/>
          <w:tab w:val="left" w:pos="17995"/>
        </w:tabs>
        <w:spacing w:before="148"/>
        <w:ind w:left="1140" w:right="0" w:firstLine="0"/>
        <w:jc w:val="left"/>
        <w:rPr>
          <w:rFonts w:ascii="Times New Roman" w:eastAsia="Times New Roman"/>
          <w:sz w:val="18"/>
        </w:rPr>
      </w:pPr>
      <w:r>
        <w:rPr>
          <w:rFonts w:hint="eastAsia" w:ascii="黑体" w:eastAsia="黑体"/>
          <w:sz w:val="18"/>
        </w:rPr>
        <w:t>镉</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637DDDB6">
      <w:pPr>
        <w:tabs>
          <w:tab w:val="left" w:pos="14942"/>
          <w:tab w:val="left" w:pos="17995"/>
        </w:tabs>
        <w:spacing w:before="155"/>
        <w:ind w:left="1140" w:right="0" w:firstLine="0"/>
        <w:jc w:val="left"/>
        <w:rPr>
          <w:rFonts w:ascii="Times New Roman" w:eastAsia="Times New Roman"/>
          <w:sz w:val="18"/>
        </w:rPr>
      </w:pPr>
      <w:r>
        <w:rPr>
          <w:rFonts w:hint="eastAsia" w:ascii="黑体" w:eastAsia="黑体"/>
          <w:sz w:val="18"/>
        </w:rPr>
        <w:t>铬</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3C086327">
      <w:pPr>
        <w:tabs>
          <w:tab w:val="left" w:pos="14073"/>
          <w:tab w:val="left" w:pos="17126"/>
        </w:tabs>
        <w:spacing w:before="156"/>
        <w:ind w:left="0" w:right="2225" w:firstLine="0"/>
        <w:jc w:val="center"/>
        <w:rPr>
          <w:rFonts w:ascii="Times New Roman" w:eastAsia="Times New Roman"/>
          <w:sz w:val="18"/>
        </w:rPr>
      </w:pPr>
      <w:r>
        <w:rPr>
          <w:rFonts w:hint="eastAsia" w:ascii="黑体" w:eastAsia="黑体"/>
          <w:sz w:val="18"/>
        </w:rPr>
        <w:t>类金属砷</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7E420E69">
      <w:pPr>
        <w:tabs>
          <w:tab w:val="left" w:pos="14942"/>
          <w:tab w:val="left" w:pos="17995"/>
        </w:tabs>
        <w:spacing w:before="97"/>
        <w:ind w:left="594" w:right="0" w:firstLine="0"/>
        <w:jc w:val="left"/>
        <w:rPr>
          <w:rFonts w:ascii="Times New Roman" w:eastAsia="Times New Roman"/>
          <w:sz w:val="18"/>
        </w:rPr>
      </w:pPr>
      <w:r>
        <w:rPr>
          <w:rFonts w:hint="eastAsia" w:ascii="黑体" w:eastAsia="黑体"/>
          <w:sz w:val="18"/>
        </w:rPr>
        <w:t>其他特征污染物</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316FA504">
      <w:pPr>
        <w:tabs>
          <w:tab w:val="left" w:pos="13985"/>
          <w:tab w:val="left" w:pos="17037"/>
        </w:tabs>
        <w:spacing w:before="64" w:line="266" w:lineRule="exact"/>
        <w:ind w:left="0" w:right="2137" w:firstLine="0"/>
        <w:jc w:val="center"/>
        <w:rPr>
          <w:rFonts w:ascii="Times New Roman" w:eastAsia="Times New Roman"/>
          <w:sz w:val="18"/>
        </w:rPr>
      </w:pPr>
      <w:r>
        <w:rPr>
          <w:rFonts w:hint="eastAsia" w:ascii="黑体" w:eastAsia="黑体"/>
          <w:position w:val="10"/>
          <w:sz w:val="18"/>
        </w:rPr>
        <w:t>废气量</w:t>
      </w:r>
      <w:r>
        <w:rPr>
          <w:rFonts w:hint="eastAsia" w:ascii="黑体" w:eastAsia="黑体"/>
          <w:position w:val="10"/>
          <w:sz w:val="18"/>
        </w:rPr>
        <w:tab/>
      </w:r>
      <w:r>
        <w:rPr>
          <w:rFonts w:ascii="Times New Roman" w:eastAsia="Times New Roman"/>
          <w:sz w:val="18"/>
        </w:rPr>
        <w:t>0.000</w:t>
      </w:r>
      <w:r>
        <w:rPr>
          <w:rFonts w:ascii="Times New Roman" w:eastAsia="Times New Roman"/>
          <w:sz w:val="18"/>
        </w:rPr>
        <w:tab/>
      </w:r>
      <w:r>
        <w:rPr>
          <w:rFonts w:ascii="Times New Roman" w:eastAsia="Times New Roman"/>
          <w:sz w:val="18"/>
        </w:rPr>
        <w:t>0.000</w:t>
      </w:r>
    </w:p>
    <w:p w14:paraId="42E077E0">
      <w:pPr>
        <w:spacing w:before="0" w:line="178" w:lineRule="exact"/>
        <w:ind w:left="479" w:right="0" w:firstLine="0"/>
        <w:jc w:val="left"/>
        <w:rPr>
          <w:rFonts w:hint="eastAsia" w:ascii="黑体" w:eastAsia="黑体"/>
          <w:sz w:val="18"/>
        </w:rPr>
      </w:pPr>
      <w:r>
        <w:rPr>
          <w:rFonts w:hint="eastAsia" w:ascii="黑体" w:eastAsia="黑体"/>
          <w:sz w:val="18"/>
        </w:rPr>
        <w:t>（万标立方米</w:t>
      </w:r>
      <w:r>
        <w:rPr>
          <w:rFonts w:ascii="Times New Roman" w:eastAsia="Times New Roman"/>
          <w:sz w:val="18"/>
        </w:rPr>
        <w:t>/</w:t>
      </w:r>
      <w:r>
        <w:rPr>
          <w:rFonts w:hint="eastAsia" w:ascii="黑体" w:eastAsia="黑体"/>
          <w:sz w:val="18"/>
        </w:rPr>
        <w:t>年）</w:t>
      </w:r>
    </w:p>
    <w:p w14:paraId="17F9061B">
      <w:pPr>
        <w:tabs>
          <w:tab w:val="left" w:pos="14073"/>
          <w:tab w:val="left" w:pos="17126"/>
        </w:tabs>
        <w:spacing w:before="115"/>
        <w:ind w:left="0" w:right="2225" w:firstLine="0"/>
        <w:jc w:val="center"/>
        <w:rPr>
          <w:rFonts w:ascii="Times New Roman" w:eastAsia="Times New Roman"/>
          <w:sz w:val="18"/>
        </w:rPr>
      </w:pPr>
      <w:r>
        <w:rPr>
          <w:rFonts w:hint="eastAsia" w:ascii="黑体" w:eastAsia="黑体"/>
          <w:sz w:val="18"/>
        </w:rPr>
        <w:t>二氧化硫</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1E6D2987">
      <w:pPr>
        <w:tabs>
          <w:tab w:val="left" w:pos="14073"/>
          <w:tab w:val="left" w:pos="17126"/>
        </w:tabs>
        <w:spacing w:before="120"/>
        <w:ind w:left="0" w:right="2225" w:firstLine="0"/>
        <w:jc w:val="center"/>
        <w:rPr>
          <w:rFonts w:ascii="Times New Roman" w:eastAsia="Times New Roman"/>
          <w:sz w:val="18"/>
        </w:rPr>
      </w:pPr>
      <w:r>
        <w:rPr>
          <w:rFonts w:hint="eastAsia" w:ascii="黑体" w:eastAsia="黑体"/>
          <w:sz w:val="18"/>
        </w:rPr>
        <w:t>氮氧化物</w:t>
      </w:r>
      <w:r>
        <w:rPr>
          <w:rFonts w:hint="eastAsia" w:ascii="黑体" w:eastAsia="黑体"/>
          <w:sz w:val="18"/>
        </w:rPr>
        <w:tab/>
      </w:r>
      <w:r>
        <w:rPr>
          <w:rFonts w:ascii="Times New Roman" w:eastAsia="Times New Roman"/>
          <w:position w:val="1"/>
          <w:sz w:val="18"/>
        </w:rPr>
        <w:t>0.000</w:t>
      </w:r>
      <w:r>
        <w:rPr>
          <w:rFonts w:ascii="Times New Roman" w:eastAsia="Times New Roman"/>
          <w:position w:val="1"/>
          <w:sz w:val="18"/>
        </w:rPr>
        <w:tab/>
      </w:r>
      <w:r>
        <w:rPr>
          <w:rFonts w:ascii="Times New Roman" w:eastAsia="Times New Roman"/>
          <w:position w:val="1"/>
          <w:sz w:val="18"/>
        </w:rPr>
        <w:t>0.000</w:t>
      </w:r>
    </w:p>
    <w:p w14:paraId="6771FAB5">
      <w:pPr>
        <w:tabs>
          <w:tab w:val="left" w:pos="4878"/>
          <w:tab w:val="left" w:pos="13985"/>
          <w:tab w:val="left" w:pos="17037"/>
        </w:tabs>
        <w:spacing w:before="132"/>
        <w:ind w:left="0" w:right="2137" w:firstLine="0"/>
        <w:jc w:val="center"/>
        <w:rPr>
          <w:rFonts w:ascii="Times New Roman" w:eastAsia="Times New Roman"/>
          <w:sz w:val="18"/>
        </w:rPr>
      </w:pPr>
      <w:r>
        <w:rPr>
          <w:rFonts w:hint="eastAsia" w:ascii="黑体" w:eastAsia="黑体"/>
          <w:sz w:val="18"/>
        </w:rPr>
        <w:t>颗粒物</w:t>
      </w:r>
      <w:r>
        <w:rPr>
          <w:rFonts w:hint="eastAsia" w:ascii="黑体" w:eastAsia="黑体"/>
          <w:sz w:val="18"/>
        </w:rPr>
        <w:tab/>
      </w:r>
      <w:r>
        <w:rPr>
          <w:rFonts w:ascii="Times New Roman" w:eastAsia="Times New Roman"/>
          <w:position w:val="1"/>
          <w:sz w:val="18"/>
        </w:rPr>
        <w:t>0.331</w:t>
      </w:r>
      <w:r>
        <w:rPr>
          <w:rFonts w:ascii="Times New Roman" w:eastAsia="Times New Roman"/>
          <w:position w:val="1"/>
          <w:sz w:val="18"/>
        </w:rPr>
        <w:tab/>
      </w:r>
      <w:r>
        <w:rPr>
          <w:rFonts w:ascii="Times New Roman" w:eastAsia="Times New Roman"/>
          <w:position w:val="1"/>
          <w:sz w:val="18"/>
        </w:rPr>
        <w:t>0.331</w:t>
      </w:r>
      <w:r>
        <w:rPr>
          <w:rFonts w:ascii="Times New Roman" w:eastAsia="Times New Roman"/>
          <w:position w:val="1"/>
          <w:sz w:val="18"/>
        </w:rPr>
        <w:tab/>
      </w:r>
      <w:r>
        <w:rPr>
          <w:rFonts w:ascii="Times New Roman" w:eastAsia="Times New Roman"/>
          <w:position w:val="1"/>
          <w:sz w:val="18"/>
        </w:rPr>
        <w:t>0.331</w:t>
      </w:r>
    </w:p>
    <w:p w14:paraId="6FABCE25">
      <w:pPr>
        <w:tabs>
          <w:tab w:val="left" w:pos="5836"/>
          <w:tab w:val="left" w:pos="14942"/>
          <w:tab w:val="left" w:pos="17995"/>
        </w:tabs>
        <w:spacing w:before="141"/>
        <w:ind w:left="685" w:right="0" w:firstLine="0"/>
        <w:jc w:val="left"/>
        <w:rPr>
          <w:rFonts w:ascii="Times New Roman" w:eastAsia="Times New Roman"/>
          <w:sz w:val="18"/>
        </w:rPr>
      </w:pPr>
      <w:r>
        <w:rPr>
          <w:rFonts w:hint="eastAsia" w:ascii="黑体" w:eastAsia="黑体"/>
          <w:sz w:val="18"/>
        </w:rPr>
        <w:t>挥发性有机物</w:t>
      </w:r>
      <w:r>
        <w:rPr>
          <w:rFonts w:hint="eastAsia" w:ascii="黑体" w:eastAsia="黑体"/>
          <w:sz w:val="18"/>
        </w:rPr>
        <w:tab/>
      </w:r>
      <w:r>
        <w:rPr>
          <w:rFonts w:ascii="Times New Roman" w:eastAsia="Times New Roman"/>
          <w:position w:val="1"/>
          <w:sz w:val="18"/>
        </w:rPr>
        <w:t>5.444</w:t>
      </w:r>
      <w:r>
        <w:rPr>
          <w:rFonts w:ascii="Times New Roman" w:eastAsia="Times New Roman"/>
          <w:position w:val="1"/>
          <w:sz w:val="18"/>
        </w:rPr>
        <w:tab/>
      </w:r>
      <w:r>
        <w:rPr>
          <w:rFonts w:ascii="Times New Roman" w:eastAsia="Times New Roman"/>
          <w:position w:val="1"/>
          <w:sz w:val="18"/>
        </w:rPr>
        <w:t>5.444</w:t>
      </w:r>
      <w:r>
        <w:rPr>
          <w:rFonts w:ascii="Times New Roman" w:eastAsia="Times New Roman"/>
          <w:position w:val="1"/>
          <w:sz w:val="18"/>
        </w:rPr>
        <w:tab/>
      </w:r>
      <w:r>
        <w:rPr>
          <w:rFonts w:ascii="Times New Roman" w:eastAsia="Times New Roman"/>
          <w:position w:val="1"/>
          <w:sz w:val="18"/>
        </w:rPr>
        <w:t>5.444</w:t>
      </w:r>
    </w:p>
    <w:p w14:paraId="41CB9262">
      <w:pPr>
        <w:spacing w:after="0"/>
        <w:jc w:val="left"/>
        <w:rPr>
          <w:rFonts w:ascii="Times New Roman" w:eastAsia="Times New Roman"/>
          <w:sz w:val="18"/>
        </w:rPr>
        <w:sectPr>
          <w:type w:val="continuous"/>
          <w:pgSz w:w="23820" w:h="16840" w:orient="landscape"/>
          <w:pgMar w:top="1600" w:right="420" w:bottom="280" w:left="240" w:header="720" w:footer="720" w:gutter="0"/>
          <w:cols w:equalWidth="0" w:num="2">
            <w:col w:w="1609" w:space="45"/>
            <w:col w:w="21506"/>
          </w:cols>
        </w:sectPr>
      </w:pPr>
    </w:p>
    <w:p w14:paraId="2FF8FD26">
      <w:pPr>
        <w:spacing w:before="146"/>
        <w:ind w:left="2248" w:right="0" w:firstLine="0"/>
        <w:jc w:val="left"/>
        <w:rPr>
          <w:sz w:val="18"/>
        </w:rPr>
      </w:pPr>
      <w:r>
        <w:rPr>
          <w:sz w:val="18"/>
        </w:rPr>
        <w:t>其他特征污染物</w:t>
      </w:r>
    </w:p>
    <w:p w14:paraId="67AD1A98">
      <w:pPr>
        <w:tabs>
          <w:tab w:val="left" w:pos="5030"/>
        </w:tabs>
        <w:spacing w:before="106" w:line="179" w:lineRule="exact"/>
        <w:ind w:left="2680" w:right="0" w:firstLine="0"/>
        <w:jc w:val="left"/>
        <w:rPr>
          <w:rFonts w:hint="eastAsia" w:ascii="黑体" w:eastAsia="黑体"/>
          <w:sz w:val="16"/>
        </w:rPr>
      </w:pPr>
      <w:r>
        <w:rPr>
          <w:rFonts w:hint="eastAsia" w:ascii="黑体" w:eastAsia="黑体"/>
          <w:sz w:val="16"/>
        </w:rPr>
        <w:t>影响及主要措施</w:t>
      </w:r>
      <w:r>
        <w:rPr>
          <w:rFonts w:hint="eastAsia" w:ascii="黑体" w:eastAsia="黑体"/>
          <w:sz w:val="16"/>
        </w:rPr>
        <w:tab/>
      </w:r>
      <w:r>
        <w:rPr>
          <w:rFonts w:hint="eastAsia" w:ascii="黑体" w:eastAsia="黑体"/>
          <w:sz w:val="16"/>
        </w:rPr>
        <w:t>生</w:t>
      </w:r>
    </w:p>
    <w:p w14:paraId="4C8BC97E">
      <w:pPr>
        <w:tabs>
          <w:tab w:val="left" w:pos="6765"/>
          <w:tab w:val="left" w:pos="9198"/>
        </w:tabs>
        <w:spacing w:before="0" w:line="249" w:lineRule="exact"/>
        <w:ind w:left="3079" w:right="0" w:firstLine="0"/>
        <w:jc w:val="left"/>
        <w:rPr>
          <w:rFonts w:hint="eastAsia" w:ascii="黑体" w:eastAsia="黑体"/>
          <w:sz w:val="18"/>
        </w:rPr>
      </w:pPr>
      <w:r>
        <w:rPr>
          <w:rFonts w:hint="eastAsia" w:ascii="黑体" w:eastAsia="黑体"/>
          <w:sz w:val="16"/>
        </w:rPr>
        <w:t>态保护目标</w:t>
      </w:r>
      <w:r>
        <w:rPr>
          <w:rFonts w:hint="eastAsia" w:ascii="黑体" w:eastAsia="黑体"/>
          <w:sz w:val="16"/>
        </w:rPr>
        <w:tab/>
      </w:r>
      <w:r>
        <w:rPr>
          <w:rFonts w:hint="eastAsia" w:ascii="黑体" w:eastAsia="黑体"/>
          <w:position w:val="5"/>
          <w:sz w:val="18"/>
        </w:rPr>
        <w:t>名称</w:t>
      </w:r>
      <w:r>
        <w:rPr>
          <w:rFonts w:hint="eastAsia" w:ascii="黑体" w:eastAsia="黑体"/>
          <w:position w:val="5"/>
          <w:sz w:val="18"/>
        </w:rPr>
        <w:tab/>
      </w:r>
      <w:r>
        <w:rPr>
          <w:rFonts w:hint="eastAsia" w:ascii="黑体" w:eastAsia="黑体"/>
          <w:position w:val="5"/>
          <w:sz w:val="18"/>
        </w:rPr>
        <w:t>级别</w:t>
      </w:r>
    </w:p>
    <w:p w14:paraId="76100757">
      <w:pPr>
        <w:pStyle w:val="10"/>
        <w:spacing w:before="11"/>
        <w:rPr>
          <w:rFonts w:ascii="黑体"/>
          <w:sz w:val="40"/>
        </w:rPr>
      </w:pPr>
      <w:r>
        <w:br w:type="column"/>
      </w:r>
    </w:p>
    <w:p w14:paraId="1CD42699">
      <w:pPr>
        <w:tabs>
          <w:tab w:val="left" w:pos="2457"/>
          <w:tab w:val="left" w:pos="4197"/>
        </w:tabs>
        <w:spacing w:before="0" w:line="282" w:lineRule="exact"/>
        <w:ind w:left="758" w:right="0" w:firstLine="0"/>
        <w:jc w:val="left"/>
        <w:rPr>
          <w:rFonts w:hint="eastAsia" w:ascii="黑体" w:eastAsia="黑体"/>
          <w:sz w:val="18"/>
        </w:rPr>
      </w:pPr>
      <w:r>
        <w:rPr>
          <w:rFonts w:hint="eastAsia" w:ascii="黑体" w:eastAsia="黑体"/>
          <w:position w:val="11"/>
          <w:sz w:val="18"/>
        </w:rPr>
        <w:t>主要保护对象</w:t>
      </w:r>
      <w:r>
        <w:rPr>
          <w:rFonts w:hint="eastAsia" w:ascii="黑体" w:eastAsia="黑体"/>
          <w:position w:val="11"/>
          <w:sz w:val="18"/>
        </w:rPr>
        <w:tab/>
      </w:r>
      <w:r>
        <w:rPr>
          <w:rFonts w:hint="eastAsia" w:ascii="黑体" w:eastAsia="黑体"/>
          <w:sz w:val="18"/>
        </w:rPr>
        <w:t>工程影响情况</w:t>
      </w:r>
      <w:r>
        <w:rPr>
          <w:rFonts w:hint="eastAsia" w:ascii="黑体" w:eastAsia="黑体"/>
          <w:sz w:val="18"/>
        </w:rPr>
        <w:tab/>
      </w:r>
      <w:r>
        <w:rPr>
          <w:rFonts w:hint="eastAsia" w:ascii="黑体" w:eastAsia="黑体"/>
          <w:sz w:val="18"/>
        </w:rPr>
        <w:t>是否占用</w:t>
      </w:r>
    </w:p>
    <w:p w14:paraId="005E580E">
      <w:pPr>
        <w:spacing w:before="0" w:line="172" w:lineRule="exact"/>
        <w:ind w:left="940" w:right="0" w:firstLine="0"/>
        <w:jc w:val="left"/>
        <w:rPr>
          <w:rFonts w:hint="eastAsia" w:ascii="黑体" w:eastAsia="黑体"/>
          <w:sz w:val="18"/>
        </w:rPr>
      </w:pPr>
      <w:r>
        <w:rPr>
          <w:rFonts w:hint="eastAsia" w:ascii="黑体" w:eastAsia="黑体"/>
          <w:sz w:val="18"/>
        </w:rPr>
        <w:t>（目标）</w:t>
      </w:r>
    </w:p>
    <w:p w14:paraId="0D2FA7A0">
      <w:pPr>
        <w:pStyle w:val="10"/>
        <w:spacing w:before="11"/>
        <w:rPr>
          <w:rFonts w:ascii="黑体"/>
          <w:sz w:val="40"/>
        </w:rPr>
      </w:pPr>
      <w:r>
        <w:br w:type="column"/>
      </w:r>
    </w:p>
    <w:p w14:paraId="106D29E0">
      <w:pPr>
        <w:tabs>
          <w:tab w:val="left" w:pos="5090"/>
        </w:tabs>
        <w:spacing w:before="0" w:line="282" w:lineRule="exact"/>
        <w:ind w:left="1166" w:right="0" w:firstLine="0"/>
        <w:jc w:val="left"/>
        <w:rPr>
          <w:rFonts w:hint="eastAsia" w:ascii="黑体" w:eastAsia="黑体"/>
          <w:sz w:val="18"/>
        </w:rPr>
      </w:pPr>
      <w:r>
        <w:rPr>
          <w:rFonts w:hint="eastAsia" w:ascii="黑体" w:eastAsia="黑体"/>
          <w:position w:val="11"/>
          <w:sz w:val="18"/>
        </w:rPr>
        <w:t>占用面积</w:t>
      </w:r>
      <w:r>
        <w:rPr>
          <w:rFonts w:hint="eastAsia" w:ascii="黑体" w:eastAsia="黑体"/>
          <w:position w:val="11"/>
          <w:sz w:val="18"/>
        </w:rPr>
        <w:tab/>
      </w:r>
      <w:r>
        <w:rPr>
          <w:rFonts w:hint="eastAsia" w:ascii="黑体" w:eastAsia="黑体"/>
          <w:sz w:val="18"/>
        </w:rPr>
        <w:t>生态防护措施</w:t>
      </w:r>
    </w:p>
    <w:p w14:paraId="0CAD4F43">
      <w:pPr>
        <w:spacing w:before="0" w:line="172" w:lineRule="exact"/>
        <w:ind w:left="1166" w:right="0" w:firstLine="0"/>
        <w:jc w:val="left"/>
        <w:rPr>
          <w:rFonts w:hint="eastAsia" w:ascii="黑体" w:eastAsia="黑体"/>
          <w:sz w:val="18"/>
        </w:rPr>
      </w:pPr>
      <w:r>
        <w:rPr>
          <w:rFonts w:hint="eastAsia" w:ascii="黑体" w:eastAsia="黑体"/>
          <w:sz w:val="18"/>
        </w:rPr>
        <w:t>（公顷）</w:t>
      </w:r>
    </w:p>
    <w:p w14:paraId="41D8F5C1">
      <w:pPr>
        <w:spacing w:after="0" w:line="172" w:lineRule="exact"/>
        <w:jc w:val="left"/>
        <w:rPr>
          <w:rFonts w:hint="eastAsia" w:ascii="黑体" w:eastAsia="黑体"/>
          <w:sz w:val="18"/>
        </w:rPr>
        <w:sectPr>
          <w:type w:val="continuous"/>
          <w:pgSz w:w="23820" w:h="16840" w:orient="landscape"/>
          <w:pgMar w:top="1600" w:right="420" w:bottom="280" w:left="240" w:header="720" w:footer="720" w:gutter="0"/>
          <w:cols w:equalWidth="0" w:num="3">
            <w:col w:w="9560" w:space="40"/>
            <w:col w:w="4922" w:space="39"/>
            <w:col w:w="8599"/>
          </w:cols>
        </w:sectPr>
      </w:pPr>
    </w:p>
    <w:p w14:paraId="183F9E0F">
      <w:pPr>
        <w:tabs>
          <w:tab w:val="left" w:pos="17738"/>
          <w:tab w:val="left" w:pos="18460"/>
          <w:tab w:val="left" w:pos="19183"/>
          <w:tab w:val="left" w:pos="19908"/>
        </w:tabs>
        <w:spacing w:before="119"/>
        <w:ind w:left="2949" w:right="0" w:firstLine="0"/>
        <w:jc w:val="left"/>
        <w:rPr>
          <w:rFonts w:hint="eastAsia" w:ascii="黑体" w:eastAsia="黑体"/>
          <w:sz w:val="18"/>
        </w:rPr>
      </w:pPr>
      <w:r>
        <w:rPr>
          <w:rFonts w:hint="eastAsia" w:ascii="黑体" w:eastAsia="黑体"/>
          <w:sz w:val="18"/>
        </w:rPr>
        <w:t>生态保护红线</w:t>
      </w:r>
      <w:r>
        <w:rPr>
          <w:rFonts w:hint="eastAsia" w:ascii="黑体" w:eastAsia="黑体"/>
          <w:sz w:val="18"/>
        </w:rPr>
        <w:tab/>
      </w:r>
      <w:r>
        <w:rPr>
          <w:rFonts w:hint="eastAsia" w:ascii="黑体" w:eastAsia="黑体"/>
          <w:sz w:val="18"/>
        </w:rPr>
        <w:t>避让</w:t>
      </w:r>
      <w:r>
        <w:rPr>
          <w:rFonts w:hint="eastAsia" w:ascii="黑体" w:eastAsia="黑体"/>
          <w:sz w:val="18"/>
        </w:rPr>
        <w:tab/>
      </w:r>
      <w:r>
        <w:rPr>
          <w:rFonts w:hint="eastAsia" w:ascii="黑体" w:eastAsia="黑体"/>
          <w:sz w:val="18"/>
        </w:rPr>
        <w:t>减缓</w:t>
      </w:r>
      <w:r>
        <w:rPr>
          <w:rFonts w:hint="eastAsia" w:ascii="黑体" w:eastAsia="黑体"/>
          <w:sz w:val="18"/>
        </w:rPr>
        <w:tab/>
      </w:r>
      <w:r>
        <w:rPr>
          <w:rFonts w:hint="eastAsia" w:ascii="黑体" w:eastAsia="黑体"/>
          <w:sz w:val="18"/>
        </w:rPr>
        <w:t>补偿</w:t>
      </w:r>
      <w:r>
        <w:rPr>
          <w:rFonts w:hint="eastAsia" w:ascii="黑体" w:eastAsia="黑体"/>
          <w:sz w:val="18"/>
        </w:rPr>
        <w:tab/>
      </w:r>
      <w:r>
        <w:rPr>
          <w:rFonts w:hint="eastAsia" w:ascii="黑体" w:eastAsia="黑体"/>
          <w:sz w:val="18"/>
        </w:rPr>
        <w:t>重建（多选）</w:t>
      </w:r>
    </w:p>
    <w:p w14:paraId="099E7091">
      <w:pPr>
        <w:spacing w:after="0"/>
        <w:jc w:val="left"/>
        <w:rPr>
          <w:rFonts w:hint="eastAsia" w:ascii="黑体" w:eastAsia="黑体"/>
          <w:sz w:val="18"/>
        </w:rPr>
        <w:sectPr>
          <w:type w:val="continuous"/>
          <w:pgSz w:w="23820" w:h="16840" w:orient="landscape"/>
          <w:pgMar w:top="1600" w:right="420" w:bottom="280" w:left="240" w:header="720" w:footer="720" w:gutter="0"/>
          <w:cols w:space="720" w:num="1"/>
        </w:sectPr>
      </w:pPr>
    </w:p>
    <w:p w14:paraId="617E5660">
      <w:pPr>
        <w:pStyle w:val="10"/>
        <w:spacing w:before="1"/>
        <w:rPr>
          <w:rFonts w:ascii="黑体"/>
          <w:sz w:val="23"/>
        </w:rPr>
      </w:pPr>
    </w:p>
    <w:p w14:paraId="46CFEDA3">
      <w:pPr>
        <w:spacing w:before="0" w:line="232" w:lineRule="auto"/>
        <w:ind w:left="220" w:right="38" w:firstLine="0"/>
        <w:jc w:val="left"/>
        <w:rPr>
          <w:rFonts w:hint="eastAsia" w:ascii="黑体" w:eastAsia="黑体"/>
          <w:sz w:val="18"/>
        </w:rPr>
      </w:pPr>
      <w:r>
        <w:rPr>
          <w:rFonts w:hint="eastAsia" w:ascii="黑体" w:eastAsia="黑体"/>
          <w:sz w:val="18"/>
        </w:rPr>
        <w:t>项目涉及法律法规规定的保护区情况</w:t>
      </w:r>
    </w:p>
    <w:p w14:paraId="1A934FB5">
      <w:pPr>
        <w:tabs>
          <w:tab w:val="left" w:pos="14859"/>
          <w:tab w:val="left" w:pos="15536"/>
          <w:tab w:val="left" w:pos="16215"/>
          <w:tab w:val="left" w:pos="16849"/>
        </w:tabs>
        <w:spacing w:before="156"/>
        <w:ind w:left="207" w:right="0" w:firstLine="0"/>
        <w:jc w:val="center"/>
        <w:rPr>
          <w:rFonts w:hint="eastAsia" w:ascii="黑体" w:eastAsia="黑体"/>
          <w:sz w:val="18"/>
        </w:rPr>
      </w:pPr>
      <w:r>
        <w:br w:type="column"/>
      </w:r>
      <w:r>
        <w:rPr>
          <w:rFonts w:hint="eastAsia" w:ascii="黑体" w:eastAsia="黑体"/>
          <w:sz w:val="18"/>
        </w:rPr>
        <w:t>自然保护区</w:t>
      </w:r>
      <w:r>
        <w:rPr>
          <w:rFonts w:hint="eastAsia" w:ascii="黑体" w:eastAsia="黑体"/>
          <w:sz w:val="18"/>
        </w:rPr>
        <w:tab/>
      </w:r>
      <w:r>
        <w:rPr>
          <w:rFonts w:hint="eastAsia" w:ascii="黑体" w:eastAsia="黑体"/>
          <w:position w:val="1"/>
          <w:sz w:val="18"/>
        </w:rPr>
        <w:t>避让</w:t>
      </w:r>
      <w:r>
        <w:rPr>
          <w:rFonts w:hint="eastAsia" w:ascii="黑体" w:eastAsia="黑体"/>
          <w:position w:val="1"/>
          <w:sz w:val="18"/>
        </w:rPr>
        <w:tab/>
      </w:r>
      <w:r>
        <w:rPr>
          <w:rFonts w:hint="eastAsia" w:ascii="黑体" w:eastAsia="黑体"/>
          <w:position w:val="1"/>
          <w:sz w:val="18"/>
        </w:rPr>
        <w:t>减缓</w:t>
      </w:r>
      <w:r>
        <w:rPr>
          <w:rFonts w:hint="eastAsia" w:ascii="黑体" w:eastAsia="黑体"/>
          <w:position w:val="1"/>
          <w:sz w:val="18"/>
        </w:rPr>
        <w:tab/>
      </w:r>
      <w:r>
        <w:rPr>
          <w:rFonts w:hint="eastAsia" w:ascii="黑体" w:eastAsia="黑体"/>
          <w:position w:val="1"/>
          <w:sz w:val="18"/>
        </w:rPr>
        <w:t>补偿</w:t>
      </w:r>
      <w:r>
        <w:rPr>
          <w:rFonts w:hint="eastAsia" w:ascii="黑体" w:eastAsia="黑体"/>
          <w:position w:val="1"/>
          <w:sz w:val="18"/>
        </w:rPr>
        <w:tab/>
      </w:r>
      <w:r>
        <w:rPr>
          <w:rFonts w:hint="eastAsia" w:ascii="黑体" w:eastAsia="黑体"/>
          <w:position w:val="1"/>
          <w:sz w:val="18"/>
        </w:rPr>
        <w:t>重建（多选）</w:t>
      </w:r>
    </w:p>
    <w:p w14:paraId="3675E850">
      <w:pPr>
        <w:pStyle w:val="10"/>
        <w:spacing w:before="7"/>
        <w:rPr>
          <w:rFonts w:ascii="黑体"/>
          <w:sz w:val="14"/>
        </w:rPr>
      </w:pPr>
    </w:p>
    <w:p w14:paraId="349D5B08">
      <w:pPr>
        <w:tabs>
          <w:tab w:val="left" w:pos="15918"/>
          <w:tab w:val="left" w:pos="16596"/>
          <w:tab w:val="left" w:pos="17275"/>
          <w:tab w:val="left" w:pos="17908"/>
        </w:tabs>
        <w:spacing w:before="0"/>
        <w:ind w:left="633" w:right="0" w:firstLine="0"/>
        <w:jc w:val="left"/>
        <w:rPr>
          <w:rFonts w:hint="eastAsia" w:ascii="黑体" w:eastAsia="黑体"/>
          <w:sz w:val="18"/>
        </w:rPr>
      </w:pPr>
      <w:r>
        <w:rPr>
          <w:rFonts w:hint="eastAsia" w:ascii="黑体" w:eastAsia="黑体"/>
          <w:sz w:val="18"/>
        </w:rPr>
        <w:t>饮用水水源保护区（地表）</w:t>
      </w:r>
      <w:r>
        <w:rPr>
          <w:rFonts w:hint="eastAsia" w:ascii="黑体" w:eastAsia="黑体"/>
          <w:sz w:val="18"/>
        </w:rPr>
        <w:tab/>
      </w:r>
      <w:r>
        <w:rPr>
          <w:rFonts w:hint="eastAsia" w:ascii="黑体" w:eastAsia="黑体"/>
          <w:position w:val="1"/>
          <w:sz w:val="18"/>
        </w:rPr>
        <w:t>避让</w:t>
      </w:r>
      <w:r>
        <w:rPr>
          <w:rFonts w:hint="eastAsia" w:ascii="黑体" w:eastAsia="黑体"/>
          <w:position w:val="1"/>
          <w:sz w:val="18"/>
        </w:rPr>
        <w:tab/>
      </w:r>
      <w:r>
        <w:rPr>
          <w:rFonts w:hint="eastAsia" w:ascii="黑体" w:eastAsia="黑体"/>
          <w:position w:val="1"/>
          <w:sz w:val="18"/>
        </w:rPr>
        <w:t>减缓</w:t>
      </w:r>
      <w:r>
        <w:rPr>
          <w:rFonts w:hint="eastAsia" w:ascii="黑体" w:eastAsia="黑体"/>
          <w:position w:val="1"/>
          <w:sz w:val="18"/>
        </w:rPr>
        <w:tab/>
      </w:r>
      <w:r>
        <w:rPr>
          <w:rFonts w:hint="eastAsia" w:ascii="黑体" w:eastAsia="黑体"/>
          <w:position w:val="1"/>
          <w:sz w:val="18"/>
        </w:rPr>
        <w:t>补偿</w:t>
      </w:r>
      <w:r>
        <w:rPr>
          <w:rFonts w:hint="eastAsia" w:ascii="黑体" w:eastAsia="黑体"/>
          <w:position w:val="1"/>
          <w:sz w:val="18"/>
        </w:rPr>
        <w:tab/>
      </w:r>
      <w:r>
        <w:rPr>
          <w:rFonts w:hint="eastAsia" w:ascii="黑体" w:eastAsia="黑体"/>
          <w:position w:val="1"/>
          <w:sz w:val="18"/>
        </w:rPr>
        <w:t>重建（多选）</w:t>
      </w:r>
    </w:p>
    <w:p w14:paraId="106B47B2">
      <w:pPr>
        <w:pStyle w:val="10"/>
        <w:spacing w:before="5"/>
        <w:rPr>
          <w:rFonts w:ascii="黑体"/>
          <w:sz w:val="13"/>
        </w:rPr>
      </w:pPr>
    </w:p>
    <w:p w14:paraId="6546DF6F">
      <w:pPr>
        <w:tabs>
          <w:tab w:val="left" w:pos="15918"/>
          <w:tab w:val="left" w:pos="16596"/>
          <w:tab w:val="left" w:pos="17275"/>
          <w:tab w:val="left" w:pos="17908"/>
        </w:tabs>
        <w:spacing w:before="0"/>
        <w:ind w:left="633" w:right="0" w:firstLine="0"/>
        <w:jc w:val="left"/>
        <w:rPr>
          <w:rFonts w:hint="eastAsia" w:ascii="黑体" w:eastAsia="黑体"/>
          <w:sz w:val="18"/>
        </w:rPr>
      </w:pPr>
      <w:r>
        <w:rPr>
          <w:rFonts w:hint="eastAsia" w:ascii="黑体" w:eastAsia="黑体"/>
          <w:sz w:val="18"/>
        </w:rPr>
        <w:t>饮用水水源保护区（地下）</w:t>
      </w:r>
      <w:r>
        <w:rPr>
          <w:rFonts w:hint="eastAsia" w:ascii="黑体" w:eastAsia="黑体"/>
          <w:sz w:val="18"/>
        </w:rPr>
        <w:tab/>
      </w:r>
      <w:r>
        <w:rPr>
          <w:rFonts w:hint="eastAsia" w:ascii="黑体" w:eastAsia="黑体"/>
          <w:position w:val="1"/>
          <w:sz w:val="18"/>
        </w:rPr>
        <w:t>避让</w:t>
      </w:r>
      <w:r>
        <w:rPr>
          <w:rFonts w:hint="eastAsia" w:ascii="黑体" w:eastAsia="黑体"/>
          <w:position w:val="1"/>
          <w:sz w:val="18"/>
        </w:rPr>
        <w:tab/>
      </w:r>
      <w:r>
        <w:rPr>
          <w:rFonts w:hint="eastAsia" w:ascii="黑体" w:eastAsia="黑体"/>
          <w:position w:val="1"/>
          <w:sz w:val="18"/>
        </w:rPr>
        <w:t>减缓</w:t>
      </w:r>
      <w:r>
        <w:rPr>
          <w:rFonts w:hint="eastAsia" w:ascii="黑体" w:eastAsia="黑体"/>
          <w:position w:val="1"/>
          <w:sz w:val="18"/>
        </w:rPr>
        <w:tab/>
      </w:r>
      <w:r>
        <w:rPr>
          <w:rFonts w:hint="eastAsia" w:ascii="黑体" w:eastAsia="黑体"/>
          <w:position w:val="1"/>
          <w:sz w:val="18"/>
        </w:rPr>
        <w:t>补偿</w:t>
      </w:r>
      <w:r>
        <w:rPr>
          <w:rFonts w:hint="eastAsia" w:ascii="黑体" w:eastAsia="黑体"/>
          <w:position w:val="1"/>
          <w:sz w:val="18"/>
        </w:rPr>
        <w:tab/>
      </w:r>
      <w:r>
        <w:rPr>
          <w:rFonts w:hint="eastAsia" w:ascii="黑体" w:eastAsia="黑体"/>
          <w:position w:val="1"/>
          <w:sz w:val="18"/>
        </w:rPr>
        <w:t>重建（多选）</w:t>
      </w:r>
    </w:p>
    <w:p w14:paraId="0580F717">
      <w:pPr>
        <w:tabs>
          <w:tab w:val="left" w:pos="14859"/>
          <w:tab w:val="left" w:pos="15536"/>
          <w:tab w:val="left" w:pos="16215"/>
          <w:tab w:val="left" w:pos="16849"/>
        </w:tabs>
        <w:spacing w:before="125"/>
        <w:ind w:left="207" w:right="0" w:firstLine="0"/>
        <w:jc w:val="center"/>
        <w:rPr>
          <w:rFonts w:hint="eastAsia" w:ascii="黑体" w:eastAsia="黑体"/>
          <w:sz w:val="18"/>
        </w:rPr>
      </w:pPr>
      <w:r>
        <w:rPr>
          <w:rFonts w:hint="eastAsia" w:ascii="黑体" w:eastAsia="黑体"/>
          <w:sz w:val="18"/>
        </w:rPr>
        <w:t>风景名胜区</w:t>
      </w:r>
      <w:r>
        <w:rPr>
          <w:rFonts w:hint="eastAsia" w:ascii="黑体" w:eastAsia="黑体"/>
          <w:sz w:val="18"/>
        </w:rPr>
        <w:tab/>
      </w:r>
      <w:r>
        <w:rPr>
          <w:rFonts w:hint="eastAsia" w:ascii="黑体" w:eastAsia="黑体"/>
          <w:position w:val="1"/>
          <w:sz w:val="18"/>
        </w:rPr>
        <w:t>避让</w:t>
      </w:r>
      <w:r>
        <w:rPr>
          <w:rFonts w:hint="eastAsia" w:ascii="黑体" w:eastAsia="黑体"/>
          <w:position w:val="1"/>
          <w:sz w:val="18"/>
        </w:rPr>
        <w:tab/>
      </w:r>
      <w:r>
        <w:rPr>
          <w:rFonts w:hint="eastAsia" w:ascii="黑体" w:eastAsia="黑体"/>
          <w:position w:val="1"/>
          <w:sz w:val="18"/>
        </w:rPr>
        <w:t>减缓</w:t>
      </w:r>
      <w:r>
        <w:rPr>
          <w:rFonts w:hint="eastAsia" w:ascii="黑体" w:eastAsia="黑体"/>
          <w:position w:val="1"/>
          <w:sz w:val="18"/>
        </w:rPr>
        <w:tab/>
      </w:r>
      <w:r>
        <w:rPr>
          <w:rFonts w:hint="eastAsia" w:ascii="黑体" w:eastAsia="黑体"/>
          <w:position w:val="1"/>
          <w:sz w:val="18"/>
        </w:rPr>
        <w:t>补偿</w:t>
      </w:r>
      <w:r>
        <w:rPr>
          <w:rFonts w:hint="eastAsia" w:ascii="黑体" w:eastAsia="黑体"/>
          <w:position w:val="1"/>
          <w:sz w:val="18"/>
        </w:rPr>
        <w:tab/>
      </w:r>
      <w:r>
        <w:rPr>
          <w:rFonts w:hint="eastAsia" w:ascii="黑体" w:eastAsia="黑体"/>
          <w:position w:val="1"/>
          <w:sz w:val="18"/>
        </w:rPr>
        <w:t>重建（多选）</w:t>
      </w:r>
    </w:p>
    <w:p w14:paraId="67EEE3C1">
      <w:pPr>
        <w:tabs>
          <w:tab w:val="left" w:pos="15918"/>
          <w:tab w:val="left" w:pos="16596"/>
          <w:tab w:val="left" w:pos="17275"/>
          <w:tab w:val="left" w:pos="18090"/>
        </w:tabs>
        <w:spacing w:before="44"/>
        <w:ind w:left="1538" w:right="0" w:firstLine="0"/>
        <w:jc w:val="left"/>
        <w:rPr>
          <w:rFonts w:hint="eastAsia" w:ascii="黑体" w:eastAsia="黑体"/>
          <w:sz w:val="18"/>
        </w:rPr>
      </w:pPr>
      <w:r>
        <w:pict>
          <v:shape id="_x0000_s3976" o:spid="_x0000_s3976" o:spt="202" type="#_x0000_t202" style="position:absolute;left:0pt;margin-left:996.1pt;margin-top:3.25pt;height:9pt;width:9pt;mso-position-horizontal-relative:page;z-index:-251646976;mso-width-relative:page;mso-height-relative:page;" filled="f" stroked="f" coordsize="21600,21600">
            <v:path/>
            <v:fill on="f" focussize="0,0"/>
            <v:stroke on="f" joinstyle="miter"/>
            <v:imagedata o:title=""/>
            <o:lock v:ext="edit"/>
            <v:textbox inset="0mm,0mm,0mm,0mm">
              <w:txbxContent>
                <w:p w14:paraId="2B566350">
                  <w:pPr>
                    <w:spacing w:before="0" w:line="180" w:lineRule="exact"/>
                    <w:ind w:left="0" w:right="0" w:firstLine="0"/>
                    <w:jc w:val="left"/>
                    <w:rPr>
                      <w:rFonts w:hint="eastAsia" w:ascii="黑体" w:eastAsia="黑体"/>
                      <w:sz w:val="18"/>
                    </w:rPr>
                  </w:pPr>
                  <w:r>
                    <w:rPr>
                      <w:rFonts w:hint="eastAsia" w:ascii="黑体" w:eastAsia="黑体"/>
                      <w:w w:val="99"/>
                      <w:sz w:val="18"/>
                    </w:rPr>
                    <w:t>重</w:t>
                  </w:r>
                </w:p>
              </w:txbxContent>
            </v:textbox>
          </v:shape>
        </w:pict>
      </w:r>
      <w:r>
        <w:rPr>
          <w:rFonts w:hint="eastAsia" w:ascii="黑体" w:eastAsia="黑体"/>
          <w:sz w:val="18"/>
        </w:rPr>
        <w:t>其他</w:t>
      </w:r>
      <w:r>
        <w:rPr>
          <w:rFonts w:hint="eastAsia" w:ascii="黑体" w:eastAsia="黑体"/>
          <w:sz w:val="18"/>
        </w:rPr>
        <w:tab/>
      </w:r>
      <w:r>
        <w:rPr>
          <w:rFonts w:hint="eastAsia" w:ascii="黑体" w:eastAsia="黑体"/>
          <w:position w:val="1"/>
          <w:sz w:val="18"/>
        </w:rPr>
        <w:t>避让</w:t>
      </w:r>
      <w:r>
        <w:rPr>
          <w:rFonts w:hint="eastAsia" w:ascii="黑体" w:eastAsia="黑体"/>
          <w:position w:val="1"/>
          <w:sz w:val="18"/>
        </w:rPr>
        <w:tab/>
      </w:r>
      <w:r>
        <w:rPr>
          <w:rFonts w:hint="eastAsia" w:ascii="黑体" w:eastAsia="黑体"/>
          <w:position w:val="1"/>
          <w:sz w:val="18"/>
        </w:rPr>
        <w:t>减缓</w:t>
      </w:r>
      <w:r>
        <w:rPr>
          <w:rFonts w:hint="eastAsia" w:ascii="黑体" w:eastAsia="黑体"/>
          <w:position w:val="1"/>
          <w:sz w:val="18"/>
        </w:rPr>
        <w:tab/>
      </w:r>
      <w:r>
        <w:rPr>
          <w:rFonts w:hint="eastAsia" w:ascii="黑体" w:eastAsia="黑体"/>
          <w:position w:val="1"/>
          <w:sz w:val="18"/>
        </w:rPr>
        <w:t>补偿</w:t>
      </w:r>
      <w:r>
        <w:rPr>
          <w:rFonts w:hint="eastAsia" w:ascii="黑体" w:eastAsia="黑体"/>
          <w:position w:val="1"/>
          <w:sz w:val="18"/>
        </w:rPr>
        <w:tab/>
      </w:r>
      <w:r>
        <w:rPr>
          <w:rFonts w:hint="eastAsia" w:ascii="黑体" w:eastAsia="黑体"/>
          <w:position w:val="1"/>
          <w:sz w:val="18"/>
        </w:rPr>
        <w:t>建（多选）</w:t>
      </w:r>
    </w:p>
    <w:p w14:paraId="61D3AE9A">
      <w:pPr>
        <w:tabs>
          <w:tab w:val="left" w:pos="16797"/>
        </w:tabs>
        <w:spacing w:before="54"/>
        <w:ind w:left="6160" w:right="0" w:firstLine="0"/>
        <w:jc w:val="left"/>
        <w:rPr>
          <w:rFonts w:hint="eastAsia" w:ascii="黑体" w:eastAsia="黑体"/>
          <w:sz w:val="18"/>
        </w:rPr>
      </w:pPr>
      <w:r>
        <w:rPr>
          <w:rFonts w:hint="eastAsia" w:ascii="黑体" w:eastAsia="黑体"/>
          <w:sz w:val="18"/>
        </w:rPr>
        <w:t>主要原料</w:t>
      </w:r>
      <w:r>
        <w:rPr>
          <w:rFonts w:hint="eastAsia" w:ascii="黑体" w:eastAsia="黑体"/>
          <w:sz w:val="18"/>
        </w:rPr>
        <w:tab/>
      </w:r>
      <w:r>
        <w:rPr>
          <w:rFonts w:hint="eastAsia" w:ascii="黑体" w:eastAsia="黑体"/>
          <w:sz w:val="18"/>
        </w:rPr>
        <w:t>主要燃料</w:t>
      </w:r>
    </w:p>
    <w:p w14:paraId="59B3A040">
      <w:pPr>
        <w:tabs>
          <w:tab w:val="left" w:pos="1910"/>
          <w:tab w:val="left" w:pos="4589"/>
          <w:tab w:val="left" w:pos="8011"/>
          <w:tab w:val="left" w:pos="10383"/>
          <w:tab w:val="left" w:pos="14096"/>
          <w:tab w:val="left" w:pos="16064"/>
          <w:tab w:val="left" w:pos="17343"/>
          <w:tab w:val="left" w:pos="18451"/>
        </w:tabs>
        <w:spacing w:before="43" w:line="281" w:lineRule="exact"/>
        <w:ind w:left="180" w:right="0" w:firstLine="0"/>
        <w:jc w:val="center"/>
        <w:rPr>
          <w:rFonts w:hint="eastAsia" w:ascii="黑体" w:eastAsia="黑体"/>
          <w:sz w:val="18"/>
        </w:rPr>
      </w:pPr>
      <w:r>
        <w:rPr>
          <w:rFonts w:hint="eastAsia" w:ascii="黑体" w:eastAsia="黑体"/>
          <w:sz w:val="18"/>
        </w:rPr>
        <w:t>序号</w:t>
      </w:r>
      <w:r>
        <w:rPr>
          <w:rFonts w:hint="eastAsia" w:ascii="黑体" w:eastAsia="黑体"/>
          <w:sz w:val="18"/>
        </w:rPr>
        <w:tab/>
      </w:r>
      <w:r>
        <w:rPr>
          <w:rFonts w:hint="eastAsia" w:ascii="黑体" w:eastAsia="黑体"/>
          <w:sz w:val="18"/>
        </w:rPr>
        <w:t>名称</w:t>
      </w:r>
      <w:r>
        <w:rPr>
          <w:rFonts w:hint="eastAsia" w:ascii="黑体" w:eastAsia="黑体"/>
          <w:sz w:val="18"/>
        </w:rPr>
        <w:tab/>
      </w:r>
      <w:r>
        <w:rPr>
          <w:rFonts w:hint="eastAsia" w:ascii="黑体" w:eastAsia="黑体"/>
          <w:sz w:val="18"/>
        </w:rPr>
        <w:t>年最大使用量</w:t>
      </w:r>
      <w:r>
        <w:rPr>
          <w:rFonts w:hint="eastAsia" w:ascii="黑体" w:eastAsia="黑体"/>
          <w:sz w:val="18"/>
        </w:rPr>
        <w:tab/>
      </w:r>
      <w:r>
        <w:rPr>
          <w:rFonts w:hint="eastAsia" w:ascii="黑体" w:eastAsia="黑体"/>
          <w:sz w:val="18"/>
        </w:rPr>
        <w:t>计量单位</w:t>
      </w:r>
      <w:r>
        <w:rPr>
          <w:rFonts w:hint="eastAsia" w:ascii="黑体" w:eastAsia="黑体"/>
          <w:sz w:val="18"/>
        </w:rPr>
        <w:tab/>
      </w:r>
      <w:r>
        <w:rPr>
          <w:rFonts w:hint="eastAsia" w:ascii="黑体" w:eastAsia="黑体"/>
          <w:position w:val="1"/>
          <w:sz w:val="18"/>
        </w:rPr>
        <w:t>有毒有害物质及含量（</w:t>
      </w:r>
      <w:r>
        <w:rPr>
          <w:rFonts w:ascii="Times New Roman" w:eastAsia="Times New Roman"/>
          <w:position w:val="1"/>
          <w:sz w:val="18"/>
        </w:rPr>
        <w:t>%</w:t>
      </w:r>
      <w:r>
        <w:rPr>
          <w:rFonts w:hint="eastAsia" w:ascii="黑体" w:eastAsia="黑体"/>
          <w:position w:val="1"/>
          <w:sz w:val="18"/>
        </w:rPr>
        <w:t>）</w:t>
      </w:r>
      <w:r>
        <w:rPr>
          <w:rFonts w:hint="eastAsia" w:ascii="黑体" w:eastAsia="黑体"/>
          <w:position w:val="1"/>
          <w:sz w:val="18"/>
        </w:rPr>
        <w:tab/>
      </w:r>
      <w:r>
        <w:rPr>
          <w:rFonts w:hint="eastAsia" w:ascii="黑体" w:eastAsia="黑体"/>
          <w:sz w:val="18"/>
        </w:rPr>
        <w:t>序号</w:t>
      </w:r>
      <w:r>
        <w:rPr>
          <w:rFonts w:hint="eastAsia" w:ascii="黑体" w:eastAsia="黑体"/>
          <w:sz w:val="18"/>
        </w:rPr>
        <w:tab/>
      </w:r>
      <w:r>
        <w:rPr>
          <w:rFonts w:hint="eastAsia" w:ascii="黑体" w:eastAsia="黑体"/>
          <w:sz w:val="18"/>
        </w:rPr>
        <w:t>名称</w:t>
      </w:r>
      <w:r>
        <w:rPr>
          <w:rFonts w:hint="eastAsia" w:ascii="黑体" w:eastAsia="黑体"/>
          <w:sz w:val="18"/>
        </w:rPr>
        <w:tab/>
      </w:r>
      <w:r>
        <w:rPr>
          <w:rFonts w:hint="eastAsia" w:ascii="黑体" w:eastAsia="黑体"/>
          <w:position w:val="1"/>
          <w:sz w:val="18"/>
        </w:rPr>
        <w:t>灰分</w:t>
      </w:r>
      <w:r>
        <w:rPr>
          <w:rFonts w:ascii="Times New Roman" w:eastAsia="Times New Roman"/>
          <w:position w:val="1"/>
          <w:sz w:val="18"/>
        </w:rPr>
        <w:t>(%)</w:t>
      </w:r>
      <w:r>
        <w:rPr>
          <w:rFonts w:ascii="Times New Roman" w:eastAsia="Times New Roman"/>
          <w:position w:val="1"/>
          <w:sz w:val="18"/>
        </w:rPr>
        <w:tab/>
      </w:r>
      <w:r>
        <w:rPr>
          <w:rFonts w:hint="eastAsia" w:ascii="黑体" w:eastAsia="黑体"/>
          <w:position w:val="1"/>
          <w:sz w:val="18"/>
        </w:rPr>
        <w:t>硫分</w:t>
      </w:r>
      <w:r>
        <w:rPr>
          <w:rFonts w:ascii="Times New Roman" w:eastAsia="Times New Roman"/>
          <w:position w:val="1"/>
          <w:sz w:val="18"/>
        </w:rPr>
        <w:t>(%)</w:t>
      </w:r>
      <w:r>
        <w:rPr>
          <w:rFonts w:ascii="Times New Roman" w:eastAsia="Times New Roman"/>
          <w:spacing w:val="30"/>
          <w:position w:val="1"/>
          <w:sz w:val="18"/>
        </w:rPr>
        <w:t xml:space="preserve"> </w:t>
      </w:r>
      <w:r>
        <w:rPr>
          <w:rFonts w:hint="eastAsia" w:ascii="黑体" w:eastAsia="黑体"/>
          <w:position w:val="11"/>
          <w:sz w:val="18"/>
        </w:rPr>
        <w:t>年最大使</w:t>
      </w:r>
    </w:p>
    <w:p w14:paraId="7C29754F">
      <w:pPr>
        <w:spacing w:before="0" w:line="171" w:lineRule="exact"/>
        <w:ind w:left="0" w:right="218" w:firstLine="0"/>
        <w:jc w:val="right"/>
        <w:rPr>
          <w:rFonts w:hint="eastAsia" w:ascii="黑体" w:eastAsia="黑体"/>
          <w:sz w:val="18"/>
        </w:rPr>
      </w:pPr>
      <w:r>
        <w:rPr>
          <w:rFonts w:hint="eastAsia" w:ascii="黑体" w:eastAsia="黑体"/>
          <w:sz w:val="18"/>
        </w:rPr>
        <w:t>用量</w:t>
      </w:r>
    </w:p>
    <w:p w14:paraId="508AE4EF">
      <w:pPr>
        <w:pStyle w:val="10"/>
        <w:rPr>
          <w:rFonts w:ascii="黑体"/>
          <w:sz w:val="18"/>
        </w:rPr>
      </w:pPr>
      <w:r>
        <w:br w:type="column"/>
      </w:r>
    </w:p>
    <w:p w14:paraId="2EC0F75B">
      <w:pPr>
        <w:pStyle w:val="10"/>
        <w:rPr>
          <w:rFonts w:ascii="黑体"/>
          <w:sz w:val="18"/>
        </w:rPr>
      </w:pPr>
    </w:p>
    <w:p w14:paraId="4C327775">
      <w:pPr>
        <w:pStyle w:val="10"/>
        <w:rPr>
          <w:rFonts w:ascii="黑体"/>
          <w:sz w:val="18"/>
        </w:rPr>
      </w:pPr>
    </w:p>
    <w:p w14:paraId="7A7115A8">
      <w:pPr>
        <w:pStyle w:val="10"/>
        <w:rPr>
          <w:rFonts w:ascii="黑体"/>
          <w:sz w:val="18"/>
        </w:rPr>
      </w:pPr>
    </w:p>
    <w:p w14:paraId="606A32B8">
      <w:pPr>
        <w:pStyle w:val="10"/>
        <w:rPr>
          <w:rFonts w:ascii="黑体"/>
          <w:sz w:val="18"/>
        </w:rPr>
      </w:pPr>
    </w:p>
    <w:p w14:paraId="1096E299">
      <w:pPr>
        <w:pStyle w:val="10"/>
        <w:rPr>
          <w:rFonts w:ascii="黑体"/>
          <w:sz w:val="18"/>
        </w:rPr>
      </w:pPr>
    </w:p>
    <w:p w14:paraId="390AEB21">
      <w:pPr>
        <w:pStyle w:val="10"/>
        <w:rPr>
          <w:rFonts w:ascii="黑体"/>
          <w:sz w:val="18"/>
        </w:rPr>
      </w:pPr>
    </w:p>
    <w:p w14:paraId="5FCC34A6">
      <w:pPr>
        <w:pStyle w:val="10"/>
        <w:rPr>
          <w:rFonts w:ascii="黑体"/>
          <w:sz w:val="18"/>
        </w:rPr>
      </w:pPr>
    </w:p>
    <w:p w14:paraId="020E8C8A">
      <w:pPr>
        <w:pStyle w:val="10"/>
        <w:rPr>
          <w:rFonts w:ascii="黑体"/>
          <w:sz w:val="18"/>
        </w:rPr>
      </w:pPr>
    </w:p>
    <w:p w14:paraId="6A9B2264">
      <w:pPr>
        <w:pStyle w:val="10"/>
        <w:spacing w:before="4"/>
        <w:rPr>
          <w:rFonts w:ascii="黑体"/>
          <w:sz w:val="19"/>
        </w:rPr>
      </w:pPr>
    </w:p>
    <w:p w14:paraId="39F41075">
      <w:pPr>
        <w:spacing w:before="0"/>
        <w:ind w:left="220" w:right="0" w:firstLine="0"/>
        <w:jc w:val="left"/>
        <w:rPr>
          <w:rFonts w:hint="eastAsia" w:ascii="黑体" w:eastAsia="黑体"/>
          <w:sz w:val="18"/>
        </w:rPr>
      </w:pPr>
      <w:r>
        <w:rPr>
          <w:rFonts w:hint="eastAsia" w:ascii="黑体" w:eastAsia="黑体"/>
          <w:sz w:val="18"/>
        </w:rPr>
        <w:t>计量单位</w:t>
      </w:r>
    </w:p>
    <w:p w14:paraId="0037B4E8">
      <w:pPr>
        <w:spacing w:after="0"/>
        <w:jc w:val="left"/>
        <w:rPr>
          <w:rFonts w:hint="eastAsia" w:ascii="黑体" w:eastAsia="黑体"/>
          <w:sz w:val="18"/>
        </w:rPr>
        <w:sectPr>
          <w:type w:val="continuous"/>
          <w:pgSz w:w="23820" w:h="16840" w:orient="landscape"/>
          <w:pgMar w:top="1600" w:right="420" w:bottom="280" w:left="240" w:header="720" w:footer="720" w:gutter="0"/>
          <w:cols w:equalWidth="0" w:num="3">
            <w:col w:w="1709" w:space="64"/>
            <w:col w:w="20053" w:space="43"/>
            <w:col w:w="1291"/>
          </w:cols>
        </w:sectPr>
      </w:pPr>
    </w:p>
    <w:p w14:paraId="27AC3A42">
      <w:pPr>
        <w:tabs>
          <w:tab w:val="left" w:pos="3636"/>
          <w:tab w:val="left" w:pos="6652"/>
          <w:tab w:val="left" w:pos="10053"/>
          <w:tab w:val="left" w:pos="13245"/>
        </w:tabs>
        <w:spacing w:before="104"/>
        <w:ind w:left="2131" w:right="0" w:firstLine="0"/>
        <w:jc w:val="left"/>
        <w:rPr>
          <w:rFonts w:ascii="Times New Roman" w:eastAsia="Times New Roman"/>
          <w:sz w:val="18"/>
        </w:rPr>
      </w:pPr>
      <w:r>
        <w:rPr>
          <w:rFonts w:ascii="Times New Roman" w:eastAsia="Times New Roman"/>
          <w:position w:val="1"/>
          <w:sz w:val="18"/>
        </w:rPr>
        <w:t>1</w:t>
      </w:r>
      <w:r>
        <w:rPr>
          <w:rFonts w:ascii="Times New Roman" w:eastAsia="Times New Roman"/>
          <w:position w:val="1"/>
          <w:sz w:val="18"/>
        </w:rPr>
        <w:tab/>
      </w:r>
      <w:r>
        <w:rPr>
          <w:sz w:val="18"/>
        </w:rPr>
        <w:t>PE新料</w:t>
      </w:r>
      <w:r>
        <w:rPr>
          <w:sz w:val="18"/>
        </w:rPr>
        <w:tab/>
      </w:r>
      <w:r>
        <w:rPr>
          <w:rFonts w:ascii="Times New Roman" w:eastAsia="Times New Roman"/>
          <w:position w:val="1"/>
          <w:sz w:val="18"/>
        </w:rPr>
        <w:t>5166.25</w:t>
      </w:r>
      <w:r>
        <w:rPr>
          <w:rFonts w:ascii="Times New Roman" w:eastAsia="Times New Roman"/>
          <w:position w:val="1"/>
          <w:sz w:val="18"/>
        </w:rPr>
        <w:tab/>
      </w:r>
      <w:r>
        <w:rPr>
          <w:sz w:val="18"/>
        </w:rPr>
        <w:t>t/a</w:t>
      </w:r>
      <w:r>
        <w:rPr>
          <w:sz w:val="18"/>
        </w:rPr>
        <w:tab/>
      </w:r>
      <w:r>
        <w:rPr>
          <w:rFonts w:ascii="Times New Roman" w:eastAsia="Times New Roman"/>
          <w:position w:val="1"/>
          <w:sz w:val="18"/>
        </w:rPr>
        <w:t>/</w:t>
      </w:r>
    </w:p>
    <w:p w14:paraId="2F1D9675">
      <w:pPr>
        <w:spacing w:after="0"/>
        <w:jc w:val="left"/>
        <w:rPr>
          <w:rFonts w:ascii="Times New Roman" w:eastAsia="Times New Roman"/>
          <w:sz w:val="18"/>
        </w:rPr>
        <w:sectPr>
          <w:type w:val="continuous"/>
          <w:pgSz w:w="23820" w:h="16840" w:orient="landscape"/>
          <w:pgMar w:top="1600" w:right="420" w:bottom="280" w:left="240" w:header="720" w:footer="720" w:gutter="0"/>
          <w:cols w:space="720" w:num="1"/>
        </w:sectPr>
      </w:pPr>
    </w:p>
    <w:p w14:paraId="147D9C5A">
      <w:pPr>
        <w:pStyle w:val="16"/>
        <w:numPr>
          <w:ilvl w:val="0"/>
          <w:numId w:val="34"/>
        </w:numPr>
        <w:tabs>
          <w:tab w:val="left" w:pos="2637"/>
          <w:tab w:val="left" w:pos="2638"/>
        </w:tabs>
        <w:spacing w:before="145" w:after="0" w:line="156" w:lineRule="auto"/>
        <w:ind w:left="2637" w:right="0" w:hanging="506"/>
        <w:jc w:val="left"/>
        <w:rPr>
          <w:sz w:val="18"/>
        </w:rPr>
      </w:pPr>
      <w:r>
        <w:rPr>
          <w:sz w:val="18"/>
        </w:rPr>
        <w:t>废PE塑料（已破碎清洗分拣后的</w:t>
      </w:r>
    </w:p>
    <w:p w14:paraId="4E293956">
      <w:pPr>
        <w:spacing w:before="0" w:line="183" w:lineRule="exact"/>
        <w:ind w:left="0" w:right="903" w:firstLine="0"/>
        <w:jc w:val="right"/>
        <w:rPr>
          <w:sz w:val="18"/>
        </w:rPr>
      </w:pPr>
      <w:r>
        <w:rPr>
          <w:sz w:val="18"/>
        </w:rPr>
        <w:t>废塑料）</w:t>
      </w:r>
    </w:p>
    <w:p w14:paraId="2A9D1CD7">
      <w:pPr>
        <w:pStyle w:val="16"/>
        <w:numPr>
          <w:ilvl w:val="0"/>
          <w:numId w:val="34"/>
        </w:numPr>
        <w:tabs>
          <w:tab w:val="left" w:pos="3724"/>
          <w:tab w:val="left" w:pos="3725"/>
        </w:tabs>
        <w:spacing w:before="77" w:after="0" w:line="240" w:lineRule="auto"/>
        <w:ind w:left="3724" w:right="0" w:hanging="1593"/>
        <w:jc w:val="left"/>
        <w:rPr>
          <w:sz w:val="18"/>
        </w:rPr>
      </w:pPr>
      <w:r>
        <w:rPr>
          <w:sz w:val="18"/>
        </w:rPr>
        <w:t>钙粉</w:t>
      </w:r>
    </w:p>
    <w:p w14:paraId="5E13917E">
      <w:pPr>
        <w:pStyle w:val="10"/>
        <w:spacing w:before="3"/>
        <w:rPr>
          <w:sz w:val="17"/>
        </w:rPr>
      </w:pPr>
      <w:r>
        <w:br w:type="column"/>
      </w:r>
    </w:p>
    <w:p w14:paraId="1230DEEE">
      <w:pPr>
        <w:spacing w:before="0"/>
        <w:ind w:left="0" w:right="38" w:firstLine="0"/>
        <w:jc w:val="right"/>
        <w:rPr>
          <w:rFonts w:ascii="Times New Roman"/>
          <w:sz w:val="18"/>
        </w:rPr>
      </w:pPr>
      <w:r>
        <w:rPr>
          <w:rFonts w:ascii="Times New Roman"/>
          <w:w w:val="95"/>
          <w:sz w:val="18"/>
        </w:rPr>
        <w:t>4792.5</w:t>
      </w:r>
    </w:p>
    <w:p w14:paraId="140D9515">
      <w:pPr>
        <w:pStyle w:val="10"/>
        <w:spacing w:before="6"/>
        <w:rPr>
          <w:rFonts w:ascii="Times New Roman"/>
          <w:sz w:val="18"/>
        </w:rPr>
      </w:pPr>
    </w:p>
    <w:p w14:paraId="732E47B3">
      <w:pPr>
        <w:spacing w:before="0"/>
        <w:ind w:left="0" w:right="194" w:firstLine="0"/>
        <w:jc w:val="right"/>
        <w:rPr>
          <w:rFonts w:ascii="Times New Roman"/>
          <w:sz w:val="18"/>
        </w:rPr>
      </w:pPr>
      <w:r>
        <w:rPr>
          <w:rFonts w:ascii="Times New Roman"/>
          <w:w w:val="95"/>
          <w:sz w:val="18"/>
        </w:rPr>
        <w:t>50</w:t>
      </w:r>
    </w:p>
    <w:p w14:paraId="17BC1ED0">
      <w:pPr>
        <w:pStyle w:val="10"/>
        <w:spacing w:before="5"/>
        <w:rPr>
          <w:rFonts w:ascii="Times New Roman"/>
          <w:sz w:val="19"/>
        </w:rPr>
      </w:pPr>
      <w:r>
        <w:br w:type="column"/>
      </w:r>
    </w:p>
    <w:p w14:paraId="2CFBEC24">
      <w:pPr>
        <w:tabs>
          <w:tab w:val="left" w:pos="5323"/>
        </w:tabs>
        <w:spacing w:before="1"/>
        <w:ind w:left="2131" w:right="0" w:firstLine="0"/>
        <w:jc w:val="left"/>
        <w:rPr>
          <w:rFonts w:ascii="Times New Roman"/>
          <w:sz w:val="18"/>
        </w:rPr>
      </w:pPr>
      <w:r>
        <w:rPr>
          <w:sz w:val="18"/>
        </w:rPr>
        <w:t>t/a</w:t>
      </w:r>
      <w:r>
        <w:rPr>
          <w:sz w:val="18"/>
        </w:rPr>
        <w:tab/>
      </w:r>
      <w:r>
        <w:rPr>
          <w:rFonts w:ascii="Times New Roman"/>
          <w:position w:val="1"/>
          <w:sz w:val="18"/>
        </w:rPr>
        <w:t>/</w:t>
      </w:r>
    </w:p>
    <w:p w14:paraId="78C2478D">
      <w:pPr>
        <w:pStyle w:val="10"/>
        <w:spacing w:before="5"/>
        <w:rPr>
          <w:rFonts w:ascii="Times New Roman"/>
          <w:sz w:val="16"/>
        </w:rPr>
      </w:pPr>
    </w:p>
    <w:p w14:paraId="6CA7196A">
      <w:pPr>
        <w:tabs>
          <w:tab w:val="left" w:pos="5323"/>
        </w:tabs>
        <w:spacing w:before="0"/>
        <w:ind w:left="2131" w:right="0" w:firstLine="0"/>
        <w:jc w:val="left"/>
        <w:rPr>
          <w:rFonts w:ascii="Times New Roman"/>
          <w:sz w:val="18"/>
        </w:rPr>
      </w:pPr>
      <w:r>
        <w:rPr>
          <w:sz w:val="18"/>
        </w:rPr>
        <w:t>t/a</w:t>
      </w:r>
      <w:r>
        <w:rPr>
          <w:sz w:val="18"/>
        </w:rPr>
        <w:tab/>
      </w:r>
      <w:r>
        <w:rPr>
          <w:rFonts w:ascii="Times New Roman"/>
          <w:position w:val="1"/>
          <w:sz w:val="18"/>
        </w:rPr>
        <w:t>/</w:t>
      </w:r>
    </w:p>
    <w:p w14:paraId="7EF86902">
      <w:pPr>
        <w:spacing w:after="0"/>
        <w:jc w:val="left"/>
        <w:rPr>
          <w:rFonts w:ascii="Times New Roman"/>
          <w:sz w:val="18"/>
        </w:rPr>
        <w:sectPr>
          <w:type w:val="continuous"/>
          <w:pgSz w:w="23820" w:h="16840" w:orient="landscape"/>
          <w:pgMar w:top="1600" w:right="420" w:bottom="280" w:left="240" w:header="720" w:footer="720" w:gutter="0"/>
          <w:cols w:equalWidth="0" w:num="3">
            <w:col w:w="5173" w:space="40"/>
            <w:col w:w="2022" w:space="687"/>
            <w:col w:w="15238"/>
          </w:cols>
        </w:sectPr>
      </w:pPr>
    </w:p>
    <w:p w14:paraId="6658FCA2">
      <w:pPr>
        <w:pStyle w:val="16"/>
        <w:numPr>
          <w:ilvl w:val="0"/>
          <w:numId w:val="34"/>
        </w:numPr>
        <w:tabs>
          <w:tab w:val="left" w:pos="3633"/>
          <w:tab w:val="left" w:pos="3634"/>
          <w:tab w:val="left" w:pos="6902"/>
          <w:tab w:val="left" w:pos="10053"/>
          <w:tab w:val="left" w:pos="13245"/>
        </w:tabs>
        <w:spacing w:before="163" w:after="0" w:line="240" w:lineRule="auto"/>
        <w:ind w:left="3633" w:right="0" w:hanging="1502"/>
        <w:jc w:val="left"/>
        <w:rPr>
          <w:rFonts w:ascii="Times New Roman" w:eastAsia="Times New Roman"/>
          <w:sz w:val="18"/>
        </w:rPr>
      </w:pPr>
      <w:r>
        <w:pict>
          <v:group id="_x0000_s3977" o:spid="_x0000_s3977" o:spt="203" style="position:absolute;left:0pt;margin-left:17.75pt;margin-top:53.75pt;height:722.8pt;width:1146.15pt;mso-position-horizontal-relative:page;mso-position-vertical-relative:page;z-index:-251646976;mso-width-relative:page;mso-height-relative:page;" coordorigin="355,1075" coordsize="22923,14456">
            <o:lock v:ext="edit"/>
            <v:shape id="_x0000_s3978" o:spid="_x0000_s3978" style="position:absolute;left:367;top:1087;height:14444;width:22911;" fillcolor="#BEBEBE" filled="t" stroked="f" coordorigin="367,1087" coordsize="22911,14444" path="m8909,1087l6998,1087,6998,1831,8909,1831,8909,1087m23278,10303l17592,10303,17590,10303,15072,10303,15070,10303,13733,10303,13730,10303,11950,10303,11947,10303,10337,10303,10334,10303,8909,10303,8906,10303,5465,10303,5462,10303,4246,10303,4246,9902,4246,9900,4246,9550,4246,9547,4246,9161,4246,9158,4246,8825,4246,8822,4246,8458,4246,8455,4246,7939,4246,7937,4246,7637,4246,7634,4246,7284,4246,7282,4246,6864,4246,6862,4246,6511,4246,6509,4246,6108,4246,6106,4246,5741,4246,5738,4246,5352,4246,5350,4246,4963,4246,4961,4246,4610,4246,4608,4246,4258,4246,4255,4246,3854,5462,3854,5465,3854,6998,3854,7001,3854,8906,3854,8909,3854,11947,3854,11950,3854,15070,3854,15072,3854,19006,3854,19008,3854,21221,3854,21223,3854,23278,3854,23278,2570,21223,2570,21221,2570,13733,2570,13733,1831,15072,1831,15072,1087,13730,1087,13730,1090,11950,1090,11947,1090,10334,1090,10334,2570,8909,2570,8906,2570,7001,2570,6998,2570,4246,2570,4246,1831,4246,1829,4246,1087,1253,1087,1253,1090,370,1090,370,2570,367,2570,367,10303,367,10306,367,13066,370,13066,370,15530,2004,15530,2004,13834,2827,13834,2830,13834,5462,13834,5465,13834,8906,13834,8909,13834,11947,13834,11950,13834,15070,13834,15072,13834,17590,13834,17592,13834,19006,13834,19008,13834,20422,13834,20424,13834,21221,13834,21223,13834,22106,13834,22109,13834,23278,13834,23278,13380,23278,13380,23278,13063,15072,13063,15070,13063,5465,13063,5465,12814,5465,12811,5465,12494,5465,12492,5465,12086,5465,12084,5465,11669,5465,11666,5465,11230,5465,11227,5465,10877,8906,10877,8909,10877,10334,10877,10337,10877,11947,10877,11950,10877,13730,10877,13733,10877,15070,10877,15072,10877,17590,10877,17592,10877,23278,10877,23278,10303e">
              <v:path arrowok="t"/>
              <v:fill on="t" focussize="0,0"/>
              <v:stroke on="f"/>
              <v:imagedata o:title=""/>
              <o:lock v:ext="edit"/>
            </v:shape>
            <v:line id="_x0000_s3979" o:spid="_x0000_s3979" o:spt="20" style="position:absolute;left:1241;top:1082;height:0;width:9096;" stroked="t" coordsize="21600,21600">
              <v:path arrowok="t"/>
              <v:fill focussize="0,0"/>
              <v:stroke weight="0.72pt" color="#000000"/>
              <v:imagedata o:title=""/>
              <o:lock v:ext="edit"/>
            </v:line>
            <v:rect id="_x0000_s3980" o:spid="_x0000_s3980" o:spt="1" style="position:absolute;left:17589;top:1089;height:742;width:1419;" fillcolor="#BEBEBE" filled="t" stroked="f" coordsize="21600,21600">
              <v:path/>
              <v:fill on="t" focussize="0,0"/>
              <v:stroke on="f"/>
              <v:imagedata o:title=""/>
              <o:lock v:ext="edit"/>
            </v:rect>
            <v:line id="_x0000_s3981" o:spid="_x0000_s3981" o:spt="20" style="position:absolute;left:13718;top:1082;height:0;width:3874;" stroked="t" coordsize="21600,21600">
              <v:path arrowok="t"/>
              <v:fill focussize="0,0"/>
              <v:stroke weight="0.72pt" color="#000000"/>
              <v:imagedata o:title=""/>
              <o:lock v:ext="edit"/>
            </v:line>
            <v:line id="_x0000_s3982" o:spid="_x0000_s3982" o:spt="20" style="position:absolute;left:1241;top:1824;height:0;width:9096;" stroked="t" coordsize="21600,21600">
              <v:path arrowok="t"/>
              <v:fill focussize="0,0"/>
              <v:stroke weight="0.72pt" color="#000000"/>
              <v:imagedata o:title=""/>
              <o:lock v:ext="edit"/>
            </v:line>
            <v:line id="_x0000_s3983" o:spid="_x0000_s3983" o:spt="20" style="position:absolute;left:11935;top:1824;height:0;width:11343;" stroked="t" coordsize="21600,21600">
              <v:path arrowok="t"/>
              <v:fill focussize="0,0"/>
              <v:stroke weight="0.72pt" color="#000000"/>
              <v:imagedata o:title=""/>
              <o:lock v:ext="edit"/>
            </v:line>
            <v:line id="_x0000_s3984" o:spid="_x0000_s3984" o:spt="20" style="position:absolute;left:355;top:2566;height:0;width:22923;" stroked="t" coordsize="21600,21600">
              <v:path arrowok="t"/>
              <v:fill focussize="0,0"/>
              <v:stroke weight="0.72pt" color="#000000"/>
              <v:imagedata o:title=""/>
              <o:lock v:ext="edit"/>
            </v:line>
            <v:line id="_x0000_s3985" o:spid="_x0000_s3985" o:spt="20" style="position:absolute;left:4231;top:3257;height:0;width:16992;" stroked="t" coordsize="21600,21600">
              <v:path arrowok="t"/>
              <v:fill focussize="0,0"/>
              <v:stroke weight="0.72pt" color="#000000"/>
              <v:imagedata o:title=""/>
              <o:lock v:ext="edit"/>
            </v:line>
            <v:line id="_x0000_s3986" o:spid="_x0000_s3986" o:spt="20" style="position:absolute;left:1241;top:3847;height:0;width:22037;" stroked="t" coordsize="21600,21600">
              <v:path arrowok="t"/>
              <v:fill focussize="0,0"/>
              <v:stroke weight="0.72pt" color="#000000"/>
              <v:imagedata o:title=""/>
              <o:lock v:ext="edit"/>
            </v:line>
            <v:line id="_x0000_s3987" o:spid="_x0000_s3987" o:spt="20" style="position:absolute;left:1990;top:4250;height:0;width:21288;" stroked="t" coordsize="21600,21600">
              <v:path arrowok="t"/>
              <v:fill focussize="0,0"/>
              <v:stroke weight="0.72pt" color="#000000"/>
              <v:imagedata o:title=""/>
              <o:lock v:ext="edit"/>
            </v:line>
            <v:line id="_x0000_s3988" o:spid="_x0000_s3988" o:spt="20" style="position:absolute;left:1990;top:4603;height:0;width:21288;" stroked="t" coordsize="21600,21600">
              <v:path arrowok="t"/>
              <v:fill focussize="0,0"/>
              <v:stroke weight="0.72pt" color="#000000"/>
              <v:imagedata o:title=""/>
              <o:lock v:ext="edit"/>
            </v:line>
            <v:line id="_x0000_s3989" o:spid="_x0000_s3989" o:spt="20" style="position:absolute;left:1990;top:4956;height:0;width:21288;" stroked="t" coordsize="21600,21600">
              <v:path arrowok="t"/>
              <v:fill focussize="0,0"/>
              <v:stroke weight="0.72pt" color="#000000"/>
              <v:imagedata o:title=""/>
              <o:lock v:ext="edit"/>
            </v:line>
            <v:line id="_x0000_s3990" o:spid="_x0000_s3990" o:spt="20" style="position:absolute;left:1990;top:5345;height:0;width:21288;" stroked="t" coordsize="21600,21600">
              <v:path arrowok="t"/>
              <v:fill focussize="0,0"/>
              <v:stroke weight="0.72pt" color="#000000"/>
              <v:imagedata o:title=""/>
              <o:lock v:ext="edit"/>
            </v:line>
            <v:line id="_x0000_s3991" o:spid="_x0000_s3991" o:spt="20" style="position:absolute;left:1990;top:5734;height:0;width:21288;" stroked="t" coordsize="21600,21600">
              <v:path arrowok="t"/>
              <v:fill focussize="0,0"/>
              <v:stroke weight="0.72pt" color="#000000"/>
              <v:imagedata o:title=""/>
              <o:lock v:ext="edit"/>
            </v:line>
            <v:line id="_x0000_s3992" o:spid="_x0000_s3992" o:spt="20" style="position:absolute;left:1990;top:6101;height:0;width:21288;" stroked="t" coordsize="21600,21600">
              <v:path arrowok="t"/>
              <v:fill focussize="0,0"/>
              <v:stroke weight="0.72pt" color="#000000"/>
              <v:imagedata o:title=""/>
              <o:lock v:ext="edit"/>
            </v:line>
            <v:line id="_x0000_s3993" o:spid="_x0000_s3993" o:spt="20" style="position:absolute;left:1990;top:6504;height:0;width:21288;" stroked="t" coordsize="21600,21600">
              <v:path arrowok="t"/>
              <v:fill focussize="0,0"/>
              <v:stroke weight="0.72pt" color="#000000"/>
              <v:imagedata o:title=""/>
              <o:lock v:ext="edit"/>
            </v:line>
            <v:line id="_x0000_s3994" o:spid="_x0000_s3994" o:spt="20" style="position:absolute;left:1990;top:6857;height:0;width:21288;" stroked="t" coordsize="21600,21600">
              <v:path arrowok="t"/>
              <v:fill focussize="0,0"/>
              <v:stroke weight="0.72pt" color="#000000"/>
              <v:imagedata o:title=""/>
              <o:lock v:ext="edit"/>
            </v:line>
            <v:line id="_x0000_s3995" o:spid="_x0000_s3995" o:spt="20" style="position:absolute;left:1990;top:7277;height:0;width:21288;" stroked="t" coordsize="21600,21600">
              <v:path arrowok="t"/>
              <v:fill focussize="0,0"/>
              <v:stroke weight="0.72pt" color="#000000"/>
              <v:imagedata o:title=""/>
              <o:lock v:ext="edit"/>
            </v:line>
            <v:line id="_x0000_s3996" o:spid="_x0000_s3996" o:spt="20" style="position:absolute;left:1990;top:7630;height:0;width:21288;" stroked="t" coordsize="21600,21600">
              <v:path arrowok="t"/>
              <v:fill focussize="0,0"/>
              <v:stroke weight="0.72pt" color="#000000"/>
              <v:imagedata o:title=""/>
              <o:lock v:ext="edit"/>
            </v:line>
            <v:line id="_x0000_s3997" o:spid="_x0000_s3997" o:spt="20" style="position:absolute;left:1241;top:7932;height:0;width:22037;" stroked="t" coordsize="21600,21600">
              <v:path arrowok="t"/>
              <v:fill focussize="0,0"/>
              <v:stroke weight="0.72pt" color="#000000"/>
              <v:imagedata o:title=""/>
              <o:lock v:ext="edit"/>
            </v:line>
            <v:line id="_x0000_s3998" o:spid="_x0000_s3998" o:spt="20" style="position:absolute;left:1990;top:8450;height:0;width:21288;" stroked="t" coordsize="21600,21600">
              <v:path arrowok="t"/>
              <v:fill focussize="0,0"/>
              <v:stroke weight="0.72pt" color="#000000"/>
              <v:imagedata o:title=""/>
              <o:lock v:ext="edit"/>
            </v:line>
            <v:line id="_x0000_s3999" o:spid="_x0000_s3999" o:spt="20" style="position:absolute;left:1990;top:8818;height:0;width:21288;" stroked="t" coordsize="21600,21600">
              <v:path arrowok="t"/>
              <v:fill focussize="0,0"/>
              <v:stroke weight="0.72pt" color="#000000"/>
              <v:imagedata o:title=""/>
              <o:lock v:ext="edit"/>
            </v:line>
            <v:line id="_x0000_s4000" o:spid="_x0000_s4000" o:spt="20" style="position:absolute;left:1990;top:9154;height:0;width:21288;" stroked="t" coordsize="21600,21600">
              <v:path arrowok="t"/>
              <v:fill focussize="0,0"/>
              <v:stroke weight="0.72pt" color="#000000"/>
              <v:imagedata o:title=""/>
              <o:lock v:ext="edit"/>
            </v:line>
            <v:line id="_x0000_s4001" o:spid="_x0000_s4001" o:spt="20" style="position:absolute;left:1990;top:9542;height:0;width:21288;" stroked="t" coordsize="21600,21600">
              <v:path arrowok="t"/>
              <v:fill focussize="0,0"/>
              <v:stroke weight="0.72pt" color="#000000"/>
              <v:imagedata o:title=""/>
              <o:lock v:ext="edit"/>
            </v:line>
            <v:line id="_x0000_s4002" o:spid="_x0000_s4002" o:spt="20" style="position:absolute;left:1990;top:9895;height:0;width:21288;" stroked="t" coordsize="21600,21600">
              <v:path arrowok="t"/>
              <v:fill focussize="0,0"/>
              <v:stroke weight="0.72pt" color="#000000"/>
              <v:imagedata o:title=""/>
              <o:lock v:ext="edit"/>
            </v:line>
            <v:line id="_x0000_s4003" o:spid="_x0000_s4003" o:spt="20" style="position:absolute;left:355;top:10298;height:0;width:22923;" stroked="t" coordsize="21600,21600">
              <v:path arrowok="t"/>
              <v:fill focussize="0,0"/>
              <v:stroke weight="0.72pt" color="#000000"/>
              <v:imagedata o:title=""/>
              <o:lock v:ext="edit"/>
            </v:line>
            <v:line id="_x0000_s4004" o:spid="_x0000_s4004" o:spt="20" style="position:absolute;left:1990;top:10870;height:0;width:21288;" stroked="t" coordsize="21600,21600">
              <v:path arrowok="t"/>
              <v:fill focussize="0,0"/>
              <v:stroke weight="0.72pt" color="#000000"/>
              <v:imagedata o:title=""/>
              <o:lock v:ext="edit"/>
            </v:line>
            <v:line id="_x0000_s4005" o:spid="_x0000_s4005" o:spt="20" style="position:absolute;left:1990;top:11222;height:0;width:21288;" stroked="t" coordsize="21600,21600">
              <v:path arrowok="t"/>
              <v:fill focussize="0,0"/>
              <v:stroke weight="0.72pt" color="#000000"/>
              <v:imagedata o:title=""/>
              <o:lock v:ext="edit"/>
            </v:line>
            <v:line id="_x0000_s4006" o:spid="_x0000_s4006" o:spt="20" style="position:absolute;left:1990;top:11662;height:0;width:21288;" stroked="t" coordsize="21600,21600">
              <v:path arrowok="t"/>
              <v:fill focussize="0,0"/>
              <v:stroke weight="0.72pt" color="#000000"/>
              <v:imagedata o:title=""/>
              <o:lock v:ext="edit"/>
            </v:line>
            <v:line id="_x0000_s4007" o:spid="_x0000_s4007" o:spt="20" style="position:absolute;left:1990;top:12079;height:0;width:21288;" stroked="t" coordsize="21600,21600">
              <v:path arrowok="t"/>
              <v:fill focussize="0,0"/>
              <v:stroke weight="0.72pt" color="#000000"/>
              <v:imagedata o:title=""/>
              <o:lock v:ext="edit"/>
            </v:line>
            <v:line id="_x0000_s4008" o:spid="_x0000_s4008" o:spt="20" style="position:absolute;left:1990;top:12487;height:0;width:21288;" stroked="t" coordsize="21600,21600">
              <v:path arrowok="t"/>
              <v:fill focussize="0,0"/>
              <v:stroke weight="0.72pt" color="#000000"/>
              <v:imagedata o:title=""/>
              <o:lock v:ext="edit"/>
            </v:line>
            <v:line id="_x0000_s4009" o:spid="_x0000_s4009" o:spt="20" style="position:absolute;left:1990;top:12806;height:0;width:21288;" stroked="t" coordsize="21600,21600">
              <v:path arrowok="t"/>
              <v:fill focussize="0,0"/>
              <v:stroke weight="0.72pt" color="#000000"/>
              <v:imagedata o:title=""/>
              <o:lock v:ext="edit"/>
            </v:line>
            <v:line id="_x0000_s4010" o:spid="_x0000_s4010" o:spt="20" style="position:absolute;left:355;top:13058;height:0;width:22923;" stroked="t" coordsize="21600,21600">
              <v:path arrowok="t"/>
              <v:fill focussize="0,0"/>
              <v:stroke weight="0.72pt" color="#000000"/>
              <v:imagedata o:title=""/>
              <o:lock v:ext="edit"/>
            </v:line>
            <v:line id="_x0000_s4011" o:spid="_x0000_s4011" o:spt="20" style="position:absolute;left:1990;top:13373;height:0;width:21288;" stroked="t" coordsize="21600,21600">
              <v:path arrowok="t"/>
              <v:fill focussize="0,0"/>
              <v:stroke weight="0.72pt" color="#000000"/>
              <v:imagedata o:title=""/>
              <o:lock v:ext="edit"/>
            </v:line>
            <v:line id="_x0000_s4012" o:spid="_x0000_s4012" o:spt="20" style="position:absolute;left:1990;top:13826;height:0;width:21288;" stroked="t" coordsize="21600,21600">
              <v:path arrowok="t"/>
              <v:fill focussize="0,0"/>
              <v:stroke weight="0.72pt" color="#000000"/>
              <v:imagedata o:title=""/>
              <o:lock v:ext="edit"/>
            </v:line>
            <v:line id="_x0000_s4013" o:spid="_x0000_s4013" o:spt="20" style="position:absolute;left:1990;top:14266;height:0;width:21288;" stroked="t" coordsize="21600,21600">
              <v:path arrowok="t"/>
              <v:fill focussize="0,0"/>
              <v:stroke weight="0.72pt" color="#000000"/>
              <v:imagedata o:title=""/>
              <o:lock v:ext="edit"/>
            </v:line>
            <v:line id="_x0000_s4014" o:spid="_x0000_s4014" o:spt="20" style="position:absolute;left:1990;top:14736;height:0;width:21288;" stroked="t" coordsize="21600,21600">
              <v:path arrowok="t"/>
              <v:fill focussize="0,0"/>
              <v:stroke weight="0.72pt" color="#000000"/>
              <v:imagedata o:title=""/>
              <o:lock v:ext="edit"/>
            </v:line>
            <v:line id="_x0000_s4015" o:spid="_x0000_s4015" o:spt="20" style="position:absolute;left:1990;top:15103;height:0;width:21288;" stroked="t" coordsize="21600,21600">
              <v:path arrowok="t"/>
              <v:fill focussize="0,0"/>
              <v:stroke weight="0.72pt" color="#000000"/>
              <v:imagedata o:title=""/>
              <o:lock v:ext="edit"/>
            </v:line>
            <v:line id="_x0000_s4016" o:spid="_x0000_s4016" o:spt="20" style="position:absolute;left:1990;top:15523;height:0;width:21288;" stroked="t" coordsize="21600,21600">
              <v:path arrowok="t"/>
              <v:fill focussize="0,0"/>
              <v:stroke weight="0.72pt" color="#000000"/>
              <v:imagedata o:title=""/>
              <o:lock v:ext="edit"/>
            </v:line>
            <v:line id="_x0000_s4017" o:spid="_x0000_s4017" o:spt="20" style="position:absolute;left:362;top:1075;height:14455;width:0;" stroked="t" coordsize="21600,21600">
              <v:path arrowok="t"/>
              <v:fill focussize="0,0"/>
              <v:stroke weight="0.72pt" color="#000000"/>
              <v:imagedata o:title=""/>
              <o:lock v:ext="edit"/>
            </v:line>
            <v:line id="_x0000_s4018" o:spid="_x0000_s4018" o:spt="20" style="position:absolute;left:1248;top:1075;height:9231;width:0;" stroked="t" coordsize="21600,21600">
              <v:path arrowok="t"/>
              <v:fill focussize="0,0"/>
              <v:stroke weight="0.72pt" color="#000000"/>
              <v:imagedata o:title=""/>
              <o:lock v:ext="edit"/>
            </v:line>
            <v:line id="_x0000_s4019" o:spid="_x0000_s4019" o:spt="20" style="position:absolute;left:1997;top:3840;height:11690;width:0;" stroked="t" coordsize="21600,21600">
              <v:path arrowok="t"/>
              <v:fill focussize="0,0"/>
              <v:stroke weight="0.72pt" color="#000000"/>
              <v:imagedata o:title=""/>
              <o:lock v:ext="edit"/>
            </v:line>
            <v:line id="_x0000_s4020" o:spid="_x0000_s4020" o:spt="20" style="position:absolute;left:2822;top:13366;height:2164;width:0;" stroked="t" coordsize="21600,21600">
              <v:path arrowok="t"/>
              <v:fill focussize="0,0"/>
              <v:stroke weight="0.72pt" color="#000000"/>
              <v:imagedata o:title=""/>
              <o:lock v:ext="edit"/>
            </v:line>
            <v:line id="_x0000_s4021" o:spid="_x0000_s4021" o:spt="20" style="position:absolute;left:4238;top:1075;height:9231;width:0;" stroked="t" coordsize="21600,21600">
              <v:path arrowok="t"/>
              <v:fill focussize="0,0"/>
              <v:stroke weight="0.72pt" color="#000000"/>
              <v:imagedata o:title=""/>
              <o:lock v:ext="edit"/>
            </v:line>
            <v:line id="_x0000_s4022" o:spid="_x0000_s4022" o:spt="20" style="position:absolute;left:5458;top:3250;height:9816;width:0;" stroked="t" coordsize="21600,21600">
              <v:path arrowok="t"/>
              <v:fill focussize="0,0"/>
              <v:stroke weight="0.72pt" color="#000000"/>
              <v:imagedata o:title=""/>
              <o:lock v:ext="edit"/>
            </v:line>
            <v:line id="_x0000_s4023" o:spid="_x0000_s4023" o:spt="20" style="position:absolute;left:5458;top:13366;height:2164;width:0;" stroked="t" coordsize="21600,21600">
              <v:path arrowok="t"/>
              <v:fill focussize="0,0"/>
              <v:stroke weight="0.72pt" color="#000000"/>
              <v:imagedata o:title=""/>
              <o:lock v:ext="edit"/>
            </v:line>
            <v:line id="_x0000_s4024" o:spid="_x0000_s4024" o:spt="20" style="position:absolute;left:6994;top:1075;height:756;width:0;" stroked="t" coordsize="21600,21600">
              <v:path arrowok="t"/>
              <v:fill focussize="0,0"/>
              <v:stroke weight="0.72pt" color="#000000"/>
              <v:imagedata o:title=""/>
              <o:lock v:ext="edit"/>
            </v:line>
            <v:line id="_x0000_s4025" o:spid="_x0000_s4025" o:spt="20" style="position:absolute;left:6994;top:2558;height:7748;width:0;" stroked="t" coordsize="21600,21600">
              <v:path arrowok="t"/>
              <v:fill focussize="0,0"/>
              <v:stroke weight="0.72pt" color="#000000"/>
              <v:imagedata o:title=""/>
              <o:lock v:ext="edit"/>
            </v:line>
            <v:line id="_x0000_s4026" o:spid="_x0000_s4026" o:spt="20" style="position:absolute;left:8902;top:1075;height:756;width:0;" stroked="t" coordsize="21600,21600">
              <v:path arrowok="t"/>
              <v:fill focussize="0,0"/>
              <v:stroke weight="0.72pt" color="#000000"/>
              <v:imagedata o:title=""/>
              <o:lock v:ext="edit"/>
            </v:line>
            <v:line id="_x0000_s4027" o:spid="_x0000_s4027" o:spt="20" style="position:absolute;left:8902;top:2558;height:10508;width:0;" stroked="t" coordsize="21600,21600">
              <v:path arrowok="t"/>
              <v:fill focussize="0,0"/>
              <v:stroke weight="0.72pt" color="#000000"/>
              <v:imagedata o:title=""/>
              <o:lock v:ext="edit"/>
            </v:line>
            <v:line id="_x0000_s4028" o:spid="_x0000_s4028" o:spt="20" style="position:absolute;left:8902;top:13366;height:2164;width:0;" stroked="t" coordsize="21600,21600">
              <v:path arrowok="t"/>
              <v:fill focussize="0,0"/>
              <v:stroke weight="0.72pt" color="#000000"/>
              <v:imagedata o:title=""/>
              <o:lock v:ext="edit"/>
            </v:line>
            <v:line id="_x0000_s4029" o:spid="_x0000_s4029" o:spt="20" style="position:absolute;left:10330;top:1075;height:1498;width:0;" stroked="t" coordsize="21600,21600">
              <v:path arrowok="t"/>
              <v:fill focussize="0,0"/>
              <v:stroke weight="0.72pt" color="#000000"/>
              <v:imagedata o:title=""/>
              <o:lock v:ext="edit"/>
            </v:line>
            <v:line id="_x0000_s4030" o:spid="_x0000_s4030" o:spt="20" style="position:absolute;left:10330;top:10291;height:2775;width:0;" stroked="t" coordsize="21600,21600">
              <v:path arrowok="t"/>
              <v:fill focussize="0,0"/>
              <v:stroke weight="0.72pt" color="#000000"/>
              <v:imagedata o:title=""/>
              <o:lock v:ext="edit"/>
            </v:line>
            <v:line id="_x0000_s4031" o:spid="_x0000_s4031" o:spt="20" style="position:absolute;left:11942;top:1075;height:1498;width:0;" stroked="t" coordsize="21600,21600">
              <v:path arrowok="t"/>
              <v:fill focussize="0,0"/>
              <v:stroke weight="0.72pt" color="#000000"/>
              <v:imagedata o:title=""/>
              <o:lock v:ext="edit"/>
            </v:line>
            <v:line id="_x0000_s4032" o:spid="_x0000_s4032" o:spt="20" style="position:absolute;left:11942;top:3250;height:9816;width:0;" stroked="t" coordsize="21600,21600">
              <v:path arrowok="t"/>
              <v:fill focussize="0,0"/>
              <v:stroke weight="0.72pt" color="#000000"/>
              <v:imagedata o:title=""/>
              <o:lock v:ext="edit"/>
            </v:line>
            <v:line id="_x0000_s4033" o:spid="_x0000_s4033" o:spt="20" style="position:absolute;left:11942;top:13366;height:2164;width:0;" stroked="t" coordsize="21600,21600">
              <v:path arrowok="t"/>
              <v:fill focussize="0,0"/>
              <v:stroke weight="0.72pt" color="#000000"/>
              <v:imagedata o:title=""/>
              <o:lock v:ext="edit"/>
            </v:line>
            <v:line id="_x0000_s4034" o:spid="_x0000_s4034" o:spt="20" style="position:absolute;left:13726;top:1075;height:1498;width:0;" stroked="t" coordsize="21600,21600">
              <v:path arrowok="t"/>
              <v:fill focussize="0,0"/>
              <v:stroke weight="0.72pt" color="#000000"/>
              <v:imagedata o:title=""/>
              <o:lock v:ext="edit"/>
            </v:line>
            <v:line id="_x0000_s4035" o:spid="_x0000_s4035" o:spt="20" style="position:absolute;left:13726;top:10291;height:2775;width:0;" stroked="t" coordsize="21600,21600">
              <v:path arrowok="t"/>
              <v:fill focussize="0,0"/>
              <v:stroke weight="0.72pt" color="#000000"/>
              <v:imagedata o:title=""/>
              <o:lock v:ext="edit"/>
            </v:line>
            <v:line id="_x0000_s4036" o:spid="_x0000_s4036" o:spt="20" style="position:absolute;left:15065;top:1075;height:756;width:0;" stroked="t" coordsize="21600,21600">
              <v:path arrowok="t"/>
              <v:fill focussize="0,0"/>
              <v:stroke weight="0.72pt" color="#000000"/>
              <v:imagedata o:title=""/>
              <o:lock v:ext="edit"/>
            </v:line>
            <v:line id="_x0000_s4037" o:spid="_x0000_s4037" o:spt="20" style="position:absolute;left:15065;top:3250;height:12280;width:0;" stroked="t" coordsize="21600,21600">
              <v:path arrowok="t"/>
              <v:fill focussize="0,0"/>
              <v:stroke weight="0.72pt" color="#000000"/>
              <v:imagedata o:title=""/>
              <o:lock v:ext="edit"/>
            </v:line>
            <v:line id="_x0000_s4038" o:spid="_x0000_s4038" o:spt="20" style="position:absolute;left:17585;top:1075;height:756;width:0;" stroked="t" coordsize="21600,21600">
              <v:path arrowok="t"/>
              <v:fill focussize="0,0"/>
              <v:stroke weight="0.72pt" color="#000000"/>
              <v:imagedata o:title=""/>
              <o:lock v:ext="edit"/>
            </v:line>
            <v:line id="_x0000_s4039" o:spid="_x0000_s4039" o:spt="20" style="position:absolute;left:17585;top:10291;height:2775;width:0;" stroked="t" coordsize="21600,21600">
              <v:path arrowok="t"/>
              <v:fill focussize="0,0"/>
              <v:stroke weight="0.72pt" color="#000000"/>
              <v:imagedata o:title=""/>
              <o:lock v:ext="edit"/>
            </v:line>
            <v:line id="_x0000_s4040" o:spid="_x0000_s4040" o:spt="20" style="position:absolute;left:17585;top:13366;height:2164;width:0;" stroked="t" coordsize="21600,21600">
              <v:path arrowok="t"/>
              <v:fill focussize="0,0"/>
              <v:stroke weight="0.72pt" color="#000000"/>
              <v:imagedata o:title=""/>
              <o:lock v:ext="edit"/>
            </v:line>
            <v:line id="_x0000_s4041" o:spid="_x0000_s4041" o:spt="20" style="position:absolute;left:19001;top:1075;height:756;width:0;" stroked="t" coordsize="21600,21600">
              <v:path arrowok="t"/>
              <v:fill focussize="0,0"/>
              <v:stroke weight="0.72pt" color="#000000"/>
              <v:imagedata o:title=""/>
              <o:lock v:ext="edit"/>
            </v:line>
            <v:line id="_x0000_s4042" o:spid="_x0000_s4042" o:spt="20" style="position:absolute;left:19001;top:3250;height:7056;width:0;" stroked="t" coordsize="21600,21600">
              <v:path arrowok="t"/>
              <v:fill focussize="0,0"/>
              <v:stroke weight="0.72pt" color="#000000"/>
              <v:imagedata o:title=""/>
              <o:lock v:ext="edit"/>
            </v:line>
            <v:line id="_x0000_s4043" o:spid="_x0000_s4043" o:spt="20" style="position:absolute;left:19001;top:13366;height:2164;width:0;" stroked="t" coordsize="21600,21600">
              <v:path arrowok="t"/>
              <v:fill focussize="0,0"/>
              <v:stroke weight="0.72pt" color="#000000"/>
              <v:imagedata o:title=""/>
              <o:lock v:ext="edit"/>
            </v:line>
            <v:line id="_x0000_s4044" o:spid="_x0000_s4044" o:spt="20" style="position:absolute;left:20417;top:13366;height:2164;width:0;" stroked="t" coordsize="21600,21600">
              <v:path arrowok="t"/>
              <v:fill focussize="0,0"/>
              <v:stroke weight="0.72pt" color="#000000"/>
              <v:imagedata o:title=""/>
              <o:lock v:ext="edit"/>
            </v:line>
            <v:line id="_x0000_s4045" o:spid="_x0000_s4045" o:spt="20" style="position:absolute;left:21216;top:2558;height:7748;width:0;" stroked="t" coordsize="21600,21600">
              <v:path arrowok="t"/>
              <v:fill focussize="0,0"/>
              <v:stroke weight="0.72pt" color="#000000"/>
              <v:imagedata o:title=""/>
              <o:lock v:ext="edit"/>
            </v:line>
            <v:line id="_x0000_s4046" o:spid="_x0000_s4046" o:spt="20" style="position:absolute;left:21216;top:13366;height:2164;width:0;" stroked="t" coordsize="21600,21600">
              <v:path arrowok="t"/>
              <v:fill focussize="0,0"/>
              <v:stroke weight="0.72pt" color="#000000"/>
              <v:imagedata o:title=""/>
              <o:lock v:ext="edit"/>
            </v:line>
            <v:line id="_x0000_s4047" o:spid="_x0000_s4047" o:spt="20" style="position:absolute;left:22102;top:13366;height:2164;width:0;" stroked="t" coordsize="21600,21600">
              <v:path arrowok="t"/>
              <v:fill focussize="0,0"/>
              <v:stroke weight="0.72pt" color="#000000"/>
              <v:imagedata o:title=""/>
              <o:lock v:ext="edit"/>
            </v:line>
            <v:line id="_x0000_s4048" o:spid="_x0000_s4048" o:spt="20" style="position:absolute;left:23270;top:1075;height:14455;width:0;" stroked="t" coordsize="21600,21600">
              <v:path arrowok="t"/>
              <v:fill focussize="0,0"/>
              <v:stroke weight="0.72pt" color="#000000"/>
              <v:imagedata o:title=""/>
              <o:lock v:ext="edit"/>
            </v:line>
            <v:line id="_x0000_s4049" o:spid="_x0000_s4049" o:spt="20" style="position:absolute;left:2004;top:10306;height:571;width:3461;" stroked="t" coordsize="21600,21600">
              <v:path arrowok="t"/>
              <v:fill focussize="0,0"/>
              <v:stroke weight="0.72pt" color="#000000"/>
              <v:imagedata o:title=""/>
              <o:lock v:ext="edit"/>
            </v:line>
            <v:shape id="_x0000_s4050" o:spid="_x0000_s4050" o:spt="75" type="#_x0000_t75" style="position:absolute;left:17575;top:10955;height:149;width:149;" filled="f" stroked="f" coordsize="21600,21600">
              <v:path/>
              <v:fill on="f" focussize="0,0"/>
              <v:stroke on="f"/>
              <v:imagedata r:id="rId152" o:title=""/>
              <o:lock v:ext="edit" aspectratio="t"/>
            </v:shape>
            <v:shape id="_x0000_s4051" o:spid="_x0000_s4051" o:spt="75" type="#_x0000_t75" style="position:absolute;left:17587;top:11297;height:149;width:149;" filled="f" stroked="f" coordsize="21600,21600">
              <v:path/>
              <v:fill on="f" focussize="0,0"/>
              <v:stroke on="f"/>
              <v:imagedata r:id="rId152" o:title=""/>
              <o:lock v:ext="edit" aspectratio="t"/>
            </v:shape>
            <v:shape id="_x0000_s4052" o:spid="_x0000_s4052" o:spt="75" type="#_x0000_t75" style="position:absolute;left:18366;top:11297;height:149;width:149;" filled="f" stroked="f" coordsize="21600,21600">
              <v:path/>
              <v:fill on="f" focussize="0,0"/>
              <v:stroke on="f"/>
              <v:imagedata r:id="rId152" o:title=""/>
              <o:lock v:ext="edit" aspectratio="t"/>
            </v:shape>
            <v:shape id="_x0000_s4053" o:spid="_x0000_s4053" o:spt="75" type="#_x0000_t75" style="position:absolute;left:19110;top:11290;height:147;width:149;" filled="f" stroked="f" coordsize="21600,21600">
              <v:path/>
              <v:fill on="f" focussize="0,0"/>
              <v:stroke on="f"/>
              <v:imagedata r:id="rId153" o:title=""/>
              <o:lock v:ext="edit" aspectratio="t"/>
            </v:shape>
            <v:shape id="_x0000_s4054" o:spid="_x0000_s4054" o:spt="75" type="#_x0000_t75" style="position:absolute;left:19818;top:11312;height:147;width:149;" filled="f" stroked="f" coordsize="21600,21600">
              <v:path/>
              <v:fill on="f" focussize="0,0"/>
              <v:stroke on="f"/>
              <v:imagedata r:id="rId153" o:title=""/>
              <o:lock v:ext="edit" aspectratio="t"/>
            </v:shape>
            <v:shape id="_x0000_s4055" o:spid="_x0000_s4055" o:spt="75" type="#_x0000_t75" style="position:absolute;left:17587;top:11748;height:149;width:149;" filled="f" stroked="f" coordsize="21600,21600">
              <v:path/>
              <v:fill on="f" focussize="0,0"/>
              <v:stroke on="f"/>
              <v:imagedata r:id="rId152" o:title=""/>
              <o:lock v:ext="edit" aspectratio="t"/>
            </v:shape>
            <v:shape id="_x0000_s4056" o:spid="_x0000_s4056" o:spt="75" type="#_x0000_t75" style="position:absolute;left:18383;top:11748;height:149;width:149;" filled="f" stroked="f" coordsize="21600,21600">
              <v:path/>
              <v:fill on="f" focussize="0,0"/>
              <v:stroke on="f"/>
              <v:imagedata r:id="rId152" o:title=""/>
              <o:lock v:ext="edit" aspectratio="t"/>
            </v:shape>
            <v:shape id="_x0000_s4057" o:spid="_x0000_s4057" o:spt="75" type="#_x0000_t75" style="position:absolute;left:19127;top:11748;height:149;width:149;" filled="f" stroked="f" coordsize="21600,21600">
              <v:path/>
              <v:fill on="f" focussize="0,0"/>
              <v:stroke on="f"/>
              <v:imagedata r:id="rId152" o:title=""/>
              <o:lock v:ext="edit" aspectratio="t"/>
            </v:shape>
            <v:shape id="_x0000_s4058" o:spid="_x0000_s4058" o:spt="75" type="#_x0000_t75" style="position:absolute;left:19812;top:11786;height:147;width:149;" filled="f" stroked="f" coordsize="21600,21600">
              <v:path/>
              <v:fill on="f" focussize="0,0"/>
              <v:stroke on="f"/>
              <v:imagedata r:id="rId153" o:title=""/>
              <o:lock v:ext="edit" aspectratio="t"/>
            </v:shape>
            <v:shape id="_x0000_s4059" o:spid="_x0000_s4059" o:spt="75" type="#_x0000_t75" style="position:absolute;left:17587;top:12167;height:147;width:149;" filled="f" stroked="f" coordsize="21600,21600">
              <v:path/>
              <v:fill on="f" focussize="0,0"/>
              <v:stroke on="f"/>
              <v:imagedata r:id="rId153" o:title=""/>
              <o:lock v:ext="edit" aspectratio="t"/>
            </v:shape>
            <v:shape id="_x0000_s4060" o:spid="_x0000_s4060" o:spt="75" type="#_x0000_t75" style="position:absolute;left:18399;top:12167;height:147;width:149;" filled="f" stroked="f" coordsize="21600,21600">
              <v:path/>
              <v:fill on="f" focussize="0,0"/>
              <v:stroke on="f"/>
              <v:imagedata r:id="rId153" o:title=""/>
              <o:lock v:ext="edit" aspectratio="t"/>
            </v:shape>
            <v:shape id="_x0000_s4061" o:spid="_x0000_s4061" o:spt="75" type="#_x0000_t75" style="position:absolute;left:19127;top:12167;height:147;width:149;" filled="f" stroked="f" coordsize="21600,21600">
              <v:path/>
              <v:fill on="f" focussize="0,0"/>
              <v:stroke on="f"/>
              <v:imagedata r:id="rId153" o:title=""/>
              <o:lock v:ext="edit" aspectratio="t"/>
            </v:shape>
            <v:shape id="_x0000_s4062" o:spid="_x0000_s4062" o:spt="75" type="#_x0000_t75" style="position:absolute;left:19836;top:12169;height:147;width:149;" filled="f" stroked="f" coordsize="21600,21600">
              <v:path/>
              <v:fill on="f" focussize="0,0"/>
              <v:stroke on="f"/>
              <v:imagedata r:id="rId153" o:title=""/>
              <o:lock v:ext="edit" aspectratio="t"/>
            </v:shape>
            <v:shape id="_x0000_s4063" o:spid="_x0000_s4063" o:spt="75" type="#_x0000_t75" style="position:absolute;left:17577;top:12568;height:147;width:149;" filled="f" stroked="f" coordsize="21600,21600">
              <v:path/>
              <v:fill on="f" focussize="0,0"/>
              <v:stroke on="f"/>
              <v:imagedata r:id="rId153" o:title=""/>
              <o:lock v:ext="edit" aspectratio="t"/>
            </v:shape>
            <v:shape id="_x0000_s4064" o:spid="_x0000_s4064" o:spt="75" type="#_x0000_t75" style="position:absolute;left:18399;top:12569;height:147;width:149;" filled="f" stroked="f" coordsize="21600,21600">
              <v:path/>
              <v:fill on="f" focussize="0,0"/>
              <v:stroke on="f"/>
              <v:imagedata r:id="rId153" o:title=""/>
              <o:lock v:ext="edit" aspectratio="t"/>
            </v:shape>
            <v:shape id="_x0000_s4065" o:spid="_x0000_s4065" o:spt="75" type="#_x0000_t75" style="position:absolute;left:19143;top:12568;height:147;width:149;" filled="f" stroked="f" coordsize="21600,21600">
              <v:path/>
              <v:fill on="f" focussize="0,0"/>
              <v:stroke on="f"/>
              <v:imagedata r:id="rId153" o:title=""/>
              <o:lock v:ext="edit" aspectratio="t"/>
            </v:shape>
            <v:shape id="_x0000_s4066" o:spid="_x0000_s4066" o:spt="75" type="#_x0000_t75" style="position:absolute;left:19832;top:12524;height:147;width:149;" filled="f" stroked="f" coordsize="21600,21600">
              <v:path/>
              <v:fill on="f" focussize="0,0"/>
              <v:stroke on="f"/>
              <v:imagedata r:id="rId153" o:title=""/>
              <o:lock v:ext="edit" aspectratio="t"/>
            </v:shape>
            <v:shape id="_x0000_s4067" o:spid="_x0000_s4067" o:spt="75" type="#_x0000_t75" style="position:absolute;left:17587;top:12888;height:149;width:149;" filled="f" stroked="f" coordsize="21600,21600">
              <v:path/>
              <v:fill on="f" focussize="0,0"/>
              <v:stroke on="f"/>
              <v:imagedata r:id="rId152" o:title=""/>
              <o:lock v:ext="edit" aspectratio="t"/>
            </v:shape>
            <v:shape id="_x0000_s4068" o:spid="_x0000_s4068" o:spt="75" type="#_x0000_t75" style="position:absolute;left:18399;top:12888;height:149;width:149;" filled="f" stroked="f" coordsize="21600,21600">
              <v:path/>
              <v:fill on="f" focussize="0,0"/>
              <v:stroke on="f"/>
              <v:imagedata r:id="rId152" o:title=""/>
              <o:lock v:ext="edit" aspectratio="t"/>
            </v:shape>
            <v:shape id="_x0000_s4069" o:spid="_x0000_s4069" o:spt="75" type="#_x0000_t75" style="position:absolute;left:19143;top:12902;height:147;width:149;" filled="f" stroked="f" coordsize="21600,21600">
              <v:path/>
              <v:fill on="f" focussize="0,0"/>
              <v:stroke on="f"/>
              <v:imagedata r:id="rId153" o:title=""/>
              <o:lock v:ext="edit" aspectratio="t"/>
            </v:shape>
            <v:shape id="_x0000_s4070" o:spid="_x0000_s4070" o:spt="75" type="#_x0000_t75" style="position:absolute;left:19832;top:12804;height:149;width:149;" filled="f" stroked="f" coordsize="21600,21600">
              <v:path/>
              <v:fill on="f" focussize="0,0"/>
              <v:stroke on="f"/>
              <v:imagedata r:id="rId152" o:title=""/>
              <o:lock v:ext="edit" aspectratio="t"/>
            </v:shape>
            <v:shape id="_x0000_s4071" o:spid="_x0000_s4071" o:spt="75" type="#_x0000_t75" style="position:absolute;left:19111;top:10965;height:149;width:149;" filled="f" stroked="f" coordsize="21600,21600">
              <v:path/>
              <v:fill on="f" focussize="0,0"/>
              <v:stroke on="f"/>
              <v:imagedata r:id="rId152" o:title=""/>
              <o:lock v:ext="edit" aspectratio="t"/>
            </v:shape>
            <v:shape id="_x0000_s4072" o:spid="_x0000_s4072" o:spt="75" type="#_x0000_t75" style="position:absolute;left:18366;top:10971;height:147;width:149;" filled="f" stroked="f" coordsize="21600,21600">
              <v:path/>
              <v:fill on="f" focussize="0,0"/>
              <v:stroke on="f"/>
              <v:imagedata r:id="rId153" o:title=""/>
              <o:lock v:ext="edit" aspectratio="t"/>
            </v:shape>
            <v:shape id="_x0000_s4073" o:spid="_x0000_s4073" o:spt="75" type="#_x0000_t75" style="position:absolute;left:19809;top:10981;height:147;width:149;" filled="f" stroked="f" coordsize="21600,21600">
              <v:path/>
              <v:fill on="f" focussize="0,0"/>
              <v:stroke on="f"/>
              <v:imagedata r:id="rId153" o:title=""/>
              <o:lock v:ext="edit" aspectratio="t"/>
            </v:shape>
          </v:group>
        </w:pict>
      </w:r>
      <w:r>
        <w:rPr>
          <w:sz w:val="18"/>
        </w:rPr>
        <w:t>色母粒</w:t>
      </w:r>
      <w:r>
        <w:rPr>
          <w:sz w:val="18"/>
        </w:rPr>
        <w:tab/>
      </w:r>
      <w:r>
        <w:rPr>
          <w:rFonts w:ascii="Times New Roman" w:eastAsia="Times New Roman"/>
          <w:position w:val="1"/>
          <w:sz w:val="18"/>
        </w:rPr>
        <w:t>1</w:t>
      </w:r>
      <w:r>
        <w:rPr>
          <w:rFonts w:ascii="Times New Roman" w:eastAsia="Times New Roman"/>
          <w:position w:val="1"/>
          <w:sz w:val="18"/>
        </w:rPr>
        <w:tab/>
      </w:r>
      <w:r>
        <w:rPr>
          <w:sz w:val="18"/>
        </w:rPr>
        <w:t>t/a</w:t>
      </w:r>
      <w:r>
        <w:rPr>
          <w:sz w:val="18"/>
        </w:rPr>
        <w:tab/>
      </w:r>
      <w:r>
        <w:rPr>
          <w:rFonts w:ascii="Times New Roman" w:eastAsia="Times New Roman"/>
          <w:position w:val="1"/>
          <w:sz w:val="18"/>
        </w:rPr>
        <w:t>/</w:t>
      </w:r>
    </w:p>
    <w:p w14:paraId="294E0B2B">
      <w:pPr>
        <w:spacing w:after="0" w:line="240" w:lineRule="auto"/>
        <w:jc w:val="left"/>
        <w:rPr>
          <w:rFonts w:ascii="Times New Roman" w:eastAsia="Times New Roman"/>
          <w:sz w:val="18"/>
        </w:rPr>
        <w:sectPr>
          <w:type w:val="continuous"/>
          <w:pgSz w:w="23820" w:h="16840" w:orient="landscape"/>
          <w:pgMar w:top="1600" w:right="420" w:bottom="280" w:left="240" w:header="720" w:footer="720" w:gutter="0"/>
          <w:cols w:space="720" w:num="1"/>
        </w:sectPr>
      </w:pPr>
    </w:p>
    <w:tbl>
      <w:tblPr>
        <w:tblStyle w:val="13"/>
        <w:tblW w:w="0" w:type="auto"/>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6"/>
        <w:gridCol w:w="749"/>
        <w:gridCol w:w="826"/>
        <w:gridCol w:w="1416"/>
        <w:gridCol w:w="1219"/>
        <w:gridCol w:w="1536"/>
        <w:gridCol w:w="1908"/>
        <w:gridCol w:w="1428"/>
        <w:gridCol w:w="1613"/>
        <w:gridCol w:w="1783"/>
        <w:gridCol w:w="1339"/>
        <w:gridCol w:w="2520"/>
        <w:gridCol w:w="1416"/>
        <w:gridCol w:w="1416"/>
        <w:gridCol w:w="799"/>
        <w:gridCol w:w="885"/>
        <w:gridCol w:w="1168"/>
      </w:tblGrid>
      <w:tr w14:paraId="60864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635" w:type="dxa"/>
            <w:gridSpan w:val="2"/>
            <w:vMerge w:val="restart"/>
            <w:tcBorders>
              <w:top w:val="nil"/>
            </w:tcBorders>
            <w:shd w:val="clear" w:color="auto" w:fill="BEBEBE"/>
          </w:tcPr>
          <w:p w14:paraId="4085C0D0">
            <w:pPr>
              <w:pStyle w:val="17"/>
              <w:jc w:val="left"/>
              <w:rPr>
                <w:rFonts w:ascii="Times New Roman"/>
                <w:sz w:val="16"/>
              </w:rPr>
            </w:pPr>
          </w:p>
        </w:tc>
        <w:tc>
          <w:tcPr>
            <w:tcW w:w="826" w:type="dxa"/>
          </w:tcPr>
          <w:p w14:paraId="378439A8">
            <w:pPr>
              <w:pStyle w:val="17"/>
              <w:spacing w:before="96"/>
              <w:ind w:right="345"/>
              <w:jc w:val="right"/>
              <w:rPr>
                <w:rFonts w:ascii="Times New Roman"/>
                <w:sz w:val="18"/>
              </w:rPr>
            </w:pPr>
            <w:r>
              <w:rPr>
                <w:rFonts w:ascii="Times New Roman"/>
                <w:w w:val="99"/>
                <w:sz w:val="18"/>
              </w:rPr>
              <w:t>5</w:t>
            </w:r>
          </w:p>
        </w:tc>
        <w:tc>
          <w:tcPr>
            <w:tcW w:w="2635" w:type="dxa"/>
            <w:gridSpan w:val="2"/>
          </w:tcPr>
          <w:p w14:paraId="5AE141F9">
            <w:pPr>
              <w:pStyle w:val="17"/>
              <w:spacing w:before="98"/>
              <w:ind w:left="1030" w:right="1009"/>
              <w:rPr>
                <w:sz w:val="18"/>
              </w:rPr>
            </w:pPr>
            <w:r>
              <w:rPr>
                <w:sz w:val="18"/>
              </w:rPr>
              <w:t>稳定剂</w:t>
            </w:r>
          </w:p>
        </w:tc>
        <w:tc>
          <w:tcPr>
            <w:tcW w:w="3444" w:type="dxa"/>
            <w:gridSpan w:val="2"/>
          </w:tcPr>
          <w:p w14:paraId="5B533B95">
            <w:pPr>
              <w:pStyle w:val="17"/>
              <w:spacing w:before="96"/>
              <w:ind w:left="27"/>
              <w:rPr>
                <w:rFonts w:ascii="Times New Roman"/>
                <w:sz w:val="18"/>
              </w:rPr>
            </w:pPr>
            <w:r>
              <w:rPr>
                <w:rFonts w:ascii="Times New Roman"/>
                <w:w w:val="99"/>
                <w:sz w:val="18"/>
              </w:rPr>
              <w:t>5</w:t>
            </w:r>
          </w:p>
        </w:tc>
        <w:tc>
          <w:tcPr>
            <w:tcW w:w="3041" w:type="dxa"/>
            <w:gridSpan w:val="2"/>
          </w:tcPr>
          <w:p w14:paraId="50FE9FC0">
            <w:pPr>
              <w:pStyle w:val="17"/>
              <w:spacing w:before="98"/>
              <w:ind w:left="1330" w:right="1305"/>
              <w:rPr>
                <w:sz w:val="18"/>
              </w:rPr>
            </w:pPr>
            <w:r>
              <w:rPr>
                <w:sz w:val="18"/>
              </w:rPr>
              <w:t>t/a</w:t>
            </w:r>
          </w:p>
        </w:tc>
        <w:tc>
          <w:tcPr>
            <w:tcW w:w="3122" w:type="dxa"/>
            <w:gridSpan w:val="2"/>
          </w:tcPr>
          <w:p w14:paraId="5F2E13FE">
            <w:pPr>
              <w:pStyle w:val="17"/>
              <w:spacing w:before="96"/>
              <w:ind w:left="26"/>
              <w:rPr>
                <w:rFonts w:ascii="Times New Roman"/>
                <w:sz w:val="18"/>
              </w:rPr>
            </w:pPr>
            <w:r>
              <w:rPr>
                <w:rFonts w:ascii="Times New Roman"/>
                <w:w w:val="99"/>
                <w:sz w:val="18"/>
              </w:rPr>
              <w:t>/</w:t>
            </w:r>
          </w:p>
        </w:tc>
        <w:tc>
          <w:tcPr>
            <w:tcW w:w="2520" w:type="dxa"/>
          </w:tcPr>
          <w:p w14:paraId="6C557325">
            <w:pPr>
              <w:pStyle w:val="17"/>
              <w:jc w:val="left"/>
              <w:rPr>
                <w:rFonts w:ascii="Times New Roman"/>
                <w:sz w:val="16"/>
              </w:rPr>
            </w:pPr>
          </w:p>
        </w:tc>
        <w:tc>
          <w:tcPr>
            <w:tcW w:w="1416" w:type="dxa"/>
          </w:tcPr>
          <w:p w14:paraId="042FF4A1">
            <w:pPr>
              <w:pStyle w:val="17"/>
              <w:jc w:val="left"/>
              <w:rPr>
                <w:rFonts w:ascii="Times New Roman"/>
                <w:sz w:val="16"/>
              </w:rPr>
            </w:pPr>
          </w:p>
        </w:tc>
        <w:tc>
          <w:tcPr>
            <w:tcW w:w="1416" w:type="dxa"/>
          </w:tcPr>
          <w:p w14:paraId="5D4DE5A2">
            <w:pPr>
              <w:pStyle w:val="17"/>
              <w:jc w:val="left"/>
              <w:rPr>
                <w:rFonts w:ascii="Times New Roman"/>
                <w:sz w:val="16"/>
              </w:rPr>
            </w:pPr>
          </w:p>
        </w:tc>
        <w:tc>
          <w:tcPr>
            <w:tcW w:w="799" w:type="dxa"/>
          </w:tcPr>
          <w:p w14:paraId="7B3105E9">
            <w:pPr>
              <w:pStyle w:val="17"/>
              <w:jc w:val="left"/>
              <w:rPr>
                <w:rFonts w:ascii="Times New Roman"/>
                <w:sz w:val="16"/>
              </w:rPr>
            </w:pPr>
          </w:p>
        </w:tc>
        <w:tc>
          <w:tcPr>
            <w:tcW w:w="885" w:type="dxa"/>
          </w:tcPr>
          <w:p w14:paraId="2C98BCDA">
            <w:pPr>
              <w:pStyle w:val="17"/>
              <w:jc w:val="left"/>
              <w:rPr>
                <w:rFonts w:ascii="Times New Roman"/>
                <w:sz w:val="16"/>
              </w:rPr>
            </w:pPr>
          </w:p>
        </w:tc>
        <w:tc>
          <w:tcPr>
            <w:tcW w:w="1168" w:type="dxa"/>
          </w:tcPr>
          <w:p w14:paraId="582DCF3A">
            <w:pPr>
              <w:pStyle w:val="17"/>
              <w:jc w:val="left"/>
              <w:rPr>
                <w:rFonts w:ascii="Times New Roman"/>
                <w:sz w:val="16"/>
              </w:rPr>
            </w:pPr>
          </w:p>
        </w:tc>
      </w:tr>
      <w:tr w14:paraId="74B9F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1635" w:type="dxa"/>
            <w:gridSpan w:val="2"/>
            <w:vMerge w:val="continue"/>
            <w:tcBorders>
              <w:top w:val="nil"/>
            </w:tcBorders>
            <w:shd w:val="clear" w:color="auto" w:fill="BEBEBE"/>
          </w:tcPr>
          <w:p w14:paraId="7CD96563">
            <w:pPr>
              <w:rPr>
                <w:sz w:val="2"/>
                <w:szCs w:val="2"/>
              </w:rPr>
            </w:pPr>
          </w:p>
        </w:tc>
        <w:tc>
          <w:tcPr>
            <w:tcW w:w="826" w:type="dxa"/>
          </w:tcPr>
          <w:p w14:paraId="241A0E40">
            <w:pPr>
              <w:pStyle w:val="17"/>
              <w:spacing w:before="86"/>
              <w:ind w:right="345"/>
              <w:jc w:val="right"/>
              <w:rPr>
                <w:rFonts w:ascii="Times New Roman"/>
                <w:sz w:val="18"/>
              </w:rPr>
            </w:pPr>
            <w:r>
              <w:rPr>
                <w:rFonts w:ascii="Times New Roman"/>
                <w:w w:val="99"/>
                <w:sz w:val="18"/>
              </w:rPr>
              <w:t>6</w:t>
            </w:r>
          </w:p>
        </w:tc>
        <w:tc>
          <w:tcPr>
            <w:tcW w:w="2635" w:type="dxa"/>
            <w:gridSpan w:val="2"/>
          </w:tcPr>
          <w:p w14:paraId="4F1E809D">
            <w:pPr>
              <w:pStyle w:val="17"/>
              <w:spacing w:before="89"/>
              <w:ind w:left="1030" w:right="1009"/>
              <w:rPr>
                <w:sz w:val="18"/>
              </w:rPr>
            </w:pPr>
            <w:r>
              <w:rPr>
                <w:sz w:val="18"/>
              </w:rPr>
              <w:t>PE蜡</w:t>
            </w:r>
          </w:p>
        </w:tc>
        <w:tc>
          <w:tcPr>
            <w:tcW w:w="3444" w:type="dxa"/>
            <w:gridSpan w:val="2"/>
          </w:tcPr>
          <w:p w14:paraId="49FF942C">
            <w:pPr>
              <w:pStyle w:val="17"/>
              <w:spacing w:before="86"/>
              <w:ind w:left="1165" w:right="1142"/>
              <w:rPr>
                <w:rFonts w:ascii="Times New Roman"/>
                <w:sz w:val="18"/>
              </w:rPr>
            </w:pPr>
            <w:r>
              <w:rPr>
                <w:rFonts w:ascii="Times New Roman"/>
                <w:sz w:val="18"/>
              </w:rPr>
              <w:t>2.5</w:t>
            </w:r>
          </w:p>
        </w:tc>
        <w:tc>
          <w:tcPr>
            <w:tcW w:w="3041" w:type="dxa"/>
            <w:gridSpan w:val="2"/>
          </w:tcPr>
          <w:p w14:paraId="2E783383">
            <w:pPr>
              <w:pStyle w:val="17"/>
              <w:spacing w:before="89"/>
              <w:ind w:left="1330" w:right="1305"/>
              <w:rPr>
                <w:sz w:val="18"/>
              </w:rPr>
            </w:pPr>
            <w:r>
              <w:rPr>
                <w:sz w:val="18"/>
              </w:rPr>
              <w:t>t/a</w:t>
            </w:r>
          </w:p>
        </w:tc>
        <w:tc>
          <w:tcPr>
            <w:tcW w:w="3122" w:type="dxa"/>
            <w:gridSpan w:val="2"/>
          </w:tcPr>
          <w:p w14:paraId="6A678A75">
            <w:pPr>
              <w:pStyle w:val="17"/>
              <w:spacing w:before="86"/>
              <w:ind w:left="26"/>
              <w:rPr>
                <w:rFonts w:ascii="Times New Roman"/>
                <w:sz w:val="18"/>
              </w:rPr>
            </w:pPr>
            <w:r>
              <w:rPr>
                <w:rFonts w:ascii="Times New Roman"/>
                <w:w w:val="99"/>
                <w:sz w:val="18"/>
              </w:rPr>
              <w:t>/</w:t>
            </w:r>
          </w:p>
        </w:tc>
        <w:tc>
          <w:tcPr>
            <w:tcW w:w="2520" w:type="dxa"/>
          </w:tcPr>
          <w:p w14:paraId="7D396E06">
            <w:pPr>
              <w:pStyle w:val="17"/>
              <w:jc w:val="left"/>
              <w:rPr>
                <w:rFonts w:ascii="Times New Roman"/>
                <w:sz w:val="16"/>
              </w:rPr>
            </w:pPr>
          </w:p>
        </w:tc>
        <w:tc>
          <w:tcPr>
            <w:tcW w:w="1416" w:type="dxa"/>
          </w:tcPr>
          <w:p w14:paraId="6A680A5F">
            <w:pPr>
              <w:pStyle w:val="17"/>
              <w:jc w:val="left"/>
              <w:rPr>
                <w:rFonts w:ascii="Times New Roman"/>
                <w:sz w:val="16"/>
              </w:rPr>
            </w:pPr>
          </w:p>
        </w:tc>
        <w:tc>
          <w:tcPr>
            <w:tcW w:w="1416" w:type="dxa"/>
          </w:tcPr>
          <w:p w14:paraId="4A92A255">
            <w:pPr>
              <w:pStyle w:val="17"/>
              <w:jc w:val="left"/>
              <w:rPr>
                <w:rFonts w:ascii="Times New Roman"/>
                <w:sz w:val="16"/>
              </w:rPr>
            </w:pPr>
          </w:p>
        </w:tc>
        <w:tc>
          <w:tcPr>
            <w:tcW w:w="799" w:type="dxa"/>
          </w:tcPr>
          <w:p w14:paraId="0A0D5D3B">
            <w:pPr>
              <w:pStyle w:val="17"/>
              <w:jc w:val="left"/>
              <w:rPr>
                <w:rFonts w:ascii="Times New Roman"/>
                <w:sz w:val="16"/>
              </w:rPr>
            </w:pPr>
          </w:p>
        </w:tc>
        <w:tc>
          <w:tcPr>
            <w:tcW w:w="885" w:type="dxa"/>
          </w:tcPr>
          <w:p w14:paraId="74EB20D3">
            <w:pPr>
              <w:pStyle w:val="17"/>
              <w:jc w:val="left"/>
              <w:rPr>
                <w:rFonts w:ascii="Times New Roman"/>
                <w:sz w:val="16"/>
              </w:rPr>
            </w:pPr>
          </w:p>
        </w:tc>
        <w:tc>
          <w:tcPr>
            <w:tcW w:w="1168" w:type="dxa"/>
          </w:tcPr>
          <w:p w14:paraId="4637183F">
            <w:pPr>
              <w:pStyle w:val="17"/>
              <w:jc w:val="left"/>
              <w:rPr>
                <w:rFonts w:ascii="Times New Roman"/>
                <w:sz w:val="16"/>
              </w:rPr>
            </w:pPr>
          </w:p>
        </w:tc>
      </w:tr>
      <w:tr w14:paraId="010E1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635" w:type="dxa"/>
            <w:gridSpan w:val="2"/>
            <w:vMerge w:val="continue"/>
            <w:tcBorders>
              <w:top w:val="nil"/>
            </w:tcBorders>
            <w:shd w:val="clear" w:color="auto" w:fill="BEBEBE"/>
          </w:tcPr>
          <w:p w14:paraId="5D851406">
            <w:pPr>
              <w:rPr>
                <w:sz w:val="2"/>
                <w:szCs w:val="2"/>
              </w:rPr>
            </w:pPr>
          </w:p>
        </w:tc>
        <w:tc>
          <w:tcPr>
            <w:tcW w:w="826" w:type="dxa"/>
          </w:tcPr>
          <w:p w14:paraId="1D9E9464">
            <w:pPr>
              <w:pStyle w:val="17"/>
              <w:spacing w:before="79"/>
              <w:ind w:right="345"/>
              <w:jc w:val="right"/>
              <w:rPr>
                <w:rFonts w:ascii="Times New Roman"/>
                <w:sz w:val="18"/>
              </w:rPr>
            </w:pPr>
            <w:r>
              <w:rPr>
                <w:rFonts w:ascii="Times New Roman"/>
                <w:w w:val="99"/>
                <w:sz w:val="18"/>
              </w:rPr>
              <w:t>7</w:t>
            </w:r>
          </w:p>
        </w:tc>
        <w:tc>
          <w:tcPr>
            <w:tcW w:w="2635" w:type="dxa"/>
            <w:gridSpan w:val="2"/>
          </w:tcPr>
          <w:p w14:paraId="0A3B5494">
            <w:pPr>
              <w:pStyle w:val="17"/>
              <w:spacing w:before="82"/>
              <w:ind w:left="1030" w:right="1009"/>
              <w:rPr>
                <w:sz w:val="18"/>
              </w:rPr>
            </w:pPr>
            <w:r>
              <w:rPr>
                <w:sz w:val="18"/>
              </w:rPr>
              <w:t>调节剂</w:t>
            </w:r>
          </w:p>
        </w:tc>
        <w:tc>
          <w:tcPr>
            <w:tcW w:w="3444" w:type="dxa"/>
            <w:gridSpan w:val="2"/>
          </w:tcPr>
          <w:p w14:paraId="621C1D57">
            <w:pPr>
              <w:pStyle w:val="17"/>
              <w:spacing w:before="79"/>
              <w:ind w:left="1165" w:right="1142"/>
              <w:rPr>
                <w:rFonts w:ascii="Times New Roman"/>
                <w:sz w:val="18"/>
              </w:rPr>
            </w:pPr>
            <w:r>
              <w:rPr>
                <w:rFonts w:ascii="Times New Roman"/>
                <w:sz w:val="18"/>
              </w:rPr>
              <w:t>2.5</w:t>
            </w:r>
          </w:p>
        </w:tc>
        <w:tc>
          <w:tcPr>
            <w:tcW w:w="3041" w:type="dxa"/>
            <w:gridSpan w:val="2"/>
          </w:tcPr>
          <w:p w14:paraId="05BB33BD">
            <w:pPr>
              <w:pStyle w:val="17"/>
              <w:spacing w:before="82"/>
              <w:ind w:left="1330" w:right="1305"/>
              <w:rPr>
                <w:sz w:val="18"/>
              </w:rPr>
            </w:pPr>
            <w:r>
              <w:rPr>
                <w:sz w:val="18"/>
              </w:rPr>
              <w:t>t/a</w:t>
            </w:r>
          </w:p>
        </w:tc>
        <w:tc>
          <w:tcPr>
            <w:tcW w:w="3122" w:type="dxa"/>
            <w:gridSpan w:val="2"/>
          </w:tcPr>
          <w:p w14:paraId="4453012E">
            <w:pPr>
              <w:pStyle w:val="17"/>
              <w:spacing w:before="79"/>
              <w:ind w:left="26"/>
              <w:rPr>
                <w:rFonts w:ascii="Times New Roman"/>
                <w:sz w:val="18"/>
              </w:rPr>
            </w:pPr>
            <w:r>
              <w:rPr>
                <w:rFonts w:ascii="Times New Roman"/>
                <w:w w:val="99"/>
                <w:sz w:val="18"/>
              </w:rPr>
              <w:t>/</w:t>
            </w:r>
          </w:p>
        </w:tc>
        <w:tc>
          <w:tcPr>
            <w:tcW w:w="2520" w:type="dxa"/>
          </w:tcPr>
          <w:p w14:paraId="37429FDA">
            <w:pPr>
              <w:pStyle w:val="17"/>
              <w:jc w:val="left"/>
              <w:rPr>
                <w:rFonts w:ascii="Times New Roman"/>
                <w:sz w:val="16"/>
              </w:rPr>
            </w:pPr>
          </w:p>
        </w:tc>
        <w:tc>
          <w:tcPr>
            <w:tcW w:w="1416" w:type="dxa"/>
          </w:tcPr>
          <w:p w14:paraId="1890AD1D">
            <w:pPr>
              <w:pStyle w:val="17"/>
              <w:jc w:val="left"/>
              <w:rPr>
                <w:rFonts w:ascii="Times New Roman"/>
                <w:sz w:val="16"/>
              </w:rPr>
            </w:pPr>
          </w:p>
        </w:tc>
        <w:tc>
          <w:tcPr>
            <w:tcW w:w="1416" w:type="dxa"/>
          </w:tcPr>
          <w:p w14:paraId="409698EA">
            <w:pPr>
              <w:pStyle w:val="17"/>
              <w:jc w:val="left"/>
              <w:rPr>
                <w:rFonts w:ascii="Times New Roman"/>
                <w:sz w:val="16"/>
              </w:rPr>
            </w:pPr>
          </w:p>
        </w:tc>
        <w:tc>
          <w:tcPr>
            <w:tcW w:w="799" w:type="dxa"/>
          </w:tcPr>
          <w:p w14:paraId="155A524A">
            <w:pPr>
              <w:pStyle w:val="17"/>
              <w:jc w:val="left"/>
              <w:rPr>
                <w:rFonts w:ascii="Times New Roman"/>
                <w:sz w:val="16"/>
              </w:rPr>
            </w:pPr>
          </w:p>
        </w:tc>
        <w:tc>
          <w:tcPr>
            <w:tcW w:w="885" w:type="dxa"/>
          </w:tcPr>
          <w:p w14:paraId="6C161915">
            <w:pPr>
              <w:pStyle w:val="17"/>
              <w:jc w:val="left"/>
              <w:rPr>
                <w:rFonts w:ascii="Times New Roman"/>
                <w:sz w:val="16"/>
              </w:rPr>
            </w:pPr>
          </w:p>
        </w:tc>
        <w:tc>
          <w:tcPr>
            <w:tcW w:w="1168" w:type="dxa"/>
          </w:tcPr>
          <w:p w14:paraId="5FC5524A">
            <w:pPr>
              <w:pStyle w:val="17"/>
              <w:jc w:val="left"/>
              <w:rPr>
                <w:rFonts w:ascii="Times New Roman"/>
                <w:sz w:val="16"/>
              </w:rPr>
            </w:pPr>
          </w:p>
        </w:tc>
      </w:tr>
      <w:tr w14:paraId="0B185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886" w:type="dxa"/>
            <w:vMerge w:val="restart"/>
            <w:tcBorders>
              <w:bottom w:val="nil"/>
            </w:tcBorders>
            <w:shd w:val="clear" w:color="auto" w:fill="BEBEBE"/>
          </w:tcPr>
          <w:p w14:paraId="37CE1F94">
            <w:pPr>
              <w:pStyle w:val="17"/>
              <w:jc w:val="left"/>
              <w:rPr>
                <w:rFonts w:ascii="Times New Roman"/>
                <w:sz w:val="16"/>
              </w:rPr>
            </w:pPr>
          </w:p>
        </w:tc>
        <w:tc>
          <w:tcPr>
            <w:tcW w:w="749" w:type="dxa"/>
            <w:vMerge w:val="restart"/>
            <w:tcBorders>
              <w:bottom w:val="nil"/>
            </w:tcBorders>
            <w:shd w:val="clear" w:color="auto" w:fill="BEBEBE"/>
          </w:tcPr>
          <w:p w14:paraId="1B57128E">
            <w:pPr>
              <w:pStyle w:val="17"/>
              <w:jc w:val="left"/>
              <w:rPr>
                <w:rFonts w:ascii="Times New Roman"/>
                <w:sz w:val="16"/>
              </w:rPr>
            </w:pPr>
          </w:p>
        </w:tc>
        <w:tc>
          <w:tcPr>
            <w:tcW w:w="826" w:type="dxa"/>
            <w:vMerge w:val="restart"/>
            <w:tcBorders>
              <w:bottom w:val="nil"/>
            </w:tcBorders>
            <w:shd w:val="clear" w:color="auto" w:fill="BEBEBE"/>
          </w:tcPr>
          <w:p w14:paraId="046ED276">
            <w:pPr>
              <w:pStyle w:val="17"/>
              <w:spacing w:before="5"/>
              <w:jc w:val="left"/>
              <w:rPr>
                <w:rFonts w:ascii="Times New Roman"/>
                <w:sz w:val="19"/>
              </w:rPr>
            </w:pPr>
          </w:p>
          <w:p w14:paraId="1EAF7637">
            <w:pPr>
              <w:pStyle w:val="17"/>
              <w:spacing w:line="227" w:lineRule="exact"/>
              <w:ind w:left="36" w:right="13"/>
              <w:rPr>
                <w:rFonts w:hint="eastAsia" w:ascii="黑体" w:eastAsia="黑体"/>
                <w:sz w:val="18"/>
              </w:rPr>
            </w:pPr>
            <w:r>
              <w:rPr>
                <w:rFonts w:hint="eastAsia" w:ascii="黑体" w:eastAsia="黑体"/>
                <w:sz w:val="18"/>
              </w:rPr>
              <w:t>序号</w:t>
            </w:r>
          </w:p>
          <w:p w14:paraId="3DD13348">
            <w:pPr>
              <w:pStyle w:val="17"/>
              <w:spacing w:line="184" w:lineRule="exact"/>
              <w:ind w:left="37" w:right="13"/>
              <w:rPr>
                <w:rFonts w:hint="eastAsia" w:ascii="黑体" w:eastAsia="黑体"/>
                <w:sz w:val="18"/>
              </w:rPr>
            </w:pPr>
            <w:r>
              <w:rPr>
                <w:rFonts w:hint="eastAsia" w:ascii="黑体" w:eastAsia="黑体"/>
                <w:sz w:val="18"/>
              </w:rPr>
              <w:t>（编号）</w:t>
            </w:r>
          </w:p>
        </w:tc>
        <w:tc>
          <w:tcPr>
            <w:tcW w:w="1416" w:type="dxa"/>
            <w:vMerge w:val="restart"/>
            <w:tcBorders>
              <w:bottom w:val="nil"/>
            </w:tcBorders>
            <w:shd w:val="clear" w:color="auto" w:fill="BEBEBE"/>
          </w:tcPr>
          <w:p w14:paraId="52F7259D">
            <w:pPr>
              <w:pStyle w:val="17"/>
              <w:jc w:val="left"/>
              <w:rPr>
                <w:rFonts w:ascii="Times New Roman"/>
                <w:sz w:val="18"/>
              </w:rPr>
            </w:pPr>
          </w:p>
          <w:p w14:paraId="15497A39">
            <w:pPr>
              <w:pStyle w:val="17"/>
              <w:spacing w:before="127"/>
              <w:ind w:left="260"/>
              <w:jc w:val="left"/>
              <w:rPr>
                <w:rFonts w:hint="eastAsia" w:ascii="黑体" w:eastAsia="黑体"/>
                <w:sz w:val="18"/>
              </w:rPr>
            </w:pPr>
            <w:r>
              <w:rPr>
                <w:rFonts w:hint="eastAsia" w:ascii="黑体" w:eastAsia="黑体"/>
                <w:sz w:val="18"/>
              </w:rPr>
              <w:t>排放口名称</w:t>
            </w:r>
          </w:p>
        </w:tc>
        <w:tc>
          <w:tcPr>
            <w:tcW w:w="1219" w:type="dxa"/>
            <w:vMerge w:val="restart"/>
            <w:tcBorders>
              <w:bottom w:val="nil"/>
            </w:tcBorders>
            <w:shd w:val="clear" w:color="auto" w:fill="BEBEBE"/>
          </w:tcPr>
          <w:p w14:paraId="4342DDE0">
            <w:pPr>
              <w:pStyle w:val="17"/>
              <w:spacing w:before="5"/>
              <w:jc w:val="left"/>
              <w:rPr>
                <w:rFonts w:ascii="Times New Roman"/>
                <w:sz w:val="19"/>
              </w:rPr>
            </w:pPr>
          </w:p>
          <w:p w14:paraId="01C04A2D">
            <w:pPr>
              <w:pStyle w:val="17"/>
              <w:spacing w:line="227" w:lineRule="exact"/>
              <w:ind w:left="144" w:right="120"/>
              <w:rPr>
                <w:rFonts w:hint="eastAsia" w:ascii="黑体" w:eastAsia="黑体"/>
                <w:sz w:val="18"/>
              </w:rPr>
            </w:pPr>
            <w:r>
              <w:rPr>
                <w:rFonts w:hint="eastAsia" w:ascii="黑体" w:eastAsia="黑体"/>
                <w:sz w:val="18"/>
              </w:rPr>
              <w:t>排气筒高度</w:t>
            </w:r>
          </w:p>
          <w:p w14:paraId="00061A5D">
            <w:pPr>
              <w:pStyle w:val="17"/>
              <w:spacing w:line="184" w:lineRule="exact"/>
              <w:ind w:left="144" w:right="118"/>
              <w:rPr>
                <w:rFonts w:hint="eastAsia" w:ascii="黑体" w:eastAsia="黑体"/>
                <w:sz w:val="18"/>
              </w:rPr>
            </w:pPr>
            <w:r>
              <w:rPr>
                <w:rFonts w:hint="eastAsia" w:ascii="黑体" w:eastAsia="黑体"/>
                <w:sz w:val="18"/>
              </w:rPr>
              <w:t>（米）</w:t>
            </w:r>
          </w:p>
        </w:tc>
        <w:tc>
          <w:tcPr>
            <w:tcW w:w="4872" w:type="dxa"/>
            <w:gridSpan w:val="3"/>
            <w:shd w:val="clear" w:color="auto" w:fill="BEBEBE"/>
          </w:tcPr>
          <w:p w14:paraId="2281E014">
            <w:pPr>
              <w:pStyle w:val="17"/>
              <w:spacing w:before="108"/>
              <w:ind w:left="1701" w:right="1676"/>
              <w:rPr>
                <w:rFonts w:hint="eastAsia" w:ascii="黑体" w:eastAsia="黑体"/>
                <w:sz w:val="18"/>
              </w:rPr>
            </w:pPr>
            <w:r>
              <w:rPr>
                <w:rFonts w:hint="eastAsia" w:ascii="黑体" w:eastAsia="黑体"/>
                <w:sz w:val="18"/>
              </w:rPr>
              <w:t>污染防治设施工艺</w:t>
            </w:r>
          </w:p>
        </w:tc>
        <w:tc>
          <w:tcPr>
            <w:tcW w:w="3396" w:type="dxa"/>
            <w:gridSpan w:val="2"/>
            <w:shd w:val="clear" w:color="auto" w:fill="BEBEBE"/>
          </w:tcPr>
          <w:p w14:paraId="6DC868DC">
            <w:pPr>
              <w:pStyle w:val="17"/>
              <w:spacing w:before="108"/>
              <w:ind w:left="1321" w:right="1299"/>
              <w:rPr>
                <w:rFonts w:hint="eastAsia" w:ascii="黑体" w:eastAsia="黑体"/>
                <w:sz w:val="18"/>
              </w:rPr>
            </w:pPr>
            <w:r>
              <w:rPr>
                <w:rFonts w:hint="eastAsia" w:ascii="黑体" w:eastAsia="黑体"/>
                <w:sz w:val="18"/>
              </w:rPr>
              <w:t>生产设施</w:t>
            </w:r>
          </w:p>
        </w:tc>
        <w:tc>
          <w:tcPr>
            <w:tcW w:w="9543" w:type="dxa"/>
            <w:gridSpan w:val="7"/>
            <w:shd w:val="clear" w:color="auto" w:fill="BEBEBE"/>
          </w:tcPr>
          <w:p w14:paraId="635A058E">
            <w:pPr>
              <w:pStyle w:val="17"/>
              <w:spacing w:before="108"/>
              <w:ind w:left="4306" w:right="4282"/>
              <w:rPr>
                <w:rFonts w:hint="eastAsia" w:ascii="黑体" w:eastAsia="黑体"/>
                <w:sz w:val="18"/>
              </w:rPr>
            </w:pPr>
            <w:r>
              <w:rPr>
                <w:rFonts w:hint="eastAsia" w:ascii="黑体" w:eastAsia="黑体"/>
                <w:sz w:val="18"/>
              </w:rPr>
              <w:t>污染物排放</w:t>
            </w:r>
          </w:p>
        </w:tc>
      </w:tr>
      <w:tr w14:paraId="560D9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86" w:type="dxa"/>
            <w:vMerge w:val="continue"/>
            <w:tcBorders>
              <w:top w:val="nil"/>
              <w:bottom w:val="nil"/>
            </w:tcBorders>
            <w:shd w:val="clear" w:color="auto" w:fill="BEBEBE"/>
          </w:tcPr>
          <w:p w14:paraId="08043B26">
            <w:pPr>
              <w:rPr>
                <w:sz w:val="2"/>
                <w:szCs w:val="2"/>
              </w:rPr>
            </w:pPr>
          </w:p>
        </w:tc>
        <w:tc>
          <w:tcPr>
            <w:tcW w:w="749" w:type="dxa"/>
            <w:vMerge w:val="continue"/>
            <w:tcBorders>
              <w:top w:val="nil"/>
              <w:bottom w:val="nil"/>
            </w:tcBorders>
            <w:shd w:val="clear" w:color="auto" w:fill="BEBEBE"/>
          </w:tcPr>
          <w:p w14:paraId="18ADB266">
            <w:pPr>
              <w:rPr>
                <w:sz w:val="2"/>
                <w:szCs w:val="2"/>
              </w:rPr>
            </w:pPr>
          </w:p>
        </w:tc>
        <w:tc>
          <w:tcPr>
            <w:tcW w:w="826" w:type="dxa"/>
            <w:vMerge w:val="continue"/>
            <w:tcBorders>
              <w:top w:val="nil"/>
              <w:bottom w:val="nil"/>
            </w:tcBorders>
            <w:shd w:val="clear" w:color="auto" w:fill="BEBEBE"/>
          </w:tcPr>
          <w:p w14:paraId="722B8124">
            <w:pPr>
              <w:rPr>
                <w:sz w:val="2"/>
                <w:szCs w:val="2"/>
              </w:rPr>
            </w:pPr>
          </w:p>
        </w:tc>
        <w:tc>
          <w:tcPr>
            <w:tcW w:w="1416" w:type="dxa"/>
            <w:vMerge w:val="continue"/>
            <w:tcBorders>
              <w:top w:val="nil"/>
              <w:bottom w:val="nil"/>
            </w:tcBorders>
            <w:shd w:val="clear" w:color="auto" w:fill="BEBEBE"/>
          </w:tcPr>
          <w:p w14:paraId="761B87BA">
            <w:pPr>
              <w:rPr>
                <w:sz w:val="2"/>
                <w:szCs w:val="2"/>
              </w:rPr>
            </w:pPr>
          </w:p>
        </w:tc>
        <w:tc>
          <w:tcPr>
            <w:tcW w:w="1219" w:type="dxa"/>
            <w:vMerge w:val="continue"/>
            <w:tcBorders>
              <w:top w:val="nil"/>
              <w:bottom w:val="nil"/>
            </w:tcBorders>
            <w:shd w:val="clear" w:color="auto" w:fill="BEBEBE"/>
          </w:tcPr>
          <w:p w14:paraId="053449DE">
            <w:pPr>
              <w:rPr>
                <w:sz w:val="2"/>
                <w:szCs w:val="2"/>
              </w:rPr>
            </w:pPr>
          </w:p>
        </w:tc>
        <w:tc>
          <w:tcPr>
            <w:tcW w:w="1536" w:type="dxa"/>
            <w:vMerge w:val="restart"/>
            <w:shd w:val="clear" w:color="auto" w:fill="BEBEBE"/>
          </w:tcPr>
          <w:p w14:paraId="7D70CFA9">
            <w:pPr>
              <w:pStyle w:val="17"/>
              <w:spacing w:before="115"/>
              <w:ind w:left="229"/>
              <w:jc w:val="left"/>
              <w:rPr>
                <w:rFonts w:hint="eastAsia" w:ascii="黑体" w:eastAsia="黑体"/>
                <w:sz w:val="18"/>
              </w:rPr>
            </w:pPr>
            <w:r>
              <w:rPr>
                <w:rFonts w:hint="eastAsia" w:ascii="黑体" w:eastAsia="黑体"/>
                <w:sz w:val="18"/>
              </w:rPr>
              <w:t>序号（编号）</w:t>
            </w:r>
          </w:p>
        </w:tc>
        <w:tc>
          <w:tcPr>
            <w:tcW w:w="1908" w:type="dxa"/>
            <w:vMerge w:val="restart"/>
            <w:shd w:val="clear" w:color="auto" w:fill="BEBEBE"/>
          </w:tcPr>
          <w:p w14:paraId="17D9257C">
            <w:pPr>
              <w:pStyle w:val="17"/>
              <w:spacing w:before="115"/>
              <w:ind w:left="89" w:right="64"/>
              <w:rPr>
                <w:rFonts w:hint="eastAsia" w:ascii="黑体" w:eastAsia="黑体"/>
                <w:sz w:val="18"/>
              </w:rPr>
            </w:pPr>
            <w:r>
              <w:rPr>
                <w:rFonts w:hint="eastAsia" w:ascii="黑体" w:eastAsia="黑体"/>
                <w:sz w:val="18"/>
              </w:rPr>
              <w:t>名称</w:t>
            </w:r>
          </w:p>
        </w:tc>
        <w:tc>
          <w:tcPr>
            <w:tcW w:w="1428" w:type="dxa"/>
            <w:tcBorders>
              <w:bottom w:val="nil"/>
            </w:tcBorders>
            <w:shd w:val="clear" w:color="auto" w:fill="BEBEBE"/>
          </w:tcPr>
          <w:p w14:paraId="24CAD297">
            <w:pPr>
              <w:pStyle w:val="17"/>
              <w:spacing w:before="5" w:line="190" w:lineRule="exact"/>
              <w:ind w:left="68" w:right="44"/>
              <w:rPr>
                <w:rFonts w:hint="eastAsia" w:ascii="黑体" w:eastAsia="黑体"/>
                <w:sz w:val="18"/>
              </w:rPr>
            </w:pPr>
            <w:r>
              <w:rPr>
                <w:rFonts w:hint="eastAsia" w:ascii="黑体" w:eastAsia="黑体"/>
                <w:sz w:val="18"/>
              </w:rPr>
              <w:t>污染防治设施处</w:t>
            </w:r>
          </w:p>
        </w:tc>
        <w:tc>
          <w:tcPr>
            <w:tcW w:w="1613" w:type="dxa"/>
            <w:vMerge w:val="restart"/>
            <w:shd w:val="clear" w:color="auto" w:fill="BEBEBE"/>
          </w:tcPr>
          <w:p w14:paraId="7CBC8BB8">
            <w:pPr>
              <w:pStyle w:val="17"/>
              <w:spacing w:before="115"/>
              <w:ind w:left="267"/>
              <w:jc w:val="left"/>
              <w:rPr>
                <w:rFonts w:hint="eastAsia" w:ascii="黑体" w:eastAsia="黑体"/>
                <w:sz w:val="18"/>
              </w:rPr>
            </w:pPr>
            <w:r>
              <w:rPr>
                <w:rFonts w:hint="eastAsia" w:ascii="黑体" w:eastAsia="黑体"/>
                <w:sz w:val="18"/>
              </w:rPr>
              <w:t>序号（编号）</w:t>
            </w:r>
          </w:p>
        </w:tc>
        <w:tc>
          <w:tcPr>
            <w:tcW w:w="1783" w:type="dxa"/>
            <w:vMerge w:val="restart"/>
            <w:shd w:val="clear" w:color="auto" w:fill="BEBEBE"/>
          </w:tcPr>
          <w:p w14:paraId="207409DA">
            <w:pPr>
              <w:pStyle w:val="17"/>
              <w:spacing w:before="115"/>
              <w:ind w:left="132" w:right="107"/>
              <w:rPr>
                <w:rFonts w:hint="eastAsia" w:ascii="黑体" w:eastAsia="黑体"/>
                <w:sz w:val="18"/>
              </w:rPr>
            </w:pPr>
            <w:r>
              <w:rPr>
                <w:rFonts w:hint="eastAsia" w:ascii="黑体" w:eastAsia="黑体"/>
                <w:sz w:val="18"/>
              </w:rPr>
              <w:t>名称</w:t>
            </w:r>
          </w:p>
        </w:tc>
        <w:tc>
          <w:tcPr>
            <w:tcW w:w="1339" w:type="dxa"/>
            <w:vMerge w:val="restart"/>
            <w:shd w:val="clear" w:color="auto" w:fill="BEBEBE"/>
          </w:tcPr>
          <w:p w14:paraId="6E3B79C3">
            <w:pPr>
              <w:pStyle w:val="17"/>
              <w:spacing w:before="115"/>
              <w:ind w:left="222"/>
              <w:jc w:val="left"/>
              <w:rPr>
                <w:rFonts w:hint="eastAsia" w:ascii="黑体" w:eastAsia="黑体"/>
                <w:sz w:val="18"/>
              </w:rPr>
            </w:pPr>
            <w:r>
              <w:rPr>
                <w:rFonts w:hint="eastAsia" w:ascii="黑体" w:eastAsia="黑体"/>
                <w:sz w:val="18"/>
              </w:rPr>
              <w:t>污染物种类</w:t>
            </w:r>
          </w:p>
        </w:tc>
        <w:tc>
          <w:tcPr>
            <w:tcW w:w="2520" w:type="dxa"/>
            <w:vMerge w:val="restart"/>
            <w:shd w:val="clear" w:color="auto" w:fill="BEBEBE"/>
          </w:tcPr>
          <w:p w14:paraId="7EC7BA3D">
            <w:pPr>
              <w:pStyle w:val="17"/>
              <w:spacing w:before="101"/>
              <w:ind w:left="243"/>
              <w:jc w:val="left"/>
              <w:rPr>
                <w:rFonts w:hint="eastAsia" w:ascii="黑体" w:eastAsia="黑体"/>
                <w:sz w:val="18"/>
              </w:rPr>
            </w:pPr>
            <w:r>
              <w:rPr>
                <w:rFonts w:hint="eastAsia" w:ascii="黑体" w:eastAsia="黑体"/>
                <w:sz w:val="18"/>
              </w:rPr>
              <w:t>排放浓度（毫克</w:t>
            </w:r>
            <w:r>
              <w:rPr>
                <w:rFonts w:ascii="Times New Roman" w:eastAsia="Times New Roman"/>
                <w:sz w:val="18"/>
              </w:rPr>
              <w:t>/</w:t>
            </w:r>
            <w:r>
              <w:rPr>
                <w:rFonts w:hint="eastAsia" w:ascii="黑体" w:eastAsia="黑体"/>
                <w:sz w:val="18"/>
              </w:rPr>
              <w:t>立方米）</w:t>
            </w:r>
          </w:p>
        </w:tc>
        <w:tc>
          <w:tcPr>
            <w:tcW w:w="1416" w:type="dxa"/>
            <w:tcBorders>
              <w:bottom w:val="nil"/>
            </w:tcBorders>
            <w:shd w:val="clear" w:color="auto" w:fill="BEBEBE"/>
          </w:tcPr>
          <w:p w14:paraId="7AC723D0">
            <w:pPr>
              <w:pStyle w:val="17"/>
              <w:spacing w:before="3" w:line="193" w:lineRule="exact"/>
              <w:ind w:left="37" w:right="12"/>
              <w:rPr>
                <w:rFonts w:hint="eastAsia" w:ascii="黑体" w:eastAsia="黑体"/>
                <w:sz w:val="18"/>
              </w:rPr>
            </w:pPr>
            <w:r>
              <w:rPr>
                <w:rFonts w:hint="eastAsia" w:ascii="黑体" w:eastAsia="黑体"/>
                <w:sz w:val="18"/>
              </w:rPr>
              <w:t>排放速率</w:t>
            </w:r>
          </w:p>
        </w:tc>
        <w:tc>
          <w:tcPr>
            <w:tcW w:w="1416" w:type="dxa"/>
            <w:vMerge w:val="restart"/>
            <w:shd w:val="clear" w:color="auto" w:fill="BEBEBE"/>
          </w:tcPr>
          <w:p w14:paraId="0F03569D">
            <w:pPr>
              <w:pStyle w:val="17"/>
              <w:spacing w:before="101"/>
              <w:ind w:left="30"/>
              <w:jc w:val="left"/>
              <w:rPr>
                <w:rFonts w:hint="eastAsia" w:ascii="黑体" w:eastAsia="黑体"/>
                <w:sz w:val="18"/>
              </w:rPr>
            </w:pPr>
            <w:r>
              <w:rPr>
                <w:rFonts w:hint="eastAsia" w:ascii="黑体" w:eastAsia="黑体"/>
                <w:sz w:val="18"/>
              </w:rPr>
              <w:t>排放量（吨</w:t>
            </w:r>
            <w:r>
              <w:rPr>
                <w:rFonts w:ascii="Times New Roman" w:eastAsia="Times New Roman"/>
                <w:sz w:val="18"/>
              </w:rPr>
              <w:t>/</w:t>
            </w:r>
            <w:r>
              <w:rPr>
                <w:rFonts w:hint="eastAsia" w:ascii="黑体" w:eastAsia="黑体"/>
                <w:sz w:val="18"/>
              </w:rPr>
              <w:t>年）</w:t>
            </w:r>
          </w:p>
        </w:tc>
        <w:tc>
          <w:tcPr>
            <w:tcW w:w="2852" w:type="dxa"/>
            <w:gridSpan w:val="3"/>
            <w:vMerge w:val="restart"/>
            <w:shd w:val="clear" w:color="auto" w:fill="BEBEBE"/>
          </w:tcPr>
          <w:p w14:paraId="6F0D8BC9">
            <w:pPr>
              <w:pStyle w:val="17"/>
              <w:spacing w:before="115"/>
              <w:ind w:left="889"/>
              <w:jc w:val="left"/>
              <w:rPr>
                <w:rFonts w:hint="eastAsia" w:ascii="黑体" w:eastAsia="黑体"/>
                <w:sz w:val="18"/>
              </w:rPr>
            </w:pPr>
            <w:r>
              <w:rPr>
                <w:rFonts w:hint="eastAsia" w:ascii="黑体" w:eastAsia="黑体"/>
                <w:sz w:val="18"/>
              </w:rPr>
              <w:t>排放标准名称</w:t>
            </w:r>
          </w:p>
        </w:tc>
      </w:tr>
      <w:tr w14:paraId="694E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886" w:type="dxa"/>
            <w:tcBorders>
              <w:top w:val="nil"/>
              <w:bottom w:val="nil"/>
            </w:tcBorders>
            <w:shd w:val="clear" w:color="auto" w:fill="BEBEBE"/>
          </w:tcPr>
          <w:p w14:paraId="10D7DEC4">
            <w:pPr>
              <w:pStyle w:val="17"/>
              <w:jc w:val="left"/>
              <w:rPr>
                <w:rFonts w:ascii="Times New Roman"/>
                <w:sz w:val="14"/>
              </w:rPr>
            </w:pPr>
          </w:p>
        </w:tc>
        <w:tc>
          <w:tcPr>
            <w:tcW w:w="749" w:type="dxa"/>
            <w:tcBorders>
              <w:top w:val="nil"/>
              <w:bottom w:val="nil"/>
            </w:tcBorders>
            <w:shd w:val="clear" w:color="auto" w:fill="BEBEBE"/>
          </w:tcPr>
          <w:p w14:paraId="0E2A6AE1">
            <w:pPr>
              <w:pStyle w:val="17"/>
              <w:jc w:val="left"/>
              <w:rPr>
                <w:rFonts w:ascii="Times New Roman"/>
                <w:sz w:val="14"/>
              </w:rPr>
            </w:pPr>
          </w:p>
        </w:tc>
        <w:tc>
          <w:tcPr>
            <w:tcW w:w="826" w:type="dxa"/>
            <w:tcBorders>
              <w:top w:val="nil"/>
            </w:tcBorders>
            <w:shd w:val="clear" w:color="auto" w:fill="BEBEBE"/>
          </w:tcPr>
          <w:p w14:paraId="297722B4">
            <w:pPr>
              <w:pStyle w:val="17"/>
              <w:jc w:val="left"/>
              <w:rPr>
                <w:rFonts w:ascii="Times New Roman"/>
                <w:sz w:val="14"/>
              </w:rPr>
            </w:pPr>
          </w:p>
        </w:tc>
        <w:tc>
          <w:tcPr>
            <w:tcW w:w="1416" w:type="dxa"/>
            <w:tcBorders>
              <w:top w:val="nil"/>
            </w:tcBorders>
            <w:shd w:val="clear" w:color="auto" w:fill="BEBEBE"/>
          </w:tcPr>
          <w:p w14:paraId="21ED0697">
            <w:pPr>
              <w:pStyle w:val="17"/>
              <w:jc w:val="left"/>
              <w:rPr>
                <w:rFonts w:ascii="Times New Roman"/>
                <w:sz w:val="14"/>
              </w:rPr>
            </w:pPr>
          </w:p>
        </w:tc>
        <w:tc>
          <w:tcPr>
            <w:tcW w:w="1219" w:type="dxa"/>
            <w:tcBorders>
              <w:top w:val="nil"/>
            </w:tcBorders>
            <w:shd w:val="clear" w:color="auto" w:fill="BEBEBE"/>
          </w:tcPr>
          <w:p w14:paraId="3F687269">
            <w:pPr>
              <w:pStyle w:val="17"/>
              <w:jc w:val="left"/>
              <w:rPr>
                <w:rFonts w:ascii="Times New Roman"/>
                <w:sz w:val="14"/>
              </w:rPr>
            </w:pPr>
          </w:p>
        </w:tc>
        <w:tc>
          <w:tcPr>
            <w:tcW w:w="1536" w:type="dxa"/>
            <w:vMerge w:val="continue"/>
            <w:tcBorders>
              <w:top w:val="nil"/>
            </w:tcBorders>
            <w:shd w:val="clear" w:color="auto" w:fill="BEBEBE"/>
          </w:tcPr>
          <w:p w14:paraId="53B5EC90">
            <w:pPr>
              <w:rPr>
                <w:sz w:val="2"/>
                <w:szCs w:val="2"/>
              </w:rPr>
            </w:pPr>
          </w:p>
        </w:tc>
        <w:tc>
          <w:tcPr>
            <w:tcW w:w="1908" w:type="dxa"/>
            <w:vMerge w:val="continue"/>
            <w:tcBorders>
              <w:top w:val="nil"/>
            </w:tcBorders>
            <w:shd w:val="clear" w:color="auto" w:fill="BEBEBE"/>
          </w:tcPr>
          <w:p w14:paraId="262A819B">
            <w:pPr>
              <w:rPr>
                <w:sz w:val="2"/>
                <w:szCs w:val="2"/>
              </w:rPr>
            </w:pPr>
          </w:p>
        </w:tc>
        <w:tc>
          <w:tcPr>
            <w:tcW w:w="1428" w:type="dxa"/>
            <w:tcBorders>
              <w:top w:val="nil"/>
            </w:tcBorders>
            <w:shd w:val="clear" w:color="auto" w:fill="BEBEBE"/>
          </w:tcPr>
          <w:p w14:paraId="675FEB03">
            <w:pPr>
              <w:pStyle w:val="17"/>
              <w:spacing w:line="188" w:lineRule="exact"/>
              <w:ind w:left="68" w:right="44"/>
              <w:rPr>
                <w:rFonts w:hint="eastAsia" w:ascii="黑体" w:eastAsia="黑体"/>
                <w:sz w:val="18"/>
              </w:rPr>
            </w:pPr>
            <w:r>
              <w:rPr>
                <w:rFonts w:hint="eastAsia" w:ascii="黑体" w:eastAsia="黑体"/>
                <w:sz w:val="18"/>
              </w:rPr>
              <w:t>理效率</w:t>
            </w:r>
          </w:p>
        </w:tc>
        <w:tc>
          <w:tcPr>
            <w:tcW w:w="1613" w:type="dxa"/>
            <w:vMerge w:val="continue"/>
            <w:tcBorders>
              <w:top w:val="nil"/>
            </w:tcBorders>
            <w:shd w:val="clear" w:color="auto" w:fill="BEBEBE"/>
          </w:tcPr>
          <w:p w14:paraId="1AAFE51C">
            <w:pPr>
              <w:rPr>
                <w:sz w:val="2"/>
                <w:szCs w:val="2"/>
              </w:rPr>
            </w:pPr>
          </w:p>
        </w:tc>
        <w:tc>
          <w:tcPr>
            <w:tcW w:w="1783" w:type="dxa"/>
            <w:vMerge w:val="continue"/>
            <w:tcBorders>
              <w:top w:val="nil"/>
            </w:tcBorders>
            <w:shd w:val="clear" w:color="auto" w:fill="BEBEBE"/>
          </w:tcPr>
          <w:p w14:paraId="0984CF2B">
            <w:pPr>
              <w:rPr>
                <w:sz w:val="2"/>
                <w:szCs w:val="2"/>
              </w:rPr>
            </w:pPr>
          </w:p>
        </w:tc>
        <w:tc>
          <w:tcPr>
            <w:tcW w:w="1339" w:type="dxa"/>
            <w:vMerge w:val="continue"/>
            <w:tcBorders>
              <w:top w:val="nil"/>
            </w:tcBorders>
            <w:shd w:val="clear" w:color="auto" w:fill="BEBEBE"/>
          </w:tcPr>
          <w:p w14:paraId="4CD4F623">
            <w:pPr>
              <w:rPr>
                <w:sz w:val="2"/>
                <w:szCs w:val="2"/>
              </w:rPr>
            </w:pPr>
          </w:p>
        </w:tc>
        <w:tc>
          <w:tcPr>
            <w:tcW w:w="2520" w:type="dxa"/>
            <w:vMerge w:val="continue"/>
            <w:tcBorders>
              <w:top w:val="nil"/>
            </w:tcBorders>
            <w:shd w:val="clear" w:color="auto" w:fill="BEBEBE"/>
          </w:tcPr>
          <w:p w14:paraId="2FD0FC11">
            <w:pPr>
              <w:rPr>
                <w:sz w:val="2"/>
                <w:szCs w:val="2"/>
              </w:rPr>
            </w:pPr>
          </w:p>
        </w:tc>
        <w:tc>
          <w:tcPr>
            <w:tcW w:w="1416" w:type="dxa"/>
            <w:tcBorders>
              <w:top w:val="nil"/>
            </w:tcBorders>
            <w:shd w:val="clear" w:color="auto" w:fill="BEBEBE"/>
          </w:tcPr>
          <w:p w14:paraId="0A0EA54B">
            <w:pPr>
              <w:pStyle w:val="17"/>
              <w:spacing w:line="188" w:lineRule="exact"/>
              <w:ind w:left="37" w:right="13"/>
              <w:rPr>
                <w:rFonts w:ascii="Times New Roman" w:eastAsia="Times New Roman"/>
                <w:sz w:val="18"/>
              </w:rPr>
            </w:pPr>
            <w:r>
              <w:rPr>
                <w:rFonts w:ascii="Times New Roman" w:eastAsia="Times New Roman"/>
                <w:sz w:val="18"/>
              </w:rPr>
              <w:t>(</w:t>
            </w:r>
            <w:r>
              <w:rPr>
                <w:rFonts w:hint="eastAsia" w:ascii="黑体" w:eastAsia="黑体"/>
                <w:sz w:val="18"/>
              </w:rPr>
              <w:t>千克</w:t>
            </w:r>
            <w:r>
              <w:rPr>
                <w:rFonts w:ascii="Times New Roman" w:eastAsia="Times New Roman"/>
                <w:sz w:val="18"/>
              </w:rPr>
              <w:t>/</w:t>
            </w:r>
            <w:r>
              <w:rPr>
                <w:rFonts w:hint="eastAsia" w:ascii="黑体" w:eastAsia="黑体"/>
                <w:sz w:val="18"/>
              </w:rPr>
              <w:t>小时</w:t>
            </w:r>
            <w:r>
              <w:rPr>
                <w:rFonts w:ascii="Times New Roman" w:eastAsia="Times New Roman"/>
                <w:sz w:val="18"/>
              </w:rPr>
              <w:t>)</w:t>
            </w:r>
          </w:p>
        </w:tc>
        <w:tc>
          <w:tcPr>
            <w:tcW w:w="1416" w:type="dxa"/>
            <w:vMerge w:val="continue"/>
            <w:tcBorders>
              <w:top w:val="nil"/>
            </w:tcBorders>
            <w:shd w:val="clear" w:color="auto" w:fill="BEBEBE"/>
          </w:tcPr>
          <w:p w14:paraId="740BC568">
            <w:pPr>
              <w:rPr>
                <w:sz w:val="2"/>
                <w:szCs w:val="2"/>
              </w:rPr>
            </w:pPr>
          </w:p>
        </w:tc>
        <w:tc>
          <w:tcPr>
            <w:tcW w:w="2852" w:type="dxa"/>
            <w:gridSpan w:val="3"/>
            <w:vMerge w:val="continue"/>
            <w:tcBorders>
              <w:top w:val="nil"/>
            </w:tcBorders>
            <w:shd w:val="clear" w:color="auto" w:fill="BEBEBE"/>
          </w:tcPr>
          <w:p w14:paraId="4726C74B">
            <w:pPr>
              <w:rPr>
                <w:sz w:val="2"/>
                <w:szCs w:val="2"/>
              </w:rPr>
            </w:pPr>
          </w:p>
        </w:tc>
      </w:tr>
      <w:tr w14:paraId="3EEBF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886" w:type="dxa"/>
            <w:vMerge w:val="restart"/>
            <w:tcBorders>
              <w:top w:val="nil"/>
              <w:bottom w:val="nil"/>
            </w:tcBorders>
            <w:shd w:val="clear" w:color="auto" w:fill="BEBEBE"/>
          </w:tcPr>
          <w:p w14:paraId="3631FFAF">
            <w:pPr>
              <w:pStyle w:val="17"/>
              <w:jc w:val="left"/>
              <w:rPr>
                <w:rFonts w:ascii="Times New Roman"/>
                <w:sz w:val="16"/>
              </w:rPr>
            </w:pPr>
          </w:p>
        </w:tc>
        <w:tc>
          <w:tcPr>
            <w:tcW w:w="749" w:type="dxa"/>
            <w:vMerge w:val="restart"/>
            <w:tcBorders>
              <w:top w:val="nil"/>
              <w:bottom w:val="nil"/>
            </w:tcBorders>
            <w:shd w:val="clear" w:color="auto" w:fill="BEBEBE"/>
          </w:tcPr>
          <w:p w14:paraId="4085E99D">
            <w:pPr>
              <w:pStyle w:val="17"/>
              <w:jc w:val="left"/>
              <w:rPr>
                <w:rFonts w:ascii="Times New Roman"/>
                <w:sz w:val="18"/>
              </w:rPr>
            </w:pPr>
          </w:p>
          <w:p w14:paraId="6153A3E3">
            <w:pPr>
              <w:pStyle w:val="17"/>
              <w:spacing w:before="147" w:line="232" w:lineRule="auto"/>
              <w:ind w:left="198" w:right="82" w:hanging="92"/>
              <w:jc w:val="left"/>
              <w:rPr>
                <w:rFonts w:hint="eastAsia" w:ascii="黑体" w:eastAsia="黑体"/>
                <w:sz w:val="18"/>
              </w:rPr>
            </w:pPr>
            <w:r>
              <w:rPr>
                <w:rFonts w:hint="eastAsia" w:ascii="黑体" w:eastAsia="黑体"/>
                <w:sz w:val="18"/>
              </w:rPr>
              <w:t>有组织排放</w:t>
            </w:r>
          </w:p>
          <w:p w14:paraId="1E89AA79">
            <w:pPr>
              <w:pStyle w:val="17"/>
              <w:spacing w:line="190" w:lineRule="exact"/>
              <w:ind w:left="107"/>
              <w:jc w:val="left"/>
              <w:rPr>
                <w:rFonts w:hint="eastAsia" w:ascii="黑体" w:eastAsia="黑体"/>
                <w:sz w:val="18"/>
              </w:rPr>
            </w:pPr>
            <w:r>
              <w:rPr>
                <w:rFonts w:hint="eastAsia" w:ascii="黑体" w:eastAsia="黑体"/>
                <w:sz w:val="18"/>
              </w:rPr>
              <w:t>（主要</w:t>
            </w:r>
          </w:p>
        </w:tc>
        <w:tc>
          <w:tcPr>
            <w:tcW w:w="826" w:type="dxa"/>
            <w:vMerge w:val="restart"/>
            <w:tcBorders>
              <w:bottom w:val="nil"/>
            </w:tcBorders>
          </w:tcPr>
          <w:p w14:paraId="024F0C33">
            <w:pPr>
              <w:pStyle w:val="17"/>
              <w:jc w:val="left"/>
              <w:rPr>
                <w:rFonts w:ascii="Times New Roman"/>
                <w:sz w:val="20"/>
              </w:rPr>
            </w:pPr>
          </w:p>
          <w:p w14:paraId="68E75B50">
            <w:pPr>
              <w:pStyle w:val="17"/>
              <w:spacing w:before="8"/>
              <w:jc w:val="left"/>
              <w:rPr>
                <w:rFonts w:ascii="Times New Roman"/>
                <w:sz w:val="19"/>
              </w:rPr>
            </w:pPr>
          </w:p>
          <w:p w14:paraId="6CA509EE">
            <w:pPr>
              <w:pStyle w:val="17"/>
              <w:ind w:left="152"/>
              <w:jc w:val="left"/>
              <w:rPr>
                <w:rFonts w:ascii="Times New Roman"/>
                <w:sz w:val="18"/>
              </w:rPr>
            </w:pPr>
            <w:r>
              <w:rPr>
                <w:rFonts w:ascii="Times New Roman"/>
                <w:sz w:val="18"/>
              </w:rPr>
              <w:t>DA001</w:t>
            </w:r>
          </w:p>
        </w:tc>
        <w:tc>
          <w:tcPr>
            <w:tcW w:w="1416" w:type="dxa"/>
            <w:vMerge w:val="restart"/>
            <w:tcBorders>
              <w:bottom w:val="nil"/>
            </w:tcBorders>
          </w:tcPr>
          <w:p w14:paraId="5B201B4F">
            <w:pPr>
              <w:pStyle w:val="17"/>
              <w:jc w:val="left"/>
              <w:rPr>
                <w:rFonts w:ascii="Times New Roman"/>
                <w:sz w:val="18"/>
              </w:rPr>
            </w:pPr>
          </w:p>
          <w:p w14:paraId="654074B4">
            <w:pPr>
              <w:pStyle w:val="17"/>
              <w:spacing w:before="147" w:line="232" w:lineRule="auto"/>
              <w:ind w:left="260" w:right="54" w:hanging="181"/>
              <w:jc w:val="left"/>
              <w:rPr>
                <w:sz w:val="18"/>
              </w:rPr>
            </w:pPr>
            <w:r>
              <w:rPr>
                <w:sz w:val="18"/>
              </w:rPr>
              <w:t>破碎、投料混料废气排气筒</w:t>
            </w:r>
          </w:p>
        </w:tc>
        <w:tc>
          <w:tcPr>
            <w:tcW w:w="1219" w:type="dxa"/>
            <w:vMerge w:val="restart"/>
            <w:tcBorders>
              <w:bottom w:val="nil"/>
            </w:tcBorders>
          </w:tcPr>
          <w:p w14:paraId="0BE9226C">
            <w:pPr>
              <w:pStyle w:val="17"/>
              <w:jc w:val="left"/>
              <w:rPr>
                <w:rFonts w:ascii="Times New Roman"/>
                <w:sz w:val="20"/>
              </w:rPr>
            </w:pPr>
          </w:p>
          <w:p w14:paraId="2F55F308">
            <w:pPr>
              <w:pStyle w:val="17"/>
              <w:spacing w:before="8"/>
              <w:jc w:val="left"/>
              <w:rPr>
                <w:rFonts w:ascii="Times New Roman"/>
                <w:sz w:val="19"/>
              </w:rPr>
            </w:pPr>
          </w:p>
          <w:p w14:paraId="6BC823E2">
            <w:pPr>
              <w:pStyle w:val="17"/>
              <w:ind w:left="144" w:right="120"/>
              <w:rPr>
                <w:rFonts w:ascii="Times New Roman"/>
                <w:sz w:val="18"/>
              </w:rPr>
            </w:pPr>
            <w:r>
              <w:rPr>
                <w:rFonts w:ascii="Times New Roman"/>
                <w:sz w:val="18"/>
              </w:rPr>
              <w:t>15</w:t>
            </w:r>
          </w:p>
        </w:tc>
        <w:tc>
          <w:tcPr>
            <w:tcW w:w="1536" w:type="dxa"/>
            <w:vMerge w:val="restart"/>
            <w:tcBorders>
              <w:bottom w:val="nil"/>
            </w:tcBorders>
          </w:tcPr>
          <w:p w14:paraId="2C06D593">
            <w:pPr>
              <w:pStyle w:val="17"/>
              <w:jc w:val="left"/>
              <w:rPr>
                <w:rFonts w:ascii="Times New Roman"/>
                <w:sz w:val="20"/>
              </w:rPr>
            </w:pPr>
          </w:p>
          <w:p w14:paraId="1FCA3B3A">
            <w:pPr>
              <w:pStyle w:val="17"/>
              <w:spacing w:before="8"/>
              <w:jc w:val="left"/>
              <w:rPr>
                <w:rFonts w:ascii="Times New Roman"/>
                <w:sz w:val="19"/>
              </w:rPr>
            </w:pPr>
          </w:p>
          <w:p w14:paraId="7090E1A6">
            <w:pPr>
              <w:pStyle w:val="17"/>
              <w:ind w:left="517"/>
              <w:jc w:val="left"/>
              <w:rPr>
                <w:rFonts w:ascii="Times New Roman"/>
                <w:sz w:val="18"/>
              </w:rPr>
            </w:pPr>
            <w:r>
              <w:rPr>
                <w:rFonts w:ascii="Times New Roman"/>
                <w:sz w:val="18"/>
              </w:rPr>
              <w:t>TA001</w:t>
            </w:r>
          </w:p>
        </w:tc>
        <w:tc>
          <w:tcPr>
            <w:tcW w:w="1908" w:type="dxa"/>
            <w:vMerge w:val="restart"/>
            <w:tcBorders>
              <w:bottom w:val="nil"/>
            </w:tcBorders>
          </w:tcPr>
          <w:p w14:paraId="6288A3AA">
            <w:pPr>
              <w:pStyle w:val="17"/>
              <w:jc w:val="left"/>
              <w:rPr>
                <w:rFonts w:ascii="Times New Roman"/>
                <w:sz w:val="18"/>
              </w:rPr>
            </w:pPr>
          </w:p>
          <w:p w14:paraId="17AE1BEF">
            <w:pPr>
              <w:pStyle w:val="17"/>
              <w:spacing w:before="147" w:line="232" w:lineRule="auto"/>
              <w:ind w:left="416" w:right="28" w:hanging="363"/>
              <w:jc w:val="left"/>
              <w:rPr>
                <w:sz w:val="18"/>
              </w:rPr>
            </w:pPr>
            <w:r>
              <w:rPr>
                <w:sz w:val="18"/>
              </w:rPr>
              <w:t>布袋除尘器+过滤棉+二级活性炭吸附</w:t>
            </w:r>
          </w:p>
        </w:tc>
        <w:tc>
          <w:tcPr>
            <w:tcW w:w="1428" w:type="dxa"/>
            <w:vMerge w:val="restart"/>
            <w:tcBorders>
              <w:bottom w:val="nil"/>
            </w:tcBorders>
          </w:tcPr>
          <w:p w14:paraId="535C2B16">
            <w:pPr>
              <w:pStyle w:val="17"/>
              <w:jc w:val="left"/>
              <w:rPr>
                <w:rFonts w:ascii="Times New Roman"/>
                <w:sz w:val="20"/>
              </w:rPr>
            </w:pPr>
          </w:p>
          <w:p w14:paraId="1093DB4A">
            <w:pPr>
              <w:pStyle w:val="17"/>
              <w:spacing w:before="8"/>
              <w:jc w:val="left"/>
              <w:rPr>
                <w:rFonts w:ascii="Times New Roman"/>
                <w:sz w:val="19"/>
              </w:rPr>
            </w:pPr>
          </w:p>
          <w:p w14:paraId="3E0BED09">
            <w:pPr>
              <w:pStyle w:val="17"/>
              <w:ind w:left="476"/>
              <w:jc w:val="left"/>
              <w:rPr>
                <w:rFonts w:ascii="Times New Roman"/>
                <w:sz w:val="18"/>
              </w:rPr>
            </w:pPr>
            <w:r>
              <w:rPr>
                <w:rFonts w:ascii="Times New Roman"/>
                <w:sz w:val="18"/>
              </w:rPr>
              <w:t>99%%</w:t>
            </w:r>
          </w:p>
        </w:tc>
        <w:tc>
          <w:tcPr>
            <w:tcW w:w="1613" w:type="dxa"/>
          </w:tcPr>
          <w:p w14:paraId="3CA17BFC">
            <w:pPr>
              <w:pStyle w:val="17"/>
              <w:spacing w:before="173"/>
              <w:ind w:left="35" w:right="9"/>
              <w:rPr>
                <w:rFonts w:ascii="Times New Roman"/>
                <w:sz w:val="18"/>
              </w:rPr>
            </w:pPr>
            <w:r>
              <w:rPr>
                <w:rFonts w:ascii="Times New Roman"/>
                <w:sz w:val="18"/>
              </w:rPr>
              <w:t>MF0001~MF0002</w:t>
            </w:r>
          </w:p>
        </w:tc>
        <w:tc>
          <w:tcPr>
            <w:tcW w:w="1783" w:type="dxa"/>
          </w:tcPr>
          <w:p w14:paraId="3B3DF433">
            <w:pPr>
              <w:pStyle w:val="17"/>
              <w:jc w:val="left"/>
              <w:rPr>
                <w:rFonts w:ascii="Times New Roman"/>
                <w:sz w:val="15"/>
              </w:rPr>
            </w:pPr>
          </w:p>
          <w:p w14:paraId="1F10E303">
            <w:pPr>
              <w:pStyle w:val="17"/>
              <w:spacing w:before="1"/>
              <w:ind w:left="132" w:right="107"/>
              <w:rPr>
                <w:sz w:val="18"/>
              </w:rPr>
            </w:pPr>
            <w:r>
              <w:rPr>
                <w:sz w:val="18"/>
              </w:rPr>
              <w:t>破碎</w:t>
            </w:r>
          </w:p>
        </w:tc>
        <w:tc>
          <w:tcPr>
            <w:tcW w:w="1339" w:type="dxa"/>
            <w:vMerge w:val="restart"/>
            <w:tcBorders>
              <w:bottom w:val="nil"/>
            </w:tcBorders>
          </w:tcPr>
          <w:p w14:paraId="25E62015">
            <w:pPr>
              <w:pStyle w:val="17"/>
              <w:jc w:val="left"/>
              <w:rPr>
                <w:rFonts w:ascii="Times New Roman"/>
                <w:sz w:val="18"/>
              </w:rPr>
            </w:pPr>
          </w:p>
          <w:p w14:paraId="14FD6DEF">
            <w:pPr>
              <w:pStyle w:val="17"/>
              <w:spacing w:before="10"/>
              <w:jc w:val="left"/>
              <w:rPr>
                <w:rFonts w:ascii="Times New Roman"/>
                <w:sz w:val="21"/>
              </w:rPr>
            </w:pPr>
          </w:p>
          <w:p w14:paraId="494A4AEA">
            <w:pPr>
              <w:pStyle w:val="17"/>
              <w:ind w:left="401"/>
              <w:jc w:val="left"/>
              <w:rPr>
                <w:sz w:val="18"/>
              </w:rPr>
            </w:pPr>
            <w:r>
              <w:rPr>
                <w:sz w:val="18"/>
              </w:rPr>
              <w:t>颗粒物</w:t>
            </w:r>
          </w:p>
        </w:tc>
        <w:tc>
          <w:tcPr>
            <w:tcW w:w="2520" w:type="dxa"/>
            <w:vMerge w:val="restart"/>
            <w:tcBorders>
              <w:bottom w:val="nil"/>
            </w:tcBorders>
          </w:tcPr>
          <w:p w14:paraId="31D34B43">
            <w:pPr>
              <w:pStyle w:val="17"/>
              <w:jc w:val="left"/>
              <w:rPr>
                <w:rFonts w:ascii="Times New Roman"/>
                <w:sz w:val="20"/>
              </w:rPr>
            </w:pPr>
          </w:p>
          <w:p w14:paraId="74619885">
            <w:pPr>
              <w:pStyle w:val="17"/>
              <w:spacing w:before="8"/>
              <w:jc w:val="left"/>
              <w:rPr>
                <w:rFonts w:ascii="Times New Roman"/>
                <w:sz w:val="19"/>
              </w:rPr>
            </w:pPr>
          </w:p>
          <w:p w14:paraId="66AF850D">
            <w:pPr>
              <w:pStyle w:val="17"/>
              <w:ind w:left="792" w:right="770"/>
              <w:rPr>
                <w:rFonts w:ascii="Times New Roman"/>
                <w:sz w:val="18"/>
              </w:rPr>
            </w:pPr>
            <w:r>
              <w:rPr>
                <w:rFonts w:ascii="Times New Roman"/>
                <w:sz w:val="18"/>
              </w:rPr>
              <w:t>0.3</w:t>
            </w:r>
          </w:p>
        </w:tc>
        <w:tc>
          <w:tcPr>
            <w:tcW w:w="1416" w:type="dxa"/>
            <w:vMerge w:val="restart"/>
            <w:tcBorders>
              <w:bottom w:val="nil"/>
            </w:tcBorders>
          </w:tcPr>
          <w:p w14:paraId="2AF7D551">
            <w:pPr>
              <w:pStyle w:val="17"/>
              <w:jc w:val="left"/>
              <w:rPr>
                <w:rFonts w:ascii="Times New Roman"/>
                <w:sz w:val="20"/>
              </w:rPr>
            </w:pPr>
          </w:p>
          <w:p w14:paraId="62EAD13E">
            <w:pPr>
              <w:pStyle w:val="17"/>
              <w:spacing w:before="8"/>
              <w:jc w:val="left"/>
              <w:rPr>
                <w:rFonts w:ascii="Times New Roman"/>
                <w:sz w:val="19"/>
              </w:rPr>
            </w:pPr>
          </w:p>
          <w:p w14:paraId="7A1EA79F">
            <w:pPr>
              <w:pStyle w:val="17"/>
              <w:ind w:left="37" w:right="13"/>
              <w:rPr>
                <w:rFonts w:ascii="Times New Roman"/>
                <w:sz w:val="18"/>
              </w:rPr>
            </w:pPr>
            <w:r>
              <w:rPr>
                <w:rFonts w:ascii="Times New Roman"/>
                <w:sz w:val="18"/>
              </w:rPr>
              <w:t>0.003</w:t>
            </w:r>
          </w:p>
        </w:tc>
        <w:tc>
          <w:tcPr>
            <w:tcW w:w="1416" w:type="dxa"/>
            <w:vMerge w:val="restart"/>
            <w:tcBorders>
              <w:bottom w:val="nil"/>
            </w:tcBorders>
          </w:tcPr>
          <w:p w14:paraId="010A140A">
            <w:pPr>
              <w:pStyle w:val="17"/>
              <w:jc w:val="left"/>
              <w:rPr>
                <w:rFonts w:ascii="Times New Roman"/>
                <w:sz w:val="20"/>
              </w:rPr>
            </w:pPr>
          </w:p>
          <w:p w14:paraId="13F15EFB">
            <w:pPr>
              <w:pStyle w:val="17"/>
              <w:spacing w:before="8"/>
              <w:jc w:val="left"/>
              <w:rPr>
                <w:rFonts w:ascii="Times New Roman"/>
                <w:sz w:val="19"/>
              </w:rPr>
            </w:pPr>
          </w:p>
          <w:p w14:paraId="70305044">
            <w:pPr>
              <w:pStyle w:val="17"/>
              <w:ind w:left="37" w:right="13"/>
              <w:rPr>
                <w:rFonts w:ascii="Times New Roman"/>
                <w:sz w:val="18"/>
              </w:rPr>
            </w:pPr>
            <w:r>
              <w:rPr>
                <w:rFonts w:ascii="Times New Roman"/>
                <w:sz w:val="18"/>
              </w:rPr>
              <w:t>0.003</w:t>
            </w:r>
          </w:p>
        </w:tc>
        <w:tc>
          <w:tcPr>
            <w:tcW w:w="2852" w:type="dxa"/>
            <w:gridSpan w:val="3"/>
            <w:vMerge w:val="restart"/>
            <w:tcBorders>
              <w:bottom w:val="nil"/>
            </w:tcBorders>
          </w:tcPr>
          <w:p w14:paraId="42061ED3">
            <w:pPr>
              <w:pStyle w:val="17"/>
              <w:spacing w:before="8"/>
              <w:jc w:val="left"/>
              <w:rPr>
                <w:rFonts w:ascii="Times New Roman"/>
                <w:sz w:val="20"/>
              </w:rPr>
            </w:pPr>
          </w:p>
          <w:p w14:paraId="2C77BEB9">
            <w:pPr>
              <w:pStyle w:val="17"/>
              <w:spacing w:line="226" w:lineRule="exact"/>
              <w:ind w:left="73"/>
              <w:jc w:val="left"/>
              <w:rPr>
                <w:sz w:val="18"/>
              </w:rPr>
            </w:pPr>
            <w:r>
              <w:rPr>
                <w:sz w:val="18"/>
              </w:rPr>
              <w:t>《合成树脂工业污染物排放标准》</w:t>
            </w:r>
          </w:p>
          <w:p w14:paraId="489F2C70">
            <w:pPr>
              <w:pStyle w:val="17"/>
              <w:spacing w:line="232" w:lineRule="auto"/>
              <w:ind w:left="119" w:right="3" w:hanging="89"/>
              <w:jc w:val="left"/>
              <w:rPr>
                <w:sz w:val="18"/>
              </w:rPr>
            </w:pPr>
            <w:r>
              <w:rPr>
                <w:sz w:val="18"/>
              </w:rPr>
              <w:t>（GB 31572-2015）及2024年修改单表4大气污染物特别排放限值要求</w:t>
            </w:r>
          </w:p>
        </w:tc>
      </w:tr>
      <w:tr w14:paraId="0D8CB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886" w:type="dxa"/>
            <w:vMerge w:val="continue"/>
            <w:tcBorders>
              <w:top w:val="nil"/>
              <w:bottom w:val="nil"/>
            </w:tcBorders>
            <w:shd w:val="clear" w:color="auto" w:fill="BEBEBE"/>
          </w:tcPr>
          <w:p w14:paraId="14BC32B4">
            <w:pPr>
              <w:rPr>
                <w:sz w:val="2"/>
                <w:szCs w:val="2"/>
              </w:rPr>
            </w:pPr>
          </w:p>
        </w:tc>
        <w:tc>
          <w:tcPr>
            <w:tcW w:w="749" w:type="dxa"/>
            <w:vMerge w:val="continue"/>
            <w:tcBorders>
              <w:top w:val="nil"/>
              <w:bottom w:val="nil"/>
            </w:tcBorders>
            <w:shd w:val="clear" w:color="auto" w:fill="BEBEBE"/>
          </w:tcPr>
          <w:p w14:paraId="10AB15AA">
            <w:pPr>
              <w:rPr>
                <w:sz w:val="2"/>
                <w:szCs w:val="2"/>
              </w:rPr>
            </w:pPr>
          </w:p>
        </w:tc>
        <w:tc>
          <w:tcPr>
            <w:tcW w:w="826" w:type="dxa"/>
            <w:vMerge w:val="continue"/>
            <w:tcBorders>
              <w:top w:val="nil"/>
              <w:bottom w:val="nil"/>
            </w:tcBorders>
          </w:tcPr>
          <w:p w14:paraId="1FC0CB37">
            <w:pPr>
              <w:rPr>
                <w:sz w:val="2"/>
                <w:szCs w:val="2"/>
              </w:rPr>
            </w:pPr>
          </w:p>
        </w:tc>
        <w:tc>
          <w:tcPr>
            <w:tcW w:w="1416" w:type="dxa"/>
            <w:vMerge w:val="continue"/>
            <w:tcBorders>
              <w:top w:val="nil"/>
              <w:bottom w:val="nil"/>
            </w:tcBorders>
          </w:tcPr>
          <w:p w14:paraId="7AD73279">
            <w:pPr>
              <w:rPr>
                <w:sz w:val="2"/>
                <w:szCs w:val="2"/>
              </w:rPr>
            </w:pPr>
          </w:p>
        </w:tc>
        <w:tc>
          <w:tcPr>
            <w:tcW w:w="1219" w:type="dxa"/>
            <w:vMerge w:val="continue"/>
            <w:tcBorders>
              <w:top w:val="nil"/>
              <w:bottom w:val="nil"/>
            </w:tcBorders>
          </w:tcPr>
          <w:p w14:paraId="0DE030E6">
            <w:pPr>
              <w:rPr>
                <w:sz w:val="2"/>
                <w:szCs w:val="2"/>
              </w:rPr>
            </w:pPr>
          </w:p>
        </w:tc>
        <w:tc>
          <w:tcPr>
            <w:tcW w:w="1536" w:type="dxa"/>
            <w:vMerge w:val="continue"/>
            <w:tcBorders>
              <w:top w:val="nil"/>
              <w:bottom w:val="nil"/>
            </w:tcBorders>
          </w:tcPr>
          <w:p w14:paraId="24ED2555">
            <w:pPr>
              <w:rPr>
                <w:sz w:val="2"/>
                <w:szCs w:val="2"/>
              </w:rPr>
            </w:pPr>
          </w:p>
        </w:tc>
        <w:tc>
          <w:tcPr>
            <w:tcW w:w="1908" w:type="dxa"/>
            <w:vMerge w:val="continue"/>
            <w:tcBorders>
              <w:top w:val="nil"/>
              <w:bottom w:val="nil"/>
            </w:tcBorders>
          </w:tcPr>
          <w:p w14:paraId="29365978">
            <w:pPr>
              <w:rPr>
                <w:sz w:val="2"/>
                <w:szCs w:val="2"/>
              </w:rPr>
            </w:pPr>
          </w:p>
        </w:tc>
        <w:tc>
          <w:tcPr>
            <w:tcW w:w="1428" w:type="dxa"/>
            <w:vMerge w:val="continue"/>
            <w:tcBorders>
              <w:top w:val="nil"/>
              <w:bottom w:val="nil"/>
            </w:tcBorders>
          </w:tcPr>
          <w:p w14:paraId="73FAFE83">
            <w:pPr>
              <w:rPr>
                <w:sz w:val="2"/>
                <w:szCs w:val="2"/>
              </w:rPr>
            </w:pPr>
          </w:p>
        </w:tc>
        <w:tc>
          <w:tcPr>
            <w:tcW w:w="1613" w:type="dxa"/>
            <w:vMerge w:val="restart"/>
          </w:tcPr>
          <w:p w14:paraId="3D62C24A">
            <w:pPr>
              <w:pStyle w:val="17"/>
              <w:spacing w:before="171"/>
              <w:ind w:left="140"/>
              <w:jc w:val="left"/>
              <w:rPr>
                <w:rFonts w:ascii="Times New Roman"/>
                <w:sz w:val="18"/>
              </w:rPr>
            </w:pPr>
            <w:r>
              <w:rPr>
                <w:rFonts w:ascii="Times New Roman"/>
                <w:sz w:val="18"/>
              </w:rPr>
              <w:t>MF0003~MF0008</w:t>
            </w:r>
          </w:p>
        </w:tc>
        <w:tc>
          <w:tcPr>
            <w:tcW w:w="1783" w:type="dxa"/>
            <w:tcBorders>
              <w:bottom w:val="nil"/>
            </w:tcBorders>
          </w:tcPr>
          <w:p w14:paraId="0FE7CF7F">
            <w:pPr>
              <w:pStyle w:val="17"/>
              <w:jc w:val="left"/>
              <w:rPr>
                <w:rFonts w:ascii="Times New Roman"/>
                <w:sz w:val="15"/>
              </w:rPr>
            </w:pPr>
          </w:p>
          <w:p w14:paraId="7F57BAA9">
            <w:pPr>
              <w:pStyle w:val="17"/>
              <w:ind w:left="132" w:right="109"/>
              <w:rPr>
                <w:sz w:val="18"/>
              </w:rPr>
            </w:pPr>
            <w:r>
              <w:rPr>
                <w:sz w:val="18"/>
              </w:rPr>
              <w:t>投料混料</w:t>
            </w:r>
          </w:p>
        </w:tc>
        <w:tc>
          <w:tcPr>
            <w:tcW w:w="1339" w:type="dxa"/>
            <w:vMerge w:val="continue"/>
            <w:tcBorders>
              <w:top w:val="nil"/>
              <w:bottom w:val="nil"/>
            </w:tcBorders>
          </w:tcPr>
          <w:p w14:paraId="24398DD0">
            <w:pPr>
              <w:rPr>
                <w:sz w:val="2"/>
                <w:szCs w:val="2"/>
              </w:rPr>
            </w:pPr>
          </w:p>
        </w:tc>
        <w:tc>
          <w:tcPr>
            <w:tcW w:w="2520" w:type="dxa"/>
            <w:vMerge w:val="continue"/>
            <w:tcBorders>
              <w:top w:val="nil"/>
              <w:bottom w:val="nil"/>
            </w:tcBorders>
          </w:tcPr>
          <w:p w14:paraId="7C304118">
            <w:pPr>
              <w:rPr>
                <w:sz w:val="2"/>
                <w:szCs w:val="2"/>
              </w:rPr>
            </w:pPr>
          </w:p>
        </w:tc>
        <w:tc>
          <w:tcPr>
            <w:tcW w:w="1416" w:type="dxa"/>
            <w:vMerge w:val="continue"/>
            <w:tcBorders>
              <w:top w:val="nil"/>
              <w:bottom w:val="nil"/>
            </w:tcBorders>
          </w:tcPr>
          <w:p w14:paraId="0F942F28">
            <w:pPr>
              <w:rPr>
                <w:sz w:val="2"/>
                <w:szCs w:val="2"/>
              </w:rPr>
            </w:pPr>
          </w:p>
        </w:tc>
        <w:tc>
          <w:tcPr>
            <w:tcW w:w="1416" w:type="dxa"/>
            <w:vMerge w:val="continue"/>
            <w:tcBorders>
              <w:top w:val="nil"/>
              <w:bottom w:val="nil"/>
            </w:tcBorders>
          </w:tcPr>
          <w:p w14:paraId="11953996">
            <w:pPr>
              <w:rPr>
                <w:sz w:val="2"/>
                <w:szCs w:val="2"/>
              </w:rPr>
            </w:pPr>
          </w:p>
        </w:tc>
        <w:tc>
          <w:tcPr>
            <w:tcW w:w="2852" w:type="dxa"/>
            <w:gridSpan w:val="3"/>
            <w:vMerge w:val="continue"/>
            <w:tcBorders>
              <w:top w:val="nil"/>
              <w:bottom w:val="nil"/>
            </w:tcBorders>
          </w:tcPr>
          <w:p w14:paraId="7CF9C37B">
            <w:pPr>
              <w:rPr>
                <w:sz w:val="2"/>
                <w:szCs w:val="2"/>
              </w:rPr>
            </w:pPr>
          </w:p>
        </w:tc>
      </w:tr>
      <w:tr w14:paraId="2C647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 w:hRule="atLeast"/>
        </w:trPr>
        <w:tc>
          <w:tcPr>
            <w:tcW w:w="886" w:type="dxa"/>
            <w:vMerge w:val="restart"/>
            <w:tcBorders>
              <w:top w:val="nil"/>
              <w:bottom w:val="nil"/>
            </w:tcBorders>
            <w:shd w:val="clear" w:color="auto" w:fill="BEBEBE"/>
          </w:tcPr>
          <w:p w14:paraId="255B90DE">
            <w:pPr>
              <w:pStyle w:val="17"/>
              <w:jc w:val="left"/>
              <w:rPr>
                <w:rFonts w:ascii="Times New Roman"/>
                <w:sz w:val="14"/>
              </w:rPr>
            </w:pPr>
          </w:p>
        </w:tc>
        <w:tc>
          <w:tcPr>
            <w:tcW w:w="749" w:type="dxa"/>
            <w:vMerge w:val="restart"/>
            <w:tcBorders>
              <w:top w:val="nil"/>
              <w:bottom w:val="nil"/>
            </w:tcBorders>
            <w:shd w:val="clear" w:color="auto" w:fill="BEBEBE"/>
          </w:tcPr>
          <w:p w14:paraId="686448AD">
            <w:pPr>
              <w:pStyle w:val="17"/>
              <w:spacing w:line="188" w:lineRule="exact"/>
              <w:ind w:left="198"/>
              <w:jc w:val="left"/>
              <w:rPr>
                <w:rFonts w:hint="eastAsia" w:ascii="黑体" w:eastAsia="黑体"/>
                <w:sz w:val="18"/>
              </w:rPr>
            </w:pPr>
            <w:r>
              <w:rPr>
                <w:rFonts w:hint="eastAsia" w:ascii="黑体" w:eastAsia="黑体"/>
                <w:sz w:val="18"/>
              </w:rPr>
              <w:t>排放</w:t>
            </w:r>
          </w:p>
        </w:tc>
        <w:tc>
          <w:tcPr>
            <w:tcW w:w="826" w:type="dxa"/>
            <w:tcBorders>
              <w:top w:val="nil"/>
            </w:tcBorders>
          </w:tcPr>
          <w:p w14:paraId="60FE08D8">
            <w:pPr>
              <w:pStyle w:val="17"/>
              <w:jc w:val="left"/>
              <w:rPr>
                <w:rFonts w:ascii="Times New Roman"/>
                <w:sz w:val="4"/>
              </w:rPr>
            </w:pPr>
          </w:p>
        </w:tc>
        <w:tc>
          <w:tcPr>
            <w:tcW w:w="1416" w:type="dxa"/>
            <w:tcBorders>
              <w:top w:val="nil"/>
            </w:tcBorders>
          </w:tcPr>
          <w:p w14:paraId="71152ACD">
            <w:pPr>
              <w:pStyle w:val="17"/>
              <w:jc w:val="left"/>
              <w:rPr>
                <w:rFonts w:ascii="Times New Roman"/>
                <w:sz w:val="4"/>
              </w:rPr>
            </w:pPr>
          </w:p>
        </w:tc>
        <w:tc>
          <w:tcPr>
            <w:tcW w:w="1219" w:type="dxa"/>
            <w:tcBorders>
              <w:top w:val="nil"/>
            </w:tcBorders>
          </w:tcPr>
          <w:p w14:paraId="1E102BA9">
            <w:pPr>
              <w:pStyle w:val="17"/>
              <w:jc w:val="left"/>
              <w:rPr>
                <w:rFonts w:ascii="Times New Roman"/>
                <w:sz w:val="4"/>
              </w:rPr>
            </w:pPr>
          </w:p>
        </w:tc>
        <w:tc>
          <w:tcPr>
            <w:tcW w:w="1536" w:type="dxa"/>
            <w:tcBorders>
              <w:top w:val="nil"/>
            </w:tcBorders>
          </w:tcPr>
          <w:p w14:paraId="2B837718">
            <w:pPr>
              <w:pStyle w:val="17"/>
              <w:jc w:val="left"/>
              <w:rPr>
                <w:rFonts w:ascii="Times New Roman"/>
                <w:sz w:val="4"/>
              </w:rPr>
            </w:pPr>
          </w:p>
        </w:tc>
        <w:tc>
          <w:tcPr>
            <w:tcW w:w="1908" w:type="dxa"/>
            <w:tcBorders>
              <w:top w:val="nil"/>
            </w:tcBorders>
          </w:tcPr>
          <w:p w14:paraId="3F448118">
            <w:pPr>
              <w:pStyle w:val="17"/>
              <w:jc w:val="left"/>
              <w:rPr>
                <w:rFonts w:ascii="Times New Roman"/>
                <w:sz w:val="4"/>
              </w:rPr>
            </w:pPr>
          </w:p>
        </w:tc>
        <w:tc>
          <w:tcPr>
            <w:tcW w:w="1428" w:type="dxa"/>
            <w:tcBorders>
              <w:top w:val="nil"/>
            </w:tcBorders>
          </w:tcPr>
          <w:p w14:paraId="2C424740">
            <w:pPr>
              <w:pStyle w:val="17"/>
              <w:jc w:val="left"/>
              <w:rPr>
                <w:rFonts w:ascii="Times New Roman"/>
                <w:sz w:val="4"/>
              </w:rPr>
            </w:pPr>
          </w:p>
        </w:tc>
        <w:tc>
          <w:tcPr>
            <w:tcW w:w="1613" w:type="dxa"/>
            <w:vMerge w:val="continue"/>
            <w:tcBorders>
              <w:top w:val="nil"/>
            </w:tcBorders>
          </w:tcPr>
          <w:p w14:paraId="46824860">
            <w:pPr>
              <w:rPr>
                <w:sz w:val="2"/>
                <w:szCs w:val="2"/>
              </w:rPr>
            </w:pPr>
          </w:p>
        </w:tc>
        <w:tc>
          <w:tcPr>
            <w:tcW w:w="1783" w:type="dxa"/>
            <w:tcBorders>
              <w:top w:val="nil"/>
            </w:tcBorders>
          </w:tcPr>
          <w:p w14:paraId="57F497A6">
            <w:pPr>
              <w:pStyle w:val="17"/>
              <w:jc w:val="left"/>
              <w:rPr>
                <w:rFonts w:ascii="Times New Roman"/>
                <w:sz w:val="4"/>
              </w:rPr>
            </w:pPr>
          </w:p>
        </w:tc>
        <w:tc>
          <w:tcPr>
            <w:tcW w:w="1339" w:type="dxa"/>
            <w:tcBorders>
              <w:top w:val="nil"/>
            </w:tcBorders>
          </w:tcPr>
          <w:p w14:paraId="1A652406">
            <w:pPr>
              <w:pStyle w:val="17"/>
              <w:jc w:val="left"/>
              <w:rPr>
                <w:rFonts w:ascii="Times New Roman"/>
                <w:sz w:val="4"/>
              </w:rPr>
            </w:pPr>
          </w:p>
        </w:tc>
        <w:tc>
          <w:tcPr>
            <w:tcW w:w="2520" w:type="dxa"/>
            <w:tcBorders>
              <w:top w:val="nil"/>
            </w:tcBorders>
          </w:tcPr>
          <w:p w14:paraId="4907568C">
            <w:pPr>
              <w:pStyle w:val="17"/>
              <w:jc w:val="left"/>
              <w:rPr>
                <w:rFonts w:ascii="Times New Roman"/>
                <w:sz w:val="4"/>
              </w:rPr>
            </w:pPr>
          </w:p>
        </w:tc>
        <w:tc>
          <w:tcPr>
            <w:tcW w:w="1416" w:type="dxa"/>
            <w:tcBorders>
              <w:top w:val="nil"/>
            </w:tcBorders>
          </w:tcPr>
          <w:p w14:paraId="73B32A46">
            <w:pPr>
              <w:pStyle w:val="17"/>
              <w:jc w:val="left"/>
              <w:rPr>
                <w:rFonts w:ascii="Times New Roman"/>
                <w:sz w:val="4"/>
              </w:rPr>
            </w:pPr>
          </w:p>
        </w:tc>
        <w:tc>
          <w:tcPr>
            <w:tcW w:w="1416" w:type="dxa"/>
            <w:tcBorders>
              <w:top w:val="nil"/>
            </w:tcBorders>
          </w:tcPr>
          <w:p w14:paraId="7CC43E97">
            <w:pPr>
              <w:pStyle w:val="17"/>
              <w:jc w:val="left"/>
              <w:rPr>
                <w:rFonts w:ascii="Times New Roman"/>
                <w:sz w:val="4"/>
              </w:rPr>
            </w:pPr>
          </w:p>
        </w:tc>
        <w:tc>
          <w:tcPr>
            <w:tcW w:w="2852" w:type="dxa"/>
            <w:gridSpan w:val="3"/>
            <w:tcBorders>
              <w:top w:val="nil"/>
            </w:tcBorders>
          </w:tcPr>
          <w:p w14:paraId="392480C9">
            <w:pPr>
              <w:pStyle w:val="17"/>
              <w:jc w:val="left"/>
              <w:rPr>
                <w:rFonts w:ascii="Times New Roman"/>
                <w:sz w:val="4"/>
              </w:rPr>
            </w:pPr>
          </w:p>
        </w:tc>
      </w:tr>
      <w:tr w14:paraId="604B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 w:hRule="atLeast"/>
        </w:trPr>
        <w:tc>
          <w:tcPr>
            <w:tcW w:w="886" w:type="dxa"/>
            <w:vMerge w:val="continue"/>
            <w:tcBorders>
              <w:top w:val="nil"/>
              <w:bottom w:val="nil"/>
            </w:tcBorders>
            <w:shd w:val="clear" w:color="auto" w:fill="BEBEBE"/>
          </w:tcPr>
          <w:p w14:paraId="1FF9D1AD">
            <w:pPr>
              <w:rPr>
                <w:sz w:val="2"/>
                <w:szCs w:val="2"/>
              </w:rPr>
            </w:pPr>
          </w:p>
        </w:tc>
        <w:tc>
          <w:tcPr>
            <w:tcW w:w="749" w:type="dxa"/>
            <w:vMerge w:val="continue"/>
            <w:tcBorders>
              <w:top w:val="nil"/>
              <w:bottom w:val="nil"/>
            </w:tcBorders>
            <w:shd w:val="clear" w:color="auto" w:fill="BEBEBE"/>
          </w:tcPr>
          <w:p w14:paraId="4411CF24">
            <w:pPr>
              <w:rPr>
                <w:sz w:val="2"/>
                <w:szCs w:val="2"/>
              </w:rPr>
            </w:pPr>
          </w:p>
        </w:tc>
        <w:tc>
          <w:tcPr>
            <w:tcW w:w="826" w:type="dxa"/>
            <w:tcBorders>
              <w:bottom w:val="nil"/>
            </w:tcBorders>
          </w:tcPr>
          <w:p w14:paraId="26E5699B">
            <w:pPr>
              <w:pStyle w:val="17"/>
              <w:jc w:val="left"/>
              <w:rPr>
                <w:rFonts w:ascii="Times New Roman"/>
                <w:sz w:val="4"/>
              </w:rPr>
            </w:pPr>
          </w:p>
        </w:tc>
        <w:tc>
          <w:tcPr>
            <w:tcW w:w="1416" w:type="dxa"/>
            <w:tcBorders>
              <w:bottom w:val="nil"/>
            </w:tcBorders>
          </w:tcPr>
          <w:p w14:paraId="721C215E">
            <w:pPr>
              <w:pStyle w:val="17"/>
              <w:jc w:val="left"/>
              <w:rPr>
                <w:rFonts w:ascii="Times New Roman"/>
                <w:sz w:val="4"/>
              </w:rPr>
            </w:pPr>
          </w:p>
        </w:tc>
        <w:tc>
          <w:tcPr>
            <w:tcW w:w="1219" w:type="dxa"/>
            <w:tcBorders>
              <w:bottom w:val="nil"/>
            </w:tcBorders>
          </w:tcPr>
          <w:p w14:paraId="114C0A2F">
            <w:pPr>
              <w:pStyle w:val="17"/>
              <w:jc w:val="left"/>
              <w:rPr>
                <w:rFonts w:ascii="Times New Roman"/>
                <w:sz w:val="4"/>
              </w:rPr>
            </w:pPr>
          </w:p>
        </w:tc>
        <w:tc>
          <w:tcPr>
            <w:tcW w:w="1536" w:type="dxa"/>
            <w:tcBorders>
              <w:bottom w:val="nil"/>
            </w:tcBorders>
          </w:tcPr>
          <w:p w14:paraId="05860D2E">
            <w:pPr>
              <w:pStyle w:val="17"/>
              <w:jc w:val="left"/>
              <w:rPr>
                <w:rFonts w:ascii="Times New Roman"/>
                <w:sz w:val="4"/>
              </w:rPr>
            </w:pPr>
          </w:p>
        </w:tc>
        <w:tc>
          <w:tcPr>
            <w:tcW w:w="1908" w:type="dxa"/>
            <w:tcBorders>
              <w:bottom w:val="nil"/>
            </w:tcBorders>
          </w:tcPr>
          <w:p w14:paraId="4AAE9492">
            <w:pPr>
              <w:pStyle w:val="17"/>
              <w:jc w:val="left"/>
              <w:rPr>
                <w:rFonts w:ascii="Times New Roman"/>
                <w:sz w:val="4"/>
              </w:rPr>
            </w:pPr>
          </w:p>
        </w:tc>
        <w:tc>
          <w:tcPr>
            <w:tcW w:w="1428" w:type="dxa"/>
            <w:vMerge w:val="restart"/>
          </w:tcPr>
          <w:p w14:paraId="21E69A90">
            <w:pPr>
              <w:pStyle w:val="17"/>
              <w:spacing w:before="173"/>
              <w:ind w:left="68" w:right="44"/>
              <w:rPr>
                <w:rFonts w:ascii="Times New Roman"/>
                <w:sz w:val="18"/>
              </w:rPr>
            </w:pPr>
            <w:r>
              <w:rPr>
                <w:rFonts w:ascii="Times New Roman"/>
                <w:sz w:val="18"/>
              </w:rPr>
              <w:t>75%</w:t>
            </w:r>
          </w:p>
        </w:tc>
        <w:tc>
          <w:tcPr>
            <w:tcW w:w="1613" w:type="dxa"/>
            <w:vMerge w:val="restart"/>
          </w:tcPr>
          <w:p w14:paraId="2103E440">
            <w:pPr>
              <w:pStyle w:val="17"/>
              <w:spacing w:before="173"/>
              <w:ind w:left="140"/>
              <w:jc w:val="left"/>
              <w:rPr>
                <w:rFonts w:ascii="Times New Roman"/>
                <w:sz w:val="18"/>
              </w:rPr>
            </w:pPr>
            <w:r>
              <w:rPr>
                <w:rFonts w:ascii="Times New Roman"/>
                <w:sz w:val="18"/>
              </w:rPr>
              <w:t>MF0009~MF0010</w:t>
            </w:r>
          </w:p>
        </w:tc>
        <w:tc>
          <w:tcPr>
            <w:tcW w:w="1783" w:type="dxa"/>
            <w:tcBorders>
              <w:bottom w:val="nil"/>
            </w:tcBorders>
          </w:tcPr>
          <w:p w14:paraId="4638372D">
            <w:pPr>
              <w:pStyle w:val="17"/>
              <w:jc w:val="left"/>
              <w:rPr>
                <w:rFonts w:ascii="Times New Roman"/>
                <w:sz w:val="4"/>
              </w:rPr>
            </w:pPr>
          </w:p>
        </w:tc>
        <w:tc>
          <w:tcPr>
            <w:tcW w:w="1339" w:type="dxa"/>
            <w:tcBorders>
              <w:bottom w:val="nil"/>
            </w:tcBorders>
          </w:tcPr>
          <w:p w14:paraId="5B1C15B9">
            <w:pPr>
              <w:pStyle w:val="17"/>
              <w:jc w:val="left"/>
              <w:rPr>
                <w:rFonts w:ascii="Times New Roman"/>
                <w:sz w:val="4"/>
              </w:rPr>
            </w:pPr>
          </w:p>
        </w:tc>
        <w:tc>
          <w:tcPr>
            <w:tcW w:w="2520" w:type="dxa"/>
            <w:vMerge w:val="restart"/>
          </w:tcPr>
          <w:p w14:paraId="5BD0890D">
            <w:pPr>
              <w:pStyle w:val="17"/>
              <w:spacing w:before="173"/>
              <w:ind w:left="795" w:right="769"/>
              <w:rPr>
                <w:rFonts w:ascii="Times New Roman"/>
                <w:sz w:val="18"/>
              </w:rPr>
            </w:pPr>
            <w:r>
              <w:rPr>
                <w:rFonts w:ascii="Times New Roman"/>
                <w:sz w:val="18"/>
              </w:rPr>
              <w:t>0.27</w:t>
            </w:r>
          </w:p>
        </w:tc>
        <w:tc>
          <w:tcPr>
            <w:tcW w:w="1416" w:type="dxa"/>
            <w:vMerge w:val="restart"/>
          </w:tcPr>
          <w:p w14:paraId="66A2FA1E">
            <w:pPr>
              <w:pStyle w:val="17"/>
              <w:spacing w:before="173"/>
              <w:ind w:left="37" w:right="13"/>
              <w:rPr>
                <w:rFonts w:ascii="Times New Roman"/>
                <w:sz w:val="18"/>
              </w:rPr>
            </w:pPr>
            <w:r>
              <w:rPr>
                <w:rFonts w:ascii="Times New Roman"/>
                <w:sz w:val="18"/>
              </w:rPr>
              <w:t>0.004</w:t>
            </w:r>
          </w:p>
        </w:tc>
        <w:tc>
          <w:tcPr>
            <w:tcW w:w="1416" w:type="dxa"/>
            <w:vMerge w:val="restart"/>
          </w:tcPr>
          <w:p w14:paraId="56C53231">
            <w:pPr>
              <w:pStyle w:val="17"/>
              <w:spacing w:before="173"/>
              <w:ind w:left="37" w:right="11"/>
              <w:rPr>
                <w:rFonts w:ascii="Times New Roman"/>
                <w:sz w:val="18"/>
              </w:rPr>
            </w:pPr>
            <w:r>
              <w:rPr>
                <w:rFonts w:ascii="Times New Roman"/>
                <w:sz w:val="18"/>
              </w:rPr>
              <w:t>0.02</w:t>
            </w:r>
          </w:p>
        </w:tc>
        <w:tc>
          <w:tcPr>
            <w:tcW w:w="2852" w:type="dxa"/>
            <w:gridSpan w:val="3"/>
            <w:tcBorders>
              <w:bottom w:val="nil"/>
            </w:tcBorders>
          </w:tcPr>
          <w:p w14:paraId="64CD74AF">
            <w:pPr>
              <w:pStyle w:val="17"/>
              <w:jc w:val="left"/>
              <w:rPr>
                <w:rFonts w:ascii="Times New Roman"/>
                <w:sz w:val="4"/>
              </w:rPr>
            </w:pPr>
          </w:p>
        </w:tc>
      </w:tr>
      <w:tr w14:paraId="7B8C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886" w:type="dxa"/>
            <w:tcBorders>
              <w:top w:val="nil"/>
              <w:bottom w:val="nil"/>
            </w:tcBorders>
            <w:shd w:val="clear" w:color="auto" w:fill="BEBEBE"/>
          </w:tcPr>
          <w:p w14:paraId="55B96775">
            <w:pPr>
              <w:pStyle w:val="17"/>
              <w:spacing w:before="128" w:line="186" w:lineRule="exact"/>
              <w:ind w:left="85"/>
              <w:jc w:val="left"/>
              <w:rPr>
                <w:rFonts w:hint="eastAsia" w:ascii="黑体" w:eastAsia="黑体"/>
                <w:sz w:val="18"/>
              </w:rPr>
            </w:pPr>
            <w:r>
              <w:rPr>
                <w:rFonts w:hint="eastAsia" w:ascii="黑体" w:eastAsia="黑体"/>
                <w:sz w:val="18"/>
              </w:rPr>
              <w:t>大气污染</w:t>
            </w:r>
          </w:p>
        </w:tc>
        <w:tc>
          <w:tcPr>
            <w:tcW w:w="749" w:type="dxa"/>
            <w:tcBorders>
              <w:top w:val="nil"/>
              <w:bottom w:val="nil"/>
            </w:tcBorders>
            <w:shd w:val="clear" w:color="auto" w:fill="BEBEBE"/>
          </w:tcPr>
          <w:p w14:paraId="20E90DFB">
            <w:pPr>
              <w:pStyle w:val="17"/>
              <w:spacing w:line="219" w:lineRule="exact"/>
              <w:ind w:left="106" w:right="82"/>
              <w:rPr>
                <w:rFonts w:hint="eastAsia" w:ascii="黑体" w:eastAsia="黑体"/>
                <w:sz w:val="18"/>
              </w:rPr>
            </w:pPr>
            <w:r>
              <w:rPr>
                <w:rFonts w:hint="eastAsia" w:ascii="黑体" w:eastAsia="黑体"/>
                <w:sz w:val="18"/>
              </w:rPr>
              <w:t>口）</w:t>
            </w:r>
          </w:p>
        </w:tc>
        <w:tc>
          <w:tcPr>
            <w:tcW w:w="826" w:type="dxa"/>
            <w:tcBorders>
              <w:top w:val="nil"/>
              <w:bottom w:val="nil"/>
            </w:tcBorders>
          </w:tcPr>
          <w:p w14:paraId="3A9A1DE2">
            <w:pPr>
              <w:pStyle w:val="17"/>
              <w:jc w:val="left"/>
              <w:rPr>
                <w:rFonts w:ascii="Times New Roman"/>
                <w:sz w:val="16"/>
              </w:rPr>
            </w:pPr>
          </w:p>
        </w:tc>
        <w:tc>
          <w:tcPr>
            <w:tcW w:w="1416" w:type="dxa"/>
            <w:tcBorders>
              <w:top w:val="nil"/>
              <w:bottom w:val="nil"/>
            </w:tcBorders>
          </w:tcPr>
          <w:p w14:paraId="7539FF16">
            <w:pPr>
              <w:pStyle w:val="17"/>
              <w:jc w:val="left"/>
              <w:rPr>
                <w:rFonts w:ascii="Times New Roman"/>
                <w:sz w:val="16"/>
              </w:rPr>
            </w:pPr>
          </w:p>
        </w:tc>
        <w:tc>
          <w:tcPr>
            <w:tcW w:w="1219" w:type="dxa"/>
            <w:tcBorders>
              <w:top w:val="nil"/>
              <w:bottom w:val="nil"/>
            </w:tcBorders>
          </w:tcPr>
          <w:p w14:paraId="7241A115">
            <w:pPr>
              <w:pStyle w:val="17"/>
              <w:jc w:val="left"/>
              <w:rPr>
                <w:rFonts w:ascii="Times New Roman"/>
                <w:sz w:val="16"/>
              </w:rPr>
            </w:pPr>
          </w:p>
        </w:tc>
        <w:tc>
          <w:tcPr>
            <w:tcW w:w="1536" w:type="dxa"/>
            <w:tcBorders>
              <w:top w:val="nil"/>
              <w:bottom w:val="nil"/>
            </w:tcBorders>
          </w:tcPr>
          <w:p w14:paraId="1A265CD6">
            <w:pPr>
              <w:pStyle w:val="17"/>
              <w:jc w:val="left"/>
              <w:rPr>
                <w:rFonts w:ascii="Times New Roman"/>
                <w:sz w:val="16"/>
              </w:rPr>
            </w:pPr>
          </w:p>
        </w:tc>
        <w:tc>
          <w:tcPr>
            <w:tcW w:w="1908" w:type="dxa"/>
            <w:tcBorders>
              <w:top w:val="nil"/>
              <w:bottom w:val="nil"/>
            </w:tcBorders>
          </w:tcPr>
          <w:p w14:paraId="11B09736">
            <w:pPr>
              <w:pStyle w:val="17"/>
              <w:jc w:val="left"/>
              <w:rPr>
                <w:rFonts w:ascii="Times New Roman"/>
                <w:sz w:val="16"/>
              </w:rPr>
            </w:pPr>
          </w:p>
        </w:tc>
        <w:tc>
          <w:tcPr>
            <w:tcW w:w="1428" w:type="dxa"/>
            <w:vMerge w:val="continue"/>
            <w:tcBorders>
              <w:top w:val="nil"/>
            </w:tcBorders>
          </w:tcPr>
          <w:p w14:paraId="0028237B">
            <w:pPr>
              <w:rPr>
                <w:sz w:val="2"/>
                <w:szCs w:val="2"/>
              </w:rPr>
            </w:pPr>
          </w:p>
        </w:tc>
        <w:tc>
          <w:tcPr>
            <w:tcW w:w="1613" w:type="dxa"/>
            <w:vMerge w:val="continue"/>
            <w:tcBorders>
              <w:top w:val="nil"/>
            </w:tcBorders>
          </w:tcPr>
          <w:p w14:paraId="0F1970D5">
            <w:pPr>
              <w:rPr>
                <w:sz w:val="2"/>
                <w:szCs w:val="2"/>
              </w:rPr>
            </w:pPr>
          </w:p>
        </w:tc>
        <w:tc>
          <w:tcPr>
            <w:tcW w:w="1783" w:type="dxa"/>
            <w:tcBorders>
              <w:top w:val="nil"/>
              <w:bottom w:val="nil"/>
            </w:tcBorders>
          </w:tcPr>
          <w:p w14:paraId="047B3E2D">
            <w:pPr>
              <w:pStyle w:val="17"/>
              <w:spacing w:before="65"/>
              <w:ind w:left="132" w:right="109"/>
              <w:rPr>
                <w:sz w:val="18"/>
              </w:rPr>
            </w:pPr>
            <w:r>
              <w:rPr>
                <w:sz w:val="18"/>
              </w:rPr>
              <w:t>挤出造粒</w:t>
            </w:r>
          </w:p>
        </w:tc>
        <w:tc>
          <w:tcPr>
            <w:tcW w:w="1339" w:type="dxa"/>
            <w:tcBorders>
              <w:top w:val="nil"/>
              <w:bottom w:val="nil"/>
            </w:tcBorders>
          </w:tcPr>
          <w:p w14:paraId="3A567A0A">
            <w:pPr>
              <w:pStyle w:val="17"/>
              <w:spacing w:before="65"/>
              <w:ind w:left="113" w:right="88"/>
              <w:rPr>
                <w:sz w:val="18"/>
              </w:rPr>
            </w:pPr>
            <w:r>
              <w:rPr>
                <w:sz w:val="18"/>
              </w:rPr>
              <w:t>非甲烷总烃</w:t>
            </w:r>
          </w:p>
        </w:tc>
        <w:tc>
          <w:tcPr>
            <w:tcW w:w="2520" w:type="dxa"/>
            <w:vMerge w:val="continue"/>
            <w:tcBorders>
              <w:top w:val="nil"/>
            </w:tcBorders>
          </w:tcPr>
          <w:p w14:paraId="607CA721">
            <w:pPr>
              <w:rPr>
                <w:sz w:val="2"/>
                <w:szCs w:val="2"/>
              </w:rPr>
            </w:pPr>
          </w:p>
        </w:tc>
        <w:tc>
          <w:tcPr>
            <w:tcW w:w="1416" w:type="dxa"/>
            <w:vMerge w:val="continue"/>
            <w:tcBorders>
              <w:top w:val="nil"/>
            </w:tcBorders>
          </w:tcPr>
          <w:p w14:paraId="3DB2CD32">
            <w:pPr>
              <w:rPr>
                <w:sz w:val="2"/>
                <w:szCs w:val="2"/>
              </w:rPr>
            </w:pPr>
          </w:p>
        </w:tc>
        <w:tc>
          <w:tcPr>
            <w:tcW w:w="1416" w:type="dxa"/>
            <w:vMerge w:val="continue"/>
            <w:tcBorders>
              <w:top w:val="nil"/>
            </w:tcBorders>
          </w:tcPr>
          <w:p w14:paraId="59CC2A11">
            <w:pPr>
              <w:rPr>
                <w:sz w:val="2"/>
                <w:szCs w:val="2"/>
              </w:rPr>
            </w:pPr>
          </w:p>
        </w:tc>
        <w:tc>
          <w:tcPr>
            <w:tcW w:w="2852" w:type="dxa"/>
            <w:gridSpan w:val="3"/>
            <w:tcBorders>
              <w:top w:val="nil"/>
              <w:bottom w:val="nil"/>
            </w:tcBorders>
          </w:tcPr>
          <w:p w14:paraId="10B640B4">
            <w:pPr>
              <w:pStyle w:val="17"/>
              <w:spacing w:before="104" w:line="210" w:lineRule="exact"/>
              <w:ind w:left="73"/>
              <w:jc w:val="left"/>
              <w:rPr>
                <w:sz w:val="18"/>
              </w:rPr>
            </w:pPr>
            <w:r>
              <w:rPr>
                <w:sz w:val="18"/>
              </w:rPr>
              <w:t>《合成树脂工业污染物排放标准》</w:t>
            </w:r>
          </w:p>
        </w:tc>
      </w:tr>
      <w:tr w14:paraId="62C9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 w:hRule="atLeast"/>
        </w:trPr>
        <w:tc>
          <w:tcPr>
            <w:tcW w:w="886" w:type="dxa"/>
            <w:vMerge w:val="restart"/>
            <w:tcBorders>
              <w:top w:val="nil"/>
              <w:bottom w:val="nil"/>
            </w:tcBorders>
            <w:shd w:val="clear" w:color="auto" w:fill="BEBEBE"/>
          </w:tcPr>
          <w:p w14:paraId="5FBFB0FA">
            <w:pPr>
              <w:pStyle w:val="17"/>
              <w:spacing w:before="9" w:line="230" w:lineRule="auto"/>
              <w:ind w:left="177" w:right="59" w:hanging="92"/>
              <w:jc w:val="left"/>
              <w:rPr>
                <w:rFonts w:hint="eastAsia" w:ascii="黑体" w:eastAsia="黑体"/>
                <w:sz w:val="18"/>
              </w:rPr>
            </w:pPr>
            <w:r>
              <w:rPr>
                <w:rFonts w:hint="eastAsia" w:ascii="黑体" w:eastAsia="黑体"/>
                <w:sz w:val="18"/>
              </w:rPr>
              <w:t>治理与排放信息</w:t>
            </w:r>
          </w:p>
        </w:tc>
        <w:tc>
          <w:tcPr>
            <w:tcW w:w="749" w:type="dxa"/>
            <w:vMerge w:val="restart"/>
            <w:tcBorders>
              <w:top w:val="nil"/>
              <w:bottom w:val="nil"/>
            </w:tcBorders>
            <w:shd w:val="clear" w:color="auto" w:fill="BEBEBE"/>
          </w:tcPr>
          <w:p w14:paraId="23450A1D">
            <w:pPr>
              <w:pStyle w:val="17"/>
              <w:jc w:val="left"/>
              <w:rPr>
                <w:rFonts w:ascii="Times New Roman"/>
                <w:sz w:val="16"/>
              </w:rPr>
            </w:pPr>
          </w:p>
        </w:tc>
        <w:tc>
          <w:tcPr>
            <w:tcW w:w="826" w:type="dxa"/>
            <w:vMerge w:val="restart"/>
            <w:tcBorders>
              <w:top w:val="nil"/>
              <w:bottom w:val="nil"/>
            </w:tcBorders>
          </w:tcPr>
          <w:p w14:paraId="3DF2478C">
            <w:pPr>
              <w:pStyle w:val="17"/>
              <w:jc w:val="left"/>
              <w:rPr>
                <w:rFonts w:ascii="Times New Roman"/>
                <w:sz w:val="18"/>
              </w:rPr>
            </w:pPr>
          </w:p>
          <w:p w14:paraId="0B5CBA47">
            <w:pPr>
              <w:pStyle w:val="17"/>
              <w:spacing w:before="1"/>
              <w:ind w:left="152"/>
              <w:jc w:val="left"/>
              <w:rPr>
                <w:rFonts w:ascii="Times New Roman"/>
                <w:sz w:val="18"/>
              </w:rPr>
            </w:pPr>
            <w:r>
              <w:rPr>
                <w:rFonts w:ascii="Times New Roman"/>
                <w:sz w:val="18"/>
              </w:rPr>
              <w:t>DA002</w:t>
            </w:r>
          </w:p>
        </w:tc>
        <w:tc>
          <w:tcPr>
            <w:tcW w:w="1416" w:type="dxa"/>
            <w:vMerge w:val="restart"/>
            <w:tcBorders>
              <w:top w:val="nil"/>
              <w:bottom w:val="nil"/>
            </w:tcBorders>
          </w:tcPr>
          <w:p w14:paraId="73817C14">
            <w:pPr>
              <w:pStyle w:val="17"/>
              <w:spacing w:before="4"/>
              <w:jc w:val="left"/>
              <w:rPr>
                <w:rFonts w:ascii="Times New Roman"/>
                <w:sz w:val="18"/>
              </w:rPr>
            </w:pPr>
          </w:p>
          <w:p w14:paraId="17AAD1EF">
            <w:pPr>
              <w:pStyle w:val="17"/>
              <w:spacing w:line="224" w:lineRule="exact"/>
              <w:ind w:left="79" w:right="52"/>
              <w:jc w:val="left"/>
              <w:rPr>
                <w:sz w:val="18"/>
              </w:rPr>
            </w:pPr>
            <w:r>
              <w:rPr>
                <w:sz w:val="18"/>
              </w:rPr>
              <w:t>挤出造粒、挤出注塑废气排气筒</w:t>
            </w:r>
          </w:p>
        </w:tc>
        <w:tc>
          <w:tcPr>
            <w:tcW w:w="1219" w:type="dxa"/>
            <w:vMerge w:val="restart"/>
            <w:tcBorders>
              <w:top w:val="nil"/>
              <w:bottom w:val="nil"/>
            </w:tcBorders>
          </w:tcPr>
          <w:p w14:paraId="521E6D5D">
            <w:pPr>
              <w:pStyle w:val="17"/>
              <w:jc w:val="left"/>
              <w:rPr>
                <w:rFonts w:ascii="Times New Roman"/>
                <w:sz w:val="18"/>
              </w:rPr>
            </w:pPr>
          </w:p>
          <w:p w14:paraId="5D51D752">
            <w:pPr>
              <w:pStyle w:val="17"/>
              <w:spacing w:before="1"/>
              <w:ind w:left="144" w:right="120"/>
              <w:rPr>
                <w:rFonts w:ascii="Times New Roman"/>
                <w:sz w:val="18"/>
              </w:rPr>
            </w:pPr>
            <w:r>
              <w:rPr>
                <w:rFonts w:ascii="Times New Roman"/>
                <w:sz w:val="18"/>
              </w:rPr>
              <w:t>15</w:t>
            </w:r>
          </w:p>
        </w:tc>
        <w:tc>
          <w:tcPr>
            <w:tcW w:w="1536" w:type="dxa"/>
            <w:vMerge w:val="restart"/>
            <w:tcBorders>
              <w:top w:val="nil"/>
              <w:bottom w:val="nil"/>
            </w:tcBorders>
          </w:tcPr>
          <w:p w14:paraId="17B3BFAB">
            <w:pPr>
              <w:pStyle w:val="17"/>
              <w:jc w:val="left"/>
              <w:rPr>
                <w:rFonts w:ascii="Times New Roman"/>
                <w:sz w:val="18"/>
              </w:rPr>
            </w:pPr>
          </w:p>
          <w:p w14:paraId="69E76EE6">
            <w:pPr>
              <w:pStyle w:val="17"/>
              <w:spacing w:before="1"/>
              <w:ind w:left="517"/>
              <w:jc w:val="left"/>
              <w:rPr>
                <w:rFonts w:ascii="Times New Roman"/>
                <w:sz w:val="18"/>
              </w:rPr>
            </w:pPr>
            <w:r>
              <w:rPr>
                <w:rFonts w:ascii="Times New Roman"/>
                <w:sz w:val="18"/>
              </w:rPr>
              <w:t>TA002</w:t>
            </w:r>
          </w:p>
        </w:tc>
        <w:tc>
          <w:tcPr>
            <w:tcW w:w="1908" w:type="dxa"/>
            <w:vMerge w:val="restart"/>
            <w:tcBorders>
              <w:top w:val="nil"/>
              <w:bottom w:val="nil"/>
            </w:tcBorders>
          </w:tcPr>
          <w:p w14:paraId="00B2D6DB">
            <w:pPr>
              <w:pStyle w:val="17"/>
              <w:spacing w:before="107" w:line="230" w:lineRule="auto"/>
              <w:ind w:left="416" w:right="28" w:hanging="363"/>
              <w:jc w:val="left"/>
              <w:rPr>
                <w:sz w:val="18"/>
              </w:rPr>
            </w:pPr>
            <w:r>
              <w:rPr>
                <w:sz w:val="18"/>
              </w:rPr>
              <w:t>布袋除尘器+过滤棉+二级活性炭吸附</w:t>
            </w:r>
          </w:p>
        </w:tc>
        <w:tc>
          <w:tcPr>
            <w:tcW w:w="1428" w:type="dxa"/>
            <w:vMerge w:val="continue"/>
            <w:tcBorders>
              <w:top w:val="nil"/>
            </w:tcBorders>
          </w:tcPr>
          <w:p w14:paraId="283B325C">
            <w:pPr>
              <w:rPr>
                <w:sz w:val="2"/>
                <w:szCs w:val="2"/>
              </w:rPr>
            </w:pPr>
          </w:p>
        </w:tc>
        <w:tc>
          <w:tcPr>
            <w:tcW w:w="1613" w:type="dxa"/>
            <w:vMerge w:val="continue"/>
            <w:tcBorders>
              <w:top w:val="nil"/>
            </w:tcBorders>
          </w:tcPr>
          <w:p w14:paraId="7977FC4F">
            <w:pPr>
              <w:rPr>
                <w:sz w:val="2"/>
                <w:szCs w:val="2"/>
              </w:rPr>
            </w:pPr>
          </w:p>
        </w:tc>
        <w:tc>
          <w:tcPr>
            <w:tcW w:w="1783" w:type="dxa"/>
            <w:tcBorders>
              <w:top w:val="nil"/>
            </w:tcBorders>
          </w:tcPr>
          <w:p w14:paraId="3ABBBE92">
            <w:pPr>
              <w:pStyle w:val="17"/>
              <w:jc w:val="left"/>
              <w:rPr>
                <w:rFonts w:ascii="Times New Roman"/>
                <w:sz w:val="4"/>
              </w:rPr>
            </w:pPr>
          </w:p>
        </w:tc>
        <w:tc>
          <w:tcPr>
            <w:tcW w:w="1339" w:type="dxa"/>
            <w:tcBorders>
              <w:top w:val="nil"/>
            </w:tcBorders>
          </w:tcPr>
          <w:p w14:paraId="1F964958">
            <w:pPr>
              <w:pStyle w:val="17"/>
              <w:jc w:val="left"/>
              <w:rPr>
                <w:rFonts w:ascii="Times New Roman"/>
                <w:sz w:val="4"/>
              </w:rPr>
            </w:pPr>
          </w:p>
        </w:tc>
        <w:tc>
          <w:tcPr>
            <w:tcW w:w="2520" w:type="dxa"/>
            <w:vMerge w:val="continue"/>
            <w:tcBorders>
              <w:top w:val="nil"/>
            </w:tcBorders>
          </w:tcPr>
          <w:p w14:paraId="628B62CF">
            <w:pPr>
              <w:rPr>
                <w:sz w:val="2"/>
                <w:szCs w:val="2"/>
              </w:rPr>
            </w:pPr>
          </w:p>
        </w:tc>
        <w:tc>
          <w:tcPr>
            <w:tcW w:w="1416" w:type="dxa"/>
            <w:vMerge w:val="continue"/>
            <w:tcBorders>
              <w:top w:val="nil"/>
            </w:tcBorders>
          </w:tcPr>
          <w:p w14:paraId="468B8E60">
            <w:pPr>
              <w:rPr>
                <w:sz w:val="2"/>
                <w:szCs w:val="2"/>
              </w:rPr>
            </w:pPr>
          </w:p>
        </w:tc>
        <w:tc>
          <w:tcPr>
            <w:tcW w:w="1416" w:type="dxa"/>
            <w:vMerge w:val="continue"/>
            <w:tcBorders>
              <w:top w:val="nil"/>
            </w:tcBorders>
          </w:tcPr>
          <w:p w14:paraId="1948AD1B">
            <w:pPr>
              <w:rPr>
                <w:sz w:val="2"/>
                <w:szCs w:val="2"/>
              </w:rPr>
            </w:pPr>
          </w:p>
        </w:tc>
        <w:tc>
          <w:tcPr>
            <w:tcW w:w="2852" w:type="dxa"/>
            <w:gridSpan w:val="3"/>
            <w:vMerge w:val="restart"/>
            <w:tcBorders>
              <w:top w:val="nil"/>
            </w:tcBorders>
          </w:tcPr>
          <w:p w14:paraId="3308AC51">
            <w:pPr>
              <w:pStyle w:val="17"/>
              <w:spacing w:line="202" w:lineRule="exact"/>
              <w:ind w:left="30"/>
              <w:jc w:val="left"/>
              <w:rPr>
                <w:sz w:val="18"/>
              </w:rPr>
            </w:pPr>
            <w:r>
              <w:rPr>
                <w:sz w:val="18"/>
              </w:rPr>
              <w:t>（GB 31572-2015）及2024年修改单</w:t>
            </w:r>
          </w:p>
          <w:p w14:paraId="02EBD5A3">
            <w:pPr>
              <w:pStyle w:val="17"/>
              <w:spacing w:line="227" w:lineRule="exact"/>
              <w:ind w:left="119"/>
              <w:jc w:val="left"/>
              <w:rPr>
                <w:sz w:val="18"/>
              </w:rPr>
            </w:pPr>
            <w:r>
              <w:rPr>
                <w:sz w:val="18"/>
              </w:rPr>
              <w:t>表4大气污染物特别排放限值要求</w:t>
            </w:r>
          </w:p>
        </w:tc>
      </w:tr>
      <w:tr w14:paraId="43907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3" w:hRule="atLeast"/>
        </w:trPr>
        <w:tc>
          <w:tcPr>
            <w:tcW w:w="886" w:type="dxa"/>
            <w:vMerge w:val="continue"/>
            <w:tcBorders>
              <w:top w:val="nil"/>
              <w:bottom w:val="nil"/>
            </w:tcBorders>
            <w:shd w:val="clear" w:color="auto" w:fill="BEBEBE"/>
          </w:tcPr>
          <w:p w14:paraId="46D81C8B">
            <w:pPr>
              <w:rPr>
                <w:sz w:val="2"/>
                <w:szCs w:val="2"/>
              </w:rPr>
            </w:pPr>
          </w:p>
        </w:tc>
        <w:tc>
          <w:tcPr>
            <w:tcW w:w="749" w:type="dxa"/>
            <w:vMerge w:val="continue"/>
            <w:tcBorders>
              <w:top w:val="nil"/>
              <w:bottom w:val="nil"/>
            </w:tcBorders>
            <w:shd w:val="clear" w:color="auto" w:fill="BEBEBE"/>
          </w:tcPr>
          <w:p w14:paraId="76081EAE">
            <w:pPr>
              <w:rPr>
                <w:sz w:val="2"/>
                <w:szCs w:val="2"/>
              </w:rPr>
            </w:pPr>
          </w:p>
        </w:tc>
        <w:tc>
          <w:tcPr>
            <w:tcW w:w="826" w:type="dxa"/>
            <w:vMerge w:val="continue"/>
            <w:tcBorders>
              <w:top w:val="nil"/>
              <w:bottom w:val="nil"/>
            </w:tcBorders>
          </w:tcPr>
          <w:p w14:paraId="11D09BCF">
            <w:pPr>
              <w:rPr>
                <w:sz w:val="2"/>
                <w:szCs w:val="2"/>
              </w:rPr>
            </w:pPr>
          </w:p>
        </w:tc>
        <w:tc>
          <w:tcPr>
            <w:tcW w:w="1416" w:type="dxa"/>
            <w:vMerge w:val="continue"/>
            <w:tcBorders>
              <w:top w:val="nil"/>
              <w:bottom w:val="nil"/>
            </w:tcBorders>
          </w:tcPr>
          <w:p w14:paraId="22F8E5A4">
            <w:pPr>
              <w:rPr>
                <w:sz w:val="2"/>
                <w:szCs w:val="2"/>
              </w:rPr>
            </w:pPr>
          </w:p>
        </w:tc>
        <w:tc>
          <w:tcPr>
            <w:tcW w:w="1219" w:type="dxa"/>
            <w:vMerge w:val="continue"/>
            <w:tcBorders>
              <w:top w:val="nil"/>
              <w:bottom w:val="nil"/>
            </w:tcBorders>
          </w:tcPr>
          <w:p w14:paraId="0584576E">
            <w:pPr>
              <w:rPr>
                <w:sz w:val="2"/>
                <w:szCs w:val="2"/>
              </w:rPr>
            </w:pPr>
          </w:p>
        </w:tc>
        <w:tc>
          <w:tcPr>
            <w:tcW w:w="1536" w:type="dxa"/>
            <w:vMerge w:val="continue"/>
            <w:tcBorders>
              <w:top w:val="nil"/>
              <w:bottom w:val="nil"/>
            </w:tcBorders>
          </w:tcPr>
          <w:p w14:paraId="4B2035BE">
            <w:pPr>
              <w:rPr>
                <w:sz w:val="2"/>
                <w:szCs w:val="2"/>
              </w:rPr>
            </w:pPr>
          </w:p>
        </w:tc>
        <w:tc>
          <w:tcPr>
            <w:tcW w:w="1908" w:type="dxa"/>
            <w:vMerge w:val="continue"/>
            <w:tcBorders>
              <w:top w:val="nil"/>
              <w:bottom w:val="nil"/>
            </w:tcBorders>
          </w:tcPr>
          <w:p w14:paraId="47B9DDB5">
            <w:pPr>
              <w:rPr>
                <w:sz w:val="2"/>
                <w:szCs w:val="2"/>
              </w:rPr>
            </w:pPr>
          </w:p>
        </w:tc>
        <w:tc>
          <w:tcPr>
            <w:tcW w:w="1428" w:type="dxa"/>
          </w:tcPr>
          <w:p w14:paraId="5D5135E3">
            <w:pPr>
              <w:pStyle w:val="17"/>
              <w:spacing w:before="144"/>
              <w:ind w:left="68" w:right="44"/>
              <w:rPr>
                <w:rFonts w:ascii="Times New Roman"/>
                <w:sz w:val="18"/>
              </w:rPr>
            </w:pPr>
            <w:r>
              <w:rPr>
                <w:rFonts w:ascii="Times New Roman"/>
                <w:sz w:val="18"/>
              </w:rPr>
              <w:t>99%</w:t>
            </w:r>
          </w:p>
        </w:tc>
        <w:tc>
          <w:tcPr>
            <w:tcW w:w="1613" w:type="dxa"/>
          </w:tcPr>
          <w:p w14:paraId="7B6FFB53">
            <w:pPr>
              <w:pStyle w:val="17"/>
              <w:spacing w:before="144"/>
              <w:ind w:left="35" w:right="9"/>
              <w:rPr>
                <w:rFonts w:ascii="Times New Roman"/>
                <w:sz w:val="18"/>
              </w:rPr>
            </w:pPr>
            <w:r>
              <w:rPr>
                <w:rFonts w:ascii="Times New Roman"/>
                <w:sz w:val="18"/>
              </w:rPr>
              <w:t>MF0011~MF0014</w:t>
            </w:r>
          </w:p>
        </w:tc>
        <w:tc>
          <w:tcPr>
            <w:tcW w:w="1783" w:type="dxa"/>
          </w:tcPr>
          <w:p w14:paraId="14144046">
            <w:pPr>
              <w:pStyle w:val="17"/>
              <w:spacing w:before="146"/>
              <w:ind w:left="132" w:right="109"/>
              <w:rPr>
                <w:sz w:val="18"/>
              </w:rPr>
            </w:pPr>
            <w:r>
              <w:rPr>
                <w:sz w:val="18"/>
              </w:rPr>
              <w:t>挤出注塑</w:t>
            </w:r>
          </w:p>
        </w:tc>
        <w:tc>
          <w:tcPr>
            <w:tcW w:w="1339" w:type="dxa"/>
          </w:tcPr>
          <w:p w14:paraId="3D7BE200">
            <w:pPr>
              <w:pStyle w:val="17"/>
              <w:spacing w:before="146"/>
              <w:ind w:left="112" w:right="91"/>
              <w:rPr>
                <w:sz w:val="18"/>
              </w:rPr>
            </w:pPr>
            <w:r>
              <w:rPr>
                <w:sz w:val="18"/>
              </w:rPr>
              <w:t>颗粒物</w:t>
            </w:r>
          </w:p>
        </w:tc>
        <w:tc>
          <w:tcPr>
            <w:tcW w:w="2520" w:type="dxa"/>
          </w:tcPr>
          <w:p w14:paraId="50948003">
            <w:pPr>
              <w:pStyle w:val="17"/>
              <w:spacing w:before="144"/>
              <w:ind w:left="795" w:right="769"/>
              <w:rPr>
                <w:rFonts w:ascii="Times New Roman"/>
                <w:sz w:val="18"/>
              </w:rPr>
            </w:pPr>
            <w:r>
              <w:rPr>
                <w:rFonts w:ascii="Times New Roman"/>
                <w:sz w:val="18"/>
              </w:rPr>
              <w:t>52.3</w:t>
            </w:r>
          </w:p>
        </w:tc>
        <w:tc>
          <w:tcPr>
            <w:tcW w:w="1416" w:type="dxa"/>
          </w:tcPr>
          <w:p w14:paraId="705BC53F">
            <w:pPr>
              <w:pStyle w:val="17"/>
              <w:spacing w:before="144"/>
              <w:ind w:left="37" w:right="13"/>
              <w:rPr>
                <w:rFonts w:ascii="Times New Roman"/>
                <w:sz w:val="18"/>
              </w:rPr>
            </w:pPr>
            <w:r>
              <w:rPr>
                <w:rFonts w:ascii="Times New Roman"/>
                <w:sz w:val="18"/>
              </w:rPr>
              <w:t>0.785</w:t>
            </w:r>
          </w:p>
        </w:tc>
        <w:tc>
          <w:tcPr>
            <w:tcW w:w="1416" w:type="dxa"/>
          </w:tcPr>
          <w:p w14:paraId="23BC73B7">
            <w:pPr>
              <w:pStyle w:val="17"/>
              <w:spacing w:before="144"/>
              <w:ind w:left="37" w:right="13"/>
              <w:rPr>
                <w:rFonts w:ascii="Times New Roman"/>
                <w:sz w:val="18"/>
              </w:rPr>
            </w:pPr>
            <w:r>
              <w:rPr>
                <w:rFonts w:ascii="Times New Roman"/>
                <w:sz w:val="18"/>
              </w:rPr>
              <w:t>3.769</w:t>
            </w:r>
          </w:p>
        </w:tc>
        <w:tc>
          <w:tcPr>
            <w:tcW w:w="2852" w:type="dxa"/>
            <w:gridSpan w:val="3"/>
            <w:vMerge w:val="continue"/>
            <w:tcBorders>
              <w:top w:val="nil"/>
            </w:tcBorders>
          </w:tcPr>
          <w:p w14:paraId="08D242D9">
            <w:pPr>
              <w:rPr>
                <w:sz w:val="2"/>
                <w:szCs w:val="2"/>
              </w:rPr>
            </w:pPr>
          </w:p>
        </w:tc>
      </w:tr>
      <w:tr w14:paraId="6ABEB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 w:hRule="atLeast"/>
        </w:trPr>
        <w:tc>
          <w:tcPr>
            <w:tcW w:w="886" w:type="dxa"/>
            <w:vMerge w:val="continue"/>
            <w:tcBorders>
              <w:top w:val="nil"/>
              <w:bottom w:val="nil"/>
            </w:tcBorders>
            <w:shd w:val="clear" w:color="auto" w:fill="BEBEBE"/>
          </w:tcPr>
          <w:p w14:paraId="505E59D5">
            <w:pPr>
              <w:rPr>
                <w:sz w:val="2"/>
                <w:szCs w:val="2"/>
              </w:rPr>
            </w:pPr>
          </w:p>
        </w:tc>
        <w:tc>
          <w:tcPr>
            <w:tcW w:w="749" w:type="dxa"/>
            <w:vMerge w:val="continue"/>
            <w:tcBorders>
              <w:top w:val="nil"/>
              <w:bottom w:val="nil"/>
            </w:tcBorders>
            <w:shd w:val="clear" w:color="auto" w:fill="BEBEBE"/>
          </w:tcPr>
          <w:p w14:paraId="16540389">
            <w:pPr>
              <w:rPr>
                <w:sz w:val="2"/>
                <w:szCs w:val="2"/>
              </w:rPr>
            </w:pPr>
          </w:p>
        </w:tc>
        <w:tc>
          <w:tcPr>
            <w:tcW w:w="826" w:type="dxa"/>
            <w:vMerge w:val="continue"/>
            <w:tcBorders>
              <w:top w:val="nil"/>
              <w:bottom w:val="nil"/>
            </w:tcBorders>
          </w:tcPr>
          <w:p w14:paraId="510C37C6">
            <w:pPr>
              <w:rPr>
                <w:sz w:val="2"/>
                <w:szCs w:val="2"/>
              </w:rPr>
            </w:pPr>
          </w:p>
        </w:tc>
        <w:tc>
          <w:tcPr>
            <w:tcW w:w="1416" w:type="dxa"/>
            <w:vMerge w:val="continue"/>
            <w:tcBorders>
              <w:top w:val="nil"/>
              <w:bottom w:val="nil"/>
            </w:tcBorders>
          </w:tcPr>
          <w:p w14:paraId="2EC6AF43">
            <w:pPr>
              <w:rPr>
                <w:sz w:val="2"/>
                <w:szCs w:val="2"/>
              </w:rPr>
            </w:pPr>
          </w:p>
        </w:tc>
        <w:tc>
          <w:tcPr>
            <w:tcW w:w="1219" w:type="dxa"/>
            <w:vMerge w:val="continue"/>
            <w:tcBorders>
              <w:top w:val="nil"/>
              <w:bottom w:val="nil"/>
            </w:tcBorders>
          </w:tcPr>
          <w:p w14:paraId="6809DCEC">
            <w:pPr>
              <w:rPr>
                <w:sz w:val="2"/>
                <w:szCs w:val="2"/>
              </w:rPr>
            </w:pPr>
          </w:p>
        </w:tc>
        <w:tc>
          <w:tcPr>
            <w:tcW w:w="1536" w:type="dxa"/>
            <w:vMerge w:val="continue"/>
            <w:tcBorders>
              <w:top w:val="nil"/>
              <w:bottom w:val="nil"/>
            </w:tcBorders>
          </w:tcPr>
          <w:p w14:paraId="2747E853">
            <w:pPr>
              <w:rPr>
                <w:sz w:val="2"/>
                <w:szCs w:val="2"/>
              </w:rPr>
            </w:pPr>
          </w:p>
        </w:tc>
        <w:tc>
          <w:tcPr>
            <w:tcW w:w="1908" w:type="dxa"/>
            <w:vMerge w:val="continue"/>
            <w:tcBorders>
              <w:top w:val="nil"/>
              <w:bottom w:val="nil"/>
            </w:tcBorders>
          </w:tcPr>
          <w:p w14:paraId="7B2C15EE">
            <w:pPr>
              <w:rPr>
                <w:sz w:val="2"/>
                <w:szCs w:val="2"/>
              </w:rPr>
            </w:pPr>
          </w:p>
        </w:tc>
        <w:tc>
          <w:tcPr>
            <w:tcW w:w="1428" w:type="dxa"/>
            <w:vMerge w:val="restart"/>
          </w:tcPr>
          <w:p w14:paraId="2929C296">
            <w:pPr>
              <w:pStyle w:val="17"/>
              <w:spacing w:before="120"/>
              <w:ind w:left="68" w:right="44"/>
              <w:rPr>
                <w:rFonts w:ascii="Times New Roman"/>
                <w:sz w:val="18"/>
              </w:rPr>
            </w:pPr>
            <w:r>
              <w:rPr>
                <w:rFonts w:ascii="Times New Roman"/>
                <w:sz w:val="18"/>
              </w:rPr>
              <w:t>75%</w:t>
            </w:r>
          </w:p>
        </w:tc>
        <w:tc>
          <w:tcPr>
            <w:tcW w:w="1613" w:type="dxa"/>
            <w:vMerge w:val="restart"/>
          </w:tcPr>
          <w:p w14:paraId="53690F32">
            <w:pPr>
              <w:pStyle w:val="17"/>
              <w:jc w:val="left"/>
              <w:rPr>
                <w:rFonts w:ascii="Times New Roman"/>
                <w:sz w:val="16"/>
              </w:rPr>
            </w:pPr>
          </w:p>
        </w:tc>
        <w:tc>
          <w:tcPr>
            <w:tcW w:w="1783" w:type="dxa"/>
            <w:vMerge w:val="restart"/>
          </w:tcPr>
          <w:p w14:paraId="649EF23A">
            <w:pPr>
              <w:pStyle w:val="17"/>
              <w:jc w:val="left"/>
              <w:rPr>
                <w:rFonts w:ascii="Times New Roman"/>
                <w:sz w:val="16"/>
              </w:rPr>
            </w:pPr>
          </w:p>
        </w:tc>
        <w:tc>
          <w:tcPr>
            <w:tcW w:w="1339" w:type="dxa"/>
            <w:vMerge w:val="restart"/>
          </w:tcPr>
          <w:p w14:paraId="3B1169D3">
            <w:pPr>
              <w:pStyle w:val="17"/>
              <w:spacing w:before="125"/>
              <w:ind w:left="310"/>
              <w:jc w:val="left"/>
              <w:rPr>
                <w:sz w:val="18"/>
              </w:rPr>
            </w:pPr>
            <w:r>
              <w:rPr>
                <w:sz w:val="18"/>
              </w:rPr>
              <w:t>臭气浓度</w:t>
            </w:r>
          </w:p>
        </w:tc>
        <w:tc>
          <w:tcPr>
            <w:tcW w:w="2520" w:type="dxa"/>
            <w:vMerge w:val="restart"/>
          </w:tcPr>
          <w:p w14:paraId="16771D0C">
            <w:pPr>
              <w:pStyle w:val="17"/>
              <w:spacing w:before="111"/>
              <w:ind w:left="795" w:right="770"/>
              <w:rPr>
                <w:rFonts w:ascii="Times New Roman" w:eastAsia="Times New Roman"/>
                <w:sz w:val="18"/>
              </w:rPr>
            </w:pPr>
            <w:r>
              <w:rPr>
                <w:sz w:val="18"/>
              </w:rPr>
              <w:t>＜</w:t>
            </w:r>
            <w:r>
              <w:rPr>
                <w:rFonts w:ascii="Times New Roman" w:eastAsia="Times New Roman"/>
                <w:sz w:val="18"/>
              </w:rPr>
              <w:t>2000</w:t>
            </w:r>
          </w:p>
        </w:tc>
        <w:tc>
          <w:tcPr>
            <w:tcW w:w="1416" w:type="dxa"/>
            <w:vMerge w:val="restart"/>
          </w:tcPr>
          <w:p w14:paraId="00EF66A0">
            <w:pPr>
              <w:pStyle w:val="17"/>
              <w:spacing w:before="120"/>
              <w:ind w:left="24"/>
              <w:rPr>
                <w:rFonts w:ascii="Times New Roman"/>
                <w:sz w:val="18"/>
              </w:rPr>
            </w:pPr>
            <w:r>
              <w:rPr>
                <w:rFonts w:ascii="Times New Roman"/>
                <w:w w:val="99"/>
                <w:sz w:val="18"/>
              </w:rPr>
              <w:t>/</w:t>
            </w:r>
          </w:p>
        </w:tc>
        <w:tc>
          <w:tcPr>
            <w:tcW w:w="1416" w:type="dxa"/>
            <w:vMerge w:val="restart"/>
          </w:tcPr>
          <w:p w14:paraId="03660366">
            <w:pPr>
              <w:pStyle w:val="17"/>
              <w:spacing w:before="120"/>
              <w:ind w:left="25"/>
              <w:rPr>
                <w:rFonts w:ascii="Times New Roman"/>
                <w:sz w:val="18"/>
              </w:rPr>
            </w:pPr>
            <w:r>
              <w:rPr>
                <w:rFonts w:ascii="Times New Roman"/>
                <w:w w:val="99"/>
                <w:sz w:val="18"/>
              </w:rPr>
              <w:t>/</w:t>
            </w:r>
          </w:p>
        </w:tc>
        <w:tc>
          <w:tcPr>
            <w:tcW w:w="2852" w:type="dxa"/>
            <w:gridSpan w:val="3"/>
            <w:tcBorders>
              <w:bottom w:val="nil"/>
            </w:tcBorders>
          </w:tcPr>
          <w:p w14:paraId="7F1523E4">
            <w:pPr>
              <w:pStyle w:val="17"/>
              <w:jc w:val="left"/>
              <w:rPr>
                <w:rFonts w:ascii="Times New Roman"/>
                <w:sz w:val="2"/>
              </w:rPr>
            </w:pPr>
          </w:p>
        </w:tc>
      </w:tr>
      <w:tr w14:paraId="27704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1" w:hRule="atLeast"/>
        </w:trPr>
        <w:tc>
          <w:tcPr>
            <w:tcW w:w="886" w:type="dxa"/>
            <w:tcBorders>
              <w:top w:val="nil"/>
              <w:bottom w:val="nil"/>
            </w:tcBorders>
            <w:shd w:val="clear" w:color="auto" w:fill="BEBEBE"/>
          </w:tcPr>
          <w:p w14:paraId="62C8429E">
            <w:pPr>
              <w:pStyle w:val="17"/>
              <w:jc w:val="left"/>
              <w:rPr>
                <w:rFonts w:ascii="Times New Roman"/>
                <w:sz w:val="12"/>
              </w:rPr>
            </w:pPr>
          </w:p>
        </w:tc>
        <w:tc>
          <w:tcPr>
            <w:tcW w:w="749" w:type="dxa"/>
            <w:tcBorders>
              <w:top w:val="nil"/>
              <w:bottom w:val="nil"/>
            </w:tcBorders>
            <w:shd w:val="clear" w:color="auto" w:fill="BEBEBE"/>
          </w:tcPr>
          <w:p w14:paraId="56195A8E">
            <w:pPr>
              <w:pStyle w:val="17"/>
              <w:jc w:val="left"/>
              <w:rPr>
                <w:rFonts w:ascii="Times New Roman"/>
                <w:sz w:val="12"/>
              </w:rPr>
            </w:pPr>
          </w:p>
        </w:tc>
        <w:tc>
          <w:tcPr>
            <w:tcW w:w="826" w:type="dxa"/>
            <w:tcBorders>
              <w:top w:val="nil"/>
              <w:bottom w:val="nil"/>
            </w:tcBorders>
          </w:tcPr>
          <w:p w14:paraId="07137F1E">
            <w:pPr>
              <w:pStyle w:val="17"/>
              <w:jc w:val="left"/>
              <w:rPr>
                <w:rFonts w:ascii="Times New Roman"/>
                <w:sz w:val="12"/>
              </w:rPr>
            </w:pPr>
          </w:p>
        </w:tc>
        <w:tc>
          <w:tcPr>
            <w:tcW w:w="1416" w:type="dxa"/>
            <w:tcBorders>
              <w:top w:val="nil"/>
              <w:bottom w:val="nil"/>
            </w:tcBorders>
          </w:tcPr>
          <w:p w14:paraId="24E1DD4B">
            <w:pPr>
              <w:pStyle w:val="17"/>
              <w:jc w:val="left"/>
              <w:rPr>
                <w:rFonts w:ascii="Times New Roman"/>
                <w:sz w:val="12"/>
              </w:rPr>
            </w:pPr>
          </w:p>
        </w:tc>
        <w:tc>
          <w:tcPr>
            <w:tcW w:w="1219" w:type="dxa"/>
            <w:tcBorders>
              <w:top w:val="nil"/>
              <w:bottom w:val="nil"/>
            </w:tcBorders>
          </w:tcPr>
          <w:p w14:paraId="6BE65120">
            <w:pPr>
              <w:pStyle w:val="17"/>
              <w:jc w:val="left"/>
              <w:rPr>
                <w:rFonts w:ascii="Times New Roman"/>
                <w:sz w:val="12"/>
              </w:rPr>
            </w:pPr>
          </w:p>
        </w:tc>
        <w:tc>
          <w:tcPr>
            <w:tcW w:w="1536" w:type="dxa"/>
            <w:tcBorders>
              <w:top w:val="nil"/>
              <w:bottom w:val="nil"/>
            </w:tcBorders>
          </w:tcPr>
          <w:p w14:paraId="58AC6146">
            <w:pPr>
              <w:pStyle w:val="17"/>
              <w:jc w:val="left"/>
              <w:rPr>
                <w:rFonts w:ascii="Times New Roman"/>
                <w:sz w:val="12"/>
              </w:rPr>
            </w:pPr>
          </w:p>
        </w:tc>
        <w:tc>
          <w:tcPr>
            <w:tcW w:w="1908" w:type="dxa"/>
            <w:tcBorders>
              <w:top w:val="nil"/>
              <w:bottom w:val="nil"/>
            </w:tcBorders>
          </w:tcPr>
          <w:p w14:paraId="21BA21DD">
            <w:pPr>
              <w:pStyle w:val="17"/>
              <w:jc w:val="left"/>
              <w:rPr>
                <w:rFonts w:ascii="Times New Roman"/>
                <w:sz w:val="12"/>
              </w:rPr>
            </w:pPr>
          </w:p>
        </w:tc>
        <w:tc>
          <w:tcPr>
            <w:tcW w:w="1428" w:type="dxa"/>
            <w:vMerge w:val="continue"/>
            <w:tcBorders>
              <w:top w:val="nil"/>
            </w:tcBorders>
          </w:tcPr>
          <w:p w14:paraId="6E2B6E95">
            <w:pPr>
              <w:rPr>
                <w:sz w:val="2"/>
                <w:szCs w:val="2"/>
              </w:rPr>
            </w:pPr>
          </w:p>
        </w:tc>
        <w:tc>
          <w:tcPr>
            <w:tcW w:w="1613" w:type="dxa"/>
            <w:vMerge w:val="continue"/>
            <w:tcBorders>
              <w:top w:val="nil"/>
            </w:tcBorders>
          </w:tcPr>
          <w:p w14:paraId="3A6379DD">
            <w:pPr>
              <w:rPr>
                <w:sz w:val="2"/>
                <w:szCs w:val="2"/>
              </w:rPr>
            </w:pPr>
          </w:p>
        </w:tc>
        <w:tc>
          <w:tcPr>
            <w:tcW w:w="1783" w:type="dxa"/>
            <w:vMerge w:val="continue"/>
            <w:tcBorders>
              <w:top w:val="nil"/>
            </w:tcBorders>
          </w:tcPr>
          <w:p w14:paraId="5036FB2E">
            <w:pPr>
              <w:rPr>
                <w:sz w:val="2"/>
                <w:szCs w:val="2"/>
              </w:rPr>
            </w:pPr>
          </w:p>
        </w:tc>
        <w:tc>
          <w:tcPr>
            <w:tcW w:w="1339" w:type="dxa"/>
            <w:vMerge w:val="continue"/>
            <w:tcBorders>
              <w:top w:val="nil"/>
            </w:tcBorders>
          </w:tcPr>
          <w:p w14:paraId="275A9313">
            <w:pPr>
              <w:rPr>
                <w:sz w:val="2"/>
                <w:szCs w:val="2"/>
              </w:rPr>
            </w:pPr>
          </w:p>
        </w:tc>
        <w:tc>
          <w:tcPr>
            <w:tcW w:w="2520" w:type="dxa"/>
            <w:vMerge w:val="continue"/>
            <w:tcBorders>
              <w:top w:val="nil"/>
            </w:tcBorders>
          </w:tcPr>
          <w:p w14:paraId="59268091">
            <w:pPr>
              <w:rPr>
                <w:sz w:val="2"/>
                <w:szCs w:val="2"/>
              </w:rPr>
            </w:pPr>
          </w:p>
        </w:tc>
        <w:tc>
          <w:tcPr>
            <w:tcW w:w="1416" w:type="dxa"/>
            <w:vMerge w:val="continue"/>
            <w:tcBorders>
              <w:top w:val="nil"/>
            </w:tcBorders>
          </w:tcPr>
          <w:p w14:paraId="487C4601">
            <w:pPr>
              <w:rPr>
                <w:sz w:val="2"/>
                <w:szCs w:val="2"/>
              </w:rPr>
            </w:pPr>
          </w:p>
        </w:tc>
        <w:tc>
          <w:tcPr>
            <w:tcW w:w="1416" w:type="dxa"/>
            <w:vMerge w:val="continue"/>
            <w:tcBorders>
              <w:top w:val="nil"/>
            </w:tcBorders>
          </w:tcPr>
          <w:p w14:paraId="4704901B">
            <w:pPr>
              <w:rPr>
                <w:sz w:val="2"/>
                <w:szCs w:val="2"/>
              </w:rPr>
            </w:pPr>
          </w:p>
        </w:tc>
        <w:tc>
          <w:tcPr>
            <w:tcW w:w="2852" w:type="dxa"/>
            <w:gridSpan w:val="3"/>
            <w:tcBorders>
              <w:top w:val="nil"/>
              <w:bottom w:val="nil"/>
            </w:tcBorders>
          </w:tcPr>
          <w:p w14:paraId="048AF706">
            <w:pPr>
              <w:pStyle w:val="17"/>
              <w:spacing w:line="171" w:lineRule="exact"/>
              <w:ind w:left="435"/>
              <w:jc w:val="left"/>
              <w:rPr>
                <w:sz w:val="18"/>
              </w:rPr>
            </w:pPr>
            <w:r>
              <w:rPr>
                <w:sz w:val="18"/>
              </w:rPr>
              <w:t>《恶臭污染物排放标准》</w:t>
            </w:r>
          </w:p>
        </w:tc>
      </w:tr>
      <w:tr w14:paraId="1633C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 w:hRule="atLeast"/>
        </w:trPr>
        <w:tc>
          <w:tcPr>
            <w:tcW w:w="886" w:type="dxa"/>
            <w:tcBorders>
              <w:top w:val="nil"/>
              <w:bottom w:val="nil"/>
            </w:tcBorders>
            <w:shd w:val="clear" w:color="auto" w:fill="BEBEBE"/>
          </w:tcPr>
          <w:p w14:paraId="6B2076A1">
            <w:pPr>
              <w:pStyle w:val="17"/>
              <w:jc w:val="left"/>
              <w:rPr>
                <w:rFonts w:ascii="Times New Roman"/>
                <w:sz w:val="14"/>
              </w:rPr>
            </w:pPr>
          </w:p>
        </w:tc>
        <w:tc>
          <w:tcPr>
            <w:tcW w:w="749" w:type="dxa"/>
            <w:tcBorders>
              <w:top w:val="nil"/>
            </w:tcBorders>
            <w:shd w:val="clear" w:color="auto" w:fill="BEBEBE"/>
          </w:tcPr>
          <w:p w14:paraId="2F3F5385">
            <w:pPr>
              <w:pStyle w:val="17"/>
              <w:jc w:val="left"/>
              <w:rPr>
                <w:rFonts w:ascii="Times New Roman"/>
                <w:sz w:val="14"/>
              </w:rPr>
            </w:pPr>
          </w:p>
        </w:tc>
        <w:tc>
          <w:tcPr>
            <w:tcW w:w="826" w:type="dxa"/>
            <w:tcBorders>
              <w:top w:val="nil"/>
            </w:tcBorders>
          </w:tcPr>
          <w:p w14:paraId="58F02D20">
            <w:pPr>
              <w:pStyle w:val="17"/>
              <w:jc w:val="left"/>
              <w:rPr>
                <w:rFonts w:ascii="Times New Roman"/>
                <w:sz w:val="14"/>
              </w:rPr>
            </w:pPr>
          </w:p>
        </w:tc>
        <w:tc>
          <w:tcPr>
            <w:tcW w:w="1416" w:type="dxa"/>
            <w:tcBorders>
              <w:top w:val="nil"/>
            </w:tcBorders>
          </w:tcPr>
          <w:p w14:paraId="4EF47F18">
            <w:pPr>
              <w:pStyle w:val="17"/>
              <w:jc w:val="left"/>
              <w:rPr>
                <w:rFonts w:ascii="Times New Roman"/>
                <w:sz w:val="14"/>
              </w:rPr>
            </w:pPr>
          </w:p>
        </w:tc>
        <w:tc>
          <w:tcPr>
            <w:tcW w:w="1219" w:type="dxa"/>
            <w:tcBorders>
              <w:top w:val="nil"/>
            </w:tcBorders>
          </w:tcPr>
          <w:p w14:paraId="6C8E16D4">
            <w:pPr>
              <w:pStyle w:val="17"/>
              <w:jc w:val="left"/>
              <w:rPr>
                <w:rFonts w:ascii="Times New Roman"/>
                <w:sz w:val="14"/>
              </w:rPr>
            </w:pPr>
          </w:p>
        </w:tc>
        <w:tc>
          <w:tcPr>
            <w:tcW w:w="1536" w:type="dxa"/>
            <w:tcBorders>
              <w:top w:val="nil"/>
            </w:tcBorders>
          </w:tcPr>
          <w:p w14:paraId="4EBF7B6E">
            <w:pPr>
              <w:pStyle w:val="17"/>
              <w:jc w:val="left"/>
              <w:rPr>
                <w:rFonts w:ascii="Times New Roman"/>
                <w:sz w:val="14"/>
              </w:rPr>
            </w:pPr>
          </w:p>
        </w:tc>
        <w:tc>
          <w:tcPr>
            <w:tcW w:w="1908" w:type="dxa"/>
            <w:tcBorders>
              <w:top w:val="nil"/>
            </w:tcBorders>
          </w:tcPr>
          <w:p w14:paraId="7C540C0E">
            <w:pPr>
              <w:pStyle w:val="17"/>
              <w:jc w:val="left"/>
              <w:rPr>
                <w:rFonts w:ascii="Times New Roman"/>
                <w:sz w:val="14"/>
              </w:rPr>
            </w:pPr>
          </w:p>
        </w:tc>
        <w:tc>
          <w:tcPr>
            <w:tcW w:w="1428" w:type="dxa"/>
            <w:vMerge w:val="continue"/>
            <w:tcBorders>
              <w:top w:val="nil"/>
            </w:tcBorders>
          </w:tcPr>
          <w:p w14:paraId="5FE49E52">
            <w:pPr>
              <w:rPr>
                <w:sz w:val="2"/>
                <w:szCs w:val="2"/>
              </w:rPr>
            </w:pPr>
          </w:p>
        </w:tc>
        <w:tc>
          <w:tcPr>
            <w:tcW w:w="1613" w:type="dxa"/>
            <w:vMerge w:val="continue"/>
            <w:tcBorders>
              <w:top w:val="nil"/>
            </w:tcBorders>
          </w:tcPr>
          <w:p w14:paraId="3E2D6FC4">
            <w:pPr>
              <w:rPr>
                <w:sz w:val="2"/>
                <w:szCs w:val="2"/>
              </w:rPr>
            </w:pPr>
          </w:p>
        </w:tc>
        <w:tc>
          <w:tcPr>
            <w:tcW w:w="1783" w:type="dxa"/>
            <w:vMerge w:val="continue"/>
            <w:tcBorders>
              <w:top w:val="nil"/>
            </w:tcBorders>
          </w:tcPr>
          <w:p w14:paraId="5458AAA3">
            <w:pPr>
              <w:rPr>
                <w:sz w:val="2"/>
                <w:szCs w:val="2"/>
              </w:rPr>
            </w:pPr>
          </w:p>
        </w:tc>
        <w:tc>
          <w:tcPr>
            <w:tcW w:w="1339" w:type="dxa"/>
            <w:vMerge w:val="continue"/>
            <w:tcBorders>
              <w:top w:val="nil"/>
            </w:tcBorders>
          </w:tcPr>
          <w:p w14:paraId="3FD53F2A">
            <w:pPr>
              <w:rPr>
                <w:sz w:val="2"/>
                <w:szCs w:val="2"/>
              </w:rPr>
            </w:pPr>
          </w:p>
        </w:tc>
        <w:tc>
          <w:tcPr>
            <w:tcW w:w="2520" w:type="dxa"/>
            <w:vMerge w:val="continue"/>
            <w:tcBorders>
              <w:top w:val="nil"/>
            </w:tcBorders>
          </w:tcPr>
          <w:p w14:paraId="1D66C7F3">
            <w:pPr>
              <w:rPr>
                <w:sz w:val="2"/>
                <w:szCs w:val="2"/>
              </w:rPr>
            </w:pPr>
          </w:p>
        </w:tc>
        <w:tc>
          <w:tcPr>
            <w:tcW w:w="1416" w:type="dxa"/>
            <w:vMerge w:val="continue"/>
            <w:tcBorders>
              <w:top w:val="nil"/>
            </w:tcBorders>
          </w:tcPr>
          <w:p w14:paraId="4CCB5C68">
            <w:pPr>
              <w:rPr>
                <w:sz w:val="2"/>
                <w:szCs w:val="2"/>
              </w:rPr>
            </w:pPr>
          </w:p>
        </w:tc>
        <w:tc>
          <w:tcPr>
            <w:tcW w:w="1416" w:type="dxa"/>
            <w:vMerge w:val="continue"/>
            <w:tcBorders>
              <w:top w:val="nil"/>
            </w:tcBorders>
          </w:tcPr>
          <w:p w14:paraId="34212D23">
            <w:pPr>
              <w:rPr>
                <w:sz w:val="2"/>
                <w:szCs w:val="2"/>
              </w:rPr>
            </w:pPr>
          </w:p>
        </w:tc>
        <w:tc>
          <w:tcPr>
            <w:tcW w:w="2852" w:type="dxa"/>
            <w:gridSpan w:val="3"/>
            <w:tcBorders>
              <w:top w:val="nil"/>
            </w:tcBorders>
          </w:tcPr>
          <w:p w14:paraId="628BFF27">
            <w:pPr>
              <w:pStyle w:val="17"/>
              <w:spacing w:line="188" w:lineRule="exact"/>
              <w:ind w:left="301"/>
              <w:jc w:val="left"/>
              <w:rPr>
                <w:sz w:val="18"/>
              </w:rPr>
            </w:pPr>
            <w:r>
              <w:rPr>
                <w:sz w:val="18"/>
              </w:rPr>
              <w:t>（GB14554-93）表2标准要求</w:t>
            </w:r>
          </w:p>
        </w:tc>
      </w:tr>
      <w:tr w14:paraId="53B32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tcBorders>
              <w:top w:val="nil"/>
              <w:bottom w:val="nil"/>
            </w:tcBorders>
            <w:shd w:val="clear" w:color="auto" w:fill="BEBEBE"/>
          </w:tcPr>
          <w:p w14:paraId="7CF139AA">
            <w:pPr>
              <w:pStyle w:val="17"/>
              <w:jc w:val="left"/>
              <w:rPr>
                <w:rFonts w:ascii="Times New Roman"/>
                <w:sz w:val="16"/>
              </w:rPr>
            </w:pPr>
          </w:p>
        </w:tc>
        <w:tc>
          <w:tcPr>
            <w:tcW w:w="749" w:type="dxa"/>
            <w:tcBorders>
              <w:bottom w:val="nil"/>
            </w:tcBorders>
            <w:shd w:val="clear" w:color="auto" w:fill="BEBEBE"/>
          </w:tcPr>
          <w:p w14:paraId="3845E6E4">
            <w:pPr>
              <w:pStyle w:val="17"/>
              <w:jc w:val="left"/>
              <w:rPr>
                <w:rFonts w:ascii="Times New Roman"/>
                <w:sz w:val="16"/>
              </w:rPr>
            </w:pPr>
          </w:p>
        </w:tc>
        <w:tc>
          <w:tcPr>
            <w:tcW w:w="2242" w:type="dxa"/>
            <w:gridSpan w:val="2"/>
            <w:tcBorders>
              <w:bottom w:val="nil"/>
            </w:tcBorders>
            <w:shd w:val="clear" w:color="auto" w:fill="BEBEBE"/>
          </w:tcPr>
          <w:p w14:paraId="65426718">
            <w:pPr>
              <w:pStyle w:val="17"/>
              <w:jc w:val="left"/>
              <w:rPr>
                <w:rFonts w:ascii="Times New Roman"/>
                <w:sz w:val="16"/>
              </w:rPr>
            </w:pPr>
          </w:p>
        </w:tc>
        <w:tc>
          <w:tcPr>
            <w:tcW w:w="7704" w:type="dxa"/>
            <w:gridSpan w:val="5"/>
            <w:tcBorders>
              <w:bottom w:val="nil"/>
            </w:tcBorders>
            <w:shd w:val="clear" w:color="auto" w:fill="BEBEBE"/>
          </w:tcPr>
          <w:p w14:paraId="47BEF02B">
            <w:pPr>
              <w:pStyle w:val="17"/>
              <w:jc w:val="left"/>
              <w:rPr>
                <w:rFonts w:ascii="Times New Roman"/>
                <w:sz w:val="16"/>
              </w:rPr>
            </w:pPr>
          </w:p>
        </w:tc>
        <w:tc>
          <w:tcPr>
            <w:tcW w:w="11326" w:type="dxa"/>
            <w:gridSpan w:val="8"/>
            <w:shd w:val="clear" w:color="auto" w:fill="BEBEBE"/>
          </w:tcPr>
          <w:p w14:paraId="575C539E">
            <w:pPr>
              <w:pStyle w:val="17"/>
              <w:spacing w:before="14" w:line="202" w:lineRule="exact"/>
              <w:ind w:left="5198" w:right="5172"/>
              <w:rPr>
                <w:rFonts w:hint="eastAsia" w:ascii="黑体" w:eastAsia="黑体"/>
                <w:sz w:val="18"/>
              </w:rPr>
            </w:pPr>
            <w:r>
              <w:rPr>
                <w:rFonts w:hint="eastAsia" w:ascii="黑体" w:eastAsia="黑体"/>
                <w:sz w:val="18"/>
              </w:rPr>
              <w:t>污染物排放</w:t>
            </w:r>
          </w:p>
        </w:tc>
      </w:tr>
      <w:tr w14:paraId="4611C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 w:hRule="atLeast"/>
        </w:trPr>
        <w:tc>
          <w:tcPr>
            <w:tcW w:w="886" w:type="dxa"/>
            <w:tcBorders>
              <w:top w:val="nil"/>
              <w:bottom w:val="nil"/>
            </w:tcBorders>
            <w:shd w:val="clear" w:color="auto" w:fill="BEBEBE"/>
          </w:tcPr>
          <w:p w14:paraId="470D1EEA">
            <w:pPr>
              <w:pStyle w:val="17"/>
              <w:jc w:val="left"/>
              <w:rPr>
                <w:rFonts w:ascii="Times New Roman"/>
                <w:sz w:val="14"/>
              </w:rPr>
            </w:pPr>
          </w:p>
        </w:tc>
        <w:tc>
          <w:tcPr>
            <w:tcW w:w="749" w:type="dxa"/>
            <w:tcBorders>
              <w:top w:val="nil"/>
              <w:bottom w:val="nil"/>
            </w:tcBorders>
            <w:shd w:val="clear" w:color="auto" w:fill="BEBEBE"/>
          </w:tcPr>
          <w:p w14:paraId="6FB9998F">
            <w:pPr>
              <w:pStyle w:val="17"/>
              <w:jc w:val="left"/>
              <w:rPr>
                <w:rFonts w:ascii="Times New Roman"/>
                <w:sz w:val="14"/>
              </w:rPr>
            </w:pPr>
          </w:p>
        </w:tc>
        <w:tc>
          <w:tcPr>
            <w:tcW w:w="2242" w:type="dxa"/>
            <w:gridSpan w:val="2"/>
            <w:tcBorders>
              <w:top w:val="nil"/>
              <w:bottom w:val="nil"/>
            </w:tcBorders>
            <w:shd w:val="clear" w:color="auto" w:fill="BEBEBE"/>
          </w:tcPr>
          <w:p w14:paraId="1BCFA501">
            <w:pPr>
              <w:pStyle w:val="17"/>
              <w:spacing w:line="189" w:lineRule="exact"/>
              <w:ind w:left="924" w:right="902"/>
              <w:rPr>
                <w:rFonts w:hint="eastAsia" w:ascii="黑体" w:eastAsia="黑体"/>
                <w:sz w:val="18"/>
              </w:rPr>
            </w:pPr>
            <w:r>
              <w:rPr>
                <w:rFonts w:hint="eastAsia" w:ascii="黑体" w:eastAsia="黑体"/>
                <w:sz w:val="18"/>
              </w:rPr>
              <w:t>序号</w:t>
            </w:r>
          </w:p>
        </w:tc>
        <w:tc>
          <w:tcPr>
            <w:tcW w:w="7704" w:type="dxa"/>
            <w:gridSpan w:val="5"/>
            <w:tcBorders>
              <w:top w:val="nil"/>
              <w:bottom w:val="nil"/>
            </w:tcBorders>
            <w:shd w:val="clear" w:color="auto" w:fill="BEBEBE"/>
          </w:tcPr>
          <w:p w14:paraId="610F1514">
            <w:pPr>
              <w:pStyle w:val="17"/>
              <w:spacing w:line="189" w:lineRule="exact"/>
              <w:ind w:left="2666" w:right="2642"/>
              <w:rPr>
                <w:rFonts w:hint="eastAsia" w:ascii="黑体" w:eastAsia="黑体"/>
                <w:sz w:val="18"/>
              </w:rPr>
            </w:pPr>
            <w:r>
              <w:rPr>
                <w:rFonts w:hint="eastAsia" w:ascii="黑体" w:eastAsia="黑体"/>
                <w:sz w:val="18"/>
              </w:rPr>
              <w:t>无组织排放源名称</w:t>
            </w:r>
          </w:p>
        </w:tc>
        <w:tc>
          <w:tcPr>
            <w:tcW w:w="1783" w:type="dxa"/>
            <w:vMerge w:val="restart"/>
            <w:shd w:val="clear" w:color="auto" w:fill="BEBEBE"/>
          </w:tcPr>
          <w:p w14:paraId="22C551F0">
            <w:pPr>
              <w:pStyle w:val="17"/>
              <w:spacing w:before="108"/>
              <w:ind w:left="444"/>
              <w:jc w:val="left"/>
              <w:rPr>
                <w:rFonts w:hint="eastAsia" w:ascii="黑体" w:eastAsia="黑体"/>
                <w:sz w:val="18"/>
              </w:rPr>
            </w:pPr>
            <w:r>
              <w:rPr>
                <w:rFonts w:hint="eastAsia" w:ascii="黑体" w:eastAsia="黑体"/>
                <w:sz w:val="18"/>
              </w:rPr>
              <w:t>污染物种类</w:t>
            </w:r>
          </w:p>
        </w:tc>
        <w:tc>
          <w:tcPr>
            <w:tcW w:w="1339" w:type="dxa"/>
            <w:tcBorders>
              <w:bottom w:val="nil"/>
            </w:tcBorders>
            <w:shd w:val="clear" w:color="auto" w:fill="BEBEBE"/>
          </w:tcPr>
          <w:p w14:paraId="2BA0DFF5">
            <w:pPr>
              <w:pStyle w:val="17"/>
              <w:spacing w:line="189" w:lineRule="exact"/>
              <w:ind w:left="112" w:right="91"/>
              <w:rPr>
                <w:rFonts w:hint="eastAsia" w:ascii="黑体" w:eastAsia="黑体"/>
                <w:sz w:val="18"/>
              </w:rPr>
            </w:pPr>
            <w:r>
              <w:rPr>
                <w:rFonts w:hint="eastAsia" w:ascii="黑体" w:eastAsia="黑体"/>
                <w:sz w:val="18"/>
              </w:rPr>
              <w:t>排放浓度</w:t>
            </w:r>
          </w:p>
        </w:tc>
        <w:tc>
          <w:tcPr>
            <w:tcW w:w="8204" w:type="dxa"/>
            <w:gridSpan w:val="6"/>
            <w:vMerge w:val="restart"/>
            <w:shd w:val="clear" w:color="auto" w:fill="BEBEBE"/>
          </w:tcPr>
          <w:p w14:paraId="0AF3EA22">
            <w:pPr>
              <w:pStyle w:val="17"/>
              <w:spacing w:before="108"/>
              <w:ind w:left="3545" w:right="3523"/>
              <w:rPr>
                <w:rFonts w:hint="eastAsia" w:ascii="黑体" w:eastAsia="黑体"/>
                <w:sz w:val="18"/>
              </w:rPr>
            </w:pPr>
            <w:r>
              <w:rPr>
                <w:rFonts w:hint="eastAsia" w:ascii="黑体" w:eastAsia="黑体"/>
                <w:sz w:val="18"/>
              </w:rPr>
              <w:t>排放标准名称</w:t>
            </w:r>
          </w:p>
        </w:tc>
      </w:tr>
      <w:tr w14:paraId="0D25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 w:hRule="atLeast"/>
        </w:trPr>
        <w:tc>
          <w:tcPr>
            <w:tcW w:w="886" w:type="dxa"/>
            <w:vMerge w:val="restart"/>
            <w:tcBorders>
              <w:top w:val="nil"/>
              <w:bottom w:val="nil"/>
            </w:tcBorders>
            <w:shd w:val="clear" w:color="auto" w:fill="BEBEBE"/>
          </w:tcPr>
          <w:p w14:paraId="322A0865">
            <w:pPr>
              <w:pStyle w:val="17"/>
              <w:jc w:val="left"/>
              <w:rPr>
                <w:rFonts w:ascii="Times New Roman"/>
                <w:sz w:val="16"/>
              </w:rPr>
            </w:pPr>
          </w:p>
        </w:tc>
        <w:tc>
          <w:tcPr>
            <w:tcW w:w="749" w:type="dxa"/>
            <w:vMerge w:val="restart"/>
            <w:tcBorders>
              <w:top w:val="nil"/>
              <w:bottom w:val="nil"/>
            </w:tcBorders>
            <w:shd w:val="clear" w:color="auto" w:fill="BEBEBE"/>
          </w:tcPr>
          <w:p w14:paraId="2FA74412">
            <w:pPr>
              <w:pStyle w:val="17"/>
              <w:spacing w:before="108" w:line="199" w:lineRule="exact"/>
              <w:ind w:left="107"/>
              <w:jc w:val="left"/>
              <w:rPr>
                <w:rFonts w:hint="eastAsia" w:ascii="黑体" w:eastAsia="黑体"/>
                <w:sz w:val="18"/>
              </w:rPr>
            </w:pPr>
            <w:r>
              <w:rPr>
                <w:rFonts w:hint="eastAsia" w:ascii="黑体" w:eastAsia="黑体"/>
                <w:sz w:val="18"/>
              </w:rPr>
              <w:t>无组织</w:t>
            </w:r>
          </w:p>
        </w:tc>
        <w:tc>
          <w:tcPr>
            <w:tcW w:w="2242" w:type="dxa"/>
            <w:gridSpan w:val="2"/>
            <w:tcBorders>
              <w:top w:val="nil"/>
            </w:tcBorders>
            <w:shd w:val="clear" w:color="auto" w:fill="BEBEBE"/>
          </w:tcPr>
          <w:p w14:paraId="1FF032C6">
            <w:pPr>
              <w:pStyle w:val="17"/>
              <w:jc w:val="left"/>
              <w:rPr>
                <w:rFonts w:ascii="Times New Roman"/>
                <w:sz w:val="14"/>
              </w:rPr>
            </w:pPr>
          </w:p>
        </w:tc>
        <w:tc>
          <w:tcPr>
            <w:tcW w:w="7704" w:type="dxa"/>
            <w:gridSpan w:val="5"/>
            <w:tcBorders>
              <w:top w:val="nil"/>
            </w:tcBorders>
            <w:shd w:val="clear" w:color="auto" w:fill="BEBEBE"/>
          </w:tcPr>
          <w:p w14:paraId="1C45888B">
            <w:pPr>
              <w:pStyle w:val="17"/>
              <w:jc w:val="left"/>
              <w:rPr>
                <w:rFonts w:ascii="Times New Roman"/>
                <w:sz w:val="14"/>
              </w:rPr>
            </w:pPr>
          </w:p>
        </w:tc>
        <w:tc>
          <w:tcPr>
            <w:tcW w:w="1783" w:type="dxa"/>
            <w:vMerge w:val="continue"/>
            <w:tcBorders>
              <w:top w:val="nil"/>
            </w:tcBorders>
            <w:shd w:val="clear" w:color="auto" w:fill="BEBEBE"/>
          </w:tcPr>
          <w:p w14:paraId="4D587151">
            <w:pPr>
              <w:rPr>
                <w:sz w:val="2"/>
                <w:szCs w:val="2"/>
              </w:rPr>
            </w:pPr>
          </w:p>
        </w:tc>
        <w:tc>
          <w:tcPr>
            <w:tcW w:w="1339" w:type="dxa"/>
            <w:tcBorders>
              <w:top w:val="nil"/>
            </w:tcBorders>
            <w:shd w:val="clear" w:color="auto" w:fill="BEBEBE"/>
          </w:tcPr>
          <w:p w14:paraId="48849F85">
            <w:pPr>
              <w:pStyle w:val="17"/>
              <w:spacing w:line="183" w:lineRule="exact"/>
              <w:ind w:left="113" w:right="90"/>
              <w:rPr>
                <w:rFonts w:hint="eastAsia" w:ascii="黑体" w:eastAsia="黑体"/>
                <w:sz w:val="18"/>
              </w:rPr>
            </w:pPr>
            <w:r>
              <w:rPr>
                <w:rFonts w:hint="eastAsia" w:ascii="黑体" w:eastAsia="黑体"/>
                <w:sz w:val="18"/>
              </w:rPr>
              <w:t>（毫克</w:t>
            </w:r>
            <w:r>
              <w:rPr>
                <w:rFonts w:ascii="Times New Roman" w:eastAsia="Times New Roman"/>
                <w:sz w:val="18"/>
              </w:rPr>
              <w:t>/</w:t>
            </w:r>
            <w:r>
              <w:rPr>
                <w:rFonts w:hint="eastAsia" w:ascii="黑体" w:eastAsia="黑体"/>
                <w:sz w:val="18"/>
              </w:rPr>
              <w:t>立方</w:t>
            </w:r>
          </w:p>
        </w:tc>
        <w:tc>
          <w:tcPr>
            <w:tcW w:w="8204" w:type="dxa"/>
            <w:gridSpan w:val="6"/>
            <w:vMerge w:val="continue"/>
            <w:tcBorders>
              <w:top w:val="nil"/>
            </w:tcBorders>
            <w:shd w:val="clear" w:color="auto" w:fill="BEBEBE"/>
          </w:tcPr>
          <w:p w14:paraId="236A6E29">
            <w:pPr>
              <w:rPr>
                <w:sz w:val="2"/>
                <w:szCs w:val="2"/>
              </w:rPr>
            </w:pPr>
          </w:p>
        </w:tc>
      </w:tr>
      <w:tr w14:paraId="485C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 w:hRule="atLeast"/>
        </w:trPr>
        <w:tc>
          <w:tcPr>
            <w:tcW w:w="886" w:type="dxa"/>
            <w:vMerge w:val="continue"/>
            <w:tcBorders>
              <w:top w:val="nil"/>
              <w:bottom w:val="nil"/>
            </w:tcBorders>
            <w:shd w:val="clear" w:color="auto" w:fill="BEBEBE"/>
          </w:tcPr>
          <w:p w14:paraId="6FFCFF8E">
            <w:pPr>
              <w:rPr>
                <w:sz w:val="2"/>
                <w:szCs w:val="2"/>
              </w:rPr>
            </w:pPr>
          </w:p>
        </w:tc>
        <w:tc>
          <w:tcPr>
            <w:tcW w:w="749" w:type="dxa"/>
            <w:vMerge w:val="continue"/>
            <w:tcBorders>
              <w:top w:val="nil"/>
              <w:bottom w:val="nil"/>
            </w:tcBorders>
            <w:shd w:val="clear" w:color="auto" w:fill="BEBEBE"/>
          </w:tcPr>
          <w:p w14:paraId="5FA6D0CC">
            <w:pPr>
              <w:rPr>
                <w:sz w:val="2"/>
                <w:szCs w:val="2"/>
              </w:rPr>
            </w:pPr>
          </w:p>
        </w:tc>
        <w:tc>
          <w:tcPr>
            <w:tcW w:w="2242" w:type="dxa"/>
            <w:gridSpan w:val="2"/>
            <w:tcBorders>
              <w:bottom w:val="nil"/>
            </w:tcBorders>
          </w:tcPr>
          <w:p w14:paraId="6670E3A6">
            <w:pPr>
              <w:pStyle w:val="17"/>
              <w:jc w:val="left"/>
              <w:rPr>
                <w:rFonts w:ascii="Times New Roman"/>
                <w:sz w:val="6"/>
              </w:rPr>
            </w:pPr>
          </w:p>
        </w:tc>
        <w:tc>
          <w:tcPr>
            <w:tcW w:w="7704" w:type="dxa"/>
            <w:gridSpan w:val="5"/>
            <w:tcBorders>
              <w:bottom w:val="nil"/>
            </w:tcBorders>
          </w:tcPr>
          <w:p w14:paraId="640B1272">
            <w:pPr>
              <w:pStyle w:val="17"/>
              <w:jc w:val="left"/>
              <w:rPr>
                <w:rFonts w:ascii="Times New Roman"/>
                <w:sz w:val="6"/>
              </w:rPr>
            </w:pPr>
          </w:p>
        </w:tc>
        <w:tc>
          <w:tcPr>
            <w:tcW w:w="1783" w:type="dxa"/>
            <w:vMerge w:val="restart"/>
          </w:tcPr>
          <w:p w14:paraId="0CE54EBC">
            <w:pPr>
              <w:pStyle w:val="17"/>
              <w:spacing w:before="108"/>
              <w:ind w:left="132" w:right="108"/>
              <w:rPr>
                <w:sz w:val="18"/>
              </w:rPr>
            </w:pPr>
            <w:r>
              <w:rPr>
                <w:sz w:val="18"/>
              </w:rPr>
              <w:t>颗粒物</w:t>
            </w:r>
          </w:p>
        </w:tc>
        <w:tc>
          <w:tcPr>
            <w:tcW w:w="1339" w:type="dxa"/>
            <w:vMerge w:val="restart"/>
          </w:tcPr>
          <w:p w14:paraId="1AE6CB07">
            <w:pPr>
              <w:pStyle w:val="17"/>
              <w:spacing w:before="106"/>
              <w:ind w:left="25"/>
              <w:rPr>
                <w:rFonts w:ascii="Times New Roman"/>
                <w:sz w:val="18"/>
              </w:rPr>
            </w:pPr>
            <w:r>
              <w:rPr>
                <w:rFonts w:ascii="Times New Roman"/>
                <w:w w:val="99"/>
                <w:sz w:val="18"/>
              </w:rPr>
              <w:t>1</w:t>
            </w:r>
          </w:p>
        </w:tc>
        <w:tc>
          <w:tcPr>
            <w:tcW w:w="8204" w:type="dxa"/>
            <w:gridSpan w:val="6"/>
            <w:vMerge w:val="restart"/>
          </w:tcPr>
          <w:p w14:paraId="005B0CF7">
            <w:pPr>
              <w:pStyle w:val="17"/>
              <w:spacing w:before="108"/>
              <w:ind w:left="32"/>
              <w:jc w:val="left"/>
              <w:rPr>
                <w:sz w:val="18"/>
              </w:rPr>
            </w:pPr>
            <w:r>
              <w:rPr>
                <w:sz w:val="18"/>
              </w:rPr>
              <w:t>《合成树脂工业污染物排放标准》（GB 31572-2015）及2024年修改单表9大气污染物特别排放限值要求</w:t>
            </w:r>
          </w:p>
        </w:tc>
      </w:tr>
      <w:tr w14:paraId="57674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886" w:type="dxa"/>
            <w:tcBorders>
              <w:top w:val="nil"/>
              <w:bottom w:val="nil"/>
            </w:tcBorders>
            <w:shd w:val="clear" w:color="auto" w:fill="BEBEBE"/>
          </w:tcPr>
          <w:p w14:paraId="751D9263">
            <w:pPr>
              <w:pStyle w:val="17"/>
              <w:jc w:val="left"/>
              <w:rPr>
                <w:rFonts w:ascii="Times New Roman"/>
                <w:sz w:val="16"/>
              </w:rPr>
            </w:pPr>
          </w:p>
        </w:tc>
        <w:tc>
          <w:tcPr>
            <w:tcW w:w="749" w:type="dxa"/>
            <w:tcBorders>
              <w:top w:val="nil"/>
              <w:bottom w:val="nil"/>
            </w:tcBorders>
            <w:shd w:val="clear" w:color="auto" w:fill="BEBEBE"/>
          </w:tcPr>
          <w:p w14:paraId="77E9B6AB">
            <w:pPr>
              <w:pStyle w:val="17"/>
              <w:spacing w:line="219" w:lineRule="exact"/>
              <w:ind w:left="106" w:right="82"/>
              <w:rPr>
                <w:rFonts w:hint="eastAsia" w:ascii="黑体" w:eastAsia="黑体"/>
                <w:sz w:val="18"/>
              </w:rPr>
            </w:pPr>
            <w:r>
              <w:rPr>
                <w:rFonts w:hint="eastAsia" w:ascii="黑体" w:eastAsia="黑体"/>
                <w:sz w:val="18"/>
              </w:rPr>
              <w:t>排放</w:t>
            </w:r>
          </w:p>
        </w:tc>
        <w:tc>
          <w:tcPr>
            <w:tcW w:w="2242" w:type="dxa"/>
            <w:gridSpan w:val="2"/>
            <w:tcBorders>
              <w:top w:val="nil"/>
              <w:bottom w:val="nil"/>
            </w:tcBorders>
          </w:tcPr>
          <w:p w14:paraId="55FBE209">
            <w:pPr>
              <w:pStyle w:val="17"/>
              <w:spacing w:before="101" w:line="181" w:lineRule="exact"/>
              <w:ind w:left="924" w:right="899"/>
              <w:rPr>
                <w:rFonts w:ascii="Times New Roman"/>
                <w:sz w:val="18"/>
              </w:rPr>
            </w:pPr>
            <w:r>
              <w:rPr>
                <w:rFonts w:ascii="Times New Roman"/>
                <w:sz w:val="18"/>
              </w:rPr>
              <w:t>1#</w:t>
            </w:r>
          </w:p>
        </w:tc>
        <w:tc>
          <w:tcPr>
            <w:tcW w:w="7704" w:type="dxa"/>
            <w:gridSpan w:val="5"/>
            <w:tcBorders>
              <w:top w:val="nil"/>
              <w:bottom w:val="nil"/>
            </w:tcBorders>
          </w:tcPr>
          <w:p w14:paraId="333CD8A2">
            <w:pPr>
              <w:pStyle w:val="17"/>
              <w:spacing w:before="104" w:line="178" w:lineRule="exact"/>
              <w:ind w:left="2226"/>
              <w:jc w:val="left"/>
              <w:rPr>
                <w:sz w:val="18"/>
              </w:rPr>
            </w:pPr>
            <w:r>
              <w:rPr>
                <w:sz w:val="18"/>
              </w:rPr>
              <w:t>厂界无组织（厂界上风向、厂界下风向）</w:t>
            </w:r>
          </w:p>
        </w:tc>
        <w:tc>
          <w:tcPr>
            <w:tcW w:w="1783" w:type="dxa"/>
            <w:vMerge w:val="continue"/>
            <w:tcBorders>
              <w:top w:val="nil"/>
            </w:tcBorders>
          </w:tcPr>
          <w:p w14:paraId="6C1D1B16">
            <w:pPr>
              <w:rPr>
                <w:sz w:val="2"/>
                <w:szCs w:val="2"/>
              </w:rPr>
            </w:pPr>
          </w:p>
        </w:tc>
        <w:tc>
          <w:tcPr>
            <w:tcW w:w="1339" w:type="dxa"/>
            <w:vMerge w:val="continue"/>
            <w:tcBorders>
              <w:top w:val="nil"/>
            </w:tcBorders>
          </w:tcPr>
          <w:p w14:paraId="751F10AA">
            <w:pPr>
              <w:rPr>
                <w:sz w:val="2"/>
                <w:szCs w:val="2"/>
              </w:rPr>
            </w:pPr>
          </w:p>
        </w:tc>
        <w:tc>
          <w:tcPr>
            <w:tcW w:w="8204" w:type="dxa"/>
            <w:gridSpan w:val="6"/>
            <w:vMerge w:val="continue"/>
            <w:tcBorders>
              <w:top w:val="nil"/>
            </w:tcBorders>
          </w:tcPr>
          <w:p w14:paraId="734793BB">
            <w:pPr>
              <w:rPr>
                <w:sz w:val="2"/>
                <w:szCs w:val="2"/>
              </w:rPr>
            </w:pPr>
          </w:p>
        </w:tc>
      </w:tr>
      <w:tr w14:paraId="1C7A7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886" w:type="dxa"/>
            <w:vMerge w:val="restart"/>
            <w:tcBorders>
              <w:top w:val="nil"/>
            </w:tcBorders>
            <w:shd w:val="clear" w:color="auto" w:fill="BEBEBE"/>
          </w:tcPr>
          <w:p w14:paraId="3FE3F121">
            <w:pPr>
              <w:pStyle w:val="17"/>
              <w:jc w:val="left"/>
              <w:rPr>
                <w:rFonts w:ascii="Times New Roman"/>
                <w:sz w:val="16"/>
              </w:rPr>
            </w:pPr>
          </w:p>
        </w:tc>
        <w:tc>
          <w:tcPr>
            <w:tcW w:w="749" w:type="dxa"/>
            <w:vMerge w:val="restart"/>
            <w:tcBorders>
              <w:top w:val="nil"/>
            </w:tcBorders>
            <w:shd w:val="clear" w:color="auto" w:fill="BEBEBE"/>
          </w:tcPr>
          <w:p w14:paraId="23CCB791">
            <w:pPr>
              <w:pStyle w:val="17"/>
              <w:jc w:val="left"/>
              <w:rPr>
                <w:rFonts w:ascii="Times New Roman"/>
                <w:sz w:val="16"/>
              </w:rPr>
            </w:pPr>
          </w:p>
        </w:tc>
        <w:tc>
          <w:tcPr>
            <w:tcW w:w="2242" w:type="dxa"/>
            <w:gridSpan w:val="2"/>
            <w:tcBorders>
              <w:top w:val="nil"/>
            </w:tcBorders>
          </w:tcPr>
          <w:p w14:paraId="4DBAB15F">
            <w:pPr>
              <w:pStyle w:val="17"/>
              <w:jc w:val="left"/>
              <w:rPr>
                <w:rFonts w:ascii="Times New Roman"/>
                <w:sz w:val="16"/>
              </w:rPr>
            </w:pPr>
          </w:p>
        </w:tc>
        <w:tc>
          <w:tcPr>
            <w:tcW w:w="7704" w:type="dxa"/>
            <w:gridSpan w:val="5"/>
            <w:tcBorders>
              <w:top w:val="nil"/>
            </w:tcBorders>
          </w:tcPr>
          <w:p w14:paraId="6724AA41">
            <w:pPr>
              <w:pStyle w:val="17"/>
              <w:jc w:val="left"/>
              <w:rPr>
                <w:rFonts w:ascii="Times New Roman"/>
                <w:sz w:val="16"/>
              </w:rPr>
            </w:pPr>
          </w:p>
        </w:tc>
        <w:tc>
          <w:tcPr>
            <w:tcW w:w="1783" w:type="dxa"/>
          </w:tcPr>
          <w:p w14:paraId="7B022D5F">
            <w:pPr>
              <w:pStyle w:val="17"/>
              <w:spacing w:before="10" w:line="195" w:lineRule="exact"/>
              <w:ind w:left="132" w:right="109"/>
              <w:rPr>
                <w:sz w:val="18"/>
              </w:rPr>
            </w:pPr>
            <w:r>
              <w:rPr>
                <w:sz w:val="18"/>
              </w:rPr>
              <w:t>臭气浓度</w:t>
            </w:r>
          </w:p>
        </w:tc>
        <w:tc>
          <w:tcPr>
            <w:tcW w:w="1339" w:type="dxa"/>
          </w:tcPr>
          <w:p w14:paraId="5D19DAB2">
            <w:pPr>
              <w:pStyle w:val="17"/>
              <w:spacing w:line="205" w:lineRule="exact"/>
              <w:ind w:left="113" w:right="91"/>
              <w:rPr>
                <w:sz w:val="18"/>
              </w:rPr>
            </w:pPr>
            <w:r>
              <w:rPr>
                <w:rFonts w:ascii="Times New Roman" w:eastAsia="Times New Roman"/>
                <w:sz w:val="18"/>
              </w:rPr>
              <w:t>20</w:t>
            </w:r>
            <w:r>
              <w:rPr>
                <w:sz w:val="18"/>
              </w:rPr>
              <w:t>（无量纲）</w:t>
            </w:r>
          </w:p>
        </w:tc>
        <w:tc>
          <w:tcPr>
            <w:tcW w:w="8204" w:type="dxa"/>
            <w:gridSpan w:val="6"/>
          </w:tcPr>
          <w:p w14:paraId="3D048074">
            <w:pPr>
              <w:pStyle w:val="17"/>
              <w:spacing w:before="10" w:line="195" w:lineRule="exact"/>
              <w:ind w:left="1436"/>
              <w:jc w:val="left"/>
              <w:rPr>
                <w:sz w:val="18"/>
              </w:rPr>
            </w:pPr>
            <w:r>
              <w:rPr>
                <w:sz w:val="18"/>
              </w:rPr>
              <w:t>《恶臭污染物排放标准》（GB14554-93）表1新改扩建二级标准要求</w:t>
            </w:r>
          </w:p>
        </w:tc>
      </w:tr>
      <w:tr w14:paraId="407A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886" w:type="dxa"/>
            <w:vMerge w:val="continue"/>
            <w:tcBorders>
              <w:top w:val="nil"/>
            </w:tcBorders>
            <w:shd w:val="clear" w:color="auto" w:fill="BEBEBE"/>
          </w:tcPr>
          <w:p w14:paraId="651DFF77">
            <w:pPr>
              <w:rPr>
                <w:sz w:val="2"/>
                <w:szCs w:val="2"/>
              </w:rPr>
            </w:pPr>
          </w:p>
        </w:tc>
        <w:tc>
          <w:tcPr>
            <w:tcW w:w="749" w:type="dxa"/>
            <w:vMerge w:val="continue"/>
            <w:tcBorders>
              <w:top w:val="nil"/>
            </w:tcBorders>
            <w:shd w:val="clear" w:color="auto" w:fill="BEBEBE"/>
          </w:tcPr>
          <w:p w14:paraId="79BE12D0">
            <w:pPr>
              <w:rPr>
                <w:sz w:val="2"/>
                <w:szCs w:val="2"/>
              </w:rPr>
            </w:pPr>
          </w:p>
        </w:tc>
        <w:tc>
          <w:tcPr>
            <w:tcW w:w="2242" w:type="dxa"/>
            <w:gridSpan w:val="2"/>
          </w:tcPr>
          <w:p w14:paraId="1EFDD1D1">
            <w:pPr>
              <w:pStyle w:val="17"/>
              <w:spacing w:before="5" w:line="200" w:lineRule="exact"/>
              <w:ind w:left="924" w:right="899"/>
              <w:rPr>
                <w:rFonts w:ascii="Times New Roman"/>
                <w:sz w:val="18"/>
              </w:rPr>
            </w:pPr>
            <w:r>
              <w:rPr>
                <w:rFonts w:ascii="Times New Roman"/>
                <w:sz w:val="18"/>
              </w:rPr>
              <w:t>2#</w:t>
            </w:r>
          </w:p>
        </w:tc>
        <w:tc>
          <w:tcPr>
            <w:tcW w:w="7704" w:type="dxa"/>
            <w:gridSpan w:val="5"/>
          </w:tcPr>
          <w:p w14:paraId="3D75B423">
            <w:pPr>
              <w:pStyle w:val="17"/>
              <w:spacing w:before="8" w:line="197" w:lineRule="exact"/>
              <w:ind w:left="2666" w:right="2642"/>
              <w:rPr>
                <w:sz w:val="18"/>
              </w:rPr>
            </w:pPr>
            <w:r>
              <w:rPr>
                <w:sz w:val="18"/>
              </w:rPr>
              <w:t>厂区内无组织（厂房门窗处）</w:t>
            </w:r>
          </w:p>
        </w:tc>
        <w:tc>
          <w:tcPr>
            <w:tcW w:w="1783" w:type="dxa"/>
          </w:tcPr>
          <w:p w14:paraId="56370B37">
            <w:pPr>
              <w:pStyle w:val="17"/>
              <w:spacing w:before="8" w:line="197" w:lineRule="exact"/>
              <w:ind w:left="132" w:right="106"/>
              <w:rPr>
                <w:sz w:val="18"/>
              </w:rPr>
            </w:pPr>
            <w:r>
              <w:rPr>
                <w:sz w:val="18"/>
              </w:rPr>
              <w:t>非甲烷总烃</w:t>
            </w:r>
          </w:p>
        </w:tc>
        <w:tc>
          <w:tcPr>
            <w:tcW w:w="1339" w:type="dxa"/>
          </w:tcPr>
          <w:p w14:paraId="70988B91">
            <w:pPr>
              <w:pStyle w:val="17"/>
              <w:spacing w:before="5" w:line="200" w:lineRule="exact"/>
              <w:ind w:left="113" w:right="88"/>
              <w:rPr>
                <w:rFonts w:ascii="Times New Roman"/>
                <w:sz w:val="18"/>
              </w:rPr>
            </w:pPr>
            <w:r>
              <w:rPr>
                <w:rFonts w:ascii="Times New Roman"/>
                <w:sz w:val="18"/>
              </w:rPr>
              <w:t>10</w:t>
            </w:r>
          </w:p>
        </w:tc>
        <w:tc>
          <w:tcPr>
            <w:tcW w:w="8204" w:type="dxa"/>
            <w:gridSpan w:val="6"/>
          </w:tcPr>
          <w:p w14:paraId="2E19282E">
            <w:pPr>
              <w:pStyle w:val="17"/>
              <w:spacing w:before="8" w:line="197" w:lineRule="exact"/>
              <w:ind w:left="1030"/>
              <w:jc w:val="left"/>
              <w:rPr>
                <w:sz w:val="18"/>
              </w:rPr>
            </w:pPr>
            <w:r>
              <w:rPr>
                <w:sz w:val="18"/>
              </w:rPr>
              <w:t>《挥发性有机物无组织排放控制标准》（GB37822-2019）附录A表A.1排放限值</w:t>
            </w:r>
          </w:p>
        </w:tc>
      </w:tr>
      <w:tr w14:paraId="6050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86" w:type="dxa"/>
            <w:vMerge w:val="restart"/>
            <w:tcBorders>
              <w:bottom w:val="nil"/>
            </w:tcBorders>
            <w:shd w:val="clear" w:color="auto" w:fill="BEBEBE"/>
          </w:tcPr>
          <w:p w14:paraId="6E257541">
            <w:pPr>
              <w:pStyle w:val="17"/>
              <w:jc w:val="left"/>
              <w:rPr>
                <w:rFonts w:ascii="Times New Roman"/>
                <w:sz w:val="16"/>
              </w:rPr>
            </w:pPr>
          </w:p>
        </w:tc>
        <w:tc>
          <w:tcPr>
            <w:tcW w:w="749" w:type="dxa"/>
            <w:vMerge w:val="restart"/>
            <w:tcBorders>
              <w:bottom w:val="nil"/>
            </w:tcBorders>
            <w:shd w:val="clear" w:color="auto" w:fill="BEBEBE"/>
          </w:tcPr>
          <w:p w14:paraId="05AA41A1">
            <w:pPr>
              <w:pStyle w:val="17"/>
              <w:spacing w:before="61" w:line="224" w:lineRule="exact"/>
              <w:ind w:left="107" w:right="82"/>
              <w:jc w:val="both"/>
              <w:rPr>
                <w:rFonts w:hint="eastAsia" w:ascii="黑体" w:eastAsia="黑体"/>
                <w:sz w:val="18"/>
              </w:rPr>
            </w:pPr>
            <w:r>
              <w:rPr>
                <w:rFonts w:hint="eastAsia" w:ascii="黑体" w:eastAsia="黑体"/>
                <w:sz w:val="18"/>
              </w:rPr>
              <w:t>车间或生产设施排放</w:t>
            </w:r>
          </w:p>
        </w:tc>
        <w:tc>
          <w:tcPr>
            <w:tcW w:w="826" w:type="dxa"/>
            <w:vMerge w:val="restart"/>
            <w:shd w:val="clear" w:color="auto" w:fill="BEBEBE"/>
          </w:tcPr>
          <w:p w14:paraId="57E4817E">
            <w:pPr>
              <w:pStyle w:val="17"/>
              <w:spacing w:before="149" w:line="227" w:lineRule="exact"/>
              <w:ind w:left="36" w:right="13"/>
              <w:rPr>
                <w:rFonts w:hint="eastAsia" w:ascii="黑体" w:eastAsia="黑体"/>
                <w:sz w:val="18"/>
              </w:rPr>
            </w:pPr>
            <w:r>
              <w:rPr>
                <w:rFonts w:hint="eastAsia" w:ascii="黑体" w:eastAsia="黑体"/>
                <w:sz w:val="18"/>
              </w:rPr>
              <w:t>序号</w:t>
            </w:r>
          </w:p>
          <w:p w14:paraId="6CBCB1C2">
            <w:pPr>
              <w:pStyle w:val="17"/>
              <w:spacing w:line="227" w:lineRule="exact"/>
              <w:ind w:left="37" w:right="13"/>
              <w:rPr>
                <w:rFonts w:hint="eastAsia" w:ascii="黑体" w:eastAsia="黑体"/>
                <w:sz w:val="18"/>
              </w:rPr>
            </w:pPr>
            <w:r>
              <w:rPr>
                <w:rFonts w:hint="eastAsia" w:ascii="黑体" w:eastAsia="黑体"/>
                <w:sz w:val="18"/>
              </w:rPr>
              <w:t>（编号）</w:t>
            </w:r>
          </w:p>
        </w:tc>
        <w:tc>
          <w:tcPr>
            <w:tcW w:w="1416" w:type="dxa"/>
            <w:vMerge w:val="restart"/>
            <w:shd w:val="clear" w:color="auto" w:fill="BEBEBE"/>
          </w:tcPr>
          <w:p w14:paraId="15390EBB">
            <w:pPr>
              <w:pStyle w:val="17"/>
              <w:spacing w:before="7"/>
              <w:jc w:val="left"/>
              <w:rPr>
                <w:rFonts w:ascii="Times New Roman"/>
                <w:sz w:val="22"/>
              </w:rPr>
            </w:pPr>
          </w:p>
          <w:p w14:paraId="3A311FD3">
            <w:pPr>
              <w:pStyle w:val="17"/>
              <w:ind w:left="260"/>
              <w:jc w:val="left"/>
              <w:rPr>
                <w:rFonts w:hint="eastAsia" w:ascii="黑体" w:eastAsia="黑体"/>
                <w:sz w:val="18"/>
              </w:rPr>
            </w:pPr>
            <w:r>
              <w:rPr>
                <w:rFonts w:hint="eastAsia" w:ascii="黑体" w:eastAsia="黑体"/>
                <w:sz w:val="18"/>
              </w:rPr>
              <w:t>排放口名称</w:t>
            </w:r>
          </w:p>
        </w:tc>
        <w:tc>
          <w:tcPr>
            <w:tcW w:w="4663" w:type="dxa"/>
            <w:gridSpan w:val="3"/>
            <w:vMerge w:val="restart"/>
            <w:shd w:val="clear" w:color="auto" w:fill="BEBEBE"/>
          </w:tcPr>
          <w:p w14:paraId="20954E1E">
            <w:pPr>
              <w:pStyle w:val="17"/>
              <w:spacing w:before="7"/>
              <w:jc w:val="left"/>
              <w:rPr>
                <w:rFonts w:ascii="Times New Roman"/>
                <w:sz w:val="22"/>
              </w:rPr>
            </w:pPr>
          </w:p>
          <w:p w14:paraId="1E485B38">
            <w:pPr>
              <w:pStyle w:val="17"/>
              <w:ind w:left="1595" w:right="1572"/>
              <w:rPr>
                <w:rFonts w:hint="eastAsia" w:ascii="黑体" w:eastAsia="黑体"/>
                <w:sz w:val="18"/>
              </w:rPr>
            </w:pPr>
            <w:r>
              <w:rPr>
                <w:rFonts w:hint="eastAsia" w:ascii="黑体" w:eastAsia="黑体"/>
                <w:sz w:val="18"/>
              </w:rPr>
              <w:t>废水类别</w:t>
            </w:r>
          </w:p>
        </w:tc>
        <w:tc>
          <w:tcPr>
            <w:tcW w:w="4824" w:type="dxa"/>
            <w:gridSpan w:val="3"/>
            <w:shd w:val="clear" w:color="auto" w:fill="BEBEBE"/>
          </w:tcPr>
          <w:p w14:paraId="78E40FB9">
            <w:pPr>
              <w:pStyle w:val="17"/>
              <w:spacing w:before="38" w:line="229" w:lineRule="exact"/>
              <w:ind w:left="1677" w:right="1652"/>
              <w:rPr>
                <w:rFonts w:hint="eastAsia" w:ascii="黑体" w:eastAsia="黑体"/>
                <w:sz w:val="18"/>
              </w:rPr>
            </w:pPr>
            <w:r>
              <w:rPr>
                <w:rFonts w:hint="eastAsia" w:ascii="黑体" w:eastAsia="黑体"/>
                <w:sz w:val="18"/>
              </w:rPr>
              <w:t>污染防治设施工艺</w:t>
            </w:r>
          </w:p>
        </w:tc>
        <w:tc>
          <w:tcPr>
            <w:tcW w:w="1339" w:type="dxa"/>
            <w:vMerge w:val="restart"/>
            <w:shd w:val="clear" w:color="auto" w:fill="BEBEBE"/>
          </w:tcPr>
          <w:p w14:paraId="7DDA8BE6">
            <w:pPr>
              <w:pStyle w:val="17"/>
              <w:spacing w:before="7"/>
              <w:jc w:val="left"/>
              <w:rPr>
                <w:rFonts w:ascii="Times New Roman"/>
                <w:sz w:val="22"/>
              </w:rPr>
            </w:pPr>
          </w:p>
          <w:p w14:paraId="08976C18">
            <w:pPr>
              <w:pStyle w:val="17"/>
              <w:ind w:left="310"/>
              <w:jc w:val="left"/>
              <w:rPr>
                <w:rFonts w:hint="eastAsia" w:ascii="黑体" w:eastAsia="黑体"/>
                <w:sz w:val="18"/>
              </w:rPr>
            </w:pPr>
            <w:r>
              <w:rPr>
                <w:rFonts w:hint="eastAsia" w:ascii="黑体" w:eastAsia="黑体"/>
                <w:sz w:val="18"/>
              </w:rPr>
              <w:t>排放去向</w:t>
            </w:r>
          </w:p>
        </w:tc>
        <w:tc>
          <w:tcPr>
            <w:tcW w:w="8204" w:type="dxa"/>
            <w:gridSpan w:val="6"/>
            <w:shd w:val="clear" w:color="auto" w:fill="BEBEBE"/>
          </w:tcPr>
          <w:p w14:paraId="0C4BDC27">
            <w:pPr>
              <w:pStyle w:val="17"/>
              <w:spacing w:before="38" w:line="229" w:lineRule="exact"/>
              <w:ind w:left="3545" w:right="3522"/>
              <w:rPr>
                <w:rFonts w:hint="eastAsia" w:ascii="黑体" w:eastAsia="黑体"/>
                <w:sz w:val="18"/>
              </w:rPr>
            </w:pPr>
            <w:r>
              <w:rPr>
                <w:rFonts w:hint="eastAsia" w:ascii="黑体" w:eastAsia="黑体"/>
                <w:sz w:val="18"/>
              </w:rPr>
              <w:t>污染物排放</w:t>
            </w:r>
          </w:p>
        </w:tc>
      </w:tr>
      <w:tr w14:paraId="6F099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86" w:type="dxa"/>
            <w:vMerge w:val="continue"/>
            <w:tcBorders>
              <w:top w:val="nil"/>
              <w:bottom w:val="nil"/>
            </w:tcBorders>
            <w:shd w:val="clear" w:color="auto" w:fill="BEBEBE"/>
          </w:tcPr>
          <w:p w14:paraId="5B784367">
            <w:pPr>
              <w:rPr>
                <w:sz w:val="2"/>
                <w:szCs w:val="2"/>
              </w:rPr>
            </w:pPr>
          </w:p>
        </w:tc>
        <w:tc>
          <w:tcPr>
            <w:tcW w:w="749" w:type="dxa"/>
            <w:vMerge w:val="continue"/>
            <w:tcBorders>
              <w:top w:val="nil"/>
              <w:bottom w:val="nil"/>
            </w:tcBorders>
            <w:shd w:val="clear" w:color="auto" w:fill="BEBEBE"/>
          </w:tcPr>
          <w:p w14:paraId="2166E157">
            <w:pPr>
              <w:rPr>
                <w:sz w:val="2"/>
                <w:szCs w:val="2"/>
              </w:rPr>
            </w:pPr>
          </w:p>
        </w:tc>
        <w:tc>
          <w:tcPr>
            <w:tcW w:w="826" w:type="dxa"/>
            <w:vMerge w:val="continue"/>
            <w:tcBorders>
              <w:top w:val="nil"/>
            </w:tcBorders>
            <w:shd w:val="clear" w:color="auto" w:fill="BEBEBE"/>
          </w:tcPr>
          <w:p w14:paraId="7E3839B1">
            <w:pPr>
              <w:rPr>
                <w:sz w:val="2"/>
                <w:szCs w:val="2"/>
              </w:rPr>
            </w:pPr>
          </w:p>
        </w:tc>
        <w:tc>
          <w:tcPr>
            <w:tcW w:w="1416" w:type="dxa"/>
            <w:vMerge w:val="continue"/>
            <w:tcBorders>
              <w:top w:val="nil"/>
            </w:tcBorders>
            <w:shd w:val="clear" w:color="auto" w:fill="BEBEBE"/>
          </w:tcPr>
          <w:p w14:paraId="633DFAC2">
            <w:pPr>
              <w:rPr>
                <w:sz w:val="2"/>
                <w:szCs w:val="2"/>
              </w:rPr>
            </w:pPr>
          </w:p>
        </w:tc>
        <w:tc>
          <w:tcPr>
            <w:tcW w:w="4663" w:type="dxa"/>
            <w:gridSpan w:val="3"/>
            <w:vMerge w:val="continue"/>
            <w:tcBorders>
              <w:top w:val="nil"/>
            </w:tcBorders>
            <w:shd w:val="clear" w:color="auto" w:fill="BEBEBE"/>
          </w:tcPr>
          <w:p w14:paraId="2D46EBFD">
            <w:pPr>
              <w:rPr>
                <w:sz w:val="2"/>
                <w:szCs w:val="2"/>
              </w:rPr>
            </w:pPr>
          </w:p>
        </w:tc>
        <w:tc>
          <w:tcPr>
            <w:tcW w:w="1428" w:type="dxa"/>
            <w:shd w:val="clear" w:color="auto" w:fill="BEBEBE"/>
          </w:tcPr>
          <w:p w14:paraId="07D33147">
            <w:pPr>
              <w:pStyle w:val="17"/>
              <w:spacing w:before="108"/>
              <w:ind w:left="66" w:right="44"/>
              <w:rPr>
                <w:rFonts w:hint="eastAsia" w:ascii="黑体" w:eastAsia="黑体"/>
                <w:sz w:val="18"/>
              </w:rPr>
            </w:pPr>
            <w:r>
              <w:rPr>
                <w:rFonts w:hint="eastAsia" w:ascii="黑体" w:eastAsia="黑体"/>
                <w:sz w:val="18"/>
              </w:rPr>
              <w:t>序号（编号）</w:t>
            </w:r>
          </w:p>
        </w:tc>
        <w:tc>
          <w:tcPr>
            <w:tcW w:w="1613" w:type="dxa"/>
            <w:shd w:val="clear" w:color="auto" w:fill="BEBEBE"/>
          </w:tcPr>
          <w:p w14:paraId="418DC5F7">
            <w:pPr>
              <w:pStyle w:val="17"/>
              <w:spacing w:before="108"/>
              <w:ind w:left="32" w:right="9"/>
              <w:rPr>
                <w:rFonts w:hint="eastAsia" w:ascii="黑体" w:eastAsia="黑体"/>
                <w:sz w:val="18"/>
              </w:rPr>
            </w:pPr>
            <w:r>
              <w:rPr>
                <w:rFonts w:hint="eastAsia" w:ascii="黑体" w:eastAsia="黑体"/>
                <w:sz w:val="18"/>
              </w:rPr>
              <w:t>名称</w:t>
            </w:r>
          </w:p>
        </w:tc>
        <w:tc>
          <w:tcPr>
            <w:tcW w:w="1783" w:type="dxa"/>
            <w:shd w:val="clear" w:color="auto" w:fill="BEBEBE"/>
          </w:tcPr>
          <w:p w14:paraId="1006B40E">
            <w:pPr>
              <w:pStyle w:val="17"/>
              <w:spacing w:before="8" w:line="212" w:lineRule="exact"/>
              <w:ind w:left="387" w:right="54" w:hanging="306"/>
              <w:jc w:val="left"/>
              <w:rPr>
                <w:rFonts w:hint="eastAsia" w:ascii="黑体" w:eastAsia="黑体"/>
                <w:sz w:val="18"/>
              </w:rPr>
            </w:pPr>
            <w:r>
              <w:rPr>
                <w:rFonts w:hint="eastAsia" w:ascii="黑体" w:eastAsia="黑体"/>
                <w:sz w:val="18"/>
              </w:rPr>
              <w:t>污染治理设施处理水量</w:t>
            </w:r>
            <w:r>
              <w:rPr>
                <w:rFonts w:ascii="Times New Roman" w:eastAsia="Times New Roman"/>
                <w:sz w:val="18"/>
              </w:rPr>
              <w:t>(</w:t>
            </w:r>
            <w:r>
              <w:rPr>
                <w:rFonts w:hint="eastAsia" w:ascii="黑体" w:eastAsia="黑体"/>
                <w:sz w:val="18"/>
              </w:rPr>
              <w:t>吨</w:t>
            </w:r>
            <w:r>
              <w:rPr>
                <w:rFonts w:ascii="Times New Roman" w:eastAsia="Times New Roman"/>
                <w:sz w:val="18"/>
              </w:rPr>
              <w:t>/</w:t>
            </w:r>
            <w:r>
              <w:rPr>
                <w:rFonts w:hint="eastAsia" w:ascii="黑体" w:eastAsia="黑体"/>
                <w:sz w:val="18"/>
              </w:rPr>
              <w:t>小时）</w:t>
            </w:r>
          </w:p>
        </w:tc>
        <w:tc>
          <w:tcPr>
            <w:tcW w:w="1339" w:type="dxa"/>
            <w:vMerge w:val="continue"/>
            <w:tcBorders>
              <w:top w:val="nil"/>
            </w:tcBorders>
            <w:shd w:val="clear" w:color="auto" w:fill="BEBEBE"/>
          </w:tcPr>
          <w:p w14:paraId="18A37BE7">
            <w:pPr>
              <w:rPr>
                <w:sz w:val="2"/>
                <w:szCs w:val="2"/>
              </w:rPr>
            </w:pPr>
          </w:p>
        </w:tc>
        <w:tc>
          <w:tcPr>
            <w:tcW w:w="2520" w:type="dxa"/>
            <w:shd w:val="clear" w:color="auto" w:fill="BEBEBE"/>
          </w:tcPr>
          <w:p w14:paraId="28808EAD">
            <w:pPr>
              <w:pStyle w:val="17"/>
              <w:spacing w:before="108"/>
              <w:ind w:left="795" w:right="770"/>
              <w:rPr>
                <w:rFonts w:hint="eastAsia" w:ascii="黑体" w:eastAsia="黑体"/>
                <w:sz w:val="18"/>
              </w:rPr>
            </w:pPr>
            <w:r>
              <w:rPr>
                <w:rFonts w:hint="eastAsia" w:ascii="黑体" w:eastAsia="黑体"/>
                <w:sz w:val="18"/>
              </w:rPr>
              <w:t>污染物种类</w:t>
            </w:r>
          </w:p>
        </w:tc>
        <w:tc>
          <w:tcPr>
            <w:tcW w:w="1416" w:type="dxa"/>
            <w:shd w:val="clear" w:color="auto" w:fill="BEBEBE"/>
          </w:tcPr>
          <w:p w14:paraId="0586CEFA">
            <w:pPr>
              <w:pStyle w:val="17"/>
              <w:spacing w:line="219" w:lineRule="exact"/>
              <w:ind w:left="37" w:right="12"/>
              <w:rPr>
                <w:rFonts w:hint="eastAsia" w:ascii="黑体" w:eastAsia="黑体"/>
                <w:sz w:val="18"/>
              </w:rPr>
            </w:pPr>
            <w:r>
              <w:rPr>
                <w:rFonts w:hint="eastAsia" w:ascii="黑体" w:eastAsia="黑体"/>
                <w:sz w:val="18"/>
              </w:rPr>
              <w:t>排放浓度</w:t>
            </w:r>
          </w:p>
          <w:p w14:paraId="1566822C">
            <w:pPr>
              <w:pStyle w:val="17"/>
              <w:spacing w:line="188" w:lineRule="exact"/>
              <w:ind w:left="37" w:right="12"/>
              <w:rPr>
                <w:rFonts w:hint="eastAsia" w:ascii="黑体" w:eastAsia="黑体"/>
                <w:sz w:val="18"/>
              </w:rPr>
            </w:pPr>
            <w:r>
              <w:rPr>
                <w:rFonts w:hint="eastAsia" w:ascii="黑体" w:eastAsia="黑体"/>
                <w:sz w:val="18"/>
              </w:rPr>
              <w:t>（毫克</w:t>
            </w:r>
            <w:r>
              <w:rPr>
                <w:rFonts w:ascii="Times New Roman" w:eastAsia="Times New Roman"/>
                <w:sz w:val="18"/>
              </w:rPr>
              <w:t>/</w:t>
            </w:r>
            <w:r>
              <w:rPr>
                <w:rFonts w:hint="eastAsia" w:ascii="黑体" w:eastAsia="黑体"/>
                <w:sz w:val="18"/>
              </w:rPr>
              <w:t>升）</w:t>
            </w:r>
          </w:p>
        </w:tc>
        <w:tc>
          <w:tcPr>
            <w:tcW w:w="1416" w:type="dxa"/>
            <w:shd w:val="clear" w:color="auto" w:fill="BEBEBE"/>
          </w:tcPr>
          <w:p w14:paraId="285D9E99">
            <w:pPr>
              <w:pStyle w:val="17"/>
              <w:spacing w:before="96"/>
              <w:ind w:left="37" w:right="13"/>
              <w:rPr>
                <w:rFonts w:hint="eastAsia" w:ascii="黑体" w:eastAsia="黑体"/>
                <w:sz w:val="18"/>
              </w:rPr>
            </w:pPr>
            <w:r>
              <w:rPr>
                <w:rFonts w:hint="eastAsia" w:ascii="黑体" w:eastAsia="黑体"/>
                <w:sz w:val="18"/>
              </w:rPr>
              <w:t>排放量（吨</w:t>
            </w:r>
            <w:r>
              <w:rPr>
                <w:rFonts w:ascii="Times New Roman" w:eastAsia="Times New Roman"/>
                <w:sz w:val="18"/>
              </w:rPr>
              <w:t>/</w:t>
            </w:r>
            <w:r>
              <w:rPr>
                <w:rFonts w:hint="eastAsia" w:ascii="黑体" w:eastAsia="黑体"/>
                <w:sz w:val="18"/>
              </w:rPr>
              <w:t>年）</w:t>
            </w:r>
          </w:p>
        </w:tc>
        <w:tc>
          <w:tcPr>
            <w:tcW w:w="2852" w:type="dxa"/>
            <w:gridSpan w:val="3"/>
            <w:shd w:val="clear" w:color="auto" w:fill="BEBEBE"/>
          </w:tcPr>
          <w:p w14:paraId="4D557135">
            <w:pPr>
              <w:pStyle w:val="17"/>
              <w:spacing w:before="108"/>
              <w:ind w:left="889"/>
              <w:jc w:val="left"/>
              <w:rPr>
                <w:rFonts w:hint="eastAsia" w:ascii="黑体" w:eastAsia="黑体"/>
                <w:sz w:val="18"/>
              </w:rPr>
            </w:pPr>
            <w:r>
              <w:rPr>
                <w:rFonts w:hint="eastAsia" w:ascii="黑体" w:eastAsia="黑体"/>
                <w:sz w:val="18"/>
              </w:rPr>
              <w:t>排放标准名称</w:t>
            </w:r>
          </w:p>
        </w:tc>
      </w:tr>
      <w:tr w14:paraId="36BB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trPr>
        <w:tc>
          <w:tcPr>
            <w:tcW w:w="886" w:type="dxa"/>
            <w:tcBorders>
              <w:top w:val="nil"/>
              <w:bottom w:val="nil"/>
            </w:tcBorders>
            <w:shd w:val="clear" w:color="auto" w:fill="BEBEBE"/>
          </w:tcPr>
          <w:p w14:paraId="45C5E035">
            <w:pPr>
              <w:pStyle w:val="17"/>
              <w:jc w:val="left"/>
              <w:rPr>
                <w:rFonts w:ascii="Times New Roman"/>
                <w:sz w:val="16"/>
              </w:rPr>
            </w:pPr>
          </w:p>
        </w:tc>
        <w:tc>
          <w:tcPr>
            <w:tcW w:w="749" w:type="dxa"/>
            <w:tcBorders>
              <w:top w:val="nil"/>
            </w:tcBorders>
            <w:shd w:val="clear" w:color="auto" w:fill="BEBEBE"/>
          </w:tcPr>
          <w:p w14:paraId="1FE0F2C1">
            <w:pPr>
              <w:pStyle w:val="17"/>
              <w:spacing w:line="209" w:lineRule="exact"/>
              <w:ind w:left="24"/>
              <w:rPr>
                <w:rFonts w:hint="eastAsia" w:ascii="黑体" w:eastAsia="黑体"/>
                <w:sz w:val="18"/>
              </w:rPr>
            </w:pPr>
            <w:r>
              <w:rPr>
                <w:rFonts w:hint="eastAsia" w:ascii="黑体" w:eastAsia="黑体"/>
                <w:w w:val="99"/>
                <w:sz w:val="18"/>
              </w:rPr>
              <w:t>口</w:t>
            </w:r>
          </w:p>
        </w:tc>
        <w:tc>
          <w:tcPr>
            <w:tcW w:w="826" w:type="dxa"/>
          </w:tcPr>
          <w:p w14:paraId="379608D5">
            <w:pPr>
              <w:pStyle w:val="17"/>
              <w:jc w:val="left"/>
              <w:rPr>
                <w:rFonts w:ascii="Times New Roman"/>
                <w:sz w:val="16"/>
              </w:rPr>
            </w:pPr>
          </w:p>
        </w:tc>
        <w:tc>
          <w:tcPr>
            <w:tcW w:w="1416" w:type="dxa"/>
          </w:tcPr>
          <w:p w14:paraId="2BCA14DF">
            <w:pPr>
              <w:pStyle w:val="17"/>
              <w:jc w:val="left"/>
              <w:rPr>
                <w:rFonts w:ascii="Times New Roman"/>
                <w:sz w:val="16"/>
              </w:rPr>
            </w:pPr>
          </w:p>
        </w:tc>
        <w:tc>
          <w:tcPr>
            <w:tcW w:w="4663" w:type="dxa"/>
            <w:gridSpan w:val="3"/>
          </w:tcPr>
          <w:p w14:paraId="7DE57E6D">
            <w:pPr>
              <w:pStyle w:val="17"/>
              <w:jc w:val="left"/>
              <w:rPr>
                <w:rFonts w:ascii="Times New Roman"/>
                <w:sz w:val="16"/>
              </w:rPr>
            </w:pPr>
          </w:p>
        </w:tc>
        <w:tc>
          <w:tcPr>
            <w:tcW w:w="1428" w:type="dxa"/>
          </w:tcPr>
          <w:p w14:paraId="795BC200">
            <w:pPr>
              <w:pStyle w:val="17"/>
              <w:jc w:val="left"/>
              <w:rPr>
                <w:rFonts w:ascii="Times New Roman"/>
                <w:sz w:val="16"/>
              </w:rPr>
            </w:pPr>
          </w:p>
        </w:tc>
        <w:tc>
          <w:tcPr>
            <w:tcW w:w="1613" w:type="dxa"/>
          </w:tcPr>
          <w:p w14:paraId="2F9AB440">
            <w:pPr>
              <w:pStyle w:val="17"/>
              <w:jc w:val="left"/>
              <w:rPr>
                <w:rFonts w:ascii="Times New Roman"/>
                <w:sz w:val="16"/>
              </w:rPr>
            </w:pPr>
          </w:p>
        </w:tc>
        <w:tc>
          <w:tcPr>
            <w:tcW w:w="1783" w:type="dxa"/>
          </w:tcPr>
          <w:p w14:paraId="260522FA">
            <w:pPr>
              <w:pStyle w:val="17"/>
              <w:jc w:val="left"/>
              <w:rPr>
                <w:rFonts w:ascii="Times New Roman"/>
                <w:sz w:val="16"/>
              </w:rPr>
            </w:pPr>
          </w:p>
        </w:tc>
        <w:tc>
          <w:tcPr>
            <w:tcW w:w="1339" w:type="dxa"/>
          </w:tcPr>
          <w:p w14:paraId="4FB71B40">
            <w:pPr>
              <w:pStyle w:val="17"/>
              <w:jc w:val="left"/>
              <w:rPr>
                <w:rFonts w:ascii="Times New Roman"/>
                <w:sz w:val="16"/>
              </w:rPr>
            </w:pPr>
          </w:p>
        </w:tc>
        <w:tc>
          <w:tcPr>
            <w:tcW w:w="2520" w:type="dxa"/>
          </w:tcPr>
          <w:p w14:paraId="1FEA48CF">
            <w:pPr>
              <w:pStyle w:val="17"/>
              <w:jc w:val="left"/>
              <w:rPr>
                <w:rFonts w:ascii="Times New Roman"/>
                <w:sz w:val="16"/>
              </w:rPr>
            </w:pPr>
          </w:p>
        </w:tc>
        <w:tc>
          <w:tcPr>
            <w:tcW w:w="1416" w:type="dxa"/>
          </w:tcPr>
          <w:p w14:paraId="5D62D510">
            <w:pPr>
              <w:pStyle w:val="17"/>
              <w:jc w:val="left"/>
              <w:rPr>
                <w:rFonts w:ascii="Times New Roman"/>
                <w:sz w:val="16"/>
              </w:rPr>
            </w:pPr>
          </w:p>
        </w:tc>
        <w:tc>
          <w:tcPr>
            <w:tcW w:w="1416" w:type="dxa"/>
          </w:tcPr>
          <w:p w14:paraId="337897BA">
            <w:pPr>
              <w:pStyle w:val="17"/>
              <w:jc w:val="left"/>
              <w:rPr>
                <w:rFonts w:ascii="Times New Roman"/>
                <w:sz w:val="16"/>
              </w:rPr>
            </w:pPr>
          </w:p>
        </w:tc>
        <w:tc>
          <w:tcPr>
            <w:tcW w:w="2852" w:type="dxa"/>
            <w:gridSpan w:val="3"/>
          </w:tcPr>
          <w:p w14:paraId="02396F6F">
            <w:pPr>
              <w:pStyle w:val="17"/>
              <w:jc w:val="left"/>
              <w:rPr>
                <w:rFonts w:ascii="Times New Roman"/>
                <w:sz w:val="16"/>
              </w:rPr>
            </w:pPr>
          </w:p>
        </w:tc>
      </w:tr>
      <w:tr w14:paraId="0CAB8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vMerge w:val="restart"/>
            <w:tcBorders>
              <w:top w:val="nil"/>
              <w:bottom w:val="nil"/>
            </w:tcBorders>
            <w:shd w:val="clear" w:color="auto" w:fill="BEBEBE"/>
          </w:tcPr>
          <w:p w14:paraId="7F652FCE">
            <w:pPr>
              <w:pStyle w:val="17"/>
              <w:spacing w:before="3"/>
              <w:jc w:val="left"/>
              <w:rPr>
                <w:rFonts w:ascii="Times New Roman"/>
                <w:sz w:val="24"/>
              </w:rPr>
            </w:pPr>
          </w:p>
          <w:p w14:paraId="734EBA40">
            <w:pPr>
              <w:pStyle w:val="17"/>
              <w:spacing w:line="224" w:lineRule="exact"/>
              <w:ind w:left="85" w:right="59"/>
              <w:jc w:val="left"/>
              <w:rPr>
                <w:rFonts w:hint="eastAsia" w:ascii="黑体" w:eastAsia="黑体"/>
                <w:sz w:val="18"/>
              </w:rPr>
            </w:pPr>
            <w:r>
              <w:rPr>
                <w:rFonts w:hint="eastAsia" w:ascii="黑体" w:eastAsia="黑体"/>
                <w:sz w:val="18"/>
              </w:rPr>
              <w:t>水污染治理与排放</w:t>
            </w:r>
          </w:p>
        </w:tc>
        <w:tc>
          <w:tcPr>
            <w:tcW w:w="749" w:type="dxa"/>
            <w:vMerge w:val="restart"/>
            <w:shd w:val="clear" w:color="auto" w:fill="BEBEBE"/>
          </w:tcPr>
          <w:p w14:paraId="62226011">
            <w:pPr>
              <w:pStyle w:val="17"/>
              <w:jc w:val="left"/>
              <w:rPr>
                <w:rFonts w:ascii="Times New Roman"/>
                <w:sz w:val="18"/>
              </w:rPr>
            </w:pPr>
          </w:p>
          <w:p w14:paraId="0A970B9C">
            <w:pPr>
              <w:pStyle w:val="17"/>
              <w:spacing w:before="4"/>
              <w:jc w:val="left"/>
              <w:rPr>
                <w:rFonts w:ascii="Times New Roman"/>
                <w:sz w:val="19"/>
              </w:rPr>
            </w:pPr>
          </w:p>
          <w:p w14:paraId="145B697B">
            <w:pPr>
              <w:pStyle w:val="17"/>
              <w:spacing w:before="1" w:line="230" w:lineRule="auto"/>
              <w:ind w:left="107" w:right="82"/>
              <w:rPr>
                <w:rFonts w:hint="eastAsia" w:ascii="黑体" w:eastAsia="黑体"/>
                <w:sz w:val="18"/>
              </w:rPr>
            </w:pPr>
            <w:r>
              <w:rPr>
                <w:rFonts w:hint="eastAsia" w:ascii="黑体" w:eastAsia="黑体"/>
                <w:sz w:val="18"/>
              </w:rPr>
              <w:t>总排放口（间接排 放）</w:t>
            </w:r>
          </w:p>
        </w:tc>
        <w:tc>
          <w:tcPr>
            <w:tcW w:w="826" w:type="dxa"/>
            <w:vMerge w:val="restart"/>
            <w:shd w:val="clear" w:color="auto" w:fill="BEBEBE"/>
          </w:tcPr>
          <w:p w14:paraId="61902B4D">
            <w:pPr>
              <w:pStyle w:val="17"/>
              <w:spacing w:before="149" w:line="227" w:lineRule="exact"/>
              <w:ind w:left="36" w:right="13"/>
              <w:rPr>
                <w:rFonts w:hint="eastAsia" w:ascii="黑体" w:eastAsia="黑体"/>
                <w:sz w:val="18"/>
              </w:rPr>
            </w:pPr>
            <w:r>
              <w:rPr>
                <w:rFonts w:hint="eastAsia" w:ascii="黑体" w:eastAsia="黑体"/>
                <w:sz w:val="18"/>
              </w:rPr>
              <w:t>序号</w:t>
            </w:r>
          </w:p>
          <w:p w14:paraId="0813D142">
            <w:pPr>
              <w:pStyle w:val="17"/>
              <w:spacing w:line="227" w:lineRule="exact"/>
              <w:ind w:left="37" w:right="13"/>
              <w:rPr>
                <w:rFonts w:hint="eastAsia" w:ascii="黑体" w:eastAsia="黑体"/>
                <w:sz w:val="18"/>
              </w:rPr>
            </w:pPr>
            <w:r>
              <w:rPr>
                <w:rFonts w:hint="eastAsia" w:ascii="黑体" w:eastAsia="黑体"/>
                <w:sz w:val="18"/>
              </w:rPr>
              <w:t>（编号）</w:t>
            </w:r>
          </w:p>
        </w:tc>
        <w:tc>
          <w:tcPr>
            <w:tcW w:w="1416" w:type="dxa"/>
            <w:vMerge w:val="restart"/>
            <w:shd w:val="clear" w:color="auto" w:fill="BEBEBE"/>
          </w:tcPr>
          <w:p w14:paraId="00CC0A22">
            <w:pPr>
              <w:pStyle w:val="17"/>
              <w:spacing w:before="6"/>
              <w:jc w:val="left"/>
              <w:rPr>
                <w:rFonts w:ascii="Times New Roman"/>
                <w:sz w:val="22"/>
              </w:rPr>
            </w:pPr>
          </w:p>
          <w:p w14:paraId="3049D239">
            <w:pPr>
              <w:pStyle w:val="17"/>
              <w:spacing w:before="1"/>
              <w:ind w:left="260"/>
              <w:jc w:val="left"/>
              <w:rPr>
                <w:rFonts w:hint="eastAsia" w:ascii="黑体" w:eastAsia="黑体"/>
                <w:sz w:val="18"/>
              </w:rPr>
            </w:pPr>
            <w:r>
              <w:rPr>
                <w:rFonts w:hint="eastAsia" w:ascii="黑体" w:eastAsia="黑体"/>
                <w:sz w:val="18"/>
              </w:rPr>
              <w:t>排放口名称</w:t>
            </w:r>
          </w:p>
        </w:tc>
        <w:tc>
          <w:tcPr>
            <w:tcW w:w="4663" w:type="dxa"/>
            <w:gridSpan w:val="3"/>
            <w:vMerge w:val="restart"/>
            <w:shd w:val="clear" w:color="auto" w:fill="BEBEBE"/>
          </w:tcPr>
          <w:p w14:paraId="17E0D1A9">
            <w:pPr>
              <w:pStyle w:val="17"/>
              <w:spacing w:before="6"/>
              <w:jc w:val="left"/>
              <w:rPr>
                <w:rFonts w:ascii="Times New Roman"/>
                <w:sz w:val="22"/>
              </w:rPr>
            </w:pPr>
          </w:p>
          <w:p w14:paraId="2BEBDC04">
            <w:pPr>
              <w:pStyle w:val="17"/>
              <w:spacing w:before="1"/>
              <w:ind w:left="1595" w:right="1572"/>
              <w:rPr>
                <w:rFonts w:hint="eastAsia" w:ascii="黑体" w:eastAsia="黑体"/>
                <w:sz w:val="18"/>
              </w:rPr>
            </w:pPr>
            <w:r>
              <w:rPr>
                <w:rFonts w:hint="eastAsia" w:ascii="黑体" w:eastAsia="黑体"/>
                <w:sz w:val="18"/>
              </w:rPr>
              <w:t>污染防治设施工艺</w:t>
            </w:r>
          </w:p>
        </w:tc>
        <w:tc>
          <w:tcPr>
            <w:tcW w:w="1428" w:type="dxa"/>
            <w:vMerge w:val="restart"/>
            <w:shd w:val="clear" w:color="auto" w:fill="BEBEBE"/>
          </w:tcPr>
          <w:p w14:paraId="27472FC4">
            <w:pPr>
              <w:pStyle w:val="17"/>
              <w:spacing w:before="49" w:line="220" w:lineRule="auto"/>
              <w:ind w:left="85" w:right="58"/>
              <w:rPr>
                <w:rFonts w:hint="eastAsia" w:ascii="黑体" w:eastAsia="黑体"/>
                <w:sz w:val="18"/>
              </w:rPr>
            </w:pPr>
            <w:r>
              <w:rPr>
                <w:rFonts w:hint="eastAsia" w:ascii="黑体" w:eastAsia="黑体"/>
                <w:sz w:val="18"/>
              </w:rPr>
              <w:t>污染防治设施处理水量（吨</w:t>
            </w:r>
            <w:r>
              <w:rPr>
                <w:rFonts w:ascii="Times New Roman" w:eastAsia="Times New Roman"/>
                <w:sz w:val="18"/>
              </w:rPr>
              <w:t>/</w:t>
            </w:r>
            <w:r>
              <w:rPr>
                <w:rFonts w:hint="eastAsia" w:ascii="黑体" w:eastAsia="黑体"/>
                <w:sz w:val="18"/>
              </w:rPr>
              <w:t>小</w:t>
            </w:r>
          </w:p>
          <w:p w14:paraId="40BCD838">
            <w:pPr>
              <w:pStyle w:val="17"/>
              <w:spacing w:before="12" w:line="224" w:lineRule="exact"/>
              <w:ind w:left="66" w:right="44"/>
              <w:rPr>
                <w:rFonts w:hint="eastAsia" w:ascii="黑体" w:eastAsia="黑体"/>
                <w:sz w:val="18"/>
              </w:rPr>
            </w:pPr>
            <w:r>
              <w:rPr>
                <w:rFonts w:hint="eastAsia" w:ascii="黑体" w:eastAsia="黑体"/>
                <w:sz w:val="18"/>
              </w:rPr>
              <w:t>时）</w:t>
            </w:r>
          </w:p>
        </w:tc>
        <w:tc>
          <w:tcPr>
            <w:tcW w:w="3396" w:type="dxa"/>
            <w:gridSpan w:val="2"/>
            <w:shd w:val="clear" w:color="auto" w:fill="BEBEBE"/>
          </w:tcPr>
          <w:p w14:paraId="707F9A10">
            <w:pPr>
              <w:pStyle w:val="17"/>
              <w:spacing w:before="14" w:line="202" w:lineRule="exact"/>
              <w:ind w:left="1068"/>
              <w:jc w:val="left"/>
              <w:rPr>
                <w:rFonts w:hint="eastAsia" w:ascii="黑体" w:eastAsia="黑体"/>
                <w:sz w:val="18"/>
              </w:rPr>
            </w:pPr>
            <w:r>
              <w:rPr>
                <w:rFonts w:hint="eastAsia" w:ascii="黑体" w:eastAsia="黑体"/>
                <w:sz w:val="18"/>
              </w:rPr>
              <w:t>受纳污水处理厂</w:t>
            </w:r>
          </w:p>
        </w:tc>
        <w:tc>
          <w:tcPr>
            <w:tcW w:w="1339" w:type="dxa"/>
            <w:vMerge w:val="restart"/>
            <w:shd w:val="clear" w:color="auto" w:fill="BEBEBE"/>
          </w:tcPr>
          <w:p w14:paraId="6F0A5D26">
            <w:pPr>
              <w:pStyle w:val="17"/>
              <w:spacing w:before="154" w:line="232" w:lineRule="auto"/>
              <w:ind w:left="131" w:right="15" w:hanging="92"/>
              <w:jc w:val="left"/>
              <w:rPr>
                <w:rFonts w:hint="eastAsia" w:ascii="黑体" w:eastAsia="黑体"/>
                <w:sz w:val="18"/>
              </w:rPr>
            </w:pPr>
            <w:r>
              <w:rPr>
                <w:rFonts w:hint="eastAsia" w:ascii="黑体" w:eastAsia="黑体"/>
                <w:sz w:val="18"/>
              </w:rPr>
              <w:t>受纳污水处理厂排放标准名称</w:t>
            </w:r>
          </w:p>
        </w:tc>
        <w:tc>
          <w:tcPr>
            <w:tcW w:w="8204" w:type="dxa"/>
            <w:gridSpan w:val="6"/>
            <w:shd w:val="clear" w:color="auto" w:fill="BEBEBE"/>
          </w:tcPr>
          <w:p w14:paraId="125166F2">
            <w:pPr>
              <w:pStyle w:val="17"/>
              <w:spacing w:before="14" w:line="202" w:lineRule="exact"/>
              <w:ind w:left="3545" w:right="3522"/>
              <w:rPr>
                <w:rFonts w:hint="eastAsia" w:ascii="黑体" w:eastAsia="黑体"/>
                <w:sz w:val="18"/>
              </w:rPr>
            </w:pPr>
            <w:r>
              <w:rPr>
                <w:rFonts w:hint="eastAsia" w:ascii="黑体" w:eastAsia="黑体"/>
                <w:sz w:val="18"/>
              </w:rPr>
              <w:t>污染物排放</w:t>
            </w:r>
          </w:p>
        </w:tc>
      </w:tr>
      <w:tr w14:paraId="1A14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886" w:type="dxa"/>
            <w:vMerge w:val="continue"/>
            <w:tcBorders>
              <w:top w:val="nil"/>
              <w:bottom w:val="nil"/>
            </w:tcBorders>
            <w:shd w:val="clear" w:color="auto" w:fill="BEBEBE"/>
          </w:tcPr>
          <w:p w14:paraId="521B7C8C">
            <w:pPr>
              <w:rPr>
                <w:sz w:val="2"/>
                <w:szCs w:val="2"/>
              </w:rPr>
            </w:pPr>
          </w:p>
        </w:tc>
        <w:tc>
          <w:tcPr>
            <w:tcW w:w="749" w:type="dxa"/>
            <w:vMerge w:val="continue"/>
            <w:tcBorders>
              <w:top w:val="nil"/>
            </w:tcBorders>
            <w:shd w:val="clear" w:color="auto" w:fill="BEBEBE"/>
          </w:tcPr>
          <w:p w14:paraId="6F528313">
            <w:pPr>
              <w:rPr>
                <w:sz w:val="2"/>
                <w:szCs w:val="2"/>
              </w:rPr>
            </w:pPr>
          </w:p>
        </w:tc>
        <w:tc>
          <w:tcPr>
            <w:tcW w:w="826" w:type="dxa"/>
            <w:vMerge w:val="continue"/>
            <w:tcBorders>
              <w:top w:val="nil"/>
            </w:tcBorders>
            <w:shd w:val="clear" w:color="auto" w:fill="BEBEBE"/>
          </w:tcPr>
          <w:p w14:paraId="0A751C7F">
            <w:pPr>
              <w:rPr>
                <w:sz w:val="2"/>
                <w:szCs w:val="2"/>
              </w:rPr>
            </w:pPr>
          </w:p>
        </w:tc>
        <w:tc>
          <w:tcPr>
            <w:tcW w:w="1416" w:type="dxa"/>
            <w:vMerge w:val="continue"/>
            <w:tcBorders>
              <w:top w:val="nil"/>
            </w:tcBorders>
            <w:shd w:val="clear" w:color="auto" w:fill="BEBEBE"/>
          </w:tcPr>
          <w:p w14:paraId="53267B6C">
            <w:pPr>
              <w:rPr>
                <w:sz w:val="2"/>
                <w:szCs w:val="2"/>
              </w:rPr>
            </w:pPr>
          </w:p>
        </w:tc>
        <w:tc>
          <w:tcPr>
            <w:tcW w:w="4663" w:type="dxa"/>
            <w:gridSpan w:val="3"/>
            <w:vMerge w:val="continue"/>
            <w:tcBorders>
              <w:top w:val="nil"/>
            </w:tcBorders>
            <w:shd w:val="clear" w:color="auto" w:fill="BEBEBE"/>
          </w:tcPr>
          <w:p w14:paraId="098373C2">
            <w:pPr>
              <w:rPr>
                <w:sz w:val="2"/>
                <w:szCs w:val="2"/>
              </w:rPr>
            </w:pPr>
          </w:p>
        </w:tc>
        <w:tc>
          <w:tcPr>
            <w:tcW w:w="1428" w:type="dxa"/>
            <w:vMerge w:val="continue"/>
            <w:tcBorders>
              <w:top w:val="nil"/>
            </w:tcBorders>
            <w:shd w:val="clear" w:color="auto" w:fill="BEBEBE"/>
          </w:tcPr>
          <w:p w14:paraId="79B282AE">
            <w:pPr>
              <w:rPr>
                <w:sz w:val="2"/>
                <w:szCs w:val="2"/>
              </w:rPr>
            </w:pPr>
          </w:p>
        </w:tc>
        <w:tc>
          <w:tcPr>
            <w:tcW w:w="1613" w:type="dxa"/>
            <w:shd w:val="clear" w:color="auto" w:fill="BEBEBE"/>
          </w:tcPr>
          <w:p w14:paraId="0F6DDB84">
            <w:pPr>
              <w:pStyle w:val="17"/>
              <w:spacing w:before="135"/>
              <w:ind w:left="32" w:right="9"/>
              <w:rPr>
                <w:rFonts w:hint="eastAsia" w:ascii="黑体" w:eastAsia="黑体"/>
                <w:sz w:val="18"/>
              </w:rPr>
            </w:pPr>
            <w:r>
              <w:rPr>
                <w:rFonts w:hint="eastAsia" w:ascii="黑体" w:eastAsia="黑体"/>
                <w:sz w:val="18"/>
              </w:rPr>
              <w:t>名称</w:t>
            </w:r>
          </w:p>
        </w:tc>
        <w:tc>
          <w:tcPr>
            <w:tcW w:w="1783" w:type="dxa"/>
            <w:shd w:val="clear" w:color="auto" w:fill="BEBEBE"/>
          </w:tcPr>
          <w:p w14:paraId="0B095327">
            <w:pPr>
              <w:pStyle w:val="17"/>
              <w:spacing w:before="135"/>
              <w:ind w:left="132" w:right="107"/>
              <w:rPr>
                <w:rFonts w:hint="eastAsia" w:ascii="黑体" w:eastAsia="黑体"/>
                <w:sz w:val="18"/>
              </w:rPr>
            </w:pPr>
            <w:r>
              <w:rPr>
                <w:rFonts w:hint="eastAsia" w:ascii="黑体" w:eastAsia="黑体"/>
                <w:sz w:val="18"/>
              </w:rPr>
              <w:t>编号</w:t>
            </w:r>
          </w:p>
        </w:tc>
        <w:tc>
          <w:tcPr>
            <w:tcW w:w="1339" w:type="dxa"/>
            <w:vMerge w:val="continue"/>
            <w:tcBorders>
              <w:top w:val="nil"/>
            </w:tcBorders>
            <w:shd w:val="clear" w:color="auto" w:fill="BEBEBE"/>
          </w:tcPr>
          <w:p w14:paraId="6B97F39C">
            <w:pPr>
              <w:rPr>
                <w:sz w:val="2"/>
                <w:szCs w:val="2"/>
              </w:rPr>
            </w:pPr>
          </w:p>
        </w:tc>
        <w:tc>
          <w:tcPr>
            <w:tcW w:w="2520" w:type="dxa"/>
            <w:shd w:val="clear" w:color="auto" w:fill="BEBEBE"/>
          </w:tcPr>
          <w:p w14:paraId="0821F4F9">
            <w:pPr>
              <w:pStyle w:val="17"/>
              <w:spacing w:before="135"/>
              <w:ind w:left="795" w:right="770"/>
              <w:rPr>
                <w:rFonts w:hint="eastAsia" w:ascii="黑体" w:eastAsia="黑体"/>
                <w:sz w:val="18"/>
              </w:rPr>
            </w:pPr>
            <w:r>
              <w:rPr>
                <w:rFonts w:hint="eastAsia" w:ascii="黑体" w:eastAsia="黑体"/>
                <w:sz w:val="18"/>
              </w:rPr>
              <w:t>污染物种类</w:t>
            </w:r>
          </w:p>
        </w:tc>
        <w:tc>
          <w:tcPr>
            <w:tcW w:w="1416" w:type="dxa"/>
            <w:shd w:val="clear" w:color="auto" w:fill="BEBEBE"/>
          </w:tcPr>
          <w:p w14:paraId="3F222236">
            <w:pPr>
              <w:pStyle w:val="17"/>
              <w:spacing w:before="19" w:line="221" w:lineRule="exact"/>
              <w:ind w:left="37" w:right="12"/>
              <w:rPr>
                <w:rFonts w:hint="eastAsia" w:ascii="黑体" w:eastAsia="黑体"/>
                <w:sz w:val="18"/>
              </w:rPr>
            </w:pPr>
            <w:r>
              <w:rPr>
                <w:rFonts w:hint="eastAsia" w:ascii="黑体" w:eastAsia="黑体"/>
                <w:sz w:val="18"/>
              </w:rPr>
              <w:t>排放浓度</w:t>
            </w:r>
          </w:p>
          <w:p w14:paraId="428033D6">
            <w:pPr>
              <w:pStyle w:val="17"/>
              <w:spacing w:line="216" w:lineRule="exact"/>
              <w:ind w:left="37" w:right="12"/>
              <w:rPr>
                <w:rFonts w:hint="eastAsia" w:ascii="黑体" w:eastAsia="黑体"/>
                <w:sz w:val="18"/>
              </w:rPr>
            </w:pPr>
            <w:r>
              <w:rPr>
                <w:rFonts w:hint="eastAsia" w:ascii="黑体" w:eastAsia="黑体"/>
                <w:sz w:val="18"/>
              </w:rPr>
              <w:t>（毫克</w:t>
            </w:r>
            <w:r>
              <w:rPr>
                <w:rFonts w:ascii="Times New Roman" w:eastAsia="Times New Roman"/>
                <w:sz w:val="18"/>
              </w:rPr>
              <w:t>/</w:t>
            </w:r>
            <w:r>
              <w:rPr>
                <w:rFonts w:hint="eastAsia" w:ascii="黑体" w:eastAsia="黑体"/>
                <w:sz w:val="18"/>
              </w:rPr>
              <w:t>升）</w:t>
            </w:r>
          </w:p>
        </w:tc>
        <w:tc>
          <w:tcPr>
            <w:tcW w:w="1416" w:type="dxa"/>
            <w:shd w:val="clear" w:color="auto" w:fill="BEBEBE"/>
          </w:tcPr>
          <w:p w14:paraId="3FC1CC7F">
            <w:pPr>
              <w:pStyle w:val="17"/>
              <w:spacing w:before="120"/>
              <w:ind w:left="37" w:right="13"/>
              <w:rPr>
                <w:rFonts w:hint="eastAsia" w:ascii="黑体" w:eastAsia="黑体"/>
                <w:sz w:val="18"/>
              </w:rPr>
            </w:pPr>
            <w:r>
              <w:rPr>
                <w:rFonts w:hint="eastAsia" w:ascii="黑体" w:eastAsia="黑体"/>
                <w:sz w:val="18"/>
              </w:rPr>
              <w:t>排放量（吨</w:t>
            </w:r>
            <w:r>
              <w:rPr>
                <w:rFonts w:ascii="Times New Roman" w:eastAsia="Times New Roman"/>
                <w:sz w:val="18"/>
              </w:rPr>
              <w:t>/</w:t>
            </w:r>
            <w:r>
              <w:rPr>
                <w:rFonts w:hint="eastAsia" w:ascii="黑体" w:eastAsia="黑体"/>
                <w:sz w:val="18"/>
              </w:rPr>
              <w:t>年）</w:t>
            </w:r>
          </w:p>
        </w:tc>
        <w:tc>
          <w:tcPr>
            <w:tcW w:w="2852" w:type="dxa"/>
            <w:gridSpan w:val="3"/>
            <w:shd w:val="clear" w:color="auto" w:fill="BEBEBE"/>
          </w:tcPr>
          <w:p w14:paraId="098D7EEF">
            <w:pPr>
              <w:pStyle w:val="17"/>
              <w:spacing w:before="135"/>
              <w:ind w:left="889"/>
              <w:jc w:val="left"/>
              <w:rPr>
                <w:rFonts w:hint="eastAsia" w:ascii="黑体" w:eastAsia="黑体"/>
                <w:sz w:val="18"/>
              </w:rPr>
            </w:pPr>
            <w:r>
              <w:rPr>
                <w:rFonts w:hint="eastAsia" w:ascii="黑体" w:eastAsia="黑体"/>
                <w:sz w:val="18"/>
              </w:rPr>
              <w:t>排放标准名称</w:t>
            </w:r>
          </w:p>
        </w:tc>
      </w:tr>
      <w:tr w14:paraId="5CAA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886" w:type="dxa"/>
            <w:vMerge w:val="restart"/>
            <w:tcBorders>
              <w:top w:val="nil"/>
              <w:bottom w:val="nil"/>
            </w:tcBorders>
            <w:shd w:val="clear" w:color="auto" w:fill="BEBEBE"/>
          </w:tcPr>
          <w:p w14:paraId="6CC7C793">
            <w:pPr>
              <w:pStyle w:val="17"/>
              <w:spacing w:line="206" w:lineRule="exact"/>
              <w:ind w:left="85"/>
              <w:jc w:val="left"/>
              <w:rPr>
                <w:rFonts w:hint="eastAsia" w:ascii="黑体" w:eastAsia="黑体"/>
                <w:sz w:val="18"/>
              </w:rPr>
            </w:pPr>
            <w:r>
              <w:rPr>
                <w:rFonts w:hint="eastAsia" w:ascii="黑体" w:eastAsia="黑体"/>
                <w:sz w:val="18"/>
              </w:rPr>
              <w:t>信息（主</w:t>
            </w:r>
          </w:p>
          <w:p w14:paraId="11B9DC10">
            <w:pPr>
              <w:pStyle w:val="17"/>
              <w:spacing w:before="3" w:line="230" w:lineRule="auto"/>
              <w:ind w:left="268" w:right="149" w:hanging="92"/>
              <w:jc w:val="left"/>
              <w:rPr>
                <w:rFonts w:hint="eastAsia" w:ascii="黑体" w:eastAsia="黑体"/>
                <w:sz w:val="18"/>
              </w:rPr>
            </w:pPr>
            <w:r>
              <w:rPr>
                <w:rFonts w:hint="eastAsia" w:ascii="黑体" w:eastAsia="黑体"/>
                <w:sz w:val="18"/>
              </w:rPr>
              <w:t>要排放口）</w:t>
            </w:r>
          </w:p>
        </w:tc>
        <w:tc>
          <w:tcPr>
            <w:tcW w:w="749" w:type="dxa"/>
            <w:vMerge w:val="continue"/>
            <w:tcBorders>
              <w:top w:val="nil"/>
            </w:tcBorders>
            <w:shd w:val="clear" w:color="auto" w:fill="BEBEBE"/>
          </w:tcPr>
          <w:p w14:paraId="4718AC66">
            <w:pPr>
              <w:rPr>
                <w:sz w:val="2"/>
                <w:szCs w:val="2"/>
              </w:rPr>
            </w:pPr>
          </w:p>
        </w:tc>
        <w:tc>
          <w:tcPr>
            <w:tcW w:w="826" w:type="dxa"/>
            <w:vMerge w:val="restart"/>
          </w:tcPr>
          <w:p w14:paraId="11087AC0">
            <w:pPr>
              <w:pStyle w:val="17"/>
              <w:jc w:val="left"/>
              <w:rPr>
                <w:rFonts w:ascii="Times New Roman"/>
                <w:sz w:val="20"/>
              </w:rPr>
            </w:pPr>
          </w:p>
          <w:p w14:paraId="41C70CE1">
            <w:pPr>
              <w:pStyle w:val="17"/>
              <w:spacing w:before="152"/>
              <w:ind w:left="37" w:right="13"/>
              <w:rPr>
                <w:rFonts w:ascii="Times New Roman"/>
                <w:sz w:val="18"/>
              </w:rPr>
            </w:pPr>
            <w:r>
              <w:rPr>
                <w:rFonts w:ascii="Times New Roman"/>
                <w:sz w:val="18"/>
              </w:rPr>
              <w:t>1#</w:t>
            </w:r>
          </w:p>
        </w:tc>
        <w:tc>
          <w:tcPr>
            <w:tcW w:w="1416" w:type="dxa"/>
            <w:vMerge w:val="restart"/>
          </w:tcPr>
          <w:p w14:paraId="66F496D2">
            <w:pPr>
              <w:pStyle w:val="17"/>
              <w:jc w:val="left"/>
              <w:rPr>
                <w:rFonts w:ascii="Times New Roman"/>
                <w:sz w:val="18"/>
              </w:rPr>
            </w:pPr>
          </w:p>
          <w:p w14:paraId="0911368F">
            <w:pPr>
              <w:pStyle w:val="17"/>
              <w:spacing w:before="4"/>
              <w:jc w:val="left"/>
              <w:rPr>
                <w:rFonts w:ascii="Times New Roman"/>
                <w:sz w:val="15"/>
              </w:rPr>
            </w:pPr>
          </w:p>
          <w:p w14:paraId="5277879E">
            <w:pPr>
              <w:pStyle w:val="17"/>
              <w:spacing w:before="1"/>
              <w:ind w:left="79"/>
              <w:jc w:val="left"/>
              <w:rPr>
                <w:sz w:val="18"/>
              </w:rPr>
            </w:pPr>
            <w:r>
              <w:rPr>
                <w:sz w:val="18"/>
              </w:rPr>
              <w:t>生活污水排放口</w:t>
            </w:r>
          </w:p>
        </w:tc>
        <w:tc>
          <w:tcPr>
            <w:tcW w:w="4663" w:type="dxa"/>
            <w:gridSpan w:val="3"/>
            <w:vMerge w:val="restart"/>
          </w:tcPr>
          <w:p w14:paraId="49C9DEA2">
            <w:pPr>
              <w:pStyle w:val="17"/>
              <w:jc w:val="left"/>
              <w:rPr>
                <w:rFonts w:ascii="Times New Roman"/>
                <w:sz w:val="18"/>
              </w:rPr>
            </w:pPr>
          </w:p>
          <w:p w14:paraId="28263465">
            <w:pPr>
              <w:pStyle w:val="17"/>
              <w:spacing w:before="4"/>
              <w:jc w:val="left"/>
              <w:rPr>
                <w:rFonts w:ascii="Times New Roman"/>
                <w:sz w:val="15"/>
              </w:rPr>
            </w:pPr>
          </w:p>
          <w:p w14:paraId="3DA1A4FF">
            <w:pPr>
              <w:pStyle w:val="17"/>
              <w:spacing w:before="1"/>
              <w:ind w:left="1595" w:right="1571"/>
              <w:rPr>
                <w:sz w:val="18"/>
              </w:rPr>
            </w:pPr>
            <w:r>
              <w:rPr>
                <w:sz w:val="18"/>
              </w:rPr>
              <w:t>化粪池</w:t>
            </w:r>
          </w:p>
        </w:tc>
        <w:tc>
          <w:tcPr>
            <w:tcW w:w="1428" w:type="dxa"/>
            <w:vMerge w:val="restart"/>
          </w:tcPr>
          <w:p w14:paraId="21D995B0">
            <w:pPr>
              <w:pStyle w:val="17"/>
              <w:jc w:val="left"/>
              <w:rPr>
                <w:rFonts w:ascii="Times New Roman"/>
                <w:sz w:val="20"/>
              </w:rPr>
            </w:pPr>
          </w:p>
          <w:p w14:paraId="3E0C51A3">
            <w:pPr>
              <w:pStyle w:val="17"/>
              <w:spacing w:before="152"/>
              <w:ind w:left="21"/>
              <w:rPr>
                <w:rFonts w:ascii="Times New Roman"/>
                <w:sz w:val="18"/>
              </w:rPr>
            </w:pPr>
            <w:r>
              <w:rPr>
                <w:rFonts w:ascii="Times New Roman"/>
                <w:w w:val="99"/>
                <w:sz w:val="18"/>
              </w:rPr>
              <w:t>/</w:t>
            </w:r>
          </w:p>
        </w:tc>
        <w:tc>
          <w:tcPr>
            <w:tcW w:w="1613" w:type="dxa"/>
            <w:vMerge w:val="restart"/>
          </w:tcPr>
          <w:p w14:paraId="350458E9">
            <w:pPr>
              <w:pStyle w:val="17"/>
              <w:spacing w:before="5"/>
              <w:jc w:val="left"/>
              <w:rPr>
                <w:rFonts w:ascii="Times New Roman"/>
                <w:sz w:val="24"/>
              </w:rPr>
            </w:pPr>
          </w:p>
          <w:p w14:paraId="517B9C74">
            <w:pPr>
              <w:pStyle w:val="17"/>
              <w:spacing w:line="230" w:lineRule="auto"/>
              <w:ind w:left="630" w:right="60" w:hanging="543"/>
              <w:jc w:val="left"/>
              <w:rPr>
                <w:sz w:val="18"/>
              </w:rPr>
            </w:pPr>
            <w:r>
              <w:rPr>
                <w:sz w:val="18"/>
              </w:rPr>
              <w:t>汨罗市城市污水处理厂</w:t>
            </w:r>
          </w:p>
        </w:tc>
        <w:tc>
          <w:tcPr>
            <w:tcW w:w="1783" w:type="dxa"/>
            <w:vMerge w:val="restart"/>
          </w:tcPr>
          <w:p w14:paraId="6CFE0FCC">
            <w:pPr>
              <w:pStyle w:val="17"/>
              <w:jc w:val="left"/>
              <w:rPr>
                <w:rFonts w:ascii="Times New Roman"/>
                <w:sz w:val="18"/>
              </w:rPr>
            </w:pPr>
          </w:p>
          <w:p w14:paraId="5615A270">
            <w:pPr>
              <w:pStyle w:val="17"/>
              <w:spacing w:before="4"/>
              <w:jc w:val="left"/>
              <w:rPr>
                <w:rFonts w:ascii="Times New Roman"/>
                <w:sz w:val="15"/>
              </w:rPr>
            </w:pPr>
          </w:p>
          <w:p w14:paraId="381E9B69">
            <w:pPr>
              <w:pStyle w:val="17"/>
              <w:spacing w:before="1"/>
              <w:ind w:left="132" w:right="106"/>
              <w:rPr>
                <w:sz w:val="18"/>
              </w:rPr>
            </w:pPr>
            <w:r>
              <w:rPr>
                <w:sz w:val="18"/>
              </w:rPr>
              <w:t>1#</w:t>
            </w:r>
          </w:p>
        </w:tc>
        <w:tc>
          <w:tcPr>
            <w:tcW w:w="1339" w:type="dxa"/>
            <w:vMerge w:val="restart"/>
          </w:tcPr>
          <w:p w14:paraId="6DB74A25">
            <w:pPr>
              <w:pStyle w:val="17"/>
              <w:spacing w:before="5" w:line="230" w:lineRule="auto"/>
              <w:ind w:left="39" w:right="15"/>
              <w:jc w:val="both"/>
              <w:rPr>
                <w:sz w:val="18"/>
              </w:rPr>
            </w:pPr>
            <w:r>
              <w:rPr>
                <w:sz w:val="18"/>
              </w:rPr>
              <w:t>《城镇污水处理厂污染物排放标准》（GB18918-</w:t>
            </w:r>
          </w:p>
          <w:p w14:paraId="298244F4">
            <w:pPr>
              <w:pStyle w:val="17"/>
              <w:spacing w:line="227" w:lineRule="exact"/>
              <w:ind w:left="85"/>
              <w:jc w:val="both"/>
              <w:rPr>
                <w:sz w:val="18"/>
              </w:rPr>
            </w:pPr>
            <w:r>
              <w:rPr>
                <w:sz w:val="18"/>
              </w:rPr>
              <w:t>2002）一级A排</w:t>
            </w:r>
          </w:p>
        </w:tc>
        <w:tc>
          <w:tcPr>
            <w:tcW w:w="2520" w:type="dxa"/>
          </w:tcPr>
          <w:p w14:paraId="344FFC74">
            <w:pPr>
              <w:pStyle w:val="17"/>
              <w:spacing w:before="36"/>
              <w:ind w:left="792" w:right="770"/>
              <w:rPr>
                <w:rFonts w:ascii="Times New Roman"/>
                <w:sz w:val="18"/>
              </w:rPr>
            </w:pPr>
            <w:r>
              <w:rPr>
                <w:rFonts w:ascii="Times New Roman"/>
                <w:sz w:val="18"/>
              </w:rPr>
              <w:t>COD</w:t>
            </w:r>
          </w:p>
        </w:tc>
        <w:tc>
          <w:tcPr>
            <w:tcW w:w="1416" w:type="dxa"/>
          </w:tcPr>
          <w:p w14:paraId="0AAF424E">
            <w:pPr>
              <w:pStyle w:val="17"/>
              <w:spacing w:before="36"/>
              <w:ind w:left="37" w:right="12"/>
              <w:rPr>
                <w:rFonts w:ascii="Times New Roman"/>
                <w:sz w:val="18"/>
              </w:rPr>
            </w:pPr>
            <w:r>
              <w:rPr>
                <w:rFonts w:ascii="Times New Roman"/>
                <w:sz w:val="18"/>
              </w:rPr>
              <w:t>50</w:t>
            </w:r>
          </w:p>
        </w:tc>
        <w:tc>
          <w:tcPr>
            <w:tcW w:w="1416" w:type="dxa"/>
          </w:tcPr>
          <w:p w14:paraId="2B569779">
            <w:pPr>
              <w:pStyle w:val="17"/>
              <w:spacing w:before="36"/>
              <w:ind w:left="37" w:right="52"/>
              <w:rPr>
                <w:rFonts w:ascii="Times New Roman"/>
                <w:sz w:val="18"/>
              </w:rPr>
            </w:pPr>
            <w:r>
              <w:rPr>
                <w:rFonts w:ascii="Times New Roman"/>
                <w:sz w:val="18"/>
              </w:rPr>
              <w:t>0.030</w:t>
            </w:r>
          </w:p>
        </w:tc>
        <w:tc>
          <w:tcPr>
            <w:tcW w:w="2852" w:type="dxa"/>
            <w:gridSpan w:val="3"/>
            <w:vMerge w:val="restart"/>
          </w:tcPr>
          <w:p w14:paraId="57D0765E">
            <w:pPr>
              <w:pStyle w:val="17"/>
              <w:spacing w:before="2"/>
              <w:jc w:val="left"/>
              <w:rPr>
                <w:rFonts w:ascii="Times New Roman"/>
                <w:sz w:val="14"/>
              </w:rPr>
            </w:pPr>
          </w:p>
          <w:p w14:paraId="5B25479D">
            <w:pPr>
              <w:pStyle w:val="17"/>
              <w:spacing w:line="226" w:lineRule="exact"/>
              <w:ind w:left="119"/>
              <w:jc w:val="left"/>
              <w:rPr>
                <w:sz w:val="18"/>
              </w:rPr>
            </w:pPr>
            <w:r>
              <w:rPr>
                <w:sz w:val="18"/>
              </w:rPr>
              <w:t>《污水综合排放标准》（GB8978-</w:t>
            </w:r>
          </w:p>
          <w:p w14:paraId="64F90136">
            <w:pPr>
              <w:pStyle w:val="17"/>
              <w:spacing w:before="1" w:line="232" w:lineRule="auto"/>
              <w:ind w:left="616" w:right="45" w:hanging="543"/>
              <w:jc w:val="left"/>
              <w:rPr>
                <w:sz w:val="18"/>
              </w:rPr>
            </w:pPr>
            <w:r>
              <w:rPr>
                <w:sz w:val="18"/>
              </w:rPr>
              <w:t>1996）三级标准及汨罗市城市污水处理厂接管标准要求</w:t>
            </w:r>
          </w:p>
        </w:tc>
      </w:tr>
      <w:tr w14:paraId="0C953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886" w:type="dxa"/>
            <w:vMerge w:val="continue"/>
            <w:tcBorders>
              <w:top w:val="nil"/>
              <w:bottom w:val="nil"/>
            </w:tcBorders>
            <w:shd w:val="clear" w:color="auto" w:fill="BEBEBE"/>
          </w:tcPr>
          <w:p w14:paraId="36EA1B8E">
            <w:pPr>
              <w:rPr>
                <w:sz w:val="2"/>
                <w:szCs w:val="2"/>
              </w:rPr>
            </w:pPr>
          </w:p>
        </w:tc>
        <w:tc>
          <w:tcPr>
            <w:tcW w:w="749" w:type="dxa"/>
            <w:vMerge w:val="continue"/>
            <w:tcBorders>
              <w:top w:val="nil"/>
            </w:tcBorders>
            <w:shd w:val="clear" w:color="auto" w:fill="BEBEBE"/>
          </w:tcPr>
          <w:p w14:paraId="693AD83C">
            <w:pPr>
              <w:rPr>
                <w:sz w:val="2"/>
                <w:szCs w:val="2"/>
              </w:rPr>
            </w:pPr>
          </w:p>
        </w:tc>
        <w:tc>
          <w:tcPr>
            <w:tcW w:w="826" w:type="dxa"/>
            <w:vMerge w:val="continue"/>
            <w:tcBorders>
              <w:top w:val="nil"/>
            </w:tcBorders>
          </w:tcPr>
          <w:p w14:paraId="3F8E56CA">
            <w:pPr>
              <w:rPr>
                <w:sz w:val="2"/>
                <w:szCs w:val="2"/>
              </w:rPr>
            </w:pPr>
          </w:p>
        </w:tc>
        <w:tc>
          <w:tcPr>
            <w:tcW w:w="1416" w:type="dxa"/>
            <w:vMerge w:val="continue"/>
            <w:tcBorders>
              <w:top w:val="nil"/>
            </w:tcBorders>
          </w:tcPr>
          <w:p w14:paraId="57E11BFB">
            <w:pPr>
              <w:rPr>
                <w:sz w:val="2"/>
                <w:szCs w:val="2"/>
              </w:rPr>
            </w:pPr>
          </w:p>
        </w:tc>
        <w:tc>
          <w:tcPr>
            <w:tcW w:w="4663" w:type="dxa"/>
            <w:gridSpan w:val="3"/>
            <w:vMerge w:val="continue"/>
            <w:tcBorders>
              <w:top w:val="nil"/>
            </w:tcBorders>
          </w:tcPr>
          <w:p w14:paraId="755D9898">
            <w:pPr>
              <w:rPr>
                <w:sz w:val="2"/>
                <w:szCs w:val="2"/>
              </w:rPr>
            </w:pPr>
          </w:p>
        </w:tc>
        <w:tc>
          <w:tcPr>
            <w:tcW w:w="1428" w:type="dxa"/>
            <w:vMerge w:val="continue"/>
            <w:tcBorders>
              <w:top w:val="nil"/>
            </w:tcBorders>
          </w:tcPr>
          <w:p w14:paraId="1E906F80">
            <w:pPr>
              <w:rPr>
                <w:sz w:val="2"/>
                <w:szCs w:val="2"/>
              </w:rPr>
            </w:pPr>
          </w:p>
        </w:tc>
        <w:tc>
          <w:tcPr>
            <w:tcW w:w="1613" w:type="dxa"/>
            <w:vMerge w:val="continue"/>
            <w:tcBorders>
              <w:top w:val="nil"/>
            </w:tcBorders>
          </w:tcPr>
          <w:p w14:paraId="112CB38C">
            <w:pPr>
              <w:rPr>
                <w:sz w:val="2"/>
                <w:szCs w:val="2"/>
              </w:rPr>
            </w:pPr>
          </w:p>
        </w:tc>
        <w:tc>
          <w:tcPr>
            <w:tcW w:w="1783" w:type="dxa"/>
            <w:vMerge w:val="continue"/>
            <w:tcBorders>
              <w:top w:val="nil"/>
            </w:tcBorders>
          </w:tcPr>
          <w:p w14:paraId="532F5F22">
            <w:pPr>
              <w:rPr>
                <w:sz w:val="2"/>
                <w:szCs w:val="2"/>
              </w:rPr>
            </w:pPr>
          </w:p>
        </w:tc>
        <w:tc>
          <w:tcPr>
            <w:tcW w:w="1339" w:type="dxa"/>
            <w:vMerge w:val="continue"/>
            <w:tcBorders>
              <w:top w:val="nil"/>
            </w:tcBorders>
          </w:tcPr>
          <w:p w14:paraId="00BC98FC">
            <w:pPr>
              <w:rPr>
                <w:sz w:val="2"/>
                <w:szCs w:val="2"/>
              </w:rPr>
            </w:pPr>
          </w:p>
        </w:tc>
        <w:tc>
          <w:tcPr>
            <w:tcW w:w="2520" w:type="dxa"/>
          </w:tcPr>
          <w:p w14:paraId="69E67D52">
            <w:pPr>
              <w:pStyle w:val="17"/>
              <w:spacing w:before="3"/>
              <w:jc w:val="left"/>
              <w:rPr>
                <w:rFonts w:ascii="Times New Roman"/>
                <w:sz w:val="20"/>
              </w:rPr>
            </w:pPr>
          </w:p>
          <w:p w14:paraId="36CDFEF3">
            <w:pPr>
              <w:pStyle w:val="17"/>
              <w:ind w:left="794" w:right="770"/>
              <w:rPr>
                <w:sz w:val="18"/>
              </w:rPr>
            </w:pPr>
            <w:r>
              <w:rPr>
                <w:sz w:val="18"/>
              </w:rPr>
              <w:t>氨氮</w:t>
            </w:r>
          </w:p>
        </w:tc>
        <w:tc>
          <w:tcPr>
            <w:tcW w:w="1416" w:type="dxa"/>
          </w:tcPr>
          <w:p w14:paraId="3B3480D4">
            <w:pPr>
              <w:pStyle w:val="17"/>
              <w:jc w:val="left"/>
              <w:rPr>
                <w:rFonts w:ascii="Times New Roman"/>
                <w:sz w:val="20"/>
              </w:rPr>
            </w:pPr>
          </w:p>
          <w:p w14:paraId="557C06A9">
            <w:pPr>
              <w:pStyle w:val="17"/>
              <w:spacing w:before="1"/>
              <w:ind w:left="25"/>
              <w:rPr>
                <w:rFonts w:ascii="Times New Roman"/>
                <w:sz w:val="18"/>
              </w:rPr>
            </w:pPr>
            <w:r>
              <w:rPr>
                <w:rFonts w:ascii="Times New Roman"/>
                <w:w w:val="99"/>
                <w:sz w:val="18"/>
              </w:rPr>
              <w:t>5</w:t>
            </w:r>
          </w:p>
        </w:tc>
        <w:tc>
          <w:tcPr>
            <w:tcW w:w="1416" w:type="dxa"/>
          </w:tcPr>
          <w:p w14:paraId="1D2EC52D">
            <w:pPr>
              <w:pStyle w:val="17"/>
              <w:jc w:val="left"/>
              <w:rPr>
                <w:rFonts w:ascii="Times New Roman"/>
                <w:sz w:val="20"/>
              </w:rPr>
            </w:pPr>
          </w:p>
          <w:p w14:paraId="6C4D9F07">
            <w:pPr>
              <w:pStyle w:val="17"/>
              <w:spacing w:before="1"/>
              <w:ind w:left="37" w:right="52"/>
              <w:rPr>
                <w:rFonts w:ascii="Times New Roman"/>
                <w:sz w:val="18"/>
              </w:rPr>
            </w:pPr>
            <w:r>
              <w:rPr>
                <w:rFonts w:ascii="Times New Roman"/>
                <w:sz w:val="18"/>
              </w:rPr>
              <w:t>0.003</w:t>
            </w:r>
          </w:p>
        </w:tc>
        <w:tc>
          <w:tcPr>
            <w:tcW w:w="2852" w:type="dxa"/>
            <w:gridSpan w:val="3"/>
            <w:vMerge w:val="continue"/>
            <w:tcBorders>
              <w:top w:val="nil"/>
            </w:tcBorders>
          </w:tcPr>
          <w:p w14:paraId="686E4290">
            <w:pPr>
              <w:rPr>
                <w:sz w:val="2"/>
                <w:szCs w:val="2"/>
              </w:rPr>
            </w:pPr>
          </w:p>
        </w:tc>
      </w:tr>
      <w:tr w14:paraId="50EE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vMerge w:val="restart"/>
            <w:tcBorders>
              <w:top w:val="nil"/>
              <w:bottom w:val="nil"/>
            </w:tcBorders>
            <w:shd w:val="clear" w:color="auto" w:fill="BEBEBE"/>
          </w:tcPr>
          <w:p w14:paraId="07A0F448">
            <w:pPr>
              <w:pStyle w:val="17"/>
              <w:jc w:val="left"/>
              <w:rPr>
                <w:rFonts w:ascii="Times New Roman"/>
                <w:sz w:val="16"/>
              </w:rPr>
            </w:pPr>
          </w:p>
        </w:tc>
        <w:tc>
          <w:tcPr>
            <w:tcW w:w="749" w:type="dxa"/>
            <w:vMerge w:val="restart"/>
            <w:tcBorders>
              <w:bottom w:val="nil"/>
            </w:tcBorders>
            <w:shd w:val="clear" w:color="auto" w:fill="BEBEBE"/>
          </w:tcPr>
          <w:p w14:paraId="33C30B71">
            <w:pPr>
              <w:pStyle w:val="17"/>
              <w:spacing w:before="28" w:line="224" w:lineRule="exact"/>
              <w:ind w:left="107" w:right="82"/>
              <w:jc w:val="both"/>
              <w:rPr>
                <w:rFonts w:hint="eastAsia" w:ascii="黑体" w:eastAsia="黑体"/>
                <w:sz w:val="18"/>
              </w:rPr>
            </w:pPr>
            <w:r>
              <w:rPr>
                <w:rFonts w:hint="eastAsia" w:ascii="黑体" w:eastAsia="黑体"/>
                <w:sz w:val="18"/>
              </w:rPr>
              <w:t>总排放口（直接排</w:t>
            </w:r>
          </w:p>
        </w:tc>
        <w:tc>
          <w:tcPr>
            <w:tcW w:w="826" w:type="dxa"/>
            <w:vMerge w:val="restart"/>
            <w:shd w:val="clear" w:color="auto" w:fill="BEBEBE"/>
          </w:tcPr>
          <w:p w14:paraId="182AFE56">
            <w:pPr>
              <w:pStyle w:val="17"/>
              <w:spacing w:before="123" w:line="227" w:lineRule="exact"/>
              <w:ind w:left="36" w:right="13"/>
              <w:rPr>
                <w:rFonts w:hint="eastAsia" w:ascii="黑体" w:eastAsia="黑体"/>
                <w:sz w:val="18"/>
              </w:rPr>
            </w:pPr>
            <w:r>
              <w:rPr>
                <w:rFonts w:hint="eastAsia" w:ascii="黑体" w:eastAsia="黑体"/>
                <w:sz w:val="18"/>
              </w:rPr>
              <w:t>序号</w:t>
            </w:r>
          </w:p>
          <w:p w14:paraId="6C2EABD1">
            <w:pPr>
              <w:pStyle w:val="17"/>
              <w:spacing w:line="227" w:lineRule="exact"/>
              <w:ind w:left="37" w:right="13"/>
              <w:rPr>
                <w:rFonts w:hint="eastAsia" w:ascii="黑体" w:eastAsia="黑体"/>
                <w:sz w:val="18"/>
              </w:rPr>
            </w:pPr>
            <w:r>
              <w:rPr>
                <w:rFonts w:hint="eastAsia" w:ascii="黑体" w:eastAsia="黑体"/>
                <w:sz w:val="18"/>
              </w:rPr>
              <w:t>（编号）</w:t>
            </w:r>
          </w:p>
        </w:tc>
        <w:tc>
          <w:tcPr>
            <w:tcW w:w="1416" w:type="dxa"/>
            <w:vMerge w:val="restart"/>
            <w:shd w:val="clear" w:color="auto" w:fill="BEBEBE"/>
          </w:tcPr>
          <w:p w14:paraId="1A357957">
            <w:pPr>
              <w:pStyle w:val="17"/>
              <w:spacing w:before="5"/>
              <w:jc w:val="left"/>
              <w:rPr>
                <w:rFonts w:ascii="Times New Roman"/>
                <w:sz w:val="20"/>
              </w:rPr>
            </w:pPr>
          </w:p>
          <w:p w14:paraId="7319D20D">
            <w:pPr>
              <w:pStyle w:val="17"/>
              <w:ind w:left="260"/>
              <w:jc w:val="left"/>
              <w:rPr>
                <w:rFonts w:hint="eastAsia" w:ascii="黑体" w:eastAsia="黑体"/>
                <w:sz w:val="18"/>
              </w:rPr>
            </w:pPr>
            <w:r>
              <w:rPr>
                <w:rFonts w:hint="eastAsia" w:ascii="黑体" w:eastAsia="黑体"/>
                <w:sz w:val="18"/>
              </w:rPr>
              <w:t>排放口名称</w:t>
            </w:r>
          </w:p>
        </w:tc>
        <w:tc>
          <w:tcPr>
            <w:tcW w:w="4663" w:type="dxa"/>
            <w:gridSpan w:val="3"/>
            <w:vMerge w:val="restart"/>
            <w:shd w:val="clear" w:color="auto" w:fill="BEBEBE"/>
          </w:tcPr>
          <w:p w14:paraId="53C50E2E">
            <w:pPr>
              <w:pStyle w:val="17"/>
              <w:spacing w:before="5"/>
              <w:jc w:val="left"/>
              <w:rPr>
                <w:rFonts w:ascii="Times New Roman"/>
                <w:sz w:val="20"/>
              </w:rPr>
            </w:pPr>
          </w:p>
          <w:p w14:paraId="444EF4D3">
            <w:pPr>
              <w:pStyle w:val="17"/>
              <w:ind w:left="1595" w:right="1572"/>
              <w:rPr>
                <w:rFonts w:hint="eastAsia" w:ascii="黑体" w:eastAsia="黑体"/>
                <w:sz w:val="18"/>
              </w:rPr>
            </w:pPr>
            <w:r>
              <w:rPr>
                <w:rFonts w:hint="eastAsia" w:ascii="黑体" w:eastAsia="黑体"/>
                <w:sz w:val="18"/>
              </w:rPr>
              <w:t>污染防治设施工艺</w:t>
            </w:r>
          </w:p>
        </w:tc>
        <w:tc>
          <w:tcPr>
            <w:tcW w:w="3041" w:type="dxa"/>
            <w:gridSpan w:val="2"/>
            <w:vMerge w:val="restart"/>
            <w:shd w:val="clear" w:color="auto" w:fill="BEBEBE"/>
          </w:tcPr>
          <w:p w14:paraId="58F2C3B3">
            <w:pPr>
              <w:pStyle w:val="17"/>
              <w:spacing w:before="2"/>
              <w:jc w:val="left"/>
              <w:rPr>
                <w:rFonts w:ascii="Times New Roman"/>
                <w:sz w:val="19"/>
              </w:rPr>
            </w:pPr>
          </w:p>
          <w:p w14:paraId="41E66801">
            <w:pPr>
              <w:pStyle w:val="17"/>
              <w:spacing w:before="1"/>
              <w:ind w:left="140"/>
              <w:jc w:val="left"/>
              <w:rPr>
                <w:rFonts w:hint="eastAsia" w:ascii="黑体" w:eastAsia="黑体"/>
                <w:sz w:val="18"/>
              </w:rPr>
            </w:pPr>
            <w:r>
              <w:rPr>
                <w:rFonts w:hint="eastAsia" w:ascii="黑体" w:eastAsia="黑体"/>
                <w:sz w:val="18"/>
              </w:rPr>
              <w:t>污染防治设施处理水量（吨</w:t>
            </w:r>
            <w:r>
              <w:rPr>
                <w:rFonts w:ascii="Times New Roman" w:eastAsia="Times New Roman"/>
                <w:sz w:val="18"/>
              </w:rPr>
              <w:t>/</w:t>
            </w:r>
            <w:r>
              <w:rPr>
                <w:rFonts w:hint="eastAsia" w:ascii="黑体" w:eastAsia="黑体"/>
                <w:sz w:val="18"/>
              </w:rPr>
              <w:t>小时）</w:t>
            </w:r>
          </w:p>
        </w:tc>
        <w:tc>
          <w:tcPr>
            <w:tcW w:w="3122" w:type="dxa"/>
            <w:gridSpan w:val="2"/>
            <w:shd w:val="clear" w:color="auto" w:fill="BEBEBE"/>
          </w:tcPr>
          <w:p w14:paraId="74892BEA">
            <w:pPr>
              <w:pStyle w:val="17"/>
              <w:spacing w:before="14" w:line="202" w:lineRule="exact"/>
              <w:ind w:left="1184" w:right="1162"/>
              <w:rPr>
                <w:rFonts w:hint="eastAsia" w:ascii="黑体" w:eastAsia="黑体"/>
                <w:sz w:val="18"/>
              </w:rPr>
            </w:pPr>
            <w:r>
              <w:rPr>
                <w:rFonts w:hint="eastAsia" w:ascii="黑体" w:eastAsia="黑体"/>
                <w:sz w:val="18"/>
              </w:rPr>
              <w:t>受纳水体</w:t>
            </w:r>
          </w:p>
        </w:tc>
        <w:tc>
          <w:tcPr>
            <w:tcW w:w="8204" w:type="dxa"/>
            <w:gridSpan w:val="6"/>
            <w:shd w:val="clear" w:color="auto" w:fill="BEBEBE"/>
          </w:tcPr>
          <w:p w14:paraId="76106DBE">
            <w:pPr>
              <w:pStyle w:val="17"/>
              <w:spacing w:before="14" w:line="202" w:lineRule="exact"/>
              <w:ind w:left="3545" w:right="3522"/>
              <w:rPr>
                <w:rFonts w:hint="eastAsia" w:ascii="黑体" w:eastAsia="黑体"/>
                <w:sz w:val="18"/>
              </w:rPr>
            </w:pPr>
            <w:r>
              <w:rPr>
                <w:rFonts w:hint="eastAsia" w:ascii="黑体" w:eastAsia="黑体"/>
                <w:sz w:val="18"/>
              </w:rPr>
              <w:t>污染物排放</w:t>
            </w:r>
          </w:p>
        </w:tc>
      </w:tr>
      <w:tr w14:paraId="5A60F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86" w:type="dxa"/>
            <w:vMerge w:val="continue"/>
            <w:tcBorders>
              <w:top w:val="nil"/>
              <w:bottom w:val="nil"/>
            </w:tcBorders>
            <w:shd w:val="clear" w:color="auto" w:fill="BEBEBE"/>
          </w:tcPr>
          <w:p w14:paraId="19AC8822">
            <w:pPr>
              <w:rPr>
                <w:sz w:val="2"/>
                <w:szCs w:val="2"/>
              </w:rPr>
            </w:pPr>
          </w:p>
        </w:tc>
        <w:tc>
          <w:tcPr>
            <w:tcW w:w="749" w:type="dxa"/>
            <w:vMerge w:val="continue"/>
            <w:tcBorders>
              <w:top w:val="nil"/>
              <w:bottom w:val="nil"/>
            </w:tcBorders>
            <w:shd w:val="clear" w:color="auto" w:fill="BEBEBE"/>
          </w:tcPr>
          <w:p w14:paraId="18CC78AB">
            <w:pPr>
              <w:rPr>
                <w:sz w:val="2"/>
                <w:szCs w:val="2"/>
              </w:rPr>
            </w:pPr>
          </w:p>
        </w:tc>
        <w:tc>
          <w:tcPr>
            <w:tcW w:w="826" w:type="dxa"/>
            <w:vMerge w:val="continue"/>
            <w:tcBorders>
              <w:top w:val="nil"/>
            </w:tcBorders>
            <w:shd w:val="clear" w:color="auto" w:fill="BEBEBE"/>
          </w:tcPr>
          <w:p w14:paraId="1F8164DF">
            <w:pPr>
              <w:rPr>
                <w:sz w:val="2"/>
                <w:szCs w:val="2"/>
              </w:rPr>
            </w:pPr>
          </w:p>
        </w:tc>
        <w:tc>
          <w:tcPr>
            <w:tcW w:w="1416" w:type="dxa"/>
            <w:vMerge w:val="continue"/>
            <w:tcBorders>
              <w:top w:val="nil"/>
            </w:tcBorders>
            <w:shd w:val="clear" w:color="auto" w:fill="BEBEBE"/>
          </w:tcPr>
          <w:p w14:paraId="0181EFA3">
            <w:pPr>
              <w:rPr>
                <w:sz w:val="2"/>
                <w:szCs w:val="2"/>
              </w:rPr>
            </w:pPr>
          </w:p>
        </w:tc>
        <w:tc>
          <w:tcPr>
            <w:tcW w:w="4663" w:type="dxa"/>
            <w:gridSpan w:val="3"/>
            <w:vMerge w:val="continue"/>
            <w:tcBorders>
              <w:top w:val="nil"/>
            </w:tcBorders>
            <w:shd w:val="clear" w:color="auto" w:fill="BEBEBE"/>
          </w:tcPr>
          <w:p w14:paraId="74A60C6F">
            <w:pPr>
              <w:rPr>
                <w:sz w:val="2"/>
                <w:szCs w:val="2"/>
              </w:rPr>
            </w:pPr>
          </w:p>
        </w:tc>
        <w:tc>
          <w:tcPr>
            <w:tcW w:w="3041" w:type="dxa"/>
            <w:gridSpan w:val="2"/>
            <w:vMerge w:val="continue"/>
            <w:tcBorders>
              <w:top w:val="nil"/>
            </w:tcBorders>
            <w:shd w:val="clear" w:color="auto" w:fill="BEBEBE"/>
          </w:tcPr>
          <w:p w14:paraId="029186D7">
            <w:pPr>
              <w:rPr>
                <w:sz w:val="2"/>
                <w:szCs w:val="2"/>
              </w:rPr>
            </w:pPr>
          </w:p>
        </w:tc>
        <w:tc>
          <w:tcPr>
            <w:tcW w:w="1783" w:type="dxa"/>
            <w:shd w:val="clear" w:color="auto" w:fill="BEBEBE"/>
          </w:tcPr>
          <w:p w14:paraId="7619DCE4">
            <w:pPr>
              <w:pStyle w:val="17"/>
              <w:spacing w:before="109"/>
              <w:ind w:left="132" w:right="107"/>
              <w:rPr>
                <w:rFonts w:hint="eastAsia" w:ascii="黑体" w:eastAsia="黑体"/>
                <w:sz w:val="18"/>
              </w:rPr>
            </w:pPr>
            <w:r>
              <w:rPr>
                <w:rFonts w:hint="eastAsia" w:ascii="黑体" w:eastAsia="黑体"/>
                <w:sz w:val="18"/>
              </w:rPr>
              <w:t>名称</w:t>
            </w:r>
          </w:p>
        </w:tc>
        <w:tc>
          <w:tcPr>
            <w:tcW w:w="1339" w:type="dxa"/>
            <w:shd w:val="clear" w:color="auto" w:fill="BEBEBE"/>
          </w:tcPr>
          <w:p w14:paraId="0BA51E42">
            <w:pPr>
              <w:pStyle w:val="17"/>
              <w:spacing w:before="109"/>
              <w:ind w:left="112" w:right="91"/>
              <w:rPr>
                <w:rFonts w:hint="eastAsia" w:ascii="黑体" w:eastAsia="黑体"/>
                <w:sz w:val="18"/>
              </w:rPr>
            </w:pPr>
            <w:r>
              <w:rPr>
                <w:rFonts w:hint="eastAsia" w:ascii="黑体" w:eastAsia="黑体"/>
                <w:sz w:val="18"/>
              </w:rPr>
              <w:t>功能类别</w:t>
            </w:r>
          </w:p>
        </w:tc>
        <w:tc>
          <w:tcPr>
            <w:tcW w:w="2520" w:type="dxa"/>
            <w:shd w:val="clear" w:color="auto" w:fill="BEBEBE"/>
          </w:tcPr>
          <w:p w14:paraId="4A97F72C">
            <w:pPr>
              <w:pStyle w:val="17"/>
              <w:spacing w:before="109"/>
              <w:ind w:left="795" w:right="770"/>
              <w:rPr>
                <w:rFonts w:hint="eastAsia" w:ascii="黑体" w:eastAsia="黑体"/>
                <w:sz w:val="18"/>
              </w:rPr>
            </w:pPr>
            <w:r>
              <w:rPr>
                <w:rFonts w:hint="eastAsia" w:ascii="黑体" w:eastAsia="黑体"/>
                <w:sz w:val="18"/>
              </w:rPr>
              <w:t>污染物种类</w:t>
            </w:r>
          </w:p>
        </w:tc>
        <w:tc>
          <w:tcPr>
            <w:tcW w:w="1416" w:type="dxa"/>
            <w:shd w:val="clear" w:color="auto" w:fill="BEBEBE"/>
          </w:tcPr>
          <w:p w14:paraId="5D6B3BD2">
            <w:pPr>
              <w:pStyle w:val="17"/>
              <w:spacing w:line="219" w:lineRule="exact"/>
              <w:ind w:left="37" w:right="12"/>
              <w:rPr>
                <w:rFonts w:hint="eastAsia" w:ascii="黑体" w:eastAsia="黑体"/>
                <w:sz w:val="18"/>
              </w:rPr>
            </w:pPr>
            <w:r>
              <w:rPr>
                <w:rFonts w:hint="eastAsia" w:ascii="黑体" w:eastAsia="黑体"/>
                <w:sz w:val="18"/>
              </w:rPr>
              <w:t>排放浓度</w:t>
            </w:r>
          </w:p>
          <w:p w14:paraId="6A9518CC">
            <w:pPr>
              <w:pStyle w:val="17"/>
              <w:spacing w:line="187" w:lineRule="exact"/>
              <w:ind w:left="37" w:right="12"/>
              <w:rPr>
                <w:rFonts w:hint="eastAsia" w:ascii="黑体" w:eastAsia="黑体"/>
                <w:sz w:val="18"/>
              </w:rPr>
            </w:pPr>
            <w:r>
              <w:rPr>
                <w:rFonts w:hint="eastAsia" w:ascii="黑体" w:eastAsia="黑体"/>
                <w:sz w:val="18"/>
              </w:rPr>
              <w:t>（毫克</w:t>
            </w:r>
            <w:r>
              <w:rPr>
                <w:rFonts w:ascii="Times New Roman" w:eastAsia="Times New Roman"/>
                <w:sz w:val="18"/>
              </w:rPr>
              <w:t>/</w:t>
            </w:r>
            <w:r>
              <w:rPr>
                <w:rFonts w:hint="eastAsia" w:ascii="黑体" w:eastAsia="黑体"/>
                <w:sz w:val="18"/>
              </w:rPr>
              <w:t>升）</w:t>
            </w:r>
          </w:p>
        </w:tc>
        <w:tc>
          <w:tcPr>
            <w:tcW w:w="1416" w:type="dxa"/>
            <w:shd w:val="clear" w:color="auto" w:fill="BEBEBE"/>
          </w:tcPr>
          <w:p w14:paraId="0990817E">
            <w:pPr>
              <w:pStyle w:val="17"/>
              <w:spacing w:before="96"/>
              <w:ind w:left="37" w:right="13"/>
              <w:rPr>
                <w:rFonts w:hint="eastAsia" w:ascii="黑体" w:eastAsia="黑体"/>
                <w:sz w:val="18"/>
              </w:rPr>
            </w:pPr>
            <w:r>
              <w:rPr>
                <w:rFonts w:hint="eastAsia" w:ascii="黑体" w:eastAsia="黑体"/>
                <w:sz w:val="18"/>
              </w:rPr>
              <w:t>排放量（吨</w:t>
            </w:r>
            <w:r>
              <w:rPr>
                <w:rFonts w:ascii="Times New Roman" w:eastAsia="Times New Roman"/>
                <w:sz w:val="18"/>
              </w:rPr>
              <w:t>/</w:t>
            </w:r>
            <w:r>
              <w:rPr>
                <w:rFonts w:hint="eastAsia" w:ascii="黑体" w:eastAsia="黑体"/>
                <w:sz w:val="18"/>
              </w:rPr>
              <w:t>年）</w:t>
            </w:r>
          </w:p>
        </w:tc>
        <w:tc>
          <w:tcPr>
            <w:tcW w:w="2852" w:type="dxa"/>
            <w:gridSpan w:val="3"/>
            <w:shd w:val="clear" w:color="auto" w:fill="BEBEBE"/>
          </w:tcPr>
          <w:p w14:paraId="4448DADC">
            <w:pPr>
              <w:pStyle w:val="17"/>
              <w:spacing w:before="109"/>
              <w:ind w:left="889"/>
              <w:jc w:val="left"/>
              <w:rPr>
                <w:rFonts w:hint="eastAsia" w:ascii="黑体" w:eastAsia="黑体"/>
                <w:sz w:val="18"/>
              </w:rPr>
            </w:pPr>
            <w:r>
              <w:rPr>
                <w:rFonts w:hint="eastAsia" w:ascii="黑体" w:eastAsia="黑体"/>
                <w:sz w:val="18"/>
              </w:rPr>
              <w:t>排放标准名称</w:t>
            </w:r>
          </w:p>
        </w:tc>
      </w:tr>
      <w:tr w14:paraId="262AA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86" w:type="dxa"/>
            <w:tcBorders>
              <w:top w:val="nil"/>
            </w:tcBorders>
            <w:shd w:val="clear" w:color="auto" w:fill="BEBEBE"/>
          </w:tcPr>
          <w:p w14:paraId="3D373B94">
            <w:pPr>
              <w:pStyle w:val="17"/>
              <w:jc w:val="left"/>
              <w:rPr>
                <w:rFonts w:ascii="Times New Roman"/>
                <w:sz w:val="14"/>
              </w:rPr>
            </w:pPr>
          </w:p>
        </w:tc>
        <w:tc>
          <w:tcPr>
            <w:tcW w:w="749" w:type="dxa"/>
            <w:tcBorders>
              <w:top w:val="nil"/>
            </w:tcBorders>
            <w:shd w:val="clear" w:color="auto" w:fill="BEBEBE"/>
          </w:tcPr>
          <w:p w14:paraId="5CCB0DA9">
            <w:pPr>
              <w:pStyle w:val="17"/>
              <w:spacing w:line="196" w:lineRule="exact"/>
              <w:ind w:left="106" w:right="82"/>
              <w:rPr>
                <w:rFonts w:hint="eastAsia" w:ascii="黑体" w:eastAsia="黑体"/>
                <w:sz w:val="18"/>
              </w:rPr>
            </w:pPr>
            <w:r>
              <w:rPr>
                <w:rFonts w:hint="eastAsia" w:ascii="黑体" w:eastAsia="黑体"/>
                <w:sz w:val="18"/>
              </w:rPr>
              <w:t>放）</w:t>
            </w:r>
          </w:p>
        </w:tc>
        <w:tc>
          <w:tcPr>
            <w:tcW w:w="826" w:type="dxa"/>
          </w:tcPr>
          <w:p w14:paraId="587A0687">
            <w:pPr>
              <w:pStyle w:val="17"/>
              <w:jc w:val="left"/>
              <w:rPr>
                <w:rFonts w:ascii="Times New Roman"/>
                <w:sz w:val="14"/>
              </w:rPr>
            </w:pPr>
          </w:p>
        </w:tc>
        <w:tc>
          <w:tcPr>
            <w:tcW w:w="1416" w:type="dxa"/>
          </w:tcPr>
          <w:p w14:paraId="325B00BD">
            <w:pPr>
              <w:pStyle w:val="17"/>
              <w:jc w:val="left"/>
              <w:rPr>
                <w:rFonts w:ascii="Times New Roman"/>
                <w:sz w:val="14"/>
              </w:rPr>
            </w:pPr>
          </w:p>
        </w:tc>
        <w:tc>
          <w:tcPr>
            <w:tcW w:w="4663" w:type="dxa"/>
            <w:gridSpan w:val="3"/>
          </w:tcPr>
          <w:p w14:paraId="3277D448">
            <w:pPr>
              <w:pStyle w:val="17"/>
              <w:jc w:val="left"/>
              <w:rPr>
                <w:rFonts w:ascii="Times New Roman"/>
                <w:sz w:val="14"/>
              </w:rPr>
            </w:pPr>
          </w:p>
        </w:tc>
        <w:tc>
          <w:tcPr>
            <w:tcW w:w="3041" w:type="dxa"/>
            <w:gridSpan w:val="2"/>
          </w:tcPr>
          <w:p w14:paraId="5191B6DC">
            <w:pPr>
              <w:pStyle w:val="17"/>
              <w:jc w:val="left"/>
              <w:rPr>
                <w:rFonts w:ascii="Times New Roman"/>
                <w:sz w:val="14"/>
              </w:rPr>
            </w:pPr>
          </w:p>
        </w:tc>
        <w:tc>
          <w:tcPr>
            <w:tcW w:w="1783" w:type="dxa"/>
          </w:tcPr>
          <w:p w14:paraId="43D94690">
            <w:pPr>
              <w:pStyle w:val="17"/>
              <w:jc w:val="left"/>
              <w:rPr>
                <w:rFonts w:ascii="Times New Roman"/>
                <w:sz w:val="14"/>
              </w:rPr>
            </w:pPr>
          </w:p>
        </w:tc>
        <w:tc>
          <w:tcPr>
            <w:tcW w:w="1339" w:type="dxa"/>
          </w:tcPr>
          <w:p w14:paraId="269F5834">
            <w:pPr>
              <w:pStyle w:val="17"/>
              <w:jc w:val="left"/>
              <w:rPr>
                <w:rFonts w:ascii="Times New Roman"/>
                <w:sz w:val="14"/>
              </w:rPr>
            </w:pPr>
          </w:p>
        </w:tc>
        <w:tc>
          <w:tcPr>
            <w:tcW w:w="2520" w:type="dxa"/>
          </w:tcPr>
          <w:p w14:paraId="57A63060">
            <w:pPr>
              <w:pStyle w:val="17"/>
              <w:jc w:val="left"/>
              <w:rPr>
                <w:rFonts w:ascii="Times New Roman"/>
                <w:sz w:val="14"/>
              </w:rPr>
            </w:pPr>
          </w:p>
        </w:tc>
        <w:tc>
          <w:tcPr>
            <w:tcW w:w="1416" w:type="dxa"/>
          </w:tcPr>
          <w:p w14:paraId="1B2D539B">
            <w:pPr>
              <w:pStyle w:val="17"/>
              <w:jc w:val="left"/>
              <w:rPr>
                <w:rFonts w:ascii="Times New Roman"/>
                <w:sz w:val="14"/>
              </w:rPr>
            </w:pPr>
          </w:p>
        </w:tc>
        <w:tc>
          <w:tcPr>
            <w:tcW w:w="1416" w:type="dxa"/>
          </w:tcPr>
          <w:p w14:paraId="081743E1">
            <w:pPr>
              <w:pStyle w:val="17"/>
              <w:jc w:val="left"/>
              <w:rPr>
                <w:rFonts w:ascii="Times New Roman"/>
                <w:sz w:val="14"/>
              </w:rPr>
            </w:pPr>
          </w:p>
        </w:tc>
        <w:tc>
          <w:tcPr>
            <w:tcW w:w="2852" w:type="dxa"/>
            <w:gridSpan w:val="3"/>
          </w:tcPr>
          <w:p w14:paraId="124ACE9B">
            <w:pPr>
              <w:pStyle w:val="17"/>
              <w:jc w:val="left"/>
              <w:rPr>
                <w:rFonts w:ascii="Times New Roman"/>
                <w:sz w:val="14"/>
              </w:rPr>
            </w:pPr>
          </w:p>
        </w:tc>
      </w:tr>
      <w:tr w14:paraId="3D63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886" w:type="dxa"/>
            <w:tcBorders>
              <w:bottom w:val="nil"/>
            </w:tcBorders>
            <w:shd w:val="clear" w:color="auto" w:fill="BEBEBE"/>
          </w:tcPr>
          <w:p w14:paraId="168A89B1">
            <w:pPr>
              <w:pStyle w:val="17"/>
              <w:jc w:val="left"/>
              <w:rPr>
                <w:rFonts w:ascii="Times New Roman"/>
                <w:sz w:val="16"/>
              </w:rPr>
            </w:pPr>
          </w:p>
        </w:tc>
        <w:tc>
          <w:tcPr>
            <w:tcW w:w="749" w:type="dxa"/>
            <w:tcBorders>
              <w:bottom w:val="nil"/>
            </w:tcBorders>
            <w:shd w:val="clear" w:color="auto" w:fill="BEBEBE"/>
          </w:tcPr>
          <w:p w14:paraId="603D346D">
            <w:pPr>
              <w:pStyle w:val="17"/>
              <w:spacing w:before="17" w:line="188" w:lineRule="exact"/>
              <w:ind w:left="88" w:right="65"/>
              <w:rPr>
                <w:rFonts w:hint="eastAsia" w:ascii="黑体" w:eastAsia="黑体"/>
                <w:sz w:val="18"/>
              </w:rPr>
            </w:pPr>
            <w:r>
              <w:rPr>
                <w:rFonts w:hint="eastAsia" w:ascii="黑体" w:eastAsia="黑体"/>
                <w:sz w:val="18"/>
              </w:rPr>
              <w:t>废物类</w:t>
            </w:r>
          </w:p>
        </w:tc>
        <w:tc>
          <w:tcPr>
            <w:tcW w:w="2242" w:type="dxa"/>
            <w:gridSpan w:val="2"/>
            <w:vMerge w:val="restart"/>
            <w:shd w:val="clear" w:color="auto" w:fill="BEBEBE"/>
          </w:tcPr>
          <w:p w14:paraId="2F59805F">
            <w:pPr>
              <w:pStyle w:val="17"/>
              <w:spacing w:before="127"/>
              <w:ind w:left="924" w:right="902"/>
              <w:rPr>
                <w:rFonts w:hint="eastAsia" w:ascii="黑体" w:eastAsia="黑体"/>
                <w:sz w:val="18"/>
              </w:rPr>
            </w:pPr>
            <w:r>
              <w:rPr>
                <w:rFonts w:hint="eastAsia" w:ascii="黑体" w:eastAsia="黑体"/>
                <w:sz w:val="18"/>
              </w:rPr>
              <w:t>序号</w:t>
            </w:r>
          </w:p>
        </w:tc>
        <w:tc>
          <w:tcPr>
            <w:tcW w:w="1219" w:type="dxa"/>
            <w:vMerge w:val="restart"/>
            <w:shd w:val="clear" w:color="auto" w:fill="BEBEBE"/>
          </w:tcPr>
          <w:p w14:paraId="024916BF">
            <w:pPr>
              <w:pStyle w:val="17"/>
              <w:spacing w:before="127"/>
              <w:ind w:left="143" w:right="120"/>
              <w:rPr>
                <w:rFonts w:hint="eastAsia" w:ascii="黑体" w:eastAsia="黑体"/>
                <w:sz w:val="18"/>
              </w:rPr>
            </w:pPr>
            <w:r>
              <w:rPr>
                <w:rFonts w:hint="eastAsia" w:ascii="黑体" w:eastAsia="黑体"/>
                <w:sz w:val="18"/>
              </w:rPr>
              <w:t>名称</w:t>
            </w:r>
          </w:p>
        </w:tc>
        <w:tc>
          <w:tcPr>
            <w:tcW w:w="3444" w:type="dxa"/>
            <w:gridSpan w:val="2"/>
            <w:vMerge w:val="restart"/>
            <w:shd w:val="clear" w:color="auto" w:fill="BEBEBE"/>
          </w:tcPr>
          <w:p w14:paraId="5E6A46ED">
            <w:pPr>
              <w:pStyle w:val="17"/>
              <w:spacing w:before="127"/>
              <w:ind w:left="1093"/>
              <w:jc w:val="left"/>
              <w:rPr>
                <w:rFonts w:hint="eastAsia" w:ascii="黑体" w:eastAsia="黑体"/>
                <w:sz w:val="18"/>
              </w:rPr>
            </w:pPr>
            <w:r>
              <w:rPr>
                <w:rFonts w:hint="eastAsia" w:ascii="黑体" w:eastAsia="黑体"/>
                <w:sz w:val="18"/>
              </w:rPr>
              <w:t>产生环节及装置</w:t>
            </w:r>
          </w:p>
        </w:tc>
        <w:tc>
          <w:tcPr>
            <w:tcW w:w="3041" w:type="dxa"/>
            <w:gridSpan w:val="2"/>
            <w:vMerge w:val="restart"/>
            <w:shd w:val="clear" w:color="auto" w:fill="BEBEBE"/>
          </w:tcPr>
          <w:p w14:paraId="3180598C">
            <w:pPr>
              <w:pStyle w:val="17"/>
              <w:spacing w:before="127"/>
              <w:ind w:left="980"/>
              <w:jc w:val="left"/>
              <w:rPr>
                <w:rFonts w:hint="eastAsia" w:ascii="黑体" w:eastAsia="黑体"/>
                <w:sz w:val="18"/>
              </w:rPr>
            </w:pPr>
            <w:r>
              <w:rPr>
                <w:rFonts w:hint="eastAsia" w:ascii="黑体" w:eastAsia="黑体"/>
                <w:sz w:val="18"/>
              </w:rPr>
              <w:t>危险废物特性</w:t>
            </w:r>
          </w:p>
        </w:tc>
        <w:tc>
          <w:tcPr>
            <w:tcW w:w="1783" w:type="dxa"/>
            <w:vMerge w:val="restart"/>
            <w:shd w:val="clear" w:color="auto" w:fill="BEBEBE"/>
          </w:tcPr>
          <w:p w14:paraId="28374725">
            <w:pPr>
              <w:pStyle w:val="17"/>
              <w:spacing w:before="127"/>
              <w:ind w:left="353"/>
              <w:jc w:val="left"/>
              <w:rPr>
                <w:rFonts w:hint="eastAsia" w:ascii="黑体" w:eastAsia="黑体"/>
                <w:sz w:val="18"/>
              </w:rPr>
            </w:pPr>
            <w:r>
              <w:rPr>
                <w:rFonts w:hint="eastAsia" w:ascii="黑体" w:eastAsia="黑体"/>
                <w:sz w:val="18"/>
              </w:rPr>
              <w:t>危险废物代码</w:t>
            </w:r>
          </w:p>
        </w:tc>
        <w:tc>
          <w:tcPr>
            <w:tcW w:w="1339" w:type="dxa"/>
            <w:tcBorders>
              <w:bottom w:val="nil"/>
            </w:tcBorders>
            <w:shd w:val="clear" w:color="auto" w:fill="BEBEBE"/>
          </w:tcPr>
          <w:p w14:paraId="51C1073F">
            <w:pPr>
              <w:pStyle w:val="17"/>
              <w:spacing w:before="14" w:line="191" w:lineRule="exact"/>
              <w:ind w:left="113" w:right="88"/>
              <w:rPr>
                <w:rFonts w:hint="eastAsia" w:ascii="黑体" w:eastAsia="黑体"/>
                <w:sz w:val="18"/>
              </w:rPr>
            </w:pPr>
            <w:r>
              <w:rPr>
                <w:rFonts w:hint="eastAsia" w:ascii="黑体" w:eastAsia="黑体"/>
                <w:sz w:val="18"/>
              </w:rPr>
              <w:t>产生量（吨</w:t>
            </w:r>
          </w:p>
        </w:tc>
        <w:tc>
          <w:tcPr>
            <w:tcW w:w="2520" w:type="dxa"/>
            <w:vMerge w:val="restart"/>
            <w:shd w:val="clear" w:color="auto" w:fill="BEBEBE"/>
          </w:tcPr>
          <w:p w14:paraId="47473D24">
            <w:pPr>
              <w:pStyle w:val="17"/>
              <w:spacing w:before="127"/>
              <w:ind w:left="721"/>
              <w:jc w:val="left"/>
              <w:rPr>
                <w:rFonts w:hint="eastAsia" w:ascii="黑体" w:eastAsia="黑体"/>
                <w:sz w:val="18"/>
              </w:rPr>
            </w:pPr>
            <w:r>
              <w:rPr>
                <w:rFonts w:hint="eastAsia" w:ascii="黑体" w:eastAsia="黑体"/>
                <w:sz w:val="18"/>
              </w:rPr>
              <w:t>贮存设施名称</w:t>
            </w:r>
          </w:p>
        </w:tc>
        <w:tc>
          <w:tcPr>
            <w:tcW w:w="1416" w:type="dxa"/>
            <w:vMerge w:val="restart"/>
            <w:shd w:val="clear" w:color="auto" w:fill="BEBEBE"/>
          </w:tcPr>
          <w:p w14:paraId="6760093D">
            <w:pPr>
              <w:pStyle w:val="17"/>
              <w:spacing w:before="127"/>
              <w:ind w:left="351"/>
              <w:jc w:val="left"/>
              <w:rPr>
                <w:rFonts w:hint="eastAsia" w:ascii="黑体" w:eastAsia="黑体"/>
                <w:sz w:val="18"/>
              </w:rPr>
            </w:pPr>
            <w:r>
              <w:rPr>
                <w:rFonts w:hint="eastAsia" w:ascii="黑体" w:eastAsia="黑体"/>
                <w:sz w:val="18"/>
              </w:rPr>
              <w:t>贮存能力</w:t>
            </w:r>
          </w:p>
        </w:tc>
        <w:tc>
          <w:tcPr>
            <w:tcW w:w="1416" w:type="dxa"/>
            <w:vMerge w:val="restart"/>
            <w:shd w:val="clear" w:color="auto" w:fill="BEBEBE"/>
          </w:tcPr>
          <w:p w14:paraId="72336638">
            <w:pPr>
              <w:pStyle w:val="17"/>
              <w:spacing w:before="127"/>
              <w:ind w:left="169"/>
              <w:jc w:val="left"/>
              <w:rPr>
                <w:rFonts w:hint="eastAsia" w:ascii="黑体" w:eastAsia="黑体"/>
                <w:sz w:val="18"/>
              </w:rPr>
            </w:pPr>
            <w:r>
              <w:rPr>
                <w:rFonts w:hint="eastAsia" w:ascii="黑体" w:eastAsia="黑体"/>
                <w:sz w:val="18"/>
              </w:rPr>
              <w:t>自行利用工艺</w:t>
            </w:r>
          </w:p>
        </w:tc>
        <w:tc>
          <w:tcPr>
            <w:tcW w:w="1684" w:type="dxa"/>
            <w:gridSpan w:val="2"/>
            <w:vMerge w:val="restart"/>
            <w:shd w:val="clear" w:color="auto" w:fill="BEBEBE"/>
          </w:tcPr>
          <w:p w14:paraId="16191089">
            <w:pPr>
              <w:pStyle w:val="17"/>
              <w:spacing w:before="127"/>
              <w:ind w:left="303"/>
              <w:jc w:val="left"/>
              <w:rPr>
                <w:rFonts w:hint="eastAsia" w:ascii="黑体" w:eastAsia="黑体"/>
                <w:sz w:val="18"/>
              </w:rPr>
            </w:pPr>
            <w:r>
              <w:rPr>
                <w:rFonts w:hint="eastAsia" w:ascii="黑体" w:eastAsia="黑体"/>
                <w:sz w:val="18"/>
              </w:rPr>
              <w:t>自行处置工艺</w:t>
            </w:r>
          </w:p>
        </w:tc>
        <w:tc>
          <w:tcPr>
            <w:tcW w:w="1168" w:type="dxa"/>
            <w:vMerge w:val="restart"/>
            <w:shd w:val="clear" w:color="auto" w:fill="BEBEBE"/>
          </w:tcPr>
          <w:p w14:paraId="13870B94">
            <w:pPr>
              <w:pStyle w:val="17"/>
              <w:spacing w:before="127"/>
              <w:ind w:left="45"/>
              <w:jc w:val="left"/>
              <w:rPr>
                <w:rFonts w:hint="eastAsia" w:ascii="黑体" w:eastAsia="黑体"/>
                <w:sz w:val="18"/>
              </w:rPr>
            </w:pPr>
            <w:r>
              <w:rPr>
                <w:rFonts w:hint="eastAsia" w:ascii="黑体" w:eastAsia="黑体"/>
                <w:sz w:val="18"/>
              </w:rPr>
              <w:t>是否外委处置</w:t>
            </w:r>
          </w:p>
        </w:tc>
      </w:tr>
      <w:tr w14:paraId="7DB8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4" w:hRule="atLeast"/>
        </w:trPr>
        <w:tc>
          <w:tcPr>
            <w:tcW w:w="886" w:type="dxa"/>
            <w:tcBorders>
              <w:top w:val="nil"/>
              <w:bottom w:val="nil"/>
            </w:tcBorders>
            <w:shd w:val="clear" w:color="auto" w:fill="BEBEBE"/>
          </w:tcPr>
          <w:p w14:paraId="67FF7621">
            <w:pPr>
              <w:pStyle w:val="17"/>
              <w:jc w:val="left"/>
              <w:rPr>
                <w:rFonts w:ascii="Times New Roman"/>
                <w:sz w:val="16"/>
              </w:rPr>
            </w:pPr>
          </w:p>
        </w:tc>
        <w:tc>
          <w:tcPr>
            <w:tcW w:w="749" w:type="dxa"/>
            <w:tcBorders>
              <w:top w:val="nil"/>
            </w:tcBorders>
            <w:shd w:val="clear" w:color="auto" w:fill="BEBEBE"/>
          </w:tcPr>
          <w:p w14:paraId="5D8B65B5">
            <w:pPr>
              <w:pStyle w:val="17"/>
              <w:spacing w:line="204" w:lineRule="exact"/>
              <w:ind w:left="24"/>
              <w:rPr>
                <w:rFonts w:hint="eastAsia" w:ascii="黑体" w:eastAsia="黑体"/>
                <w:sz w:val="18"/>
              </w:rPr>
            </w:pPr>
            <w:r>
              <w:rPr>
                <w:rFonts w:hint="eastAsia" w:ascii="黑体" w:eastAsia="黑体"/>
                <w:w w:val="99"/>
                <w:sz w:val="18"/>
              </w:rPr>
              <w:t>型</w:t>
            </w:r>
          </w:p>
        </w:tc>
        <w:tc>
          <w:tcPr>
            <w:tcW w:w="2242" w:type="dxa"/>
            <w:gridSpan w:val="2"/>
            <w:vMerge w:val="continue"/>
            <w:tcBorders>
              <w:top w:val="nil"/>
            </w:tcBorders>
            <w:shd w:val="clear" w:color="auto" w:fill="BEBEBE"/>
          </w:tcPr>
          <w:p w14:paraId="257CF79A">
            <w:pPr>
              <w:rPr>
                <w:sz w:val="2"/>
                <w:szCs w:val="2"/>
              </w:rPr>
            </w:pPr>
          </w:p>
        </w:tc>
        <w:tc>
          <w:tcPr>
            <w:tcW w:w="1219" w:type="dxa"/>
            <w:vMerge w:val="continue"/>
            <w:tcBorders>
              <w:top w:val="nil"/>
            </w:tcBorders>
            <w:shd w:val="clear" w:color="auto" w:fill="BEBEBE"/>
          </w:tcPr>
          <w:p w14:paraId="0EE91256">
            <w:pPr>
              <w:rPr>
                <w:sz w:val="2"/>
                <w:szCs w:val="2"/>
              </w:rPr>
            </w:pPr>
          </w:p>
        </w:tc>
        <w:tc>
          <w:tcPr>
            <w:tcW w:w="3444" w:type="dxa"/>
            <w:gridSpan w:val="2"/>
            <w:vMerge w:val="continue"/>
            <w:tcBorders>
              <w:top w:val="nil"/>
            </w:tcBorders>
            <w:shd w:val="clear" w:color="auto" w:fill="BEBEBE"/>
          </w:tcPr>
          <w:p w14:paraId="5194547A">
            <w:pPr>
              <w:rPr>
                <w:sz w:val="2"/>
                <w:szCs w:val="2"/>
              </w:rPr>
            </w:pPr>
          </w:p>
        </w:tc>
        <w:tc>
          <w:tcPr>
            <w:tcW w:w="3041" w:type="dxa"/>
            <w:gridSpan w:val="2"/>
            <w:vMerge w:val="continue"/>
            <w:tcBorders>
              <w:top w:val="nil"/>
            </w:tcBorders>
            <w:shd w:val="clear" w:color="auto" w:fill="BEBEBE"/>
          </w:tcPr>
          <w:p w14:paraId="4FE0EE41">
            <w:pPr>
              <w:rPr>
                <w:sz w:val="2"/>
                <w:szCs w:val="2"/>
              </w:rPr>
            </w:pPr>
          </w:p>
        </w:tc>
        <w:tc>
          <w:tcPr>
            <w:tcW w:w="1783" w:type="dxa"/>
            <w:vMerge w:val="continue"/>
            <w:tcBorders>
              <w:top w:val="nil"/>
            </w:tcBorders>
            <w:shd w:val="clear" w:color="auto" w:fill="BEBEBE"/>
          </w:tcPr>
          <w:p w14:paraId="72F66FD9">
            <w:pPr>
              <w:rPr>
                <w:sz w:val="2"/>
                <w:szCs w:val="2"/>
              </w:rPr>
            </w:pPr>
          </w:p>
        </w:tc>
        <w:tc>
          <w:tcPr>
            <w:tcW w:w="1339" w:type="dxa"/>
            <w:tcBorders>
              <w:top w:val="nil"/>
            </w:tcBorders>
            <w:shd w:val="clear" w:color="auto" w:fill="BEBEBE"/>
          </w:tcPr>
          <w:p w14:paraId="28DDAA3B">
            <w:pPr>
              <w:pStyle w:val="17"/>
              <w:spacing w:line="204" w:lineRule="exact"/>
              <w:ind w:left="112" w:right="91"/>
              <w:rPr>
                <w:rFonts w:hint="eastAsia" w:ascii="黑体" w:eastAsia="黑体"/>
                <w:sz w:val="18"/>
              </w:rPr>
            </w:pPr>
            <w:r>
              <w:rPr>
                <w:rFonts w:ascii="Times New Roman" w:eastAsia="Times New Roman"/>
                <w:sz w:val="18"/>
              </w:rPr>
              <w:t>/</w:t>
            </w:r>
            <w:r>
              <w:rPr>
                <w:rFonts w:hint="eastAsia" w:ascii="黑体" w:eastAsia="黑体"/>
                <w:sz w:val="18"/>
              </w:rPr>
              <w:t>年）</w:t>
            </w:r>
          </w:p>
        </w:tc>
        <w:tc>
          <w:tcPr>
            <w:tcW w:w="2520" w:type="dxa"/>
            <w:vMerge w:val="continue"/>
            <w:tcBorders>
              <w:top w:val="nil"/>
            </w:tcBorders>
            <w:shd w:val="clear" w:color="auto" w:fill="BEBEBE"/>
          </w:tcPr>
          <w:p w14:paraId="65CB3BD4">
            <w:pPr>
              <w:rPr>
                <w:sz w:val="2"/>
                <w:szCs w:val="2"/>
              </w:rPr>
            </w:pPr>
          </w:p>
        </w:tc>
        <w:tc>
          <w:tcPr>
            <w:tcW w:w="1416" w:type="dxa"/>
            <w:vMerge w:val="continue"/>
            <w:tcBorders>
              <w:top w:val="nil"/>
            </w:tcBorders>
            <w:shd w:val="clear" w:color="auto" w:fill="BEBEBE"/>
          </w:tcPr>
          <w:p w14:paraId="616E6034">
            <w:pPr>
              <w:rPr>
                <w:sz w:val="2"/>
                <w:szCs w:val="2"/>
              </w:rPr>
            </w:pPr>
          </w:p>
        </w:tc>
        <w:tc>
          <w:tcPr>
            <w:tcW w:w="1416" w:type="dxa"/>
            <w:vMerge w:val="continue"/>
            <w:tcBorders>
              <w:top w:val="nil"/>
            </w:tcBorders>
            <w:shd w:val="clear" w:color="auto" w:fill="BEBEBE"/>
          </w:tcPr>
          <w:p w14:paraId="10FB11E4">
            <w:pPr>
              <w:rPr>
                <w:sz w:val="2"/>
                <w:szCs w:val="2"/>
              </w:rPr>
            </w:pPr>
          </w:p>
        </w:tc>
        <w:tc>
          <w:tcPr>
            <w:tcW w:w="1684" w:type="dxa"/>
            <w:gridSpan w:val="2"/>
            <w:vMerge w:val="continue"/>
            <w:tcBorders>
              <w:top w:val="nil"/>
            </w:tcBorders>
            <w:shd w:val="clear" w:color="auto" w:fill="BEBEBE"/>
          </w:tcPr>
          <w:p w14:paraId="22BC054C">
            <w:pPr>
              <w:rPr>
                <w:sz w:val="2"/>
                <w:szCs w:val="2"/>
              </w:rPr>
            </w:pPr>
          </w:p>
        </w:tc>
        <w:tc>
          <w:tcPr>
            <w:tcW w:w="1168" w:type="dxa"/>
            <w:vMerge w:val="continue"/>
            <w:tcBorders>
              <w:top w:val="nil"/>
            </w:tcBorders>
            <w:shd w:val="clear" w:color="auto" w:fill="BEBEBE"/>
          </w:tcPr>
          <w:p w14:paraId="4615FDF4">
            <w:pPr>
              <w:rPr>
                <w:sz w:val="2"/>
                <w:szCs w:val="2"/>
              </w:rPr>
            </w:pPr>
          </w:p>
        </w:tc>
      </w:tr>
      <w:tr w14:paraId="649A5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tcBorders>
              <w:top w:val="nil"/>
              <w:bottom w:val="nil"/>
            </w:tcBorders>
            <w:shd w:val="clear" w:color="auto" w:fill="BEBEBE"/>
          </w:tcPr>
          <w:p w14:paraId="7D0F73CD">
            <w:pPr>
              <w:pStyle w:val="17"/>
              <w:jc w:val="left"/>
              <w:rPr>
                <w:rFonts w:ascii="Times New Roman"/>
                <w:sz w:val="16"/>
              </w:rPr>
            </w:pPr>
          </w:p>
        </w:tc>
        <w:tc>
          <w:tcPr>
            <w:tcW w:w="749" w:type="dxa"/>
            <w:tcBorders>
              <w:bottom w:val="nil"/>
            </w:tcBorders>
            <w:shd w:val="clear" w:color="auto" w:fill="BEBEBE"/>
          </w:tcPr>
          <w:p w14:paraId="6870F3E3">
            <w:pPr>
              <w:pStyle w:val="17"/>
              <w:jc w:val="left"/>
              <w:rPr>
                <w:rFonts w:ascii="Times New Roman"/>
                <w:sz w:val="16"/>
              </w:rPr>
            </w:pPr>
          </w:p>
        </w:tc>
        <w:tc>
          <w:tcPr>
            <w:tcW w:w="2242" w:type="dxa"/>
            <w:gridSpan w:val="2"/>
          </w:tcPr>
          <w:p w14:paraId="4AA8934D">
            <w:pPr>
              <w:pStyle w:val="17"/>
              <w:spacing w:before="15" w:line="202" w:lineRule="exact"/>
              <w:ind w:left="25"/>
              <w:rPr>
                <w:sz w:val="18"/>
              </w:rPr>
            </w:pPr>
            <w:r>
              <w:rPr>
                <w:w w:val="99"/>
                <w:sz w:val="18"/>
              </w:rPr>
              <w:t>1</w:t>
            </w:r>
          </w:p>
        </w:tc>
        <w:tc>
          <w:tcPr>
            <w:tcW w:w="1219" w:type="dxa"/>
          </w:tcPr>
          <w:p w14:paraId="513BB3DC">
            <w:pPr>
              <w:pStyle w:val="17"/>
              <w:spacing w:before="15" w:line="202" w:lineRule="exact"/>
              <w:ind w:left="144" w:right="119"/>
              <w:rPr>
                <w:sz w:val="18"/>
              </w:rPr>
            </w:pPr>
            <w:r>
              <w:rPr>
                <w:sz w:val="18"/>
              </w:rPr>
              <w:t>生活垃圾</w:t>
            </w:r>
          </w:p>
        </w:tc>
        <w:tc>
          <w:tcPr>
            <w:tcW w:w="3444" w:type="dxa"/>
            <w:gridSpan w:val="2"/>
          </w:tcPr>
          <w:p w14:paraId="21BF84D3">
            <w:pPr>
              <w:pStyle w:val="17"/>
              <w:spacing w:before="15" w:line="202" w:lineRule="exact"/>
              <w:ind w:left="1166" w:right="1142"/>
              <w:rPr>
                <w:sz w:val="18"/>
              </w:rPr>
            </w:pPr>
            <w:r>
              <w:rPr>
                <w:sz w:val="18"/>
              </w:rPr>
              <w:t>员工办公生活</w:t>
            </w:r>
          </w:p>
        </w:tc>
        <w:tc>
          <w:tcPr>
            <w:tcW w:w="3041" w:type="dxa"/>
            <w:gridSpan w:val="2"/>
          </w:tcPr>
          <w:p w14:paraId="1F6EBF23">
            <w:pPr>
              <w:pStyle w:val="17"/>
              <w:spacing w:before="12" w:line="205" w:lineRule="exact"/>
              <w:ind w:left="26"/>
              <w:rPr>
                <w:rFonts w:ascii="Times New Roman"/>
                <w:sz w:val="18"/>
              </w:rPr>
            </w:pPr>
            <w:r>
              <w:rPr>
                <w:rFonts w:ascii="Times New Roman"/>
                <w:w w:val="99"/>
                <w:sz w:val="18"/>
              </w:rPr>
              <w:t>/</w:t>
            </w:r>
          </w:p>
        </w:tc>
        <w:tc>
          <w:tcPr>
            <w:tcW w:w="1783" w:type="dxa"/>
          </w:tcPr>
          <w:p w14:paraId="1326EF5E">
            <w:pPr>
              <w:pStyle w:val="17"/>
              <w:spacing w:before="12" w:line="205" w:lineRule="exact"/>
              <w:ind w:left="26"/>
              <w:rPr>
                <w:rFonts w:ascii="Times New Roman"/>
                <w:sz w:val="18"/>
              </w:rPr>
            </w:pPr>
            <w:r>
              <w:rPr>
                <w:rFonts w:ascii="Times New Roman"/>
                <w:w w:val="99"/>
                <w:sz w:val="18"/>
              </w:rPr>
              <w:t>/</w:t>
            </w:r>
          </w:p>
        </w:tc>
        <w:tc>
          <w:tcPr>
            <w:tcW w:w="1339" w:type="dxa"/>
          </w:tcPr>
          <w:p w14:paraId="1B2A3A6B">
            <w:pPr>
              <w:pStyle w:val="17"/>
              <w:spacing w:before="12" w:line="205" w:lineRule="exact"/>
              <w:ind w:left="25"/>
              <w:rPr>
                <w:rFonts w:ascii="Times New Roman"/>
                <w:sz w:val="18"/>
              </w:rPr>
            </w:pPr>
            <w:r>
              <w:rPr>
                <w:rFonts w:ascii="Times New Roman"/>
                <w:w w:val="99"/>
                <w:sz w:val="18"/>
              </w:rPr>
              <w:t>3</w:t>
            </w:r>
          </w:p>
        </w:tc>
        <w:tc>
          <w:tcPr>
            <w:tcW w:w="2520" w:type="dxa"/>
            <w:tcBorders>
              <w:bottom w:val="nil"/>
            </w:tcBorders>
          </w:tcPr>
          <w:p w14:paraId="755D0BDB">
            <w:pPr>
              <w:pStyle w:val="17"/>
              <w:jc w:val="left"/>
              <w:rPr>
                <w:rFonts w:ascii="Times New Roman"/>
                <w:sz w:val="16"/>
              </w:rPr>
            </w:pPr>
          </w:p>
        </w:tc>
        <w:tc>
          <w:tcPr>
            <w:tcW w:w="1416" w:type="dxa"/>
            <w:tcBorders>
              <w:bottom w:val="nil"/>
            </w:tcBorders>
          </w:tcPr>
          <w:p w14:paraId="49B6FA17">
            <w:pPr>
              <w:pStyle w:val="17"/>
              <w:jc w:val="left"/>
              <w:rPr>
                <w:rFonts w:ascii="Times New Roman"/>
                <w:sz w:val="16"/>
              </w:rPr>
            </w:pPr>
          </w:p>
        </w:tc>
        <w:tc>
          <w:tcPr>
            <w:tcW w:w="1416" w:type="dxa"/>
          </w:tcPr>
          <w:p w14:paraId="21B5D02D">
            <w:pPr>
              <w:pStyle w:val="17"/>
              <w:spacing w:before="15" w:line="202" w:lineRule="exact"/>
              <w:ind w:left="25"/>
              <w:rPr>
                <w:sz w:val="18"/>
              </w:rPr>
            </w:pPr>
            <w:r>
              <w:rPr>
                <w:w w:val="99"/>
                <w:sz w:val="18"/>
              </w:rPr>
              <w:t>/</w:t>
            </w:r>
          </w:p>
        </w:tc>
        <w:tc>
          <w:tcPr>
            <w:tcW w:w="1684" w:type="dxa"/>
            <w:gridSpan w:val="2"/>
          </w:tcPr>
          <w:p w14:paraId="238A4647">
            <w:pPr>
              <w:pStyle w:val="17"/>
              <w:spacing w:before="12" w:line="205" w:lineRule="exact"/>
              <w:ind w:left="24"/>
              <w:rPr>
                <w:rFonts w:ascii="Times New Roman"/>
                <w:sz w:val="18"/>
              </w:rPr>
            </w:pPr>
            <w:r>
              <w:rPr>
                <w:rFonts w:ascii="Times New Roman"/>
                <w:w w:val="99"/>
                <w:sz w:val="18"/>
              </w:rPr>
              <w:t>/</w:t>
            </w:r>
          </w:p>
        </w:tc>
        <w:tc>
          <w:tcPr>
            <w:tcW w:w="1168" w:type="dxa"/>
          </w:tcPr>
          <w:p w14:paraId="4A44B1EE">
            <w:pPr>
              <w:pStyle w:val="17"/>
              <w:spacing w:before="15" w:line="202" w:lineRule="exact"/>
              <w:ind w:right="472"/>
              <w:jc w:val="right"/>
              <w:rPr>
                <w:rFonts w:hint="eastAsia" w:ascii="黑体" w:eastAsia="黑体"/>
                <w:sz w:val="18"/>
              </w:rPr>
            </w:pPr>
            <w:r>
              <w:rPr>
                <w:rFonts w:hint="eastAsia" w:ascii="黑体" w:eastAsia="黑体"/>
                <w:w w:val="99"/>
                <w:sz w:val="18"/>
              </w:rPr>
              <w:t>是</w:t>
            </w:r>
          </w:p>
        </w:tc>
      </w:tr>
      <w:tr w14:paraId="26A38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tcBorders>
              <w:top w:val="nil"/>
              <w:bottom w:val="nil"/>
            </w:tcBorders>
            <w:shd w:val="clear" w:color="auto" w:fill="BEBEBE"/>
          </w:tcPr>
          <w:p w14:paraId="54EAE0AC">
            <w:pPr>
              <w:pStyle w:val="17"/>
              <w:jc w:val="left"/>
              <w:rPr>
                <w:rFonts w:ascii="Times New Roman"/>
                <w:sz w:val="16"/>
              </w:rPr>
            </w:pPr>
          </w:p>
        </w:tc>
        <w:tc>
          <w:tcPr>
            <w:tcW w:w="749" w:type="dxa"/>
            <w:tcBorders>
              <w:top w:val="nil"/>
              <w:bottom w:val="nil"/>
            </w:tcBorders>
            <w:shd w:val="clear" w:color="auto" w:fill="BEBEBE"/>
          </w:tcPr>
          <w:p w14:paraId="09E5EED3">
            <w:pPr>
              <w:pStyle w:val="17"/>
              <w:jc w:val="left"/>
              <w:rPr>
                <w:rFonts w:ascii="Times New Roman"/>
                <w:sz w:val="16"/>
              </w:rPr>
            </w:pPr>
          </w:p>
        </w:tc>
        <w:tc>
          <w:tcPr>
            <w:tcW w:w="2242" w:type="dxa"/>
            <w:gridSpan w:val="2"/>
          </w:tcPr>
          <w:p w14:paraId="309670E9">
            <w:pPr>
              <w:pStyle w:val="17"/>
              <w:spacing w:before="15" w:line="202" w:lineRule="exact"/>
              <w:ind w:left="25"/>
              <w:rPr>
                <w:sz w:val="18"/>
              </w:rPr>
            </w:pPr>
            <w:r>
              <w:rPr>
                <w:w w:val="99"/>
                <w:sz w:val="18"/>
              </w:rPr>
              <w:t>2</w:t>
            </w:r>
          </w:p>
        </w:tc>
        <w:tc>
          <w:tcPr>
            <w:tcW w:w="1219" w:type="dxa"/>
          </w:tcPr>
          <w:p w14:paraId="5BE55B3F">
            <w:pPr>
              <w:pStyle w:val="17"/>
              <w:spacing w:before="15" w:line="202" w:lineRule="exact"/>
              <w:ind w:left="144" w:right="119"/>
              <w:rPr>
                <w:sz w:val="18"/>
              </w:rPr>
            </w:pPr>
            <w:r>
              <w:rPr>
                <w:sz w:val="18"/>
              </w:rPr>
              <w:t>不合格品</w:t>
            </w:r>
          </w:p>
        </w:tc>
        <w:tc>
          <w:tcPr>
            <w:tcW w:w="3444" w:type="dxa"/>
            <w:gridSpan w:val="2"/>
          </w:tcPr>
          <w:p w14:paraId="57E30A3D">
            <w:pPr>
              <w:pStyle w:val="17"/>
              <w:spacing w:before="15" w:line="202" w:lineRule="exact"/>
              <w:ind w:left="1166" w:right="1142"/>
              <w:rPr>
                <w:sz w:val="18"/>
              </w:rPr>
            </w:pPr>
            <w:r>
              <w:rPr>
                <w:sz w:val="18"/>
              </w:rPr>
              <w:t>检验</w:t>
            </w:r>
          </w:p>
        </w:tc>
        <w:tc>
          <w:tcPr>
            <w:tcW w:w="3041" w:type="dxa"/>
            <w:gridSpan w:val="2"/>
          </w:tcPr>
          <w:p w14:paraId="0171D8F7">
            <w:pPr>
              <w:pStyle w:val="17"/>
              <w:spacing w:before="12" w:line="205" w:lineRule="exact"/>
              <w:ind w:left="21"/>
              <w:rPr>
                <w:rFonts w:ascii="Times New Roman"/>
                <w:sz w:val="18"/>
              </w:rPr>
            </w:pPr>
            <w:r>
              <w:rPr>
                <w:rFonts w:ascii="Times New Roman"/>
                <w:w w:val="99"/>
                <w:sz w:val="18"/>
              </w:rPr>
              <w:t>/</w:t>
            </w:r>
          </w:p>
        </w:tc>
        <w:tc>
          <w:tcPr>
            <w:tcW w:w="1783" w:type="dxa"/>
          </w:tcPr>
          <w:p w14:paraId="3B1631B1">
            <w:pPr>
              <w:pStyle w:val="17"/>
              <w:spacing w:before="12" w:line="205" w:lineRule="exact"/>
              <w:ind w:left="26"/>
              <w:rPr>
                <w:rFonts w:ascii="Times New Roman"/>
                <w:sz w:val="18"/>
              </w:rPr>
            </w:pPr>
            <w:r>
              <w:rPr>
                <w:rFonts w:ascii="Times New Roman"/>
                <w:w w:val="99"/>
                <w:sz w:val="18"/>
              </w:rPr>
              <w:t>/</w:t>
            </w:r>
          </w:p>
        </w:tc>
        <w:tc>
          <w:tcPr>
            <w:tcW w:w="1339" w:type="dxa"/>
          </w:tcPr>
          <w:p w14:paraId="4B6D3881">
            <w:pPr>
              <w:pStyle w:val="17"/>
              <w:spacing w:before="12" w:line="205" w:lineRule="exact"/>
              <w:ind w:left="113" w:right="88"/>
              <w:rPr>
                <w:rFonts w:ascii="Times New Roman"/>
                <w:sz w:val="18"/>
              </w:rPr>
            </w:pPr>
            <w:r>
              <w:rPr>
                <w:rFonts w:ascii="Times New Roman"/>
                <w:sz w:val="18"/>
              </w:rPr>
              <w:t>50</w:t>
            </w:r>
          </w:p>
        </w:tc>
        <w:tc>
          <w:tcPr>
            <w:tcW w:w="2520" w:type="dxa"/>
            <w:tcBorders>
              <w:top w:val="nil"/>
              <w:bottom w:val="nil"/>
            </w:tcBorders>
          </w:tcPr>
          <w:p w14:paraId="661DAC6B">
            <w:pPr>
              <w:pStyle w:val="17"/>
              <w:jc w:val="left"/>
              <w:rPr>
                <w:rFonts w:ascii="Times New Roman"/>
                <w:sz w:val="16"/>
              </w:rPr>
            </w:pPr>
          </w:p>
        </w:tc>
        <w:tc>
          <w:tcPr>
            <w:tcW w:w="1416" w:type="dxa"/>
            <w:tcBorders>
              <w:top w:val="nil"/>
              <w:bottom w:val="nil"/>
            </w:tcBorders>
          </w:tcPr>
          <w:p w14:paraId="0F42A7C1">
            <w:pPr>
              <w:pStyle w:val="17"/>
              <w:jc w:val="left"/>
              <w:rPr>
                <w:rFonts w:ascii="Times New Roman"/>
                <w:sz w:val="16"/>
              </w:rPr>
            </w:pPr>
          </w:p>
        </w:tc>
        <w:tc>
          <w:tcPr>
            <w:tcW w:w="1416" w:type="dxa"/>
          </w:tcPr>
          <w:p w14:paraId="524EDCB1">
            <w:pPr>
              <w:pStyle w:val="17"/>
              <w:spacing w:before="15" w:line="202" w:lineRule="exact"/>
              <w:ind w:left="37" w:right="12"/>
              <w:rPr>
                <w:sz w:val="18"/>
              </w:rPr>
            </w:pPr>
            <w:r>
              <w:rPr>
                <w:sz w:val="18"/>
              </w:rPr>
              <w:t>破碎后回用</w:t>
            </w:r>
          </w:p>
        </w:tc>
        <w:tc>
          <w:tcPr>
            <w:tcW w:w="1684" w:type="dxa"/>
            <w:gridSpan w:val="2"/>
          </w:tcPr>
          <w:p w14:paraId="283B129A">
            <w:pPr>
              <w:pStyle w:val="17"/>
              <w:spacing w:before="12" w:line="205" w:lineRule="exact"/>
              <w:ind w:left="24"/>
              <w:rPr>
                <w:rFonts w:ascii="Times New Roman"/>
                <w:sz w:val="18"/>
              </w:rPr>
            </w:pPr>
            <w:r>
              <w:rPr>
                <w:rFonts w:ascii="Times New Roman"/>
                <w:w w:val="99"/>
                <w:sz w:val="18"/>
              </w:rPr>
              <w:t>/</w:t>
            </w:r>
          </w:p>
        </w:tc>
        <w:tc>
          <w:tcPr>
            <w:tcW w:w="1168" w:type="dxa"/>
          </w:tcPr>
          <w:p w14:paraId="04F6F593">
            <w:pPr>
              <w:pStyle w:val="17"/>
              <w:spacing w:before="15" w:line="202" w:lineRule="exact"/>
              <w:ind w:right="472"/>
              <w:jc w:val="right"/>
              <w:rPr>
                <w:rFonts w:hint="eastAsia" w:ascii="黑体" w:eastAsia="黑体"/>
                <w:sz w:val="18"/>
              </w:rPr>
            </w:pPr>
            <w:r>
              <w:rPr>
                <w:rFonts w:hint="eastAsia" w:ascii="黑体" w:eastAsia="黑体"/>
                <w:w w:val="99"/>
                <w:sz w:val="18"/>
              </w:rPr>
              <w:t>否</w:t>
            </w:r>
          </w:p>
        </w:tc>
      </w:tr>
      <w:tr w14:paraId="2F064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tcBorders>
              <w:top w:val="nil"/>
              <w:bottom w:val="nil"/>
            </w:tcBorders>
            <w:shd w:val="clear" w:color="auto" w:fill="BEBEBE"/>
          </w:tcPr>
          <w:p w14:paraId="678232E0">
            <w:pPr>
              <w:pStyle w:val="17"/>
              <w:jc w:val="left"/>
              <w:rPr>
                <w:rFonts w:ascii="Times New Roman"/>
                <w:sz w:val="16"/>
              </w:rPr>
            </w:pPr>
          </w:p>
        </w:tc>
        <w:tc>
          <w:tcPr>
            <w:tcW w:w="749" w:type="dxa"/>
            <w:tcBorders>
              <w:top w:val="nil"/>
              <w:bottom w:val="nil"/>
            </w:tcBorders>
            <w:shd w:val="clear" w:color="auto" w:fill="BEBEBE"/>
          </w:tcPr>
          <w:p w14:paraId="5B6DBBB3">
            <w:pPr>
              <w:pStyle w:val="17"/>
              <w:jc w:val="left"/>
              <w:rPr>
                <w:rFonts w:ascii="Times New Roman"/>
                <w:sz w:val="16"/>
              </w:rPr>
            </w:pPr>
          </w:p>
        </w:tc>
        <w:tc>
          <w:tcPr>
            <w:tcW w:w="2242" w:type="dxa"/>
            <w:gridSpan w:val="2"/>
          </w:tcPr>
          <w:p w14:paraId="78EBBD2B">
            <w:pPr>
              <w:pStyle w:val="17"/>
              <w:spacing w:before="14" w:line="202" w:lineRule="exact"/>
              <w:ind w:left="25"/>
              <w:rPr>
                <w:sz w:val="18"/>
              </w:rPr>
            </w:pPr>
            <w:r>
              <w:rPr>
                <w:w w:val="99"/>
                <w:sz w:val="18"/>
              </w:rPr>
              <w:t>3</w:t>
            </w:r>
          </w:p>
        </w:tc>
        <w:tc>
          <w:tcPr>
            <w:tcW w:w="1219" w:type="dxa"/>
          </w:tcPr>
          <w:p w14:paraId="2A7DD03A">
            <w:pPr>
              <w:pStyle w:val="17"/>
              <w:spacing w:before="14" w:line="202" w:lineRule="exact"/>
              <w:ind w:left="144" w:right="118"/>
              <w:rPr>
                <w:sz w:val="18"/>
              </w:rPr>
            </w:pPr>
            <w:r>
              <w:rPr>
                <w:sz w:val="18"/>
              </w:rPr>
              <w:t>边角料</w:t>
            </w:r>
          </w:p>
        </w:tc>
        <w:tc>
          <w:tcPr>
            <w:tcW w:w="3444" w:type="dxa"/>
            <w:gridSpan w:val="2"/>
          </w:tcPr>
          <w:p w14:paraId="2D2C746D">
            <w:pPr>
              <w:pStyle w:val="17"/>
              <w:spacing w:before="14" w:line="202" w:lineRule="exact"/>
              <w:ind w:left="1166" w:right="1142"/>
              <w:rPr>
                <w:sz w:val="18"/>
              </w:rPr>
            </w:pPr>
            <w:r>
              <w:rPr>
                <w:sz w:val="18"/>
              </w:rPr>
              <w:t>裁切</w:t>
            </w:r>
          </w:p>
        </w:tc>
        <w:tc>
          <w:tcPr>
            <w:tcW w:w="3041" w:type="dxa"/>
            <w:gridSpan w:val="2"/>
          </w:tcPr>
          <w:p w14:paraId="2540798C">
            <w:pPr>
              <w:pStyle w:val="17"/>
              <w:spacing w:before="12" w:line="204" w:lineRule="exact"/>
              <w:ind w:left="21"/>
              <w:rPr>
                <w:rFonts w:ascii="Times New Roman"/>
                <w:sz w:val="18"/>
              </w:rPr>
            </w:pPr>
            <w:r>
              <w:rPr>
                <w:rFonts w:ascii="Times New Roman"/>
                <w:w w:val="99"/>
                <w:sz w:val="18"/>
              </w:rPr>
              <w:t>/</w:t>
            </w:r>
          </w:p>
        </w:tc>
        <w:tc>
          <w:tcPr>
            <w:tcW w:w="1783" w:type="dxa"/>
          </w:tcPr>
          <w:p w14:paraId="105822E7">
            <w:pPr>
              <w:pStyle w:val="17"/>
              <w:spacing w:before="12" w:line="204" w:lineRule="exact"/>
              <w:ind w:left="26"/>
              <w:rPr>
                <w:rFonts w:ascii="Times New Roman"/>
                <w:sz w:val="18"/>
              </w:rPr>
            </w:pPr>
            <w:r>
              <w:rPr>
                <w:rFonts w:ascii="Times New Roman"/>
                <w:w w:val="99"/>
                <w:sz w:val="18"/>
              </w:rPr>
              <w:t>/</w:t>
            </w:r>
          </w:p>
        </w:tc>
        <w:tc>
          <w:tcPr>
            <w:tcW w:w="1339" w:type="dxa"/>
          </w:tcPr>
          <w:p w14:paraId="0A3DB279">
            <w:pPr>
              <w:pStyle w:val="17"/>
              <w:spacing w:before="12" w:line="204" w:lineRule="exact"/>
              <w:ind w:left="113" w:right="90"/>
              <w:rPr>
                <w:rFonts w:ascii="Times New Roman"/>
                <w:sz w:val="18"/>
              </w:rPr>
            </w:pPr>
            <w:r>
              <w:rPr>
                <w:rFonts w:ascii="Times New Roman"/>
                <w:sz w:val="18"/>
              </w:rPr>
              <w:t>100</w:t>
            </w:r>
          </w:p>
        </w:tc>
        <w:tc>
          <w:tcPr>
            <w:tcW w:w="2520" w:type="dxa"/>
            <w:tcBorders>
              <w:top w:val="nil"/>
              <w:bottom w:val="nil"/>
            </w:tcBorders>
          </w:tcPr>
          <w:p w14:paraId="10C0F12D">
            <w:pPr>
              <w:pStyle w:val="17"/>
              <w:jc w:val="left"/>
              <w:rPr>
                <w:rFonts w:ascii="Times New Roman"/>
                <w:sz w:val="16"/>
              </w:rPr>
            </w:pPr>
          </w:p>
        </w:tc>
        <w:tc>
          <w:tcPr>
            <w:tcW w:w="1416" w:type="dxa"/>
            <w:tcBorders>
              <w:top w:val="nil"/>
              <w:bottom w:val="nil"/>
            </w:tcBorders>
          </w:tcPr>
          <w:p w14:paraId="11361197">
            <w:pPr>
              <w:pStyle w:val="17"/>
              <w:jc w:val="left"/>
              <w:rPr>
                <w:rFonts w:ascii="Times New Roman"/>
                <w:sz w:val="16"/>
              </w:rPr>
            </w:pPr>
          </w:p>
        </w:tc>
        <w:tc>
          <w:tcPr>
            <w:tcW w:w="1416" w:type="dxa"/>
          </w:tcPr>
          <w:p w14:paraId="1818CCF4">
            <w:pPr>
              <w:pStyle w:val="17"/>
              <w:spacing w:before="14" w:line="202" w:lineRule="exact"/>
              <w:ind w:left="37" w:right="12"/>
              <w:rPr>
                <w:sz w:val="18"/>
              </w:rPr>
            </w:pPr>
            <w:r>
              <w:rPr>
                <w:sz w:val="18"/>
              </w:rPr>
              <w:t>破碎后回用</w:t>
            </w:r>
          </w:p>
        </w:tc>
        <w:tc>
          <w:tcPr>
            <w:tcW w:w="1684" w:type="dxa"/>
            <w:gridSpan w:val="2"/>
          </w:tcPr>
          <w:p w14:paraId="46D121BB">
            <w:pPr>
              <w:pStyle w:val="17"/>
              <w:spacing w:before="12" w:line="204" w:lineRule="exact"/>
              <w:ind w:left="24"/>
              <w:rPr>
                <w:rFonts w:ascii="Times New Roman"/>
                <w:sz w:val="18"/>
              </w:rPr>
            </w:pPr>
            <w:r>
              <w:rPr>
                <w:rFonts w:ascii="Times New Roman"/>
                <w:w w:val="99"/>
                <w:sz w:val="18"/>
              </w:rPr>
              <w:t>/</w:t>
            </w:r>
          </w:p>
        </w:tc>
        <w:tc>
          <w:tcPr>
            <w:tcW w:w="1168" w:type="dxa"/>
          </w:tcPr>
          <w:p w14:paraId="138825EC">
            <w:pPr>
              <w:pStyle w:val="17"/>
              <w:spacing w:before="14" w:line="202" w:lineRule="exact"/>
              <w:ind w:right="472"/>
              <w:jc w:val="right"/>
              <w:rPr>
                <w:rFonts w:hint="eastAsia" w:ascii="黑体" w:eastAsia="黑体"/>
                <w:sz w:val="18"/>
              </w:rPr>
            </w:pPr>
            <w:r>
              <w:rPr>
                <w:rFonts w:hint="eastAsia" w:ascii="黑体" w:eastAsia="黑体"/>
                <w:w w:val="99"/>
                <w:sz w:val="18"/>
              </w:rPr>
              <w:t>否</w:t>
            </w:r>
          </w:p>
        </w:tc>
      </w:tr>
      <w:tr w14:paraId="2ADCF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vMerge w:val="restart"/>
            <w:tcBorders>
              <w:top w:val="nil"/>
              <w:bottom w:val="nil"/>
            </w:tcBorders>
            <w:shd w:val="clear" w:color="auto" w:fill="BEBEBE"/>
          </w:tcPr>
          <w:p w14:paraId="74169EAB">
            <w:pPr>
              <w:pStyle w:val="17"/>
              <w:jc w:val="left"/>
              <w:rPr>
                <w:rFonts w:ascii="Times New Roman"/>
                <w:sz w:val="18"/>
              </w:rPr>
            </w:pPr>
          </w:p>
          <w:p w14:paraId="2A53C3D3">
            <w:pPr>
              <w:pStyle w:val="17"/>
              <w:spacing w:before="5"/>
              <w:jc w:val="left"/>
              <w:rPr>
                <w:rFonts w:ascii="Times New Roman"/>
                <w:sz w:val="14"/>
              </w:rPr>
            </w:pPr>
          </w:p>
          <w:p w14:paraId="3EF43564">
            <w:pPr>
              <w:pStyle w:val="17"/>
              <w:spacing w:line="232" w:lineRule="auto"/>
              <w:ind w:left="268" w:right="59" w:hanging="183"/>
              <w:jc w:val="left"/>
              <w:rPr>
                <w:rFonts w:hint="eastAsia" w:ascii="黑体" w:eastAsia="黑体"/>
                <w:sz w:val="18"/>
              </w:rPr>
            </w:pPr>
            <w:r>
              <w:rPr>
                <w:rFonts w:hint="eastAsia" w:ascii="黑体" w:eastAsia="黑体"/>
                <w:sz w:val="18"/>
              </w:rPr>
              <w:t>固体废物信息</w:t>
            </w:r>
          </w:p>
        </w:tc>
        <w:tc>
          <w:tcPr>
            <w:tcW w:w="749" w:type="dxa"/>
            <w:vMerge w:val="restart"/>
            <w:tcBorders>
              <w:top w:val="nil"/>
              <w:bottom w:val="nil"/>
            </w:tcBorders>
            <w:shd w:val="clear" w:color="auto" w:fill="BEBEBE"/>
          </w:tcPr>
          <w:p w14:paraId="2BE301D5">
            <w:pPr>
              <w:pStyle w:val="17"/>
              <w:spacing w:before="116"/>
              <w:ind w:left="18" w:right="-15"/>
              <w:jc w:val="left"/>
              <w:rPr>
                <w:sz w:val="18"/>
              </w:rPr>
            </w:pPr>
            <w:r>
              <w:rPr>
                <w:sz w:val="18"/>
              </w:rPr>
              <w:t>一般固废</w:t>
            </w:r>
          </w:p>
        </w:tc>
        <w:tc>
          <w:tcPr>
            <w:tcW w:w="2242" w:type="dxa"/>
            <w:gridSpan w:val="2"/>
          </w:tcPr>
          <w:p w14:paraId="6A741834">
            <w:pPr>
              <w:pStyle w:val="17"/>
              <w:spacing w:before="15" w:line="202" w:lineRule="exact"/>
              <w:ind w:left="25"/>
              <w:rPr>
                <w:sz w:val="18"/>
              </w:rPr>
            </w:pPr>
            <w:r>
              <w:rPr>
                <w:w w:val="99"/>
                <w:sz w:val="18"/>
              </w:rPr>
              <w:t>4</w:t>
            </w:r>
          </w:p>
        </w:tc>
        <w:tc>
          <w:tcPr>
            <w:tcW w:w="1219" w:type="dxa"/>
          </w:tcPr>
          <w:p w14:paraId="5AE6C1D5">
            <w:pPr>
              <w:pStyle w:val="17"/>
              <w:spacing w:before="15" w:line="202" w:lineRule="exact"/>
              <w:ind w:left="144" w:right="120"/>
              <w:rPr>
                <w:sz w:val="18"/>
              </w:rPr>
            </w:pPr>
            <w:r>
              <w:rPr>
                <w:sz w:val="18"/>
              </w:rPr>
              <w:t>收集除尘灰</w:t>
            </w:r>
          </w:p>
        </w:tc>
        <w:tc>
          <w:tcPr>
            <w:tcW w:w="3444" w:type="dxa"/>
            <w:gridSpan w:val="2"/>
          </w:tcPr>
          <w:p w14:paraId="5283BE6F">
            <w:pPr>
              <w:pStyle w:val="17"/>
              <w:spacing w:before="15" w:line="202" w:lineRule="exact"/>
              <w:ind w:left="1093"/>
              <w:jc w:val="left"/>
              <w:rPr>
                <w:sz w:val="18"/>
              </w:rPr>
            </w:pPr>
            <w:r>
              <w:rPr>
                <w:sz w:val="18"/>
              </w:rPr>
              <w:t>布袋除尘器收集</w:t>
            </w:r>
          </w:p>
        </w:tc>
        <w:tc>
          <w:tcPr>
            <w:tcW w:w="3041" w:type="dxa"/>
            <w:gridSpan w:val="2"/>
          </w:tcPr>
          <w:p w14:paraId="1C20074D">
            <w:pPr>
              <w:pStyle w:val="17"/>
              <w:spacing w:before="12" w:line="205" w:lineRule="exact"/>
              <w:ind w:left="21"/>
              <w:rPr>
                <w:rFonts w:ascii="Times New Roman"/>
                <w:sz w:val="18"/>
              </w:rPr>
            </w:pPr>
            <w:r>
              <w:rPr>
                <w:rFonts w:ascii="Times New Roman"/>
                <w:w w:val="99"/>
                <w:sz w:val="18"/>
              </w:rPr>
              <w:t>/</w:t>
            </w:r>
          </w:p>
        </w:tc>
        <w:tc>
          <w:tcPr>
            <w:tcW w:w="1783" w:type="dxa"/>
          </w:tcPr>
          <w:p w14:paraId="2AA68E03">
            <w:pPr>
              <w:pStyle w:val="17"/>
              <w:spacing w:before="12" w:line="205" w:lineRule="exact"/>
              <w:ind w:left="26"/>
              <w:rPr>
                <w:rFonts w:ascii="Times New Roman"/>
                <w:sz w:val="18"/>
              </w:rPr>
            </w:pPr>
            <w:r>
              <w:rPr>
                <w:rFonts w:ascii="Times New Roman"/>
                <w:w w:val="99"/>
                <w:sz w:val="18"/>
              </w:rPr>
              <w:t>/</w:t>
            </w:r>
          </w:p>
        </w:tc>
        <w:tc>
          <w:tcPr>
            <w:tcW w:w="1339" w:type="dxa"/>
          </w:tcPr>
          <w:p w14:paraId="2995E7A2">
            <w:pPr>
              <w:pStyle w:val="17"/>
              <w:spacing w:before="12" w:line="205" w:lineRule="exact"/>
              <w:ind w:left="113" w:right="89"/>
              <w:rPr>
                <w:rFonts w:ascii="Times New Roman"/>
                <w:sz w:val="18"/>
              </w:rPr>
            </w:pPr>
            <w:r>
              <w:rPr>
                <w:rFonts w:ascii="Times New Roman"/>
                <w:sz w:val="18"/>
              </w:rPr>
              <w:t>2.335</w:t>
            </w:r>
          </w:p>
        </w:tc>
        <w:tc>
          <w:tcPr>
            <w:tcW w:w="2520" w:type="dxa"/>
            <w:vMerge w:val="restart"/>
            <w:tcBorders>
              <w:top w:val="nil"/>
              <w:bottom w:val="nil"/>
            </w:tcBorders>
          </w:tcPr>
          <w:p w14:paraId="10A97758">
            <w:pPr>
              <w:pStyle w:val="17"/>
              <w:spacing w:before="116"/>
              <w:ind w:left="629"/>
              <w:jc w:val="left"/>
              <w:rPr>
                <w:sz w:val="18"/>
              </w:rPr>
            </w:pPr>
            <w:r>
              <w:rPr>
                <w:sz w:val="18"/>
              </w:rPr>
              <w:t>一般固废暂存间</w:t>
            </w:r>
          </w:p>
        </w:tc>
        <w:tc>
          <w:tcPr>
            <w:tcW w:w="1416" w:type="dxa"/>
            <w:vMerge w:val="restart"/>
            <w:tcBorders>
              <w:top w:val="nil"/>
              <w:bottom w:val="nil"/>
            </w:tcBorders>
          </w:tcPr>
          <w:p w14:paraId="4854BE3A">
            <w:pPr>
              <w:pStyle w:val="17"/>
              <w:spacing w:before="113"/>
              <w:ind w:left="36" w:right="13"/>
              <w:rPr>
                <w:rFonts w:ascii="Times New Roman"/>
                <w:sz w:val="18"/>
              </w:rPr>
            </w:pPr>
            <w:r>
              <w:rPr>
                <w:rFonts w:ascii="Times New Roman"/>
                <w:sz w:val="18"/>
              </w:rPr>
              <w:t>40t</w:t>
            </w:r>
          </w:p>
        </w:tc>
        <w:tc>
          <w:tcPr>
            <w:tcW w:w="1416" w:type="dxa"/>
          </w:tcPr>
          <w:p w14:paraId="62628A0A">
            <w:pPr>
              <w:pStyle w:val="17"/>
              <w:spacing w:before="15" w:line="202" w:lineRule="exact"/>
              <w:ind w:left="37" w:right="12"/>
              <w:rPr>
                <w:sz w:val="18"/>
              </w:rPr>
            </w:pPr>
            <w:r>
              <w:rPr>
                <w:sz w:val="18"/>
              </w:rPr>
              <w:t>回用于生产</w:t>
            </w:r>
          </w:p>
        </w:tc>
        <w:tc>
          <w:tcPr>
            <w:tcW w:w="1684" w:type="dxa"/>
            <w:gridSpan w:val="2"/>
          </w:tcPr>
          <w:p w14:paraId="00674F24">
            <w:pPr>
              <w:pStyle w:val="17"/>
              <w:spacing w:before="12" w:line="205" w:lineRule="exact"/>
              <w:ind w:left="24"/>
              <w:rPr>
                <w:rFonts w:ascii="Times New Roman"/>
                <w:sz w:val="18"/>
              </w:rPr>
            </w:pPr>
            <w:r>
              <w:rPr>
                <w:rFonts w:ascii="Times New Roman"/>
                <w:w w:val="99"/>
                <w:sz w:val="18"/>
              </w:rPr>
              <w:t>/</w:t>
            </w:r>
          </w:p>
        </w:tc>
        <w:tc>
          <w:tcPr>
            <w:tcW w:w="1168" w:type="dxa"/>
          </w:tcPr>
          <w:p w14:paraId="2B91CD8A">
            <w:pPr>
              <w:pStyle w:val="17"/>
              <w:spacing w:before="15" w:line="202" w:lineRule="exact"/>
              <w:ind w:right="472"/>
              <w:jc w:val="right"/>
              <w:rPr>
                <w:rFonts w:hint="eastAsia" w:ascii="黑体" w:eastAsia="黑体"/>
                <w:sz w:val="18"/>
              </w:rPr>
            </w:pPr>
            <w:r>
              <w:rPr>
                <w:rFonts w:hint="eastAsia" w:ascii="黑体" w:eastAsia="黑体"/>
                <w:w w:val="99"/>
                <w:sz w:val="18"/>
              </w:rPr>
              <w:t>否</w:t>
            </w:r>
          </w:p>
        </w:tc>
      </w:tr>
      <w:tr w14:paraId="377B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886" w:type="dxa"/>
            <w:vMerge w:val="continue"/>
            <w:tcBorders>
              <w:top w:val="nil"/>
              <w:bottom w:val="nil"/>
            </w:tcBorders>
            <w:shd w:val="clear" w:color="auto" w:fill="BEBEBE"/>
          </w:tcPr>
          <w:p w14:paraId="2A387CD8">
            <w:pPr>
              <w:rPr>
                <w:sz w:val="2"/>
                <w:szCs w:val="2"/>
              </w:rPr>
            </w:pPr>
          </w:p>
        </w:tc>
        <w:tc>
          <w:tcPr>
            <w:tcW w:w="749" w:type="dxa"/>
            <w:vMerge w:val="continue"/>
            <w:tcBorders>
              <w:top w:val="nil"/>
              <w:bottom w:val="nil"/>
            </w:tcBorders>
            <w:shd w:val="clear" w:color="auto" w:fill="BEBEBE"/>
          </w:tcPr>
          <w:p w14:paraId="1A4EF18A">
            <w:pPr>
              <w:rPr>
                <w:sz w:val="2"/>
                <w:szCs w:val="2"/>
              </w:rPr>
            </w:pPr>
          </w:p>
        </w:tc>
        <w:tc>
          <w:tcPr>
            <w:tcW w:w="2242" w:type="dxa"/>
            <w:gridSpan w:val="2"/>
          </w:tcPr>
          <w:p w14:paraId="0FAD8DFD">
            <w:pPr>
              <w:pStyle w:val="17"/>
              <w:spacing w:before="115"/>
              <w:ind w:left="25"/>
              <w:rPr>
                <w:sz w:val="18"/>
              </w:rPr>
            </w:pPr>
            <w:r>
              <w:rPr>
                <w:w w:val="99"/>
                <w:sz w:val="18"/>
              </w:rPr>
              <w:t>5</w:t>
            </w:r>
          </w:p>
        </w:tc>
        <w:tc>
          <w:tcPr>
            <w:tcW w:w="1219" w:type="dxa"/>
          </w:tcPr>
          <w:p w14:paraId="0945E95E">
            <w:pPr>
              <w:pStyle w:val="17"/>
              <w:spacing w:before="7" w:line="222" w:lineRule="exact"/>
              <w:ind w:left="524" w:right="45" w:hanging="454"/>
              <w:jc w:val="left"/>
              <w:rPr>
                <w:sz w:val="18"/>
              </w:rPr>
            </w:pPr>
            <w:r>
              <w:rPr>
                <w:sz w:val="18"/>
              </w:rPr>
              <w:t>一般废包装材料</w:t>
            </w:r>
          </w:p>
        </w:tc>
        <w:tc>
          <w:tcPr>
            <w:tcW w:w="3444" w:type="dxa"/>
            <w:gridSpan w:val="2"/>
          </w:tcPr>
          <w:p w14:paraId="2B74EA3C">
            <w:pPr>
              <w:pStyle w:val="17"/>
              <w:spacing w:before="115"/>
              <w:ind w:left="1093"/>
              <w:jc w:val="left"/>
              <w:rPr>
                <w:sz w:val="18"/>
              </w:rPr>
            </w:pPr>
            <w:r>
              <w:rPr>
                <w:sz w:val="18"/>
              </w:rPr>
              <w:t>原料及成品包装</w:t>
            </w:r>
          </w:p>
        </w:tc>
        <w:tc>
          <w:tcPr>
            <w:tcW w:w="3041" w:type="dxa"/>
            <w:gridSpan w:val="2"/>
          </w:tcPr>
          <w:p w14:paraId="34758A8B">
            <w:pPr>
              <w:pStyle w:val="17"/>
              <w:spacing w:before="115"/>
              <w:ind w:left="27"/>
              <w:rPr>
                <w:sz w:val="18"/>
              </w:rPr>
            </w:pPr>
            <w:r>
              <w:rPr>
                <w:w w:val="99"/>
                <w:sz w:val="18"/>
              </w:rPr>
              <w:t>/</w:t>
            </w:r>
          </w:p>
        </w:tc>
        <w:tc>
          <w:tcPr>
            <w:tcW w:w="1783" w:type="dxa"/>
          </w:tcPr>
          <w:p w14:paraId="34608F0B">
            <w:pPr>
              <w:pStyle w:val="17"/>
              <w:spacing w:before="113"/>
              <w:ind w:left="26"/>
              <w:rPr>
                <w:rFonts w:ascii="Times New Roman"/>
                <w:sz w:val="18"/>
              </w:rPr>
            </w:pPr>
            <w:r>
              <w:rPr>
                <w:rFonts w:ascii="Times New Roman"/>
                <w:w w:val="99"/>
                <w:sz w:val="18"/>
              </w:rPr>
              <w:t>/</w:t>
            </w:r>
          </w:p>
        </w:tc>
        <w:tc>
          <w:tcPr>
            <w:tcW w:w="1339" w:type="dxa"/>
          </w:tcPr>
          <w:p w14:paraId="330750EA">
            <w:pPr>
              <w:pStyle w:val="17"/>
              <w:spacing w:before="113"/>
              <w:ind w:left="25"/>
              <w:rPr>
                <w:rFonts w:ascii="Times New Roman"/>
                <w:sz w:val="18"/>
              </w:rPr>
            </w:pPr>
            <w:r>
              <w:rPr>
                <w:rFonts w:ascii="Times New Roman"/>
                <w:w w:val="99"/>
                <w:sz w:val="18"/>
              </w:rPr>
              <w:t>1</w:t>
            </w:r>
          </w:p>
        </w:tc>
        <w:tc>
          <w:tcPr>
            <w:tcW w:w="2520" w:type="dxa"/>
            <w:vMerge w:val="continue"/>
            <w:tcBorders>
              <w:top w:val="nil"/>
              <w:bottom w:val="nil"/>
            </w:tcBorders>
          </w:tcPr>
          <w:p w14:paraId="20FC9261">
            <w:pPr>
              <w:rPr>
                <w:sz w:val="2"/>
                <w:szCs w:val="2"/>
              </w:rPr>
            </w:pPr>
          </w:p>
        </w:tc>
        <w:tc>
          <w:tcPr>
            <w:tcW w:w="1416" w:type="dxa"/>
            <w:vMerge w:val="continue"/>
            <w:tcBorders>
              <w:top w:val="nil"/>
              <w:bottom w:val="nil"/>
            </w:tcBorders>
          </w:tcPr>
          <w:p w14:paraId="2F00D074">
            <w:pPr>
              <w:rPr>
                <w:sz w:val="2"/>
                <w:szCs w:val="2"/>
              </w:rPr>
            </w:pPr>
          </w:p>
        </w:tc>
        <w:tc>
          <w:tcPr>
            <w:tcW w:w="1416" w:type="dxa"/>
          </w:tcPr>
          <w:p w14:paraId="761B68A2">
            <w:pPr>
              <w:pStyle w:val="17"/>
              <w:spacing w:before="115"/>
              <w:ind w:left="25"/>
              <w:rPr>
                <w:sz w:val="18"/>
              </w:rPr>
            </w:pPr>
            <w:r>
              <w:rPr>
                <w:w w:val="99"/>
                <w:sz w:val="18"/>
              </w:rPr>
              <w:t>/</w:t>
            </w:r>
          </w:p>
        </w:tc>
        <w:tc>
          <w:tcPr>
            <w:tcW w:w="1684" w:type="dxa"/>
            <w:gridSpan w:val="2"/>
          </w:tcPr>
          <w:p w14:paraId="28B838F0">
            <w:pPr>
              <w:pStyle w:val="17"/>
              <w:spacing w:before="113"/>
              <w:ind w:left="24"/>
              <w:rPr>
                <w:rFonts w:ascii="Times New Roman"/>
                <w:sz w:val="18"/>
              </w:rPr>
            </w:pPr>
            <w:r>
              <w:rPr>
                <w:rFonts w:ascii="Times New Roman"/>
                <w:w w:val="99"/>
                <w:sz w:val="18"/>
              </w:rPr>
              <w:t>/</w:t>
            </w:r>
          </w:p>
        </w:tc>
        <w:tc>
          <w:tcPr>
            <w:tcW w:w="1168" w:type="dxa"/>
          </w:tcPr>
          <w:p w14:paraId="72B0496F">
            <w:pPr>
              <w:pStyle w:val="17"/>
              <w:spacing w:before="115"/>
              <w:ind w:right="472"/>
              <w:jc w:val="right"/>
              <w:rPr>
                <w:rFonts w:hint="eastAsia" w:ascii="黑体" w:eastAsia="黑体"/>
                <w:sz w:val="18"/>
              </w:rPr>
            </w:pPr>
            <w:r>
              <w:rPr>
                <w:rFonts w:hint="eastAsia" w:ascii="黑体" w:eastAsia="黑体"/>
                <w:w w:val="99"/>
                <w:sz w:val="18"/>
              </w:rPr>
              <w:t>是</w:t>
            </w:r>
          </w:p>
        </w:tc>
      </w:tr>
      <w:tr w14:paraId="7A8BC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886" w:type="dxa"/>
            <w:vMerge w:val="continue"/>
            <w:tcBorders>
              <w:top w:val="nil"/>
              <w:bottom w:val="nil"/>
            </w:tcBorders>
            <w:shd w:val="clear" w:color="auto" w:fill="BEBEBE"/>
          </w:tcPr>
          <w:p w14:paraId="0816A547">
            <w:pPr>
              <w:rPr>
                <w:sz w:val="2"/>
                <w:szCs w:val="2"/>
              </w:rPr>
            </w:pPr>
          </w:p>
        </w:tc>
        <w:tc>
          <w:tcPr>
            <w:tcW w:w="749" w:type="dxa"/>
            <w:vMerge w:val="continue"/>
            <w:tcBorders>
              <w:top w:val="nil"/>
              <w:bottom w:val="nil"/>
            </w:tcBorders>
            <w:shd w:val="clear" w:color="auto" w:fill="BEBEBE"/>
          </w:tcPr>
          <w:p w14:paraId="6DECE777">
            <w:pPr>
              <w:rPr>
                <w:sz w:val="2"/>
                <w:szCs w:val="2"/>
              </w:rPr>
            </w:pPr>
          </w:p>
        </w:tc>
        <w:tc>
          <w:tcPr>
            <w:tcW w:w="2242" w:type="dxa"/>
            <w:gridSpan w:val="2"/>
          </w:tcPr>
          <w:p w14:paraId="059BF13A">
            <w:pPr>
              <w:pStyle w:val="17"/>
              <w:spacing w:before="2" w:line="202" w:lineRule="exact"/>
              <w:ind w:left="25"/>
              <w:rPr>
                <w:sz w:val="18"/>
              </w:rPr>
            </w:pPr>
            <w:r>
              <w:rPr>
                <w:w w:val="99"/>
                <w:sz w:val="18"/>
              </w:rPr>
              <w:t>6</w:t>
            </w:r>
          </w:p>
        </w:tc>
        <w:tc>
          <w:tcPr>
            <w:tcW w:w="1219" w:type="dxa"/>
          </w:tcPr>
          <w:p w14:paraId="45CE354F">
            <w:pPr>
              <w:pStyle w:val="17"/>
              <w:spacing w:before="2" w:line="202" w:lineRule="exact"/>
              <w:ind w:left="144" w:right="119"/>
              <w:rPr>
                <w:sz w:val="18"/>
              </w:rPr>
            </w:pPr>
            <w:r>
              <w:rPr>
                <w:sz w:val="18"/>
              </w:rPr>
              <w:t>造粒杂质</w:t>
            </w:r>
          </w:p>
        </w:tc>
        <w:tc>
          <w:tcPr>
            <w:tcW w:w="3444" w:type="dxa"/>
            <w:gridSpan w:val="2"/>
          </w:tcPr>
          <w:p w14:paraId="6DC9C15D">
            <w:pPr>
              <w:pStyle w:val="17"/>
              <w:spacing w:before="2" w:line="202" w:lineRule="exact"/>
              <w:ind w:left="1165" w:right="1142"/>
              <w:rPr>
                <w:sz w:val="18"/>
              </w:rPr>
            </w:pPr>
            <w:r>
              <w:rPr>
                <w:sz w:val="18"/>
              </w:rPr>
              <w:t>挤出造粒</w:t>
            </w:r>
          </w:p>
        </w:tc>
        <w:tc>
          <w:tcPr>
            <w:tcW w:w="3041" w:type="dxa"/>
            <w:gridSpan w:val="2"/>
          </w:tcPr>
          <w:p w14:paraId="419B61D9">
            <w:pPr>
              <w:pStyle w:val="17"/>
              <w:spacing w:line="204" w:lineRule="exact"/>
              <w:ind w:left="21"/>
              <w:rPr>
                <w:rFonts w:ascii="Times New Roman"/>
                <w:sz w:val="18"/>
              </w:rPr>
            </w:pPr>
            <w:r>
              <w:rPr>
                <w:rFonts w:ascii="Times New Roman"/>
                <w:w w:val="99"/>
                <w:sz w:val="18"/>
              </w:rPr>
              <w:t>/</w:t>
            </w:r>
          </w:p>
        </w:tc>
        <w:tc>
          <w:tcPr>
            <w:tcW w:w="1783" w:type="dxa"/>
          </w:tcPr>
          <w:p w14:paraId="2F84BF6D">
            <w:pPr>
              <w:pStyle w:val="17"/>
              <w:spacing w:line="204" w:lineRule="exact"/>
              <w:ind w:left="26"/>
              <w:rPr>
                <w:rFonts w:ascii="Times New Roman"/>
                <w:sz w:val="18"/>
              </w:rPr>
            </w:pPr>
            <w:r>
              <w:rPr>
                <w:rFonts w:ascii="Times New Roman"/>
                <w:w w:val="99"/>
                <w:sz w:val="18"/>
              </w:rPr>
              <w:t>/</w:t>
            </w:r>
          </w:p>
        </w:tc>
        <w:tc>
          <w:tcPr>
            <w:tcW w:w="1339" w:type="dxa"/>
          </w:tcPr>
          <w:p w14:paraId="3B30508B">
            <w:pPr>
              <w:pStyle w:val="17"/>
              <w:spacing w:line="204" w:lineRule="exact"/>
              <w:ind w:left="113" w:right="89"/>
              <w:rPr>
                <w:rFonts w:ascii="Times New Roman"/>
                <w:sz w:val="18"/>
              </w:rPr>
            </w:pPr>
            <w:r>
              <w:rPr>
                <w:rFonts w:ascii="Times New Roman"/>
                <w:sz w:val="18"/>
              </w:rPr>
              <w:t>1.919</w:t>
            </w:r>
          </w:p>
        </w:tc>
        <w:tc>
          <w:tcPr>
            <w:tcW w:w="2520" w:type="dxa"/>
            <w:vMerge w:val="continue"/>
            <w:tcBorders>
              <w:top w:val="nil"/>
              <w:bottom w:val="nil"/>
            </w:tcBorders>
          </w:tcPr>
          <w:p w14:paraId="537CF4EF">
            <w:pPr>
              <w:rPr>
                <w:sz w:val="2"/>
                <w:szCs w:val="2"/>
              </w:rPr>
            </w:pPr>
          </w:p>
        </w:tc>
        <w:tc>
          <w:tcPr>
            <w:tcW w:w="1416" w:type="dxa"/>
            <w:vMerge w:val="continue"/>
            <w:tcBorders>
              <w:top w:val="nil"/>
              <w:bottom w:val="nil"/>
            </w:tcBorders>
          </w:tcPr>
          <w:p w14:paraId="2AC36D7E">
            <w:pPr>
              <w:rPr>
                <w:sz w:val="2"/>
                <w:szCs w:val="2"/>
              </w:rPr>
            </w:pPr>
          </w:p>
        </w:tc>
        <w:tc>
          <w:tcPr>
            <w:tcW w:w="1416" w:type="dxa"/>
          </w:tcPr>
          <w:p w14:paraId="3D40CAB0">
            <w:pPr>
              <w:pStyle w:val="17"/>
              <w:spacing w:before="2" w:line="202" w:lineRule="exact"/>
              <w:ind w:left="25"/>
              <w:rPr>
                <w:sz w:val="18"/>
              </w:rPr>
            </w:pPr>
            <w:r>
              <w:rPr>
                <w:w w:val="99"/>
                <w:sz w:val="18"/>
              </w:rPr>
              <w:t>/</w:t>
            </w:r>
          </w:p>
        </w:tc>
        <w:tc>
          <w:tcPr>
            <w:tcW w:w="1684" w:type="dxa"/>
            <w:gridSpan w:val="2"/>
          </w:tcPr>
          <w:p w14:paraId="0E4477BB">
            <w:pPr>
              <w:pStyle w:val="17"/>
              <w:spacing w:line="204" w:lineRule="exact"/>
              <w:ind w:left="24"/>
              <w:rPr>
                <w:rFonts w:ascii="Times New Roman"/>
                <w:sz w:val="18"/>
              </w:rPr>
            </w:pPr>
            <w:r>
              <w:rPr>
                <w:rFonts w:ascii="Times New Roman"/>
                <w:w w:val="99"/>
                <w:sz w:val="18"/>
              </w:rPr>
              <w:t>/</w:t>
            </w:r>
          </w:p>
        </w:tc>
        <w:tc>
          <w:tcPr>
            <w:tcW w:w="1168" w:type="dxa"/>
          </w:tcPr>
          <w:p w14:paraId="64F9B173">
            <w:pPr>
              <w:pStyle w:val="17"/>
              <w:spacing w:before="2" w:line="202" w:lineRule="exact"/>
              <w:ind w:right="472"/>
              <w:jc w:val="right"/>
              <w:rPr>
                <w:rFonts w:hint="eastAsia" w:ascii="黑体" w:eastAsia="黑体"/>
                <w:sz w:val="18"/>
              </w:rPr>
            </w:pPr>
            <w:r>
              <w:rPr>
                <w:rFonts w:hint="eastAsia" w:ascii="黑体" w:eastAsia="黑体"/>
                <w:w w:val="99"/>
                <w:sz w:val="18"/>
              </w:rPr>
              <w:t>是</w:t>
            </w:r>
          </w:p>
        </w:tc>
      </w:tr>
      <w:tr w14:paraId="3E63C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vMerge w:val="restart"/>
            <w:tcBorders>
              <w:top w:val="nil"/>
              <w:bottom w:val="nil"/>
            </w:tcBorders>
            <w:shd w:val="clear" w:color="auto" w:fill="BEBEBE"/>
          </w:tcPr>
          <w:p w14:paraId="2390F3FF">
            <w:pPr>
              <w:pStyle w:val="17"/>
              <w:jc w:val="left"/>
              <w:rPr>
                <w:rFonts w:ascii="Times New Roman"/>
                <w:sz w:val="16"/>
              </w:rPr>
            </w:pPr>
          </w:p>
        </w:tc>
        <w:tc>
          <w:tcPr>
            <w:tcW w:w="749" w:type="dxa"/>
            <w:tcBorders>
              <w:top w:val="nil"/>
            </w:tcBorders>
            <w:shd w:val="clear" w:color="auto" w:fill="BEBEBE"/>
          </w:tcPr>
          <w:p w14:paraId="5E68CC52">
            <w:pPr>
              <w:pStyle w:val="17"/>
              <w:jc w:val="left"/>
              <w:rPr>
                <w:rFonts w:ascii="Times New Roman"/>
                <w:sz w:val="16"/>
              </w:rPr>
            </w:pPr>
          </w:p>
        </w:tc>
        <w:tc>
          <w:tcPr>
            <w:tcW w:w="2242" w:type="dxa"/>
            <w:gridSpan w:val="2"/>
          </w:tcPr>
          <w:p w14:paraId="08566264">
            <w:pPr>
              <w:pStyle w:val="17"/>
              <w:spacing w:before="13" w:line="204" w:lineRule="exact"/>
              <w:ind w:left="25"/>
              <w:rPr>
                <w:sz w:val="18"/>
              </w:rPr>
            </w:pPr>
            <w:r>
              <w:rPr>
                <w:w w:val="99"/>
                <w:sz w:val="18"/>
              </w:rPr>
              <w:t>7</w:t>
            </w:r>
          </w:p>
        </w:tc>
        <w:tc>
          <w:tcPr>
            <w:tcW w:w="1219" w:type="dxa"/>
          </w:tcPr>
          <w:p w14:paraId="316BBE18">
            <w:pPr>
              <w:pStyle w:val="17"/>
              <w:spacing w:before="13" w:line="204" w:lineRule="exact"/>
              <w:ind w:left="144" w:right="118"/>
              <w:rPr>
                <w:sz w:val="18"/>
              </w:rPr>
            </w:pPr>
            <w:r>
              <w:rPr>
                <w:sz w:val="18"/>
              </w:rPr>
              <w:t>废滤网</w:t>
            </w:r>
          </w:p>
        </w:tc>
        <w:tc>
          <w:tcPr>
            <w:tcW w:w="3444" w:type="dxa"/>
            <w:gridSpan w:val="2"/>
          </w:tcPr>
          <w:p w14:paraId="75FD25E8">
            <w:pPr>
              <w:pStyle w:val="17"/>
              <w:spacing w:before="13" w:line="204" w:lineRule="exact"/>
              <w:ind w:left="1165" w:right="1142"/>
              <w:rPr>
                <w:sz w:val="18"/>
              </w:rPr>
            </w:pPr>
            <w:r>
              <w:rPr>
                <w:sz w:val="18"/>
              </w:rPr>
              <w:t>挤出造粒</w:t>
            </w:r>
          </w:p>
        </w:tc>
        <w:tc>
          <w:tcPr>
            <w:tcW w:w="3041" w:type="dxa"/>
            <w:gridSpan w:val="2"/>
          </w:tcPr>
          <w:p w14:paraId="24D3B1BC">
            <w:pPr>
              <w:pStyle w:val="17"/>
              <w:spacing w:before="12" w:line="204" w:lineRule="exact"/>
              <w:ind w:left="21"/>
              <w:rPr>
                <w:rFonts w:ascii="Times New Roman"/>
                <w:sz w:val="18"/>
              </w:rPr>
            </w:pPr>
            <w:r>
              <w:rPr>
                <w:rFonts w:ascii="Times New Roman"/>
                <w:w w:val="99"/>
                <w:sz w:val="18"/>
              </w:rPr>
              <w:t>/</w:t>
            </w:r>
          </w:p>
        </w:tc>
        <w:tc>
          <w:tcPr>
            <w:tcW w:w="1783" w:type="dxa"/>
          </w:tcPr>
          <w:p w14:paraId="54CFC9F9">
            <w:pPr>
              <w:pStyle w:val="17"/>
              <w:spacing w:before="12" w:line="204" w:lineRule="exact"/>
              <w:ind w:left="26"/>
              <w:rPr>
                <w:rFonts w:ascii="Times New Roman"/>
                <w:sz w:val="18"/>
              </w:rPr>
            </w:pPr>
            <w:r>
              <w:rPr>
                <w:rFonts w:ascii="Times New Roman"/>
                <w:w w:val="99"/>
                <w:sz w:val="18"/>
              </w:rPr>
              <w:t>/</w:t>
            </w:r>
          </w:p>
        </w:tc>
        <w:tc>
          <w:tcPr>
            <w:tcW w:w="1339" w:type="dxa"/>
          </w:tcPr>
          <w:p w14:paraId="6456386C">
            <w:pPr>
              <w:pStyle w:val="17"/>
              <w:spacing w:before="12" w:line="204" w:lineRule="exact"/>
              <w:ind w:left="113" w:right="87"/>
              <w:rPr>
                <w:rFonts w:ascii="Times New Roman"/>
                <w:sz w:val="18"/>
              </w:rPr>
            </w:pPr>
            <w:r>
              <w:rPr>
                <w:rFonts w:ascii="Times New Roman"/>
                <w:sz w:val="18"/>
              </w:rPr>
              <w:t>0.2</w:t>
            </w:r>
          </w:p>
        </w:tc>
        <w:tc>
          <w:tcPr>
            <w:tcW w:w="2520" w:type="dxa"/>
            <w:tcBorders>
              <w:top w:val="nil"/>
            </w:tcBorders>
          </w:tcPr>
          <w:p w14:paraId="6CE3EADC">
            <w:pPr>
              <w:pStyle w:val="17"/>
              <w:jc w:val="left"/>
              <w:rPr>
                <w:rFonts w:ascii="Times New Roman"/>
                <w:sz w:val="16"/>
              </w:rPr>
            </w:pPr>
          </w:p>
        </w:tc>
        <w:tc>
          <w:tcPr>
            <w:tcW w:w="1416" w:type="dxa"/>
            <w:tcBorders>
              <w:top w:val="nil"/>
            </w:tcBorders>
          </w:tcPr>
          <w:p w14:paraId="0454E3DD">
            <w:pPr>
              <w:pStyle w:val="17"/>
              <w:jc w:val="left"/>
              <w:rPr>
                <w:rFonts w:ascii="Times New Roman"/>
                <w:sz w:val="16"/>
              </w:rPr>
            </w:pPr>
          </w:p>
        </w:tc>
        <w:tc>
          <w:tcPr>
            <w:tcW w:w="1416" w:type="dxa"/>
          </w:tcPr>
          <w:p w14:paraId="5BEF9F88">
            <w:pPr>
              <w:pStyle w:val="17"/>
              <w:spacing w:before="13" w:line="204" w:lineRule="exact"/>
              <w:ind w:left="25"/>
              <w:rPr>
                <w:sz w:val="18"/>
              </w:rPr>
            </w:pPr>
            <w:r>
              <w:rPr>
                <w:w w:val="99"/>
                <w:sz w:val="18"/>
              </w:rPr>
              <w:t>/</w:t>
            </w:r>
          </w:p>
        </w:tc>
        <w:tc>
          <w:tcPr>
            <w:tcW w:w="1684" w:type="dxa"/>
            <w:gridSpan w:val="2"/>
          </w:tcPr>
          <w:p w14:paraId="5AED6A6C">
            <w:pPr>
              <w:pStyle w:val="17"/>
              <w:spacing w:before="12" w:line="204" w:lineRule="exact"/>
              <w:ind w:left="24"/>
              <w:rPr>
                <w:rFonts w:ascii="Times New Roman"/>
                <w:sz w:val="18"/>
              </w:rPr>
            </w:pPr>
            <w:r>
              <w:rPr>
                <w:rFonts w:ascii="Times New Roman"/>
                <w:w w:val="99"/>
                <w:sz w:val="18"/>
              </w:rPr>
              <w:t>/</w:t>
            </w:r>
          </w:p>
        </w:tc>
        <w:tc>
          <w:tcPr>
            <w:tcW w:w="1168" w:type="dxa"/>
          </w:tcPr>
          <w:p w14:paraId="031C5B1F">
            <w:pPr>
              <w:pStyle w:val="17"/>
              <w:spacing w:before="13" w:line="204" w:lineRule="exact"/>
              <w:ind w:right="472"/>
              <w:jc w:val="right"/>
              <w:rPr>
                <w:rFonts w:hint="eastAsia" w:ascii="黑体" w:eastAsia="黑体"/>
                <w:sz w:val="18"/>
              </w:rPr>
            </w:pPr>
            <w:r>
              <w:rPr>
                <w:rFonts w:hint="eastAsia" w:ascii="黑体" w:eastAsia="黑体"/>
                <w:w w:val="99"/>
                <w:sz w:val="18"/>
              </w:rPr>
              <w:t>是</w:t>
            </w:r>
          </w:p>
        </w:tc>
      </w:tr>
      <w:tr w14:paraId="70500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886" w:type="dxa"/>
            <w:vMerge w:val="continue"/>
            <w:tcBorders>
              <w:top w:val="nil"/>
              <w:bottom w:val="nil"/>
            </w:tcBorders>
            <w:shd w:val="clear" w:color="auto" w:fill="BEBEBE"/>
          </w:tcPr>
          <w:p w14:paraId="299B5674">
            <w:pPr>
              <w:rPr>
                <w:sz w:val="2"/>
                <w:szCs w:val="2"/>
              </w:rPr>
            </w:pPr>
          </w:p>
        </w:tc>
        <w:tc>
          <w:tcPr>
            <w:tcW w:w="749" w:type="dxa"/>
            <w:tcBorders>
              <w:bottom w:val="nil"/>
            </w:tcBorders>
            <w:shd w:val="clear" w:color="auto" w:fill="BEBEBE"/>
          </w:tcPr>
          <w:p w14:paraId="40DF305A">
            <w:pPr>
              <w:pStyle w:val="17"/>
              <w:jc w:val="left"/>
              <w:rPr>
                <w:rFonts w:ascii="Times New Roman"/>
                <w:sz w:val="16"/>
              </w:rPr>
            </w:pPr>
          </w:p>
        </w:tc>
        <w:tc>
          <w:tcPr>
            <w:tcW w:w="2242" w:type="dxa"/>
            <w:gridSpan w:val="2"/>
          </w:tcPr>
          <w:p w14:paraId="22D00B59">
            <w:pPr>
              <w:pStyle w:val="17"/>
              <w:spacing w:before="15" w:line="202" w:lineRule="exact"/>
              <w:ind w:left="25"/>
              <w:rPr>
                <w:sz w:val="18"/>
              </w:rPr>
            </w:pPr>
            <w:r>
              <w:rPr>
                <w:w w:val="99"/>
                <w:sz w:val="18"/>
              </w:rPr>
              <w:t>1</w:t>
            </w:r>
          </w:p>
        </w:tc>
        <w:tc>
          <w:tcPr>
            <w:tcW w:w="1219" w:type="dxa"/>
          </w:tcPr>
          <w:p w14:paraId="131646E1">
            <w:pPr>
              <w:pStyle w:val="17"/>
              <w:spacing w:before="15" w:line="202" w:lineRule="exact"/>
              <w:ind w:left="144" w:right="119"/>
              <w:rPr>
                <w:sz w:val="18"/>
              </w:rPr>
            </w:pPr>
            <w:r>
              <w:rPr>
                <w:sz w:val="18"/>
              </w:rPr>
              <w:t>废润滑油</w:t>
            </w:r>
          </w:p>
        </w:tc>
        <w:tc>
          <w:tcPr>
            <w:tcW w:w="3444" w:type="dxa"/>
            <w:gridSpan w:val="2"/>
          </w:tcPr>
          <w:p w14:paraId="2B813236">
            <w:pPr>
              <w:pStyle w:val="17"/>
              <w:spacing w:before="15" w:line="202" w:lineRule="exact"/>
              <w:ind w:left="1093"/>
              <w:jc w:val="left"/>
              <w:rPr>
                <w:sz w:val="18"/>
              </w:rPr>
            </w:pPr>
            <w:r>
              <w:rPr>
                <w:sz w:val="18"/>
              </w:rPr>
              <w:t>设备保养和维修</w:t>
            </w:r>
          </w:p>
        </w:tc>
        <w:tc>
          <w:tcPr>
            <w:tcW w:w="3041" w:type="dxa"/>
            <w:gridSpan w:val="2"/>
          </w:tcPr>
          <w:p w14:paraId="66625597">
            <w:pPr>
              <w:pStyle w:val="17"/>
              <w:spacing w:line="217" w:lineRule="exact"/>
              <w:ind w:left="1331" w:right="1305"/>
              <w:rPr>
                <w:rFonts w:ascii="Times New Roman" w:eastAsia="Times New Roman"/>
                <w:sz w:val="18"/>
              </w:rPr>
            </w:pPr>
            <w:r>
              <w:rPr>
                <w:rFonts w:ascii="Times New Roman" w:eastAsia="Times New Roman"/>
                <w:sz w:val="18"/>
              </w:rPr>
              <w:t>T</w:t>
            </w:r>
            <w:r>
              <w:rPr>
                <w:sz w:val="18"/>
              </w:rPr>
              <w:t>，</w:t>
            </w:r>
            <w:r>
              <w:rPr>
                <w:rFonts w:ascii="Times New Roman" w:eastAsia="Times New Roman"/>
                <w:sz w:val="18"/>
              </w:rPr>
              <w:t>I</w:t>
            </w:r>
          </w:p>
        </w:tc>
        <w:tc>
          <w:tcPr>
            <w:tcW w:w="1783" w:type="dxa"/>
          </w:tcPr>
          <w:p w14:paraId="7E171DE1">
            <w:pPr>
              <w:pStyle w:val="17"/>
              <w:spacing w:before="12" w:line="205" w:lineRule="exact"/>
              <w:ind w:left="132" w:right="108"/>
              <w:rPr>
                <w:rFonts w:ascii="Times New Roman"/>
                <w:sz w:val="18"/>
              </w:rPr>
            </w:pPr>
            <w:r>
              <w:rPr>
                <w:rFonts w:ascii="Times New Roman"/>
                <w:sz w:val="18"/>
              </w:rPr>
              <w:t>900-249-08</w:t>
            </w:r>
          </w:p>
        </w:tc>
        <w:tc>
          <w:tcPr>
            <w:tcW w:w="1339" w:type="dxa"/>
          </w:tcPr>
          <w:p w14:paraId="51CC3439">
            <w:pPr>
              <w:pStyle w:val="17"/>
              <w:spacing w:before="12" w:line="205" w:lineRule="exact"/>
              <w:ind w:left="113" w:right="87"/>
              <w:rPr>
                <w:rFonts w:ascii="Times New Roman"/>
                <w:sz w:val="18"/>
              </w:rPr>
            </w:pPr>
            <w:r>
              <w:rPr>
                <w:rFonts w:ascii="Times New Roman"/>
                <w:sz w:val="18"/>
              </w:rPr>
              <w:t>0.01</w:t>
            </w:r>
          </w:p>
        </w:tc>
        <w:tc>
          <w:tcPr>
            <w:tcW w:w="2520" w:type="dxa"/>
            <w:tcBorders>
              <w:bottom w:val="nil"/>
            </w:tcBorders>
          </w:tcPr>
          <w:p w14:paraId="329AA7ED">
            <w:pPr>
              <w:pStyle w:val="17"/>
              <w:jc w:val="left"/>
              <w:rPr>
                <w:rFonts w:ascii="Times New Roman"/>
                <w:sz w:val="16"/>
              </w:rPr>
            </w:pPr>
          </w:p>
        </w:tc>
        <w:tc>
          <w:tcPr>
            <w:tcW w:w="1416" w:type="dxa"/>
            <w:tcBorders>
              <w:bottom w:val="nil"/>
            </w:tcBorders>
          </w:tcPr>
          <w:p w14:paraId="31F88D6A">
            <w:pPr>
              <w:pStyle w:val="17"/>
              <w:spacing w:before="12" w:line="205" w:lineRule="exact"/>
              <w:ind w:left="36" w:right="13"/>
              <w:rPr>
                <w:rFonts w:ascii="Times New Roman"/>
                <w:sz w:val="18"/>
              </w:rPr>
            </w:pPr>
            <w:r>
              <w:rPr>
                <w:rFonts w:ascii="Times New Roman"/>
                <w:sz w:val="18"/>
              </w:rPr>
              <w:t>1t</w:t>
            </w:r>
          </w:p>
        </w:tc>
        <w:tc>
          <w:tcPr>
            <w:tcW w:w="1416" w:type="dxa"/>
          </w:tcPr>
          <w:p w14:paraId="59B8248D">
            <w:pPr>
              <w:pStyle w:val="17"/>
              <w:spacing w:before="15" w:line="202" w:lineRule="exact"/>
              <w:ind w:left="25"/>
              <w:rPr>
                <w:sz w:val="18"/>
              </w:rPr>
            </w:pPr>
            <w:r>
              <w:rPr>
                <w:w w:val="99"/>
                <w:sz w:val="18"/>
              </w:rPr>
              <w:t>/</w:t>
            </w:r>
          </w:p>
        </w:tc>
        <w:tc>
          <w:tcPr>
            <w:tcW w:w="1684" w:type="dxa"/>
            <w:gridSpan w:val="2"/>
          </w:tcPr>
          <w:p w14:paraId="37B73E15">
            <w:pPr>
              <w:pStyle w:val="17"/>
              <w:spacing w:before="12" w:line="205" w:lineRule="exact"/>
              <w:ind w:left="24"/>
              <w:rPr>
                <w:rFonts w:ascii="Times New Roman"/>
                <w:sz w:val="18"/>
              </w:rPr>
            </w:pPr>
            <w:r>
              <w:rPr>
                <w:rFonts w:ascii="Times New Roman"/>
                <w:w w:val="99"/>
                <w:sz w:val="18"/>
              </w:rPr>
              <w:t>/</w:t>
            </w:r>
          </w:p>
        </w:tc>
        <w:tc>
          <w:tcPr>
            <w:tcW w:w="1168" w:type="dxa"/>
          </w:tcPr>
          <w:p w14:paraId="730E65F1">
            <w:pPr>
              <w:pStyle w:val="17"/>
              <w:spacing w:before="15" w:line="202" w:lineRule="exact"/>
              <w:ind w:right="472"/>
              <w:jc w:val="right"/>
              <w:rPr>
                <w:rFonts w:hint="eastAsia" w:ascii="黑体" w:eastAsia="黑体"/>
                <w:sz w:val="18"/>
              </w:rPr>
            </w:pPr>
            <w:r>
              <w:rPr>
                <w:rFonts w:hint="eastAsia" w:ascii="黑体" w:eastAsia="黑体"/>
                <w:w w:val="99"/>
                <w:sz w:val="18"/>
              </w:rPr>
              <w:t>是</w:t>
            </w:r>
          </w:p>
        </w:tc>
      </w:tr>
      <w:tr w14:paraId="75E49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886" w:type="dxa"/>
            <w:tcBorders>
              <w:top w:val="nil"/>
              <w:bottom w:val="nil"/>
            </w:tcBorders>
            <w:shd w:val="clear" w:color="auto" w:fill="BEBEBE"/>
          </w:tcPr>
          <w:p w14:paraId="2C49D9C1">
            <w:pPr>
              <w:pStyle w:val="17"/>
              <w:jc w:val="left"/>
              <w:rPr>
                <w:rFonts w:ascii="Times New Roman"/>
                <w:sz w:val="16"/>
              </w:rPr>
            </w:pPr>
          </w:p>
        </w:tc>
        <w:tc>
          <w:tcPr>
            <w:tcW w:w="749" w:type="dxa"/>
            <w:tcBorders>
              <w:top w:val="nil"/>
              <w:bottom w:val="nil"/>
            </w:tcBorders>
            <w:shd w:val="clear" w:color="auto" w:fill="BEBEBE"/>
          </w:tcPr>
          <w:p w14:paraId="67BBA7B4">
            <w:pPr>
              <w:pStyle w:val="17"/>
              <w:spacing w:before="10"/>
              <w:jc w:val="left"/>
              <w:rPr>
                <w:rFonts w:ascii="Times New Roman"/>
                <w:sz w:val="20"/>
              </w:rPr>
            </w:pPr>
          </w:p>
          <w:p w14:paraId="3B4C45B0">
            <w:pPr>
              <w:pStyle w:val="17"/>
              <w:spacing w:line="178" w:lineRule="exact"/>
              <w:ind w:left="18" w:right="-15"/>
              <w:rPr>
                <w:sz w:val="18"/>
              </w:rPr>
            </w:pPr>
            <w:r>
              <w:rPr>
                <w:sz w:val="18"/>
              </w:rPr>
              <w:t>危险废物</w:t>
            </w:r>
          </w:p>
        </w:tc>
        <w:tc>
          <w:tcPr>
            <w:tcW w:w="2242" w:type="dxa"/>
            <w:gridSpan w:val="2"/>
          </w:tcPr>
          <w:p w14:paraId="2F2D65D3">
            <w:pPr>
              <w:pStyle w:val="17"/>
              <w:spacing w:before="115"/>
              <w:ind w:left="25"/>
              <w:rPr>
                <w:sz w:val="18"/>
              </w:rPr>
            </w:pPr>
            <w:r>
              <w:rPr>
                <w:w w:val="99"/>
                <w:sz w:val="18"/>
              </w:rPr>
              <w:t>2</w:t>
            </w:r>
          </w:p>
        </w:tc>
        <w:tc>
          <w:tcPr>
            <w:tcW w:w="1219" w:type="dxa"/>
          </w:tcPr>
          <w:p w14:paraId="48CAA675">
            <w:pPr>
              <w:pStyle w:val="17"/>
              <w:spacing w:before="7" w:line="222" w:lineRule="exact"/>
              <w:ind w:left="524" w:right="45" w:hanging="454"/>
              <w:jc w:val="left"/>
              <w:rPr>
                <w:sz w:val="18"/>
              </w:rPr>
            </w:pPr>
            <w:r>
              <w:rPr>
                <w:sz w:val="18"/>
              </w:rPr>
              <w:t>含油废抹布手套</w:t>
            </w:r>
          </w:p>
        </w:tc>
        <w:tc>
          <w:tcPr>
            <w:tcW w:w="3444" w:type="dxa"/>
            <w:gridSpan w:val="2"/>
          </w:tcPr>
          <w:p w14:paraId="3E3393C0">
            <w:pPr>
              <w:pStyle w:val="17"/>
              <w:spacing w:before="115"/>
              <w:ind w:left="1093"/>
              <w:jc w:val="left"/>
              <w:rPr>
                <w:sz w:val="18"/>
              </w:rPr>
            </w:pPr>
            <w:r>
              <w:rPr>
                <w:sz w:val="18"/>
              </w:rPr>
              <w:t>设备保养和维修</w:t>
            </w:r>
          </w:p>
        </w:tc>
        <w:tc>
          <w:tcPr>
            <w:tcW w:w="3041" w:type="dxa"/>
            <w:gridSpan w:val="2"/>
          </w:tcPr>
          <w:p w14:paraId="5533819C">
            <w:pPr>
              <w:pStyle w:val="17"/>
              <w:spacing w:before="113"/>
              <w:ind w:left="1328" w:right="1305"/>
              <w:rPr>
                <w:rFonts w:ascii="Times New Roman"/>
                <w:sz w:val="18"/>
              </w:rPr>
            </w:pPr>
            <w:r>
              <w:rPr>
                <w:rFonts w:ascii="Times New Roman"/>
                <w:sz w:val="18"/>
              </w:rPr>
              <w:t>T/In</w:t>
            </w:r>
          </w:p>
        </w:tc>
        <w:tc>
          <w:tcPr>
            <w:tcW w:w="1783" w:type="dxa"/>
          </w:tcPr>
          <w:p w14:paraId="406C0698">
            <w:pPr>
              <w:pStyle w:val="17"/>
              <w:spacing w:before="113"/>
              <w:ind w:left="132" w:right="108"/>
              <w:rPr>
                <w:rFonts w:ascii="Times New Roman"/>
                <w:sz w:val="18"/>
              </w:rPr>
            </w:pPr>
            <w:r>
              <w:rPr>
                <w:rFonts w:ascii="Times New Roman"/>
                <w:sz w:val="18"/>
              </w:rPr>
              <w:t>900-041-49</w:t>
            </w:r>
          </w:p>
        </w:tc>
        <w:tc>
          <w:tcPr>
            <w:tcW w:w="1339" w:type="dxa"/>
          </w:tcPr>
          <w:p w14:paraId="3E20278B">
            <w:pPr>
              <w:pStyle w:val="17"/>
              <w:spacing w:before="113"/>
              <w:ind w:left="113" w:right="87"/>
              <w:rPr>
                <w:rFonts w:ascii="Times New Roman"/>
                <w:sz w:val="18"/>
              </w:rPr>
            </w:pPr>
            <w:r>
              <w:rPr>
                <w:rFonts w:ascii="Times New Roman"/>
                <w:sz w:val="18"/>
              </w:rPr>
              <w:t>0.01</w:t>
            </w:r>
          </w:p>
        </w:tc>
        <w:tc>
          <w:tcPr>
            <w:tcW w:w="2520" w:type="dxa"/>
            <w:tcBorders>
              <w:top w:val="nil"/>
              <w:bottom w:val="nil"/>
            </w:tcBorders>
          </w:tcPr>
          <w:p w14:paraId="2F434CDC">
            <w:pPr>
              <w:pStyle w:val="17"/>
              <w:spacing w:before="10"/>
              <w:jc w:val="left"/>
              <w:rPr>
                <w:rFonts w:ascii="Times New Roman"/>
                <w:sz w:val="20"/>
              </w:rPr>
            </w:pPr>
          </w:p>
          <w:p w14:paraId="396DA79F">
            <w:pPr>
              <w:pStyle w:val="17"/>
              <w:spacing w:line="178" w:lineRule="exact"/>
              <w:ind w:left="795" w:right="770"/>
              <w:rPr>
                <w:sz w:val="18"/>
              </w:rPr>
            </w:pPr>
            <w:r>
              <w:rPr>
                <w:sz w:val="18"/>
              </w:rPr>
              <w:t>危废暂存间</w:t>
            </w:r>
          </w:p>
        </w:tc>
        <w:tc>
          <w:tcPr>
            <w:tcW w:w="1416" w:type="dxa"/>
            <w:tcBorders>
              <w:top w:val="nil"/>
              <w:bottom w:val="nil"/>
            </w:tcBorders>
          </w:tcPr>
          <w:p w14:paraId="7F87FF68">
            <w:pPr>
              <w:pStyle w:val="17"/>
              <w:spacing w:before="113"/>
              <w:ind w:left="36" w:right="13"/>
              <w:rPr>
                <w:rFonts w:ascii="Times New Roman"/>
                <w:sz w:val="18"/>
              </w:rPr>
            </w:pPr>
            <w:r>
              <w:rPr>
                <w:rFonts w:ascii="Times New Roman"/>
                <w:sz w:val="18"/>
              </w:rPr>
              <w:t>1t</w:t>
            </w:r>
          </w:p>
        </w:tc>
        <w:tc>
          <w:tcPr>
            <w:tcW w:w="1416" w:type="dxa"/>
          </w:tcPr>
          <w:p w14:paraId="01ED40B4">
            <w:pPr>
              <w:pStyle w:val="17"/>
              <w:spacing w:before="115"/>
              <w:ind w:left="25"/>
              <w:rPr>
                <w:sz w:val="18"/>
              </w:rPr>
            </w:pPr>
            <w:r>
              <w:rPr>
                <w:w w:val="99"/>
                <w:sz w:val="18"/>
              </w:rPr>
              <w:t>/</w:t>
            </w:r>
          </w:p>
        </w:tc>
        <w:tc>
          <w:tcPr>
            <w:tcW w:w="1684" w:type="dxa"/>
            <w:gridSpan w:val="2"/>
          </w:tcPr>
          <w:p w14:paraId="6393DAEA">
            <w:pPr>
              <w:pStyle w:val="17"/>
              <w:spacing w:before="113"/>
              <w:ind w:left="24"/>
              <w:rPr>
                <w:rFonts w:ascii="Times New Roman"/>
                <w:sz w:val="18"/>
              </w:rPr>
            </w:pPr>
            <w:r>
              <w:rPr>
                <w:rFonts w:ascii="Times New Roman"/>
                <w:w w:val="99"/>
                <w:sz w:val="18"/>
              </w:rPr>
              <w:t>/</w:t>
            </w:r>
          </w:p>
        </w:tc>
        <w:tc>
          <w:tcPr>
            <w:tcW w:w="1168" w:type="dxa"/>
          </w:tcPr>
          <w:p w14:paraId="21238BB4">
            <w:pPr>
              <w:pStyle w:val="17"/>
              <w:spacing w:before="115"/>
              <w:ind w:right="472"/>
              <w:jc w:val="right"/>
              <w:rPr>
                <w:rFonts w:hint="eastAsia" w:ascii="黑体" w:eastAsia="黑体"/>
                <w:sz w:val="18"/>
              </w:rPr>
            </w:pPr>
            <w:r>
              <w:rPr>
                <w:rFonts w:hint="eastAsia" w:ascii="黑体" w:eastAsia="黑体"/>
                <w:w w:val="99"/>
                <w:sz w:val="18"/>
              </w:rPr>
              <w:t>是</w:t>
            </w:r>
          </w:p>
        </w:tc>
      </w:tr>
      <w:tr w14:paraId="220AE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trPr>
        <w:tc>
          <w:tcPr>
            <w:tcW w:w="886" w:type="dxa"/>
            <w:tcBorders>
              <w:top w:val="nil"/>
              <w:bottom w:val="nil"/>
            </w:tcBorders>
            <w:shd w:val="clear" w:color="auto" w:fill="BEBEBE"/>
          </w:tcPr>
          <w:p w14:paraId="411A380B">
            <w:pPr>
              <w:pStyle w:val="17"/>
              <w:jc w:val="left"/>
              <w:rPr>
                <w:rFonts w:ascii="Times New Roman"/>
                <w:sz w:val="16"/>
              </w:rPr>
            </w:pPr>
          </w:p>
        </w:tc>
        <w:tc>
          <w:tcPr>
            <w:tcW w:w="749" w:type="dxa"/>
            <w:tcBorders>
              <w:top w:val="nil"/>
              <w:bottom w:val="nil"/>
            </w:tcBorders>
            <w:shd w:val="clear" w:color="auto" w:fill="BEBEBE"/>
          </w:tcPr>
          <w:p w14:paraId="67F1F63C">
            <w:pPr>
              <w:pStyle w:val="17"/>
              <w:jc w:val="left"/>
              <w:rPr>
                <w:rFonts w:ascii="Times New Roman"/>
                <w:sz w:val="16"/>
              </w:rPr>
            </w:pPr>
          </w:p>
        </w:tc>
        <w:tc>
          <w:tcPr>
            <w:tcW w:w="2242" w:type="dxa"/>
            <w:gridSpan w:val="2"/>
          </w:tcPr>
          <w:p w14:paraId="332BCC86">
            <w:pPr>
              <w:pStyle w:val="17"/>
              <w:spacing w:before="2" w:line="202" w:lineRule="exact"/>
              <w:ind w:left="25"/>
              <w:rPr>
                <w:sz w:val="18"/>
              </w:rPr>
            </w:pPr>
            <w:r>
              <w:rPr>
                <w:w w:val="99"/>
                <w:sz w:val="18"/>
              </w:rPr>
              <w:t>3</w:t>
            </w:r>
          </w:p>
        </w:tc>
        <w:tc>
          <w:tcPr>
            <w:tcW w:w="1219" w:type="dxa"/>
          </w:tcPr>
          <w:p w14:paraId="2C6405F9">
            <w:pPr>
              <w:pStyle w:val="17"/>
              <w:spacing w:before="2" w:line="202" w:lineRule="exact"/>
              <w:ind w:left="144" w:right="119"/>
              <w:rPr>
                <w:sz w:val="18"/>
              </w:rPr>
            </w:pPr>
            <w:r>
              <w:rPr>
                <w:sz w:val="18"/>
              </w:rPr>
              <w:t>废过滤棉</w:t>
            </w:r>
          </w:p>
        </w:tc>
        <w:tc>
          <w:tcPr>
            <w:tcW w:w="3444" w:type="dxa"/>
            <w:gridSpan w:val="2"/>
          </w:tcPr>
          <w:p w14:paraId="02A82DA1">
            <w:pPr>
              <w:pStyle w:val="17"/>
              <w:spacing w:before="2" w:line="202" w:lineRule="exact"/>
              <w:ind w:left="1165" w:right="1142"/>
              <w:rPr>
                <w:sz w:val="18"/>
              </w:rPr>
            </w:pPr>
            <w:r>
              <w:rPr>
                <w:sz w:val="18"/>
              </w:rPr>
              <w:t>废气处理</w:t>
            </w:r>
          </w:p>
        </w:tc>
        <w:tc>
          <w:tcPr>
            <w:tcW w:w="3041" w:type="dxa"/>
            <w:gridSpan w:val="2"/>
          </w:tcPr>
          <w:p w14:paraId="002C9AF3">
            <w:pPr>
              <w:pStyle w:val="17"/>
              <w:spacing w:line="204" w:lineRule="exact"/>
              <w:ind w:left="1328" w:right="1305"/>
              <w:rPr>
                <w:rFonts w:ascii="Times New Roman"/>
                <w:sz w:val="18"/>
              </w:rPr>
            </w:pPr>
            <w:r>
              <w:rPr>
                <w:rFonts w:ascii="Times New Roman"/>
                <w:sz w:val="18"/>
              </w:rPr>
              <w:t>T/In</w:t>
            </w:r>
          </w:p>
        </w:tc>
        <w:tc>
          <w:tcPr>
            <w:tcW w:w="1783" w:type="dxa"/>
          </w:tcPr>
          <w:p w14:paraId="02A87EF8">
            <w:pPr>
              <w:pStyle w:val="17"/>
              <w:spacing w:line="204" w:lineRule="exact"/>
              <w:ind w:left="132" w:right="108"/>
              <w:rPr>
                <w:rFonts w:ascii="Times New Roman"/>
                <w:sz w:val="18"/>
              </w:rPr>
            </w:pPr>
            <w:r>
              <w:rPr>
                <w:rFonts w:ascii="Times New Roman"/>
                <w:sz w:val="18"/>
              </w:rPr>
              <w:t>900-041-49</w:t>
            </w:r>
          </w:p>
        </w:tc>
        <w:tc>
          <w:tcPr>
            <w:tcW w:w="1339" w:type="dxa"/>
          </w:tcPr>
          <w:p w14:paraId="6D650421">
            <w:pPr>
              <w:pStyle w:val="17"/>
              <w:spacing w:line="204" w:lineRule="exact"/>
              <w:ind w:left="113" w:right="87"/>
              <w:rPr>
                <w:rFonts w:ascii="Times New Roman"/>
                <w:sz w:val="18"/>
              </w:rPr>
            </w:pPr>
            <w:r>
              <w:rPr>
                <w:rFonts w:ascii="Times New Roman"/>
                <w:sz w:val="18"/>
              </w:rPr>
              <w:t>0.06</w:t>
            </w:r>
          </w:p>
        </w:tc>
        <w:tc>
          <w:tcPr>
            <w:tcW w:w="2520" w:type="dxa"/>
            <w:tcBorders>
              <w:top w:val="nil"/>
              <w:bottom w:val="nil"/>
            </w:tcBorders>
          </w:tcPr>
          <w:p w14:paraId="3E9618F7">
            <w:pPr>
              <w:pStyle w:val="17"/>
              <w:jc w:val="left"/>
              <w:rPr>
                <w:rFonts w:ascii="Times New Roman"/>
                <w:sz w:val="16"/>
              </w:rPr>
            </w:pPr>
          </w:p>
        </w:tc>
        <w:tc>
          <w:tcPr>
            <w:tcW w:w="1416" w:type="dxa"/>
            <w:tcBorders>
              <w:top w:val="nil"/>
              <w:bottom w:val="nil"/>
            </w:tcBorders>
          </w:tcPr>
          <w:p w14:paraId="44A25A54">
            <w:pPr>
              <w:pStyle w:val="17"/>
              <w:spacing w:line="204" w:lineRule="exact"/>
              <w:ind w:left="36" w:right="13"/>
              <w:rPr>
                <w:rFonts w:ascii="Times New Roman"/>
                <w:sz w:val="18"/>
              </w:rPr>
            </w:pPr>
            <w:r>
              <w:rPr>
                <w:rFonts w:ascii="Times New Roman"/>
                <w:sz w:val="18"/>
              </w:rPr>
              <w:t>1t</w:t>
            </w:r>
          </w:p>
        </w:tc>
        <w:tc>
          <w:tcPr>
            <w:tcW w:w="1416" w:type="dxa"/>
          </w:tcPr>
          <w:p w14:paraId="00256DC8">
            <w:pPr>
              <w:pStyle w:val="17"/>
              <w:spacing w:before="2" w:line="202" w:lineRule="exact"/>
              <w:ind w:left="25"/>
              <w:rPr>
                <w:sz w:val="18"/>
              </w:rPr>
            </w:pPr>
            <w:r>
              <w:rPr>
                <w:w w:val="99"/>
                <w:sz w:val="18"/>
              </w:rPr>
              <w:t>/</w:t>
            </w:r>
          </w:p>
        </w:tc>
        <w:tc>
          <w:tcPr>
            <w:tcW w:w="1684" w:type="dxa"/>
            <w:gridSpan w:val="2"/>
          </w:tcPr>
          <w:p w14:paraId="332441E2">
            <w:pPr>
              <w:pStyle w:val="17"/>
              <w:spacing w:line="204" w:lineRule="exact"/>
              <w:ind w:left="24"/>
              <w:rPr>
                <w:rFonts w:ascii="Times New Roman"/>
                <w:sz w:val="18"/>
              </w:rPr>
            </w:pPr>
            <w:r>
              <w:rPr>
                <w:rFonts w:ascii="Times New Roman"/>
                <w:w w:val="99"/>
                <w:sz w:val="18"/>
              </w:rPr>
              <w:t>/</w:t>
            </w:r>
          </w:p>
        </w:tc>
        <w:tc>
          <w:tcPr>
            <w:tcW w:w="1168" w:type="dxa"/>
          </w:tcPr>
          <w:p w14:paraId="56AA1F65">
            <w:pPr>
              <w:pStyle w:val="17"/>
              <w:spacing w:before="2" w:line="202" w:lineRule="exact"/>
              <w:ind w:right="472"/>
              <w:jc w:val="right"/>
              <w:rPr>
                <w:rFonts w:hint="eastAsia" w:ascii="黑体" w:eastAsia="黑体"/>
                <w:sz w:val="18"/>
              </w:rPr>
            </w:pPr>
            <w:r>
              <w:rPr>
                <w:rFonts w:hint="eastAsia" w:ascii="黑体" w:eastAsia="黑体"/>
                <w:w w:val="99"/>
                <w:sz w:val="18"/>
              </w:rPr>
              <w:t>是</w:t>
            </w:r>
          </w:p>
        </w:tc>
      </w:tr>
      <w:tr w14:paraId="0AA69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886" w:type="dxa"/>
            <w:tcBorders>
              <w:top w:val="nil"/>
            </w:tcBorders>
            <w:shd w:val="clear" w:color="auto" w:fill="BEBEBE"/>
          </w:tcPr>
          <w:p w14:paraId="440A53AC">
            <w:pPr>
              <w:pStyle w:val="17"/>
              <w:jc w:val="left"/>
              <w:rPr>
                <w:rFonts w:ascii="Times New Roman"/>
                <w:sz w:val="16"/>
              </w:rPr>
            </w:pPr>
          </w:p>
        </w:tc>
        <w:tc>
          <w:tcPr>
            <w:tcW w:w="749" w:type="dxa"/>
            <w:tcBorders>
              <w:top w:val="nil"/>
            </w:tcBorders>
            <w:shd w:val="clear" w:color="auto" w:fill="BEBEBE"/>
          </w:tcPr>
          <w:p w14:paraId="5E38CBA9">
            <w:pPr>
              <w:pStyle w:val="17"/>
              <w:jc w:val="left"/>
              <w:rPr>
                <w:rFonts w:ascii="Times New Roman"/>
                <w:sz w:val="16"/>
              </w:rPr>
            </w:pPr>
          </w:p>
        </w:tc>
        <w:tc>
          <w:tcPr>
            <w:tcW w:w="2242" w:type="dxa"/>
            <w:gridSpan w:val="2"/>
          </w:tcPr>
          <w:p w14:paraId="455C6A38">
            <w:pPr>
              <w:pStyle w:val="17"/>
              <w:spacing w:before="15" w:line="202" w:lineRule="exact"/>
              <w:ind w:left="25"/>
              <w:rPr>
                <w:sz w:val="18"/>
              </w:rPr>
            </w:pPr>
            <w:r>
              <w:rPr>
                <w:w w:val="99"/>
                <w:sz w:val="18"/>
              </w:rPr>
              <w:t>4</w:t>
            </w:r>
          </w:p>
        </w:tc>
        <w:tc>
          <w:tcPr>
            <w:tcW w:w="1219" w:type="dxa"/>
          </w:tcPr>
          <w:p w14:paraId="442EAE8D">
            <w:pPr>
              <w:pStyle w:val="17"/>
              <w:spacing w:before="15" w:line="202" w:lineRule="exact"/>
              <w:ind w:left="144" w:right="119"/>
              <w:rPr>
                <w:sz w:val="18"/>
              </w:rPr>
            </w:pPr>
            <w:r>
              <w:rPr>
                <w:sz w:val="18"/>
              </w:rPr>
              <w:t>废活性炭</w:t>
            </w:r>
          </w:p>
        </w:tc>
        <w:tc>
          <w:tcPr>
            <w:tcW w:w="3444" w:type="dxa"/>
            <w:gridSpan w:val="2"/>
          </w:tcPr>
          <w:p w14:paraId="19A10CAF">
            <w:pPr>
              <w:pStyle w:val="17"/>
              <w:spacing w:before="15" w:line="202" w:lineRule="exact"/>
              <w:ind w:left="1165" w:right="1142"/>
              <w:rPr>
                <w:sz w:val="18"/>
              </w:rPr>
            </w:pPr>
            <w:r>
              <w:rPr>
                <w:sz w:val="18"/>
              </w:rPr>
              <w:t>废气处理</w:t>
            </w:r>
          </w:p>
        </w:tc>
        <w:tc>
          <w:tcPr>
            <w:tcW w:w="3041" w:type="dxa"/>
            <w:gridSpan w:val="2"/>
          </w:tcPr>
          <w:p w14:paraId="2F5A4DF6">
            <w:pPr>
              <w:pStyle w:val="17"/>
              <w:spacing w:before="12" w:line="205" w:lineRule="exact"/>
              <w:ind w:left="19"/>
              <w:rPr>
                <w:rFonts w:ascii="Times New Roman"/>
                <w:sz w:val="18"/>
              </w:rPr>
            </w:pPr>
            <w:r>
              <w:rPr>
                <w:rFonts w:ascii="Times New Roman"/>
                <w:w w:val="99"/>
                <w:sz w:val="18"/>
              </w:rPr>
              <w:t>T</w:t>
            </w:r>
          </w:p>
        </w:tc>
        <w:tc>
          <w:tcPr>
            <w:tcW w:w="1783" w:type="dxa"/>
          </w:tcPr>
          <w:p w14:paraId="386759B5">
            <w:pPr>
              <w:pStyle w:val="17"/>
              <w:spacing w:before="12" w:line="205" w:lineRule="exact"/>
              <w:ind w:left="132" w:right="108"/>
              <w:rPr>
                <w:rFonts w:ascii="Times New Roman"/>
                <w:sz w:val="18"/>
              </w:rPr>
            </w:pPr>
            <w:r>
              <w:rPr>
                <w:rFonts w:ascii="Times New Roman"/>
                <w:sz w:val="18"/>
              </w:rPr>
              <w:t>900-039-49</w:t>
            </w:r>
          </w:p>
        </w:tc>
        <w:tc>
          <w:tcPr>
            <w:tcW w:w="1339" w:type="dxa"/>
          </w:tcPr>
          <w:p w14:paraId="30EDEB1F">
            <w:pPr>
              <w:pStyle w:val="17"/>
              <w:spacing w:before="12" w:line="205" w:lineRule="exact"/>
              <w:ind w:left="113" w:right="89"/>
              <w:rPr>
                <w:rFonts w:ascii="Times New Roman"/>
                <w:sz w:val="18"/>
              </w:rPr>
            </w:pPr>
            <w:r>
              <w:rPr>
                <w:rFonts w:ascii="Times New Roman"/>
                <w:sz w:val="18"/>
              </w:rPr>
              <w:t>59.306</w:t>
            </w:r>
          </w:p>
        </w:tc>
        <w:tc>
          <w:tcPr>
            <w:tcW w:w="2520" w:type="dxa"/>
            <w:tcBorders>
              <w:top w:val="nil"/>
            </w:tcBorders>
          </w:tcPr>
          <w:p w14:paraId="4DCD3D06">
            <w:pPr>
              <w:pStyle w:val="17"/>
              <w:jc w:val="left"/>
              <w:rPr>
                <w:rFonts w:ascii="Times New Roman"/>
                <w:sz w:val="16"/>
              </w:rPr>
            </w:pPr>
          </w:p>
        </w:tc>
        <w:tc>
          <w:tcPr>
            <w:tcW w:w="1416" w:type="dxa"/>
            <w:tcBorders>
              <w:top w:val="nil"/>
            </w:tcBorders>
          </w:tcPr>
          <w:p w14:paraId="0EF378DD">
            <w:pPr>
              <w:pStyle w:val="17"/>
              <w:spacing w:before="12" w:line="205" w:lineRule="exact"/>
              <w:ind w:left="36" w:right="13"/>
              <w:rPr>
                <w:rFonts w:ascii="Times New Roman"/>
                <w:sz w:val="18"/>
              </w:rPr>
            </w:pPr>
            <w:r>
              <w:rPr>
                <w:rFonts w:ascii="Times New Roman"/>
                <w:sz w:val="18"/>
              </w:rPr>
              <w:t>17t</w:t>
            </w:r>
          </w:p>
        </w:tc>
        <w:tc>
          <w:tcPr>
            <w:tcW w:w="1416" w:type="dxa"/>
          </w:tcPr>
          <w:p w14:paraId="76E5D312">
            <w:pPr>
              <w:pStyle w:val="17"/>
              <w:spacing w:before="15" w:line="202" w:lineRule="exact"/>
              <w:ind w:left="25"/>
              <w:rPr>
                <w:sz w:val="18"/>
              </w:rPr>
            </w:pPr>
            <w:r>
              <w:rPr>
                <w:w w:val="99"/>
                <w:sz w:val="18"/>
              </w:rPr>
              <w:t>/</w:t>
            </w:r>
          </w:p>
        </w:tc>
        <w:tc>
          <w:tcPr>
            <w:tcW w:w="1684" w:type="dxa"/>
            <w:gridSpan w:val="2"/>
          </w:tcPr>
          <w:p w14:paraId="49F44B5A">
            <w:pPr>
              <w:pStyle w:val="17"/>
              <w:spacing w:before="12" w:line="205" w:lineRule="exact"/>
              <w:ind w:left="24"/>
              <w:rPr>
                <w:rFonts w:ascii="Times New Roman"/>
                <w:sz w:val="18"/>
              </w:rPr>
            </w:pPr>
            <w:r>
              <w:rPr>
                <w:rFonts w:ascii="Times New Roman"/>
                <w:w w:val="99"/>
                <w:sz w:val="18"/>
              </w:rPr>
              <w:t>/</w:t>
            </w:r>
          </w:p>
        </w:tc>
        <w:tc>
          <w:tcPr>
            <w:tcW w:w="1168" w:type="dxa"/>
          </w:tcPr>
          <w:p w14:paraId="6CE955ED">
            <w:pPr>
              <w:pStyle w:val="17"/>
              <w:spacing w:before="15" w:line="202" w:lineRule="exact"/>
              <w:ind w:right="472"/>
              <w:jc w:val="right"/>
              <w:rPr>
                <w:rFonts w:hint="eastAsia" w:ascii="黑体" w:eastAsia="黑体"/>
                <w:sz w:val="18"/>
              </w:rPr>
            </w:pPr>
            <w:r>
              <w:rPr>
                <w:rFonts w:hint="eastAsia" w:ascii="黑体" w:eastAsia="黑体"/>
                <w:w w:val="99"/>
                <w:sz w:val="18"/>
              </w:rPr>
              <w:t>是</w:t>
            </w:r>
          </w:p>
        </w:tc>
      </w:tr>
    </w:tbl>
    <w:p w14:paraId="00306AD8"/>
    <w:sectPr>
      <w:footerReference r:id="rId50" w:type="default"/>
      <w:pgSz w:w="23820" w:h="16840" w:orient="landscape"/>
      <w:pgMar w:top="1060" w:right="420" w:bottom="280" w:left="2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85290">
    <w:pPr>
      <w:pStyle w:val="10"/>
      <w:spacing w:line="14" w:lineRule="auto"/>
      <w:rPr>
        <w:sz w:val="15"/>
      </w:rPr>
    </w:pPr>
    <w:r>
      <w:pict>
        <v:shape id="_x0000_s2049" o:spid="_x0000_s2049" o:spt="202" type="#_x0000_t202" style="position:absolute;left:0pt;margin-left:292.95pt;margin-top:779.65pt;height:13.6pt;width:9.2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952F3E9">
                <w:pPr>
                  <w:spacing w:before="10"/>
                  <w:ind w:left="40" w:right="0" w:firstLine="0"/>
                  <w:jc w:val="left"/>
                  <w:rPr>
                    <w:rFonts w:ascii="Times New Roman"/>
                    <w:sz w:val="21"/>
                  </w:rPr>
                </w:pPr>
                <w:r>
                  <w:fldChar w:fldCharType="begin"/>
                </w:r>
                <w:r>
                  <w:rPr>
                    <w:rFonts w:ascii="Times New Roman"/>
                    <w:w w:val="99"/>
                    <w:sz w:val="21"/>
                  </w:rPr>
                  <w:instrText xml:space="preserve"> PAGE </w:instrText>
                </w:r>
                <w:r>
                  <w:fldChar w:fldCharType="separate"/>
                </w:r>
                <w:r>
                  <w:t>7</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90AEF">
    <w:pPr>
      <w:pStyle w:val="10"/>
      <w:spacing w:line="14" w:lineRule="auto"/>
      <w:rPr>
        <w:sz w:val="20"/>
      </w:rPr>
    </w:pPr>
    <w:r>
      <w:pict>
        <v:shape id="_x0000_s2055" o:spid="_x0000_s2055"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7831B3E">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59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FFBA7">
    <w:pPr>
      <w:pStyle w:val="10"/>
      <w:spacing w:line="14" w:lineRule="auto"/>
      <w:rPr>
        <w:sz w:val="20"/>
      </w:rPr>
    </w:pPr>
    <w:r>
      <w:pict>
        <v:shape id="_x0000_s2056" o:spid="_x0000_s2056"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B284F18">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60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EF757">
    <w:pPr>
      <w:pStyle w:val="10"/>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16B5E">
    <w:pPr>
      <w:pStyle w:val="10"/>
      <w:spacing w:line="14" w:lineRule="auto"/>
      <w:rPr>
        <w:sz w:val="20"/>
      </w:rPr>
    </w:pPr>
    <w:r>
      <w:pict>
        <v:shape id="_x0000_s2057" o:spid="_x0000_s2057" o:spt="202" type="#_x0000_t202" style="position:absolute;left:0pt;margin-left:299.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86881A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63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D2DE5">
    <w:pPr>
      <w:pStyle w:val="10"/>
      <w:spacing w:line="14" w:lineRule="auto"/>
      <w:rPr>
        <w:sz w:val="20"/>
      </w:rPr>
    </w:pPr>
    <w:r>
      <w:pict>
        <v:shape id="_x0000_s2058" o:spid="_x0000_s2058" o:spt="202" type="#_x0000_t202" style="position:absolute;left:0pt;margin-left:299.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990A8B9">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70</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38B5">
    <w:pPr>
      <w:pStyle w:val="10"/>
      <w:spacing w:line="14" w:lineRule="auto"/>
      <w:rPr>
        <w:sz w:val="20"/>
      </w:rPr>
    </w:pPr>
    <w:r>
      <w:pict>
        <v:shape id="_x0000_s2059" o:spid="_x0000_s2059" o:spt="202" type="#_x0000_t202" style="position:absolute;left:0pt;margin-left:299.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D116896">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8815D">
    <w:pPr>
      <w:pStyle w:val="10"/>
      <w:spacing w:line="14" w:lineRule="auto"/>
      <w:rPr>
        <w:sz w:val="20"/>
      </w:rPr>
    </w:pPr>
    <w:r>
      <w:pict>
        <v:shape id="_x0000_s2060" o:spid="_x0000_s2060" o:spt="202" type="#_x0000_t202" style="position:absolute;left:0pt;margin-left:422.65pt;margin-top:533.0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8F6F26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84</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88791">
    <w:pPr>
      <w:pStyle w:val="10"/>
      <w:spacing w:line="14" w:lineRule="auto"/>
      <w:rPr>
        <w:sz w:val="20"/>
      </w:rPr>
    </w:pPr>
    <w:r>
      <w:pict>
        <v:shape id="_x0000_s2061" o:spid="_x0000_s2061" o:spt="202" type="#_x0000_t202" style="position:absolute;left:0pt;margin-left:299.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1B5BB2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86</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2DD88">
    <w:pPr>
      <w:pStyle w:val="10"/>
      <w:spacing w:line="14" w:lineRule="auto"/>
      <w:rPr>
        <w:sz w:val="20"/>
      </w:rPr>
    </w:pPr>
    <w:r>
      <w:pict>
        <v:shape id="_x0000_s2062" o:spid="_x0000_s2062" o:spt="202" type="#_x0000_t202" style="position:absolute;left:0pt;margin-left:299.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DFA4F98">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90</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38CFF">
    <w:pPr>
      <w:pStyle w:val="1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5B53">
    <w:pPr>
      <w:pStyle w:val="10"/>
      <w:spacing w:line="14" w:lineRule="auto"/>
      <w:rPr>
        <w:sz w:val="20"/>
      </w:rPr>
    </w:pPr>
    <w:r>
      <w:pict>
        <v:shape id="_x0000_s2050" o:spid="_x0000_s2050"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7DFEC32">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F3B3">
    <w:pPr>
      <w:pStyle w:val="10"/>
      <w:spacing w:line="14" w:lineRule="auto"/>
      <w:rPr>
        <w:sz w:val="20"/>
      </w:rPr>
    </w:pPr>
    <w:r>
      <w:pict>
        <v:shape id="_x0000_s2063" o:spid="_x0000_s2063" o:spt="202" type="#_x0000_t202" style="position:absolute;left:0pt;margin-left:299.4pt;margin-top:779.65pt;height:13.6pt;width:14.5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B8B689B">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94</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62C95">
    <w:pPr>
      <w:pStyle w:val="10"/>
      <w:spacing w:line="14" w:lineRule="auto"/>
      <w:rPr>
        <w:sz w:val="20"/>
      </w:rPr>
    </w:pPr>
    <w:r>
      <w:pict>
        <v:shape id="_x0000_s2064" o:spid="_x0000_s2064" o:spt="202" type="#_x0000_t202" style="position:absolute;left:0pt;margin-left:422.65pt;margin-top:533.05pt;height:13.6pt;width:14.5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DE8C6C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96</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51A2">
    <w:pPr>
      <w:pStyle w:val="10"/>
      <w:spacing w:line="14" w:lineRule="auto"/>
      <w:rPr>
        <w:sz w:val="20"/>
      </w:rPr>
    </w:pPr>
    <w:r>
      <w:pict>
        <v:shape id="_x0000_s2065" o:spid="_x0000_s2065" o:spt="202" type="#_x0000_t202" style="position:absolute;left:0pt;margin-left:290.4pt;margin-top:771.25pt;height:13.6pt;width:14.5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75E4547">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98</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1C96">
    <w:pPr>
      <w:pStyle w:val="10"/>
      <w:spacing w:line="14" w:lineRule="auto"/>
      <w:rPr>
        <w:sz w:val="20"/>
      </w:rPr>
    </w:pPr>
    <w:r>
      <w:pict>
        <v:shape id="_x0000_s2066" o:spid="_x0000_s2066" o:spt="202" type="#_x0000_t202" style="position:absolute;left:0pt;margin-left:287.75pt;margin-top:771.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C2D1C9E">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100</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3B438">
    <w:pPr>
      <w:pStyle w:val="10"/>
      <w:spacing w:line="14" w:lineRule="auto"/>
      <w:rPr>
        <w:sz w:val="20"/>
      </w:rPr>
    </w:pPr>
    <w:r>
      <w:pict>
        <v:shape id="_x0000_s2067" o:spid="_x0000_s2067" o:spt="202" type="#_x0000_t202" style="position:absolute;left:0pt;margin-left:411pt;margin-top:524.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A74B0B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102</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834B8">
    <w:pPr>
      <w:pStyle w:val="10"/>
      <w:spacing w:line="14" w:lineRule="auto"/>
      <w:rPr>
        <w:sz w:val="20"/>
      </w:rPr>
    </w:pPr>
    <w:r>
      <w:pict>
        <v:shape id="_x0000_s2068" o:spid="_x0000_s2068" o:spt="202" type="#_x0000_t202" style="position:absolute;left:0pt;margin-left:411.25pt;margin-top:524.65pt;height:13.6pt;width:19.4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2E6985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110</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289C1">
    <w:pPr>
      <w:pStyle w:val="10"/>
      <w:spacing w:line="14" w:lineRule="auto"/>
      <w:rPr>
        <w:sz w:val="20"/>
      </w:rPr>
    </w:pPr>
    <w:r>
      <w:pict>
        <v:shape id="_x0000_s2069" o:spid="_x0000_s2069" o:spt="202" type="#_x0000_t202" style="position:absolute;left:0pt;margin-left:411pt;margin-top:524.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C769F33">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120</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1DCCE">
    <w:pPr>
      <w:pStyle w:val="10"/>
      <w:spacing w:line="14" w:lineRule="auto"/>
      <w:rPr>
        <w:sz w:val="20"/>
      </w:rPr>
    </w:pPr>
    <w:r>
      <w:pict>
        <v:shape id="_x0000_s2070" o:spid="_x0000_s2070" o:spt="202" type="#_x0000_t202" style="position:absolute;left:0pt;margin-left:287.75pt;margin-top:771.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75650526">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130</w:t>
                </w:r>
                <w: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808E9">
    <w:pPr>
      <w:pStyle w:val="10"/>
      <w:spacing w:line="14" w:lineRule="auto"/>
      <w:rPr>
        <w:sz w:val="20"/>
      </w:rPr>
    </w:pPr>
    <w:r>
      <w:pict>
        <v:shape id="_x0000_s2071" o:spid="_x0000_s2071" o:spt="202" type="#_x0000_t202" style="position:absolute;left:0pt;margin-left:287.75pt;margin-top:771.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6A7C5E9D">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140</w:t>
                </w:r>
                <w: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89D2">
    <w:pPr>
      <w:pStyle w:val="10"/>
      <w:spacing w:line="14" w:lineRule="auto"/>
      <w:rPr>
        <w:sz w:val="20"/>
      </w:rPr>
    </w:pPr>
    <w:r>
      <w:pict>
        <v:shape id="_x0000_s2072" o:spid="_x0000_s2072" o:spt="202" type="#_x0000_t202" style="position:absolute;left:0pt;margin-left:287.75pt;margin-top:771.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1707723">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150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8CB2">
    <w:pPr>
      <w:pStyle w:val="10"/>
      <w:spacing w:line="14" w:lineRule="auto"/>
      <w:rPr>
        <w:sz w:val="15"/>
      </w:rPr>
    </w:pPr>
    <w:r>
      <w:pict>
        <v:shape id="_x0000_s2051" o:spid="_x0000_s2051"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34E5E9B">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21</w:t>
                </w:r>
                <w: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BD508">
    <w:pPr>
      <w:pStyle w:val="10"/>
      <w:spacing w:line="14" w:lineRule="auto"/>
      <w:rPr>
        <w:sz w:val="20"/>
      </w:rPr>
    </w:pPr>
    <w:r>
      <w:pict>
        <v:shape id="_x0000_s2073" o:spid="_x0000_s2073" o:spt="202" type="#_x0000_t202" style="position:absolute;left:0pt;margin-left:296.75pt;margin-top:779.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4F74C39">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156</w:t>
                </w:r>
                <w: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3C134">
    <w:pPr>
      <w:pStyle w:val="10"/>
      <w:spacing w:line="14" w:lineRule="auto"/>
      <w:rPr>
        <w:sz w:val="20"/>
      </w:rPr>
    </w:pPr>
    <w:r>
      <w:pict>
        <v:shape id="_x0000_s2074" o:spid="_x0000_s2074" o:spt="202" type="#_x0000_t202" style="position:absolute;left:0pt;margin-left:296.75pt;margin-top:779.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EE443CE">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160</w:t>
                </w:r>
                <w: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5B568">
    <w:pPr>
      <w:pStyle w:val="10"/>
      <w:spacing w:line="14" w:lineRule="auto"/>
      <w:rPr>
        <w:sz w:val="20"/>
      </w:rPr>
    </w:pPr>
    <w:r>
      <w:pict>
        <v:shape id="_x0000_s2075" o:spid="_x0000_s2075" o:spt="202" type="#_x0000_t202" style="position:absolute;left:0pt;margin-left:296.75pt;margin-top:779.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5905F7F1">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170</w:t>
                </w:r>
                <w:r>
                  <w:fldChar w:fldCharType="end"/>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C1281">
    <w:pPr>
      <w:pStyle w:val="10"/>
      <w:spacing w:line="14" w:lineRule="auto"/>
      <w:rPr>
        <w:sz w:val="20"/>
      </w:rPr>
    </w:pPr>
    <w:r>
      <w:pict>
        <v:shape id="_x0000_s2076" o:spid="_x0000_s2076" o:spt="202" type="#_x0000_t202" style="position:absolute;left:0pt;margin-left:296.75pt;margin-top:795.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6A47A66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172</w:t>
                </w:r>
                <w: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854BD">
    <w:pPr>
      <w:pStyle w:val="10"/>
      <w:spacing w:line="14" w:lineRule="auto"/>
      <w:rPr>
        <w:sz w:val="20"/>
      </w:rPr>
    </w:pPr>
    <w:r>
      <w:pict>
        <v:shape id="_x0000_s2077" o:spid="_x0000_s2077" o:spt="202" type="#_x0000_t202" style="position:absolute;left:0pt;margin-left:296.75pt;margin-top:795.2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052C1B5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180</w:t>
                </w:r>
                <w: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7C9A3">
    <w:pPr>
      <w:pStyle w:val="10"/>
      <w:spacing w:line="14" w:lineRule="auto"/>
      <w:rPr>
        <w:sz w:val="20"/>
      </w:rPr>
    </w:pPr>
    <w:r>
      <w:pict>
        <v:shape id="_x0000_s2078" o:spid="_x0000_s2078" o:spt="202" type="#_x0000_t202" style="position:absolute;left:0pt;margin-left:420pt;margin-top:533.0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7D79D458">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187</w:t>
                </w:r>
                <w: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AC40E">
    <w:pPr>
      <w:pStyle w:val="10"/>
      <w:spacing w:line="14" w:lineRule="auto"/>
      <w:rPr>
        <w:sz w:val="20"/>
      </w:rPr>
    </w:pPr>
    <w:r>
      <w:pict>
        <v:shape id="_x0000_s2079" o:spid="_x0000_s2079" o:spt="202" type="#_x0000_t202" style="position:absolute;left:0pt;margin-left:296.75pt;margin-top:779.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660FBBF">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189</w:t>
                </w:r>
                <w: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0D482">
    <w:pPr>
      <w:pStyle w:val="10"/>
      <w:spacing w:line="14" w:lineRule="auto"/>
      <w:rPr>
        <w:sz w:val="20"/>
      </w:rPr>
    </w:pPr>
    <w:r>
      <w:pict>
        <v:shape id="_x0000_s2080" o:spid="_x0000_s2080" o:spt="202" type="#_x0000_t202" style="position:absolute;left:0pt;margin-left:296.75pt;margin-top:779.65pt;height:13.6pt;width:19.8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0D0418CC">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190</w:t>
                </w:r>
                <w: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51125">
    <w:pPr>
      <w:pStyle w:val="10"/>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ECF1">
    <w:pPr>
      <w:pStyle w:val="10"/>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550AD">
    <w:pPr>
      <w:pStyle w:val="10"/>
      <w:spacing w:line="14" w:lineRule="auto"/>
      <w:rPr>
        <w:sz w:val="20"/>
      </w:rPr>
    </w:pPr>
    <w:r>
      <w:pict>
        <v:shape id="_x0000_s2052" o:spid="_x0000_s2052"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574DC02">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30</w:t>
                </w:r>
                <w: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A947">
    <w:pPr>
      <w:pStyle w:val="10"/>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6056E">
    <w:pPr>
      <w:pStyle w:val="10"/>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A2CB9">
    <w:pPr>
      <w:pStyle w:val="10"/>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E5DA">
    <w:pPr>
      <w:pStyle w:val="10"/>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6771">
    <w:pPr>
      <w:pStyle w:val="10"/>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4C642">
    <w:pPr>
      <w:pStyle w:val="10"/>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32007">
    <w:pPr>
      <w:pStyle w:val="10"/>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1347">
    <w:pPr>
      <w:pStyle w:val="10"/>
      <w:spacing w:line="14" w:lineRule="auto"/>
      <w:rPr>
        <w:sz w:val="20"/>
      </w:rPr>
    </w:pPr>
    <w:r>
      <w:pict>
        <v:shape id="_x0000_s2053" o:spid="_x0000_s2053"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4106683">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40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25F6">
    <w:pPr>
      <w:pStyle w:val="10"/>
      <w:spacing w:line="14" w:lineRule="auto"/>
      <w:rPr>
        <w:sz w:val="20"/>
      </w:rPr>
    </w:pPr>
    <w:r>
      <w:pict>
        <v:shape id="_x0000_s2054" o:spid="_x0000_s2054" o:spt="202" type="#_x0000_t202" style="position:absolute;left:0pt;margin-left:290.4pt;margin-top:779.65pt;height:13.6pt;width:14.5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70C7225">
                <w:pPr>
                  <w:spacing w:before="10"/>
                  <w:ind w:left="40" w:right="0" w:firstLine="0"/>
                  <w:jc w:val="left"/>
                  <w:rPr>
                    <w:rFonts w:ascii="Times New Roman"/>
                    <w:sz w:val="21"/>
                  </w:rPr>
                </w:pPr>
                <w:r>
                  <w:fldChar w:fldCharType="begin"/>
                </w:r>
                <w:r>
                  <w:rPr>
                    <w:rFonts w:ascii="Times New Roman"/>
                    <w:sz w:val="21"/>
                  </w:rPr>
                  <w:instrText xml:space="preserve"> PAGE </w:instrText>
                </w:r>
                <w:r>
                  <w:fldChar w:fldCharType="separate"/>
                </w:r>
                <w:r>
                  <w:t>50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C01F">
    <w:pPr>
      <w:pStyle w:val="1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94444">
    <w:pPr>
      <w:pStyle w:val="10"/>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FC35">
    <w:pPr>
      <w:pStyle w:val="10"/>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F19DF"/>
    <w:multiLevelType w:val="multilevel"/>
    <w:tmpl w:val="849F19DF"/>
    <w:lvl w:ilvl="0" w:tentative="0">
      <w:start w:val="5"/>
      <w:numFmt w:val="decimal"/>
      <w:lvlText w:val="%1"/>
      <w:lvlJc w:val="left"/>
      <w:pPr>
        <w:ind w:left="1068" w:hanging="449"/>
        <w:jc w:val="right"/>
      </w:pPr>
      <w:rPr>
        <w:rFonts w:hint="default"/>
      </w:rPr>
    </w:lvl>
    <w:lvl w:ilvl="1" w:tentative="0">
      <w:start w:val="4"/>
      <w:numFmt w:val="decimal"/>
      <w:lvlText w:val="%1.%2"/>
      <w:lvlJc w:val="left"/>
      <w:pPr>
        <w:ind w:left="10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1">
    <w:nsid w:val="9083A564"/>
    <w:multiLevelType w:val="multilevel"/>
    <w:tmpl w:val="9083A564"/>
    <w:lvl w:ilvl="0" w:tentative="0">
      <w:start w:val="3"/>
      <w:numFmt w:val="decimal"/>
      <w:lvlText w:val="%1"/>
      <w:lvlJc w:val="left"/>
      <w:pPr>
        <w:ind w:left="688" w:hanging="449"/>
        <w:jc w:val="left"/>
      </w:pPr>
      <w:rPr>
        <w:rFonts w:hint="default"/>
      </w:rPr>
    </w:lvl>
    <w:lvl w:ilvl="1" w:tentative="0">
      <w:start w:val="1"/>
      <w:numFmt w:val="decimal"/>
      <w:lvlText w:val="%1.%2"/>
      <w:lvlJc w:val="left"/>
      <w:pPr>
        <w:ind w:left="68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2">
    <w:nsid w:val="95BC11F5"/>
    <w:multiLevelType w:val="multilevel"/>
    <w:tmpl w:val="95BC11F5"/>
    <w:lvl w:ilvl="0" w:tentative="0">
      <w:start w:val="7"/>
      <w:numFmt w:val="decimal"/>
      <w:lvlText w:val="%1"/>
      <w:lvlJc w:val="left"/>
      <w:pPr>
        <w:ind w:left="687" w:hanging="449"/>
        <w:jc w:val="left"/>
      </w:pPr>
      <w:rPr>
        <w:rFonts w:hint="default"/>
      </w:rPr>
    </w:lvl>
    <w:lvl w:ilvl="1" w:tentative="0">
      <w:start w:val="3"/>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936" w:hanging="69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79" w:hanging="699"/>
      </w:pPr>
      <w:rPr>
        <w:rFonts w:hint="default"/>
      </w:rPr>
    </w:lvl>
    <w:lvl w:ilvl="4" w:tentative="0">
      <w:start w:val="0"/>
      <w:numFmt w:val="bullet"/>
      <w:lvlText w:val="•"/>
      <w:lvlJc w:val="left"/>
      <w:pPr>
        <w:ind w:left="3848" w:hanging="699"/>
      </w:pPr>
      <w:rPr>
        <w:rFonts w:hint="default"/>
      </w:rPr>
    </w:lvl>
    <w:lvl w:ilvl="5" w:tentative="0">
      <w:start w:val="0"/>
      <w:numFmt w:val="bullet"/>
      <w:lvlText w:val="•"/>
      <w:lvlJc w:val="left"/>
      <w:pPr>
        <w:ind w:left="4818" w:hanging="699"/>
      </w:pPr>
      <w:rPr>
        <w:rFonts w:hint="default"/>
      </w:rPr>
    </w:lvl>
    <w:lvl w:ilvl="6" w:tentative="0">
      <w:start w:val="0"/>
      <w:numFmt w:val="bullet"/>
      <w:lvlText w:val="•"/>
      <w:lvlJc w:val="left"/>
      <w:pPr>
        <w:ind w:left="5787" w:hanging="699"/>
      </w:pPr>
      <w:rPr>
        <w:rFonts w:hint="default"/>
      </w:rPr>
    </w:lvl>
    <w:lvl w:ilvl="7" w:tentative="0">
      <w:start w:val="0"/>
      <w:numFmt w:val="bullet"/>
      <w:lvlText w:val="•"/>
      <w:lvlJc w:val="left"/>
      <w:pPr>
        <w:ind w:left="6757" w:hanging="699"/>
      </w:pPr>
      <w:rPr>
        <w:rFonts w:hint="default"/>
      </w:rPr>
    </w:lvl>
    <w:lvl w:ilvl="8" w:tentative="0">
      <w:start w:val="0"/>
      <w:numFmt w:val="bullet"/>
      <w:lvlText w:val="•"/>
      <w:lvlJc w:val="left"/>
      <w:pPr>
        <w:ind w:left="7726" w:hanging="699"/>
      </w:pPr>
      <w:rPr>
        <w:rFonts w:hint="default"/>
      </w:rPr>
    </w:lvl>
  </w:abstractNum>
  <w:abstractNum w:abstractNumId="3">
    <w:nsid w:val="966FBD48"/>
    <w:multiLevelType w:val="multilevel"/>
    <w:tmpl w:val="966FBD48"/>
    <w:lvl w:ilvl="0" w:tentative="0">
      <w:start w:val="8"/>
      <w:numFmt w:val="decimal"/>
      <w:lvlText w:val="%1"/>
      <w:lvlJc w:val="left"/>
      <w:pPr>
        <w:ind w:left="550" w:hanging="449"/>
        <w:jc w:val="left"/>
      </w:pPr>
      <w:rPr>
        <w:rFonts w:hint="default"/>
      </w:rPr>
    </w:lvl>
    <w:lvl w:ilvl="1" w:tentative="0">
      <w:start w:val="1"/>
      <w:numFmt w:val="decimal"/>
      <w:lvlText w:val="%1.%2"/>
      <w:lvlJc w:val="left"/>
      <w:pPr>
        <w:ind w:left="550" w:hanging="449"/>
        <w:jc w:val="left"/>
      </w:pPr>
      <w:rPr>
        <w:rFonts w:hint="default" w:ascii="Times New Roman" w:hAnsi="Times New Roman" w:eastAsia="Times New Roman" w:cs="Times New Roman"/>
        <w:b/>
        <w:bCs/>
        <w:spacing w:val="-2"/>
        <w:w w:val="99"/>
        <w:sz w:val="30"/>
        <w:szCs w:val="30"/>
      </w:rPr>
    </w:lvl>
    <w:lvl w:ilvl="2" w:tentative="0">
      <w:start w:val="0"/>
      <w:numFmt w:val="bullet"/>
      <w:lvlText w:val="•"/>
      <w:lvlJc w:val="left"/>
      <w:pPr>
        <w:ind w:left="2213" w:hanging="449"/>
      </w:pPr>
      <w:rPr>
        <w:rFonts w:hint="default"/>
      </w:rPr>
    </w:lvl>
    <w:lvl w:ilvl="3" w:tentative="0">
      <w:start w:val="0"/>
      <w:numFmt w:val="bullet"/>
      <w:lvlText w:val="•"/>
      <w:lvlJc w:val="left"/>
      <w:pPr>
        <w:ind w:left="3039" w:hanging="449"/>
      </w:pPr>
      <w:rPr>
        <w:rFonts w:hint="default"/>
      </w:rPr>
    </w:lvl>
    <w:lvl w:ilvl="4" w:tentative="0">
      <w:start w:val="0"/>
      <w:numFmt w:val="bullet"/>
      <w:lvlText w:val="•"/>
      <w:lvlJc w:val="left"/>
      <w:pPr>
        <w:ind w:left="3866" w:hanging="449"/>
      </w:pPr>
      <w:rPr>
        <w:rFonts w:hint="default"/>
      </w:rPr>
    </w:lvl>
    <w:lvl w:ilvl="5" w:tentative="0">
      <w:start w:val="0"/>
      <w:numFmt w:val="bullet"/>
      <w:lvlText w:val="•"/>
      <w:lvlJc w:val="left"/>
      <w:pPr>
        <w:ind w:left="4692" w:hanging="449"/>
      </w:pPr>
      <w:rPr>
        <w:rFonts w:hint="default"/>
      </w:rPr>
    </w:lvl>
    <w:lvl w:ilvl="6" w:tentative="0">
      <w:start w:val="0"/>
      <w:numFmt w:val="bullet"/>
      <w:lvlText w:val="•"/>
      <w:lvlJc w:val="left"/>
      <w:pPr>
        <w:ind w:left="5519" w:hanging="449"/>
      </w:pPr>
      <w:rPr>
        <w:rFonts w:hint="default"/>
      </w:rPr>
    </w:lvl>
    <w:lvl w:ilvl="7" w:tentative="0">
      <w:start w:val="0"/>
      <w:numFmt w:val="bullet"/>
      <w:lvlText w:val="•"/>
      <w:lvlJc w:val="left"/>
      <w:pPr>
        <w:ind w:left="6345" w:hanging="449"/>
      </w:pPr>
      <w:rPr>
        <w:rFonts w:hint="default"/>
      </w:rPr>
    </w:lvl>
    <w:lvl w:ilvl="8" w:tentative="0">
      <w:start w:val="0"/>
      <w:numFmt w:val="bullet"/>
      <w:lvlText w:val="•"/>
      <w:lvlJc w:val="left"/>
      <w:pPr>
        <w:ind w:left="7172" w:hanging="449"/>
      </w:pPr>
      <w:rPr>
        <w:rFonts w:hint="default"/>
      </w:rPr>
    </w:lvl>
  </w:abstractNum>
  <w:abstractNum w:abstractNumId="4">
    <w:nsid w:val="A0F79B81"/>
    <w:multiLevelType w:val="multilevel"/>
    <w:tmpl w:val="A0F79B81"/>
    <w:lvl w:ilvl="0" w:tentative="0">
      <w:start w:val="1"/>
      <w:numFmt w:val="decimal"/>
      <w:lvlText w:val="%1"/>
      <w:lvlJc w:val="left"/>
      <w:pPr>
        <w:ind w:left="668" w:hanging="449"/>
        <w:jc w:val="left"/>
      </w:pPr>
      <w:rPr>
        <w:rFonts w:hint="default"/>
      </w:rPr>
    </w:lvl>
    <w:lvl w:ilvl="1" w:tentative="0">
      <w:start w:val="6"/>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0"/>
      <w:numFmt w:val="bullet"/>
      <w:lvlText w:val="•"/>
      <w:lvlJc w:val="left"/>
      <w:pPr>
        <w:ind w:left="2305" w:hanging="449"/>
      </w:pPr>
      <w:rPr>
        <w:rFonts w:hint="default"/>
      </w:rPr>
    </w:lvl>
    <w:lvl w:ilvl="3" w:tentative="0">
      <w:start w:val="0"/>
      <w:numFmt w:val="bullet"/>
      <w:lvlText w:val="•"/>
      <w:lvlJc w:val="left"/>
      <w:pPr>
        <w:ind w:left="3127" w:hanging="449"/>
      </w:pPr>
      <w:rPr>
        <w:rFonts w:hint="default"/>
      </w:rPr>
    </w:lvl>
    <w:lvl w:ilvl="4" w:tentative="0">
      <w:start w:val="0"/>
      <w:numFmt w:val="bullet"/>
      <w:lvlText w:val="•"/>
      <w:lvlJc w:val="left"/>
      <w:pPr>
        <w:ind w:left="3950" w:hanging="449"/>
      </w:pPr>
      <w:rPr>
        <w:rFonts w:hint="default"/>
      </w:rPr>
    </w:lvl>
    <w:lvl w:ilvl="5" w:tentative="0">
      <w:start w:val="0"/>
      <w:numFmt w:val="bullet"/>
      <w:lvlText w:val="•"/>
      <w:lvlJc w:val="left"/>
      <w:pPr>
        <w:ind w:left="4773" w:hanging="449"/>
      </w:pPr>
      <w:rPr>
        <w:rFonts w:hint="default"/>
      </w:rPr>
    </w:lvl>
    <w:lvl w:ilvl="6" w:tentative="0">
      <w:start w:val="0"/>
      <w:numFmt w:val="bullet"/>
      <w:lvlText w:val="•"/>
      <w:lvlJc w:val="left"/>
      <w:pPr>
        <w:ind w:left="5595" w:hanging="449"/>
      </w:pPr>
      <w:rPr>
        <w:rFonts w:hint="default"/>
      </w:rPr>
    </w:lvl>
    <w:lvl w:ilvl="7" w:tentative="0">
      <w:start w:val="0"/>
      <w:numFmt w:val="bullet"/>
      <w:lvlText w:val="•"/>
      <w:lvlJc w:val="left"/>
      <w:pPr>
        <w:ind w:left="6418" w:hanging="449"/>
      </w:pPr>
      <w:rPr>
        <w:rFonts w:hint="default"/>
      </w:rPr>
    </w:lvl>
    <w:lvl w:ilvl="8" w:tentative="0">
      <w:start w:val="0"/>
      <w:numFmt w:val="bullet"/>
      <w:lvlText w:val="•"/>
      <w:lvlJc w:val="left"/>
      <w:pPr>
        <w:ind w:left="7240" w:hanging="449"/>
      </w:pPr>
      <w:rPr>
        <w:rFonts w:hint="default"/>
      </w:rPr>
    </w:lvl>
  </w:abstractNum>
  <w:abstractNum w:abstractNumId="5">
    <w:nsid w:val="ACD34761"/>
    <w:multiLevelType w:val="multilevel"/>
    <w:tmpl w:val="ACD34761"/>
    <w:lvl w:ilvl="0" w:tentative="0">
      <w:start w:val="4"/>
      <w:numFmt w:val="decimal"/>
      <w:lvlText w:val="%1"/>
      <w:lvlJc w:val="left"/>
      <w:pPr>
        <w:ind w:left="1248" w:hanging="629"/>
        <w:jc w:val="left"/>
      </w:pPr>
      <w:rPr>
        <w:rFonts w:hint="default"/>
      </w:rPr>
    </w:lvl>
    <w:lvl w:ilvl="1" w:tentative="0">
      <w:start w:val="6"/>
      <w:numFmt w:val="decimal"/>
      <w:lvlText w:val="%1.%2"/>
      <w:lvlJc w:val="left"/>
      <w:pPr>
        <w:ind w:left="1248" w:hanging="629"/>
        <w:jc w:val="left"/>
      </w:pPr>
      <w:rPr>
        <w:rFonts w:hint="default"/>
      </w:rPr>
    </w:lvl>
    <w:lvl w:ilvl="2" w:tentative="0">
      <w:start w:val="4"/>
      <w:numFmt w:val="decimal"/>
      <w:lvlText w:val="%1.%2.%3"/>
      <w:lvlJc w:val="left"/>
      <w:pPr>
        <w:ind w:left="1248" w:hanging="629"/>
        <w:jc w:val="left"/>
      </w:pPr>
      <w:rPr>
        <w:rFonts w:hint="default" w:ascii="Times New Roman" w:hAnsi="Times New Roman" w:eastAsia="Times New Roman" w:cs="Times New Roman"/>
        <w:b/>
        <w:bCs/>
        <w:spacing w:val="-4"/>
        <w:w w:val="100"/>
        <w:sz w:val="28"/>
        <w:szCs w:val="28"/>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6">
    <w:nsid w:val="B5C51339"/>
    <w:multiLevelType w:val="multilevel"/>
    <w:tmpl w:val="B5C51339"/>
    <w:lvl w:ilvl="0" w:tentative="0">
      <w:start w:val="3"/>
      <w:numFmt w:val="decimal"/>
      <w:lvlText w:val="%1"/>
      <w:lvlJc w:val="left"/>
      <w:pPr>
        <w:ind w:left="688" w:hanging="449"/>
        <w:jc w:val="left"/>
      </w:pPr>
      <w:rPr>
        <w:rFonts w:hint="default"/>
      </w:rPr>
    </w:lvl>
    <w:lvl w:ilvl="1" w:tentative="0">
      <w:start w:val="3"/>
      <w:numFmt w:val="decimal"/>
      <w:lvlText w:val="%1.%2"/>
      <w:lvlJc w:val="left"/>
      <w:pPr>
        <w:ind w:left="688" w:hanging="449"/>
        <w:jc w:val="left"/>
      </w:pPr>
      <w:rPr>
        <w:rFonts w:hint="default" w:ascii="Times New Roman" w:hAnsi="Times New Roman" w:eastAsia="Times New Roman" w:cs="Times New Roman"/>
        <w:b/>
        <w:bCs/>
        <w:spacing w:val="-2"/>
        <w:w w:val="100"/>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7">
    <w:nsid w:val="D1E985A0"/>
    <w:multiLevelType w:val="multilevel"/>
    <w:tmpl w:val="D1E985A0"/>
    <w:lvl w:ilvl="0" w:tentative="0">
      <w:start w:val="4"/>
      <w:numFmt w:val="decimal"/>
      <w:lvlText w:val="%1"/>
      <w:lvlJc w:val="left"/>
      <w:pPr>
        <w:ind w:left="1248" w:hanging="629"/>
        <w:jc w:val="left"/>
      </w:pPr>
      <w:rPr>
        <w:rFonts w:hint="default"/>
      </w:rPr>
    </w:lvl>
    <w:lvl w:ilvl="1" w:tentative="0">
      <w:start w:val="4"/>
      <w:numFmt w:val="decimal"/>
      <w:lvlText w:val="%1.%2"/>
      <w:lvlJc w:val="left"/>
      <w:pPr>
        <w:ind w:left="1248" w:hanging="629"/>
        <w:jc w:val="left"/>
      </w:pPr>
      <w:rPr>
        <w:rFonts w:hint="default"/>
      </w:rPr>
    </w:lvl>
    <w:lvl w:ilvl="2" w:tentative="0">
      <w:start w:val="3"/>
      <w:numFmt w:val="decimal"/>
      <w:lvlText w:val="%1.%2.%3"/>
      <w:lvlJc w:val="left"/>
      <w:pPr>
        <w:ind w:left="1248" w:hanging="629"/>
        <w:jc w:val="left"/>
      </w:pPr>
      <w:rPr>
        <w:rFonts w:hint="default"/>
        <w:b/>
        <w:bCs/>
        <w:spacing w:val="-4"/>
        <w:w w:val="100"/>
      </w:rPr>
    </w:lvl>
    <w:lvl w:ilvl="3" w:tentative="0">
      <w:start w:val="0"/>
      <w:numFmt w:val="bullet"/>
      <w:lvlText w:val="•"/>
      <w:lvlJc w:val="left"/>
      <w:pPr>
        <w:ind w:left="3767" w:hanging="629"/>
      </w:pPr>
      <w:rPr>
        <w:rFonts w:hint="default"/>
      </w:rPr>
    </w:lvl>
    <w:lvl w:ilvl="4" w:tentative="0">
      <w:start w:val="0"/>
      <w:numFmt w:val="bullet"/>
      <w:lvlText w:val="•"/>
      <w:lvlJc w:val="left"/>
      <w:pPr>
        <w:ind w:left="4610" w:hanging="629"/>
      </w:pPr>
      <w:rPr>
        <w:rFonts w:hint="default"/>
      </w:rPr>
    </w:lvl>
    <w:lvl w:ilvl="5" w:tentative="0">
      <w:start w:val="0"/>
      <w:numFmt w:val="bullet"/>
      <w:lvlText w:val="•"/>
      <w:lvlJc w:val="left"/>
      <w:pPr>
        <w:ind w:left="5453" w:hanging="629"/>
      </w:pPr>
      <w:rPr>
        <w:rFonts w:hint="default"/>
      </w:rPr>
    </w:lvl>
    <w:lvl w:ilvl="6" w:tentative="0">
      <w:start w:val="0"/>
      <w:numFmt w:val="bullet"/>
      <w:lvlText w:val="•"/>
      <w:lvlJc w:val="left"/>
      <w:pPr>
        <w:ind w:left="6295" w:hanging="629"/>
      </w:pPr>
      <w:rPr>
        <w:rFonts w:hint="default"/>
      </w:rPr>
    </w:lvl>
    <w:lvl w:ilvl="7" w:tentative="0">
      <w:start w:val="0"/>
      <w:numFmt w:val="bullet"/>
      <w:lvlText w:val="•"/>
      <w:lvlJc w:val="left"/>
      <w:pPr>
        <w:ind w:left="7138" w:hanging="629"/>
      </w:pPr>
      <w:rPr>
        <w:rFonts w:hint="default"/>
      </w:rPr>
    </w:lvl>
    <w:lvl w:ilvl="8" w:tentative="0">
      <w:start w:val="0"/>
      <w:numFmt w:val="bullet"/>
      <w:lvlText w:val="•"/>
      <w:lvlJc w:val="left"/>
      <w:pPr>
        <w:ind w:left="7980" w:hanging="629"/>
      </w:pPr>
      <w:rPr>
        <w:rFonts w:hint="default"/>
      </w:rPr>
    </w:lvl>
  </w:abstractNum>
  <w:abstractNum w:abstractNumId="8">
    <w:nsid w:val="D794E914"/>
    <w:multiLevelType w:val="multilevel"/>
    <w:tmpl w:val="D794E914"/>
    <w:lvl w:ilvl="0" w:tentative="0">
      <w:start w:val="1"/>
      <w:numFmt w:val="decimal"/>
      <w:lvlText w:val="%1"/>
      <w:lvlJc w:val="left"/>
      <w:pPr>
        <w:ind w:left="1000" w:hanging="360"/>
        <w:jc w:val="right"/>
      </w:pPr>
      <w:rPr>
        <w:rFonts w:hint="default"/>
      </w:rPr>
    </w:lvl>
    <w:lvl w:ilvl="1" w:tentative="0">
      <w:start w:val="1"/>
      <w:numFmt w:val="decimal"/>
      <w:lvlText w:val="%1.%2"/>
      <w:lvlJc w:val="left"/>
      <w:pPr>
        <w:ind w:left="1000" w:hanging="360"/>
        <w:jc w:val="left"/>
      </w:pPr>
      <w:rPr>
        <w:rFonts w:hint="default" w:ascii="Times New Roman" w:hAnsi="Times New Roman" w:eastAsia="Times New Roman" w:cs="Times New Roman"/>
        <w:w w:val="100"/>
        <w:sz w:val="24"/>
        <w:szCs w:val="24"/>
      </w:rPr>
    </w:lvl>
    <w:lvl w:ilvl="2" w:tentative="0">
      <w:start w:val="0"/>
      <w:numFmt w:val="bullet"/>
      <w:lvlText w:val="•"/>
      <w:lvlJc w:val="left"/>
      <w:pPr>
        <w:ind w:left="2577" w:hanging="360"/>
      </w:pPr>
      <w:rPr>
        <w:rFonts w:hint="default"/>
      </w:rPr>
    </w:lvl>
    <w:lvl w:ilvl="3" w:tentative="0">
      <w:start w:val="0"/>
      <w:numFmt w:val="bullet"/>
      <w:lvlText w:val="•"/>
      <w:lvlJc w:val="left"/>
      <w:pPr>
        <w:ind w:left="3365" w:hanging="360"/>
      </w:pPr>
      <w:rPr>
        <w:rFonts w:hint="default"/>
      </w:rPr>
    </w:lvl>
    <w:lvl w:ilvl="4" w:tentative="0">
      <w:start w:val="0"/>
      <w:numFmt w:val="bullet"/>
      <w:lvlText w:val="•"/>
      <w:lvlJc w:val="left"/>
      <w:pPr>
        <w:ind w:left="4154" w:hanging="360"/>
      </w:pPr>
      <w:rPr>
        <w:rFonts w:hint="default"/>
      </w:rPr>
    </w:lvl>
    <w:lvl w:ilvl="5" w:tentative="0">
      <w:start w:val="0"/>
      <w:numFmt w:val="bullet"/>
      <w:lvlText w:val="•"/>
      <w:lvlJc w:val="left"/>
      <w:pPr>
        <w:ind w:left="4943" w:hanging="360"/>
      </w:pPr>
      <w:rPr>
        <w:rFonts w:hint="default"/>
      </w:rPr>
    </w:lvl>
    <w:lvl w:ilvl="6" w:tentative="0">
      <w:start w:val="0"/>
      <w:numFmt w:val="bullet"/>
      <w:lvlText w:val="•"/>
      <w:lvlJc w:val="left"/>
      <w:pPr>
        <w:ind w:left="5731" w:hanging="360"/>
      </w:pPr>
      <w:rPr>
        <w:rFonts w:hint="default"/>
      </w:rPr>
    </w:lvl>
    <w:lvl w:ilvl="7" w:tentative="0">
      <w:start w:val="0"/>
      <w:numFmt w:val="bullet"/>
      <w:lvlText w:val="•"/>
      <w:lvlJc w:val="left"/>
      <w:pPr>
        <w:ind w:left="6520" w:hanging="360"/>
      </w:pPr>
      <w:rPr>
        <w:rFonts w:hint="default"/>
      </w:rPr>
    </w:lvl>
    <w:lvl w:ilvl="8" w:tentative="0">
      <w:start w:val="0"/>
      <w:numFmt w:val="bullet"/>
      <w:lvlText w:val="•"/>
      <w:lvlJc w:val="left"/>
      <w:pPr>
        <w:ind w:left="7308" w:hanging="360"/>
      </w:pPr>
      <w:rPr>
        <w:rFonts w:hint="default"/>
      </w:rPr>
    </w:lvl>
  </w:abstractNum>
  <w:abstractNum w:abstractNumId="9">
    <w:nsid w:val="DAF5E010"/>
    <w:multiLevelType w:val="multilevel"/>
    <w:tmpl w:val="DAF5E010"/>
    <w:lvl w:ilvl="0" w:tentative="0">
      <w:start w:val="3"/>
      <w:numFmt w:val="decimal"/>
      <w:lvlText w:val="%1"/>
      <w:lvlJc w:val="left"/>
      <w:pPr>
        <w:ind w:left="868" w:hanging="629"/>
        <w:jc w:val="left"/>
      </w:pPr>
      <w:rPr>
        <w:rFonts w:hint="default"/>
      </w:rPr>
    </w:lvl>
    <w:lvl w:ilvl="1" w:tentative="0">
      <w:start w:val="1"/>
      <w:numFmt w:val="decimal"/>
      <w:lvlText w:val="%1.%2"/>
      <w:lvlJc w:val="left"/>
      <w:pPr>
        <w:ind w:left="868" w:hanging="629"/>
        <w:jc w:val="left"/>
      </w:pPr>
      <w:rPr>
        <w:rFonts w:hint="default"/>
      </w:rPr>
    </w:lvl>
    <w:lvl w:ilvl="2" w:tentative="0">
      <w:start w:val="5"/>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237" w:hanging="629"/>
      </w:pPr>
      <w:rPr>
        <w:rFonts w:hint="default"/>
      </w:rPr>
    </w:lvl>
    <w:lvl w:ilvl="4" w:tentative="0">
      <w:start w:val="0"/>
      <w:numFmt w:val="bullet"/>
      <w:lvlText w:val="•"/>
      <w:lvlJc w:val="left"/>
      <w:pPr>
        <w:ind w:left="4030" w:hanging="629"/>
      </w:pPr>
      <w:rPr>
        <w:rFonts w:hint="default"/>
      </w:rPr>
    </w:lvl>
    <w:lvl w:ilvl="5" w:tentative="0">
      <w:start w:val="0"/>
      <w:numFmt w:val="bullet"/>
      <w:lvlText w:val="•"/>
      <w:lvlJc w:val="left"/>
      <w:pPr>
        <w:ind w:left="4823" w:hanging="629"/>
      </w:pPr>
      <w:rPr>
        <w:rFonts w:hint="default"/>
      </w:rPr>
    </w:lvl>
    <w:lvl w:ilvl="6" w:tentative="0">
      <w:start w:val="0"/>
      <w:numFmt w:val="bullet"/>
      <w:lvlText w:val="•"/>
      <w:lvlJc w:val="left"/>
      <w:pPr>
        <w:ind w:left="5615" w:hanging="629"/>
      </w:pPr>
      <w:rPr>
        <w:rFonts w:hint="default"/>
      </w:rPr>
    </w:lvl>
    <w:lvl w:ilvl="7" w:tentative="0">
      <w:start w:val="0"/>
      <w:numFmt w:val="bullet"/>
      <w:lvlText w:val="•"/>
      <w:lvlJc w:val="left"/>
      <w:pPr>
        <w:ind w:left="6408" w:hanging="629"/>
      </w:pPr>
      <w:rPr>
        <w:rFonts w:hint="default"/>
      </w:rPr>
    </w:lvl>
    <w:lvl w:ilvl="8" w:tentative="0">
      <w:start w:val="0"/>
      <w:numFmt w:val="bullet"/>
      <w:lvlText w:val="•"/>
      <w:lvlJc w:val="left"/>
      <w:pPr>
        <w:ind w:left="7200" w:hanging="629"/>
      </w:pPr>
      <w:rPr>
        <w:rFonts w:hint="default"/>
      </w:rPr>
    </w:lvl>
  </w:abstractNum>
  <w:abstractNum w:abstractNumId="10">
    <w:nsid w:val="E6EC5C30"/>
    <w:multiLevelType w:val="multilevel"/>
    <w:tmpl w:val="E6EC5C30"/>
    <w:lvl w:ilvl="0" w:tentative="0">
      <w:start w:val="4"/>
      <w:numFmt w:val="decimal"/>
      <w:lvlText w:val="%1"/>
      <w:lvlJc w:val="left"/>
      <w:pPr>
        <w:ind w:left="1248" w:hanging="629"/>
        <w:jc w:val="left"/>
      </w:pPr>
      <w:rPr>
        <w:rFonts w:hint="default"/>
      </w:rPr>
    </w:lvl>
    <w:lvl w:ilvl="1" w:tentative="0">
      <w:start w:val="6"/>
      <w:numFmt w:val="decimal"/>
      <w:lvlText w:val="%1.%2"/>
      <w:lvlJc w:val="left"/>
      <w:pPr>
        <w:ind w:left="1248" w:hanging="629"/>
        <w:jc w:val="left"/>
      </w:pPr>
      <w:rPr>
        <w:rFonts w:hint="default"/>
      </w:rPr>
    </w:lvl>
    <w:lvl w:ilvl="2" w:tentative="0">
      <w:start w:val="2"/>
      <w:numFmt w:val="decimal"/>
      <w:lvlText w:val="%1.%2.%3"/>
      <w:lvlJc w:val="left"/>
      <w:pPr>
        <w:ind w:left="1248" w:hanging="629"/>
        <w:jc w:val="left"/>
      </w:pPr>
      <w:rPr>
        <w:rFonts w:hint="default"/>
        <w:b/>
        <w:bCs/>
        <w:spacing w:val="-4"/>
        <w:w w:val="100"/>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11">
    <w:nsid w:val="FB4A726A"/>
    <w:multiLevelType w:val="multilevel"/>
    <w:tmpl w:val="FB4A726A"/>
    <w:lvl w:ilvl="0" w:tentative="0">
      <w:start w:val="0"/>
      <w:numFmt w:val="bullet"/>
      <w:lvlText w:val=""/>
      <w:lvlJc w:val="left"/>
      <w:pPr>
        <w:ind w:left="443" w:hanging="188"/>
      </w:pPr>
      <w:rPr>
        <w:rFonts w:hint="default" w:ascii="Wingdings" w:hAnsi="Wingdings" w:eastAsia="Wingdings" w:cs="Wingdings"/>
        <w:w w:val="99"/>
        <w:sz w:val="19"/>
        <w:szCs w:val="19"/>
      </w:rPr>
    </w:lvl>
    <w:lvl w:ilvl="1" w:tentative="0">
      <w:start w:val="0"/>
      <w:numFmt w:val="bullet"/>
      <w:lvlText w:val="•"/>
      <w:lvlJc w:val="left"/>
      <w:pPr>
        <w:ind w:left="549" w:hanging="188"/>
      </w:pPr>
      <w:rPr>
        <w:rFonts w:hint="default"/>
      </w:rPr>
    </w:lvl>
    <w:lvl w:ilvl="2" w:tentative="0">
      <w:start w:val="0"/>
      <w:numFmt w:val="bullet"/>
      <w:lvlText w:val="•"/>
      <w:lvlJc w:val="left"/>
      <w:pPr>
        <w:ind w:left="659" w:hanging="188"/>
      </w:pPr>
      <w:rPr>
        <w:rFonts w:hint="default"/>
      </w:rPr>
    </w:lvl>
    <w:lvl w:ilvl="3" w:tentative="0">
      <w:start w:val="0"/>
      <w:numFmt w:val="bullet"/>
      <w:lvlText w:val="•"/>
      <w:lvlJc w:val="left"/>
      <w:pPr>
        <w:ind w:left="768" w:hanging="188"/>
      </w:pPr>
      <w:rPr>
        <w:rFonts w:hint="default"/>
      </w:rPr>
    </w:lvl>
    <w:lvl w:ilvl="4" w:tentative="0">
      <w:start w:val="0"/>
      <w:numFmt w:val="bullet"/>
      <w:lvlText w:val="•"/>
      <w:lvlJc w:val="left"/>
      <w:pPr>
        <w:ind w:left="878" w:hanging="188"/>
      </w:pPr>
      <w:rPr>
        <w:rFonts w:hint="default"/>
      </w:rPr>
    </w:lvl>
    <w:lvl w:ilvl="5" w:tentative="0">
      <w:start w:val="0"/>
      <w:numFmt w:val="bullet"/>
      <w:lvlText w:val="•"/>
      <w:lvlJc w:val="left"/>
      <w:pPr>
        <w:ind w:left="988" w:hanging="188"/>
      </w:pPr>
      <w:rPr>
        <w:rFonts w:hint="default"/>
      </w:rPr>
    </w:lvl>
    <w:lvl w:ilvl="6" w:tentative="0">
      <w:start w:val="0"/>
      <w:numFmt w:val="bullet"/>
      <w:lvlText w:val="•"/>
      <w:lvlJc w:val="left"/>
      <w:pPr>
        <w:ind w:left="1097" w:hanging="188"/>
      </w:pPr>
      <w:rPr>
        <w:rFonts w:hint="default"/>
      </w:rPr>
    </w:lvl>
    <w:lvl w:ilvl="7" w:tentative="0">
      <w:start w:val="0"/>
      <w:numFmt w:val="bullet"/>
      <w:lvlText w:val="•"/>
      <w:lvlJc w:val="left"/>
      <w:pPr>
        <w:ind w:left="1207" w:hanging="188"/>
      </w:pPr>
      <w:rPr>
        <w:rFonts w:hint="default"/>
      </w:rPr>
    </w:lvl>
    <w:lvl w:ilvl="8" w:tentative="0">
      <w:start w:val="0"/>
      <w:numFmt w:val="bullet"/>
      <w:lvlText w:val="•"/>
      <w:lvlJc w:val="left"/>
      <w:pPr>
        <w:ind w:left="1316" w:hanging="188"/>
      </w:pPr>
      <w:rPr>
        <w:rFonts w:hint="default"/>
      </w:rPr>
    </w:lvl>
  </w:abstractNum>
  <w:abstractNum w:abstractNumId="12">
    <w:nsid w:val="FDE30E5C"/>
    <w:multiLevelType w:val="multilevel"/>
    <w:tmpl w:val="FDE30E5C"/>
    <w:lvl w:ilvl="0" w:tentative="0">
      <w:start w:val="0"/>
      <w:numFmt w:val="bullet"/>
      <w:lvlText w:val=""/>
      <w:lvlJc w:val="left"/>
      <w:pPr>
        <w:ind w:left="138" w:hanging="188"/>
      </w:pPr>
      <w:rPr>
        <w:rFonts w:hint="default" w:ascii="Wingdings" w:hAnsi="Wingdings" w:eastAsia="Wingdings" w:cs="Wingdings"/>
        <w:spacing w:val="-2"/>
        <w:w w:val="99"/>
        <w:sz w:val="19"/>
        <w:szCs w:val="19"/>
      </w:rPr>
    </w:lvl>
    <w:lvl w:ilvl="1" w:tentative="0">
      <w:start w:val="0"/>
      <w:numFmt w:val="bullet"/>
      <w:lvlText w:val=""/>
      <w:lvlJc w:val="left"/>
      <w:pPr>
        <w:ind w:left="338" w:hanging="188"/>
      </w:pPr>
      <w:rPr>
        <w:rFonts w:hint="default" w:ascii="Wingdings" w:hAnsi="Wingdings" w:eastAsia="Wingdings" w:cs="Wingdings"/>
        <w:w w:val="99"/>
        <w:sz w:val="19"/>
        <w:szCs w:val="19"/>
      </w:rPr>
    </w:lvl>
    <w:lvl w:ilvl="2" w:tentative="0">
      <w:start w:val="0"/>
      <w:numFmt w:val="bullet"/>
      <w:lvlText w:val="•"/>
      <w:lvlJc w:val="left"/>
      <w:pPr>
        <w:ind w:left="472" w:hanging="188"/>
      </w:pPr>
      <w:rPr>
        <w:rFonts w:hint="default"/>
      </w:rPr>
    </w:lvl>
    <w:lvl w:ilvl="3" w:tentative="0">
      <w:start w:val="0"/>
      <w:numFmt w:val="bullet"/>
      <w:lvlText w:val="•"/>
      <w:lvlJc w:val="left"/>
      <w:pPr>
        <w:ind w:left="605" w:hanging="188"/>
      </w:pPr>
      <w:rPr>
        <w:rFonts w:hint="default"/>
      </w:rPr>
    </w:lvl>
    <w:lvl w:ilvl="4" w:tentative="0">
      <w:start w:val="0"/>
      <w:numFmt w:val="bullet"/>
      <w:lvlText w:val="•"/>
      <w:lvlJc w:val="left"/>
      <w:pPr>
        <w:ind w:left="738" w:hanging="188"/>
      </w:pPr>
      <w:rPr>
        <w:rFonts w:hint="default"/>
      </w:rPr>
    </w:lvl>
    <w:lvl w:ilvl="5" w:tentative="0">
      <w:start w:val="0"/>
      <w:numFmt w:val="bullet"/>
      <w:lvlText w:val="•"/>
      <w:lvlJc w:val="left"/>
      <w:pPr>
        <w:ind w:left="871" w:hanging="188"/>
      </w:pPr>
      <w:rPr>
        <w:rFonts w:hint="default"/>
      </w:rPr>
    </w:lvl>
    <w:lvl w:ilvl="6" w:tentative="0">
      <w:start w:val="0"/>
      <w:numFmt w:val="bullet"/>
      <w:lvlText w:val="•"/>
      <w:lvlJc w:val="left"/>
      <w:pPr>
        <w:ind w:left="1004" w:hanging="188"/>
      </w:pPr>
      <w:rPr>
        <w:rFonts w:hint="default"/>
      </w:rPr>
    </w:lvl>
    <w:lvl w:ilvl="7" w:tentative="0">
      <w:start w:val="0"/>
      <w:numFmt w:val="bullet"/>
      <w:lvlText w:val="•"/>
      <w:lvlJc w:val="left"/>
      <w:pPr>
        <w:ind w:left="1137" w:hanging="188"/>
      </w:pPr>
      <w:rPr>
        <w:rFonts w:hint="default"/>
      </w:rPr>
    </w:lvl>
    <w:lvl w:ilvl="8" w:tentative="0">
      <w:start w:val="0"/>
      <w:numFmt w:val="bullet"/>
      <w:lvlText w:val="•"/>
      <w:lvlJc w:val="left"/>
      <w:pPr>
        <w:ind w:left="1270" w:hanging="188"/>
      </w:pPr>
      <w:rPr>
        <w:rFonts w:hint="default"/>
      </w:rPr>
    </w:lvl>
  </w:abstractNum>
  <w:abstractNum w:abstractNumId="13">
    <w:nsid w:val="09AFAE12"/>
    <w:multiLevelType w:val="multilevel"/>
    <w:tmpl w:val="09AFAE12"/>
    <w:lvl w:ilvl="0" w:tentative="0">
      <w:start w:val="2"/>
      <w:numFmt w:val="decimal"/>
      <w:lvlText w:val="%1"/>
      <w:lvlJc w:val="left"/>
      <w:pPr>
        <w:ind w:left="2637" w:hanging="506"/>
        <w:jc w:val="left"/>
      </w:pPr>
      <w:rPr>
        <w:rFonts w:hint="default" w:ascii="Times New Roman" w:hAnsi="Times New Roman" w:eastAsia="Times New Roman" w:cs="Times New Roman"/>
        <w:w w:val="99"/>
        <w:position w:val="-9"/>
        <w:sz w:val="18"/>
        <w:szCs w:val="18"/>
      </w:rPr>
    </w:lvl>
    <w:lvl w:ilvl="1" w:tentative="0">
      <w:start w:val="0"/>
      <w:numFmt w:val="bullet"/>
      <w:lvlText w:val="•"/>
      <w:lvlJc w:val="left"/>
      <w:pPr>
        <w:ind w:left="2893" w:hanging="506"/>
      </w:pPr>
      <w:rPr>
        <w:rFonts w:hint="default"/>
      </w:rPr>
    </w:lvl>
    <w:lvl w:ilvl="2" w:tentative="0">
      <w:start w:val="0"/>
      <w:numFmt w:val="bullet"/>
      <w:lvlText w:val="•"/>
      <w:lvlJc w:val="left"/>
      <w:pPr>
        <w:ind w:left="3146" w:hanging="506"/>
      </w:pPr>
      <w:rPr>
        <w:rFonts w:hint="default"/>
      </w:rPr>
    </w:lvl>
    <w:lvl w:ilvl="3" w:tentative="0">
      <w:start w:val="0"/>
      <w:numFmt w:val="bullet"/>
      <w:lvlText w:val="•"/>
      <w:lvlJc w:val="left"/>
      <w:pPr>
        <w:ind w:left="3399" w:hanging="506"/>
      </w:pPr>
      <w:rPr>
        <w:rFonts w:hint="default"/>
      </w:rPr>
    </w:lvl>
    <w:lvl w:ilvl="4" w:tentative="0">
      <w:start w:val="0"/>
      <w:numFmt w:val="bullet"/>
      <w:lvlText w:val="•"/>
      <w:lvlJc w:val="left"/>
      <w:pPr>
        <w:ind w:left="3652" w:hanging="506"/>
      </w:pPr>
      <w:rPr>
        <w:rFonts w:hint="default"/>
      </w:rPr>
    </w:lvl>
    <w:lvl w:ilvl="5" w:tentative="0">
      <w:start w:val="0"/>
      <w:numFmt w:val="bullet"/>
      <w:lvlText w:val="•"/>
      <w:lvlJc w:val="left"/>
      <w:pPr>
        <w:ind w:left="3906" w:hanging="506"/>
      </w:pPr>
      <w:rPr>
        <w:rFonts w:hint="default"/>
      </w:rPr>
    </w:lvl>
    <w:lvl w:ilvl="6" w:tentative="0">
      <w:start w:val="0"/>
      <w:numFmt w:val="bullet"/>
      <w:lvlText w:val="•"/>
      <w:lvlJc w:val="left"/>
      <w:pPr>
        <w:ind w:left="4159" w:hanging="506"/>
      </w:pPr>
      <w:rPr>
        <w:rFonts w:hint="default"/>
      </w:rPr>
    </w:lvl>
    <w:lvl w:ilvl="7" w:tentative="0">
      <w:start w:val="0"/>
      <w:numFmt w:val="bullet"/>
      <w:lvlText w:val="•"/>
      <w:lvlJc w:val="left"/>
      <w:pPr>
        <w:ind w:left="4412" w:hanging="506"/>
      </w:pPr>
      <w:rPr>
        <w:rFonts w:hint="default"/>
      </w:rPr>
    </w:lvl>
    <w:lvl w:ilvl="8" w:tentative="0">
      <w:start w:val="0"/>
      <w:numFmt w:val="bullet"/>
      <w:lvlText w:val="•"/>
      <w:lvlJc w:val="left"/>
      <w:pPr>
        <w:ind w:left="4665" w:hanging="506"/>
      </w:pPr>
      <w:rPr>
        <w:rFonts w:hint="default"/>
      </w:rPr>
    </w:lvl>
  </w:abstractNum>
  <w:abstractNum w:abstractNumId="14">
    <w:nsid w:val="0C2ED4E8"/>
    <w:multiLevelType w:val="multilevel"/>
    <w:tmpl w:val="0C2ED4E8"/>
    <w:lvl w:ilvl="0" w:tentative="0">
      <w:start w:val="1"/>
      <w:numFmt w:val="decimal"/>
      <w:lvlText w:val="%1"/>
      <w:lvlJc w:val="left"/>
      <w:pPr>
        <w:ind w:left="668" w:hanging="449"/>
        <w:jc w:val="left"/>
      </w:pPr>
      <w:rPr>
        <w:rFonts w:hint="default"/>
      </w:rPr>
    </w:lvl>
    <w:lvl w:ilvl="1" w:tentative="0">
      <w:start w:val="2"/>
      <w:numFmt w:val="decimal"/>
      <w:lvlText w:val="%1.%2"/>
      <w:lvlJc w:val="left"/>
      <w:pPr>
        <w:ind w:left="6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8" w:hanging="629"/>
      </w:pPr>
      <w:rPr>
        <w:rFonts w:hint="default"/>
      </w:rPr>
    </w:lvl>
    <w:lvl w:ilvl="4" w:tentative="0">
      <w:start w:val="0"/>
      <w:numFmt w:val="bullet"/>
      <w:lvlText w:val="•"/>
      <w:lvlJc w:val="left"/>
      <w:pPr>
        <w:ind w:left="3522" w:hanging="629"/>
      </w:pPr>
      <w:rPr>
        <w:rFonts w:hint="default"/>
      </w:rPr>
    </w:lvl>
    <w:lvl w:ilvl="5" w:tentative="0">
      <w:start w:val="0"/>
      <w:numFmt w:val="bullet"/>
      <w:lvlText w:val="•"/>
      <w:lvlJc w:val="left"/>
      <w:pPr>
        <w:ind w:left="4416" w:hanging="629"/>
      </w:pPr>
      <w:rPr>
        <w:rFonts w:hint="default"/>
      </w:rPr>
    </w:lvl>
    <w:lvl w:ilvl="6" w:tentative="0">
      <w:start w:val="0"/>
      <w:numFmt w:val="bullet"/>
      <w:lvlText w:val="•"/>
      <w:lvlJc w:val="left"/>
      <w:pPr>
        <w:ind w:left="5310" w:hanging="629"/>
      </w:pPr>
      <w:rPr>
        <w:rFonts w:hint="default"/>
      </w:rPr>
    </w:lvl>
    <w:lvl w:ilvl="7" w:tentative="0">
      <w:start w:val="0"/>
      <w:numFmt w:val="bullet"/>
      <w:lvlText w:val="•"/>
      <w:lvlJc w:val="left"/>
      <w:pPr>
        <w:ind w:left="6204" w:hanging="629"/>
      </w:pPr>
      <w:rPr>
        <w:rFonts w:hint="default"/>
      </w:rPr>
    </w:lvl>
    <w:lvl w:ilvl="8" w:tentative="0">
      <w:start w:val="0"/>
      <w:numFmt w:val="bullet"/>
      <w:lvlText w:val="•"/>
      <w:lvlJc w:val="left"/>
      <w:pPr>
        <w:ind w:left="7098" w:hanging="629"/>
      </w:pPr>
      <w:rPr>
        <w:rFonts w:hint="default"/>
      </w:rPr>
    </w:lvl>
  </w:abstractNum>
  <w:abstractNum w:abstractNumId="15">
    <w:nsid w:val="16A8E011"/>
    <w:multiLevelType w:val="multilevel"/>
    <w:tmpl w:val="16A8E011"/>
    <w:lvl w:ilvl="0" w:tentative="0">
      <w:start w:val="1"/>
      <w:numFmt w:val="decimal"/>
      <w:lvlText w:val="%1"/>
      <w:lvlJc w:val="left"/>
      <w:pPr>
        <w:ind w:left="539" w:hanging="320"/>
        <w:jc w:val="left"/>
      </w:pPr>
      <w:rPr>
        <w:rFonts w:hint="default" w:ascii="Times New Roman" w:hAnsi="Times New Roman" w:eastAsia="Times New Roman" w:cs="Times New Roman"/>
        <w:b/>
        <w:bCs/>
        <w:w w:val="99"/>
        <w:sz w:val="32"/>
        <w:szCs w:val="32"/>
      </w:rPr>
    </w:lvl>
    <w:lvl w:ilvl="1" w:tentative="0">
      <w:start w:val="1"/>
      <w:numFmt w:val="decimal"/>
      <w:lvlText w:val="%1.%2"/>
      <w:lvlJc w:val="left"/>
      <w:pPr>
        <w:ind w:left="6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894" w:hanging="675"/>
        <w:jc w:val="left"/>
      </w:pPr>
      <w:rPr>
        <w:rFonts w:hint="default" w:ascii="Times New Roman" w:hAnsi="Times New Roman" w:eastAsia="Times New Roman" w:cs="Times New Roman"/>
        <w:b/>
        <w:bCs/>
        <w:spacing w:val="-2"/>
        <w:w w:val="99"/>
        <w:sz w:val="30"/>
        <w:szCs w:val="30"/>
      </w:rPr>
    </w:lvl>
    <w:lvl w:ilvl="3" w:tentative="0">
      <w:start w:val="0"/>
      <w:numFmt w:val="bullet"/>
      <w:lvlText w:val="•"/>
      <w:lvlJc w:val="left"/>
      <w:pPr>
        <w:ind w:left="1898" w:hanging="675"/>
      </w:pPr>
      <w:rPr>
        <w:rFonts w:hint="default"/>
      </w:rPr>
    </w:lvl>
    <w:lvl w:ilvl="4" w:tentative="0">
      <w:start w:val="0"/>
      <w:numFmt w:val="bullet"/>
      <w:lvlText w:val="•"/>
      <w:lvlJc w:val="left"/>
      <w:pPr>
        <w:ind w:left="2896" w:hanging="675"/>
      </w:pPr>
      <w:rPr>
        <w:rFonts w:hint="default"/>
      </w:rPr>
    </w:lvl>
    <w:lvl w:ilvl="5" w:tentative="0">
      <w:start w:val="0"/>
      <w:numFmt w:val="bullet"/>
      <w:lvlText w:val="•"/>
      <w:lvlJc w:val="left"/>
      <w:pPr>
        <w:ind w:left="3894" w:hanging="675"/>
      </w:pPr>
      <w:rPr>
        <w:rFonts w:hint="default"/>
      </w:rPr>
    </w:lvl>
    <w:lvl w:ilvl="6" w:tentative="0">
      <w:start w:val="0"/>
      <w:numFmt w:val="bullet"/>
      <w:lvlText w:val="•"/>
      <w:lvlJc w:val="left"/>
      <w:pPr>
        <w:ind w:left="4893" w:hanging="675"/>
      </w:pPr>
      <w:rPr>
        <w:rFonts w:hint="default"/>
      </w:rPr>
    </w:lvl>
    <w:lvl w:ilvl="7" w:tentative="0">
      <w:start w:val="0"/>
      <w:numFmt w:val="bullet"/>
      <w:lvlText w:val="•"/>
      <w:lvlJc w:val="left"/>
      <w:pPr>
        <w:ind w:left="5891" w:hanging="675"/>
      </w:pPr>
      <w:rPr>
        <w:rFonts w:hint="default"/>
      </w:rPr>
    </w:lvl>
    <w:lvl w:ilvl="8" w:tentative="0">
      <w:start w:val="0"/>
      <w:numFmt w:val="bullet"/>
      <w:lvlText w:val="•"/>
      <w:lvlJc w:val="left"/>
      <w:pPr>
        <w:ind w:left="6889" w:hanging="675"/>
      </w:pPr>
      <w:rPr>
        <w:rFonts w:hint="default"/>
      </w:rPr>
    </w:lvl>
  </w:abstractNum>
  <w:abstractNum w:abstractNumId="16">
    <w:nsid w:val="17F54CC1"/>
    <w:multiLevelType w:val="multilevel"/>
    <w:tmpl w:val="17F54CC1"/>
    <w:lvl w:ilvl="0" w:tentative="0">
      <w:start w:val="1"/>
      <w:numFmt w:val="decimal"/>
      <w:lvlText w:val="%1"/>
      <w:lvlJc w:val="left"/>
      <w:pPr>
        <w:ind w:left="668" w:hanging="449"/>
        <w:jc w:val="left"/>
      </w:pPr>
      <w:rPr>
        <w:rFonts w:hint="default"/>
      </w:rPr>
    </w:lvl>
    <w:lvl w:ilvl="1" w:tentative="0">
      <w:start w:val="5"/>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4680" w:hanging="629"/>
      </w:pPr>
      <w:rPr>
        <w:rFonts w:hint="default"/>
      </w:rPr>
    </w:lvl>
    <w:lvl w:ilvl="4" w:tentative="0">
      <w:start w:val="0"/>
      <w:numFmt w:val="bullet"/>
      <w:lvlText w:val="•"/>
      <w:lvlJc w:val="left"/>
      <w:pPr>
        <w:ind w:left="5281" w:hanging="629"/>
      </w:pPr>
      <w:rPr>
        <w:rFonts w:hint="default"/>
      </w:rPr>
    </w:lvl>
    <w:lvl w:ilvl="5" w:tentative="0">
      <w:start w:val="0"/>
      <w:numFmt w:val="bullet"/>
      <w:lvlText w:val="•"/>
      <w:lvlJc w:val="left"/>
      <w:pPr>
        <w:ind w:left="5882" w:hanging="629"/>
      </w:pPr>
      <w:rPr>
        <w:rFonts w:hint="default"/>
      </w:rPr>
    </w:lvl>
    <w:lvl w:ilvl="6" w:tentative="0">
      <w:start w:val="0"/>
      <w:numFmt w:val="bullet"/>
      <w:lvlText w:val="•"/>
      <w:lvlJc w:val="left"/>
      <w:pPr>
        <w:ind w:left="6483" w:hanging="629"/>
      </w:pPr>
      <w:rPr>
        <w:rFonts w:hint="default"/>
      </w:rPr>
    </w:lvl>
    <w:lvl w:ilvl="7" w:tentative="0">
      <w:start w:val="0"/>
      <w:numFmt w:val="bullet"/>
      <w:lvlText w:val="•"/>
      <w:lvlJc w:val="left"/>
      <w:pPr>
        <w:ind w:left="7083" w:hanging="629"/>
      </w:pPr>
      <w:rPr>
        <w:rFonts w:hint="default"/>
      </w:rPr>
    </w:lvl>
    <w:lvl w:ilvl="8" w:tentative="0">
      <w:start w:val="0"/>
      <w:numFmt w:val="bullet"/>
      <w:lvlText w:val="•"/>
      <w:lvlJc w:val="left"/>
      <w:pPr>
        <w:ind w:left="7684" w:hanging="629"/>
      </w:pPr>
      <w:rPr>
        <w:rFonts w:hint="default"/>
      </w:rPr>
    </w:lvl>
  </w:abstractNum>
  <w:abstractNum w:abstractNumId="17">
    <w:nsid w:val="1939303C"/>
    <w:multiLevelType w:val="multilevel"/>
    <w:tmpl w:val="1939303C"/>
    <w:lvl w:ilvl="0" w:tentative="0">
      <w:start w:val="1"/>
      <w:numFmt w:val="decimal"/>
      <w:lvlText w:val="%1"/>
      <w:lvlJc w:val="left"/>
      <w:pPr>
        <w:ind w:left="400" w:hanging="180"/>
        <w:jc w:val="left"/>
      </w:pPr>
      <w:rPr>
        <w:rFonts w:hint="default"/>
        <w:w w:val="100"/>
      </w:rPr>
    </w:lvl>
    <w:lvl w:ilvl="1" w:tentative="0">
      <w:start w:val="0"/>
      <w:numFmt w:val="bullet"/>
      <w:lvlText w:val="•"/>
      <w:lvlJc w:val="left"/>
      <w:pPr>
        <w:ind w:left="1248" w:hanging="180"/>
      </w:pPr>
      <w:rPr>
        <w:rFonts w:hint="default"/>
      </w:rPr>
    </w:lvl>
    <w:lvl w:ilvl="2" w:tentative="0">
      <w:start w:val="0"/>
      <w:numFmt w:val="bullet"/>
      <w:lvlText w:val="•"/>
      <w:lvlJc w:val="left"/>
      <w:pPr>
        <w:ind w:left="2097" w:hanging="180"/>
      </w:pPr>
      <w:rPr>
        <w:rFonts w:hint="default"/>
      </w:rPr>
    </w:lvl>
    <w:lvl w:ilvl="3" w:tentative="0">
      <w:start w:val="0"/>
      <w:numFmt w:val="bullet"/>
      <w:lvlText w:val="•"/>
      <w:lvlJc w:val="left"/>
      <w:pPr>
        <w:ind w:left="2945" w:hanging="180"/>
      </w:pPr>
      <w:rPr>
        <w:rFonts w:hint="default"/>
      </w:rPr>
    </w:lvl>
    <w:lvl w:ilvl="4" w:tentative="0">
      <w:start w:val="0"/>
      <w:numFmt w:val="bullet"/>
      <w:lvlText w:val="•"/>
      <w:lvlJc w:val="left"/>
      <w:pPr>
        <w:ind w:left="3794" w:hanging="180"/>
      </w:pPr>
      <w:rPr>
        <w:rFonts w:hint="default"/>
      </w:rPr>
    </w:lvl>
    <w:lvl w:ilvl="5" w:tentative="0">
      <w:start w:val="0"/>
      <w:numFmt w:val="bullet"/>
      <w:lvlText w:val="•"/>
      <w:lvlJc w:val="left"/>
      <w:pPr>
        <w:ind w:left="4643" w:hanging="180"/>
      </w:pPr>
      <w:rPr>
        <w:rFonts w:hint="default"/>
      </w:rPr>
    </w:lvl>
    <w:lvl w:ilvl="6" w:tentative="0">
      <w:start w:val="0"/>
      <w:numFmt w:val="bullet"/>
      <w:lvlText w:val="•"/>
      <w:lvlJc w:val="left"/>
      <w:pPr>
        <w:ind w:left="5491" w:hanging="180"/>
      </w:pPr>
      <w:rPr>
        <w:rFonts w:hint="default"/>
      </w:rPr>
    </w:lvl>
    <w:lvl w:ilvl="7" w:tentative="0">
      <w:start w:val="0"/>
      <w:numFmt w:val="bullet"/>
      <w:lvlText w:val="•"/>
      <w:lvlJc w:val="left"/>
      <w:pPr>
        <w:ind w:left="6340" w:hanging="180"/>
      </w:pPr>
      <w:rPr>
        <w:rFonts w:hint="default"/>
      </w:rPr>
    </w:lvl>
    <w:lvl w:ilvl="8" w:tentative="0">
      <w:start w:val="0"/>
      <w:numFmt w:val="bullet"/>
      <w:lvlText w:val="•"/>
      <w:lvlJc w:val="left"/>
      <w:pPr>
        <w:ind w:left="7188" w:hanging="180"/>
      </w:pPr>
      <w:rPr>
        <w:rFonts w:hint="default"/>
      </w:rPr>
    </w:lvl>
  </w:abstractNum>
  <w:abstractNum w:abstractNumId="18">
    <w:nsid w:val="1A49774B"/>
    <w:multiLevelType w:val="multilevel"/>
    <w:tmpl w:val="1A49774B"/>
    <w:lvl w:ilvl="0" w:tentative="0">
      <w:start w:val="3"/>
      <w:numFmt w:val="decimal"/>
      <w:lvlText w:val="%1"/>
      <w:lvlJc w:val="left"/>
      <w:pPr>
        <w:ind w:left="868" w:hanging="629"/>
        <w:jc w:val="left"/>
      </w:pPr>
      <w:rPr>
        <w:rFonts w:hint="default"/>
      </w:rPr>
    </w:lvl>
    <w:lvl w:ilvl="1" w:tentative="0">
      <w:start w:val="2"/>
      <w:numFmt w:val="decimal"/>
      <w:lvlText w:val="%1.%2"/>
      <w:lvlJc w:val="left"/>
      <w:pPr>
        <w:ind w:left="868" w:hanging="629"/>
        <w:jc w:val="left"/>
      </w:pPr>
      <w:rPr>
        <w:rFonts w:hint="default"/>
      </w:rPr>
    </w:lvl>
    <w:lvl w:ilvl="2" w:tentative="0">
      <w:start w:val="5"/>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237" w:hanging="629"/>
      </w:pPr>
      <w:rPr>
        <w:rFonts w:hint="default"/>
      </w:rPr>
    </w:lvl>
    <w:lvl w:ilvl="4" w:tentative="0">
      <w:start w:val="0"/>
      <w:numFmt w:val="bullet"/>
      <w:lvlText w:val="•"/>
      <w:lvlJc w:val="left"/>
      <w:pPr>
        <w:ind w:left="4030" w:hanging="629"/>
      </w:pPr>
      <w:rPr>
        <w:rFonts w:hint="default"/>
      </w:rPr>
    </w:lvl>
    <w:lvl w:ilvl="5" w:tentative="0">
      <w:start w:val="0"/>
      <w:numFmt w:val="bullet"/>
      <w:lvlText w:val="•"/>
      <w:lvlJc w:val="left"/>
      <w:pPr>
        <w:ind w:left="4823" w:hanging="629"/>
      </w:pPr>
      <w:rPr>
        <w:rFonts w:hint="default"/>
      </w:rPr>
    </w:lvl>
    <w:lvl w:ilvl="6" w:tentative="0">
      <w:start w:val="0"/>
      <w:numFmt w:val="bullet"/>
      <w:lvlText w:val="•"/>
      <w:lvlJc w:val="left"/>
      <w:pPr>
        <w:ind w:left="5615" w:hanging="629"/>
      </w:pPr>
      <w:rPr>
        <w:rFonts w:hint="default"/>
      </w:rPr>
    </w:lvl>
    <w:lvl w:ilvl="7" w:tentative="0">
      <w:start w:val="0"/>
      <w:numFmt w:val="bullet"/>
      <w:lvlText w:val="•"/>
      <w:lvlJc w:val="left"/>
      <w:pPr>
        <w:ind w:left="6408" w:hanging="629"/>
      </w:pPr>
      <w:rPr>
        <w:rFonts w:hint="default"/>
      </w:rPr>
    </w:lvl>
    <w:lvl w:ilvl="8" w:tentative="0">
      <w:start w:val="0"/>
      <w:numFmt w:val="bullet"/>
      <w:lvlText w:val="•"/>
      <w:lvlJc w:val="left"/>
      <w:pPr>
        <w:ind w:left="7200" w:hanging="629"/>
      </w:pPr>
      <w:rPr>
        <w:rFonts w:hint="default"/>
      </w:rPr>
    </w:lvl>
  </w:abstractNum>
  <w:abstractNum w:abstractNumId="19">
    <w:nsid w:val="1CADBAA6"/>
    <w:multiLevelType w:val="multilevel"/>
    <w:tmpl w:val="1CADBAA6"/>
    <w:lvl w:ilvl="0" w:tentative="0">
      <w:start w:val="5"/>
      <w:numFmt w:val="decimal"/>
      <w:lvlText w:val="%1"/>
      <w:lvlJc w:val="left"/>
      <w:pPr>
        <w:ind w:left="1068" w:hanging="449"/>
        <w:jc w:val="left"/>
      </w:pPr>
      <w:rPr>
        <w:rFonts w:hint="default"/>
      </w:rPr>
    </w:lvl>
    <w:lvl w:ilvl="1" w:tentative="0">
      <w:start w:val="3"/>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20">
    <w:nsid w:val="255DBD3F"/>
    <w:multiLevelType w:val="multilevel"/>
    <w:tmpl w:val="255DBD3F"/>
    <w:lvl w:ilvl="0" w:tentative="0">
      <w:start w:val="4"/>
      <w:numFmt w:val="decimal"/>
      <w:lvlText w:val="%1"/>
      <w:lvlJc w:val="left"/>
      <w:pPr>
        <w:ind w:left="1068" w:hanging="449"/>
        <w:jc w:val="left"/>
      </w:pPr>
      <w:rPr>
        <w:rFonts w:hint="default"/>
      </w:rPr>
    </w:lvl>
    <w:lvl w:ilvl="1" w:tentative="0">
      <w:start w:val="3"/>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21">
    <w:nsid w:val="3C141125"/>
    <w:multiLevelType w:val="multilevel"/>
    <w:tmpl w:val="3C141125"/>
    <w:lvl w:ilvl="0" w:tentative="0">
      <w:start w:val="4"/>
      <w:numFmt w:val="decimal"/>
      <w:lvlText w:val="%1"/>
      <w:lvlJc w:val="left"/>
      <w:pPr>
        <w:ind w:left="688" w:hanging="449"/>
        <w:jc w:val="left"/>
      </w:pPr>
      <w:rPr>
        <w:rFonts w:hint="default"/>
      </w:rPr>
    </w:lvl>
    <w:lvl w:ilvl="1" w:tentative="0">
      <w:start w:val="1"/>
      <w:numFmt w:val="decimal"/>
      <w:lvlText w:val="%1.%2"/>
      <w:lvlJc w:val="left"/>
      <w:pPr>
        <w:ind w:left="68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8" w:hanging="629"/>
        <w:jc w:val="right"/>
      </w:pPr>
      <w:rPr>
        <w:rFonts w:hint="default"/>
        <w:b/>
        <w:bCs/>
        <w:spacing w:val="-2"/>
        <w:w w:val="100"/>
      </w:rPr>
    </w:lvl>
    <w:lvl w:ilvl="3" w:tentative="0">
      <w:start w:val="1"/>
      <w:numFmt w:val="decimal"/>
      <w:lvlText w:val="%1.%2.%3.%4"/>
      <w:lvlJc w:val="left"/>
      <w:pPr>
        <w:ind w:left="1140" w:hanging="720"/>
        <w:jc w:val="right"/>
      </w:pPr>
      <w:rPr>
        <w:rFonts w:hint="default" w:ascii="Times New Roman" w:hAnsi="Times New Roman" w:eastAsia="Times New Roman" w:cs="Times New Roman"/>
        <w:b/>
        <w:bCs/>
        <w:w w:val="99"/>
        <w:sz w:val="24"/>
        <w:szCs w:val="24"/>
      </w:rPr>
    </w:lvl>
    <w:lvl w:ilvl="4" w:tentative="0">
      <w:start w:val="0"/>
      <w:numFmt w:val="bullet"/>
      <w:lvlText w:val="•"/>
      <w:lvlJc w:val="left"/>
      <w:pPr>
        <w:ind w:left="1340" w:hanging="720"/>
      </w:pPr>
      <w:rPr>
        <w:rFonts w:hint="default"/>
      </w:rPr>
    </w:lvl>
    <w:lvl w:ilvl="5" w:tentative="0">
      <w:start w:val="0"/>
      <w:numFmt w:val="bullet"/>
      <w:lvlText w:val="•"/>
      <w:lvlJc w:val="left"/>
      <w:pPr>
        <w:ind w:left="2584" w:hanging="720"/>
      </w:pPr>
      <w:rPr>
        <w:rFonts w:hint="default"/>
      </w:rPr>
    </w:lvl>
    <w:lvl w:ilvl="6" w:tentative="0">
      <w:start w:val="0"/>
      <w:numFmt w:val="bullet"/>
      <w:lvlText w:val="•"/>
      <w:lvlJc w:val="left"/>
      <w:pPr>
        <w:ind w:left="3828" w:hanging="720"/>
      </w:pPr>
      <w:rPr>
        <w:rFonts w:hint="default"/>
      </w:rPr>
    </w:lvl>
    <w:lvl w:ilvl="7" w:tentative="0">
      <w:start w:val="0"/>
      <w:numFmt w:val="bullet"/>
      <w:lvlText w:val="•"/>
      <w:lvlJc w:val="left"/>
      <w:pPr>
        <w:ind w:left="5073" w:hanging="720"/>
      </w:pPr>
      <w:rPr>
        <w:rFonts w:hint="default"/>
      </w:rPr>
    </w:lvl>
    <w:lvl w:ilvl="8" w:tentative="0">
      <w:start w:val="0"/>
      <w:numFmt w:val="bullet"/>
      <w:lvlText w:val="•"/>
      <w:lvlJc w:val="left"/>
      <w:pPr>
        <w:ind w:left="6317" w:hanging="720"/>
      </w:pPr>
      <w:rPr>
        <w:rFonts w:hint="default"/>
      </w:rPr>
    </w:lvl>
  </w:abstractNum>
  <w:abstractNum w:abstractNumId="22">
    <w:nsid w:val="433F317E"/>
    <w:multiLevelType w:val="multilevel"/>
    <w:tmpl w:val="433F317E"/>
    <w:lvl w:ilvl="0" w:tentative="0">
      <w:start w:val="7"/>
      <w:numFmt w:val="decimal"/>
      <w:lvlText w:val="%1"/>
      <w:lvlJc w:val="left"/>
      <w:pPr>
        <w:ind w:left="764" w:hanging="526"/>
        <w:jc w:val="right"/>
      </w:pPr>
      <w:rPr>
        <w:rFonts w:hint="default"/>
      </w:rPr>
    </w:lvl>
    <w:lvl w:ilvl="1" w:tentative="0">
      <w:start w:val="5"/>
      <w:numFmt w:val="decimal"/>
      <w:lvlText w:val="%1.%2"/>
      <w:lvlJc w:val="left"/>
      <w:pPr>
        <w:ind w:left="764" w:hanging="526"/>
        <w:jc w:val="left"/>
      </w:pPr>
      <w:rPr>
        <w:rFonts w:hint="default" w:ascii="Times New Roman" w:hAnsi="Times New Roman" w:eastAsia="Times New Roman" w:cs="Times New Roman"/>
        <w:b/>
        <w:bCs/>
        <w:spacing w:val="-1"/>
        <w:w w:val="99"/>
        <w:sz w:val="30"/>
        <w:szCs w:val="30"/>
      </w:rPr>
    </w:lvl>
    <w:lvl w:ilvl="2" w:tentative="0">
      <w:start w:val="0"/>
      <w:numFmt w:val="bullet"/>
      <w:lvlText w:val="•"/>
      <w:lvlJc w:val="left"/>
      <w:pPr>
        <w:ind w:left="2541" w:hanging="526"/>
      </w:pPr>
      <w:rPr>
        <w:rFonts w:hint="default"/>
      </w:rPr>
    </w:lvl>
    <w:lvl w:ilvl="3" w:tentative="0">
      <w:start w:val="0"/>
      <w:numFmt w:val="bullet"/>
      <w:lvlText w:val="•"/>
      <w:lvlJc w:val="left"/>
      <w:pPr>
        <w:ind w:left="3431" w:hanging="526"/>
      </w:pPr>
      <w:rPr>
        <w:rFonts w:hint="default"/>
      </w:rPr>
    </w:lvl>
    <w:lvl w:ilvl="4" w:tentative="0">
      <w:start w:val="0"/>
      <w:numFmt w:val="bullet"/>
      <w:lvlText w:val="•"/>
      <w:lvlJc w:val="left"/>
      <w:pPr>
        <w:ind w:left="4322" w:hanging="526"/>
      </w:pPr>
      <w:rPr>
        <w:rFonts w:hint="default"/>
      </w:rPr>
    </w:lvl>
    <w:lvl w:ilvl="5" w:tentative="0">
      <w:start w:val="0"/>
      <w:numFmt w:val="bullet"/>
      <w:lvlText w:val="•"/>
      <w:lvlJc w:val="left"/>
      <w:pPr>
        <w:ind w:left="5213" w:hanging="526"/>
      </w:pPr>
      <w:rPr>
        <w:rFonts w:hint="default"/>
      </w:rPr>
    </w:lvl>
    <w:lvl w:ilvl="6" w:tentative="0">
      <w:start w:val="0"/>
      <w:numFmt w:val="bullet"/>
      <w:lvlText w:val="•"/>
      <w:lvlJc w:val="left"/>
      <w:pPr>
        <w:ind w:left="6103" w:hanging="526"/>
      </w:pPr>
      <w:rPr>
        <w:rFonts w:hint="default"/>
      </w:rPr>
    </w:lvl>
    <w:lvl w:ilvl="7" w:tentative="0">
      <w:start w:val="0"/>
      <w:numFmt w:val="bullet"/>
      <w:lvlText w:val="•"/>
      <w:lvlJc w:val="left"/>
      <w:pPr>
        <w:ind w:left="6994" w:hanging="526"/>
      </w:pPr>
      <w:rPr>
        <w:rFonts w:hint="default"/>
      </w:rPr>
    </w:lvl>
    <w:lvl w:ilvl="8" w:tentative="0">
      <w:start w:val="0"/>
      <w:numFmt w:val="bullet"/>
      <w:lvlText w:val="•"/>
      <w:lvlJc w:val="left"/>
      <w:pPr>
        <w:ind w:left="7884" w:hanging="526"/>
      </w:pPr>
      <w:rPr>
        <w:rFonts w:hint="default"/>
      </w:rPr>
    </w:lvl>
  </w:abstractNum>
  <w:abstractNum w:abstractNumId="23">
    <w:nsid w:val="4F0D4CD3"/>
    <w:multiLevelType w:val="multilevel"/>
    <w:tmpl w:val="4F0D4CD3"/>
    <w:lvl w:ilvl="0" w:tentative="0">
      <w:start w:val="2"/>
      <w:numFmt w:val="decimal"/>
      <w:lvlText w:val="%1"/>
      <w:lvlJc w:val="left"/>
      <w:pPr>
        <w:ind w:left="668" w:hanging="449"/>
        <w:jc w:val="left"/>
      </w:pPr>
      <w:rPr>
        <w:rFonts w:hint="default"/>
      </w:rPr>
    </w:lvl>
    <w:lvl w:ilvl="1" w:tentative="0">
      <w:start w:val="2"/>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9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2926" w:hanging="720"/>
      </w:pPr>
      <w:rPr>
        <w:rFonts w:hint="default"/>
      </w:rPr>
    </w:lvl>
    <w:lvl w:ilvl="5" w:tentative="0">
      <w:start w:val="0"/>
      <w:numFmt w:val="bullet"/>
      <w:lvlText w:val="•"/>
      <w:lvlJc w:val="left"/>
      <w:pPr>
        <w:ind w:left="3919" w:hanging="720"/>
      </w:pPr>
      <w:rPr>
        <w:rFonts w:hint="default"/>
      </w:rPr>
    </w:lvl>
    <w:lvl w:ilvl="6" w:tentative="0">
      <w:start w:val="0"/>
      <w:numFmt w:val="bullet"/>
      <w:lvlText w:val="•"/>
      <w:lvlJc w:val="left"/>
      <w:pPr>
        <w:ind w:left="4913" w:hanging="720"/>
      </w:pPr>
      <w:rPr>
        <w:rFonts w:hint="default"/>
      </w:rPr>
    </w:lvl>
    <w:lvl w:ilvl="7" w:tentative="0">
      <w:start w:val="0"/>
      <w:numFmt w:val="bullet"/>
      <w:lvlText w:val="•"/>
      <w:lvlJc w:val="left"/>
      <w:pPr>
        <w:ind w:left="5906" w:hanging="720"/>
      </w:pPr>
      <w:rPr>
        <w:rFonts w:hint="default"/>
      </w:rPr>
    </w:lvl>
    <w:lvl w:ilvl="8" w:tentative="0">
      <w:start w:val="0"/>
      <w:numFmt w:val="bullet"/>
      <w:lvlText w:val="•"/>
      <w:lvlJc w:val="left"/>
      <w:pPr>
        <w:ind w:left="6899" w:hanging="720"/>
      </w:pPr>
      <w:rPr>
        <w:rFonts w:hint="default"/>
      </w:rPr>
    </w:lvl>
  </w:abstractNum>
  <w:abstractNum w:abstractNumId="24">
    <w:nsid w:val="564FEFE1"/>
    <w:multiLevelType w:val="multilevel"/>
    <w:tmpl w:val="564FEFE1"/>
    <w:lvl w:ilvl="0" w:tentative="0">
      <w:start w:val="1"/>
      <w:numFmt w:val="decimal"/>
      <w:lvlText w:val="%1"/>
      <w:lvlJc w:val="left"/>
      <w:pPr>
        <w:ind w:left="820" w:hanging="180"/>
        <w:jc w:val="left"/>
      </w:pPr>
      <w:rPr>
        <w:rFonts w:hint="default" w:ascii="Times New Roman" w:hAnsi="Times New Roman" w:eastAsia="Times New Roman" w:cs="Times New Roman"/>
        <w:w w:val="100"/>
        <w:sz w:val="24"/>
        <w:szCs w:val="24"/>
      </w:rPr>
    </w:lvl>
    <w:lvl w:ilvl="1" w:tentative="0">
      <w:start w:val="0"/>
      <w:numFmt w:val="bullet"/>
      <w:lvlText w:val="•"/>
      <w:lvlJc w:val="left"/>
      <w:pPr>
        <w:ind w:left="1626" w:hanging="180"/>
      </w:pPr>
      <w:rPr>
        <w:rFonts w:hint="default"/>
      </w:rPr>
    </w:lvl>
    <w:lvl w:ilvl="2" w:tentative="0">
      <w:start w:val="0"/>
      <w:numFmt w:val="bullet"/>
      <w:lvlText w:val="•"/>
      <w:lvlJc w:val="left"/>
      <w:pPr>
        <w:ind w:left="2433" w:hanging="180"/>
      </w:pPr>
      <w:rPr>
        <w:rFonts w:hint="default"/>
      </w:rPr>
    </w:lvl>
    <w:lvl w:ilvl="3" w:tentative="0">
      <w:start w:val="0"/>
      <w:numFmt w:val="bullet"/>
      <w:lvlText w:val="•"/>
      <w:lvlJc w:val="left"/>
      <w:pPr>
        <w:ind w:left="3239" w:hanging="180"/>
      </w:pPr>
      <w:rPr>
        <w:rFonts w:hint="default"/>
      </w:rPr>
    </w:lvl>
    <w:lvl w:ilvl="4" w:tentative="0">
      <w:start w:val="0"/>
      <w:numFmt w:val="bullet"/>
      <w:lvlText w:val="•"/>
      <w:lvlJc w:val="left"/>
      <w:pPr>
        <w:ind w:left="4046" w:hanging="180"/>
      </w:pPr>
      <w:rPr>
        <w:rFonts w:hint="default"/>
      </w:rPr>
    </w:lvl>
    <w:lvl w:ilvl="5" w:tentative="0">
      <w:start w:val="0"/>
      <w:numFmt w:val="bullet"/>
      <w:lvlText w:val="•"/>
      <w:lvlJc w:val="left"/>
      <w:pPr>
        <w:ind w:left="4853" w:hanging="180"/>
      </w:pPr>
      <w:rPr>
        <w:rFonts w:hint="default"/>
      </w:rPr>
    </w:lvl>
    <w:lvl w:ilvl="6" w:tentative="0">
      <w:start w:val="0"/>
      <w:numFmt w:val="bullet"/>
      <w:lvlText w:val="•"/>
      <w:lvlJc w:val="left"/>
      <w:pPr>
        <w:ind w:left="5659" w:hanging="180"/>
      </w:pPr>
      <w:rPr>
        <w:rFonts w:hint="default"/>
      </w:rPr>
    </w:lvl>
    <w:lvl w:ilvl="7" w:tentative="0">
      <w:start w:val="0"/>
      <w:numFmt w:val="bullet"/>
      <w:lvlText w:val="•"/>
      <w:lvlJc w:val="left"/>
      <w:pPr>
        <w:ind w:left="6466" w:hanging="180"/>
      </w:pPr>
      <w:rPr>
        <w:rFonts w:hint="default"/>
      </w:rPr>
    </w:lvl>
    <w:lvl w:ilvl="8" w:tentative="0">
      <w:start w:val="0"/>
      <w:numFmt w:val="bullet"/>
      <w:lvlText w:val="•"/>
      <w:lvlJc w:val="left"/>
      <w:pPr>
        <w:ind w:left="7272" w:hanging="180"/>
      </w:pPr>
      <w:rPr>
        <w:rFonts w:hint="default"/>
      </w:rPr>
    </w:lvl>
  </w:abstractNum>
  <w:abstractNum w:abstractNumId="25">
    <w:nsid w:val="5CD31522"/>
    <w:multiLevelType w:val="multilevel"/>
    <w:tmpl w:val="5CD31522"/>
    <w:lvl w:ilvl="0" w:tentative="0">
      <w:start w:val="4"/>
      <w:numFmt w:val="decimal"/>
      <w:lvlText w:val="%1"/>
      <w:lvlJc w:val="left"/>
      <w:pPr>
        <w:ind w:left="1248" w:hanging="629"/>
        <w:jc w:val="left"/>
      </w:pPr>
      <w:rPr>
        <w:rFonts w:hint="default"/>
      </w:rPr>
    </w:lvl>
    <w:lvl w:ilvl="1" w:tentative="0">
      <w:start w:val="1"/>
      <w:numFmt w:val="decimal"/>
      <w:lvlText w:val="%1.%2"/>
      <w:lvlJc w:val="left"/>
      <w:pPr>
        <w:ind w:left="1248" w:hanging="629"/>
        <w:jc w:val="left"/>
      </w:pPr>
      <w:rPr>
        <w:rFonts w:hint="default"/>
      </w:rPr>
    </w:lvl>
    <w:lvl w:ilvl="2" w:tentative="0">
      <w:start w:val="5"/>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767" w:hanging="629"/>
      </w:pPr>
      <w:rPr>
        <w:rFonts w:hint="default"/>
      </w:rPr>
    </w:lvl>
    <w:lvl w:ilvl="4" w:tentative="0">
      <w:start w:val="0"/>
      <w:numFmt w:val="bullet"/>
      <w:lvlText w:val="•"/>
      <w:lvlJc w:val="left"/>
      <w:pPr>
        <w:ind w:left="4610" w:hanging="629"/>
      </w:pPr>
      <w:rPr>
        <w:rFonts w:hint="default"/>
      </w:rPr>
    </w:lvl>
    <w:lvl w:ilvl="5" w:tentative="0">
      <w:start w:val="0"/>
      <w:numFmt w:val="bullet"/>
      <w:lvlText w:val="•"/>
      <w:lvlJc w:val="left"/>
      <w:pPr>
        <w:ind w:left="5453" w:hanging="629"/>
      </w:pPr>
      <w:rPr>
        <w:rFonts w:hint="default"/>
      </w:rPr>
    </w:lvl>
    <w:lvl w:ilvl="6" w:tentative="0">
      <w:start w:val="0"/>
      <w:numFmt w:val="bullet"/>
      <w:lvlText w:val="•"/>
      <w:lvlJc w:val="left"/>
      <w:pPr>
        <w:ind w:left="6295" w:hanging="629"/>
      </w:pPr>
      <w:rPr>
        <w:rFonts w:hint="default"/>
      </w:rPr>
    </w:lvl>
    <w:lvl w:ilvl="7" w:tentative="0">
      <w:start w:val="0"/>
      <w:numFmt w:val="bullet"/>
      <w:lvlText w:val="•"/>
      <w:lvlJc w:val="left"/>
      <w:pPr>
        <w:ind w:left="7138" w:hanging="629"/>
      </w:pPr>
      <w:rPr>
        <w:rFonts w:hint="default"/>
      </w:rPr>
    </w:lvl>
    <w:lvl w:ilvl="8" w:tentative="0">
      <w:start w:val="0"/>
      <w:numFmt w:val="bullet"/>
      <w:lvlText w:val="•"/>
      <w:lvlJc w:val="left"/>
      <w:pPr>
        <w:ind w:left="7980" w:hanging="629"/>
      </w:pPr>
      <w:rPr>
        <w:rFonts w:hint="default"/>
      </w:rPr>
    </w:lvl>
  </w:abstractNum>
  <w:abstractNum w:abstractNumId="26">
    <w:nsid w:val="60194E20"/>
    <w:multiLevelType w:val="multilevel"/>
    <w:tmpl w:val="60194E20"/>
    <w:lvl w:ilvl="0" w:tentative="0">
      <w:start w:val="7"/>
      <w:numFmt w:val="decimal"/>
      <w:lvlText w:val="%1"/>
      <w:lvlJc w:val="left"/>
      <w:pPr>
        <w:ind w:left="687" w:hanging="449"/>
        <w:jc w:val="left"/>
      </w:pPr>
      <w:rPr>
        <w:rFonts w:hint="default"/>
      </w:rPr>
    </w:lvl>
    <w:lvl w:ilvl="1" w:tentative="0">
      <w:start w:val="2"/>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7"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16" w:hanging="629"/>
      </w:pPr>
      <w:rPr>
        <w:rFonts w:hint="default"/>
      </w:rPr>
    </w:lvl>
    <w:lvl w:ilvl="4" w:tentative="0">
      <w:start w:val="0"/>
      <w:numFmt w:val="bullet"/>
      <w:lvlText w:val="•"/>
      <w:lvlJc w:val="left"/>
      <w:pPr>
        <w:ind w:left="3795" w:hanging="629"/>
      </w:pPr>
      <w:rPr>
        <w:rFonts w:hint="default"/>
      </w:rPr>
    </w:lvl>
    <w:lvl w:ilvl="5" w:tentative="0">
      <w:start w:val="0"/>
      <w:numFmt w:val="bullet"/>
      <w:lvlText w:val="•"/>
      <w:lvlJc w:val="left"/>
      <w:pPr>
        <w:ind w:left="4773" w:hanging="629"/>
      </w:pPr>
      <w:rPr>
        <w:rFonts w:hint="default"/>
      </w:rPr>
    </w:lvl>
    <w:lvl w:ilvl="6" w:tentative="0">
      <w:start w:val="0"/>
      <w:numFmt w:val="bullet"/>
      <w:lvlText w:val="•"/>
      <w:lvlJc w:val="left"/>
      <w:pPr>
        <w:ind w:left="5752" w:hanging="629"/>
      </w:pPr>
      <w:rPr>
        <w:rFonts w:hint="default"/>
      </w:rPr>
    </w:lvl>
    <w:lvl w:ilvl="7" w:tentative="0">
      <w:start w:val="0"/>
      <w:numFmt w:val="bullet"/>
      <w:lvlText w:val="•"/>
      <w:lvlJc w:val="left"/>
      <w:pPr>
        <w:ind w:left="6730" w:hanging="629"/>
      </w:pPr>
      <w:rPr>
        <w:rFonts w:hint="default"/>
      </w:rPr>
    </w:lvl>
    <w:lvl w:ilvl="8" w:tentative="0">
      <w:start w:val="0"/>
      <w:numFmt w:val="bullet"/>
      <w:lvlText w:val="•"/>
      <w:lvlJc w:val="left"/>
      <w:pPr>
        <w:ind w:left="7709" w:hanging="629"/>
      </w:pPr>
      <w:rPr>
        <w:rFonts w:hint="default"/>
      </w:rPr>
    </w:lvl>
  </w:abstractNum>
  <w:abstractNum w:abstractNumId="27">
    <w:nsid w:val="6B636E3E"/>
    <w:multiLevelType w:val="multilevel"/>
    <w:tmpl w:val="6B636E3E"/>
    <w:lvl w:ilvl="0" w:tentative="0">
      <w:start w:val="2"/>
      <w:numFmt w:val="decimal"/>
      <w:lvlText w:val="%1"/>
      <w:lvlJc w:val="left"/>
      <w:pPr>
        <w:ind w:left="668" w:hanging="449"/>
        <w:jc w:val="left"/>
      </w:pPr>
      <w:rPr>
        <w:rFonts w:hint="default"/>
      </w:rPr>
    </w:lvl>
    <w:lvl w:ilvl="1" w:tentative="0">
      <w:start w:val="1"/>
      <w:numFmt w:val="decimal"/>
      <w:lvlText w:val="%1.%2"/>
      <w:lvlJc w:val="left"/>
      <w:pPr>
        <w:ind w:left="66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8" w:hanging="629"/>
      </w:pPr>
      <w:rPr>
        <w:rFonts w:hint="default"/>
      </w:rPr>
    </w:lvl>
    <w:lvl w:ilvl="4" w:tentative="0">
      <w:start w:val="0"/>
      <w:numFmt w:val="bullet"/>
      <w:lvlText w:val="•"/>
      <w:lvlJc w:val="left"/>
      <w:pPr>
        <w:ind w:left="3522" w:hanging="629"/>
      </w:pPr>
      <w:rPr>
        <w:rFonts w:hint="default"/>
      </w:rPr>
    </w:lvl>
    <w:lvl w:ilvl="5" w:tentative="0">
      <w:start w:val="0"/>
      <w:numFmt w:val="bullet"/>
      <w:lvlText w:val="•"/>
      <w:lvlJc w:val="left"/>
      <w:pPr>
        <w:ind w:left="4416" w:hanging="629"/>
      </w:pPr>
      <w:rPr>
        <w:rFonts w:hint="default"/>
      </w:rPr>
    </w:lvl>
    <w:lvl w:ilvl="6" w:tentative="0">
      <w:start w:val="0"/>
      <w:numFmt w:val="bullet"/>
      <w:lvlText w:val="•"/>
      <w:lvlJc w:val="left"/>
      <w:pPr>
        <w:ind w:left="5310" w:hanging="629"/>
      </w:pPr>
      <w:rPr>
        <w:rFonts w:hint="default"/>
      </w:rPr>
    </w:lvl>
    <w:lvl w:ilvl="7" w:tentative="0">
      <w:start w:val="0"/>
      <w:numFmt w:val="bullet"/>
      <w:lvlText w:val="•"/>
      <w:lvlJc w:val="left"/>
      <w:pPr>
        <w:ind w:left="6204" w:hanging="629"/>
      </w:pPr>
      <w:rPr>
        <w:rFonts w:hint="default"/>
      </w:rPr>
    </w:lvl>
    <w:lvl w:ilvl="8" w:tentative="0">
      <w:start w:val="0"/>
      <w:numFmt w:val="bullet"/>
      <w:lvlText w:val="•"/>
      <w:lvlJc w:val="left"/>
      <w:pPr>
        <w:ind w:left="7098" w:hanging="629"/>
      </w:pPr>
      <w:rPr>
        <w:rFonts w:hint="default"/>
      </w:rPr>
    </w:lvl>
  </w:abstractNum>
  <w:abstractNum w:abstractNumId="28">
    <w:nsid w:val="6BE3C2E8"/>
    <w:multiLevelType w:val="multilevel"/>
    <w:tmpl w:val="6BE3C2E8"/>
    <w:lvl w:ilvl="0" w:tentative="0">
      <w:start w:val="4"/>
      <w:numFmt w:val="decimal"/>
      <w:lvlText w:val="%1"/>
      <w:lvlJc w:val="left"/>
      <w:pPr>
        <w:ind w:left="1294" w:hanging="675"/>
        <w:jc w:val="left"/>
      </w:pPr>
      <w:rPr>
        <w:rFonts w:hint="default"/>
      </w:rPr>
    </w:lvl>
    <w:lvl w:ilvl="1" w:tentative="0">
      <w:start w:val="6"/>
      <w:numFmt w:val="decimal"/>
      <w:lvlText w:val="%1.%2"/>
      <w:lvlJc w:val="left"/>
      <w:pPr>
        <w:ind w:left="1294" w:hanging="675"/>
        <w:jc w:val="left"/>
      </w:pPr>
      <w:rPr>
        <w:rFonts w:hint="default"/>
      </w:rPr>
    </w:lvl>
    <w:lvl w:ilvl="2" w:tentative="0">
      <w:start w:val="1"/>
      <w:numFmt w:val="decimal"/>
      <w:lvlText w:val="%1.%2.%3"/>
      <w:lvlJc w:val="left"/>
      <w:pPr>
        <w:ind w:left="1294" w:hanging="675"/>
        <w:jc w:val="left"/>
      </w:pPr>
      <w:rPr>
        <w:rFonts w:hint="default" w:ascii="Times New Roman" w:hAnsi="Times New Roman" w:eastAsia="Times New Roman" w:cs="Times New Roman"/>
        <w:b/>
        <w:bCs/>
        <w:spacing w:val="-1"/>
        <w:w w:val="100"/>
        <w:sz w:val="30"/>
        <w:szCs w:val="30"/>
      </w:rPr>
    </w:lvl>
    <w:lvl w:ilvl="3" w:tentative="0">
      <w:start w:val="1"/>
      <w:numFmt w:val="decimal"/>
      <w:lvlText w:val="%1.%2.%3.%4"/>
      <w:lvlJc w:val="left"/>
      <w:pPr>
        <w:ind w:left="1340" w:hanging="720"/>
        <w:jc w:val="left"/>
      </w:pPr>
      <w:rPr>
        <w:rFonts w:hint="default" w:ascii="Times New Roman" w:hAnsi="Times New Roman" w:eastAsia="Times New Roman" w:cs="Times New Roman"/>
        <w:b/>
        <w:bCs/>
        <w:w w:val="99"/>
        <w:sz w:val="24"/>
        <w:szCs w:val="24"/>
      </w:rPr>
    </w:lvl>
    <w:lvl w:ilvl="4" w:tentative="0">
      <w:start w:val="0"/>
      <w:numFmt w:val="bullet"/>
      <w:lvlText w:val="•"/>
      <w:lvlJc w:val="left"/>
      <w:pPr>
        <w:ind w:left="4115" w:hanging="720"/>
      </w:pPr>
      <w:rPr>
        <w:rFonts w:hint="default"/>
      </w:rPr>
    </w:lvl>
    <w:lvl w:ilvl="5" w:tentative="0">
      <w:start w:val="0"/>
      <w:numFmt w:val="bullet"/>
      <w:lvlText w:val="•"/>
      <w:lvlJc w:val="left"/>
      <w:pPr>
        <w:ind w:left="5040" w:hanging="720"/>
      </w:pPr>
      <w:rPr>
        <w:rFonts w:hint="default"/>
      </w:rPr>
    </w:lvl>
    <w:lvl w:ilvl="6" w:tentative="0">
      <w:start w:val="0"/>
      <w:numFmt w:val="bullet"/>
      <w:lvlText w:val="•"/>
      <w:lvlJc w:val="left"/>
      <w:pPr>
        <w:ind w:left="5965" w:hanging="720"/>
      </w:pPr>
      <w:rPr>
        <w:rFonts w:hint="default"/>
      </w:rPr>
    </w:lvl>
    <w:lvl w:ilvl="7" w:tentative="0">
      <w:start w:val="0"/>
      <w:numFmt w:val="bullet"/>
      <w:lvlText w:val="•"/>
      <w:lvlJc w:val="left"/>
      <w:pPr>
        <w:ind w:left="6890" w:hanging="720"/>
      </w:pPr>
      <w:rPr>
        <w:rFonts w:hint="default"/>
      </w:rPr>
    </w:lvl>
    <w:lvl w:ilvl="8" w:tentative="0">
      <w:start w:val="0"/>
      <w:numFmt w:val="bullet"/>
      <w:lvlText w:val="•"/>
      <w:lvlJc w:val="left"/>
      <w:pPr>
        <w:ind w:left="7815" w:hanging="720"/>
      </w:pPr>
      <w:rPr>
        <w:rFonts w:hint="default"/>
      </w:rPr>
    </w:lvl>
  </w:abstractNum>
  <w:abstractNum w:abstractNumId="29">
    <w:nsid w:val="6BF2F7FB"/>
    <w:multiLevelType w:val="multilevel"/>
    <w:tmpl w:val="6BF2F7FB"/>
    <w:lvl w:ilvl="0" w:tentative="0">
      <w:start w:val="2"/>
      <w:numFmt w:val="decimal"/>
      <w:lvlText w:val="%1"/>
      <w:lvlJc w:val="left"/>
      <w:pPr>
        <w:ind w:left="788" w:hanging="629"/>
        <w:jc w:val="left"/>
      </w:pPr>
      <w:rPr>
        <w:rFonts w:hint="default"/>
      </w:rPr>
    </w:lvl>
    <w:lvl w:ilvl="1" w:tentative="0">
      <w:start w:val="4"/>
      <w:numFmt w:val="decimal"/>
      <w:lvlText w:val="%1.%2"/>
      <w:lvlJc w:val="left"/>
      <w:pPr>
        <w:ind w:left="788" w:hanging="629"/>
        <w:jc w:val="left"/>
      </w:pPr>
      <w:rPr>
        <w:rFonts w:hint="default"/>
      </w:rPr>
    </w:lvl>
    <w:lvl w:ilvl="2" w:tentative="0">
      <w:start w:val="3"/>
      <w:numFmt w:val="decimal"/>
      <w:lvlText w:val="%1.%2.%3"/>
      <w:lvlJc w:val="left"/>
      <w:pPr>
        <w:ind w:left="78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57" w:hanging="629"/>
      </w:pPr>
      <w:rPr>
        <w:rFonts w:hint="default"/>
      </w:rPr>
    </w:lvl>
    <w:lvl w:ilvl="4" w:tentative="0">
      <w:start w:val="0"/>
      <w:numFmt w:val="bullet"/>
      <w:lvlText w:val="•"/>
      <w:lvlJc w:val="left"/>
      <w:pPr>
        <w:ind w:left="3950" w:hanging="629"/>
      </w:pPr>
      <w:rPr>
        <w:rFonts w:hint="default"/>
      </w:rPr>
    </w:lvl>
    <w:lvl w:ilvl="5" w:tentative="0">
      <w:start w:val="0"/>
      <w:numFmt w:val="bullet"/>
      <w:lvlText w:val="•"/>
      <w:lvlJc w:val="left"/>
      <w:pPr>
        <w:ind w:left="4743" w:hanging="629"/>
      </w:pPr>
      <w:rPr>
        <w:rFonts w:hint="default"/>
      </w:rPr>
    </w:lvl>
    <w:lvl w:ilvl="6" w:tentative="0">
      <w:start w:val="0"/>
      <w:numFmt w:val="bullet"/>
      <w:lvlText w:val="•"/>
      <w:lvlJc w:val="left"/>
      <w:pPr>
        <w:ind w:left="5535" w:hanging="629"/>
      </w:pPr>
      <w:rPr>
        <w:rFonts w:hint="default"/>
      </w:rPr>
    </w:lvl>
    <w:lvl w:ilvl="7" w:tentative="0">
      <w:start w:val="0"/>
      <w:numFmt w:val="bullet"/>
      <w:lvlText w:val="•"/>
      <w:lvlJc w:val="left"/>
      <w:pPr>
        <w:ind w:left="6328" w:hanging="629"/>
      </w:pPr>
      <w:rPr>
        <w:rFonts w:hint="default"/>
      </w:rPr>
    </w:lvl>
    <w:lvl w:ilvl="8" w:tentative="0">
      <w:start w:val="0"/>
      <w:numFmt w:val="bullet"/>
      <w:lvlText w:val="•"/>
      <w:lvlJc w:val="left"/>
      <w:pPr>
        <w:ind w:left="7120" w:hanging="629"/>
      </w:pPr>
      <w:rPr>
        <w:rFonts w:hint="default"/>
      </w:rPr>
    </w:lvl>
  </w:abstractNum>
  <w:abstractNum w:abstractNumId="30">
    <w:nsid w:val="6D660D2C"/>
    <w:multiLevelType w:val="multilevel"/>
    <w:tmpl w:val="6D660D2C"/>
    <w:lvl w:ilvl="0" w:tentative="0">
      <w:start w:val="6"/>
      <w:numFmt w:val="decimal"/>
      <w:lvlText w:val="%1"/>
      <w:lvlJc w:val="left"/>
      <w:pPr>
        <w:ind w:left="687" w:hanging="449"/>
        <w:jc w:val="left"/>
      </w:pPr>
      <w:rPr>
        <w:rFonts w:hint="default"/>
      </w:rPr>
    </w:lvl>
    <w:lvl w:ilvl="1" w:tentative="0">
      <w:start w:val="1"/>
      <w:numFmt w:val="decimal"/>
      <w:lvlText w:val="%1.%2"/>
      <w:lvlJc w:val="left"/>
      <w:pPr>
        <w:ind w:left="687"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7"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816" w:hanging="629"/>
      </w:pPr>
      <w:rPr>
        <w:rFonts w:hint="default"/>
      </w:rPr>
    </w:lvl>
    <w:lvl w:ilvl="4" w:tentative="0">
      <w:start w:val="0"/>
      <w:numFmt w:val="bullet"/>
      <w:lvlText w:val="•"/>
      <w:lvlJc w:val="left"/>
      <w:pPr>
        <w:ind w:left="3795" w:hanging="629"/>
      </w:pPr>
      <w:rPr>
        <w:rFonts w:hint="default"/>
      </w:rPr>
    </w:lvl>
    <w:lvl w:ilvl="5" w:tentative="0">
      <w:start w:val="0"/>
      <w:numFmt w:val="bullet"/>
      <w:lvlText w:val="•"/>
      <w:lvlJc w:val="left"/>
      <w:pPr>
        <w:ind w:left="4773" w:hanging="629"/>
      </w:pPr>
      <w:rPr>
        <w:rFonts w:hint="default"/>
      </w:rPr>
    </w:lvl>
    <w:lvl w:ilvl="6" w:tentative="0">
      <w:start w:val="0"/>
      <w:numFmt w:val="bullet"/>
      <w:lvlText w:val="•"/>
      <w:lvlJc w:val="left"/>
      <w:pPr>
        <w:ind w:left="5752" w:hanging="629"/>
      </w:pPr>
      <w:rPr>
        <w:rFonts w:hint="default"/>
      </w:rPr>
    </w:lvl>
    <w:lvl w:ilvl="7" w:tentative="0">
      <w:start w:val="0"/>
      <w:numFmt w:val="bullet"/>
      <w:lvlText w:val="•"/>
      <w:lvlJc w:val="left"/>
      <w:pPr>
        <w:ind w:left="6730" w:hanging="629"/>
      </w:pPr>
      <w:rPr>
        <w:rFonts w:hint="default"/>
      </w:rPr>
    </w:lvl>
    <w:lvl w:ilvl="8" w:tentative="0">
      <w:start w:val="0"/>
      <w:numFmt w:val="bullet"/>
      <w:lvlText w:val="•"/>
      <w:lvlJc w:val="left"/>
      <w:pPr>
        <w:ind w:left="7709" w:hanging="629"/>
      </w:pPr>
      <w:rPr>
        <w:rFonts w:hint="default"/>
      </w:rPr>
    </w:lvl>
  </w:abstractNum>
  <w:abstractNum w:abstractNumId="31">
    <w:nsid w:val="7446C5A8"/>
    <w:multiLevelType w:val="multilevel"/>
    <w:tmpl w:val="7446C5A8"/>
    <w:lvl w:ilvl="0" w:tentative="0">
      <w:start w:val="5"/>
      <w:numFmt w:val="decimal"/>
      <w:lvlText w:val="%1"/>
      <w:lvlJc w:val="left"/>
      <w:pPr>
        <w:ind w:left="1068" w:hanging="449"/>
        <w:jc w:val="left"/>
      </w:pPr>
      <w:rPr>
        <w:rFonts w:hint="default"/>
      </w:rPr>
    </w:lvl>
    <w:lvl w:ilvl="1" w:tentative="0">
      <w:start w:val="1"/>
      <w:numFmt w:val="decimal"/>
      <w:lvlText w:val="%1.%2"/>
      <w:lvlJc w:val="left"/>
      <w:pPr>
        <w:ind w:left="1068" w:hanging="449"/>
        <w:jc w:val="left"/>
      </w:pPr>
      <w:rPr>
        <w:rFonts w:hint="default" w:ascii="Times New Roman" w:hAnsi="Times New Roman" w:eastAsia="Times New Roman" w:cs="Times New Roman"/>
        <w:b/>
        <w:bCs/>
        <w:spacing w:val="-2"/>
        <w:w w:val="100"/>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abstractNum w:abstractNumId="32">
    <w:nsid w:val="75581F7B"/>
    <w:multiLevelType w:val="multilevel"/>
    <w:tmpl w:val="75581F7B"/>
    <w:lvl w:ilvl="0" w:tentative="0">
      <w:start w:val="3"/>
      <w:numFmt w:val="decimal"/>
      <w:lvlText w:val="%1"/>
      <w:lvlJc w:val="left"/>
      <w:pPr>
        <w:ind w:left="688" w:hanging="449"/>
        <w:jc w:val="left"/>
      </w:pPr>
      <w:rPr>
        <w:rFonts w:hint="default"/>
      </w:rPr>
    </w:lvl>
    <w:lvl w:ilvl="1" w:tentative="0">
      <w:start w:val="2"/>
      <w:numFmt w:val="decimal"/>
      <w:lvlText w:val="%1.%2"/>
      <w:lvlJc w:val="left"/>
      <w:pPr>
        <w:ind w:left="688" w:hanging="449"/>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621" w:hanging="629"/>
      </w:pPr>
      <w:rPr>
        <w:rFonts w:hint="default"/>
      </w:rPr>
    </w:lvl>
    <w:lvl w:ilvl="4" w:tentative="0">
      <w:start w:val="0"/>
      <w:numFmt w:val="bullet"/>
      <w:lvlText w:val="•"/>
      <w:lvlJc w:val="left"/>
      <w:pPr>
        <w:ind w:left="3502" w:hanging="629"/>
      </w:pPr>
      <w:rPr>
        <w:rFonts w:hint="default"/>
      </w:rPr>
    </w:lvl>
    <w:lvl w:ilvl="5" w:tentative="0">
      <w:start w:val="0"/>
      <w:numFmt w:val="bullet"/>
      <w:lvlText w:val="•"/>
      <w:lvlJc w:val="left"/>
      <w:pPr>
        <w:ind w:left="4382" w:hanging="629"/>
      </w:pPr>
      <w:rPr>
        <w:rFonts w:hint="default"/>
      </w:rPr>
    </w:lvl>
    <w:lvl w:ilvl="6" w:tentative="0">
      <w:start w:val="0"/>
      <w:numFmt w:val="bullet"/>
      <w:lvlText w:val="•"/>
      <w:lvlJc w:val="left"/>
      <w:pPr>
        <w:ind w:left="5263" w:hanging="629"/>
      </w:pPr>
      <w:rPr>
        <w:rFonts w:hint="default"/>
      </w:rPr>
    </w:lvl>
    <w:lvl w:ilvl="7" w:tentative="0">
      <w:start w:val="0"/>
      <w:numFmt w:val="bullet"/>
      <w:lvlText w:val="•"/>
      <w:lvlJc w:val="left"/>
      <w:pPr>
        <w:ind w:left="6144" w:hanging="629"/>
      </w:pPr>
      <w:rPr>
        <w:rFonts w:hint="default"/>
      </w:rPr>
    </w:lvl>
    <w:lvl w:ilvl="8" w:tentative="0">
      <w:start w:val="0"/>
      <w:numFmt w:val="bullet"/>
      <w:lvlText w:val="•"/>
      <w:lvlJc w:val="left"/>
      <w:pPr>
        <w:ind w:left="7024" w:hanging="629"/>
      </w:pPr>
      <w:rPr>
        <w:rFonts w:hint="default"/>
      </w:rPr>
    </w:lvl>
  </w:abstractNum>
  <w:abstractNum w:abstractNumId="33">
    <w:nsid w:val="78DB5517"/>
    <w:multiLevelType w:val="multilevel"/>
    <w:tmpl w:val="78DB5517"/>
    <w:lvl w:ilvl="0" w:tentative="0">
      <w:start w:val="4"/>
      <w:numFmt w:val="decimal"/>
      <w:lvlText w:val="%1"/>
      <w:lvlJc w:val="left"/>
      <w:pPr>
        <w:ind w:left="1068" w:hanging="449"/>
        <w:jc w:val="left"/>
      </w:pPr>
      <w:rPr>
        <w:rFonts w:hint="default"/>
      </w:rPr>
    </w:lvl>
    <w:lvl w:ilvl="1" w:tentative="0">
      <w:start w:val="2"/>
      <w:numFmt w:val="decimal"/>
      <w:lvlText w:val="%1.%2"/>
      <w:lvlJc w:val="left"/>
      <w:pPr>
        <w:ind w:left="1068" w:hanging="449"/>
        <w:jc w:val="left"/>
      </w:pPr>
      <w:rPr>
        <w:rFonts w:hint="default" w:ascii="Times New Roman" w:hAnsi="Times New Roman" w:eastAsia="Times New Roman" w:cs="Times New Roman"/>
        <w:b/>
        <w:bCs/>
        <w:spacing w:val="-2"/>
        <w:w w:val="99"/>
        <w:sz w:val="30"/>
        <w:szCs w:val="30"/>
      </w:rPr>
    </w:lvl>
    <w:lvl w:ilvl="2" w:tentative="0">
      <w:start w:val="1"/>
      <w:numFmt w:val="decimal"/>
      <w:lvlText w:val="%1.%2.%3"/>
      <w:lvlJc w:val="left"/>
      <w:pPr>
        <w:ind w:left="1248" w:hanging="629"/>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112" w:hanging="629"/>
      </w:pPr>
      <w:rPr>
        <w:rFonts w:hint="default"/>
      </w:rPr>
    </w:lvl>
    <w:lvl w:ilvl="4" w:tentative="0">
      <w:start w:val="0"/>
      <w:numFmt w:val="bullet"/>
      <w:lvlText w:val="•"/>
      <w:lvlJc w:val="left"/>
      <w:pPr>
        <w:ind w:left="4048" w:hanging="629"/>
      </w:pPr>
      <w:rPr>
        <w:rFonts w:hint="default"/>
      </w:rPr>
    </w:lvl>
    <w:lvl w:ilvl="5" w:tentative="0">
      <w:start w:val="0"/>
      <w:numFmt w:val="bullet"/>
      <w:lvlText w:val="•"/>
      <w:lvlJc w:val="left"/>
      <w:pPr>
        <w:ind w:left="4984" w:hanging="629"/>
      </w:pPr>
      <w:rPr>
        <w:rFonts w:hint="default"/>
      </w:rPr>
    </w:lvl>
    <w:lvl w:ilvl="6" w:tentative="0">
      <w:start w:val="0"/>
      <w:numFmt w:val="bullet"/>
      <w:lvlText w:val="•"/>
      <w:lvlJc w:val="left"/>
      <w:pPr>
        <w:ind w:left="5921" w:hanging="629"/>
      </w:pPr>
      <w:rPr>
        <w:rFonts w:hint="default"/>
      </w:rPr>
    </w:lvl>
    <w:lvl w:ilvl="7" w:tentative="0">
      <w:start w:val="0"/>
      <w:numFmt w:val="bullet"/>
      <w:lvlText w:val="•"/>
      <w:lvlJc w:val="left"/>
      <w:pPr>
        <w:ind w:left="6857" w:hanging="629"/>
      </w:pPr>
      <w:rPr>
        <w:rFonts w:hint="default"/>
      </w:rPr>
    </w:lvl>
    <w:lvl w:ilvl="8" w:tentative="0">
      <w:start w:val="0"/>
      <w:numFmt w:val="bullet"/>
      <w:lvlText w:val="•"/>
      <w:lvlJc w:val="left"/>
      <w:pPr>
        <w:ind w:left="7793" w:hanging="629"/>
      </w:pPr>
      <w:rPr>
        <w:rFonts w:hint="default"/>
      </w:rPr>
    </w:lvl>
  </w:abstractNum>
  <w:num w:numId="1">
    <w:abstractNumId w:val="24"/>
  </w:num>
  <w:num w:numId="2">
    <w:abstractNumId w:val="8"/>
  </w:num>
  <w:num w:numId="3">
    <w:abstractNumId w:val="17"/>
  </w:num>
  <w:num w:numId="4">
    <w:abstractNumId w:val="15"/>
  </w:num>
  <w:num w:numId="5">
    <w:abstractNumId w:val="14"/>
  </w:num>
  <w:num w:numId="6">
    <w:abstractNumId w:val="16"/>
  </w:num>
  <w:num w:numId="7">
    <w:abstractNumId w:val="4"/>
  </w:num>
  <w:num w:numId="8">
    <w:abstractNumId w:val="27"/>
  </w:num>
  <w:num w:numId="9">
    <w:abstractNumId w:val="23"/>
  </w:num>
  <w:num w:numId="10">
    <w:abstractNumId w:val="29"/>
  </w:num>
  <w:num w:numId="11">
    <w:abstractNumId w:val="1"/>
  </w:num>
  <w:num w:numId="12">
    <w:abstractNumId w:val="9"/>
  </w:num>
  <w:num w:numId="13">
    <w:abstractNumId w:val="32"/>
  </w:num>
  <w:num w:numId="14">
    <w:abstractNumId w:val="18"/>
  </w:num>
  <w:num w:numId="15">
    <w:abstractNumId w:val="6"/>
  </w:num>
  <w:num w:numId="16">
    <w:abstractNumId w:val="21"/>
  </w:num>
  <w:num w:numId="17">
    <w:abstractNumId w:val="25"/>
  </w:num>
  <w:num w:numId="18">
    <w:abstractNumId w:val="33"/>
  </w:num>
  <w:num w:numId="19">
    <w:abstractNumId w:val="11"/>
  </w:num>
  <w:num w:numId="20">
    <w:abstractNumId w:val="12"/>
  </w:num>
  <w:num w:numId="21">
    <w:abstractNumId w:val="20"/>
  </w:num>
  <w:num w:numId="22">
    <w:abstractNumId w:val="7"/>
  </w:num>
  <w:num w:numId="23">
    <w:abstractNumId w:val="28"/>
  </w:num>
  <w:num w:numId="24">
    <w:abstractNumId w:val="10"/>
  </w:num>
  <w:num w:numId="25">
    <w:abstractNumId w:val="5"/>
  </w:num>
  <w:num w:numId="26">
    <w:abstractNumId w:val="31"/>
  </w:num>
  <w:num w:numId="27">
    <w:abstractNumId w:val="19"/>
  </w:num>
  <w:num w:numId="28">
    <w:abstractNumId w:val="0"/>
  </w:num>
  <w:num w:numId="29">
    <w:abstractNumId w:val="30"/>
  </w:num>
  <w:num w:numId="30">
    <w:abstractNumId w:val="26"/>
  </w:num>
  <w:num w:numId="31">
    <w:abstractNumId w:val="2"/>
  </w:num>
  <w:num w:numId="32">
    <w:abstractNumId w:val="22"/>
  </w:num>
  <w:num w:numId="33">
    <w:abstractNumId w:val="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OGNkMjg1ODhjOWQ3OWY3OTI4MjNmY2I5ODNhZmUzNWYifQ=="/>
  </w:docVars>
  <w:rsids>
    <w:rsidRoot w:val="00000000"/>
    <w:rsid w:val="4CED41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spacing w:before="50"/>
      <w:ind w:left="539" w:hanging="240"/>
      <w:outlineLvl w:val="1"/>
    </w:pPr>
    <w:rPr>
      <w:rFonts w:ascii="宋体" w:hAnsi="宋体" w:eastAsia="宋体" w:cs="宋体"/>
      <w:b/>
      <w:bCs/>
      <w:sz w:val="32"/>
      <w:szCs w:val="32"/>
    </w:rPr>
  </w:style>
  <w:style w:type="paragraph" w:styleId="3">
    <w:name w:val="heading 2"/>
    <w:basedOn w:val="1"/>
    <w:qFormat/>
    <w:uiPriority w:val="1"/>
    <w:pPr>
      <w:spacing w:before="43"/>
      <w:ind w:left="668" w:hanging="448"/>
      <w:outlineLvl w:val="2"/>
    </w:pPr>
    <w:rPr>
      <w:rFonts w:ascii="宋体" w:hAnsi="宋体" w:eastAsia="宋体" w:cs="宋体"/>
      <w:b/>
      <w:bCs/>
      <w:sz w:val="30"/>
      <w:szCs w:val="30"/>
    </w:rPr>
  </w:style>
  <w:style w:type="paragraph" w:styleId="4">
    <w:name w:val="heading 3"/>
    <w:basedOn w:val="1"/>
    <w:qFormat/>
    <w:uiPriority w:val="1"/>
    <w:pPr>
      <w:ind w:left="20"/>
      <w:outlineLvl w:val="3"/>
    </w:pPr>
    <w:rPr>
      <w:rFonts w:ascii="宋体" w:hAnsi="宋体" w:eastAsia="宋体" w:cs="宋体"/>
      <w:sz w:val="30"/>
      <w:szCs w:val="30"/>
    </w:rPr>
  </w:style>
  <w:style w:type="paragraph" w:styleId="5">
    <w:name w:val="heading 4"/>
    <w:basedOn w:val="1"/>
    <w:qFormat/>
    <w:uiPriority w:val="1"/>
    <w:pPr>
      <w:ind w:left="20"/>
      <w:outlineLvl w:val="4"/>
    </w:pPr>
    <w:rPr>
      <w:rFonts w:ascii="宋体" w:hAnsi="宋体" w:eastAsia="宋体" w:cs="宋体"/>
      <w:sz w:val="28"/>
      <w:szCs w:val="28"/>
    </w:rPr>
  </w:style>
  <w:style w:type="paragraph" w:styleId="6">
    <w:name w:val="heading 5"/>
    <w:basedOn w:val="1"/>
    <w:qFormat/>
    <w:uiPriority w:val="1"/>
    <w:pPr>
      <w:ind w:left="211"/>
      <w:jc w:val="both"/>
      <w:outlineLvl w:val="5"/>
    </w:pPr>
    <w:rPr>
      <w:rFonts w:ascii="宋体" w:hAnsi="宋体" w:eastAsia="宋体" w:cs="宋体"/>
      <w:sz w:val="27"/>
      <w:szCs w:val="27"/>
    </w:rPr>
  </w:style>
  <w:style w:type="paragraph" w:styleId="7">
    <w:name w:val="heading 6"/>
    <w:basedOn w:val="1"/>
    <w:qFormat/>
    <w:uiPriority w:val="1"/>
    <w:pPr>
      <w:ind w:left="198"/>
      <w:outlineLvl w:val="6"/>
    </w:pPr>
    <w:rPr>
      <w:rFonts w:ascii="宋体" w:hAnsi="宋体" w:eastAsia="宋体" w:cs="宋体"/>
      <w:sz w:val="26"/>
      <w:szCs w:val="26"/>
    </w:rPr>
  </w:style>
  <w:style w:type="paragraph" w:styleId="8">
    <w:name w:val="heading 7"/>
    <w:basedOn w:val="1"/>
    <w:qFormat/>
    <w:uiPriority w:val="1"/>
    <w:pPr>
      <w:ind w:left="20"/>
      <w:outlineLvl w:val="7"/>
    </w:pPr>
    <w:rPr>
      <w:rFonts w:ascii="宋体" w:hAnsi="宋体" w:eastAsia="宋体" w:cs="宋体"/>
      <w:sz w:val="25"/>
      <w:szCs w:val="25"/>
    </w:rPr>
  </w:style>
  <w:style w:type="paragraph" w:styleId="9">
    <w:name w:val="heading 8"/>
    <w:basedOn w:val="1"/>
    <w:qFormat/>
    <w:uiPriority w:val="1"/>
    <w:pPr>
      <w:spacing w:before="2"/>
      <w:ind w:left="720"/>
      <w:outlineLvl w:val="8"/>
    </w:pPr>
    <w:rPr>
      <w:rFonts w:ascii="宋体" w:hAnsi="宋体" w:eastAsia="宋体" w:cs="宋体"/>
      <w:b/>
      <w:bCs/>
      <w:sz w:val="24"/>
      <w:szCs w:val="24"/>
    </w:rPr>
  </w:style>
  <w:style w:type="character" w:default="1" w:styleId="14">
    <w:name w:val="Default Paragraph Font"/>
    <w:semiHidden/>
    <w:unhideWhenUsed/>
    <w:uiPriority w:val="1"/>
  </w:style>
  <w:style w:type="table" w:default="1" w:styleId="13">
    <w:name w:val="Normal Table"/>
    <w:semiHidden/>
    <w:uiPriority w:val="0"/>
    <w:tblPr>
      <w:tblCellMar>
        <w:top w:w="0" w:type="dxa"/>
        <w:left w:w="108" w:type="dxa"/>
        <w:bottom w:w="0" w:type="dxa"/>
        <w:right w:w="108" w:type="dxa"/>
      </w:tblCellMar>
    </w:tblPr>
  </w:style>
  <w:style w:type="paragraph" w:styleId="10">
    <w:name w:val="Body Text"/>
    <w:basedOn w:val="1"/>
    <w:qFormat/>
    <w:uiPriority w:val="1"/>
    <w:rPr>
      <w:rFonts w:ascii="宋体" w:hAnsi="宋体" w:eastAsia="宋体" w:cs="宋体"/>
      <w:sz w:val="24"/>
      <w:szCs w:val="24"/>
    </w:rPr>
  </w:style>
  <w:style w:type="paragraph" w:styleId="11">
    <w:name w:val="toc 1"/>
    <w:basedOn w:val="1"/>
    <w:qFormat/>
    <w:uiPriority w:val="1"/>
    <w:pPr>
      <w:spacing w:before="161"/>
      <w:ind w:left="400" w:hanging="180"/>
    </w:pPr>
    <w:rPr>
      <w:rFonts w:ascii="宋体" w:hAnsi="宋体" w:eastAsia="宋体" w:cs="宋体"/>
      <w:sz w:val="24"/>
      <w:szCs w:val="24"/>
    </w:rPr>
  </w:style>
  <w:style w:type="paragraph" w:styleId="12">
    <w:name w:val="toc 2"/>
    <w:basedOn w:val="1"/>
    <w:qFormat/>
    <w:uiPriority w:val="1"/>
    <w:pPr>
      <w:spacing w:before="160"/>
      <w:ind w:left="1000" w:hanging="360"/>
    </w:pPr>
    <w:rPr>
      <w:rFonts w:ascii="宋体" w:hAnsi="宋体" w:eastAsia="宋体" w:cs="宋体"/>
      <w:sz w:val="24"/>
      <w:szCs w:val="24"/>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spacing w:before="161"/>
      <w:ind w:left="1000" w:hanging="628"/>
    </w:pPr>
    <w:rPr>
      <w:rFonts w:ascii="宋体" w:hAnsi="宋体" w:eastAsia="宋体" w:cs="宋体"/>
    </w:rPr>
  </w:style>
  <w:style w:type="paragraph" w:customStyle="1" w:styleId="17">
    <w:name w:val="Table Paragraph"/>
    <w:basedOn w:val="1"/>
    <w:qFormat/>
    <w:uiPriority w:val="1"/>
    <w:pPr>
      <w:jc w:val="center"/>
    </w:pPr>
    <w:rPr>
      <w:rFonts w:ascii="宋体" w:hAnsi="宋体" w:eastAsia="宋体" w:cs="宋体"/>
    </w:rPr>
  </w:style>
</w:styles>
</file>

<file path=word/_rels/document.xml.rels><?xml version="1.0" encoding="UTF-8" standalone="yes"?>
<Relationships xmlns="http://schemas.openxmlformats.org/package/2006/relationships"><Relationship Id="rId99" Type="http://schemas.openxmlformats.org/officeDocument/2006/relationships/image" Target="media/image48.png"/><Relationship Id="rId98" Type="http://schemas.openxmlformats.org/officeDocument/2006/relationships/image" Target="media/image47.png"/><Relationship Id="rId97" Type="http://schemas.openxmlformats.org/officeDocument/2006/relationships/image" Target="media/image46.png"/><Relationship Id="rId96" Type="http://schemas.openxmlformats.org/officeDocument/2006/relationships/image" Target="media/image45.png"/><Relationship Id="rId95" Type="http://schemas.openxmlformats.org/officeDocument/2006/relationships/image" Target="media/image44.png"/><Relationship Id="rId94" Type="http://schemas.openxmlformats.org/officeDocument/2006/relationships/image" Target="media/image43.png"/><Relationship Id="rId93" Type="http://schemas.openxmlformats.org/officeDocument/2006/relationships/image" Target="media/image42.png"/><Relationship Id="rId92" Type="http://schemas.openxmlformats.org/officeDocument/2006/relationships/image" Target="media/image41.png"/><Relationship Id="rId91" Type="http://schemas.openxmlformats.org/officeDocument/2006/relationships/image" Target="media/image40.png"/><Relationship Id="rId90" Type="http://schemas.openxmlformats.org/officeDocument/2006/relationships/image" Target="media/image39.png"/><Relationship Id="rId9" Type="http://schemas.openxmlformats.org/officeDocument/2006/relationships/footer" Target="footer5.xml"/><Relationship Id="rId89" Type="http://schemas.openxmlformats.org/officeDocument/2006/relationships/image" Target="media/image38.png"/><Relationship Id="rId88" Type="http://schemas.openxmlformats.org/officeDocument/2006/relationships/image" Target="media/image37.png"/><Relationship Id="rId87" Type="http://schemas.openxmlformats.org/officeDocument/2006/relationships/image" Target="media/image36.png"/><Relationship Id="rId86" Type="http://schemas.openxmlformats.org/officeDocument/2006/relationships/image" Target="media/image35.png"/><Relationship Id="rId85" Type="http://schemas.openxmlformats.org/officeDocument/2006/relationships/image" Target="media/image34.png"/><Relationship Id="rId84" Type="http://schemas.openxmlformats.org/officeDocument/2006/relationships/image" Target="media/image33.jpeg"/><Relationship Id="rId83" Type="http://schemas.openxmlformats.org/officeDocument/2006/relationships/image" Target="media/image32.jpeg"/><Relationship Id="rId82" Type="http://schemas.openxmlformats.org/officeDocument/2006/relationships/image" Target="media/image31.jpeg"/><Relationship Id="rId81" Type="http://schemas.openxmlformats.org/officeDocument/2006/relationships/image" Target="media/image30.png"/><Relationship Id="rId80" Type="http://schemas.openxmlformats.org/officeDocument/2006/relationships/image" Target="media/image29.png"/><Relationship Id="rId8" Type="http://schemas.openxmlformats.org/officeDocument/2006/relationships/footer" Target="footer4.xml"/><Relationship Id="rId79" Type="http://schemas.openxmlformats.org/officeDocument/2006/relationships/image" Target="media/image28.png"/><Relationship Id="rId78" Type="http://schemas.openxmlformats.org/officeDocument/2006/relationships/image" Target="media/image27.png"/><Relationship Id="rId77" Type="http://schemas.openxmlformats.org/officeDocument/2006/relationships/image" Target="media/image26.png"/><Relationship Id="rId76" Type="http://schemas.openxmlformats.org/officeDocument/2006/relationships/image" Target="media/image25.png"/><Relationship Id="rId75" Type="http://schemas.openxmlformats.org/officeDocument/2006/relationships/image" Target="media/image24.png"/><Relationship Id="rId74" Type="http://schemas.openxmlformats.org/officeDocument/2006/relationships/image" Target="media/image23.png"/><Relationship Id="rId73" Type="http://schemas.openxmlformats.org/officeDocument/2006/relationships/image" Target="media/image22.png"/><Relationship Id="rId72" Type="http://schemas.openxmlformats.org/officeDocument/2006/relationships/image" Target="media/image21.png"/><Relationship Id="rId71" Type="http://schemas.openxmlformats.org/officeDocument/2006/relationships/image" Target="media/image20.png"/><Relationship Id="rId70" Type="http://schemas.openxmlformats.org/officeDocument/2006/relationships/image" Target="media/image19.png"/><Relationship Id="rId7" Type="http://schemas.openxmlformats.org/officeDocument/2006/relationships/footer" Target="footer3.xml"/><Relationship Id="rId69" Type="http://schemas.openxmlformats.org/officeDocument/2006/relationships/image" Target="media/image18.png"/><Relationship Id="rId68" Type="http://schemas.openxmlformats.org/officeDocument/2006/relationships/image" Target="media/image17.png"/><Relationship Id="rId67" Type="http://schemas.openxmlformats.org/officeDocument/2006/relationships/image" Target="media/image16.png"/><Relationship Id="rId66" Type="http://schemas.openxmlformats.org/officeDocument/2006/relationships/image" Target="media/image15.png"/><Relationship Id="rId65" Type="http://schemas.openxmlformats.org/officeDocument/2006/relationships/image" Target="media/image14.png"/><Relationship Id="rId64" Type="http://schemas.openxmlformats.org/officeDocument/2006/relationships/image" Target="media/image13.png"/><Relationship Id="rId63" Type="http://schemas.openxmlformats.org/officeDocument/2006/relationships/image" Target="media/image12.png"/><Relationship Id="rId62" Type="http://schemas.openxmlformats.org/officeDocument/2006/relationships/image" Target="media/image11.png"/><Relationship Id="rId61" Type="http://schemas.openxmlformats.org/officeDocument/2006/relationships/image" Target="media/image10.png"/><Relationship Id="rId60" Type="http://schemas.openxmlformats.org/officeDocument/2006/relationships/image" Target="media/image9.png"/><Relationship Id="rId6" Type="http://schemas.openxmlformats.org/officeDocument/2006/relationships/footer" Target="footer2.xml"/><Relationship Id="rId59" Type="http://schemas.openxmlformats.org/officeDocument/2006/relationships/image" Target="media/image8.jpeg"/><Relationship Id="rId58" Type="http://schemas.openxmlformats.org/officeDocument/2006/relationships/image" Target="media/image7.jpeg"/><Relationship Id="rId57" Type="http://schemas.openxmlformats.org/officeDocument/2006/relationships/image" Target="media/image6.png"/><Relationship Id="rId56" Type="http://schemas.openxmlformats.org/officeDocument/2006/relationships/image" Target="media/image5.png"/><Relationship Id="rId55" Type="http://schemas.openxmlformats.org/officeDocument/2006/relationships/image" Target="media/image4.png"/><Relationship Id="rId54" Type="http://schemas.openxmlformats.org/officeDocument/2006/relationships/image" Target="media/image3.png"/><Relationship Id="rId53" Type="http://schemas.openxmlformats.org/officeDocument/2006/relationships/image" Target="media/image2.jpe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6" Type="http://schemas.openxmlformats.org/officeDocument/2006/relationships/fontTable" Target="fontTable.xml"/><Relationship Id="rId155" Type="http://schemas.openxmlformats.org/officeDocument/2006/relationships/numbering" Target="numbering.xml"/><Relationship Id="rId154" Type="http://schemas.openxmlformats.org/officeDocument/2006/relationships/customXml" Target="../customXml/item1.xml"/><Relationship Id="rId153" Type="http://schemas.openxmlformats.org/officeDocument/2006/relationships/image" Target="media/image102.png"/><Relationship Id="rId152" Type="http://schemas.openxmlformats.org/officeDocument/2006/relationships/image" Target="media/image101.png"/><Relationship Id="rId151" Type="http://schemas.openxmlformats.org/officeDocument/2006/relationships/image" Target="media/image100.png"/><Relationship Id="rId150" Type="http://schemas.openxmlformats.org/officeDocument/2006/relationships/image" Target="media/image99.jpeg"/><Relationship Id="rId15" Type="http://schemas.openxmlformats.org/officeDocument/2006/relationships/footer" Target="footer11.xml"/><Relationship Id="rId149" Type="http://schemas.openxmlformats.org/officeDocument/2006/relationships/image" Target="media/image98.jpeg"/><Relationship Id="rId148" Type="http://schemas.openxmlformats.org/officeDocument/2006/relationships/image" Target="media/image97.jpeg"/><Relationship Id="rId147" Type="http://schemas.openxmlformats.org/officeDocument/2006/relationships/image" Target="media/image96.jpeg"/><Relationship Id="rId146" Type="http://schemas.openxmlformats.org/officeDocument/2006/relationships/image" Target="media/image95.jpeg"/><Relationship Id="rId145" Type="http://schemas.openxmlformats.org/officeDocument/2006/relationships/image" Target="media/image94.jpeg"/><Relationship Id="rId144" Type="http://schemas.openxmlformats.org/officeDocument/2006/relationships/image" Target="media/image93.jpeg"/><Relationship Id="rId143" Type="http://schemas.openxmlformats.org/officeDocument/2006/relationships/image" Target="media/image92.jpeg"/><Relationship Id="rId142" Type="http://schemas.openxmlformats.org/officeDocument/2006/relationships/image" Target="media/image91.jpeg"/><Relationship Id="rId141" Type="http://schemas.openxmlformats.org/officeDocument/2006/relationships/image" Target="media/image90.jpeg"/><Relationship Id="rId140" Type="http://schemas.openxmlformats.org/officeDocument/2006/relationships/image" Target="media/image89.jpeg"/><Relationship Id="rId14" Type="http://schemas.openxmlformats.org/officeDocument/2006/relationships/footer" Target="footer10.xml"/><Relationship Id="rId139" Type="http://schemas.openxmlformats.org/officeDocument/2006/relationships/image" Target="media/image88.jpeg"/><Relationship Id="rId138" Type="http://schemas.openxmlformats.org/officeDocument/2006/relationships/image" Target="media/image87.png"/><Relationship Id="rId137" Type="http://schemas.openxmlformats.org/officeDocument/2006/relationships/image" Target="media/image86.jpeg"/><Relationship Id="rId136" Type="http://schemas.openxmlformats.org/officeDocument/2006/relationships/image" Target="media/image85.jpeg"/><Relationship Id="rId135" Type="http://schemas.openxmlformats.org/officeDocument/2006/relationships/image" Target="media/image84.jpeg"/><Relationship Id="rId134" Type="http://schemas.openxmlformats.org/officeDocument/2006/relationships/image" Target="media/image83.jpeg"/><Relationship Id="rId133" Type="http://schemas.openxmlformats.org/officeDocument/2006/relationships/image" Target="media/image82.jpeg"/><Relationship Id="rId132" Type="http://schemas.openxmlformats.org/officeDocument/2006/relationships/image" Target="media/image81.jpeg"/><Relationship Id="rId131" Type="http://schemas.openxmlformats.org/officeDocument/2006/relationships/image" Target="media/image80.jpeg"/><Relationship Id="rId130" Type="http://schemas.openxmlformats.org/officeDocument/2006/relationships/image" Target="media/image79.jpeg"/><Relationship Id="rId13" Type="http://schemas.openxmlformats.org/officeDocument/2006/relationships/footer" Target="footer9.xml"/><Relationship Id="rId129" Type="http://schemas.openxmlformats.org/officeDocument/2006/relationships/image" Target="media/image78.jpeg"/><Relationship Id="rId128" Type="http://schemas.openxmlformats.org/officeDocument/2006/relationships/image" Target="media/image77.jpeg"/><Relationship Id="rId127" Type="http://schemas.openxmlformats.org/officeDocument/2006/relationships/image" Target="media/image76.jpeg"/><Relationship Id="rId126" Type="http://schemas.openxmlformats.org/officeDocument/2006/relationships/image" Target="media/image75.jpeg"/><Relationship Id="rId125" Type="http://schemas.openxmlformats.org/officeDocument/2006/relationships/image" Target="media/image74.jpeg"/><Relationship Id="rId124" Type="http://schemas.openxmlformats.org/officeDocument/2006/relationships/image" Target="media/image73.jpeg"/><Relationship Id="rId123" Type="http://schemas.openxmlformats.org/officeDocument/2006/relationships/image" Target="media/image72.jpeg"/><Relationship Id="rId122" Type="http://schemas.openxmlformats.org/officeDocument/2006/relationships/image" Target="media/image71.jpeg"/><Relationship Id="rId121" Type="http://schemas.openxmlformats.org/officeDocument/2006/relationships/image" Target="media/image70.jpeg"/><Relationship Id="rId120" Type="http://schemas.openxmlformats.org/officeDocument/2006/relationships/image" Target="media/image69.jpeg"/><Relationship Id="rId12" Type="http://schemas.openxmlformats.org/officeDocument/2006/relationships/footer" Target="footer8.xml"/><Relationship Id="rId119" Type="http://schemas.openxmlformats.org/officeDocument/2006/relationships/image" Target="media/image68.png"/><Relationship Id="rId118" Type="http://schemas.openxmlformats.org/officeDocument/2006/relationships/image" Target="media/image67.png"/><Relationship Id="rId117" Type="http://schemas.openxmlformats.org/officeDocument/2006/relationships/image" Target="media/image66.png"/><Relationship Id="rId116" Type="http://schemas.openxmlformats.org/officeDocument/2006/relationships/image" Target="media/image65.png"/><Relationship Id="rId115" Type="http://schemas.openxmlformats.org/officeDocument/2006/relationships/image" Target="media/image64.png"/><Relationship Id="rId114" Type="http://schemas.openxmlformats.org/officeDocument/2006/relationships/image" Target="media/image63.png"/><Relationship Id="rId113" Type="http://schemas.openxmlformats.org/officeDocument/2006/relationships/image" Target="media/image62.png"/><Relationship Id="rId112" Type="http://schemas.openxmlformats.org/officeDocument/2006/relationships/image" Target="media/image61.png"/><Relationship Id="rId111" Type="http://schemas.openxmlformats.org/officeDocument/2006/relationships/image" Target="media/image60.png"/><Relationship Id="rId110" Type="http://schemas.openxmlformats.org/officeDocument/2006/relationships/image" Target="media/image59.png"/><Relationship Id="rId11" Type="http://schemas.openxmlformats.org/officeDocument/2006/relationships/footer" Target="footer7.xml"/><Relationship Id="rId109" Type="http://schemas.openxmlformats.org/officeDocument/2006/relationships/image" Target="media/image58.png"/><Relationship Id="rId108" Type="http://schemas.openxmlformats.org/officeDocument/2006/relationships/image" Target="media/image57.png"/><Relationship Id="rId107" Type="http://schemas.openxmlformats.org/officeDocument/2006/relationships/image" Target="media/image56.png"/><Relationship Id="rId106" Type="http://schemas.openxmlformats.org/officeDocument/2006/relationships/image" Target="media/image55.png"/><Relationship Id="rId105" Type="http://schemas.openxmlformats.org/officeDocument/2006/relationships/image" Target="media/image54.png"/><Relationship Id="rId104" Type="http://schemas.openxmlformats.org/officeDocument/2006/relationships/image" Target="media/image53.png"/><Relationship Id="rId103" Type="http://schemas.openxmlformats.org/officeDocument/2006/relationships/image" Target="media/image52.png"/><Relationship Id="rId102" Type="http://schemas.openxmlformats.org/officeDocument/2006/relationships/image" Target="media/image51.png"/><Relationship Id="rId101" Type="http://schemas.openxmlformats.org/officeDocument/2006/relationships/image" Target="media/image50.png"/><Relationship Id="rId100" Type="http://schemas.openxmlformats.org/officeDocument/2006/relationships/image" Target="media/image49.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1027"/>
    <customShpInfo spid="_x0000_s1028"/>
    <customShpInfo spid="_x0000_s1029"/>
    <customShpInfo spid="_x0000_s1026"/>
    <customShpInfo spid="_x0000_s1206"/>
    <customShpInfo spid="_x0000_s1207"/>
    <customShpInfo spid="_x0000_s1208"/>
    <customShpInfo spid="_x0000_s1209"/>
    <customShpInfo spid="_x0000_s1205"/>
    <customShpInfo spid="_x0000_s1210"/>
    <customShpInfo spid="_x0000_s1212"/>
    <customShpInfo spid="_x0000_s1213"/>
    <customShpInfo spid="_x0000_s1214"/>
    <customShpInfo spid="_x0000_s1215"/>
    <customShpInfo spid="_x0000_s1216"/>
    <customShpInfo spid="_x0000_s1211"/>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8"/>
    <customShpInfo spid="_x0000_s1227"/>
    <customShpInfo spid="_x0000_s1229"/>
    <customShpInfo spid="_x0000_s1230"/>
    <customShpInfo spid="_x0000_s1232"/>
    <customShpInfo spid="_x0000_s1231"/>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233"/>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1594"/>
    <customShpInfo spid="_x0000_s3114"/>
    <customShpInfo spid="_x0000_s3115"/>
    <customShpInfo spid="_x0000_s3113"/>
    <customShpInfo spid="_x0000_s3116"/>
    <customShpInfo spid="_x0000_s3117"/>
    <customShpInfo spid="_x0000_s3118"/>
    <customShpInfo spid="_x0000_s3120"/>
    <customShpInfo spid="_x0000_s3121"/>
    <customShpInfo spid="_x0000_s3122"/>
    <customShpInfo spid="_x0000_s3123"/>
    <customShpInfo spid="_x0000_s3124"/>
    <customShpInfo spid="_x0000_s3119"/>
    <customShpInfo spid="_x0000_s3125"/>
    <customShpInfo spid="_x0000_s3126"/>
    <customShpInfo spid="_x0000_s3127"/>
    <customShpInfo spid="_x0000_s3128"/>
    <customShpInfo spid="_x0000_s3129"/>
    <customShpInfo spid="_x0000_s3130"/>
    <customShpInfo spid="_x0000_s3132"/>
    <customShpInfo spid="_x0000_s3131"/>
    <customShpInfo spid="_x0000_s3133"/>
    <customShpInfo spid="_x0000_s3134"/>
    <customShpInfo spid="_x0000_s3136"/>
    <customShpInfo spid="_x0000_s3135"/>
    <customShpInfo spid="_x0000_s3138"/>
    <customShpInfo spid="_x0000_s3137"/>
    <customShpInfo spid="_x0000_s3140"/>
    <customShpInfo spid="_x0000_s3139"/>
    <customShpInfo spid="_x0000_s3142"/>
    <customShpInfo spid="_x0000_s3143"/>
    <customShpInfo spid="_x0000_s3141"/>
    <customShpInfo spid="_x0000_s3144"/>
    <customShpInfo spid="_x0000_s3355"/>
    <customShpInfo spid="_x0000_s3356"/>
    <customShpInfo spid="_x0000_s3929"/>
    <customShpInfo spid="_x0000_s3930"/>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31"/>
    <customShpInfo spid="_x0000_s3976"/>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39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205</Pages>
  <Words>131808</Words>
  <Characters>160161</Characters>
  <TotalTime>3</TotalTime>
  <ScaleCrop>false</ScaleCrop>
  <LinksUpToDate>false</LinksUpToDate>
  <CharactersWithSpaces>167678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2024-09-05T10:13:00Z</dcterms:created>
  <dc:creator>0</dc:creator>
  <cp:lastModifiedBy>尹丰平</cp:lastModifiedBy>
  <dcterms:modified xsi:type="dcterms:W3CDTF">2024-09-05T10:16:50Z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Creator">
    <vt:lpwstr>WPS 文字</vt:lpwstr>
  </property>
  <property fmtid="{D5CDD505-2E9C-101B-9397-08002B2CF9AE}" pid="4" name="LastSaved">
    <vt:filetime>2024-09-05T00:00:00Z</vt:filetime>
  </property>
  <property fmtid="{D5CDD505-2E9C-101B-9397-08002B2CF9AE}" pid="5" name="KSOProductBuildVer">
    <vt:lpwstr>2052-12.1.0.17857</vt:lpwstr>
  </property>
  <property fmtid="{D5CDD505-2E9C-101B-9397-08002B2CF9AE}" pid="6" name="ICV">
    <vt:lpwstr>0CD86CE00F334A42876B1A38E8C27355_12</vt:lpwstr>
  </property>
</Properties>
</file>